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C85" w14:textId="77777777" w:rsidR="00C935F5" w:rsidRDefault="00C935F5" w:rsidP="00C935F5">
      <w:pPr>
        <w:pStyle w:val="Centered"/>
        <w:jc w:val="left"/>
      </w:pPr>
      <w:r>
        <w:rPr>
          <w:noProof/>
        </w:rPr>
        <w:drawing>
          <wp:inline distT="0" distB="0" distL="0" distR="0" wp14:anchorId="1C61E6D2" wp14:editId="72E0CB38">
            <wp:extent cx="1381125" cy="72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698" cy="732822"/>
                    </a:xfrm>
                    <a:prstGeom prst="rect">
                      <a:avLst/>
                    </a:prstGeom>
                  </pic:spPr>
                </pic:pic>
              </a:graphicData>
            </a:graphic>
          </wp:inline>
        </w:drawing>
      </w:r>
      <w:r>
        <w:rPr>
          <w:noProof/>
        </w:rPr>
        <w:drawing>
          <wp:inline distT="0" distB="0" distL="0" distR="0" wp14:anchorId="34E127BE" wp14:editId="3CBE7C5D">
            <wp:extent cx="1767032" cy="742829"/>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3262" cy="745448"/>
                    </a:xfrm>
                    <a:prstGeom prst="rect">
                      <a:avLst/>
                    </a:prstGeom>
                  </pic:spPr>
                </pic:pic>
              </a:graphicData>
            </a:graphic>
          </wp:inline>
        </w:drawing>
      </w:r>
    </w:p>
    <w:p w14:paraId="46D31959" w14:textId="72B5DB8A" w:rsidR="00EA65BF" w:rsidRPr="00BD6C5F" w:rsidRDefault="00EA65BF" w:rsidP="00EA65BF">
      <w:pPr>
        <w:pStyle w:val="StdBodyText"/>
        <w:rPr>
          <w:rFonts w:asciiTheme="minorHAnsi" w:hAnsiTheme="minorHAnsi" w:cstheme="minorHAnsi"/>
        </w:rPr>
      </w:pPr>
    </w:p>
    <w:p w14:paraId="2B804120" w14:textId="3E5D4D37" w:rsidR="00EA65BF" w:rsidRPr="00BD6C5F" w:rsidRDefault="00EA65BF" w:rsidP="00EA65BF">
      <w:pPr>
        <w:pStyle w:val="StdBodyText"/>
        <w:rPr>
          <w:rFonts w:asciiTheme="minorHAnsi" w:hAnsiTheme="minorHAnsi" w:cstheme="minorHAnsi"/>
        </w:rPr>
      </w:pPr>
    </w:p>
    <w:p w14:paraId="3C7DA796" w14:textId="2814B22D" w:rsidR="00BC7DDA" w:rsidRPr="00BD6C5F" w:rsidRDefault="00F92113" w:rsidP="00EA65BF">
      <w:pPr>
        <w:pStyle w:val="BlankDocumentTitle"/>
        <w:rPr>
          <w:rFonts w:asciiTheme="minorHAnsi" w:hAnsiTheme="minorHAnsi" w:cstheme="minorHAnsi"/>
          <w:sz w:val="36"/>
          <w:szCs w:val="36"/>
        </w:rPr>
      </w:pPr>
      <w:r w:rsidRPr="00BD6C5F">
        <w:rPr>
          <w:rFonts w:asciiTheme="minorHAnsi" w:hAnsiTheme="minorHAnsi" w:cstheme="minorHAnsi"/>
          <w:sz w:val="36"/>
          <w:szCs w:val="36"/>
        </w:rPr>
        <w:t>Model Services Contract Combined Schedules</w:t>
      </w:r>
      <w:r w:rsidR="00F22DBD" w:rsidRPr="00BD6C5F">
        <w:rPr>
          <w:rFonts w:asciiTheme="minorHAnsi" w:hAnsiTheme="minorHAnsi" w:cstheme="minorHAnsi"/>
          <w:sz w:val="36"/>
          <w:szCs w:val="36"/>
        </w:rPr>
        <w:t xml:space="preserve"> </w:t>
      </w:r>
      <w:r w:rsidRPr="00BD6C5F">
        <w:rPr>
          <w:rFonts w:asciiTheme="minorHAnsi" w:hAnsiTheme="minorHAnsi" w:cstheme="minorHAnsi"/>
          <w:sz w:val="36"/>
          <w:szCs w:val="36"/>
        </w:rPr>
        <w:t>(Scottish</w:t>
      </w:r>
      <w:r w:rsidR="00F22DBD" w:rsidRPr="00BD6C5F">
        <w:rPr>
          <w:rFonts w:asciiTheme="minorHAnsi" w:hAnsiTheme="minorHAnsi" w:cstheme="minorHAnsi"/>
          <w:sz w:val="36"/>
          <w:szCs w:val="36"/>
        </w:rPr>
        <w:t> </w:t>
      </w:r>
      <w:r w:rsidRPr="00BD6C5F">
        <w:rPr>
          <w:rFonts w:asciiTheme="minorHAnsi" w:hAnsiTheme="minorHAnsi" w:cstheme="minorHAnsi"/>
          <w:sz w:val="36"/>
          <w:szCs w:val="36"/>
        </w:rPr>
        <w:t>Law)</w:t>
      </w:r>
    </w:p>
    <w:p w14:paraId="3B92F37E" w14:textId="4CCC93DB" w:rsidR="00BC7DDA" w:rsidRPr="00BD6C5F" w:rsidRDefault="00BC7DDA">
      <w:pPr>
        <w:pStyle w:val="BodyText"/>
        <w:rPr>
          <w:rFonts w:asciiTheme="minorHAnsi" w:hAnsiTheme="minorHAnsi" w:cstheme="minorHAnsi"/>
          <w:b/>
        </w:rPr>
      </w:pPr>
    </w:p>
    <w:p w14:paraId="3D7C2039" w14:textId="7954C342" w:rsidR="00BC7DDA" w:rsidRPr="00BD6C5F" w:rsidRDefault="009B03E9" w:rsidP="0063557C">
      <w:pPr>
        <w:spacing w:before="100" w:after="200"/>
        <w:rPr>
          <w:rFonts w:asciiTheme="minorHAnsi" w:hAnsiTheme="minorHAnsi" w:cstheme="minorHAnsi"/>
          <w:bCs/>
          <w:iCs/>
          <w:szCs w:val="24"/>
        </w:rPr>
      </w:pPr>
      <w:r w:rsidRPr="00BD6C5F">
        <w:rPr>
          <w:rFonts w:asciiTheme="minorHAnsi" w:hAnsiTheme="minorHAnsi" w:cstheme="minorHAnsi"/>
          <w:bCs/>
          <w:iCs/>
          <w:szCs w:val="24"/>
        </w:rPr>
        <w:t xml:space="preserve">This </w:t>
      </w:r>
      <w:r w:rsidR="00540619" w:rsidRPr="00BD6C5F">
        <w:rPr>
          <w:rFonts w:asciiTheme="minorHAnsi" w:hAnsiTheme="minorHAnsi" w:cstheme="minorHAnsi"/>
          <w:bCs/>
          <w:iCs/>
          <w:szCs w:val="24"/>
        </w:rPr>
        <w:t xml:space="preserve">Contract </w:t>
      </w:r>
      <w:r w:rsidRPr="00BD6C5F">
        <w:rPr>
          <w:rFonts w:asciiTheme="minorHAnsi" w:hAnsiTheme="minorHAnsi" w:cstheme="minorHAnsi"/>
          <w:bCs/>
          <w:iCs/>
          <w:szCs w:val="24"/>
        </w:rPr>
        <w:t xml:space="preserve">is issued by the Cabinet Office and is the copyright of the Crown. You may use and re-use the information within this </w:t>
      </w:r>
      <w:r w:rsidR="00540619" w:rsidRPr="00BD6C5F">
        <w:rPr>
          <w:rFonts w:asciiTheme="minorHAnsi" w:hAnsiTheme="minorHAnsi" w:cstheme="minorHAnsi"/>
          <w:bCs/>
          <w:iCs/>
          <w:szCs w:val="24"/>
        </w:rPr>
        <w:t xml:space="preserve">Contract </w:t>
      </w:r>
      <w:r w:rsidRPr="00BD6C5F">
        <w:rPr>
          <w:rFonts w:asciiTheme="minorHAnsi" w:hAnsiTheme="minorHAnsi" w:cstheme="minorHAnsi"/>
          <w:bCs/>
          <w:iCs/>
          <w:szCs w:val="24"/>
        </w:rPr>
        <w:t xml:space="preserve">for commercial and non-commercial purposes without charge under the terms of the Open Government Licence v3.0, which is available at </w:t>
      </w:r>
      <w:hyperlink r:id="rId11">
        <w:r w:rsidRPr="00BD6C5F">
          <w:rPr>
            <w:rStyle w:val="Hyperlink"/>
            <w:rFonts w:eastAsiaTheme="majorEastAsia"/>
            <w:bCs/>
            <w:iCs/>
          </w:rPr>
          <w:t>http://www.nationalarchives.gov.uk/doc/open-government-licence/version/3/</w:t>
        </w:r>
      </w:hyperlink>
      <w:r w:rsidR="003B4494" w:rsidRPr="00BD6C5F">
        <w:rPr>
          <w:rFonts w:asciiTheme="minorHAnsi" w:hAnsiTheme="minorHAnsi" w:cstheme="minorHAnsi"/>
          <w:bCs/>
          <w:iCs/>
          <w:szCs w:val="24"/>
        </w:rPr>
        <w:t xml:space="preserve"> </w:t>
      </w:r>
      <w:r w:rsidRPr="00BD6C5F">
        <w:rPr>
          <w:rFonts w:asciiTheme="minorHAnsi" w:hAnsiTheme="minorHAnsi" w:cstheme="minorHAnsi"/>
          <w:bCs/>
          <w:iCs/>
          <w:szCs w:val="24"/>
        </w:rPr>
        <w:t xml:space="preserve">When you use any information within this </w:t>
      </w:r>
      <w:r w:rsidR="00540619" w:rsidRPr="00BD6C5F">
        <w:rPr>
          <w:rFonts w:asciiTheme="minorHAnsi" w:hAnsiTheme="minorHAnsi" w:cstheme="minorHAnsi"/>
          <w:bCs/>
          <w:iCs/>
          <w:szCs w:val="24"/>
        </w:rPr>
        <w:t>Contract</w:t>
      </w:r>
      <w:r w:rsidRPr="00BD6C5F">
        <w:rPr>
          <w:rFonts w:asciiTheme="minorHAnsi" w:hAnsiTheme="minorHAnsi" w:cstheme="minorHAnsi"/>
          <w:bCs/>
          <w:iCs/>
          <w:szCs w:val="24"/>
        </w:rPr>
        <w:t xml:space="preserve">, you should include the following attribution, </w:t>
      </w:r>
      <w:r w:rsidR="00A4555C" w:rsidRPr="00BD6C5F">
        <w:rPr>
          <w:rFonts w:asciiTheme="minorHAnsi" w:hAnsiTheme="minorHAnsi" w:cstheme="minorHAnsi"/>
          <w:bCs/>
          <w:iCs/>
          <w:szCs w:val="24"/>
        </w:rPr>
        <w:t>“</w:t>
      </w:r>
      <w:r w:rsidRPr="00BD6C5F">
        <w:rPr>
          <w:rFonts w:asciiTheme="minorHAnsi" w:hAnsiTheme="minorHAnsi" w:cstheme="minorHAnsi"/>
          <w:bCs/>
          <w:iCs/>
          <w:szCs w:val="24"/>
        </w:rPr>
        <w:t>Contains public sector information licensed under the Open Government Licence v3.0</w:t>
      </w:r>
      <w:r w:rsidR="00A4555C" w:rsidRPr="00BD6C5F">
        <w:rPr>
          <w:rFonts w:asciiTheme="minorHAnsi" w:hAnsiTheme="minorHAnsi" w:cstheme="minorHAnsi"/>
          <w:bCs/>
          <w:iCs/>
          <w:szCs w:val="24"/>
        </w:rPr>
        <w:t>”</w:t>
      </w:r>
      <w:r w:rsidRPr="00BD6C5F">
        <w:rPr>
          <w:rFonts w:asciiTheme="minorHAnsi" w:hAnsiTheme="minorHAnsi" w:cstheme="minorHAnsi"/>
          <w:bCs/>
          <w:iCs/>
          <w:szCs w:val="24"/>
        </w:rPr>
        <w:t>, and include a link to the Open Government Licence.</w:t>
      </w:r>
    </w:p>
    <w:p w14:paraId="5DED09CA" w14:textId="57C9CEF7" w:rsidR="00BC7DDA" w:rsidRPr="00BD6C5F" w:rsidRDefault="009B03E9" w:rsidP="0063557C">
      <w:pPr>
        <w:spacing w:before="100" w:after="200"/>
        <w:rPr>
          <w:rFonts w:asciiTheme="minorHAnsi" w:hAnsiTheme="minorHAnsi" w:cstheme="minorHAnsi"/>
          <w:bCs/>
          <w:iCs/>
          <w:szCs w:val="24"/>
        </w:rPr>
      </w:pPr>
      <w:r w:rsidRPr="00BD6C5F">
        <w:rPr>
          <w:rFonts w:asciiTheme="minorHAnsi" w:hAnsiTheme="minorHAnsi" w:cstheme="minorHAnsi"/>
          <w:bCs/>
          <w:iCs/>
          <w:szCs w:val="24"/>
        </w:rPr>
        <w:t xml:space="preserve">For further information on Crown copyright policy and licensing arrangements, see </w:t>
      </w:r>
      <w:hyperlink r:id="rId12" w:history="1">
        <w:r w:rsidR="00691A1A" w:rsidRPr="00BD6C5F">
          <w:rPr>
            <w:rStyle w:val="Hyperlink"/>
            <w:rFonts w:asciiTheme="minorHAnsi" w:eastAsiaTheme="majorEastAsia" w:hAnsiTheme="minorHAnsi" w:cstheme="minorHAnsi"/>
            <w:bCs/>
            <w:iCs/>
            <w:szCs w:val="24"/>
          </w:rPr>
          <w:t>UK</w:t>
        </w:r>
        <w:r w:rsidR="00953E45" w:rsidRPr="00BD6C5F">
          <w:rPr>
            <w:rStyle w:val="Hyperlink"/>
            <w:rFonts w:asciiTheme="minorHAnsi" w:eastAsiaTheme="majorEastAsia" w:hAnsiTheme="minorHAnsi" w:cstheme="minorHAnsi"/>
            <w:bCs/>
            <w:iCs/>
            <w:szCs w:val="24"/>
          </w:rPr>
          <w:t> </w:t>
        </w:r>
        <w:r w:rsidR="00691A1A" w:rsidRPr="00BD6C5F">
          <w:rPr>
            <w:rStyle w:val="Hyperlink"/>
            <w:rFonts w:asciiTheme="minorHAnsi" w:eastAsiaTheme="majorEastAsia" w:hAnsiTheme="minorHAnsi" w:cstheme="minorHAnsi"/>
            <w:bCs/>
            <w:iCs/>
            <w:szCs w:val="24"/>
          </w:rPr>
          <w:t>Government Licensing Framework - Re-using PSI (nationalarchives.gov.uk)</w:t>
        </w:r>
      </w:hyperlink>
      <w:r w:rsidR="006335B8" w:rsidRPr="00BD6C5F">
        <w:rPr>
          <w:rStyle w:val="Hyperlink"/>
          <w:rFonts w:asciiTheme="minorHAnsi" w:eastAsiaTheme="majorEastAsia" w:hAnsiTheme="minorHAnsi" w:cstheme="minorHAnsi"/>
          <w:bCs/>
          <w:iCs/>
          <w:szCs w:val="24"/>
        </w:rPr>
        <w:t xml:space="preserve"> </w:t>
      </w:r>
      <w:r w:rsidRPr="00BD6C5F">
        <w:rPr>
          <w:rFonts w:asciiTheme="minorHAnsi" w:hAnsiTheme="minorHAnsi" w:cstheme="minorHAnsi"/>
          <w:bCs/>
          <w:iCs/>
          <w:szCs w:val="24"/>
        </w:rPr>
        <w:t xml:space="preserve">or you can </w:t>
      </w:r>
      <w:r w:rsidR="00691A1A" w:rsidRPr="00BD6C5F">
        <w:rPr>
          <w:rFonts w:asciiTheme="minorHAnsi" w:hAnsiTheme="minorHAnsi" w:cstheme="minorHAnsi"/>
          <w:bCs/>
          <w:iCs/>
          <w:szCs w:val="24"/>
        </w:rPr>
        <w:t>contact</w:t>
      </w:r>
      <w:r w:rsidRPr="00BD6C5F">
        <w:rPr>
          <w:rFonts w:asciiTheme="minorHAnsi" w:hAnsiTheme="minorHAnsi" w:cstheme="minorHAnsi"/>
          <w:bCs/>
          <w:iCs/>
          <w:szCs w:val="24"/>
        </w:rPr>
        <w:t xml:space="preserve"> the Information Policy Team</w:t>
      </w:r>
      <w:r w:rsidR="00691A1A" w:rsidRPr="00BD6C5F">
        <w:rPr>
          <w:rFonts w:asciiTheme="minorHAnsi" w:hAnsiTheme="minorHAnsi" w:cstheme="minorHAnsi"/>
          <w:bCs/>
          <w:iCs/>
          <w:szCs w:val="24"/>
        </w:rPr>
        <w:t xml:space="preserve"> at</w:t>
      </w:r>
      <w:r w:rsidRPr="00BD6C5F">
        <w:rPr>
          <w:rFonts w:asciiTheme="minorHAnsi" w:hAnsiTheme="minorHAnsi" w:cstheme="minorHAnsi"/>
          <w:bCs/>
          <w:iCs/>
          <w:szCs w:val="24"/>
        </w:rPr>
        <w:t xml:space="preserve"> </w:t>
      </w:r>
      <w:hyperlink r:id="rId13" w:history="1">
        <w:r w:rsidR="00691A1A" w:rsidRPr="00BD6C5F">
          <w:rPr>
            <w:rStyle w:val="Hyperlink"/>
            <w:rFonts w:asciiTheme="minorHAnsi" w:eastAsiaTheme="majorEastAsia" w:hAnsiTheme="minorHAnsi" w:cstheme="minorHAnsi"/>
            <w:bCs/>
            <w:iCs/>
            <w:szCs w:val="24"/>
          </w:rPr>
          <w:t>Public sector information enquiry - Contact us (nationalarchives.gov.uk)</w:t>
        </w:r>
      </w:hyperlink>
      <w:r w:rsidRPr="00BD6C5F">
        <w:rPr>
          <w:rFonts w:asciiTheme="minorHAnsi" w:hAnsiTheme="minorHAnsi" w:cstheme="minorHAnsi"/>
          <w:bCs/>
          <w:iCs/>
          <w:szCs w:val="24"/>
        </w:rPr>
        <w:t>.</w:t>
      </w:r>
    </w:p>
    <w:p w14:paraId="699D777A" w14:textId="05EF8DA1" w:rsidR="00BC7DDA" w:rsidRPr="00BD6C5F" w:rsidRDefault="009B03E9" w:rsidP="0063557C">
      <w:pPr>
        <w:spacing w:before="100" w:after="200"/>
        <w:rPr>
          <w:rFonts w:asciiTheme="minorHAnsi" w:hAnsiTheme="minorHAnsi" w:cstheme="minorHAnsi"/>
          <w:b/>
          <w:szCs w:val="24"/>
        </w:rPr>
      </w:pPr>
      <w:r w:rsidRPr="00BD6C5F">
        <w:rPr>
          <w:rFonts w:asciiTheme="minorHAnsi" w:hAnsiTheme="minorHAnsi" w:cstheme="minorHAnsi"/>
          <w:b/>
          <w:szCs w:val="24"/>
        </w:rPr>
        <w:t>No warranty is given by the Cabinet Office (or any other part of the Crown) as to the completeness of this document or its suitability for any purpose. This document is intended to be used only with legal advice and all users of this document do so at their own risk.</w:t>
      </w:r>
    </w:p>
    <w:p w14:paraId="457D90A1" w14:textId="77777777" w:rsidR="00540619" w:rsidRPr="00BD6C5F" w:rsidRDefault="00540619" w:rsidP="0063557C">
      <w:pPr>
        <w:spacing w:before="100" w:after="200"/>
        <w:rPr>
          <w:rFonts w:asciiTheme="minorHAnsi" w:hAnsiTheme="minorHAnsi" w:cstheme="minorHAnsi"/>
          <w:b/>
        </w:rPr>
      </w:pPr>
      <w:r w:rsidRPr="00BD6C5F">
        <w:rPr>
          <w:rFonts w:asciiTheme="minorHAnsi" w:hAnsiTheme="minorHAnsi" w:cstheme="minorHAnsi"/>
          <w:b/>
        </w:rPr>
        <w:t>This version is suitable for use where Scottish law is to apply.</w:t>
      </w:r>
    </w:p>
    <w:p w14:paraId="73243CD2" w14:textId="77777777" w:rsidR="00BC7DDA" w:rsidRPr="00BD6C5F" w:rsidRDefault="009B03E9" w:rsidP="00814758">
      <w:pPr>
        <w:keepNext/>
        <w:spacing w:before="100" w:after="200"/>
        <w:rPr>
          <w:rFonts w:asciiTheme="minorHAnsi" w:hAnsiTheme="minorHAnsi" w:cstheme="minorHAnsi"/>
          <w:b/>
          <w:szCs w:val="24"/>
        </w:rPr>
      </w:pPr>
      <w:r w:rsidRPr="00BD6C5F">
        <w:rPr>
          <w:rFonts w:asciiTheme="minorHAnsi" w:hAnsiTheme="minorHAnsi" w:cstheme="minorHAnsi"/>
          <w:b/>
          <w:szCs w:val="24"/>
          <w:u w:val="thick"/>
        </w:rPr>
        <w:t>Amendments in this version</w:t>
      </w:r>
    </w:p>
    <w:tbl>
      <w:tblPr>
        <w:tblStyle w:val="MSATable-header"/>
        <w:tblW w:w="10205" w:type="dxa"/>
        <w:tblLayout w:type="fixed"/>
        <w:tblLook w:val="01E0" w:firstRow="1" w:lastRow="1" w:firstColumn="1" w:lastColumn="1" w:noHBand="0" w:noVBand="0"/>
      </w:tblPr>
      <w:tblGrid>
        <w:gridCol w:w="2154"/>
        <w:gridCol w:w="2268"/>
        <w:gridCol w:w="5783"/>
      </w:tblGrid>
      <w:tr w:rsidR="003E65E3" w:rsidRPr="00BD6C5F" w14:paraId="5AAAA406" w14:textId="77777777" w:rsidTr="003E65E3">
        <w:trPr>
          <w:cnfStyle w:val="100000000000" w:firstRow="1" w:lastRow="0" w:firstColumn="0" w:lastColumn="0" w:oddVBand="0" w:evenVBand="0" w:oddHBand="0" w:evenHBand="0" w:firstRowFirstColumn="0" w:firstRowLastColumn="0" w:lastRowFirstColumn="0" w:lastRowLastColumn="0"/>
          <w:trHeight w:val="57"/>
          <w:tblHeader/>
        </w:trPr>
        <w:tc>
          <w:tcPr>
            <w:tcW w:w="2154" w:type="dxa"/>
          </w:tcPr>
          <w:p w14:paraId="0012C4BC" w14:textId="46A7CB16" w:rsidR="00BC7DDA" w:rsidRPr="00BD6C5F" w:rsidRDefault="003E65E3" w:rsidP="00814758">
            <w:pPr>
              <w:pStyle w:val="Tabletext"/>
              <w:keepNext/>
              <w:rPr>
                <w:rFonts w:asciiTheme="minorHAnsi" w:hAnsiTheme="minorHAnsi" w:cstheme="minorHAnsi"/>
              </w:rPr>
            </w:pPr>
            <w:r w:rsidRPr="00BD6C5F">
              <w:rPr>
                <w:rFonts w:asciiTheme="minorHAnsi" w:hAnsiTheme="minorHAnsi" w:cstheme="minorHAnsi"/>
              </w:rPr>
              <w:t>Version number</w:t>
            </w:r>
          </w:p>
        </w:tc>
        <w:tc>
          <w:tcPr>
            <w:tcW w:w="2268" w:type="dxa"/>
          </w:tcPr>
          <w:p w14:paraId="6B120981" w14:textId="24289C6F" w:rsidR="00BC7DDA" w:rsidRPr="00BD6C5F" w:rsidRDefault="003E65E3" w:rsidP="007370CF">
            <w:pPr>
              <w:pStyle w:val="Tabletext"/>
              <w:rPr>
                <w:rFonts w:asciiTheme="minorHAnsi" w:hAnsiTheme="minorHAnsi" w:cstheme="minorHAnsi"/>
              </w:rPr>
            </w:pPr>
            <w:r w:rsidRPr="00BD6C5F">
              <w:rPr>
                <w:rFonts w:asciiTheme="minorHAnsi" w:hAnsiTheme="minorHAnsi" w:cstheme="minorHAnsi"/>
              </w:rPr>
              <w:t>Date</w:t>
            </w:r>
          </w:p>
        </w:tc>
        <w:tc>
          <w:tcPr>
            <w:tcW w:w="5783" w:type="dxa"/>
          </w:tcPr>
          <w:p w14:paraId="2E039652" w14:textId="150989EB" w:rsidR="00BC7DDA" w:rsidRPr="00BD6C5F" w:rsidRDefault="003E65E3" w:rsidP="007370CF">
            <w:pPr>
              <w:pStyle w:val="Tabletext"/>
              <w:rPr>
                <w:rFonts w:asciiTheme="minorHAnsi" w:hAnsiTheme="minorHAnsi" w:cstheme="minorHAnsi"/>
              </w:rPr>
            </w:pPr>
            <w:r w:rsidRPr="00BD6C5F">
              <w:rPr>
                <w:rFonts w:asciiTheme="minorHAnsi" w:hAnsiTheme="minorHAnsi" w:cstheme="minorHAnsi"/>
              </w:rPr>
              <w:t>Amendments</w:t>
            </w:r>
          </w:p>
        </w:tc>
      </w:tr>
      <w:tr w:rsidR="003E65E3" w:rsidRPr="00BD6C5F" w14:paraId="653C300F" w14:textId="77777777" w:rsidTr="003E65E3">
        <w:trPr>
          <w:trHeight w:val="57"/>
        </w:trPr>
        <w:tc>
          <w:tcPr>
            <w:tcW w:w="2154" w:type="dxa"/>
          </w:tcPr>
          <w:p w14:paraId="5F636B05"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1.02</w:t>
            </w:r>
          </w:p>
        </w:tc>
        <w:tc>
          <w:tcPr>
            <w:tcW w:w="2268" w:type="dxa"/>
          </w:tcPr>
          <w:p w14:paraId="040D8DCA" w14:textId="77777777" w:rsidR="00BC7DDA" w:rsidRPr="00BD6C5F" w:rsidRDefault="009B03E9" w:rsidP="003E65E3">
            <w:pPr>
              <w:pStyle w:val="StdBodyText"/>
              <w:spacing w:before="0" w:after="0"/>
              <w:rPr>
                <w:rFonts w:asciiTheme="minorHAnsi" w:hAnsiTheme="minorHAnsi" w:cstheme="minorHAnsi"/>
              </w:rPr>
            </w:pPr>
            <w:r w:rsidRPr="00BD6C5F">
              <w:rPr>
                <w:rFonts w:asciiTheme="minorHAnsi" w:hAnsiTheme="minorHAnsi" w:cstheme="minorHAnsi"/>
              </w:rPr>
              <w:t>5 June 2014</w:t>
            </w:r>
          </w:p>
        </w:tc>
        <w:tc>
          <w:tcPr>
            <w:tcW w:w="5783" w:type="dxa"/>
          </w:tcPr>
          <w:p w14:paraId="3D64F5F3" w14:textId="49818FC4" w:rsidR="00BC7DDA" w:rsidRPr="00BD6C5F" w:rsidRDefault="009B03E9" w:rsidP="003E65E3">
            <w:pPr>
              <w:pStyle w:val="StdBodyText"/>
              <w:spacing w:before="0" w:after="0"/>
              <w:rPr>
                <w:rFonts w:asciiTheme="minorHAnsi" w:hAnsiTheme="minorHAnsi" w:cstheme="minorHAnsi"/>
              </w:rPr>
            </w:pPr>
            <w:r w:rsidRPr="00BD6C5F">
              <w:rPr>
                <w:rFonts w:asciiTheme="minorHAnsi" w:hAnsiTheme="minorHAnsi" w:cstheme="minorHAnsi"/>
              </w:rPr>
              <w:t>Minor formatting changes and correcting paragraph numbering in Schedules</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Schedule_5 \h </w:instrText>
            </w:r>
            <w:r w:rsidR="00E85D73">
              <w:rPr>
                <w:rFonts w:asciiTheme="minorHAnsi" w:hAnsiTheme="minorHAnsi" w:cstheme="minorHAnsi"/>
              </w:rPr>
            </w:r>
            <w:r w:rsidR="00E85D73">
              <w:rPr>
                <w:rFonts w:asciiTheme="minorHAnsi" w:hAnsiTheme="minorHAnsi" w:cstheme="minorHAnsi"/>
              </w:rPr>
              <w:fldChar w:fldCharType="separate"/>
            </w:r>
            <w:r w:rsidR="009749A0">
              <w:t>5</w:t>
            </w:r>
            <w:r w:rsidR="00E85D73">
              <w:rPr>
                <w:rFonts w:asciiTheme="minorHAnsi" w:hAnsiTheme="minorHAnsi" w:cstheme="minorHAnsi"/>
              </w:rPr>
              <w:fldChar w:fldCharType="end"/>
            </w:r>
            <w:r w:rsidR="0092397B">
              <w:rPr>
                <w:rFonts w:asciiTheme="minorHAnsi" w:hAnsiTheme="minorHAnsi" w:cstheme="minorHAnsi"/>
              </w:rPr>
              <w:t>, Part </w:t>
            </w:r>
            <w:r w:rsidR="0092397B">
              <w:rPr>
                <w:rFonts w:asciiTheme="minorHAnsi" w:hAnsiTheme="minorHAnsi" w:cstheme="minorHAnsi"/>
              </w:rPr>
              <w:fldChar w:fldCharType="begin"/>
            </w:r>
            <w:r w:rsidR="0092397B">
              <w:rPr>
                <w:rFonts w:asciiTheme="minorHAnsi" w:hAnsiTheme="minorHAnsi" w:cstheme="minorHAnsi"/>
              </w:rPr>
              <w:instrText xml:space="preserve"> REF Schedule_5_Part_A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A</w:t>
            </w:r>
            <w:r w:rsidR="0092397B">
              <w:rPr>
                <w:rFonts w:asciiTheme="minorHAnsi" w:hAnsiTheme="minorHAnsi" w:cstheme="minorHAnsi"/>
              </w:rPr>
              <w:fldChar w:fldCharType="end"/>
            </w:r>
            <w:r w:rsidR="0092397B">
              <w:rPr>
                <w:rFonts w:asciiTheme="minorHAnsi" w:hAnsiTheme="minorHAnsi" w:cstheme="minorHAnsi"/>
              </w:rPr>
              <w:t>, 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Schedule_5_Part_A_Annex_1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1</w:t>
            </w:r>
            <w:r w:rsidR="0092397B">
              <w:rPr>
                <w:rFonts w:asciiTheme="minorHAnsi" w:hAnsiTheme="minorHAnsi" w:cstheme="minorHAnsi"/>
              </w:rPr>
              <w:fldChar w:fldCharType="end"/>
            </w:r>
            <w:r w:rsidRPr="00BD6C5F">
              <w:rPr>
                <w:rFonts w:asciiTheme="minorHAnsi" w:hAnsiTheme="minorHAnsi" w:cstheme="minorHAnsi"/>
              </w:rPr>
              <w:t xml:space="preserve"> and</w:t>
            </w:r>
            <w:r w:rsidR="00AB1F84" w:rsidRPr="00BD6C5F">
              <w:rPr>
                <w:rFonts w:asciiTheme="minorHAnsi" w:hAnsiTheme="minorHAnsi" w:cstheme="minorHAnsi"/>
              </w:rPr>
              <w:t> </w:t>
            </w:r>
            <w:r w:rsidR="008116DB" w:rsidRPr="00BD6C5F">
              <w:rPr>
                <w:rFonts w:asciiTheme="minorHAnsi" w:hAnsiTheme="minorHAnsi" w:cstheme="minorHAnsi"/>
              </w:rPr>
              <w:t>Schedule</w:t>
            </w:r>
            <w:r w:rsidR="00E069EA"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Schedule_5 \h </w:instrText>
            </w:r>
            <w:r w:rsidR="00E85D73">
              <w:rPr>
                <w:rFonts w:asciiTheme="minorHAnsi" w:hAnsiTheme="minorHAnsi" w:cstheme="minorHAnsi"/>
              </w:rPr>
            </w:r>
            <w:r w:rsidR="00E85D73">
              <w:rPr>
                <w:rFonts w:asciiTheme="minorHAnsi" w:hAnsiTheme="minorHAnsi" w:cstheme="minorHAnsi"/>
              </w:rPr>
              <w:fldChar w:fldCharType="separate"/>
            </w:r>
            <w:r w:rsidR="009749A0">
              <w:t>5</w:t>
            </w:r>
            <w:r w:rsidR="00E85D73">
              <w:rPr>
                <w:rFonts w:asciiTheme="minorHAnsi" w:hAnsiTheme="minorHAnsi" w:cstheme="minorHAnsi"/>
              </w:rPr>
              <w:fldChar w:fldCharType="end"/>
            </w:r>
            <w:r w:rsidR="0092397B">
              <w:rPr>
                <w:rFonts w:asciiTheme="minorHAnsi" w:hAnsiTheme="minorHAnsi" w:cstheme="minorHAnsi"/>
              </w:rPr>
              <w:t>, Part </w:t>
            </w:r>
            <w:r w:rsidR="0092397B">
              <w:rPr>
                <w:rFonts w:asciiTheme="minorHAnsi" w:hAnsiTheme="minorHAnsi" w:cstheme="minorHAnsi"/>
              </w:rPr>
              <w:fldChar w:fldCharType="begin"/>
            </w:r>
            <w:r w:rsidR="0092397B">
              <w:rPr>
                <w:rFonts w:asciiTheme="minorHAnsi" w:hAnsiTheme="minorHAnsi" w:cstheme="minorHAnsi"/>
              </w:rPr>
              <w:instrText xml:space="preserve"> REF Schedule_5_Part_A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A</w:t>
            </w:r>
            <w:r w:rsidR="0092397B">
              <w:rPr>
                <w:rFonts w:asciiTheme="minorHAnsi" w:hAnsiTheme="minorHAnsi" w:cstheme="minorHAnsi"/>
              </w:rPr>
              <w:fldChar w:fldCharType="end"/>
            </w:r>
            <w:r w:rsidR="0092397B">
              <w:rPr>
                <w:rFonts w:asciiTheme="minorHAnsi" w:hAnsiTheme="minorHAnsi" w:cstheme="minorHAnsi"/>
              </w:rPr>
              <w:t>, 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Schedule_5_Part_A_Annex_2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2</w:t>
            </w:r>
            <w:r w:rsidR="0092397B">
              <w:rPr>
                <w:rFonts w:asciiTheme="minorHAnsi" w:hAnsiTheme="minorHAnsi" w:cstheme="minorHAnsi"/>
              </w:rPr>
              <w:fldChar w:fldCharType="end"/>
            </w:r>
            <w:r w:rsidRPr="00BD6C5F">
              <w:rPr>
                <w:rFonts w:asciiTheme="minorHAnsi" w:hAnsiTheme="minorHAnsi" w:cstheme="minorHAnsi"/>
              </w:rPr>
              <w:t>.</w:t>
            </w:r>
          </w:p>
        </w:tc>
      </w:tr>
      <w:tr w:rsidR="003E65E3" w:rsidRPr="00BD6C5F" w14:paraId="791168F0" w14:textId="77777777" w:rsidTr="003E65E3">
        <w:trPr>
          <w:trHeight w:val="57"/>
        </w:trPr>
        <w:tc>
          <w:tcPr>
            <w:tcW w:w="2154" w:type="dxa"/>
          </w:tcPr>
          <w:p w14:paraId="510CA5E9"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1.03</w:t>
            </w:r>
          </w:p>
        </w:tc>
        <w:tc>
          <w:tcPr>
            <w:tcW w:w="2268" w:type="dxa"/>
          </w:tcPr>
          <w:p w14:paraId="6D45BC26"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5 November 2015</w:t>
            </w:r>
          </w:p>
        </w:tc>
        <w:tc>
          <w:tcPr>
            <w:tcW w:w="5783" w:type="dxa"/>
          </w:tcPr>
          <w:p w14:paraId="428B6794" w14:textId="088EFF8B"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Schedule</w:t>
            </w:r>
            <w:r w:rsidR="003F64DB"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Schedule_1 \h </w:instrText>
            </w:r>
            <w:r w:rsidR="00E85D73">
              <w:rPr>
                <w:rFonts w:asciiTheme="minorHAnsi" w:hAnsiTheme="minorHAnsi" w:cstheme="minorHAnsi"/>
              </w:rPr>
            </w:r>
            <w:r w:rsidR="00E85D73">
              <w:rPr>
                <w:rFonts w:asciiTheme="minorHAnsi" w:hAnsiTheme="minorHAnsi" w:cstheme="minorHAnsi"/>
              </w:rPr>
              <w:fldChar w:fldCharType="separate"/>
            </w:r>
            <w:r w:rsidR="009749A0" w:rsidRPr="00175B22">
              <w:t>1</w:t>
            </w:r>
            <w:r w:rsidR="00E85D73">
              <w:rPr>
                <w:rFonts w:asciiTheme="minorHAnsi" w:hAnsiTheme="minorHAnsi" w:cstheme="minorHAnsi"/>
              </w:rPr>
              <w:fldChar w:fldCharType="end"/>
            </w:r>
            <w:r w:rsidR="003F64DB" w:rsidRPr="00BD6C5F">
              <w:rPr>
                <w:rFonts w:asciiTheme="minorHAnsi" w:hAnsiTheme="minorHAnsi" w:cstheme="minorHAnsi"/>
              </w:rPr>
              <w:t xml:space="preserve"> </w:t>
            </w:r>
            <w:r w:rsidRPr="00BD6C5F">
              <w:rPr>
                <w:rFonts w:asciiTheme="minorHAnsi" w:hAnsiTheme="minorHAnsi" w:cstheme="minorHAnsi"/>
              </w:rPr>
              <w:t>definitions of Availability and Service Availability; Schedule</w:t>
            </w:r>
            <w:r w:rsidR="004618D3"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Schedule_5 \h </w:instrText>
            </w:r>
            <w:r w:rsidR="00D12BB9">
              <w:rPr>
                <w:rFonts w:asciiTheme="minorHAnsi" w:hAnsiTheme="minorHAnsi" w:cstheme="minorHAnsi"/>
              </w:rPr>
            </w:r>
            <w:r w:rsidR="00D12BB9">
              <w:rPr>
                <w:rFonts w:asciiTheme="minorHAnsi" w:hAnsiTheme="minorHAnsi" w:cstheme="minorHAnsi"/>
              </w:rPr>
              <w:fldChar w:fldCharType="separate"/>
            </w:r>
            <w:r w:rsidR="009749A0">
              <w:t>5</w:t>
            </w:r>
            <w:r w:rsidR="00D12BB9">
              <w:rPr>
                <w:rFonts w:asciiTheme="minorHAnsi" w:hAnsiTheme="minorHAnsi" w:cstheme="minorHAnsi"/>
              </w:rPr>
              <w:fldChar w:fldCharType="end"/>
            </w:r>
            <w:r w:rsidRPr="00BD6C5F">
              <w:rPr>
                <w:rFonts w:asciiTheme="minorHAnsi" w:hAnsiTheme="minorHAnsi" w:cstheme="minorHAnsi"/>
              </w:rPr>
              <w:t xml:space="preserve"> new definitions in Security Management Schedule; </w:t>
            </w:r>
            <w:r w:rsidR="00ED6434" w:rsidRPr="00BD6C5F">
              <w:rPr>
                <w:rFonts w:asciiTheme="minorHAnsi" w:hAnsiTheme="minorHAnsi" w:cstheme="minorHAnsi"/>
              </w:rPr>
              <w:t>Schedule </w:t>
            </w:r>
            <w:r w:rsidR="00E35E0A" w:rsidRPr="00BD6C5F">
              <w:rPr>
                <w:rFonts w:asciiTheme="minorHAnsi" w:hAnsiTheme="minorHAnsi" w:cstheme="minorHAnsi"/>
              </w:rPr>
              <w:t>23</w:t>
            </w:r>
            <w:r w:rsidR="00ED6434" w:rsidRPr="00BD6C5F">
              <w:rPr>
                <w:rFonts w:asciiTheme="minorHAnsi" w:hAnsiTheme="minorHAnsi" w:cstheme="minorHAnsi"/>
              </w:rPr>
              <w:t xml:space="preserve"> </w:t>
            </w:r>
            <w:r w:rsidRPr="00BD6C5F">
              <w:rPr>
                <w:rFonts w:asciiTheme="minorHAnsi" w:hAnsiTheme="minorHAnsi" w:cstheme="minorHAnsi"/>
              </w:rPr>
              <w:t>model mediation agreement; Schedule</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Schedule_25 \h </w:instrText>
            </w:r>
            <w:r w:rsidR="00E85D73">
              <w:rPr>
                <w:rFonts w:asciiTheme="minorHAnsi" w:hAnsiTheme="minorHAnsi" w:cstheme="minorHAnsi"/>
              </w:rPr>
            </w:r>
            <w:r w:rsidR="00E85D73">
              <w:rPr>
                <w:rFonts w:asciiTheme="minorHAnsi" w:hAnsiTheme="minorHAnsi" w:cstheme="minorHAnsi"/>
              </w:rPr>
              <w:fldChar w:fldCharType="separate"/>
            </w:r>
            <w:r w:rsidR="009749A0">
              <w:t>25</w:t>
            </w:r>
            <w:r w:rsidR="00E85D73">
              <w:rPr>
                <w:rFonts w:asciiTheme="minorHAnsi" w:hAnsiTheme="minorHAnsi" w:cstheme="minorHAnsi"/>
              </w:rPr>
              <w:fldChar w:fldCharType="end"/>
            </w:r>
            <w:r w:rsidRPr="00BD6C5F">
              <w:rPr>
                <w:rFonts w:asciiTheme="minorHAnsi" w:hAnsiTheme="minorHAnsi" w:cstheme="minorHAnsi"/>
              </w:rPr>
              <w:t xml:space="preserve"> para </w:t>
            </w:r>
            <w:r w:rsidR="00ED6434" w:rsidRPr="00BD6C5F">
              <w:rPr>
                <w:rFonts w:asciiTheme="minorHAnsi" w:hAnsiTheme="minorHAnsi" w:cstheme="minorHAnsi"/>
              </w:rPr>
              <w:fldChar w:fldCharType="begin"/>
            </w:r>
            <w:r w:rsidR="00ED6434" w:rsidRPr="00BD6C5F">
              <w:rPr>
                <w:rFonts w:asciiTheme="minorHAnsi" w:hAnsiTheme="minorHAnsi" w:cstheme="minorHAnsi"/>
              </w:rPr>
              <w:instrText xml:space="preserve"> REF _Ref98241632 \w \h </w:instrText>
            </w:r>
            <w:r w:rsidR="00A75BDC" w:rsidRPr="00BD6C5F">
              <w:rPr>
                <w:rFonts w:asciiTheme="minorHAnsi" w:hAnsiTheme="minorHAnsi" w:cstheme="minorHAnsi"/>
              </w:rPr>
              <w:instrText xml:space="preserve"> \* MERGEFORMAT </w:instrText>
            </w:r>
            <w:r w:rsidR="00ED6434" w:rsidRPr="00BD6C5F">
              <w:rPr>
                <w:rFonts w:asciiTheme="minorHAnsi" w:hAnsiTheme="minorHAnsi" w:cstheme="minorHAnsi"/>
              </w:rPr>
            </w:r>
            <w:r w:rsidR="00ED6434" w:rsidRPr="00BD6C5F">
              <w:rPr>
                <w:rFonts w:asciiTheme="minorHAnsi" w:hAnsiTheme="minorHAnsi" w:cstheme="minorHAnsi"/>
              </w:rPr>
              <w:fldChar w:fldCharType="separate"/>
            </w:r>
            <w:r w:rsidR="009749A0">
              <w:rPr>
                <w:rFonts w:asciiTheme="minorHAnsi" w:hAnsiTheme="minorHAnsi" w:cstheme="minorHAnsi"/>
              </w:rPr>
              <w:t>7.5</w:t>
            </w:r>
            <w:r w:rsidR="00ED6434" w:rsidRPr="00BD6C5F">
              <w:rPr>
                <w:rFonts w:asciiTheme="minorHAnsi" w:hAnsiTheme="minorHAnsi" w:cstheme="minorHAnsi"/>
              </w:rPr>
              <w:fldChar w:fldCharType="end"/>
            </w:r>
            <w:r w:rsidRPr="00BD6C5F">
              <w:rPr>
                <w:rFonts w:asciiTheme="minorHAnsi" w:hAnsiTheme="minorHAnsi" w:cstheme="minorHAnsi"/>
              </w:rPr>
              <w:t xml:space="preserve"> to allow normal recruitment; Schedule</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Schedule_28 \h </w:instrText>
            </w:r>
            <w:r w:rsidR="00E85D73">
              <w:rPr>
                <w:rFonts w:asciiTheme="minorHAnsi" w:hAnsiTheme="minorHAnsi" w:cstheme="minorHAnsi"/>
              </w:rPr>
            </w:r>
            <w:r w:rsidR="00E85D73">
              <w:rPr>
                <w:rFonts w:asciiTheme="minorHAnsi" w:hAnsiTheme="minorHAnsi" w:cstheme="minorHAnsi"/>
              </w:rPr>
              <w:fldChar w:fldCharType="separate"/>
            </w:r>
            <w:r w:rsidR="009749A0">
              <w:t>28</w:t>
            </w:r>
            <w:r w:rsidR="00E85D73">
              <w:rPr>
                <w:rFonts w:asciiTheme="minorHAnsi" w:hAnsiTheme="minorHAnsi" w:cstheme="minorHAnsi"/>
              </w:rPr>
              <w:fldChar w:fldCharType="end"/>
            </w:r>
            <w:r w:rsidR="00671797" w:rsidRPr="00BD6C5F">
              <w:rPr>
                <w:rFonts w:asciiTheme="minorHAnsi" w:hAnsiTheme="minorHAnsi" w:cstheme="minorHAnsi"/>
              </w:rPr>
              <w:t xml:space="preserve"> </w:t>
            </w:r>
            <w:r w:rsidRPr="00BD6C5F">
              <w:rPr>
                <w:rFonts w:asciiTheme="minorHAnsi" w:hAnsiTheme="minorHAnsi" w:cstheme="minorHAnsi"/>
              </w:rPr>
              <w:t>Pensions Annexes additions in event Admission Agreement breached; various</w:t>
            </w:r>
            <w:r w:rsidR="00EB610D" w:rsidRPr="00BD6C5F">
              <w:rPr>
                <w:rFonts w:asciiTheme="minorHAnsi" w:hAnsiTheme="minorHAnsi" w:cstheme="minorHAnsi"/>
              </w:rPr>
              <w:t xml:space="preserve"> </w:t>
            </w:r>
            <w:r w:rsidRPr="00BD6C5F">
              <w:rPr>
                <w:rFonts w:asciiTheme="minorHAnsi" w:hAnsiTheme="minorHAnsi" w:cstheme="minorHAnsi"/>
              </w:rPr>
              <w:t>minor typing corrections; improved</w:t>
            </w:r>
            <w:r w:rsidR="00ED6434" w:rsidRPr="00BD6C5F">
              <w:rPr>
                <w:rFonts w:asciiTheme="minorHAnsi" w:hAnsiTheme="minorHAnsi" w:cstheme="minorHAnsi"/>
              </w:rPr>
              <w:t xml:space="preserve"> numbering and headings in Schedules.</w:t>
            </w:r>
          </w:p>
        </w:tc>
      </w:tr>
      <w:tr w:rsidR="003E65E3" w:rsidRPr="00BD6C5F" w14:paraId="1211AF1D" w14:textId="77777777" w:rsidTr="003E65E3">
        <w:trPr>
          <w:trHeight w:val="57"/>
        </w:trPr>
        <w:tc>
          <w:tcPr>
            <w:tcW w:w="2154" w:type="dxa"/>
          </w:tcPr>
          <w:p w14:paraId="44E5F5F4"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lastRenderedPageBreak/>
              <w:t>Version 1.04</w:t>
            </w:r>
          </w:p>
        </w:tc>
        <w:tc>
          <w:tcPr>
            <w:tcW w:w="2268" w:type="dxa"/>
          </w:tcPr>
          <w:p w14:paraId="4519796B"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26 May 2016</w:t>
            </w:r>
          </w:p>
        </w:tc>
        <w:tc>
          <w:tcPr>
            <w:tcW w:w="5783" w:type="dxa"/>
          </w:tcPr>
          <w:p w14:paraId="7D53C74C" w14:textId="50D90804"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Schedule</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Schedule_23 \h </w:instrText>
            </w:r>
            <w:r w:rsidR="00E85D73">
              <w:rPr>
                <w:rFonts w:asciiTheme="minorHAnsi" w:hAnsiTheme="minorHAnsi" w:cstheme="minorHAnsi"/>
              </w:rPr>
            </w:r>
            <w:r w:rsidR="00E85D73">
              <w:rPr>
                <w:rFonts w:asciiTheme="minorHAnsi" w:hAnsiTheme="minorHAnsi" w:cstheme="minorHAnsi"/>
              </w:rPr>
              <w:fldChar w:fldCharType="separate"/>
            </w:r>
            <w:r w:rsidR="009749A0">
              <w:t>23</w:t>
            </w:r>
            <w:r w:rsidR="00E85D73">
              <w:rPr>
                <w:rFonts w:asciiTheme="minorHAnsi" w:hAnsiTheme="minorHAnsi" w:cstheme="minorHAnsi"/>
              </w:rPr>
              <w:fldChar w:fldCharType="end"/>
            </w:r>
            <w:r w:rsidR="00E35E0A" w:rsidRPr="00BD6C5F">
              <w:rPr>
                <w:rFonts w:asciiTheme="minorHAnsi" w:hAnsiTheme="minorHAnsi" w:cstheme="minorHAnsi"/>
              </w:rPr>
              <w:t xml:space="preserve"> </w:t>
            </w:r>
            <w:r w:rsidRPr="00BD6C5F">
              <w:rPr>
                <w:rFonts w:asciiTheme="minorHAnsi" w:hAnsiTheme="minorHAnsi" w:cstheme="minorHAnsi"/>
              </w:rPr>
              <w:t>minor amendments; Schedule</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Schedule_24 \h </w:instrText>
            </w:r>
            <w:r w:rsidR="00E85D73">
              <w:rPr>
                <w:rFonts w:asciiTheme="minorHAnsi" w:hAnsiTheme="minorHAnsi" w:cstheme="minorHAnsi"/>
              </w:rPr>
            </w:r>
            <w:r w:rsidR="00E85D73">
              <w:rPr>
                <w:rFonts w:asciiTheme="minorHAnsi" w:hAnsiTheme="minorHAnsi" w:cstheme="minorHAnsi"/>
              </w:rPr>
              <w:fldChar w:fldCharType="separate"/>
            </w:r>
            <w:r w:rsidR="009749A0">
              <w:t>24</w:t>
            </w:r>
            <w:r w:rsidR="00E85D73">
              <w:rPr>
                <w:rFonts w:asciiTheme="minorHAnsi" w:hAnsiTheme="minorHAnsi" w:cstheme="minorHAnsi"/>
              </w:rPr>
              <w:fldChar w:fldCharType="end"/>
            </w:r>
            <w:r w:rsidRPr="00BD6C5F">
              <w:rPr>
                <w:rFonts w:asciiTheme="minorHAnsi" w:hAnsiTheme="minorHAnsi" w:cstheme="minorHAnsi"/>
              </w:rPr>
              <w:t xml:space="preserve"> addition of Transparency Reports; other minor amendments.</w:t>
            </w:r>
          </w:p>
        </w:tc>
      </w:tr>
      <w:tr w:rsidR="003E65E3" w:rsidRPr="00BD6C5F" w14:paraId="5DE96430" w14:textId="77777777" w:rsidTr="003E65E3">
        <w:trPr>
          <w:trHeight w:val="57"/>
        </w:trPr>
        <w:tc>
          <w:tcPr>
            <w:tcW w:w="2154" w:type="dxa"/>
          </w:tcPr>
          <w:p w14:paraId="4B77B2CB"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1.05</w:t>
            </w:r>
          </w:p>
        </w:tc>
        <w:tc>
          <w:tcPr>
            <w:tcW w:w="2268" w:type="dxa"/>
          </w:tcPr>
          <w:p w14:paraId="4A12E59F"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1 January 2018</w:t>
            </w:r>
          </w:p>
        </w:tc>
        <w:tc>
          <w:tcPr>
            <w:tcW w:w="5783" w:type="dxa"/>
          </w:tcPr>
          <w:p w14:paraId="51FFD05D" w14:textId="09D461A9"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Introduction of Privacy Shield; minor corrections; improvements to clauses</w:t>
            </w:r>
            <w:r w:rsidR="000378D2" w:rsidRPr="00BD6C5F">
              <w:rPr>
                <w:rFonts w:asciiTheme="minorHAnsi" w:hAnsiTheme="minorHAnsi" w:cstheme="minorHAnsi"/>
              </w:rPr>
              <w:t> </w:t>
            </w:r>
            <w:r w:rsidRPr="00BD6C5F">
              <w:rPr>
                <w:rFonts w:asciiTheme="minorHAnsi" w:hAnsiTheme="minorHAnsi" w:cstheme="minorHAnsi"/>
              </w:rPr>
              <w:t>16,</w:t>
            </w:r>
            <w:r w:rsidR="00814758">
              <w:rPr>
                <w:rFonts w:asciiTheme="minorHAnsi" w:hAnsiTheme="minorHAnsi" w:cstheme="minorHAnsi"/>
              </w:rPr>
              <w:t xml:space="preserve"> </w:t>
            </w:r>
            <w:r w:rsidRPr="00BD6C5F">
              <w:rPr>
                <w:rFonts w:asciiTheme="minorHAnsi" w:hAnsiTheme="minorHAnsi" w:cstheme="minorHAnsi"/>
              </w:rPr>
              <w:t>17 and 19A and to Schedule</w:t>
            </w:r>
            <w:r w:rsidR="00ED6434" w:rsidRPr="00BD6C5F">
              <w:rPr>
                <w:rFonts w:asciiTheme="minorHAnsi" w:hAnsiTheme="minorHAnsi" w:cstheme="minorHAnsi"/>
              </w:rPr>
              <w:t> </w:t>
            </w:r>
            <w:r w:rsidR="00071CC3">
              <w:rPr>
                <w:rFonts w:asciiTheme="minorHAnsi" w:hAnsiTheme="minorHAnsi" w:cstheme="minorHAnsi"/>
              </w:rPr>
              <w:fldChar w:fldCharType="begin"/>
            </w:r>
            <w:r w:rsidR="00071CC3">
              <w:rPr>
                <w:rFonts w:asciiTheme="minorHAnsi" w:hAnsiTheme="minorHAnsi" w:cstheme="minorHAnsi"/>
              </w:rPr>
              <w:instrText xml:space="preserve"> REF Schedule_28 \h </w:instrText>
            </w:r>
            <w:r w:rsidR="00071CC3">
              <w:rPr>
                <w:rFonts w:asciiTheme="minorHAnsi" w:hAnsiTheme="minorHAnsi" w:cstheme="minorHAnsi"/>
              </w:rPr>
            </w:r>
            <w:r w:rsidR="00071CC3">
              <w:rPr>
                <w:rFonts w:asciiTheme="minorHAnsi" w:hAnsiTheme="minorHAnsi" w:cstheme="minorHAnsi"/>
              </w:rPr>
              <w:fldChar w:fldCharType="separate"/>
            </w:r>
            <w:r w:rsidR="009749A0">
              <w:t>28</w:t>
            </w:r>
            <w:r w:rsidR="00071CC3">
              <w:rPr>
                <w:rFonts w:asciiTheme="minorHAnsi" w:hAnsiTheme="minorHAnsi" w:cstheme="minorHAnsi"/>
              </w:rPr>
              <w:fldChar w:fldCharType="end"/>
            </w:r>
            <w:r w:rsidRPr="00BD6C5F">
              <w:rPr>
                <w:rFonts w:asciiTheme="minorHAnsi" w:hAnsiTheme="minorHAnsi" w:cstheme="minorHAnsi"/>
              </w:rPr>
              <w:t xml:space="preserve">; introduction of e- invoicing in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E</w:t>
            </w:r>
            <w:r w:rsidR="00C101F7">
              <w:rPr>
                <w:rFonts w:asciiTheme="minorHAnsi" w:hAnsiTheme="minorHAnsi" w:cstheme="minorHAnsi"/>
              </w:rPr>
              <w:fldChar w:fldCharType="end"/>
            </w:r>
            <w:r w:rsidR="00C101F7">
              <w:rPr>
                <w:rFonts w:asciiTheme="minorHAnsi" w:hAnsiTheme="minorHAnsi" w:cstheme="minorHAnsi"/>
              </w:rPr>
              <w:t xml:space="preserve"> of </w:t>
            </w:r>
            <w:r w:rsidRPr="00BD6C5F">
              <w:rPr>
                <w:rFonts w:asciiTheme="minorHAnsi" w:hAnsiTheme="minorHAnsi" w:cstheme="minorHAnsi"/>
              </w:rPr>
              <w:t>Schedule</w:t>
            </w:r>
            <w:r w:rsidR="00ED6434"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Schedule_15 \h </w:instrText>
            </w:r>
            <w:r w:rsidR="00E85D73">
              <w:rPr>
                <w:rFonts w:asciiTheme="minorHAnsi" w:hAnsiTheme="minorHAnsi" w:cstheme="minorHAnsi"/>
              </w:rPr>
            </w:r>
            <w:r w:rsidR="00E85D73">
              <w:rPr>
                <w:rFonts w:asciiTheme="minorHAnsi" w:hAnsiTheme="minorHAnsi" w:cstheme="minorHAnsi"/>
              </w:rPr>
              <w:fldChar w:fldCharType="separate"/>
            </w:r>
            <w:r w:rsidR="009749A0">
              <w:t>15</w:t>
            </w:r>
            <w:r w:rsidR="00E85D73">
              <w:rPr>
                <w:rFonts w:asciiTheme="minorHAnsi" w:hAnsiTheme="minorHAnsi" w:cstheme="minorHAnsi"/>
              </w:rPr>
              <w:fldChar w:fldCharType="end"/>
            </w:r>
            <w:r w:rsidRPr="00BD6C5F">
              <w:rPr>
                <w:rFonts w:asciiTheme="minorHAnsi" w:hAnsiTheme="minorHAnsi" w:cstheme="minorHAnsi"/>
              </w:rPr>
              <w:t>; front cover amended to reflect open government licence terms.</w:t>
            </w:r>
          </w:p>
        </w:tc>
      </w:tr>
      <w:tr w:rsidR="003E65E3" w:rsidRPr="00BD6C5F" w14:paraId="597C795A" w14:textId="77777777" w:rsidTr="003E65E3">
        <w:trPr>
          <w:trHeight w:val="57"/>
        </w:trPr>
        <w:tc>
          <w:tcPr>
            <w:tcW w:w="2154" w:type="dxa"/>
          </w:tcPr>
          <w:p w14:paraId="5DB56E8F"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1.06</w:t>
            </w:r>
          </w:p>
        </w:tc>
        <w:tc>
          <w:tcPr>
            <w:tcW w:w="2268" w:type="dxa"/>
          </w:tcPr>
          <w:p w14:paraId="145F5E16"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30 July 2018</w:t>
            </w:r>
          </w:p>
        </w:tc>
        <w:tc>
          <w:tcPr>
            <w:tcW w:w="5783" w:type="dxa"/>
          </w:tcPr>
          <w:p w14:paraId="29A92851" w14:textId="02F61FF4"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 xml:space="preserve">Update to </w:t>
            </w:r>
            <w:r w:rsidR="00FF2A19" w:rsidRPr="00BD6C5F">
              <w:rPr>
                <w:rFonts w:asciiTheme="minorHAnsi" w:hAnsiTheme="minorHAnsi" w:cstheme="minorHAnsi"/>
              </w:rPr>
              <w:t>Schedule</w:t>
            </w:r>
            <w:r w:rsidR="00AC3A15"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Schedule_5 \h </w:instrText>
            </w:r>
            <w:r w:rsidR="00E85D73">
              <w:rPr>
                <w:rFonts w:asciiTheme="minorHAnsi" w:hAnsiTheme="minorHAnsi" w:cstheme="minorHAnsi"/>
              </w:rPr>
            </w:r>
            <w:r w:rsidR="00E85D73">
              <w:rPr>
                <w:rFonts w:asciiTheme="minorHAnsi" w:hAnsiTheme="minorHAnsi" w:cstheme="minorHAnsi"/>
              </w:rPr>
              <w:fldChar w:fldCharType="separate"/>
            </w:r>
            <w:r w:rsidR="009749A0">
              <w:t>5</w:t>
            </w:r>
            <w:r w:rsidR="00E85D73">
              <w:rPr>
                <w:rFonts w:asciiTheme="minorHAnsi" w:hAnsiTheme="minorHAnsi" w:cstheme="minorHAnsi"/>
              </w:rPr>
              <w:fldChar w:fldCharType="end"/>
            </w:r>
            <w:r w:rsidR="00FF2A19" w:rsidRPr="00BD6C5F">
              <w:rPr>
                <w:rFonts w:asciiTheme="minorHAnsi" w:hAnsiTheme="minorHAnsi" w:cstheme="minorHAnsi"/>
              </w:rPr>
              <w:t xml:space="preserve"> </w:t>
            </w:r>
            <w:r w:rsidRPr="00BD6C5F">
              <w:rPr>
                <w:rFonts w:asciiTheme="minorHAnsi" w:hAnsiTheme="minorHAnsi" w:cstheme="minorHAnsi"/>
              </w:rPr>
              <w:t>(</w:t>
            </w:r>
            <w:r w:rsidRPr="00BF1AD5">
              <w:rPr>
                <w:rFonts w:asciiTheme="minorHAnsi" w:hAnsiTheme="minorHAnsi" w:cstheme="minorHAnsi"/>
                <w:i/>
              </w:rPr>
              <w:t>Security Management</w:t>
            </w:r>
            <w:r w:rsidRPr="00BD6C5F">
              <w:rPr>
                <w:rFonts w:asciiTheme="minorHAnsi" w:hAnsiTheme="minorHAnsi" w:cstheme="minorHAnsi"/>
              </w:rPr>
              <w:t xml:space="preserve">), </w:t>
            </w:r>
            <w:r w:rsidR="00C80B2C">
              <w:rPr>
                <w:rFonts w:asciiTheme="minorHAnsi" w:hAnsiTheme="minorHAnsi" w:cstheme="minorHAnsi"/>
              </w:rPr>
              <w:t>Schedule </w:t>
            </w:r>
            <w:r w:rsidR="00E85D73">
              <w:rPr>
                <w:rFonts w:asciiTheme="minorHAnsi" w:hAnsiTheme="minorHAnsi" w:cstheme="minorHAnsi"/>
              </w:rPr>
              <w:fldChar w:fldCharType="begin"/>
            </w:r>
            <w:r w:rsidR="00E85D73">
              <w:rPr>
                <w:rFonts w:asciiTheme="minorHAnsi" w:hAnsiTheme="minorHAnsi" w:cstheme="minorHAnsi"/>
              </w:rPr>
              <w:instrText xml:space="preserve"> REF Schedule_28 \h </w:instrText>
            </w:r>
            <w:r w:rsidR="00E85D73">
              <w:rPr>
                <w:rFonts w:asciiTheme="minorHAnsi" w:hAnsiTheme="minorHAnsi" w:cstheme="minorHAnsi"/>
              </w:rPr>
            </w:r>
            <w:r w:rsidR="00E85D73">
              <w:rPr>
                <w:rFonts w:asciiTheme="minorHAnsi" w:hAnsiTheme="minorHAnsi" w:cstheme="minorHAnsi"/>
              </w:rPr>
              <w:fldChar w:fldCharType="separate"/>
            </w:r>
            <w:r w:rsidR="009749A0">
              <w:t>28</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Staff Transfer</w:t>
            </w:r>
            <w:r w:rsidRPr="00BD6C5F">
              <w:rPr>
                <w:rFonts w:asciiTheme="minorHAnsi" w:hAnsiTheme="minorHAnsi" w:cstheme="minorHAnsi"/>
              </w:rPr>
              <w:t>) including new Pensions Provisions for LGPS and NHS, Schedule</w:t>
            </w:r>
            <w:r w:rsidR="00AC3A15"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Schedule_31 \h </w:instrText>
            </w:r>
            <w:r w:rsidR="00E85D73">
              <w:rPr>
                <w:rFonts w:asciiTheme="minorHAnsi" w:hAnsiTheme="minorHAnsi" w:cstheme="minorHAnsi"/>
              </w:rPr>
            </w:r>
            <w:r w:rsidR="00E85D73">
              <w:rPr>
                <w:rFonts w:asciiTheme="minorHAnsi" w:hAnsiTheme="minorHAnsi" w:cstheme="minorHAnsi"/>
              </w:rPr>
              <w:fldChar w:fldCharType="separate"/>
            </w:r>
            <w:r w:rsidR="009749A0">
              <w:t>31</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Processing Personal Data</w:t>
            </w:r>
            <w:r w:rsidRPr="00BD6C5F">
              <w:rPr>
                <w:rFonts w:asciiTheme="minorHAnsi" w:hAnsiTheme="minorHAnsi" w:cstheme="minorHAnsi"/>
              </w:rPr>
              <w:t>).</w:t>
            </w:r>
          </w:p>
        </w:tc>
      </w:tr>
      <w:tr w:rsidR="003E65E3" w:rsidRPr="00BD6C5F" w14:paraId="5535B38B" w14:textId="77777777" w:rsidTr="003E65E3">
        <w:trPr>
          <w:trHeight w:val="57"/>
        </w:trPr>
        <w:tc>
          <w:tcPr>
            <w:tcW w:w="2154" w:type="dxa"/>
          </w:tcPr>
          <w:p w14:paraId="174847F1"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1.07</w:t>
            </w:r>
          </w:p>
        </w:tc>
        <w:tc>
          <w:tcPr>
            <w:tcW w:w="2268" w:type="dxa"/>
          </w:tcPr>
          <w:p w14:paraId="4AFC9EA6"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24 January 2019</w:t>
            </w:r>
          </w:p>
        </w:tc>
        <w:tc>
          <w:tcPr>
            <w:tcW w:w="5783" w:type="dxa"/>
          </w:tcPr>
          <w:p w14:paraId="585F25B0" w14:textId="5C7F412E"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Update to Schedule</w:t>
            </w:r>
            <w:r w:rsidR="00AC3A15"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Schedule_31 \h </w:instrText>
            </w:r>
            <w:r w:rsidR="00E85D73">
              <w:rPr>
                <w:rFonts w:asciiTheme="minorHAnsi" w:hAnsiTheme="minorHAnsi" w:cstheme="minorHAnsi"/>
              </w:rPr>
            </w:r>
            <w:r w:rsidR="00E85D73">
              <w:rPr>
                <w:rFonts w:asciiTheme="minorHAnsi" w:hAnsiTheme="minorHAnsi" w:cstheme="minorHAnsi"/>
              </w:rPr>
              <w:fldChar w:fldCharType="separate"/>
            </w:r>
            <w:r w:rsidR="009749A0">
              <w:t>31</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Processing Data</w:t>
            </w:r>
            <w:r w:rsidRPr="00BD6C5F">
              <w:rPr>
                <w:rFonts w:asciiTheme="minorHAnsi" w:hAnsiTheme="minorHAnsi" w:cstheme="minorHAnsi"/>
              </w:rPr>
              <w:t>) – New annex on Joint Control.</w:t>
            </w:r>
          </w:p>
        </w:tc>
      </w:tr>
      <w:tr w:rsidR="003E65E3" w:rsidRPr="00BD6C5F" w14:paraId="77B4A0BB" w14:textId="77777777" w:rsidTr="003E65E3">
        <w:trPr>
          <w:trHeight w:val="57"/>
        </w:trPr>
        <w:tc>
          <w:tcPr>
            <w:tcW w:w="2154" w:type="dxa"/>
          </w:tcPr>
          <w:p w14:paraId="0835B6D6"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1.08</w:t>
            </w:r>
          </w:p>
        </w:tc>
        <w:tc>
          <w:tcPr>
            <w:tcW w:w="2268" w:type="dxa"/>
          </w:tcPr>
          <w:p w14:paraId="0FB3F355"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29 April 2019</w:t>
            </w:r>
          </w:p>
        </w:tc>
        <w:tc>
          <w:tcPr>
            <w:tcW w:w="5783" w:type="dxa"/>
          </w:tcPr>
          <w:p w14:paraId="26B137C1" w14:textId="23C6FAED"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Update to Schedule</w:t>
            </w:r>
            <w:r w:rsidR="00C80EE5"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Schedule_3 \h </w:instrText>
            </w:r>
            <w:r w:rsidR="00E85D73">
              <w:rPr>
                <w:rFonts w:asciiTheme="minorHAnsi" w:hAnsiTheme="minorHAnsi" w:cstheme="minorHAnsi"/>
              </w:rPr>
            </w:r>
            <w:r w:rsidR="00E85D73">
              <w:rPr>
                <w:rFonts w:asciiTheme="minorHAnsi" w:hAnsiTheme="minorHAnsi" w:cstheme="minorHAnsi"/>
              </w:rPr>
              <w:fldChar w:fldCharType="separate"/>
            </w:r>
            <w:r w:rsidR="009749A0">
              <w:t>3</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Performance Levels</w:t>
            </w:r>
            <w:r w:rsidRPr="00BD6C5F">
              <w:rPr>
                <w:rFonts w:asciiTheme="minorHAnsi" w:hAnsiTheme="minorHAnsi" w:cstheme="minorHAnsi"/>
              </w:rPr>
              <w:t>), Schedule</w:t>
            </w:r>
            <w:r w:rsidR="000378D2"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Schedule_5 \h </w:instrText>
            </w:r>
            <w:r w:rsidR="00E85D73">
              <w:rPr>
                <w:rFonts w:asciiTheme="minorHAnsi" w:hAnsiTheme="minorHAnsi" w:cstheme="minorHAnsi"/>
              </w:rPr>
            </w:r>
            <w:r w:rsidR="00E85D73">
              <w:rPr>
                <w:rFonts w:asciiTheme="minorHAnsi" w:hAnsiTheme="minorHAnsi" w:cstheme="minorHAnsi"/>
              </w:rPr>
              <w:fldChar w:fldCharType="separate"/>
            </w:r>
            <w:r w:rsidR="009749A0">
              <w:t>5</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Security Management</w:t>
            </w:r>
            <w:r w:rsidRPr="00BD6C5F">
              <w:rPr>
                <w:rFonts w:asciiTheme="minorHAnsi" w:hAnsiTheme="minorHAnsi" w:cstheme="minorHAnsi"/>
              </w:rPr>
              <w:t xml:space="preserve">), </w:t>
            </w:r>
            <w:r w:rsidR="00FF2A19" w:rsidRPr="00BD6C5F">
              <w:rPr>
                <w:rFonts w:asciiTheme="minorHAnsi" w:hAnsiTheme="minorHAnsi" w:cstheme="minorHAnsi"/>
              </w:rPr>
              <w:t>Schedule</w:t>
            </w:r>
            <w:r w:rsidR="00C80EE5" w:rsidRPr="00BD6C5F">
              <w:rPr>
                <w:rFonts w:asciiTheme="minorHAnsi" w:hAnsiTheme="minorHAnsi" w:cstheme="minorHAnsi"/>
              </w:rPr>
              <w:t> </w:t>
            </w:r>
            <w:r w:rsidR="00E85D73">
              <w:rPr>
                <w:rFonts w:asciiTheme="minorHAnsi" w:hAnsiTheme="minorHAnsi" w:cstheme="minorHAnsi"/>
              </w:rPr>
              <w:fldChar w:fldCharType="begin"/>
            </w:r>
            <w:r w:rsidR="00E85D73">
              <w:rPr>
                <w:rFonts w:asciiTheme="minorHAnsi" w:hAnsiTheme="minorHAnsi" w:cstheme="minorHAnsi"/>
              </w:rPr>
              <w:instrText xml:space="preserve"> REF Schedule_6 \h </w:instrText>
            </w:r>
            <w:r w:rsidR="00E85D73">
              <w:rPr>
                <w:rFonts w:asciiTheme="minorHAnsi" w:hAnsiTheme="minorHAnsi" w:cstheme="minorHAnsi"/>
              </w:rPr>
            </w:r>
            <w:r w:rsidR="00E85D73">
              <w:rPr>
                <w:rFonts w:asciiTheme="minorHAnsi" w:hAnsiTheme="minorHAnsi" w:cstheme="minorHAnsi"/>
              </w:rPr>
              <w:fldChar w:fldCharType="separate"/>
            </w:r>
            <w:r w:rsidR="009749A0">
              <w:t>6</w:t>
            </w:r>
            <w:r w:rsidR="00E85D7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Insurance Requirements</w:t>
            </w:r>
            <w:r w:rsidRPr="00BD6C5F">
              <w:rPr>
                <w:rFonts w:asciiTheme="minorHAnsi" w:hAnsiTheme="minorHAnsi" w:cstheme="minorHAnsi"/>
              </w:rPr>
              <w:t xml:space="preserve">), </w:t>
            </w:r>
            <w:r w:rsidR="00FF2A1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Schedule_12 \h </w:instrText>
            </w:r>
            <w:r w:rsidR="00D12BB9">
              <w:rPr>
                <w:rFonts w:asciiTheme="minorHAnsi" w:hAnsiTheme="minorHAnsi" w:cstheme="minorHAnsi"/>
              </w:rPr>
            </w:r>
            <w:r w:rsidR="00D12BB9">
              <w:rPr>
                <w:rFonts w:asciiTheme="minorHAnsi" w:hAnsiTheme="minorHAnsi" w:cstheme="minorHAnsi"/>
              </w:rPr>
              <w:fldChar w:fldCharType="separate"/>
            </w:r>
            <w:r w:rsidR="009749A0">
              <w:t>12</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Software</w:t>
            </w:r>
            <w:r w:rsidRPr="00BD6C5F">
              <w:rPr>
                <w:rFonts w:asciiTheme="minorHAnsi" w:hAnsiTheme="minorHAnsi" w:cstheme="minorHAnsi"/>
              </w:rPr>
              <w:t xml:space="preserve">) - updated table only, </w:t>
            </w:r>
            <w:r w:rsidR="00B94CF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Schedule_14 \h </w:instrText>
            </w:r>
            <w:r w:rsidR="00D12BB9">
              <w:rPr>
                <w:rFonts w:asciiTheme="minorHAnsi" w:hAnsiTheme="minorHAnsi" w:cstheme="minorHAnsi"/>
              </w:rPr>
            </w:r>
            <w:r w:rsidR="00D12BB9">
              <w:rPr>
                <w:rFonts w:asciiTheme="minorHAnsi" w:hAnsiTheme="minorHAnsi" w:cstheme="minorHAnsi"/>
              </w:rPr>
              <w:fldChar w:fldCharType="separate"/>
            </w:r>
            <w:r w:rsidR="009749A0">
              <w:t>14</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Testing Procedures</w:t>
            </w:r>
            <w:r w:rsidRPr="00BD6C5F">
              <w:rPr>
                <w:rFonts w:asciiTheme="minorHAnsi" w:hAnsiTheme="minorHAnsi" w:cstheme="minorHAnsi"/>
              </w:rPr>
              <w:t xml:space="preserve">), </w:t>
            </w:r>
            <w:r w:rsidR="00B94CF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Schedule_15 \h </w:instrText>
            </w:r>
            <w:r w:rsidR="00D12BB9">
              <w:rPr>
                <w:rFonts w:asciiTheme="minorHAnsi" w:hAnsiTheme="minorHAnsi" w:cstheme="minorHAnsi"/>
              </w:rPr>
            </w:r>
            <w:r w:rsidR="00D12BB9">
              <w:rPr>
                <w:rFonts w:asciiTheme="minorHAnsi" w:hAnsiTheme="minorHAnsi" w:cstheme="minorHAnsi"/>
              </w:rPr>
              <w:fldChar w:fldCharType="separate"/>
            </w:r>
            <w:r w:rsidR="009749A0">
              <w:t>15</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Charges and Invoicing</w:t>
            </w:r>
            <w:r w:rsidRPr="00BD6C5F">
              <w:rPr>
                <w:rFonts w:asciiTheme="minorHAnsi" w:hAnsiTheme="minorHAnsi" w:cstheme="minorHAnsi"/>
              </w:rPr>
              <w:t>), 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Schedule_18 \h </w:instrText>
            </w:r>
            <w:r w:rsidR="00D12BB9">
              <w:rPr>
                <w:rFonts w:asciiTheme="minorHAnsi" w:hAnsiTheme="minorHAnsi" w:cstheme="minorHAnsi"/>
              </w:rPr>
            </w:r>
            <w:r w:rsidR="00D12BB9">
              <w:rPr>
                <w:rFonts w:asciiTheme="minorHAnsi" w:hAnsiTheme="minorHAnsi" w:cstheme="minorHAnsi"/>
              </w:rPr>
              <w:fldChar w:fldCharType="separate"/>
            </w:r>
            <w:r w:rsidR="009749A0">
              <w:t>18</w:t>
            </w:r>
            <w:r w:rsidR="00D12BB9">
              <w:rPr>
                <w:rFonts w:asciiTheme="minorHAnsi" w:hAnsiTheme="minorHAnsi" w:cstheme="minorHAnsi"/>
              </w:rPr>
              <w:fldChar w:fldCharType="end"/>
            </w:r>
            <w:r w:rsidR="00C80EE5" w:rsidRPr="00BD6C5F">
              <w:rPr>
                <w:rFonts w:asciiTheme="minorHAnsi" w:hAnsiTheme="minorHAnsi" w:cstheme="minorHAnsi"/>
              </w:rPr>
              <w:t xml:space="preserve"> </w:t>
            </w:r>
            <w:r w:rsidRPr="00BD6C5F">
              <w:rPr>
                <w:rFonts w:asciiTheme="minorHAnsi" w:hAnsiTheme="minorHAnsi" w:cstheme="minorHAnsi"/>
              </w:rPr>
              <w:t>(</w:t>
            </w:r>
            <w:r w:rsidRPr="00BF1AD5">
              <w:rPr>
                <w:rFonts w:asciiTheme="minorHAnsi" w:hAnsiTheme="minorHAnsi" w:cstheme="minorHAnsi"/>
                <w:i/>
              </w:rPr>
              <w:t>Financial Distress</w:t>
            </w:r>
            <w:r w:rsidRPr="00BD6C5F">
              <w:rPr>
                <w:rFonts w:asciiTheme="minorHAnsi" w:hAnsiTheme="minorHAnsi" w:cstheme="minorHAnsi"/>
              </w:rPr>
              <w:t>), 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Schedule_19 \h </w:instrText>
            </w:r>
            <w:r w:rsidR="00D12BB9">
              <w:rPr>
                <w:rFonts w:asciiTheme="minorHAnsi" w:hAnsiTheme="minorHAnsi" w:cstheme="minorHAnsi"/>
              </w:rPr>
            </w:r>
            <w:r w:rsidR="00D12BB9">
              <w:rPr>
                <w:rFonts w:asciiTheme="minorHAnsi" w:hAnsiTheme="minorHAnsi" w:cstheme="minorHAnsi"/>
              </w:rPr>
              <w:fldChar w:fldCharType="separate"/>
            </w:r>
            <w:r w:rsidR="009749A0">
              <w:t>19</w:t>
            </w:r>
            <w:r w:rsidR="00D12BB9">
              <w:rPr>
                <w:rFonts w:asciiTheme="minorHAnsi" w:hAnsiTheme="minorHAnsi" w:cstheme="minorHAnsi"/>
              </w:rPr>
              <w:fldChar w:fldCharType="end"/>
            </w:r>
            <w:r w:rsidR="00C80EE5" w:rsidRPr="00BD6C5F">
              <w:rPr>
                <w:rFonts w:asciiTheme="minorHAnsi" w:hAnsiTheme="minorHAnsi" w:cstheme="minorHAnsi"/>
              </w:rPr>
              <w:t xml:space="preserve"> </w:t>
            </w:r>
            <w:r w:rsidRPr="00BD6C5F">
              <w:rPr>
                <w:rFonts w:asciiTheme="minorHAnsi" w:hAnsiTheme="minorHAnsi" w:cstheme="minorHAnsi"/>
              </w:rPr>
              <w:t>(</w:t>
            </w:r>
            <w:r w:rsidRPr="00BF1AD5">
              <w:rPr>
                <w:rFonts w:asciiTheme="minorHAnsi" w:hAnsiTheme="minorHAnsi" w:cstheme="minorHAnsi"/>
                <w:i/>
              </w:rPr>
              <w:t>Financial Reports and Audit Rights</w:t>
            </w:r>
            <w:r w:rsidRPr="00BD6C5F">
              <w:rPr>
                <w:rFonts w:asciiTheme="minorHAnsi" w:hAnsiTheme="minorHAnsi" w:cstheme="minorHAnsi"/>
              </w:rPr>
              <w:t xml:space="preserve">) </w:t>
            </w:r>
            <w:r w:rsidR="00B94CF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Schedule_24 \h </w:instrText>
            </w:r>
            <w:r w:rsidR="00D12BB9">
              <w:rPr>
                <w:rFonts w:asciiTheme="minorHAnsi" w:hAnsiTheme="minorHAnsi" w:cstheme="minorHAnsi"/>
              </w:rPr>
            </w:r>
            <w:r w:rsidR="00D12BB9">
              <w:rPr>
                <w:rFonts w:asciiTheme="minorHAnsi" w:hAnsiTheme="minorHAnsi" w:cstheme="minorHAnsi"/>
              </w:rPr>
              <w:fldChar w:fldCharType="separate"/>
            </w:r>
            <w:r w:rsidR="009749A0">
              <w:t>24</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Reports and Records Provisions</w:t>
            </w:r>
            <w:r w:rsidRPr="00BD6C5F">
              <w:rPr>
                <w:rFonts w:asciiTheme="minorHAnsi" w:hAnsiTheme="minorHAnsi" w:cstheme="minorHAnsi"/>
              </w:rPr>
              <w:t xml:space="preserve">), </w:t>
            </w:r>
            <w:r w:rsidR="00B94CF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Schedule_25 \h </w:instrText>
            </w:r>
            <w:r w:rsidR="00D12BB9">
              <w:rPr>
                <w:rFonts w:asciiTheme="minorHAnsi" w:hAnsiTheme="minorHAnsi" w:cstheme="minorHAnsi"/>
              </w:rPr>
            </w:r>
            <w:r w:rsidR="00D12BB9">
              <w:rPr>
                <w:rFonts w:asciiTheme="minorHAnsi" w:hAnsiTheme="minorHAnsi" w:cstheme="minorHAnsi"/>
              </w:rPr>
              <w:fldChar w:fldCharType="separate"/>
            </w:r>
            <w:r w:rsidR="009749A0">
              <w:t>25</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Exit Management</w:t>
            </w:r>
            <w:r w:rsidRPr="00BD6C5F">
              <w:rPr>
                <w:rFonts w:asciiTheme="minorHAnsi" w:hAnsiTheme="minorHAnsi" w:cstheme="minorHAnsi"/>
              </w:rPr>
              <w:t xml:space="preserve">), </w:t>
            </w:r>
            <w:r w:rsidR="00B94CF9"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Schedule_26 \h </w:instrText>
            </w:r>
            <w:r w:rsidR="00D12BB9">
              <w:rPr>
                <w:rFonts w:asciiTheme="minorHAnsi" w:hAnsiTheme="minorHAnsi" w:cstheme="minorHAnsi"/>
              </w:rPr>
            </w:r>
            <w:r w:rsidR="00D12BB9">
              <w:rPr>
                <w:rFonts w:asciiTheme="minorHAnsi" w:hAnsiTheme="minorHAnsi" w:cstheme="minorHAnsi"/>
              </w:rPr>
              <w:fldChar w:fldCharType="separate"/>
            </w:r>
            <w:r w:rsidR="009749A0">
              <w:t>26</w:t>
            </w:r>
            <w:r w:rsidR="00D12BB9">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Service Continuity Plan and Corporate Resolution Planning</w:t>
            </w:r>
            <w:r w:rsidRPr="00BD6C5F">
              <w:rPr>
                <w:rFonts w:asciiTheme="minorHAnsi" w:hAnsiTheme="minorHAnsi" w:cstheme="minorHAnsi"/>
              </w:rPr>
              <w:t>).</w:t>
            </w:r>
          </w:p>
        </w:tc>
      </w:tr>
      <w:tr w:rsidR="003E65E3" w:rsidRPr="00BD6C5F" w14:paraId="6ADE413B" w14:textId="77777777" w:rsidTr="003E65E3">
        <w:trPr>
          <w:trHeight w:val="57"/>
        </w:trPr>
        <w:tc>
          <w:tcPr>
            <w:tcW w:w="2154" w:type="dxa"/>
          </w:tcPr>
          <w:p w14:paraId="678719EC"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1.08A</w:t>
            </w:r>
          </w:p>
        </w:tc>
        <w:tc>
          <w:tcPr>
            <w:tcW w:w="2268" w:type="dxa"/>
          </w:tcPr>
          <w:p w14:paraId="44FA5378"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4 June 2019</w:t>
            </w:r>
          </w:p>
        </w:tc>
        <w:tc>
          <w:tcPr>
            <w:tcW w:w="5783" w:type="dxa"/>
          </w:tcPr>
          <w:p w14:paraId="5260E92D"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Corrections to minor errors.</w:t>
            </w:r>
          </w:p>
        </w:tc>
      </w:tr>
      <w:tr w:rsidR="003E65E3" w:rsidRPr="00BD6C5F" w14:paraId="7C82616D" w14:textId="77777777" w:rsidTr="003E65E3">
        <w:trPr>
          <w:trHeight w:val="57"/>
        </w:trPr>
        <w:tc>
          <w:tcPr>
            <w:tcW w:w="2154" w:type="dxa"/>
          </w:tcPr>
          <w:p w14:paraId="6B796520"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1.09</w:t>
            </w:r>
          </w:p>
        </w:tc>
        <w:tc>
          <w:tcPr>
            <w:tcW w:w="2268" w:type="dxa"/>
          </w:tcPr>
          <w:p w14:paraId="2B295DA9"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10 July 2020</w:t>
            </w:r>
          </w:p>
        </w:tc>
        <w:tc>
          <w:tcPr>
            <w:tcW w:w="5783" w:type="dxa"/>
          </w:tcPr>
          <w:p w14:paraId="6E52E0AE" w14:textId="73CF12AC"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 xml:space="preserve">New Transparency KPIs inserted to the KPI tables at </w:t>
            </w:r>
            <w:r w:rsidR="0092397B">
              <w:rPr>
                <w:rFonts w:asciiTheme="minorHAnsi" w:hAnsiTheme="minorHAnsi" w:cstheme="minorHAnsi"/>
              </w:rPr>
              <w:t>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Schedule_3_Annex_1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1</w:t>
            </w:r>
            <w:r w:rsidR="0092397B">
              <w:rPr>
                <w:rFonts w:asciiTheme="minorHAnsi" w:hAnsiTheme="minorHAnsi" w:cstheme="minorHAnsi"/>
              </w:rPr>
              <w:fldChar w:fldCharType="end"/>
            </w:r>
            <w:r w:rsidRPr="00BD6C5F">
              <w:rPr>
                <w:rFonts w:asciiTheme="minorHAnsi" w:hAnsiTheme="minorHAnsi" w:cstheme="minorHAnsi"/>
              </w:rPr>
              <w:t xml:space="preserve"> to</w:t>
            </w:r>
            <w:r w:rsidR="008D5E53" w:rsidRPr="00BD6C5F">
              <w:rPr>
                <w:rFonts w:asciiTheme="minorHAnsi" w:hAnsiTheme="minorHAnsi" w:cstheme="minorHAnsi"/>
              </w:rPr>
              <w:t xml:space="preserve"> </w:t>
            </w:r>
            <w:r w:rsidR="007F1EAC" w:rsidRPr="00BD6C5F">
              <w:rPr>
                <w:rFonts w:asciiTheme="minorHAnsi" w:hAnsiTheme="minorHAnsi" w:cstheme="minorHAnsi"/>
              </w:rPr>
              <w:t>Part</w:t>
            </w:r>
            <w:r w:rsidR="0092397B">
              <w:rPr>
                <w:rFonts w:asciiTheme="minorHAnsi" w:hAnsiTheme="minorHAnsi" w:cstheme="minorHAnsi"/>
              </w:rPr>
              <w:t> </w:t>
            </w:r>
            <w:r w:rsidR="0092397B">
              <w:rPr>
                <w:rFonts w:asciiTheme="minorHAnsi" w:hAnsiTheme="minorHAnsi" w:cstheme="minorHAnsi"/>
              </w:rPr>
              <w:fldChar w:fldCharType="begin"/>
            </w:r>
            <w:r w:rsidR="0092397B">
              <w:rPr>
                <w:rFonts w:asciiTheme="minorHAnsi" w:hAnsiTheme="minorHAnsi" w:cstheme="minorHAnsi"/>
              </w:rPr>
              <w:instrText xml:space="preserve"> REF Schedule_3_Annex_1_Part_A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A</w:t>
            </w:r>
            <w:r w:rsidR="0092397B">
              <w:rPr>
                <w:rFonts w:asciiTheme="minorHAnsi" w:hAnsiTheme="minorHAnsi" w:cstheme="minorHAnsi"/>
              </w:rPr>
              <w:fldChar w:fldCharType="end"/>
            </w:r>
            <w:r w:rsidR="007F1EAC" w:rsidRPr="00BD6C5F">
              <w:rPr>
                <w:rFonts w:asciiTheme="minorHAnsi" w:hAnsiTheme="minorHAnsi" w:cstheme="minorHAnsi"/>
              </w:rPr>
              <w:t xml:space="preserve"> </w:t>
            </w:r>
            <w:r w:rsidRPr="00BD6C5F">
              <w:rPr>
                <w:rFonts w:asciiTheme="minorHAnsi" w:hAnsiTheme="minorHAnsi" w:cstheme="minorHAnsi"/>
              </w:rPr>
              <w:t>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Schedule_3 \h </w:instrText>
            </w:r>
            <w:r w:rsidR="00D12BB9">
              <w:rPr>
                <w:rFonts w:asciiTheme="minorHAnsi" w:hAnsiTheme="minorHAnsi" w:cstheme="minorHAnsi"/>
              </w:rPr>
            </w:r>
            <w:r w:rsidR="00D12BB9">
              <w:rPr>
                <w:rFonts w:asciiTheme="minorHAnsi" w:hAnsiTheme="minorHAnsi" w:cstheme="minorHAnsi"/>
              </w:rPr>
              <w:fldChar w:fldCharType="separate"/>
            </w:r>
            <w:r w:rsidR="009749A0">
              <w:t>3</w:t>
            </w:r>
            <w:r w:rsidR="00D12BB9">
              <w:rPr>
                <w:rFonts w:asciiTheme="minorHAnsi" w:hAnsiTheme="minorHAnsi" w:cstheme="minorHAnsi"/>
              </w:rPr>
              <w:fldChar w:fldCharType="end"/>
            </w:r>
            <w:r w:rsidRPr="00BD6C5F">
              <w:rPr>
                <w:rFonts w:asciiTheme="minorHAnsi" w:hAnsiTheme="minorHAnsi" w:cstheme="minorHAnsi"/>
              </w:rPr>
              <w:t>. New environmental</w:t>
            </w:r>
            <w:r w:rsidR="00AC3A15" w:rsidRPr="00BD6C5F">
              <w:rPr>
                <w:rFonts w:asciiTheme="minorHAnsi" w:hAnsiTheme="minorHAnsi" w:cstheme="minorHAnsi"/>
              </w:rPr>
              <w:t xml:space="preserve"> requirements annexed to 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Schedule_4 \h </w:instrText>
            </w:r>
            <w:r w:rsidR="00D12BB9">
              <w:rPr>
                <w:rFonts w:asciiTheme="minorHAnsi" w:hAnsiTheme="minorHAnsi" w:cstheme="minorHAnsi"/>
              </w:rPr>
            </w:r>
            <w:r w:rsidR="00D12BB9">
              <w:rPr>
                <w:rFonts w:asciiTheme="minorHAnsi" w:hAnsiTheme="minorHAnsi" w:cstheme="minorHAnsi"/>
              </w:rPr>
              <w:fldChar w:fldCharType="separate"/>
            </w:r>
            <w:r w:rsidR="009749A0">
              <w:t>4</w:t>
            </w:r>
            <w:r w:rsidR="00D12BB9">
              <w:rPr>
                <w:rFonts w:asciiTheme="minorHAnsi" w:hAnsiTheme="minorHAnsi" w:cstheme="minorHAnsi"/>
              </w:rPr>
              <w:fldChar w:fldCharType="end"/>
            </w:r>
            <w:r w:rsidR="00AC3A15" w:rsidRPr="00BD6C5F">
              <w:rPr>
                <w:rFonts w:asciiTheme="minorHAnsi" w:hAnsiTheme="minorHAnsi" w:cstheme="minorHAnsi"/>
              </w:rPr>
              <w:t>. New Assurance Process added to Security Management Schedule</w:t>
            </w:r>
            <w:r w:rsidR="00C80EE5"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Schedule_5 \h </w:instrText>
            </w:r>
            <w:r w:rsidR="00D12BB9">
              <w:rPr>
                <w:rFonts w:asciiTheme="minorHAnsi" w:hAnsiTheme="minorHAnsi" w:cstheme="minorHAnsi"/>
              </w:rPr>
            </w:r>
            <w:r w:rsidR="00D12BB9">
              <w:rPr>
                <w:rFonts w:asciiTheme="minorHAnsi" w:hAnsiTheme="minorHAnsi" w:cstheme="minorHAnsi"/>
              </w:rPr>
              <w:fldChar w:fldCharType="separate"/>
            </w:r>
            <w:r w:rsidR="009749A0">
              <w:t>5</w:t>
            </w:r>
            <w:r w:rsidR="00D12BB9">
              <w:rPr>
                <w:rFonts w:asciiTheme="minorHAnsi" w:hAnsiTheme="minorHAnsi" w:cstheme="minorHAnsi"/>
              </w:rPr>
              <w:fldChar w:fldCharType="end"/>
            </w:r>
            <w:r w:rsidR="00AC3A15" w:rsidRPr="00BD6C5F">
              <w:rPr>
                <w:rFonts w:asciiTheme="minorHAnsi" w:hAnsiTheme="minorHAnsi" w:cstheme="minorHAnsi"/>
              </w:rPr>
              <w:t xml:space="preserve"> at </w:t>
            </w:r>
            <w:r w:rsidR="0092397B">
              <w:rPr>
                <w:rFonts w:asciiTheme="minorHAnsi" w:hAnsiTheme="minorHAnsi" w:cstheme="minorHAnsi"/>
              </w:rPr>
              <w:t>Part </w:t>
            </w:r>
            <w:r w:rsidR="0092397B">
              <w:rPr>
                <w:rFonts w:asciiTheme="minorHAnsi" w:hAnsiTheme="minorHAnsi" w:cstheme="minorHAnsi"/>
              </w:rPr>
              <w:fldChar w:fldCharType="begin"/>
            </w:r>
            <w:r w:rsidR="0092397B">
              <w:rPr>
                <w:rFonts w:asciiTheme="minorHAnsi" w:hAnsiTheme="minorHAnsi" w:cstheme="minorHAnsi"/>
              </w:rPr>
              <w:instrText xml:space="preserve"> REF Schedule_5_Part_A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A</w:t>
            </w:r>
            <w:r w:rsidR="0092397B">
              <w:rPr>
                <w:rFonts w:asciiTheme="minorHAnsi" w:hAnsiTheme="minorHAnsi" w:cstheme="minorHAnsi"/>
              </w:rPr>
              <w:fldChar w:fldCharType="end"/>
            </w:r>
            <w:r w:rsidR="00AC3A15" w:rsidRPr="00BD6C5F">
              <w:rPr>
                <w:rFonts w:asciiTheme="minorHAnsi" w:hAnsiTheme="minorHAnsi" w:cstheme="minorHAnsi"/>
              </w:rPr>
              <w:t xml:space="preserve"> to supplement Accreditation Process. New draft ethical wall agreement inserted at </w:t>
            </w:r>
            <w:r w:rsidR="0092397B">
              <w:rPr>
                <w:rFonts w:asciiTheme="minorHAnsi" w:hAnsiTheme="minorHAnsi" w:cstheme="minorHAnsi"/>
              </w:rPr>
              <w:t>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Schedule_25_Annex_2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2</w:t>
            </w:r>
            <w:r w:rsidR="0092397B">
              <w:rPr>
                <w:rFonts w:asciiTheme="minorHAnsi" w:hAnsiTheme="minorHAnsi" w:cstheme="minorHAnsi"/>
              </w:rPr>
              <w:fldChar w:fldCharType="end"/>
            </w:r>
            <w:r w:rsidR="00AC3A15" w:rsidRPr="00BD6C5F">
              <w:rPr>
                <w:rFonts w:asciiTheme="minorHAnsi" w:hAnsiTheme="minorHAnsi" w:cstheme="minorHAnsi"/>
              </w:rPr>
              <w:t xml:space="preserve"> of Schedule</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Schedule_25 \h </w:instrText>
            </w:r>
            <w:r w:rsidR="00D12BB9">
              <w:rPr>
                <w:rFonts w:asciiTheme="minorHAnsi" w:hAnsiTheme="minorHAnsi" w:cstheme="minorHAnsi"/>
              </w:rPr>
            </w:r>
            <w:r w:rsidR="00D12BB9">
              <w:rPr>
                <w:rFonts w:asciiTheme="minorHAnsi" w:hAnsiTheme="minorHAnsi" w:cstheme="minorHAnsi"/>
              </w:rPr>
              <w:fldChar w:fldCharType="separate"/>
            </w:r>
            <w:r w:rsidR="009749A0">
              <w:t>25</w:t>
            </w:r>
            <w:r w:rsidR="00D12BB9">
              <w:rPr>
                <w:rFonts w:asciiTheme="minorHAnsi" w:hAnsiTheme="minorHAnsi" w:cstheme="minorHAnsi"/>
              </w:rPr>
              <w:fldChar w:fldCharType="end"/>
            </w:r>
            <w:r w:rsidR="00AC3A15" w:rsidRPr="00BD6C5F">
              <w:rPr>
                <w:rFonts w:asciiTheme="minorHAnsi" w:hAnsiTheme="minorHAnsi" w:cstheme="minorHAnsi"/>
              </w:rPr>
              <w:t xml:space="preserve">. New TUPE staffing information tables inserted at </w:t>
            </w:r>
            <w:r w:rsidR="0092397B">
              <w:rPr>
                <w:rFonts w:asciiTheme="minorHAnsi" w:hAnsiTheme="minorHAnsi" w:cstheme="minorHAnsi"/>
              </w:rPr>
              <w:t>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Schedule_28_Part_D_Annex_2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2</w:t>
            </w:r>
            <w:r w:rsidR="0092397B">
              <w:rPr>
                <w:rFonts w:asciiTheme="minorHAnsi" w:hAnsiTheme="minorHAnsi" w:cstheme="minorHAnsi"/>
              </w:rPr>
              <w:fldChar w:fldCharType="end"/>
            </w:r>
            <w:r w:rsidR="0092397B">
              <w:rPr>
                <w:rFonts w:asciiTheme="minorHAnsi" w:hAnsiTheme="minorHAnsi" w:cstheme="minorHAnsi"/>
              </w:rPr>
              <w:t xml:space="preserve"> </w:t>
            </w:r>
            <w:r w:rsidR="00AC3A15" w:rsidRPr="00BD6C5F">
              <w:rPr>
                <w:rFonts w:asciiTheme="minorHAnsi" w:hAnsiTheme="minorHAnsi" w:cstheme="minorHAnsi"/>
              </w:rPr>
              <w:t>of Schedule</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Schedule_28 \h </w:instrText>
            </w:r>
            <w:r w:rsidR="00D12BB9">
              <w:rPr>
                <w:rFonts w:asciiTheme="minorHAnsi" w:hAnsiTheme="minorHAnsi" w:cstheme="minorHAnsi"/>
              </w:rPr>
            </w:r>
            <w:r w:rsidR="00D12BB9">
              <w:rPr>
                <w:rFonts w:asciiTheme="minorHAnsi" w:hAnsiTheme="minorHAnsi" w:cstheme="minorHAnsi"/>
              </w:rPr>
              <w:fldChar w:fldCharType="separate"/>
            </w:r>
            <w:r w:rsidR="009749A0">
              <w:t>28</w:t>
            </w:r>
            <w:r w:rsidR="00D12BB9">
              <w:rPr>
                <w:rFonts w:asciiTheme="minorHAnsi" w:hAnsiTheme="minorHAnsi" w:cstheme="minorHAnsi"/>
              </w:rPr>
              <w:fldChar w:fldCharType="end"/>
            </w:r>
            <w:r w:rsidR="00AC3A15" w:rsidRPr="00BD6C5F">
              <w:rPr>
                <w:rFonts w:asciiTheme="minorHAnsi" w:hAnsiTheme="minorHAnsi" w:cstheme="minorHAnsi"/>
              </w:rPr>
              <w:t xml:space="preserve">. Updating of pensions provisions to reflect the requirements at </w:t>
            </w:r>
            <w:r w:rsidR="0092397B">
              <w:rPr>
                <w:rFonts w:asciiTheme="minorHAnsi" w:hAnsiTheme="minorHAnsi" w:cstheme="minorHAnsi"/>
              </w:rPr>
              <w:t>Part </w:t>
            </w:r>
            <w:r w:rsidR="0092397B">
              <w:rPr>
                <w:rFonts w:asciiTheme="minorHAnsi" w:hAnsiTheme="minorHAnsi" w:cstheme="minorHAnsi"/>
              </w:rPr>
              <w:fldChar w:fldCharType="begin"/>
            </w:r>
            <w:r w:rsidR="0092397B">
              <w:rPr>
                <w:rFonts w:asciiTheme="minorHAnsi" w:hAnsiTheme="minorHAnsi" w:cstheme="minorHAnsi"/>
              </w:rPr>
              <w:instrText xml:space="preserve"> REF Schedule_28_Part_D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D</w:t>
            </w:r>
            <w:r w:rsidR="0092397B">
              <w:rPr>
                <w:rFonts w:asciiTheme="minorHAnsi" w:hAnsiTheme="minorHAnsi" w:cstheme="minorHAnsi"/>
              </w:rPr>
              <w:fldChar w:fldCharType="end"/>
            </w:r>
            <w:r w:rsidR="00AC3A15" w:rsidRPr="00BD6C5F">
              <w:rPr>
                <w:rFonts w:asciiTheme="minorHAnsi" w:hAnsiTheme="minorHAnsi" w:cstheme="minorHAnsi"/>
              </w:rPr>
              <w:t xml:space="preserve"> at Schedule</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Schedule_28 \h </w:instrText>
            </w:r>
            <w:r w:rsidR="00D12BB9">
              <w:rPr>
                <w:rFonts w:asciiTheme="minorHAnsi" w:hAnsiTheme="minorHAnsi" w:cstheme="minorHAnsi"/>
              </w:rPr>
            </w:r>
            <w:r w:rsidR="00D12BB9">
              <w:rPr>
                <w:rFonts w:asciiTheme="minorHAnsi" w:hAnsiTheme="minorHAnsi" w:cstheme="minorHAnsi"/>
              </w:rPr>
              <w:fldChar w:fldCharType="separate"/>
            </w:r>
            <w:r w:rsidR="009749A0">
              <w:t>28</w:t>
            </w:r>
            <w:r w:rsidR="00D12BB9">
              <w:rPr>
                <w:rFonts w:asciiTheme="minorHAnsi" w:hAnsiTheme="minorHAnsi" w:cstheme="minorHAnsi"/>
              </w:rPr>
              <w:fldChar w:fldCharType="end"/>
            </w:r>
            <w:r w:rsidR="00AC3A15" w:rsidRPr="00BD6C5F">
              <w:rPr>
                <w:rFonts w:asciiTheme="minorHAnsi" w:hAnsiTheme="minorHAnsi" w:cstheme="minorHAnsi"/>
              </w:rPr>
              <w:t>.</w:t>
            </w:r>
          </w:p>
        </w:tc>
      </w:tr>
      <w:tr w:rsidR="003E65E3" w:rsidRPr="00BD6C5F" w14:paraId="435B8061" w14:textId="77777777" w:rsidTr="003E65E3">
        <w:trPr>
          <w:trHeight w:val="57"/>
        </w:trPr>
        <w:tc>
          <w:tcPr>
            <w:tcW w:w="2154" w:type="dxa"/>
          </w:tcPr>
          <w:p w14:paraId="3260A78F"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Version 1.09A</w:t>
            </w:r>
          </w:p>
        </w:tc>
        <w:tc>
          <w:tcPr>
            <w:tcW w:w="2268" w:type="dxa"/>
          </w:tcPr>
          <w:p w14:paraId="4108E9F2" w14:textId="77777777"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12 November 2020</w:t>
            </w:r>
          </w:p>
        </w:tc>
        <w:tc>
          <w:tcPr>
            <w:tcW w:w="5783" w:type="dxa"/>
          </w:tcPr>
          <w:p w14:paraId="0E03D052" w14:textId="47A73314" w:rsidR="00BC7DDA" w:rsidRPr="00BD6C5F" w:rsidRDefault="009B03E9" w:rsidP="007370CF">
            <w:pPr>
              <w:pStyle w:val="Tabletext"/>
              <w:rPr>
                <w:rFonts w:asciiTheme="minorHAnsi" w:hAnsiTheme="minorHAnsi" w:cstheme="minorHAnsi"/>
              </w:rPr>
            </w:pPr>
            <w:r w:rsidRPr="00BD6C5F">
              <w:rPr>
                <w:rFonts w:asciiTheme="minorHAnsi" w:hAnsiTheme="minorHAnsi" w:cstheme="minorHAnsi"/>
              </w:rPr>
              <w:t>New list of schedules inserted. New Standard Contract Clauses added to Schedule</w:t>
            </w:r>
            <w:r w:rsidR="00DD05A6" w:rsidRPr="00BD6C5F">
              <w:rPr>
                <w:rFonts w:asciiTheme="minorHAnsi" w:hAnsiTheme="minorHAnsi" w:cstheme="minorHAnsi"/>
              </w:rPr>
              <w:t> </w:t>
            </w:r>
            <w:r w:rsidR="00F2496C">
              <w:rPr>
                <w:rFonts w:asciiTheme="minorHAnsi" w:hAnsiTheme="minorHAnsi" w:cstheme="minorHAnsi"/>
              </w:rPr>
              <w:t>31.</w:t>
            </w:r>
          </w:p>
        </w:tc>
      </w:tr>
      <w:tr w:rsidR="003E65E3" w:rsidRPr="00BD6C5F" w14:paraId="2B4B08E4" w14:textId="77777777" w:rsidTr="003E65E3">
        <w:trPr>
          <w:trHeight w:val="57"/>
        </w:trPr>
        <w:tc>
          <w:tcPr>
            <w:tcW w:w="2154" w:type="dxa"/>
          </w:tcPr>
          <w:p w14:paraId="59E955E5" w14:textId="337CCDD9" w:rsidR="00691A1A" w:rsidRPr="00BD6C5F" w:rsidRDefault="00691A1A" w:rsidP="007370CF">
            <w:pPr>
              <w:pStyle w:val="Tabletext"/>
              <w:rPr>
                <w:rFonts w:asciiTheme="minorHAnsi" w:hAnsiTheme="minorHAnsi" w:cstheme="minorHAnsi"/>
              </w:rPr>
            </w:pPr>
            <w:r w:rsidRPr="00BD6C5F">
              <w:rPr>
                <w:rFonts w:asciiTheme="minorHAnsi" w:hAnsiTheme="minorHAnsi" w:cstheme="minorHAnsi"/>
              </w:rPr>
              <w:t>Version 2.0</w:t>
            </w:r>
          </w:p>
        </w:tc>
        <w:tc>
          <w:tcPr>
            <w:tcW w:w="2268" w:type="dxa"/>
          </w:tcPr>
          <w:p w14:paraId="67910EF3" w14:textId="4A19B8C6" w:rsidR="00691A1A" w:rsidRPr="00BD6C5F" w:rsidRDefault="007502CC" w:rsidP="007370CF">
            <w:pPr>
              <w:pStyle w:val="Tabletext"/>
              <w:rPr>
                <w:rFonts w:asciiTheme="minorHAnsi" w:hAnsiTheme="minorHAnsi" w:cstheme="minorHAnsi"/>
              </w:rPr>
            </w:pPr>
            <w:r w:rsidRPr="00BD6C5F">
              <w:rPr>
                <w:rFonts w:asciiTheme="minorHAnsi" w:hAnsiTheme="minorHAnsi" w:cstheme="minorHAnsi"/>
              </w:rPr>
              <w:t xml:space="preserve">11 </w:t>
            </w:r>
            <w:r w:rsidR="00AD742C" w:rsidRPr="00BD6C5F">
              <w:rPr>
                <w:rFonts w:asciiTheme="minorHAnsi" w:hAnsiTheme="minorHAnsi" w:cstheme="minorHAnsi"/>
              </w:rPr>
              <w:t>April</w:t>
            </w:r>
            <w:r w:rsidR="00691A1A" w:rsidRPr="00BD6C5F">
              <w:rPr>
                <w:rFonts w:asciiTheme="minorHAnsi" w:hAnsiTheme="minorHAnsi" w:cstheme="minorHAnsi"/>
              </w:rPr>
              <w:t xml:space="preserve"> 2022</w:t>
            </w:r>
          </w:p>
        </w:tc>
        <w:tc>
          <w:tcPr>
            <w:tcW w:w="5783" w:type="dxa"/>
          </w:tcPr>
          <w:p w14:paraId="42F77B89" w14:textId="6D44D905" w:rsidR="00691A1A" w:rsidRPr="00BD6C5F" w:rsidRDefault="00691A1A" w:rsidP="007370CF">
            <w:pPr>
              <w:pStyle w:val="Tabletext"/>
              <w:rPr>
                <w:rFonts w:asciiTheme="minorHAnsi" w:hAnsiTheme="minorHAnsi" w:cstheme="minorHAnsi"/>
              </w:rPr>
            </w:pPr>
            <w:r w:rsidRPr="00BD6C5F">
              <w:rPr>
                <w:rFonts w:asciiTheme="minorHAnsi" w:hAnsiTheme="minorHAnsi" w:cstheme="minorHAnsi"/>
              </w:rPr>
              <w:t>Schedules renumbered. New Schedule</w:t>
            </w:r>
            <w:r w:rsidR="00DD05A6" w:rsidRPr="00BD6C5F">
              <w:rPr>
                <w:rFonts w:asciiTheme="minorHAnsi" w:hAnsiTheme="minorHAnsi" w:cstheme="minorHAnsi"/>
              </w:rPr>
              <w:t> </w:t>
            </w:r>
            <w:r w:rsidR="00071CC3">
              <w:rPr>
                <w:rFonts w:asciiTheme="minorHAnsi" w:hAnsiTheme="minorHAnsi" w:cstheme="minorHAnsi"/>
              </w:rPr>
              <w:fldChar w:fldCharType="begin"/>
            </w:r>
            <w:r w:rsidR="00071CC3">
              <w:rPr>
                <w:rFonts w:asciiTheme="minorHAnsi" w:hAnsiTheme="minorHAnsi" w:cstheme="minorHAnsi"/>
              </w:rPr>
              <w:instrText xml:space="preserve"> REF Schedule_32 \h </w:instrText>
            </w:r>
            <w:r w:rsidR="00071CC3">
              <w:rPr>
                <w:rFonts w:asciiTheme="minorHAnsi" w:hAnsiTheme="minorHAnsi" w:cstheme="minorHAnsi"/>
              </w:rPr>
            </w:r>
            <w:r w:rsidR="00071CC3">
              <w:rPr>
                <w:rFonts w:asciiTheme="minorHAnsi" w:hAnsiTheme="minorHAnsi" w:cstheme="minorHAnsi"/>
              </w:rPr>
              <w:fldChar w:fldCharType="separate"/>
            </w:r>
            <w:r w:rsidR="009749A0" w:rsidRPr="00EE4F10">
              <w:t>32</w:t>
            </w:r>
            <w:r w:rsidR="00071CC3">
              <w:rPr>
                <w:rFonts w:asciiTheme="minorHAnsi" w:hAnsiTheme="minorHAnsi" w:cstheme="minorHAnsi"/>
              </w:rPr>
              <w:fldChar w:fldCharType="end"/>
            </w:r>
            <w:r w:rsidRPr="00BD6C5F">
              <w:rPr>
                <w:rFonts w:asciiTheme="minorHAnsi" w:hAnsiTheme="minorHAnsi" w:cstheme="minorHAnsi"/>
              </w:rPr>
              <w:t xml:space="preserve"> (</w:t>
            </w:r>
            <w:r w:rsidRPr="00BF1AD5">
              <w:rPr>
                <w:rFonts w:asciiTheme="minorHAnsi" w:hAnsiTheme="minorHAnsi" w:cstheme="minorHAnsi"/>
                <w:i/>
              </w:rPr>
              <w:t>Intellectual Property Rights</w:t>
            </w:r>
            <w:r w:rsidRPr="00BD6C5F">
              <w:rPr>
                <w:rFonts w:asciiTheme="minorHAnsi" w:hAnsiTheme="minorHAnsi" w:cstheme="minorHAnsi"/>
              </w:rPr>
              <w:t>) added. Updates to Schedules</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 \h </w:instrText>
            </w:r>
            <w:r w:rsidR="00D12BB9">
              <w:rPr>
                <w:rFonts w:asciiTheme="minorHAnsi" w:hAnsiTheme="minorHAnsi" w:cstheme="minorHAnsi"/>
              </w:rPr>
            </w:r>
            <w:r w:rsidR="00D12BB9">
              <w:rPr>
                <w:rFonts w:asciiTheme="minorHAnsi" w:hAnsiTheme="minorHAnsi" w:cstheme="minorHAnsi"/>
              </w:rPr>
              <w:fldChar w:fldCharType="separate"/>
            </w:r>
            <w:r w:rsidR="009749A0" w:rsidRPr="00175B22">
              <w:t>1</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Schedule_2 \h </w:instrText>
            </w:r>
            <w:r w:rsidR="00D12BB9">
              <w:rPr>
                <w:rFonts w:asciiTheme="minorHAnsi" w:hAnsiTheme="minorHAnsi" w:cstheme="minorHAnsi"/>
              </w:rPr>
            </w:r>
            <w:r w:rsidR="00D12BB9">
              <w:rPr>
                <w:rFonts w:asciiTheme="minorHAnsi" w:hAnsiTheme="minorHAnsi" w:cstheme="minorHAnsi"/>
              </w:rPr>
              <w:fldChar w:fldCharType="separate"/>
            </w:r>
            <w:r w:rsidR="009749A0">
              <w:t>2</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Schedule_3 \h </w:instrText>
            </w:r>
            <w:r w:rsidR="00D12BB9">
              <w:rPr>
                <w:rFonts w:asciiTheme="minorHAnsi" w:hAnsiTheme="minorHAnsi" w:cstheme="minorHAnsi"/>
              </w:rPr>
            </w:r>
            <w:r w:rsidR="00D12BB9">
              <w:rPr>
                <w:rFonts w:asciiTheme="minorHAnsi" w:hAnsiTheme="minorHAnsi" w:cstheme="minorHAnsi"/>
              </w:rPr>
              <w:fldChar w:fldCharType="separate"/>
            </w:r>
            <w:r w:rsidR="009749A0">
              <w:t>3</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Schedule_4 \h </w:instrText>
            </w:r>
            <w:r w:rsidR="00D12BB9">
              <w:rPr>
                <w:rFonts w:asciiTheme="minorHAnsi" w:hAnsiTheme="minorHAnsi" w:cstheme="minorHAnsi"/>
              </w:rPr>
            </w:r>
            <w:r w:rsidR="00D12BB9">
              <w:rPr>
                <w:rFonts w:asciiTheme="minorHAnsi" w:hAnsiTheme="minorHAnsi" w:cstheme="minorHAnsi"/>
              </w:rPr>
              <w:fldChar w:fldCharType="separate"/>
            </w:r>
            <w:r w:rsidR="009749A0">
              <w:t>4</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Schedule_5 \h </w:instrText>
            </w:r>
            <w:r w:rsidR="00D12BB9">
              <w:rPr>
                <w:rFonts w:asciiTheme="minorHAnsi" w:hAnsiTheme="minorHAnsi" w:cstheme="minorHAnsi"/>
              </w:rPr>
            </w:r>
            <w:r w:rsidR="00D12BB9">
              <w:rPr>
                <w:rFonts w:asciiTheme="minorHAnsi" w:hAnsiTheme="minorHAnsi" w:cstheme="minorHAnsi"/>
              </w:rPr>
              <w:fldChar w:fldCharType="separate"/>
            </w:r>
            <w:r w:rsidR="009749A0">
              <w:t>5</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Schedule_6 \h </w:instrText>
            </w:r>
            <w:r w:rsidR="00D12BB9">
              <w:rPr>
                <w:rFonts w:asciiTheme="minorHAnsi" w:hAnsiTheme="minorHAnsi" w:cstheme="minorHAnsi"/>
              </w:rPr>
            </w:r>
            <w:r w:rsidR="00D12BB9">
              <w:rPr>
                <w:rFonts w:asciiTheme="minorHAnsi" w:hAnsiTheme="minorHAnsi" w:cstheme="minorHAnsi"/>
              </w:rPr>
              <w:fldChar w:fldCharType="separate"/>
            </w:r>
            <w:r w:rsidR="009749A0">
              <w:t>6</w:t>
            </w:r>
            <w:r w:rsidR="00D12BB9">
              <w:rPr>
                <w:rFonts w:asciiTheme="minorHAnsi" w:hAnsiTheme="minorHAnsi" w:cstheme="minorHAnsi"/>
              </w:rPr>
              <w:fldChar w:fldCharType="end"/>
            </w:r>
            <w:r w:rsidRPr="00BD6C5F">
              <w:rPr>
                <w:rFonts w:asciiTheme="minorHAnsi" w:hAnsiTheme="minorHAnsi" w:cstheme="minorHAnsi"/>
              </w:rPr>
              <w:t xml:space="preserve"> (Guidance only)</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Schedule_9 \h </w:instrText>
            </w:r>
            <w:r w:rsidR="00D12BB9">
              <w:rPr>
                <w:rFonts w:asciiTheme="minorHAnsi" w:hAnsiTheme="minorHAnsi" w:cstheme="minorHAnsi"/>
              </w:rPr>
            </w:r>
            <w:r w:rsidR="00D12BB9">
              <w:rPr>
                <w:rFonts w:asciiTheme="minorHAnsi" w:hAnsiTheme="minorHAnsi" w:cstheme="minorHAnsi"/>
              </w:rPr>
              <w:fldChar w:fldCharType="separate"/>
            </w:r>
            <w:r w:rsidR="009749A0">
              <w:t>9</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Schedule_12 \h </w:instrText>
            </w:r>
            <w:r w:rsidR="00D12BB9">
              <w:rPr>
                <w:rFonts w:asciiTheme="minorHAnsi" w:hAnsiTheme="minorHAnsi" w:cstheme="minorHAnsi"/>
              </w:rPr>
            </w:r>
            <w:r w:rsidR="00D12BB9">
              <w:rPr>
                <w:rFonts w:asciiTheme="minorHAnsi" w:hAnsiTheme="minorHAnsi" w:cstheme="minorHAnsi"/>
              </w:rPr>
              <w:fldChar w:fldCharType="separate"/>
            </w:r>
            <w:r w:rsidR="009749A0">
              <w:t>12</w:t>
            </w:r>
            <w:r w:rsidR="00D12BB9">
              <w:rPr>
                <w:rFonts w:asciiTheme="minorHAnsi" w:hAnsiTheme="minorHAnsi" w:cstheme="minorHAnsi"/>
              </w:rPr>
              <w:fldChar w:fldCharType="end"/>
            </w:r>
            <w:r w:rsidRPr="00BD6C5F">
              <w:rPr>
                <w:rFonts w:asciiTheme="minorHAnsi" w:hAnsiTheme="minorHAnsi" w:cstheme="minorHAnsi"/>
              </w:rPr>
              <w:t xml:space="preserve"> (minor updates only)</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Schedule_18 \h </w:instrText>
            </w:r>
            <w:r w:rsidR="00D12BB9">
              <w:rPr>
                <w:rFonts w:asciiTheme="minorHAnsi" w:hAnsiTheme="minorHAnsi" w:cstheme="minorHAnsi"/>
              </w:rPr>
            </w:r>
            <w:r w:rsidR="00D12BB9">
              <w:rPr>
                <w:rFonts w:asciiTheme="minorHAnsi" w:hAnsiTheme="minorHAnsi" w:cstheme="minorHAnsi"/>
              </w:rPr>
              <w:fldChar w:fldCharType="separate"/>
            </w:r>
            <w:r w:rsidR="009749A0">
              <w:t>18</w:t>
            </w:r>
            <w:r w:rsidR="00D12BB9">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D12BB9">
              <w:rPr>
                <w:rFonts w:asciiTheme="minorHAnsi" w:hAnsiTheme="minorHAnsi" w:cstheme="minorHAnsi"/>
              </w:rPr>
              <w:fldChar w:fldCharType="begin"/>
            </w:r>
            <w:r w:rsidR="00D12BB9">
              <w:rPr>
                <w:rFonts w:asciiTheme="minorHAnsi" w:hAnsiTheme="minorHAnsi" w:cstheme="minorHAnsi"/>
              </w:rPr>
              <w:instrText xml:space="preserve"> REF Schedule_19 \h </w:instrText>
            </w:r>
            <w:r w:rsidR="00D12BB9">
              <w:rPr>
                <w:rFonts w:asciiTheme="minorHAnsi" w:hAnsiTheme="minorHAnsi" w:cstheme="minorHAnsi"/>
              </w:rPr>
            </w:r>
            <w:r w:rsidR="00D12BB9">
              <w:rPr>
                <w:rFonts w:asciiTheme="minorHAnsi" w:hAnsiTheme="minorHAnsi" w:cstheme="minorHAnsi"/>
              </w:rPr>
              <w:fldChar w:fldCharType="separate"/>
            </w:r>
            <w:r w:rsidR="009749A0">
              <w:t>19</w:t>
            </w:r>
            <w:r w:rsidR="00D12BB9">
              <w:rPr>
                <w:rFonts w:asciiTheme="minorHAnsi" w:hAnsiTheme="minorHAnsi" w:cstheme="minorHAnsi"/>
              </w:rPr>
              <w:fldChar w:fldCharType="end"/>
            </w:r>
            <w:r w:rsidRPr="00BD6C5F">
              <w:rPr>
                <w:rFonts w:asciiTheme="minorHAnsi" w:hAnsiTheme="minorHAnsi" w:cstheme="minorHAnsi"/>
              </w:rPr>
              <w:t xml:space="preserve"> (minor updates only),</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Schedule_23 \h </w:instrText>
            </w:r>
            <w:r w:rsidR="00056976">
              <w:rPr>
                <w:rFonts w:asciiTheme="minorHAnsi" w:hAnsiTheme="minorHAnsi" w:cstheme="minorHAnsi"/>
              </w:rPr>
            </w:r>
            <w:r w:rsidR="00056976">
              <w:rPr>
                <w:rFonts w:asciiTheme="minorHAnsi" w:hAnsiTheme="minorHAnsi" w:cstheme="minorHAnsi"/>
              </w:rPr>
              <w:fldChar w:fldCharType="separate"/>
            </w:r>
            <w:r w:rsidR="009749A0">
              <w:t>23</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rPr>
              <w:lastRenderedPageBreak/>
              <w:t>(very minor updates only)</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Schedule_24 \h </w:instrText>
            </w:r>
            <w:r w:rsidR="00056976">
              <w:rPr>
                <w:rFonts w:asciiTheme="minorHAnsi" w:hAnsiTheme="minorHAnsi" w:cstheme="minorHAnsi"/>
              </w:rPr>
            </w:r>
            <w:r w:rsidR="00056976">
              <w:rPr>
                <w:rFonts w:asciiTheme="minorHAnsi" w:hAnsiTheme="minorHAnsi" w:cstheme="minorHAnsi"/>
              </w:rPr>
              <w:fldChar w:fldCharType="separate"/>
            </w:r>
            <w:r w:rsidR="009749A0">
              <w:t>24</w:t>
            </w:r>
            <w:r w:rsidR="00056976">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Schedule_25 \h </w:instrText>
            </w:r>
            <w:r w:rsidR="00056976">
              <w:rPr>
                <w:rFonts w:asciiTheme="minorHAnsi" w:hAnsiTheme="minorHAnsi" w:cstheme="minorHAnsi"/>
              </w:rPr>
            </w:r>
            <w:r w:rsidR="00056976">
              <w:rPr>
                <w:rFonts w:asciiTheme="minorHAnsi" w:hAnsiTheme="minorHAnsi" w:cstheme="minorHAnsi"/>
              </w:rPr>
              <w:fldChar w:fldCharType="separate"/>
            </w:r>
            <w:r w:rsidR="009749A0">
              <w:t>25</w:t>
            </w:r>
            <w:r w:rsidR="00056976">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Schedule_26 \h </w:instrText>
            </w:r>
            <w:r w:rsidR="00056976">
              <w:rPr>
                <w:rFonts w:asciiTheme="minorHAnsi" w:hAnsiTheme="minorHAnsi" w:cstheme="minorHAnsi"/>
              </w:rPr>
            </w:r>
            <w:r w:rsidR="00056976">
              <w:rPr>
                <w:rFonts w:asciiTheme="minorHAnsi" w:hAnsiTheme="minorHAnsi" w:cstheme="minorHAnsi"/>
              </w:rPr>
              <w:fldChar w:fldCharType="separate"/>
            </w:r>
            <w:r w:rsidR="009749A0">
              <w:t>26</w:t>
            </w:r>
            <w:r w:rsidR="00056976">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Schedule_28 \h </w:instrText>
            </w:r>
            <w:r w:rsidR="00056976">
              <w:rPr>
                <w:rFonts w:asciiTheme="minorHAnsi" w:hAnsiTheme="minorHAnsi" w:cstheme="minorHAnsi"/>
              </w:rPr>
            </w:r>
            <w:r w:rsidR="00056976">
              <w:rPr>
                <w:rFonts w:asciiTheme="minorHAnsi" w:hAnsiTheme="minorHAnsi" w:cstheme="minorHAnsi"/>
              </w:rPr>
              <w:fldChar w:fldCharType="separate"/>
            </w:r>
            <w:r w:rsidR="009749A0">
              <w:t>28</w:t>
            </w:r>
            <w:r w:rsidR="00056976">
              <w:rPr>
                <w:rFonts w:asciiTheme="minorHAnsi" w:hAnsiTheme="minorHAnsi" w:cstheme="minorHAnsi"/>
              </w:rPr>
              <w:fldChar w:fldCharType="end"/>
            </w:r>
            <w:r w:rsidRPr="00BD6C5F">
              <w:rPr>
                <w:rFonts w:asciiTheme="minorHAnsi" w:hAnsiTheme="minorHAnsi" w:cstheme="minorHAnsi"/>
              </w:rPr>
              <w:t>,</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Schedule_29 \h </w:instrText>
            </w:r>
            <w:r w:rsidR="00056976">
              <w:rPr>
                <w:rFonts w:asciiTheme="minorHAnsi" w:hAnsiTheme="minorHAnsi" w:cstheme="minorHAnsi"/>
              </w:rPr>
            </w:r>
            <w:r w:rsidR="00056976">
              <w:rPr>
                <w:rFonts w:asciiTheme="minorHAnsi" w:hAnsiTheme="minorHAnsi" w:cstheme="minorHAnsi"/>
              </w:rPr>
              <w:fldChar w:fldCharType="separate"/>
            </w:r>
            <w:r w:rsidR="009749A0">
              <w:t>29</w:t>
            </w:r>
            <w:r w:rsidR="00056976">
              <w:rPr>
                <w:rFonts w:asciiTheme="minorHAnsi" w:hAnsiTheme="minorHAnsi" w:cstheme="minorHAnsi"/>
              </w:rPr>
              <w:fldChar w:fldCharType="end"/>
            </w:r>
            <w:r w:rsidRPr="00BD6C5F">
              <w:rPr>
                <w:rFonts w:asciiTheme="minorHAnsi" w:hAnsiTheme="minorHAnsi" w:cstheme="minorHAnsi"/>
              </w:rPr>
              <w:t xml:space="preserve"> (minor updates only),</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Schedule_30 \h </w:instrText>
            </w:r>
            <w:r w:rsidR="00056976">
              <w:rPr>
                <w:rFonts w:asciiTheme="minorHAnsi" w:hAnsiTheme="minorHAnsi" w:cstheme="minorHAnsi"/>
              </w:rPr>
            </w:r>
            <w:r w:rsidR="00056976">
              <w:rPr>
                <w:rFonts w:asciiTheme="minorHAnsi" w:hAnsiTheme="minorHAnsi" w:cstheme="minorHAnsi"/>
              </w:rPr>
              <w:fldChar w:fldCharType="separate"/>
            </w:r>
            <w:r w:rsidR="009749A0">
              <w:t>30</w:t>
            </w:r>
            <w:r w:rsidR="00056976">
              <w:rPr>
                <w:rFonts w:asciiTheme="minorHAnsi" w:hAnsiTheme="minorHAnsi" w:cstheme="minorHAnsi"/>
              </w:rPr>
              <w:fldChar w:fldCharType="end"/>
            </w:r>
            <w:r w:rsidRPr="00BD6C5F">
              <w:rPr>
                <w:rFonts w:asciiTheme="minorHAnsi" w:hAnsiTheme="minorHAnsi" w:cstheme="minorHAnsi"/>
              </w:rPr>
              <w:t xml:space="preserve"> (very minor updates only), and</w:t>
            </w:r>
            <w:r w:rsidR="00DD05A6"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Schedule_31 \h </w:instrText>
            </w:r>
            <w:r w:rsidR="00056976">
              <w:rPr>
                <w:rFonts w:asciiTheme="minorHAnsi" w:hAnsiTheme="minorHAnsi" w:cstheme="minorHAnsi"/>
              </w:rPr>
            </w:r>
            <w:r w:rsidR="00056976">
              <w:rPr>
                <w:rFonts w:asciiTheme="minorHAnsi" w:hAnsiTheme="minorHAnsi" w:cstheme="minorHAnsi"/>
              </w:rPr>
              <w:fldChar w:fldCharType="separate"/>
            </w:r>
            <w:r w:rsidR="009749A0">
              <w:t>31</w:t>
            </w:r>
            <w:r w:rsidR="00056976">
              <w:rPr>
                <w:rFonts w:asciiTheme="minorHAnsi" w:hAnsiTheme="minorHAnsi" w:cstheme="minorHAnsi"/>
              </w:rPr>
              <w:fldChar w:fldCharType="end"/>
            </w:r>
            <w:r w:rsidRPr="00BD6C5F">
              <w:rPr>
                <w:rFonts w:asciiTheme="minorHAnsi" w:hAnsiTheme="minorHAnsi" w:cstheme="minorHAnsi"/>
              </w:rPr>
              <w:t>.</w:t>
            </w:r>
          </w:p>
        </w:tc>
      </w:tr>
      <w:tr w:rsidR="00821CF0" w:rsidRPr="00BD6C5F" w14:paraId="1CA571C5" w14:textId="77777777" w:rsidTr="003E65E3">
        <w:trPr>
          <w:trHeight w:val="57"/>
        </w:trPr>
        <w:tc>
          <w:tcPr>
            <w:tcW w:w="2154" w:type="dxa"/>
          </w:tcPr>
          <w:p w14:paraId="71A3019D" w14:textId="43293FED" w:rsidR="00821CF0" w:rsidRPr="00AC5B85" w:rsidRDefault="00EC0D9B" w:rsidP="00821CF0">
            <w:pPr>
              <w:pStyle w:val="Tabletext"/>
            </w:pPr>
            <w:sdt>
              <w:sdtPr>
                <w:tag w:val="goog_rdk_2"/>
                <w:id w:val="-2001806210"/>
              </w:sdtPr>
              <w:sdtEndPr/>
              <w:sdtContent>
                <w:r w:rsidR="00821CF0" w:rsidRPr="00AC5B85">
                  <w:t>2.1</w:t>
                </w:r>
              </w:sdtContent>
            </w:sdt>
          </w:p>
        </w:tc>
        <w:tc>
          <w:tcPr>
            <w:tcW w:w="2268" w:type="dxa"/>
          </w:tcPr>
          <w:p w14:paraId="1581E9A3" w14:textId="20BF1468" w:rsidR="00821CF0" w:rsidRPr="00AC5B85" w:rsidRDefault="00873BB8" w:rsidP="00821CF0">
            <w:pPr>
              <w:pStyle w:val="Tabletext"/>
            </w:pPr>
            <w:r>
              <w:t>August</w:t>
            </w:r>
            <w:r w:rsidR="00821CF0" w:rsidRPr="00AC5B85">
              <w:t xml:space="preserve"> 2023</w:t>
            </w:r>
          </w:p>
        </w:tc>
        <w:tc>
          <w:tcPr>
            <w:tcW w:w="5783" w:type="dxa"/>
          </w:tcPr>
          <w:p w14:paraId="33ECC099" w14:textId="7FB07105" w:rsidR="00821CF0" w:rsidRDefault="00821CF0" w:rsidP="00821CF0">
            <w:pPr>
              <w:pStyle w:val="Tabletext"/>
              <w:rPr>
                <w:szCs w:val="20"/>
              </w:rPr>
            </w:pPr>
            <w:r>
              <w:t xml:space="preserve">Addition of indemnities and move from breach of contract to indemnities for some liabilities to align model contracts. Updates to limitation of liability. Amendments to Power of Attorney provisions. Simplification of supply chain protection provisions. Updates to and simplification of the GDPR data protection clauses. Amendments to Modern Slavery clauses. Amendments to severance clauses. Updates to Security Management Schedule. Amendments to Insurance Schedule. Amendments to Software Schedule. Amendments to Charges and Invoicing Schedule. Amendments to Benchmarking Schedule. Updates to Change Control Procedure Schedule. Updates to Reports and Records Schedule. Amendments to Exit Management Schedule. Amendments to Staff Transfer Schedule. </w:t>
            </w:r>
            <w:r w:rsidR="001C7EC2">
              <w:t>Amendments to</w:t>
            </w:r>
            <w:r>
              <w:t xml:space="preserve"> IPR Schedule and updates to IPR provisions in Core Terms and Software Schedule. </w:t>
            </w:r>
            <w:r w:rsidRPr="0064079D">
              <w:t>Numerous</w:t>
            </w:r>
            <w:r>
              <w:t xml:space="preserve"> other</w:t>
            </w:r>
            <w:r w:rsidRPr="0064079D">
              <w:t xml:space="preserve"> minor changes and improvements.</w:t>
            </w:r>
            <w:r>
              <w:t xml:space="preserve"> </w:t>
            </w:r>
          </w:p>
        </w:tc>
      </w:tr>
    </w:tbl>
    <w:p w14:paraId="726E8611" w14:textId="365FE407" w:rsidR="00BC7DDA" w:rsidRPr="00BD6C5F" w:rsidRDefault="00F92113" w:rsidP="000D48A4">
      <w:pPr>
        <w:pStyle w:val="TOCHeading"/>
      </w:pPr>
      <w:r w:rsidRPr="00BD6C5F">
        <w:lastRenderedPageBreak/>
        <w:t>Schedules, Annexes and Parts</w:t>
      </w:r>
    </w:p>
    <w:p w14:paraId="646CF6C4" w14:textId="6A479CC6" w:rsidR="00873BB8" w:rsidRDefault="00292300">
      <w:pPr>
        <w:pStyle w:val="TOC1"/>
        <w:rPr>
          <w:rFonts w:asciiTheme="minorHAnsi" w:eastAsiaTheme="minorEastAsia" w:hAnsiTheme="minorHAnsi" w:cstheme="minorBidi"/>
          <w:b w:val="0"/>
          <w:noProof/>
          <w:color w:val="auto"/>
          <w:sz w:val="22"/>
          <w:szCs w:val="22"/>
          <w:lang w:eastAsia="en-GB"/>
        </w:rPr>
      </w:pPr>
      <w:r w:rsidRPr="00BD6C5F">
        <w:rPr>
          <w:rFonts w:asciiTheme="minorHAnsi" w:hAnsiTheme="minorHAnsi" w:cstheme="minorHAnsi"/>
          <w:b w:val="0"/>
        </w:rPr>
        <w:fldChar w:fldCharType="begin"/>
      </w:r>
      <w:r w:rsidRPr="00BD6C5F">
        <w:rPr>
          <w:rFonts w:asciiTheme="minorHAnsi" w:hAnsiTheme="minorHAnsi" w:cstheme="minorHAnsi"/>
          <w:b w:val="0"/>
        </w:rPr>
        <w:instrText xml:space="preserve"> TOC \h \z \t "Heading 1,1,Heading 2,2" </w:instrText>
      </w:r>
      <w:r w:rsidRPr="00BD6C5F">
        <w:rPr>
          <w:rFonts w:asciiTheme="minorHAnsi" w:hAnsiTheme="minorHAnsi" w:cstheme="minorHAnsi"/>
          <w:b w:val="0"/>
        </w:rPr>
        <w:fldChar w:fldCharType="separate"/>
      </w:r>
      <w:hyperlink w:anchor="_Toc141720969" w:history="1">
        <w:r w:rsidR="00873BB8" w:rsidRPr="00B73DAE">
          <w:rPr>
            <w:rStyle w:val="Hyperlink"/>
            <w:noProof/>
            <w:lang w:bidi="en-US"/>
          </w:rPr>
          <w:t>Schedule 1: Definitions</w:t>
        </w:r>
        <w:r w:rsidR="00873BB8">
          <w:rPr>
            <w:noProof/>
            <w:webHidden/>
          </w:rPr>
          <w:tab/>
        </w:r>
        <w:r w:rsidR="00873BB8">
          <w:rPr>
            <w:noProof/>
            <w:webHidden/>
          </w:rPr>
          <w:fldChar w:fldCharType="begin"/>
        </w:r>
        <w:r w:rsidR="00873BB8">
          <w:rPr>
            <w:noProof/>
            <w:webHidden/>
          </w:rPr>
          <w:instrText xml:space="preserve"> PAGEREF _Toc141720969 \h </w:instrText>
        </w:r>
        <w:r w:rsidR="00873BB8">
          <w:rPr>
            <w:noProof/>
            <w:webHidden/>
          </w:rPr>
        </w:r>
        <w:r w:rsidR="00873BB8">
          <w:rPr>
            <w:noProof/>
            <w:webHidden/>
          </w:rPr>
          <w:fldChar w:fldCharType="separate"/>
        </w:r>
        <w:r w:rsidR="00873BB8">
          <w:rPr>
            <w:rFonts w:hint="eastAsia"/>
            <w:noProof/>
            <w:webHidden/>
          </w:rPr>
          <w:t>9</w:t>
        </w:r>
        <w:r w:rsidR="00873BB8">
          <w:rPr>
            <w:noProof/>
            <w:webHidden/>
          </w:rPr>
          <w:fldChar w:fldCharType="end"/>
        </w:r>
      </w:hyperlink>
    </w:p>
    <w:p w14:paraId="4343AE6B" w14:textId="5C0ED991"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70" w:history="1">
        <w:r w:rsidR="00873BB8" w:rsidRPr="00B73DAE">
          <w:rPr>
            <w:rStyle w:val="Hyperlink"/>
            <w:noProof/>
            <w:lang w:bidi="en-US"/>
          </w:rPr>
          <w:t>Schedule 2: Services Description</w:t>
        </w:r>
        <w:r w:rsidR="00873BB8">
          <w:rPr>
            <w:noProof/>
            <w:webHidden/>
          </w:rPr>
          <w:tab/>
        </w:r>
        <w:r w:rsidR="00873BB8">
          <w:rPr>
            <w:noProof/>
            <w:webHidden/>
          </w:rPr>
          <w:fldChar w:fldCharType="begin"/>
        </w:r>
        <w:r w:rsidR="00873BB8">
          <w:rPr>
            <w:noProof/>
            <w:webHidden/>
          </w:rPr>
          <w:instrText xml:space="preserve"> PAGEREF _Toc141720970 \h </w:instrText>
        </w:r>
        <w:r w:rsidR="00873BB8">
          <w:rPr>
            <w:noProof/>
            <w:webHidden/>
          </w:rPr>
        </w:r>
        <w:r w:rsidR="00873BB8">
          <w:rPr>
            <w:noProof/>
            <w:webHidden/>
          </w:rPr>
          <w:fldChar w:fldCharType="separate"/>
        </w:r>
        <w:r w:rsidR="00873BB8">
          <w:rPr>
            <w:rFonts w:hint="eastAsia"/>
            <w:noProof/>
            <w:webHidden/>
          </w:rPr>
          <w:t>58</w:t>
        </w:r>
        <w:r w:rsidR="00873BB8">
          <w:rPr>
            <w:noProof/>
            <w:webHidden/>
          </w:rPr>
          <w:fldChar w:fldCharType="end"/>
        </w:r>
      </w:hyperlink>
    </w:p>
    <w:p w14:paraId="16872A52" w14:textId="1720847C"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71" w:history="1">
        <w:r w:rsidR="00873BB8" w:rsidRPr="00B73DAE">
          <w:rPr>
            <w:rStyle w:val="Hyperlink"/>
            <w:noProof/>
            <w:lang w:bidi="en-US"/>
          </w:rPr>
          <w:t>Schedule 3: Performance Levels</w:t>
        </w:r>
        <w:r w:rsidR="00873BB8">
          <w:rPr>
            <w:noProof/>
            <w:webHidden/>
          </w:rPr>
          <w:tab/>
        </w:r>
        <w:r w:rsidR="00873BB8">
          <w:rPr>
            <w:noProof/>
            <w:webHidden/>
          </w:rPr>
          <w:fldChar w:fldCharType="begin"/>
        </w:r>
        <w:r w:rsidR="00873BB8">
          <w:rPr>
            <w:noProof/>
            <w:webHidden/>
          </w:rPr>
          <w:instrText xml:space="preserve"> PAGEREF _Toc141720971 \h </w:instrText>
        </w:r>
        <w:r w:rsidR="00873BB8">
          <w:rPr>
            <w:noProof/>
            <w:webHidden/>
          </w:rPr>
        </w:r>
        <w:r w:rsidR="00873BB8">
          <w:rPr>
            <w:noProof/>
            <w:webHidden/>
          </w:rPr>
          <w:fldChar w:fldCharType="separate"/>
        </w:r>
        <w:r w:rsidR="00873BB8">
          <w:rPr>
            <w:rFonts w:hint="eastAsia"/>
            <w:noProof/>
            <w:webHidden/>
          </w:rPr>
          <w:t>60</w:t>
        </w:r>
        <w:r w:rsidR="00873BB8">
          <w:rPr>
            <w:noProof/>
            <w:webHidden/>
          </w:rPr>
          <w:fldChar w:fldCharType="end"/>
        </w:r>
      </w:hyperlink>
    </w:p>
    <w:p w14:paraId="5A6F5165" w14:textId="1886E1CF" w:rsidR="00873BB8" w:rsidRDefault="00EC0D9B">
      <w:pPr>
        <w:pStyle w:val="TOC2"/>
        <w:rPr>
          <w:rFonts w:asciiTheme="minorHAnsi" w:eastAsiaTheme="minorEastAsia" w:hAnsiTheme="minorHAnsi" w:cstheme="minorBidi"/>
          <w:noProof/>
          <w:sz w:val="22"/>
          <w:szCs w:val="22"/>
          <w:lang w:eastAsia="en-GB"/>
        </w:rPr>
      </w:pPr>
      <w:hyperlink w:anchor="_Toc141720972" w:history="1">
        <w:r w:rsidR="00873BB8" w:rsidRPr="00B73DAE">
          <w:rPr>
            <w:rStyle w:val="Hyperlink"/>
            <w:noProof/>
          </w:rPr>
          <w:t>Part A: Performance Indicators and Service Credits</w:t>
        </w:r>
        <w:r w:rsidR="00873BB8">
          <w:rPr>
            <w:noProof/>
            <w:webHidden/>
          </w:rPr>
          <w:tab/>
        </w:r>
        <w:r w:rsidR="00873BB8">
          <w:rPr>
            <w:noProof/>
            <w:webHidden/>
          </w:rPr>
          <w:fldChar w:fldCharType="begin"/>
        </w:r>
        <w:r w:rsidR="00873BB8">
          <w:rPr>
            <w:noProof/>
            <w:webHidden/>
          </w:rPr>
          <w:instrText xml:space="preserve"> PAGEREF _Toc141720972 \h </w:instrText>
        </w:r>
        <w:r w:rsidR="00873BB8">
          <w:rPr>
            <w:noProof/>
            <w:webHidden/>
          </w:rPr>
        </w:r>
        <w:r w:rsidR="00873BB8">
          <w:rPr>
            <w:noProof/>
            <w:webHidden/>
          </w:rPr>
          <w:fldChar w:fldCharType="separate"/>
        </w:r>
        <w:r w:rsidR="00873BB8">
          <w:rPr>
            <w:noProof/>
            <w:webHidden/>
          </w:rPr>
          <w:t>61</w:t>
        </w:r>
        <w:r w:rsidR="00873BB8">
          <w:rPr>
            <w:noProof/>
            <w:webHidden/>
          </w:rPr>
          <w:fldChar w:fldCharType="end"/>
        </w:r>
      </w:hyperlink>
    </w:p>
    <w:p w14:paraId="7B928613" w14:textId="1AA1F644" w:rsidR="00873BB8" w:rsidRDefault="00EC0D9B">
      <w:pPr>
        <w:pStyle w:val="TOC2"/>
        <w:rPr>
          <w:rFonts w:asciiTheme="minorHAnsi" w:eastAsiaTheme="minorEastAsia" w:hAnsiTheme="minorHAnsi" w:cstheme="minorBidi"/>
          <w:noProof/>
          <w:sz w:val="22"/>
          <w:szCs w:val="22"/>
          <w:lang w:eastAsia="en-GB"/>
        </w:rPr>
      </w:pPr>
      <w:hyperlink w:anchor="_Toc141720973" w:history="1">
        <w:r w:rsidR="00873BB8" w:rsidRPr="00B73DAE">
          <w:rPr>
            <w:rStyle w:val="Hyperlink"/>
            <w:noProof/>
          </w:rPr>
          <w:t>Part B: Performance Monitoring</w:t>
        </w:r>
        <w:r w:rsidR="00873BB8">
          <w:rPr>
            <w:noProof/>
            <w:webHidden/>
          </w:rPr>
          <w:tab/>
        </w:r>
        <w:r w:rsidR="00873BB8">
          <w:rPr>
            <w:noProof/>
            <w:webHidden/>
          </w:rPr>
          <w:fldChar w:fldCharType="begin"/>
        </w:r>
        <w:r w:rsidR="00873BB8">
          <w:rPr>
            <w:noProof/>
            <w:webHidden/>
          </w:rPr>
          <w:instrText xml:space="preserve"> PAGEREF _Toc141720973 \h </w:instrText>
        </w:r>
        <w:r w:rsidR="00873BB8">
          <w:rPr>
            <w:noProof/>
            <w:webHidden/>
          </w:rPr>
        </w:r>
        <w:r w:rsidR="00873BB8">
          <w:rPr>
            <w:noProof/>
            <w:webHidden/>
          </w:rPr>
          <w:fldChar w:fldCharType="separate"/>
        </w:r>
        <w:r w:rsidR="00873BB8">
          <w:rPr>
            <w:noProof/>
            <w:webHidden/>
          </w:rPr>
          <w:t>64</w:t>
        </w:r>
        <w:r w:rsidR="00873BB8">
          <w:rPr>
            <w:noProof/>
            <w:webHidden/>
          </w:rPr>
          <w:fldChar w:fldCharType="end"/>
        </w:r>
      </w:hyperlink>
    </w:p>
    <w:p w14:paraId="3F2E86CE" w14:textId="09DB45B2" w:rsidR="00873BB8" w:rsidRDefault="00EC0D9B">
      <w:pPr>
        <w:pStyle w:val="TOC2"/>
        <w:rPr>
          <w:rFonts w:asciiTheme="minorHAnsi" w:eastAsiaTheme="minorEastAsia" w:hAnsiTheme="minorHAnsi" w:cstheme="minorBidi"/>
          <w:noProof/>
          <w:sz w:val="22"/>
          <w:szCs w:val="22"/>
          <w:lang w:eastAsia="en-GB"/>
        </w:rPr>
      </w:pPr>
      <w:hyperlink w:anchor="_Toc141720974" w:history="1">
        <w:r w:rsidR="00873BB8" w:rsidRPr="00B73DAE">
          <w:rPr>
            <w:rStyle w:val="Hyperlink"/>
            <w:noProof/>
          </w:rPr>
          <w:t>Annex 1: Key Performance Indicators and Subsidiary Performance Indicators</w:t>
        </w:r>
        <w:r w:rsidR="00873BB8">
          <w:rPr>
            <w:noProof/>
            <w:webHidden/>
          </w:rPr>
          <w:tab/>
        </w:r>
        <w:r w:rsidR="00873BB8">
          <w:rPr>
            <w:noProof/>
            <w:webHidden/>
          </w:rPr>
          <w:fldChar w:fldCharType="begin"/>
        </w:r>
        <w:r w:rsidR="00873BB8">
          <w:rPr>
            <w:noProof/>
            <w:webHidden/>
          </w:rPr>
          <w:instrText xml:space="preserve"> PAGEREF _Toc141720974 \h </w:instrText>
        </w:r>
        <w:r w:rsidR="00873BB8">
          <w:rPr>
            <w:noProof/>
            <w:webHidden/>
          </w:rPr>
        </w:r>
        <w:r w:rsidR="00873BB8">
          <w:rPr>
            <w:noProof/>
            <w:webHidden/>
          </w:rPr>
          <w:fldChar w:fldCharType="separate"/>
        </w:r>
        <w:r w:rsidR="00873BB8">
          <w:rPr>
            <w:noProof/>
            <w:webHidden/>
          </w:rPr>
          <w:t>67</w:t>
        </w:r>
        <w:r w:rsidR="00873BB8">
          <w:rPr>
            <w:noProof/>
            <w:webHidden/>
          </w:rPr>
          <w:fldChar w:fldCharType="end"/>
        </w:r>
      </w:hyperlink>
    </w:p>
    <w:p w14:paraId="76F66912" w14:textId="0443808C" w:rsidR="00873BB8" w:rsidRDefault="00EC0D9B">
      <w:pPr>
        <w:pStyle w:val="TOC2"/>
        <w:rPr>
          <w:rFonts w:asciiTheme="minorHAnsi" w:eastAsiaTheme="minorEastAsia" w:hAnsiTheme="minorHAnsi" w:cstheme="minorBidi"/>
          <w:noProof/>
          <w:sz w:val="22"/>
          <w:szCs w:val="22"/>
          <w:lang w:eastAsia="en-GB"/>
        </w:rPr>
      </w:pPr>
      <w:hyperlink w:anchor="_Toc141720975" w:history="1">
        <w:r w:rsidR="00873BB8" w:rsidRPr="00B73DAE">
          <w:rPr>
            <w:rStyle w:val="Hyperlink"/>
            <w:noProof/>
          </w:rPr>
          <w:t>Part A: Key Performance Indicators and Subsidiary Performance Indicators Tables</w:t>
        </w:r>
        <w:r w:rsidR="00873BB8">
          <w:rPr>
            <w:noProof/>
            <w:webHidden/>
          </w:rPr>
          <w:tab/>
        </w:r>
        <w:r w:rsidR="00873BB8">
          <w:rPr>
            <w:noProof/>
            <w:webHidden/>
          </w:rPr>
          <w:fldChar w:fldCharType="begin"/>
        </w:r>
        <w:r w:rsidR="00873BB8">
          <w:rPr>
            <w:noProof/>
            <w:webHidden/>
          </w:rPr>
          <w:instrText xml:space="preserve"> PAGEREF _Toc141720975 \h </w:instrText>
        </w:r>
        <w:r w:rsidR="00873BB8">
          <w:rPr>
            <w:noProof/>
            <w:webHidden/>
          </w:rPr>
        </w:r>
        <w:r w:rsidR="00873BB8">
          <w:rPr>
            <w:noProof/>
            <w:webHidden/>
          </w:rPr>
          <w:fldChar w:fldCharType="separate"/>
        </w:r>
        <w:r w:rsidR="00873BB8">
          <w:rPr>
            <w:noProof/>
            <w:webHidden/>
          </w:rPr>
          <w:t>67</w:t>
        </w:r>
        <w:r w:rsidR="00873BB8">
          <w:rPr>
            <w:noProof/>
            <w:webHidden/>
          </w:rPr>
          <w:fldChar w:fldCharType="end"/>
        </w:r>
      </w:hyperlink>
    </w:p>
    <w:p w14:paraId="6629C861" w14:textId="775A7F13" w:rsidR="00873BB8" w:rsidRDefault="00EC0D9B">
      <w:pPr>
        <w:pStyle w:val="TOC2"/>
        <w:rPr>
          <w:rFonts w:asciiTheme="minorHAnsi" w:eastAsiaTheme="minorEastAsia" w:hAnsiTheme="minorHAnsi" w:cstheme="minorBidi"/>
          <w:noProof/>
          <w:sz w:val="22"/>
          <w:szCs w:val="22"/>
          <w:lang w:eastAsia="en-GB"/>
        </w:rPr>
      </w:pPr>
      <w:hyperlink w:anchor="_Toc141720976" w:history="1">
        <w:r w:rsidR="00873BB8" w:rsidRPr="00B73DAE">
          <w:rPr>
            <w:rStyle w:val="Hyperlink"/>
            <w:noProof/>
          </w:rPr>
          <w:t>Part B: Definitions</w:t>
        </w:r>
        <w:r w:rsidR="00873BB8">
          <w:rPr>
            <w:noProof/>
            <w:webHidden/>
          </w:rPr>
          <w:tab/>
        </w:r>
        <w:r w:rsidR="00873BB8">
          <w:rPr>
            <w:noProof/>
            <w:webHidden/>
          </w:rPr>
          <w:fldChar w:fldCharType="begin"/>
        </w:r>
        <w:r w:rsidR="00873BB8">
          <w:rPr>
            <w:noProof/>
            <w:webHidden/>
          </w:rPr>
          <w:instrText xml:space="preserve"> PAGEREF _Toc141720976 \h </w:instrText>
        </w:r>
        <w:r w:rsidR="00873BB8">
          <w:rPr>
            <w:noProof/>
            <w:webHidden/>
          </w:rPr>
        </w:r>
        <w:r w:rsidR="00873BB8">
          <w:rPr>
            <w:noProof/>
            <w:webHidden/>
          </w:rPr>
          <w:fldChar w:fldCharType="separate"/>
        </w:r>
        <w:r w:rsidR="00873BB8">
          <w:rPr>
            <w:noProof/>
            <w:webHidden/>
          </w:rPr>
          <w:t>77</w:t>
        </w:r>
        <w:r w:rsidR="00873BB8">
          <w:rPr>
            <w:noProof/>
            <w:webHidden/>
          </w:rPr>
          <w:fldChar w:fldCharType="end"/>
        </w:r>
      </w:hyperlink>
    </w:p>
    <w:p w14:paraId="6BF9205B" w14:textId="4D253D73"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77" w:history="1">
        <w:r w:rsidR="00873BB8" w:rsidRPr="00B73DAE">
          <w:rPr>
            <w:rStyle w:val="Hyperlink"/>
            <w:noProof/>
            <w:lang w:bidi="en-US"/>
          </w:rPr>
          <w:t>Schedule 4: Standards</w:t>
        </w:r>
        <w:r w:rsidR="00873BB8">
          <w:rPr>
            <w:noProof/>
            <w:webHidden/>
          </w:rPr>
          <w:tab/>
        </w:r>
        <w:r w:rsidR="00873BB8">
          <w:rPr>
            <w:noProof/>
            <w:webHidden/>
          </w:rPr>
          <w:fldChar w:fldCharType="begin"/>
        </w:r>
        <w:r w:rsidR="00873BB8">
          <w:rPr>
            <w:noProof/>
            <w:webHidden/>
          </w:rPr>
          <w:instrText xml:space="preserve"> PAGEREF _Toc141720977 \h </w:instrText>
        </w:r>
        <w:r w:rsidR="00873BB8">
          <w:rPr>
            <w:noProof/>
            <w:webHidden/>
          </w:rPr>
        </w:r>
        <w:r w:rsidR="00873BB8">
          <w:rPr>
            <w:noProof/>
            <w:webHidden/>
          </w:rPr>
          <w:fldChar w:fldCharType="separate"/>
        </w:r>
        <w:r w:rsidR="00873BB8">
          <w:rPr>
            <w:rFonts w:hint="eastAsia"/>
            <w:noProof/>
            <w:webHidden/>
          </w:rPr>
          <w:t>82</w:t>
        </w:r>
        <w:r w:rsidR="00873BB8">
          <w:rPr>
            <w:noProof/>
            <w:webHidden/>
          </w:rPr>
          <w:fldChar w:fldCharType="end"/>
        </w:r>
      </w:hyperlink>
    </w:p>
    <w:p w14:paraId="4F5B2B35" w14:textId="5FA271D7" w:rsidR="00873BB8" w:rsidRDefault="00EC0D9B">
      <w:pPr>
        <w:pStyle w:val="TOC2"/>
        <w:rPr>
          <w:rFonts w:asciiTheme="minorHAnsi" w:eastAsiaTheme="minorEastAsia" w:hAnsiTheme="minorHAnsi" w:cstheme="minorBidi"/>
          <w:noProof/>
          <w:sz w:val="22"/>
          <w:szCs w:val="22"/>
          <w:lang w:eastAsia="en-GB"/>
        </w:rPr>
      </w:pPr>
      <w:hyperlink w:anchor="_Toc141720978" w:history="1">
        <w:r w:rsidR="00873BB8" w:rsidRPr="00B73DAE">
          <w:rPr>
            <w:rStyle w:val="Hyperlink"/>
            <w:noProof/>
          </w:rPr>
          <w:t>Annex 1 Sustainability</w:t>
        </w:r>
        <w:r w:rsidR="00873BB8">
          <w:rPr>
            <w:noProof/>
            <w:webHidden/>
          </w:rPr>
          <w:tab/>
        </w:r>
        <w:r w:rsidR="00873BB8">
          <w:rPr>
            <w:noProof/>
            <w:webHidden/>
          </w:rPr>
          <w:fldChar w:fldCharType="begin"/>
        </w:r>
        <w:r w:rsidR="00873BB8">
          <w:rPr>
            <w:noProof/>
            <w:webHidden/>
          </w:rPr>
          <w:instrText xml:space="preserve"> PAGEREF _Toc141720978 \h </w:instrText>
        </w:r>
        <w:r w:rsidR="00873BB8">
          <w:rPr>
            <w:noProof/>
            <w:webHidden/>
          </w:rPr>
        </w:r>
        <w:r w:rsidR="00873BB8">
          <w:rPr>
            <w:noProof/>
            <w:webHidden/>
          </w:rPr>
          <w:fldChar w:fldCharType="separate"/>
        </w:r>
        <w:r w:rsidR="00873BB8">
          <w:rPr>
            <w:noProof/>
            <w:webHidden/>
          </w:rPr>
          <w:t>85</w:t>
        </w:r>
        <w:r w:rsidR="00873BB8">
          <w:rPr>
            <w:noProof/>
            <w:webHidden/>
          </w:rPr>
          <w:fldChar w:fldCharType="end"/>
        </w:r>
      </w:hyperlink>
    </w:p>
    <w:p w14:paraId="77957CAC" w14:textId="6384D2BA"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79" w:history="1">
        <w:r w:rsidR="00873BB8" w:rsidRPr="00B73DAE">
          <w:rPr>
            <w:rStyle w:val="Hyperlink"/>
            <w:noProof/>
            <w:lang w:bidi="en-US"/>
          </w:rPr>
          <w:t>Schedule 5: Security Management</w:t>
        </w:r>
        <w:r w:rsidR="00873BB8">
          <w:rPr>
            <w:noProof/>
            <w:webHidden/>
          </w:rPr>
          <w:tab/>
        </w:r>
        <w:r w:rsidR="00873BB8">
          <w:rPr>
            <w:noProof/>
            <w:webHidden/>
          </w:rPr>
          <w:fldChar w:fldCharType="begin"/>
        </w:r>
        <w:r w:rsidR="00873BB8">
          <w:rPr>
            <w:noProof/>
            <w:webHidden/>
          </w:rPr>
          <w:instrText xml:space="preserve"> PAGEREF _Toc141720979 \h </w:instrText>
        </w:r>
        <w:r w:rsidR="00873BB8">
          <w:rPr>
            <w:noProof/>
            <w:webHidden/>
          </w:rPr>
        </w:r>
        <w:r w:rsidR="00873BB8">
          <w:rPr>
            <w:noProof/>
            <w:webHidden/>
          </w:rPr>
          <w:fldChar w:fldCharType="separate"/>
        </w:r>
        <w:r w:rsidR="00873BB8">
          <w:rPr>
            <w:rFonts w:hint="eastAsia"/>
            <w:noProof/>
            <w:webHidden/>
          </w:rPr>
          <w:t>92</w:t>
        </w:r>
        <w:r w:rsidR="00873BB8">
          <w:rPr>
            <w:noProof/>
            <w:webHidden/>
          </w:rPr>
          <w:fldChar w:fldCharType="end"/>
        </w:r>
      </w:hyperlink>
    </w:p>
    <w:p w14:paraId="3CDCCC51" w14:textId="379C17CC" w:rsidR="00873BB8" w:rsidRDefault="00EC0D9B">
      <w:pPr>
        <w:pStyle w:val="TOC2"/>
        <w:rPr>
          <w:rFonts w:asciiTheme="minorHAnsi" w:eastAsiaTheme="minorEastAsia" w:hAnsiTheme="minorHAnsi" w:cstheme="minorBidi"/>
          <w:noProof/>
          <w:sz w:val="22"/>
          <w:szCs w:val="22"/>
          <w:lang w:eastAsia="en-GB"/>
        </w:rPr>
      </w:pPr>
      <w:hyperlink w:anchor="_Toc141720980" w:history="1">
        <w:r w:rsidR="00873BB8" w:rsidRPr="00B73DAE">
          <w:rPr>
            <w:rStyle w:val="Hyperlink"/>
            <w:noProof/>
          </w:rPr>
          <w:t>Part A: Security Assurance</w:t>
        </w:r>
        <w:r w:rsidR="00873BB8">
          <w:rPr>
            <w:noProof/>
            <w:webHidden/>
          </w:rPr>
          <w:tab/>
        </w:r>
        <w:r w:rsidR="00873BB8">
          <w:rPr>
            <w:noProof/>
            <w:webHidden/>
          </w:rPr>
          <w:fldChar w:fldCharType="begin"/>
        </w:r>
        <w:r w:rsidR="00873BB8">
          <w:rPr>
            <w:noProof/>
            <w:webHidden/>
          </w:rPr>
          <w:instrText xml:space="preserve"> PAGEREF _Toc141720980 \h </w:instrText>
        </w:r>
        <w:r w:rsidR="00873BB8">
          <w:rPr>
            <w:noProof/>
            <w:webHidden/>
          </w:rPr>
        </w:r>
        <w:r w:rsidR="00873BB8">
          <w:rPr>
            <w:noProof/>
            <w:webHidden/>
          </w:rPr>
          <w:fldChar w:fldCharType="separate"/>
        </w:r>
        <w:r w:rsidR="00873BB8">
          <w:rPr>
            <w:noProof/>
            <w:webHidden/>
          </w:rPr>
          <w:t>95</w:t>
        </w:r>
        <w:r w:rsidR="00873BB8">
          <w:rPr>
            <w:noProof/>
            <w:webHidden/>
          </w:rPr>
          <w:fldChar w:fldCharType="end"/>
        </w:r>
      </w:hyperlink>
    </w:p>
    <w:p w14:paraId="7D9726C0" w14:textId="29F1CCE7" w:rsidR="00873BB8" w:rsidRDefault="00EC0D9B">
      <w:pPr>
        <w:pStyle w:val="TOC2"/>
        <w:rPr>
          <w:rFonts w:asciiTheme="minorHAnsi" w:eastAsiaTheme="minorEastAsia" w:hAnsiTheme="minorHAnsi" w:cstheme="minorBidi"/>
          <w:noProof/>
          <w:sz w:val="22"/>
          <w:szCs w:val="22"/>
          <w:lang w:eastAsia="en-GB"/>
        </w:rPr>
      </w:pPr>
      <w:hyperlink w:anchor="_Toc141720981" w:history="1">
        <w:r w:rsidR="00873BB8" w:rsidRPr="00B73DAE">
          <w:rPr>
            <w:rStyle w:val="Hyperlink"/>
            <w:noProof/>
          </w:rPr>
          <w:t>Annex 1: Security Requirements</w:t>
        </w:r>
        <w:r w:rsidR="00873BB8">
          <w:rPr>
            <w:noProof/>
            <w:webHidden/>
          </w:rPr>
          <w:tab/>
        </w:r>
        <w:r w:rsidR="00873BB8">
          <w:rPr>
            <w:noProof/>
            <w:webHidden/>
          </w:rPr>
          <w:fldChar w:fldCharType="begin"/>
        </w:r>
        <w:r w:rsidR="00873BB8">
          <w:rPr>
            <w:noProof/>
            <w:webHidden/>
          </w:rPr>
          <w:instrText xml:space="preserve"> PAGEREF _Toc141720981 \h </w:instrText>
        </w:r>
        <w:r w:rsidR="00873BB8">
          <w:rPr>
            <w:noProof/>
            <w:webHidden/>
          </w:rPr>
        </w:r>
        <w:r w:rsidR="00873BB8">
          <w:rPr>
            <w:noProof/>
            <w:webHidden/>
          </w:rPr>
          <w:fldChar w:fldCharType="separate"/>
        </w:r>
        <w:r w:rsidR="00873BB8">
          <w:rPr>
            <w:noProof/>
            <w:webHidden/>
          </w:rPr>
          <w:t>107</w:t>
        </w:r>
        <w:r w:rsidR="00873BB8">
          <w:rPr>
            <w:noProof/>
            <w:webHidden/>
          </w:rPr>
          <w:fldChar w:fldCharType="end"/>
        </w:r>
      </w:hyperlink>
    </w:p>
    <w:p w14:paraId="2AB68019" w14:textId="6C171BB6" w:rsidR="00873BB8" w:rsidRDefault="00EC0D9B">
      <w:pPr>
        <w:pStyle w:val="TOC2"/>
        <w:rPr>
          <w:rFonts w:asciiTheme="minorHAnsi" w:eastAsiaTheme="minorEastAsia" w:hAnsiTheme="minorHAnsi" w:cstheme="minorBidi"/>
          <w:noProof/>
          <w:sz w:val="22"/>
          <w:szCs w:val="22"/>
          <w:lang w:eastAsia="en-GB"/>
        </w:rPr>
      </w:pPr>
      <w:hyperlink w:anchor="_Toc141720982" w:history="1">
        <w:r w:rsidR="00873BB8" w:rsidRPr="00B73DAE">
          <w:rPr>
            <w:rStyle w:val="Hyperlink"/>
            <w:noProof/>
          </w:rPr>
          <w:t>Annex 2: Security Requirements for Sub-Contractors</w:t>
        </w:r>
        <w:r w:rsidR="00873BB8">
          <w:rPr>
            <w:noProof/>
            <w:webHidden/>
          </w:rPr>
          <w:tab/>
        </w:r>
        <w:r w:rsidR="00873BB8">
          <w:rPr>
            <w:noProof/>
            <w:webHidden/>
          </w:rPr>
          <w:fldChar w:fldCharType="begin"/>
        </w:r>
        <w:r w:rsidR="00873BB8">
          <w:rPr>
            <w:noProof/>
            <w:webHidden/>
          </w:rPr>
          <w:instrText xml:space="preserve"> PAGEREF _Toc141720982 \h </w:instrText>
        </w:r>
        <w:r w:rsidR="00873BB8">
          <w:rPr>
            <w:noProof/>
            <w:webHidden/>
          </w:rPr>
        </w:r>
        <w:r w:rsidR="00873BB8">
          <w:rPr>
            <w:noProof/>
            <w:webHidden/>
          </w:rPr>
          <w:fldChar w:fldCharType="separate"/>
        </w:r>
        <w:r w:rsidR="00873BB8">
          <w:rPr>
            <w:noProof/>
            <w:webHidden/>
          </w:rPr>
          <w:t>114</w:t>
        </w:r>
        <w:r w:rsidR="00873BB8">
          <w:rPr>
            <w:noProof/>
            <w:webHidden/>
          </w:rPr>
          <w:fldChar w:fldCharType="end"/>
        </w:r>
      </w:hyperlink>
    </w:p>
    <w:p w14:paraId="365D0BBC" w14:textId="3AA4669C" w:rsidR="00873BB8" w:rsidRDefault="00EC0D9B">
      <w:pPr>
        <w:pStyle w:val="TOC2"/>
        <w:rPr>
          <w:rFonts w:asciiTheme="minorHAnsi" w:eastAsiaTheme="minorEastAsia" w:hAnsiTheme="minorHAnsi" w:cstheme="minorBidi"/>
          <w:noProof/>
          <w:sz w:val="22"/>
          <w:szCs w:val="22"/>
          <w:lang w:eastAsia="en-GB"/>
        </w:rPr>
      </w:pPr>
      <w:hyperlink w:anchor="_Toc141720983" w:history="1">
        <w:r w:rsidR="00873BB8" w:rsidRPr="00B73DAE">
          <w:rPr>
            <w:rStyle w:val="Hyperlink"/>
            <w:noProof/>
          </w:rPr>
          <w:t>Annex 3: Security Management Plan Template for Part A and Part B</w:t>
        </w:r>
        <w:r w:rsidR="00873BB8">
          <w:rPr>
            <w:noProof/>
            <w:webHidden/>
          </w:rPr>
          <w:tab/>
        </w:r>
        <w:r w:rsidR="00873BB8">
          <w:rPr>
            <w:noProof/>
            <w:webHidden/>
          </w:rPr>
          <w:fldChar w:fldCharType="begin"/>
        </w:r>
        <w:r w:rsidR="00873BB8">
          <w:rPr>
            <w:noProof/>
            <w:webHidden/>
          </w:rPr>
          <w:instrText xml:space="preserve"> PAGEREF _Toc141720983 \h </w:instrText>
        </w:r>
        <w:r w:rsidR="00873BB8">
          <w:rPr>
            <w:noProof/>
            <w:webHidden/>
          </w:rPr>
        </w:r>
        <w:r w:rsidR="00873BB8">
          <w:rPr>
            <w:noProof/>
            <w:webHidden/>
          </w:rPr>
          <w:fldChar w:fldCharType="separate"/>
        </w:r>
        <w:r w:rsidR="00873BB8">
          <w:rPr>
            <w:noProof/>
            <w:webHidden/>
          </w:rPr>
          <w:t>118</w:t>
        </w:r>
        <w:r w:rsidR="00873BB8">
          <w:rPr>
            <w:noProof/>
            <w:webHidden/>
          </w:rPr>
          <w:fldChar w:fldCharType="end"/>
        </w:r>
      </w:hyperlink>
    </w:p>
    <w:p w14:paraId="2A97FE2B" w14:textId="5FDAB2C1" w:rsidR="00873BB8" w:rsidRDefault="00EC0D9B">
      <w:pPr>
        <w:pStyle w:val="TOC2"/>
        <w:rPr>
          <w:rFonts w:asciiTheme="minorHAnsi" w:eastAsiaTheme="minorEastAsia" w:hAnsiTheme="minorHAnsi" w:cstheme="minorBidi"/>
          <w:noProof/>
          <w:sz w:val="22"/>
          <w:szCs w:val="22"/>
          <w:lang w:eastAsia="en-GB"/>
        </w:rPr>
      </w:pPr>
      <w:hyperlink w:anchor="_Toc141720984" w:history="1">
        <w:r w:rsidR="00873BB8" w:rsidRPr="00B73DAE">
          <w:rPr>
            <w:rStyle w:val="Hyperlink"/>
            <w:noProof/>
          </w:rPr>
          <w:t>Part B: Security Accreditation</w:t>
        </w:r>
        <w:r w:rsidR="00873BB8">
          <w:rPr>
            <w:noProof/>
            <w:webHidden/>
          </w:rPr>
          <w:tab/>
        </w:r>
        <w:r w:rsidR="00873BB8">
          <w:rPr>
            <w:noProof/>
            <w:webHidden/>
          </w:rPr>
          <w:fldChar w:fldCharType="begin"/>
        </w:r>
        <w:r w:rsidR="00873BB8">
          <w:rPr>
            <w:noProof/>
            <w:webHidden/>
          </w:rPr>
          <w:instrText xml:space="preserve"> PAGEREF _Toc141720984 \h </w:instrText>
        </w:r>
        <w:r w:rsidR="00873BB8">
          <w:rPr>
            <w:noProof/>
            <w:webHidden/>
          </w:rPr>
        </w:r>
        <w:r w:rsidR="00873BB8">
          <w:rPr>
            <w:noProof/>
            <w:webHidden/>
          </w:rPr>
          <w:fldChar w:fldCharType="separate"/>
        </w:r>
        <w:r w:rsidR="00873BB8">
          <w:rPr>
            <w:noProof/>
            <w:webHidden/>
          </w:rPr>
          <w:t>124</w:t>
        </w:r>
        <w:r w:rsidR="00873BB8">
          <w:rPr>
            <w:noProof/>
            <w:webHidden/>
          </w:rPr>
          <w:fldChar w:fldCharType="end"/>
        </w:r>
      </w:hyperlink>
    </w:p>
    <w:p w14:paraId="23FE8D6B" w14:textId="4FE58A93" w:rsidR="00873BB8" w:rsidRDefault="00EC0D9B">
      <w:pPr>
        <w:pStyle w:val="TOC2"/>
        <w:rPr>
          <w:rFonts w:asciiTheme="minorHAnsi" w:eastAsiaTheme="minorEastAsia" w:hAnsiTheme="minorHAnsi" w:cstheme="minorBidi"/>
          <w:noProof/>
          <w:sz w:val="22"/>
          <w:szCs w:val="22"/>
          <w:lang w:eastAsia="en-GB"/>
        </w:rPr>
      </w:pPr>
      <w:hyperlink w:anchor="_Toc141720985" w:history="1">
        <w:r w:rsidR="00873BB8" w:rsidRPr="00B73DAE">
          <w:rPr>
            <w:rStyle w:val="Hyperlink"/>
            <w:noProof/>
          </w:rPr>
          <w:t>Annex 1: Baseline Security Requirements</w:t>
        </w:r>
        <w:r w:rsidR="00873BB8">
          <w:rPr>
            <w:noProof/>
            <w:webHidden/>
          </w:rPr>
          <w:tab/>
        </w:r>
        <w:r w:rsidR="00873BB8">
          <w:rPr>
            <w:noProof/>
            <w:webHidden/>
          </w:rPr>
          <w:fldChar w:fldCharType="begin"/>
        </w:r>
        <w:r w:rsidR="00873BB8">
          <w:rPr>
            <w:noProof/>
            <w:webHidden/>
          </w:rPr>
          <w:instrText xml:space="preserve"> PAGEREF _Toc141720985 \h </w:instrText>
        </w:r>
        <w:r w:rsidR="00873BB8">
          <w:rPr>
            <w:noProof/>
            <w:webHidden/>
          </w:rPr>
        </w:r>
        <w:r w:rsidR="00873BB8">
          <w:rPr>
            <w:noProof/>
            <w:webHidden/>
          </w:rPr>
          <w:fldChar w:fldCharType="separate"/>
        </w:r>
        <w:r w:rsidR="00873BB8">
          <w:rPr>
            <w:noProof/>
            <w:webHidden/>
          </w:rPr>
          <w:t>143</w:t>
        </w:r>
        <w:r w:rsidR="00873BB8">
          <w:rPr>
            <w:noProof/>
            <w:webHidden/>
          </w:rPr>
          <w:fldChar w:fldCharType="end"/>
        </w:r>
      </w:hyperlink>
    </w:p>
    <w:p w14:paraId="7783F485" w14:textId="6EA8290C" w:rsidR="00873BB8" w:rsidRDefault="00EC0D9B">
      <w:pPr>
        <w:pStyle w:val="TOC2"/>
        <w:rPr>
          <w:rFonts w:asciiTheme="minorHAnsi" w:eastAsiaTheme="minorEastAsia" w:hAnsiTheme="minorHAnsi" w:cstheme="minorBidi"/>
          <w:noProof/>
          <w:sz w:val="22"/>
          <w:szCs w:val="22"/>
          <w:lang w:eastAsia="en-GB"/>
        </w:rPr>
      </w:pPr>
      <w:hyperlink w:anchor="_Toc141720986" w:history="1">
        <w:r w:rsidR="00873BB8" w:rsidRPr="00B73DAE">
          <w:rPr>
            <w:rStyle w:val="Hyperlink"/>
            <w:noProof/>
          </w:rPr>
          <w:t>Annex 2: Security Requirements for Sub-Contractors</w:t>
        </w:r>
        <w:r w:rsidR="00873BB8">
          <w:rPr>
            <w:noProof/>
            <w:webHidden/>
          </w:rPr>
          <w:tab/>
        </w:r>
        <w:r w:rsidR="00873BB8">
          <w:rPr>
            <w:noProof/>
            <w:webHidden/>
          </w:rPr>
          <w:fldChar w:fldCharType="begin"/>
        </w:r>
        <w:r w:rsidR="00873BB8">
          <w:rPr>
            <w:noProof/>
            <w:webHidden/>
          </w:rPr>
          <w:instrText xml:space="preserve"> PAGEREF _Toc141720986 \h </w:instrText>
        </w:r>
        <w:r w:rsidR="00873BB8">
          <w:rPr>
            <w:noProof/>
            <w:webHidden/>
          </w:rPr>
        </w:r>
        <w:r w:rsidR="00873BB8">
          <w:rPr>
            <w:noProof/>
            <w:webHidden/>
          </w:rPr>
          <w:fldChar w:fldCharType="separate"/>
        </w:r>
        <w:r w:rsidR="00873BB8">
          <w:rPr>
            <w:noProof/>
            <w:webHidden/>
          </w:rPr>
          <w:t>148</w:t>
        </w:r>
        <w:r w:rsidR="00873BB8">
          <w:rPr>
            <w:noProof/>
            <w:webHidden/>
          </w:rPr>
          <w:fldChar w:fldCharType="end"/>
        </w:r>
      </w:hyperlink>
    </w:p>
    <w:p w14:paraId="1C488A6E" w14:textId="49656662" w:rsidR="00873BB8" w:rsidRDefault="00EC0D9B">
      <w:pPr>
        <w:pStyle w:val="TOC2"/>
        <w:rPr>
          <w:rFonts w:asciiTheme="minorHAnsi" w:eastAsiaTheme="minorEastAsia" w:hAnsiTheme="minorHAnsi" w:cstheme="minorBidi"/>
          <w:noProof/>
          <w:sz w:val="22"/>
          <w:szCs w:val="22"/>
          <w:lang w:eastAsia="en-GB"/>
        </w:rPr>
      </w:pPr>
      <w:hyperlink w:anchor="_Toc141720987" w:history="1">
        <w:r w:rsidR="00873BB8" w:rsidRPr="00B73DAE">
          <w:rPr>
            <w:rStyle w:val="Hyperlink"/>
            <w:noProof/>
          </w:rPr>
          <w:t>Annex 3: [Information Management System</w:t>
        </w:r>
        <w:r w:rsidR="00873BB8">
          <w:rPr>
            <w:noProof/>
            <w:webHidden/>
          </w:rPr>
          <w:tab/>
        </w:r>
        <w:r w:rsidR="00873BB8">
          <w:rPr>
            <w:noProof/>
            <w:webHidden/>
          </w:rPr>
          <w:fldChar w:fldCharType="begin"/>
        </w:r>
        <w:r w:rsidR="00873BB8">
          <w:rPr>
            <w:noProof/>
            <w:webHidden/>
          </w:rPr>
          <w:instrText xml:space="preserve"> PAGEREF _Toc141720987 \h </w:instrText>
        </w:r>
        <w:r w:rsidR="00873BB8">
          <w:rPr>
            <w:noProof/>
            <w:webHidden/>
          </w:rPr>
        </w:r>
        <w:r w:rsidR="00873BB8">
          <w:rPr>
            <w:noProof/>
            <w:webHidden/>
          </w:rPr>
          <w:fldChar w:fldCharType="separate"/>
        </w:r>
        <w:r w:rsidR="00873BB8">
          <w:rPr>
            <w:noProof/>
            <w:webHidden/>
          </w:rPr>
          <w:t>152</w:t>
        </w:r>
        <w:r w:rsidR="00873BB8">
          <w:rPr>
            <w:noProof/>
            <w:webHidden/>
          </w:rPr>
          <w:fldChar w:fldCharType="end"/>
        </w:r>
      </w:hyperlink>
    </w:p>
    <w:p w14:paraId="25F35808" w14:textId="55C2F1D3"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88" w:history="1">
        <w:r w:rsidR="00873BB8" w:rsidRPr="00B73DAE">
          <w:rPr>
            <w:rStyle w:val="Hyperlink"/>
            <w:noProof/>
            <w:lang w:bidi="en-US"/>
          </w:rPr>
          <w:t>Schedule 6: Insurance Requirements</w:t>
        </w:r>
        <w:r w:rsidR="00873BB8">
          <w:rPr>
            <w:noProof/>
            <w:webHidden/>
          </w:rPr>
          <w:tab/>
        </w:r>
        <w:r w:rsidR="00873BB8">
          <w:rPr>
            <w:noProof/>
            <w:webHidden/>
          </w:rPr>
          <w:fldChar w:fldCharType="begin"/>
        </w:r>
        <w:r w:rsidR="00873BB8">
          <w:rPr>
            <w:noProof/>
            <w:webHidden/>
          </w:rPr>
          <w:instrText xml:space="preserve"> PAGEREF _Toc141720988 \h </w:instrText>
        </w:r>
        <w:r w:rsidR="00873BB8">
          <w:rPr>
            <w:noProof/>
            <w:webHidden/>
          </w:rPr>
        </w:r>
        <w:r w:rsidR="00873BB8">
          <w:rPr>
            <w:noProof/>
            <w:webHidden/>
          </w:rPr>
          <w:fldChar w:fldCharType="separate"/>
        </w:r>
        <w:r w:rsidR="00873BB8">
          <w:rPr>
            <w:rFonts w:hint="eastAsia"/>
            <w:noProof/>
            <w:webHidden/>
          </w:rPr>
          <w:t>154</w:t>
        </w:r>
        <w:r w:rsidR="00873BB8">
          <w:rPr>
            <w:noProof/>
            <w:webHidden/>
          </w:rPr>
          <w:fldChar w:fldCharType="end"/>
        </w:r>
      </w:hyperlink>
    </w:p>
    <w:p w14:paraId="0384FBFC" w14:textId="2BD486DB" w:rsidR="00873BB8" w:rsidRDefault="00EC0D9B">
      <w:pPr>
        <w:pStyle w:val="TOC2"/>
        <w:rPr>
          <w:rFonts w:asciiTheme="minorHAnsi" w:eastAsiaTheme="minorEastAsia" w:hAnsiTheme="minorHAnsi" w:cstheme="minorBidi"/>
          <w:noProof/>
          <w:sz w:val="22"/>
          <w:szCs w:val="22"/>
          <w:lang w:eastAsia="en-GB"/>
        </w:rPr>
      </w:pPr>
      <w:hyperlink w:anchor="_Toc141720989" w:history="1">
        <w:r w:rsidR="00873BB8" w:rsidRPr="00B73DAE">
          <w:rPr>
            <w:rStyle w:val="Hyperlink"/>
            <w:noProof/>
          </w:rPr>
          <w:t>Annex 1: Required Insurances</w:t>
        </w:r>
        <w:r w:rsidR="00873BB8">
          <w:rPr>
            <w:noProof/>
            <w:webHidden/>
          </w:rPr>
          <w:tab/>
        </w:r>
        <w:r w:rsidR="00873BB8">
          <w:rPr>
            <w:noProof/>
            <w:webHidden/>
          </w:rPr>
          <w:fldChar w:fldCharType="begin"/>
        </w:r>
        <w:r w:rsidR="00873BB8">
          <w:rPr>
            <w:noProof/>
            <w:webHidden/>
          </w:rPr>
          <w:instrText xml:space="preserve"> PAGEREF _Toc141720989 \h </w:instrText>
        </w:r>
        <w:r w:rsidR="00873BB8">
          <w:rPr>
            <w:noProof/>
            <w:webHidden/>
          </w:rPr>
        </w:r>
        <w:r w:rsidR="00873BB8">
          <w:rPr>
            <w:noProof/>
            <w:webHidden/>
          </w:rPr>
          <w:fldChar w:fldCharType="separate"/>
        </w:r>
        <w:r w:rsidR="00873BB8">
          <w:rPr>
            <w:noProof/>
            <w:webHidden/>
          </w:rPr>
          <w:t>156</w:t>
        </w:r>
        <w:r w:rsidR="00873BB8">
          <w:rPr>
            <w:noProof/>
            <w:webHidden/>
          </w:rPr>
          <w:fldChar w:fldCharType="end"/>
        </w:r>
      </w:hyperlink>
    </w:p>
    <w:p w14:paraId="1FC39431" w14:textId="46DB5B24"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0" w:history="1">
        <w:r w:rsidR="00873BB8" w:rsidRPr="00B73DAE">
          <w:rPr>
            <w:rStyle w:val="Hyperlink"/>
            <w:noProof/>
            <w:lang w:bidi="en-US"/>
          </w:rPr>
          <w:t>Schedule 7: Authority Responsibilities</w:t>
        </w:r>
        <w:r w:rsidR="00873BB8">
          <w:rPr>
            <w:noProof/>
            <w:webHidden/>
          </w:rPr>
          <w:tab/>
        </w:r>
        <w:r w:rsidR="00873BB8">
          <w:rPr>
            <w:noProof/>
            <w:webHidden/>
          </w:rPr>
          <w:fldChar w:fldCharType="begin"/>
        </w:r>
        <w:r w:rsidR="00873BB8">
          <w:rPr>
            <w:noProof/>
            <w:webHidden/>
          </w:rPr>
          <w:instrText xml:space="preserve"> PAGEREF _Toc141720990 \h </w:instrText>
        </w:r>
        <w:r w:rsidR="00873BB8">
          <w:rPr>
            <w:noProof/>
            <w:webHidden/>
          </w:rPr>
        </w:r>
        <w:r w:rsidR="00873BB8">
          <w:rPr>
            <w:noProof/>
            <w:webHidden/>
          </w:rPr>
          <w:fldChar w:fldCharType="separate"/>
        </w:r>
        <w:r w:rsidR="00873BB8">
          <w:rPr>
            <w:rFonts w:hint="eastAsia"/>
            <w:noProof/>
            <w:webHidden/>
          </w:rPr>
          <w:t>162</w:t>
        </w:r>
        <w:r w:rsidR="00873BB8">
          <w:rPr>
            <w:noProof/>
            <w:webHidden/>
          </w:rPr>
          <w:fldChar w:fldCharType="end"/>
        </w:r>
      </w:hyperlink>
    </w:p>
    <w:p w14:paraId="2D18E4A2" w14:textId="13C83846"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1" w:history="1">
        <w:r w:rsidR="00873BB8" w:rsidRPr="00B73DAE">
          <w:rPr>
            <w:rStyle w:val="Hyperlink"/>
            <w:noProof/>
            <w:lang w:bidi="en-US"/>
          </w:rPr>
          <w:t>Schedule 8: Supplier Solution</w:t>
        </w:r>
        <w:r w:rsidR="00873BB8">
          <w:rPr>
            <w:noProof/>
            <w:webHidden/>
          </w:rPr>
          <w:tab/>
        </w:r>
        <w:r w:rsidR="00873BB8">
          <w:rPr>
            <w:noProof/>
            <w:webHidden/>
          </w:rPr>
          <w:fldChar w:fldCharType="begin"/>
        </w:r>
        <w:r w:rsidR="00873BB8">
          <w:rPr>
            <w:noProof/>
            <w:webHidden/>
          </w:rPr>
          <w:instrText xml:space="preserve"> PAGEREF _Toc141720991 \h </w:instrText>
        </w:r>
        <w:r w:rsidR="00873BB8">
          <w:rPr>
            <w:noProof/>
            <w:webHidden/>
          </w:rPr>
        </w:r>
        <w:r w:rsidR="00873BB8">
          <w:rPr>
            <w:noProof/>
            <w:webHidden/>
          </w:rPr>
          <w:fldChar w:fldCharType="separate"/>
        </w:r>
        <w:r w:rsidR="00873BB8">
          <w:rPr>
            <w:rFonts w:hint="eastAsia"/>
            <w:noProof/>
            <w:webHidden/>
          </w:rPr>
          <w:t>165</w:t>
        </w:r>
        <w:r w:rsidR="00873BB8">
          <w:rPr>
            <w:noProof/>
            <w:webHidden/>
          </w:rPr>
          <w:fldChar w:fldCharType="end"/>
        </w:r>
      </w:hyperlink>
    </w:p>
    <w:p w14:paraId="2F07E39C" w14:textId="2A3EC070"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2" w:history="1">
        <w:r w:rsidR="00873BB8" w:rsidRPr="00B73DAE">
          <w:rPr>
            <w:rStyle w:val="Hyperlink"/>
            <w:noProof/>
            <w:lang w:bidi="en-US"/>
          </w:rPr>
          <w:t>Schedule 9: Commercially Sensitive Information</w:t>
        </w:r>
        <w:r w:rsidR="00873BB8">
          <w:rPr>
            <w:noProof/>
            <w:webHidden/>
          </w:rPr>
          <w:tab/>
        </w:r>
        <w:r w:rsidR="00873BB8">
          <w:rPr>
            <w:noProof/>
            <w:webHidden/>
          </w:rPr>
          <w:fldChar w:fldCharType="begin"/>
        </w:r>
        <w:r w:rsidR="00873BB8">
          <w:rPr>
            <w:noProof/>
            <w:webHidden/>
          </w:rPr>
          <w:instrText xml:space="preserve"> PAGEREF _Toc141720992 \h </w:instrText>
        </w:r>
        <w:r w:rsidR="00873BB8">
          <w:rPr>
            <w:noProof/>
            <w:webHidden/>
          </w:rPr>
        </w:r>
        <w:r w:rsidR="00873BB8">
          <w:rPr>
            <w:noProof/>
            <w:webHidden/>
          </w:rPr>
          <w:fldChar w:fldCharType="separate"/>
        </w:r>
        <w:r w:rsidR="00873BB8">
          <w:rPr>
            <w:rFonts w:hint="eastAsia"/>
            <w:noProof/>
            <w:webHidden/>
          </w:rPr>
          <w:t>167</w:t>
        </w:r>
        <w:r w:rsidR="00873BB8">
          <w:rPr>
            <w:noProof/>
            <w:webHidden/>
          </w:rPr>
          <w:fldChar w:fldCharType="end"/>
        </w:r>
      </w:hyperlink>
    </w:p>
    <w:p w14:paraId="5CB39975" w14:textId="31CA250D"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3" w:history="1">
        <w:r w:rsidR="00873BB8" w:rsidRPr="00B73DAE">
          <w:rPr>
            <w:rStyle w:val="Hyperlink"/>
            <w:noProof/>
            <w:lang w:bidi="en-US"/>
          </w:rPr>
          <w:t>Schedule 10: Notified Key Sub-contractors</w:t>
        </w:r>
        <w:r w:rsidR="00873BB8">
          <w:rPr>
            <w:noProof/>
            <w:webHidden/>
          </w:rPr>
          <w:tab/>
        </w:r>
        <w:r w:rsidR="00873BB8">
          <w:rPr>
            <w:noProof/>
            <w:webHidden/>
          </w:rPr>
          <w:fldChar w:fldCharType="begin"/>
        </w:r>
        <w:r w:rsidR="00873BB8">
          <w:rPr>
            <w:noProof/>
            <w:webHidden/>
          </w:rPr>
          <w:instrText xml:space="preserve"> PAGEREF _Toc141720993 \h </w:instrText>
        </w:r>
        <w:r w:rsidR="00873BB8">
          <w:rPr>
            <w:noProof/>
            <w:webHidden/>
          </w:rPr>
        </w:r>
        <w:r w:rsidR="00873BB8">
          <w:rPr>
            <w:noProof/>
            <w:webHidden/>
          </w:rPr>
          <w:fldChar w:fldCharType="separate"/>
        </w:r>
        <w:r w:rsidR="00873BB8">
          <w:rPr>
            <w:rFonts w:hint="eastAsia"/>
            <w:noProof/>
            <w:webHidden/>
          </w:rPr>
          <w:t>170</w:t>
        </w:r>
        <w:r w:rsidR="00873BB8">
          <w:rPr>
            <w:noProof/>
            <w:webHidden/>
          </w:rPr>
          <w:fldChar w:fldCharType="end"/>
        </w:r>
      </w:hyperlink>
    </w:p>
    <w:p w14:paraId="711309C6" w14:textId="306A22A8"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4" w:history="1">
        <w:r w:rsidR="00873BB8" w:rsidRPr="00B73DAE">
          <w:rPr>
            <w:rStyle w:val="Hyperlink"/>
            <w:noProof/>
            <w:lang w:bidi="en-US"/>
          </w:rPr>
          <w:t>Schedule 11: Third Party Contracts</w:t>
        </w:r>
        <w:r w:rsidR="00873BB8">
          <w:rPr>
            <w:noProof/>
            <w:webHidden/>
          </w:rPr>
          <w:tab/>
        </w:r>
        <w:r w:rsidR="00873BB8">
          <w:rPr>
            <w:noProof/>
            <w:webHidden/>
          </w:rPr>
          <w:fldChar w:fldCharType="begin"/>
        </w:r>
        <w:r w:rsidR="00873BB8">
          <w:rPr>
            <w:noProof/>
            <w:webHidden/>
          </w:rPr>
          <w:instrText xml:space="preserve"> PAGEREF _Toc141720994 \h </w:instrText>
        </w:r>
        <w:r w:rsidR="00873BB8">
          <w:rPr>
            <w:noProof/>
            <w:webHidden/>
          </w:rPr>
        </w:r>
        <w:r w:rsidR="00873BB8">
          <w:rPr>
            <w:noProof/>
            <w:webHidden/>
          </w:rPr>
          <w:fldChar w:fldCharType="separate"/>
        </w:r>
        <w:r w:rsidR="00873BB8">
          <w:rPr>
            <w:rFonts w:hint="eastAsia"/>
            <w:noProof/>
            <w:webHidden/>
          </w:rPr>
          <w:t>172</w:t>
        </w:r>
        <w:r w:rsidR="00873BB8">
          <w:rPr>
            <w:noProof/>
            <w:webHidden/>
          </w:rPr>
          <w:fldChar w:fldCharType="end"/>
        </w:r>
      </w:hyperlink>
    </w:p>
    <w:p w14:paraId="026ADCD5" w14:textId="1861D093"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5" w:history="1">
        <w:r w:rsidR="00873BB8" w:rsidRPr="00B73DAE">
          <w:rPr>
            <w:rStyle w:val="Hyperlink"/>
            <w:noProof/>
            <w:lang w:bidi="en-US"/>
          </w:rPr>
          <w:t>Schedule 12: Software</w:t>
        </w:r>
        <w:r w:rsidR="00873BB8">
          <w:rPr>
            <w:noProof/>
            <w:webHidden/>
          </w:rPr>
          <w:tab/>
        </w:r>
        <w:r w:rsidR="00873BB8">
          <w:rPr>
            <w:noProof/>
            <w:webHidden/>
          </w:rPr>
          <w:fldChar w:fldCharType="begin"/>
        </w:r>
        <w:r w:rsidR="00873BB8">
          <w:rPr>
            <w:noProof/>
            <w:webHidden/>
          </w:rPr>
          <w:instrText xml:space="preserve"> PAGEREF _Toc141720995 \h </w:instrText>
        </w:r>
        <w:r w:rsidR="00873BB8">
          <w:rPr>
            <w:noProof/>
            <w:webHidden/>
          </w:rPr>
        </w:r>
        <w:r w:rsidR="00873BB8">
          <w:rPr>
            <w:noProof/>
            <w:webHidden/>
          </w:rPr>
          <w:fldChar w:fldCharType="separate"/>
        </w:r>
        <w:r w:rsidR="00873BB8">
          <w:rPr>
            <w:rFonts w:hint="eastAsia"/>
            <w:noProof/>
            <w:webHidden/>
          </w:rPr>
          <w:t>174</w:t>
        </w:r>
        <w:r w:rsidR="00873BB8">
          <w:rPr>
            <w:noProof/>
            <w:webHidden/>
          </w:rPr>
          <w:fldChar w:fldCharType="end"/>
        </w:r>
      </w:hyperlink>
    </w:p>
    <w:p w14:paraId="58A67A12" w14:textId="70A4C723" w:rsidR="00873BB8" w:rsidRDefault="00EC0D9B">
      <w:pPr>
        <w:pStyle w:val="TOC2"/>
        <w:rPr>
          <w:rFonts w:asciiTheme="minorHAnsi" w:eastAsiaTheme="minorEastAsia" w:hAnsiTheme="minorHAnsi" w:cstheme="minorBidi"/>
          <w:noProof/>
          <w:sz w:val="22"/>
          <w:szCs w:val="22"/>
          <w:lang w:eastAsia="en-GB"/>
        </w:rPr>
      </w:pPr>
      <w:hyperlink w:anchor="_Toc141720996" w:history="1">
        <w:r w:rsidR="00873BB8" w:rsidRPr="00B73DAE">
          <w:rPr>
            <w:rStyle w:val="Hyperlink"/>
            <w:noProof/>
          </w:rPr>
          <w:t>Annex 1: Form of Confidentiality Undertaking</w:t>
        </w:r>
        <w:r w:rsidR="00873BB8">
          <w:rPr>
            <w:noProof/>
            <w:webHidden/>
          </w:rPr>
          <w:tab/>
        </w:r>
        <w:r w:rsidR="00873BB8">
          <w:rPr>
            <w:noProof/>
            <w:webHidden/>
          </w:rPr>
          <w:fldChar w:fldCharType="begin"/>
        </w:r>
        <w:r w:rsidR="00873BB8">
          <w:rPr>
            <w:noProof/>
            <w:webHidden/>
          </w:rPr>
          <w:instrText xml:space="preserve"> PAGEREF _Toc141720996 \h </w:instrText>
        </w:r>
        <w:r w:rsidR="00873BB8">
          <w:rPr>
            <w:noProof/>
            <w:webHidden/>
          </w:rPr>
        </w:r>
        <w:r w:rsidR="00873BB8">
          <w:rPr>
            <w:noProof/>
            <w:webHidden/>
          </w:rPr>
          <w:fldChar w:fldCharType="separate"/>
        </w:r>
        <w:r w:rsidR="00873BB8">
          <w:rPr>
            <w:noProof/>
            <w:webHidden/>
          </w:rPr>
          <w:t>176</w:t>
        </w:r>
        <w:r w:rsidR="00873BB8">
          <w:rPr>
            <w:noProof/>
            <w:webHidden/>
          </w:rPr>
          <w:fldChar w:fldCharType="end"/>
        </w:r>
      </w:hyperlink>
    </w:p>
    <w:p w14:paraId="05A5E235" w14:textId="29C1EC8D"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7" w:history="1">
        <w:r w:rsidR="00873BB8" w:rsidRPr="00B73DAE">
          <w:rPr>
            <w:rStyle w:val="Hyperlink"/>
            <w:noProof/>
            <w:lang w:bidi="en-US"/>
          </w:rPr>
          <w:t>Schedule 13: Implementation Plan</w:t>
        </w:r>
        <w:r w:rsidR="00873BB8">
          <w:rPr>
            <w:noProof/>
            <w:webHidden/>
          </w:rPr>
          <w:tab/>
        </w:r>
        <w:r w:rsidR="00873BB8">
          <w:rPr>
            <w:noProof/>
            <w:webHidden/>
          </w:rPr>
          <w:fldChar w:fldCharType="begin"/>
        </w:r>
        <w:r w:rsidR="00873BB8">
          <w:rPr>
            <w:noProof/>
            <w:webHidden/>
          </w:rPr>
          <w:instrText xml:space="preserve"> PAGEREF _Toc141720997 \h </w:instrText>
        </w:r>
        <w:r w:rsidR="00873BB8">
          <w:rPr>
            <w:noProof/>
            <w:webHidden/>
          </w:rPr>
        </w:r>
        <w:r w:rsidR="00873BB8">
          <w:rPr>
            <w:noProof/>
            <w:webHidden/>
          </w:rPr>
          <w:fldChar w:fldCharType="separate"/>
        </w:r>
        <w:r w:rsidR="00873BB8">
          <w:rPr>
            <w:rFonts w:hint="eastAsia"/>
            <w:noProof/>
            <w:webHidden/>
          </w:rPr>
          <w:t>184</w:t>
        </w:r>
        <w:r w:rsidR="00873BB8">
          <w:rPr>
            <w:noProof/>
            <w:webHidden/>
          </w:rPr>
          <w:fldChar w:fldCharType="end"/>
        </w:r>
      </w:hyperlink>
    </w:p>
    <w:p w14:paraId="47E3B151" w14:textId="55AE800A" w:rsidR="00873BB8" w:rsidRDefault="00EC0D9B">
      <w:pPr>
        <w:pStyle w:val="TOC2"/>
        <w:rPr>
          <w:rFonts w:asciiTheme="minorHAnsi" w:eastAsiaTheme="minorEastAsia" w:hAnsiTheme="minorHAnsi" w:cstheme="minorBidi"/>
          <w:noProof/>
          <w:sz w:val="22"/>
          <w:szCs w:val="22"/>
          <w:lang w:eastAsia="en-GB"/>
        </w:rPr>
      </w:pPr>
      <w:hyperlink w:anchor="_Toc141720998" w:history="1">
        <w:r w:rsidR="00873BB8" w:rsidRPr="00B73DAE">
          <w:rPr>
            <w:rStyle w:val="Hyperlink"/>
            <w:noProof/>
          </w:rPr>
          <w:t>Annex 1: Outline Implementation Plan</w:t>
        </w:r>
        <w:r w:rsidR="00873BB8">
          <w:rPr>
            <w:noProof/>
            <w:webHidden/>
          </w:rPr>
          <w:tab/>
        </w:r>
        <w:r w:rsidR="00873BB8">
          <w:rPr>
            <w:noProof/>
            <w:webHidden/>
          </w:rPr>
          <w:fldChar w:fldCharType="begin"/>
        </w:r>
        <w:r w:rsidR="00873BB8">
          <w:rPr>
            <w:noProof/>
            <w:webHidden/>
          </w:rPr>
          <w:instrText xml:space="preserve"> PAGEREF _Toc141720998 \h </w:instrText>
        </w:r>
        <w:r w:rsidR="00873BB8">
          <w:rPr>
            <w:noProof/>
            <w:webHidden/>
          </w:rPr>
        </w:r>
        <w:r w:rsidR="00873BB8">
          <w:rPr>
            <w:noProof/>
            <w:webHidden/>
          </w:rPr>
          <w:fldChar w:fldCharType="separate"/>
        </w:r>
        <w:r w:rsidR="00873BB8">
          <w:rPr>
            <w:noProof/>
            <w:webHidden/>
          </w:rPr>
          <w:t>187</w:t>
        </w:r>
        <w:r w:rsidR="00873BB8">
          <w:rPr>
            <w:noProof/>
            <w:webHidden/>
          </w:rPr>
          <w:fldChar w:fldCharType="end"/>
        </w:r>
      </w:hyperlink>
    </w:p>
    <w:p w14:paraId="051654C2" w14:textId="5C711AE1" w:rsidR="00873BB8" w:rsidRDefault="00EC0D9B">
      <w:pPr>
        <w:pStyle w:val="TOC1"/>
        <w:rPr>
          <w:rFonts w:asciiTheme="minorHAnsi" w:eastAsiaTheme="minorEastAsia" w:hAnsiTheme="minorHAnsi" w:cstheme="minorBidi"/>
          <w:b w:val="0"/>
          <w:noProof/>
          <w:color w:val="auto"/>
          <w:sz w:val="22"/>
          <w:szCs w:val="22"/>
          <w:lang w:eastAsia="en-GB"/>
        </w:rPr>
      </w:pPr>
      <w:hyperlink w:anchor="_Toc141720999" w:history="1">
        <w:r w:rsidR="00873BB8" w:rsidRPr="00B73DAE">
          <w:rPr>
            <w:rStyle w:val="Hyperlink"/>
            <w:noProof/>
            <w:lang w:bidi="en-US"/>
          </w:rPr>
          <w:t>Schedule 14: Testing Procedures</w:t>
        </w:r>
        <w:r w:rsidR="00873BB8">
          <w:rPr>
            <w:noProof/>
            <w:webHidden/>
          </w:rPr>
          <w:tab/>
        </w:r>
        <w:r w:rsidR="00873BB8">
          <w:rPr>
            <w:noProof/>
            <w:webHidden/>
          </w:rPr>
          <w:fldChar w:fldCharType="begin"/>
        </w:r>
        <w:r w:rsidR="00873BB8">
          <w:rPr>
            <w:noProof/>
            <w:webHidden/>
          </w:rPr>
          <w:instrText xml:space="preserve"> PAGEREF _Toc141720999 \h </w:instrText>
        </w:r>
        <w:r w:rsidR="00873BB8">
          <w:rPr>
            <w:noProof/>
            <w:webHidden/>
          </w:rPr>
        </w:r>
        <w:r w:rsidR="00873BB8">
          <w:rPr>
            <w:noProof/>
            <w:webHidden/>
          </w:rPr>
          <w:fldChar w:fldCharType="separate"/>
        </w:r>
        <w:r w:rsidR="00873BB8">
          <w:rPr>
            <w:rFonts w:hint="eastAsia"/>
            <w:noProof/>
            <w:webHidden/>
          </w:rPr>
          <w:t>190</w:t>
        </w:r>
        <w:r w:rsidR="00873BB8">
          <w:rPr>
            <w:noProof/>
            <w:webHidden/>
          </w:rPr>
          <w:fldChar w:fldCharType="end"/>
        </w:r>
      </w:hyperlink>
    </w:p>
    <w:p w14:paraId="44BE5245" w14:textId="3C32E01D" w:rsidR="00873BB8" w:rsidRDefault="00EC0D9B">
      <w:pPr>
        <w:pStyle w:val="TOC2"/>
        <w:rPr>
          <w:rFonts w:asciiTheme="minorHAnsi" w:eastAsiaTheme="minorEastAsia" w:hAnsiTheme="minorHAnsi" w:cstheme="minorBidi"/>
          <w:noProof/>
          <w:sz w:val="22"/>
          <w:szCs w:val="22"/>
          <w:lang w:eastAsia="en-GB"/>
        </w:rPr>
      </w:pPr>
      <w:hyperlink w:anchor="_Toc141721000" w:history="1">
        <w:r w:rsidR="00873BB8" w:rsidRPr="00B73DAE">
          <w:rPr>
            <w:rStyle w:val="Hyperlink"/>
            <w:noProof/>
          </w:rPr>
          <w:t>Annex 1: Test Issues – Severity Levels</w:t>
        </w:r>
        <w:r w:rsidR="00873BB8">
          <w:rPr>
            <w:noProof/>
            <w:webHidden/>
          </w:rPr>
          <w:tab/>
        </w:r>
        <w:r w:rsidR="00873BB8">
          <w:rPr>
            <w:noProof/>
            <w:webHidden/>
          </w:rPr>
          <w:fldChar w:fldCharType="begin"/>
        </w:r>
        <w:r w:rsidR="00873BB8">
          <w:rPr>
            <w:noProof/>
            <w:webHidden/>
          </w:rPr>
          <w:instrText xml:space="preserve"> PAGEREF _Toc141721000 \h </w:instrText>
        </w:r>
        <w:r w:rsidR="00873BB8">
          <w:rPr>
            <w:noProof/>
            <w:webHidden/>
          </w:rPr>
        </w:r>
        <w:r w:rsidR="00873BB8">
          <w:rPr>
            <w:noProof/>
            <w:webHidden/>
          </w:rPr>
          <w:fldChar w:fldCharType="separate"/>
        </w:r>
        <w:r w:rsidR="00873BB8">
          <w:rPr>
            <w:noProof/>
            <w:webHidden/>
          </w:rPr>
          <w:t>199</w:t>
        </w:r>
        <w:r w:rsidR="00873BB8">
          <w:rPr>
            <w:noProof/>
            <w:webHidden/>
          </w:rPr>
          <w:fldChar w:fldCharType="end"/>
        </w:r>
      </w:hyperlink>
    </w:p>
    <w:p w14:paraId="5466F8F5" w14:textId="5C5A64C9" w:rsidR="00873BB8" w:rsidRDefault="00EC0D9B">
      <w:pPr>
        <w:pStyle w:val="TOC2"/>
        <w:rPr>
          <w:rFonts w:asciiTheme="minorHAnsi" w:eastAsiaTheme="minorEastAsia" w:hAnsiTheme="minorHAnsi" w:cstheme="minorBidi"/>
          <w:noProof/>
          <w:sz w:val="22"/>
          <w:szCs w:val="22"/>
          <w:lang w:eastAsia="en-GB"/>
        </w:rPr>
      </w:pPr>
      <w:hyperlink w:anchor="_Toc141721001" w:history="1">
        <w:r w:rsidR="00873BB8" w:rsidRPr="00B73DAE">
          <w:rPr>
            <w:rStyle w:val="Hyperlink"/>
            <w:noProof/>
          </w:rPr>
          <w:t>Annex 2: Test Certificate</w:t>
        </w:r>
        <w:r w:rsidR="00873BB8">
          <w:rPr>
            <w:noProof/>
            <w:webHidden/>
          </w:rPr>
          <w:tab/>
        </w:r>
        <w:r w:rsidR="00873BB8">
          <w:rPr>
            <w:noProof/>
            <w:webHidden/>
          </w:rPr>
          <w:fldChar w:fldCharType="begin"/>
        </w:r>
        <w:r w:rsidR="00873BB8">
          <w:rPr>
            <w:noProof/>
            <w:webHidden/>
          </w:rPr>
          <w:instrText xml:space="preserve"> PAGEREF _Toc141721001 \h </w:instrText>
        </w:r>
        <w:r w:rsidR="00873BB8">
          <w:rPr>
            <w:noProof/>
            <w:webHidden/>
          </w:rPr>
        </w:r>
        <w:r w:rsidR="00873BB8">
          <w:rPr>
            <w:noProof/>
            <w:webHidden/>
          </w:rPr>
          <w:fldChar w:fldCharType="separate"/>
        </w:r>
        <w:r w:rsidR="00873BB8">
          <w:rPr>
            <w:noProof/>
            <w:webHidden/>
          </w:rPr>
          <w:t>200</w:t>
        </w:r>
        <w:r w:rsidR="00873BB8">
          <w:rPr>
            <w:noProof/>
            <w:webHidden/>
          </w:rPr>
          <w:fldChar w:fldCharType="end"/>
        </w:r>
      </w:hyperlink>
    </w:p>
    <w:p w14:paraId="0D69AB52" w14:textId="713BC14C" w:rsidR="00873BB8" w:rsidRDefault="00EC0D9B">
      <w:pPr>
        <w:pStyle w:val="TOC2"/>
        <w:rPr>
          <w:rFonts w:asciiTheme="minorHAnsi" w:eastAsiaTheme="minorEastAsia" w:hAnsiTheme="minorHAnsi" w:cstheme="minorBidi"/>
          <w:noProof/>
          <w:sz w:val="22"/>
          <w:szCs w:val="22"/>
          <w:lang w:eastAsia="en-GB"/>
        </w:rPr>
      </w:pPr>
      <w:hyperlink w:anchor="_Toc141721002" w:history="1">
        <w:r w:rsidR="00873BB8" w:rsidRPr="00B73DAE">
          <w:rPr>
            <w:rStyle w:val="Hyperlink"/>
            <w:noProof/>
          </w:rPr>
          <w:t>Annex 3: Milestone Achievement Certificate</w:t>
        </w:r>
        <w:r w:rsidR="00873BB8">
          <w:rPr>
            <w:noProof/>
            <w:webHidden/>
          </w:rPr>
          <w:tab/>
        </w:r>
        <w:r w:rsidR="00873BB8">
          <w:rPr>
            <w:noProof/>
            <w:webHidden/>
          </w:rPr>
          <w:fldChar w:fldCharType="begin"/>
        </w:r>
        <w:r w:rsidR="00873BB8">
          <w:rPr>
            <w:noProof/>
            <w:webHidden/>
          </w:rPr>
          <w:instrText xml:space="preserve"> PAGEREF _Toc141721002 \h </w:instrText>
        </w:r>
        <w:r w:rsidR="00873BB8">
          <w:rPr>
            <w:noProof/>
            <w:webHidden/>
          </w:rPr>
        </w:r>
        <w:r w:rsidR="00873BB8">
          <w:rPr>
            <w:noProof/>
            <w:webHidden/>
          </w:rPr>
          <w:fldChar w:fldCharType="separate"/>
        </w:r>
        <w:r w:rsidR="00873BB8">
          <w:rPr>
            <w:noProof/>
            <w:webHidden/>
          </w:rPr>
          <w:t>201</w:t>
        </w:r>
        <w:r w:rsidR="00873BB8">
          <w:rPr>
            <w:noProof/>
            <w:webHidden/>
          </w:rPr>
          <w:fldChar w:fldCharType="end"/>
        </w:r>
      </w:hyperlink>
    </w:p>
    <w:p w14:paraId="29DE13E0" w14:textId="7CDD8990" w:rsidR="00873BB8" w:rsidRDefault="00EC0D9B">
      <w:pPr>
        <w:pStyle w:val="TOC2"/>
        <w:rPr>
          <w:rFonts w:asciiTheme="minorHAnsi" w:eastAsiaTheme="minorEastAsia" w:hAnsiTheme="minorHAnsi" w:cstheme="minorBidi"/>
          <w:noProof/>
          <w:sz w:val="22"/>
          <w:szCs w:val="22"/>
          <w:lang w:eastAsia="en-GB"/>
        </w:rPr>
      </w:pPr>
      <w:hyperlink w:anchor="_Toc141721003" w:history="1">
        <w:r w:rsidR="00873BB8" w:rsidRPr="00B73DAE">
          <w:rPr>
            <w:rStyle w:val="Hyperlink"/>
            <w:noProof/>
          </w:rPr>
          <w:t>Annex 4: Test Success Criteria</w:t>
        </w:r>
        <w:r w:rsidR="00873BB8">
          <w:rPr>
            <w:noProof/>
            <w:webHidden/>
          </w:rPr>
          <w:tab/>
        </w:r>
        <w:r w:rsidR="00873BB8">
          <w:rPr>
            <w:noProof/>
            <w:webHidden/>
          </w:rPr>
          <w:fldChar w:fldCharType="begin"/>
        </w:r>
        <w:r w:rsidR="00873BB8">
          <w:rPr>
            <w:noProof/>
            <w:webHidden/>
          </w:rPr>
          <w:instrText xml:space="preserve"> PAGEREF _Toc141721003 \h </w:instrText>
        </w:r>
        <w:r w:rsidR="00873BB8">
          <w:rPr>
            <w:noProof/>
            <w:webHidden/>
          </w:rPr>
        </w:r>
        <w:r w:rsidR="00873BB8">
          <w:rPr>
            <w:noProof/>
            <w:webHidden/>
          </w:rPr>
          <w:fldChar w:fldCharType="separate"/>
        </w:r>
        <w:r w:rsidR="00873BB8">
          <w:rPr>
            <w:noProof/>
            <w:webHidden/>
          </w:rPr>
          <w:t>202</w:t>
        </w:r>
        <w:r w:rsidR="00873BB8">
          <w:rPr>
            <w:noProof/>
            <w:webHidden/>
          </w:rPr>
          <w:fldChar w:fldCharType="end"/>
        </w:r>
      </w:hyperlink>
    </w:p>
    <w:p w14:paraId="47AD3CDC" w14:textId="39A0D34A"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04" w:history="1">
        <w:r w:rsidR="00873BB8" w:rsidRPr="00B73DAE">
          <w:rPr>
            <w:rStyle w:val="Hyperlink"/>
            <w:noProof/>
            <w:lang w:bidi="en-US"/>
          </w:rPr>
          <w:t>Schedule 15: Charges and Invoicing</w:t>
        </w:r>
        <w:r w:rsidR="00873BB8">
          <w:rPr>
            <w:noProof/>
            <w:webHidden/>
          </w:rPr>
          <w:tab/>
        </w:r>
        <w:r w:rsidR="00873BB8">
          <w:rPr>
            <w:noProof/>
            <w:webHidden/>
          </w:rPr>
          <w:fldChar w:fldCharType="begin"/>
        </w:r>
        <w:r w:rsidR="00873BB8">
          <w:rPr>
            <w:noProof/>
            <w:webHidden/>
          </w:rPr>
          <w:instrText xml:space="preserve"> PAGEREF _Toc141721004 \h </w:instrText>
        </w:r>
        <w:r w:rsidR="00873BB8">
          <w:rPr>
            <w:noProof/>
            <w:webHidden/>
          </w:rPr>
        </w:r>
        <w:r w:rsidR="00873BB8">
          <w:rPr>
            <w:noProof/>
            <w:webHidden/>
          </w:rPr>
          <w:fldChar w:fldCharType="separate"/>
        </w:r>
        <w:r w:rsidR="00873BB8">
          <w:rPr>
            <w:rFonts w:hint="eastAsia"/>
            <w:noProof/>
            <w:webHidden/>
          </w:rPr>
          <w:t>204</w:t>
        </w:r>
        <w:r w:rsidR="00873BB8">
          <w:rPr>
            <w:noProof/>
            <w:webHidden/>
          </w:rPr>
          <w:fldChar w:fldCharType="end"/>
        </w:r>
      </w:hyperlink>
    </w:p>
    <w:p w14:paraId="5C049E82" w14:textId="76297EA0" w:rsidR="00873BB8" w:rsidRDefault="00EC0D9B">
      <w:pPr>
        <w:pStyle w:val="TOC2"/>
        <w:rPr>
          <w:rFonts w:asciiTheme="minorHAnsi" w:eastAsiaTheme="minorEastAsia" w:hAnsiTheme="minorHAnsi" w:cstheme="minorBidi"/>
          <w:noProof/>
          <w:sz w:val="22"/>
          <w:szCs w:val="22"/>
          <w:lang w:eastAsia="en-GB"/>
        </w:rPr>
      </w:pPr>
      <w:hyperlink w:anchor="_Toc141721005" w:history="1">
        <w:r w:rsidR="00873BB8" w:rsidRPr="00B73DAE">
          <w:rPr>
            <w:rStyle w:val="Hyperlink"/>
            <w:noProof/>
          </w:rPr>
          <w:t>Part A: Pricing</w:t>
        </w:r>
        <w:r w:rsidR="00873BB8">
          <w:rPr>
            <w:noProof/>
            <w:webHidden/>
          </w:rPr>
          <w:tab/>
        </w:r>
        <w:r w:rsidR="00873BB8">
          <w:rPr>
            <w:noProof/>
            <w:webHidden/>
          </w:rPr>
          <w:fldChar w:fldCharType="begin"/>
        </w:r>
        <w:r w:rsidR="00873BB8">
          <w:rPr>
            <w:noProof/>
            <w:webHidden/>
          </w:rPr>
          <w:instrText xml:space="preserve"> PAGEREF _Toc141721005 \h </w:instrText>
        </w:r>
        <w:r w:rsidR="00873BB8">
          <w:rPr>
            <w:noProof/>
            <w:webHidden/>
          </w:rPr>
        </w:r>
        <w:r w:rsidR="00873BB8">
          <w:rPr>
            <w:noProof/>
            <w:webHidden/>
          </w:rPr>
          <w:fldChar w:fldCharType="separate"/>
        </w:r>
        <w:r w:rsidR="00873BB8">
          <w:rPr>
            <w:noProof/>
            <w:webHidden/>
          </w:rPr>
          <w:t>209</w:t>
        </w:r>
        <w:r w:rsidR="00873BB8">
          <w:rPr>
            <w:noProof/>
            <w:webHidden/>
          </w:rPr>
          <w:fldChar w:fldCharType="end"/>
        </w:r>
      </w:hyperlink>
    </w:p>
    <w:p w14:paraId="3841D238" w14:textId="15F8A448" w:rsidR="00873BB8" w:rsidRDefault="00EC0D9B">
      <w:pPr>
        <w:pStyle w:val="TOC2"/>
        <w:rPr>
          <w:rFonts w:asciiTheme="minorHAnsi" w:eastAsiaTheme="minorEastAsia" w:hAnsiTheme="minorHAnsi" w:cstheme="minorBidi"/>
          <w:noProof/>
          <w:sz w:val="22"/>
          <w:szCs w:val="22"/>
          <w:lang w:eastAsia="en-GB"/>
        </w:rPr>
      </w:pPr>
      <w:hyperlink w:anchor="_Toc141721006" w:history="1">
        <w:r w:rsidR="00873BB8" w:rsidRPr="00B73DAE">
          <w:rPr>
            <w:rStyle w:val="Hyperlink"/>
            <w:noProof/>
          </w:rPr>
          <w:t>Part B: Charging Mechanisms</w:t>
        </w:r>
        <w:r w:rsidR="00873BB8">
          <w:rPr>
            <w:noProof/>
            <w:webHidden/>
          </w:rPr>
          <w:tab/>
        </w:r>
        <w:r w:rsidR="00873BB8">
          <w:rPr>
            <w:noProof/>
            <w:webHidden/>
          </w:rPr>
          <w:fldChar w:fldCharType="begin"/>
        </w:r>
        <w:r w:rsidR="00873BB8">
          <w:rPr>
            <w:noProof/>
            <w:webHidden/>
          </w:rPr>
          <w:instrText xml:space="preserve"> PAGEREF _Toc141721006 \h </w:instrText>
        </w:r>
        <w:r w:rsidR="00873BB8">
          <w:rPr>
            <w:noProof/>
            <w:webHidden/>
          </w:rPr>
        </w:r>
        <w:r w:rsidR="00873BB8">
          <w:rPr>
            <w:noProof/>
            <w:webHidden/>
          </w:rPr>
          <w:fldChar w:fldCharType="separate"/>
        </w:r>
        <w:r w:rsidR="00873BB8">
          <w:rPr>
            <w:noProof/>
            <w:webHidden/>
          </w:rPr>
          <w:t>213</w:t>
        </w:r>
        <w:r w:rsidR="00873BB8">
          <w:rPr>
            <w:noProof/>
            <w:webHidden/>
          </w:rPr>
          <w:fldChar w:fldCharType="end"/>
        </w:r>
      </w:hyperlink>
    </w:p>
    <w:p w14:paraId="502A84E3" w14:textId="3FF2014E" w:rsidR="00873BB8" w:rsidRDefault="00EC0D9B">
      <w:pPr>
        <w:pStyle w:val="TOC2"/>
        <w:rPr>
          <w:rFonts w:asciiTheme="minorHAnsi" w:eastAsiaTheme="minorEastAsia" w:hAnsiTheme="minorHAnsi" w:cstheme="minorBidi"/>
          <w:noProof/>
          <w:sz w:val="22"/>
          <w:szCs w:val="22"/>
          <w:lang w:eastAsia="en-GB"/>
        </w:rPr>
      </w:pPr>
      <w:hyperlink w:anchor="_Toc141721007" w:history="1">
        <w:r w:rsidR="00873BB8" w:rsidRPr="00B73DAE">
          <w:rPr>
            <w:rStyle w:val="Hyperlink"/>
            <w:noProof/>
          </w:rPr>
          <w:t>Part C: Adjustments to the Charges and Risk Register</w:t>
        </w:r>
        <w:r w:rsidR="00873BB8">
          <w:rPr>
            <w:noProof/>
            <w:webHidden/>
          </w:rPr>
          <w:tab/>
        </w:r>
        <w:r w:rsidR="00873BB8">
          <w:rPr>
            <w:noProof/>
            <w:webHidden/>
          </w:rPr>
          <w:fldChar w:fldCharType="begin"/>
        </w:r>
        <w:r w:rsidR="00873BB8">
          <w:rPr>
            <w:noProof/>
            <w:webHidden/>
          </w:rPr>
          <w:instrText xml:space="preserve"> PAGEREF _Toc141721007 \h </w:instrText>
        </w:r>
        <w:r w:rsidR="00873BB8">
          <w:rPr>
            <w:noProof/>
            <w:webHidden/>
          </w:rPr>
        </w:r>
        <w:r w:rsidR="00873BB8">
          <w:rPr>
            <w:noProof/>
            <w:webHidden/>
          </w:rPr>
          <w:fldChar w:fldCharType="separate"/>
        </w:r>
        <w:r w:rsidR="00873BB8">
          <w:rPr>
            <w:noProof/>
            <w:webHidden/>
          </w:rPr>
          <w:t>216</w:t>
        </w:r>
        <w:r w:rsidR="00873BB8">
          <w:rPr>
            <w:noProof/>
            <w:webHidden/>
          </w:rPr>
          <w:fldChar w:fldCharType="end"/>
        </w:r>
      </w:hyperlink>
    </w:p>
    <w:p w14:paraId="0A38CA71" w14:textId="1F9A163E" w:rsidR="00873BB8" w:rsidRDefault="00EC0D9B">
      <w:pPr>
        <w:pStyle w:val="TOC2"/>
        <w:rPr>
          <w:rFonts w:asciiTheme="minorHAnsi" w:eastAsiaTheme="minorEastAsia" w:hAnsiTheme="minorHAnsi" w:cstheme="minorBidi"/>
          <w:noProof/>
          <w:sz w:val="22"/>
          <w:szCs w:val="22"/>
          <w:lang w:eastAsia="en-GB"/>
        </w:rPr>
      </w:pPr>
      <w:hyperlink w:anchor="_Toc141721008" w:history="1">
        <w:r w:rsidR="00873BB8" w:rsidRPr="00B73DAE">
          <w:rPr>
            <w:rStyle w:val="Hyperlink"/>
            <w:noProof/>
          </w:rPr>
          <w:t>Part D: Excessive Supplier Profit Margin</w:t>
        </w:r>
        <w:r w:rsidR="00873BB8">
          <w:rPr>
            <w:noProof/>
            <w:webHidden/>
          </w:rPr>
          <w:tab/>
        </w:r>
        <w:r w:rsidR="00873BB8">
          <w:rPr>
            <w:noProof/>
            <w:webHidden/>
          </w:rPr>
          <w:fldChar w:fldCharType="begin"/>
        </w:r>
        <w:r w:rsidR="00873BB8">
          <w:rPr>
            <w:noProof/>
            <w:webHidden/>
          </w:rPr>
          <w:instrText xml:space="preserve"> PAGEREF _Toc141721008 \h </w:instrText>
        </w:r>
        <w:r w:rsidR="00873BB8">
          <w:rPr>
            <w:noProof/>
            <w:webHidden/>
          </w:rPr>
        </w:r>
        <w:r w:rsidR="00873BB8">
          <w:rPr>
            <w:noProof/>
            <w:webHidden/>
          </w:rPr>
          <w:fldChar w:fldCharType="separate"/>
        </w:r>
        <w:r w:rsidR="00873BB8">
          <w:rPr>
            <w:noProof/>
            <w:webHidden/>
          </w:rPr>
          <w:t>222</w:t>
        </w:r>
        <w:r w:rsidR="00873BB8">
          <w:rPr>
            <w:noProof/>
            <w:webHidden/>
          </w:rPr>
          <w:fldChar w:fldCharType="end"/>
        </w:r>
      </w:hyperlink>
    </w:p>
    <w:p w14:paraId="3FBAF996" w14:textId="578A723A" w:rsidR="00873BB8" w:rsidRDefault="00EC0D9B">
      <w:pPr>
        <w:pStyle w:val="TOC2"/>
        <w:rPr>
          <w:rFonts w:asciiTheme="minorHAnsi" w:eastAsiaTheme="minorEastAsia" w:hAnsiTheme="minorHAnsi" w:cstheme="minorBidi"/>
          <w:noProof/>
          <w:sz w:val="22"/>
          <w:szCs w:val="22"/>
          <w:lang w:eastAsia="en-GB"/>
        </w:rPr>
      </w:pPr>
      <w:hyperlink w:anchor="_Toc141721009" w:history="1">
        <w:r w:rsidR="00873BB8" w:rsidRPr="00B73DAE">
          <w:rPr>
            <w:rStyle w:val="Hyperlink"/>
            <w:noProof/>
          </w:rPr>
          <w:t>Part E: Invoicing and Payment Terms</w:t>
        </w:r>
        <w:r w:rsidR="00873BB8">
          <w:rPr>
            <w:noProof/>
            <w:webHidden/>
          </w:rPr>
          <w:tab/>
        </w:r>
        <w:r w:rsidR="00873BB8">
          <w:rPr>
            <w:noProof/>
            <w:webHidden/>
          </w:rPr>
          <w:fldChar w:fldCharType="begin"/>
        </w:r>
        <w:r w:rsidR="00873BB8">
          <w:rPr>
            <w:noProof/>
            <w:webHidden/>
          </w:rPr>
          <w:instrText xml:space="preserve"> PAGEREF _Toc141721009 \h </w:instrText>
        </w:r>
        <w:r w:rsidR="00873BB8">
          <w:rPr>
            <w:noProof/>
            <w:webHidden/>
          </w:rPr>
        </w:r>
        <w:r w:rsidR="00873BB8">
          <w:rPr>
            <w:noProof/>
            <w:webHidden/>
          </w:rPr>
          <w:fldChar w:fldCharType="separate"/>
        </w:r>
        <w:r w:rsidR="00873BB8">
          <w:rPr>
            <w:noProof/>
            <w:webHidden/>
          </w:rPr>
          <w:t>223</w:t>
        </w:r>
        <w:r w:rsidR="00873BB8">
          <w:rPr>
            <w:noProof/>
            <w:webHidden/>
          </w:rPr>
          <w:fldChar w:fldCharType="end"/>
        </w:r>
      </w:hyperlink>
    </w:p>
    <w:p w14:paraId="0305D39A" w14:textId="02BCBD72" w:rsidR="00873BB8" w:rsidRDefault="00EC0D9B">
      <w:pPr>
        <w:pStyle w:val="TOC2"/>
        <w:rPr>
          <w:rFonts w:asciiTheme="minorHAnsi" w:eastAsiaTheme="minorEastAsia" w:hAnsiTheme="minorHAnsi" w:cstheme="minorBidi"/>
          <w:noProof/>
          <w:sz w:val="22"/>
          <w:szCs w:val="22"/>
          <w:lang w:eastAsia="en-GB"/>
        </w:rPr>
      </w:pPr>
      <w:hyperlink w:anchor="_Toc141721010" w:history="1">
        <w:r w:rsidR="00873BB8" w:rsidRPr="00B73DAE">
          <w:rPr>
            <w:rStyle w:val="Hyperlink"/>
            <w:noProof/>
          </w:rPr>
          <w:t>Annex 1: Pricing Mechanism</w:t>
        </w:r>
        <w:r w:rsidR="00873BB8">
          <w:rPr>
            <w:noProof/>
            <w:webHidden/>
          </w:rPr>
          <w:tab/>
        </w:r>
        <w:r w:rsidR="00873BB8">
          <w:rPr>
            <w:noProof/>
            <w:webHidden/>
          </w:rPr>
          <w:fldChar w:fldCharType="begin"/>
        </w:r>
        <w:r w:rsidR="00873BB8">
          <w:rPr>
            <w:noProof/>
            <w:webHidden/>
          </w:rPr>
          <w:instrText xml:space="preserve"> PAGEREF _Toc141721010 \h </w:instrText>
        </w:r>
        <w:r w:rsidR="00873BB8">
          <w:rPr>
            <w:noProof/>
            <w:webHidden/>
          </w:rPr>
        </w:r>
        <w:r w:rsidR="00873BB8">
          <w:rPr>
            <w:noProof/>
            <w:webHidden/>
          </w:rPr>
          <w:fldChar w:fldCharType="separate"/>
        </w:r>
        <w:r w:rsidR="00873BB8">
          <w:rPr>
            <w:noProof/>
            <w:webHidden/>
          </w:rPr>
          <w:t>225</w:t>
        </w:r>
        <w:r w:rsidR="00873BB8">
          <w:rPr>
            <w:noProof/>
            <w:webHidden/>
          </w:rPr>
          <w:fldChar w:fldCharType="end"/>
        </w:r>
      </w:hyperlink>
    </w:p>
    <w:p w14:paraId="119361D6" w14:textId="65425968" w:rsidR="00873BB8" w:rsidRDefault="00EC0D9B">
      <w:pPr>
        <w:pStyle w:val="TOC2"/>
        <w:rPr>
          <w:rFonts w:asciiTheme="minorHAnsi" w:eastAsiaTheme="minorEastAsia" w:hAnsiTheme="minorHAnsi" w:cstheme="minorBidi"/>
          <w:noProof/>
          <w:sz w:val="22"/>
          <w:szCs w:val="22"/>
          <w:lang w:eastAsia="en-GB"/>
        </w:rPr>
      </w:pPr>
      <w:hyperlink w:anchor="_Toc141721011" w:history="1">
        <w:r w:rsidR="00873BB8" w:rsidRPr="00B73DAE">
          <w:rPr>
            <w:rStyle w:val="Hyperlink"/>
            <w:noProof/>
          </w:rPr>
          <w:t>Annex 2: Charging Mechanism and Adjustments</w:t>
        </w:r>
        <w:r w:rsidR="00873BB8">
          <w:rPr>
            <w:noProof/>
            <w:webHidden/>
          </w:rPr>
          <w:tab/>
        </w:r>
        <w:r w:rsidR="00873BB8">
          <w:rPr>
            <w:noProof/>
            <w:webHidden/>
          </w:rPr>
          <w:fldChar w:fldCharType="begin"/>
        </w:r>
        <w:r w:rsidR="00873BB8">
          <w:rPr>
            <w:noProof/>
            <w:webHidden/>
          </w:rPr>
          <w:instrText xml:space="preserve"> PAGEREF _Toc141721011 \h </w:instrText>
        </w:r>
        <w:r w:rsidR="00873BB8">
          <w:rPr>
            <w:noProof/>
            <w:webHidden/>
          </w:rPr>
        </w:r>
        <w:r w:rsidR="00873BB8">
          <w:rPr>
            <w:noProof/>
            <w:webHidden/>
          </w:rPr>
          <w:fldChar w:fldCharType="separate"/>
        </w:r>
        <w:r w:rsidR="00873BB8">
          <w:rPr>
            <w:noProof/>
            <w:webHidden/>
          </w:rPr>
          <w:t>229</w:t>
        </w:r>
        <w:r w:rsidR="00873BB8">
          <w:rPr>
            <w:noProof/>
            <w:webHidden/>
          </w:rPr>
          <w:fldChar w:fldCharType="end"/>
        </w:r>
      </w:hyperlink>
    </w:p>
    <w:p w14:paraId="5E1D0CA2" w14:textId="2251BA80" w:rsidR="00873BB8" w:rsidRDefault="00EC0D9B">
      <w:pPr>
        <w:pStyle w:val="TOC2"/>
        <w:rPr>
          <w:rFonts w:asciiTheme="minorHAnsi" w:eastAsiaTheme="minorEastAsia" w:hAnsiTheme="minorHAnsi" w:cstheme="minorBidi"/>
          <w:noProof/>
          <w:sz w:val="22"/>
          <w:szCs w:val="22"/>
          <w:lang w:eastAsia="en-GB"/>
        </w:rPr>
      </w:pPr>
      <w:hyperlink w:anchor="_Toc141721012" w:history="1">
        <w:r w:rsidR="00873BB8" w:rsidRPr="00B73DAE">
          <w:rPr>
            <w:rStyle w:val="Hyperlink"/>
            <w:noProof/>
          </w:rPr>
          <w:t>Annex 3: Pro-Forma Certificate of Costs</w:t>
        </w:r>
        <w:r w:rsidR="00873BB8">
          <w:rPr>
            <w:noProof/>
            <w:webHidden/>
          </w:rPr>
          <w:tab/>
        </w:r>
        <w:r w:rsidR="00873BB8">
          <w:rPr>
            <w:noProof/>
            <w:webHidden/>
          </w:rPr>
          <w:fldChar w:fldCharType="begin"/>
        </w:r>
        <w:r w:rsidR="00873BB8">
          <w:rPr>
            <w:noProof/>
            <w:webHidden/>
          </w:rPr>
          <w:instrText xml:space="preserve"> PAGEREF _Toc141721012 \h </w:instrText>
        </w:r>
        <w:r w:rsidR="00873BB8">
          <w:rPr>
            <w:noProof/>
            <w:webHidden/>
          </w:rPr>
        </w:r>
        <w:r w:rsidR="00873BB8">
          <w:rPr>
            <w:noProof/>
            <w:webHidden/>
          </w:rPr>
          <w:fldChar w:fldCharType="separate"/>
        </w:r>
        <w:r w:rsidR="00873BB8">
          <w:rPr>
            <w:noProof/>
            <w:webHidden/>
          </w:rPr>
          <w:t>231</w:t>
        </w:r>
        <w:r w:rsidR="00873BB8">
          <w:rPr>
            <w:noProof/>
            <w:webHidden/>
          </w:rPr>
          <w:fldChar w:fldCharType="end"/>
        </w:r>
      </w:hyperlink>
    </w:p>
    <w:p w14:paraId="1B7A950B" w14:textId="56AE01F1" w:rsidR="00873BB8" w:rsidRDefault="00EC0D9B">
      <w:pPr>
        <w:pStyle w:val="TOC2"/>
        <w:rPr>
          <w:rFonts w:asciiTheme="minorHAnsi" w:eastAsiaTheme="minorEastAsia" w:hAnsiTheme="minorHAnsi" w:cstheme="minorBidi"/>
          <w:noProof/>
          <w:sz w:val="22"/>
          <w:szCs w:val="22"/>
          <w:lang w:eastAsia="en-GB"/>
        </w:rPr>
      </w:pPr>
      <w:hyperlink w:anchor="_Toc141721013" w:history="1">
        <w:r w:rsidR="00873BB8" w:rsidRPr="00B73DAE">
          <w:rPr>
            <w:rStyle w:val="Hyperlink"/>
            <w:noProof/>
          </w:rPr>
          <w:t>Annex 4: Risk Register</w:t>
        </w:r>
        <w:r w:rsidR="00873BB8">
          <w:rPr>
            <w:noProof/>
            <w:webHidden/>
          </w:rPr>
          <w:tab/>
        </w:r>
        <w:r w:rsidR="00873BB8">
          <w:rPr>
            <w:noProof/>
            <w:webHidden/>
          </w:rPr>
          <w:fldChar w:fldCharType="begin"/>
        </w:r>
        <w:r w:rsidR="00873BB8">
          <w:rPr>
            <w:noProof/>
            <w:webHidden/>
          </w:rPr>
          <w:instrText xml:space="preserve"> PAGEREF _Toc141721013 \h </w:instrText>
        </w:r>
        <w:r w:rsidR="00873BB8">
          <w:rPr>
            <w:noProof/>
            <w:webHidden/>
          </w:rPr>
        </w:r>
        <w:r w:rsidR="00873BB8">
          <w:rPr>
            <w:noProof/>
            <w:webHidden/>
          </w:rPr>
          <w:fldChar w:fldCharType="separate"/>
        </w:r>
        <w:r w:rsidR="00873BB8">
          <w:rPr>
            <w:noProof/>
            <w:webHidden/>
          </w:rPr>
          <w:t>232</w:t>
        </w:r>
        <w:r w:rsidR="00873BB8">
          <w:rPr>
            <w:noProof/>
            <w:webHidden/>
          </w:rPr>
          <w:fldChar w:fldCharType="end"/>
        </w:r>
      </w:hyperlink>
    </w:p>
    <w:p w14:paraId="48B499F1" w14:textId="69A77156" w:rsidR="00873BB8" w:rsidRDefault="00EC0D9B">
      <w:pPr>
        <w:pStyle w:val="TOC2"/>
        <w:rPr>
          <w:rFonts w:asciiTheme="minorHAnsi" w:eastAsiaTheme="minorEastAsia" w:hAnsiTheme="minorHAnsi" w:cstheme="minorBidi"/>
          <w:noProof/>
          <w:sz w:val="22"/>
          <w:szCs w:val="22"/>
          <w:lang w:eastAsia="en-GB"/>
        </w:rPr>
      </w:pPr>
      <w:hyperlink w:anchor="_Toc141721014" w:history="1">
        <w:r w:rsidR="00873BB8" w:rsidRPr="00B73DAE">
          <w:rPr>
            <w:rStyle w:val="Hyperlink"/>
            <w:noProof/>
          </w:rPr>
          <w:t>Annex 5: Allowable Assumptions</w:t>
        </w:r>
        <w:r w:rsidR="00873BB8">
          <w:rPr>
            <w:noProof/>
            <w:webHidden/>
          </w:rPr>
          <w:tab/>
        </w:r>
        <w:r w:rsidR="00873BB8">
          <w:rPr>
            <w:noProof/>
            <w:webHidden/>
          </w:rPr>
          <w:fldChar w:fldCharType="begin"/>
        </w:r>
        <w:r w:rsidR="00873BB8">
          <w:rPr>
            <w:noProof/>
            <w:webHidden/>
          </w:rPr>
          <w:instrText xml:space="preserve"> PAGEREF _Toc141721014 \h </w:instrText>
        </w:r>
        <w:r w:rsidR="00873BB8">
          <w:rPr>
            <w:noProof/>
            <w:webHidden/>
          </w:rPr>
        </w:r>
        <w:r w:rsidR="00873BB8">
          <w:rPr>
            <w:noProof/>
            <w:webHidden/>
          </w:rPr>
          <w:fldChar w:fldCharType="separate"/>
        </w:r>
        <w:r w:rsidR="00873BB8">
          <w:rPr>
            <w:noProof/>
            <w:webHidden/>
          </w:rPr>
          <w:t>233</w:t>
        </w:r>
        <w:r w:rsidR="00873BB8">
          <w:rPr>
            <w:noProof/>
            <w:webHidden/>
          </w:rPr>
          <w:fldChar w:fldCharType="end"/>
        </w:r>
      </w:hyperlink>
    </w:p>
    <w:p w14:paraId="53828F50" w14:textId="340AC073"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15" w:history="1">
        <w:r w:rsidR="00873BB8" w:rsidRPr="00B73DAE">
          <w:rPr>
            <w:rStyle w:val="Hyperlink"/>
            <w:noProof/>
            <w:lang w:bidi="en-US"/>
          </w:rPr>
          <w:t>Schedule 16: Payments on Termination</w:t>
        </w:r>
        <w:r w:rsidR="00873BB8">
          <w:rPr>
            <w:noProof/>
            <w:webHidden/>
          </w:rPr>
          <w:tab/>
        </w:r>
        <w:r w:rsidR="00873BB8">
          <w:rPr>
            <w:noProof/>
            <w:webHidden/>
          </w:rPr>
          <w:fldChar w:fldCharType="begin"/>
        </w:r>
        <w:r w:rsidR="00873BB8">
          <w:rPr>
            <w:noProof/>
            <w:webHidden/>
          </w:rPr>
          <w:instrText xml:space="preserve"> PAGEREF _Toc141721015 \h </w:instrText>
        </w:r>
        <w:r w:rsidR="00873BB8">
          <w:rPr>
            <w:noProof/>
            <w:webHidden/>
          </w:rPr>
        </w:r>
        <w:r w:rsidR="00873BB8">
          <w:rPr>
            <w:noProof/>
            <w:webHidden/>
          </w:rPr>
          <w:fldChar w:fldCharType="separate"/>
        </w:r>
        <w:r w:rsidR="00873BB8">
          <w:rPr>
            <w:rFonts w:hint="eastAsia"/>
            <w:noProof/>
            <w:webHidden/>
          </w:rPr>
          <w:t>235</w:t>
        </w:r>
        <w:r w:rsidR="00873BB8">
          <w:rPr>
            <w:noProof/>
            <w:webHidden/>
          </w:rPr>
          <w:fldChar w:fldCharType="end"/>
        </w:r>
      </w:hyperlink>
    </w:p>
    <w:p w14:paraId="52C0C4F5" w14:textId="4D276746" w:rsidR="00873BB8" w:rsidRDefault="00EC0D9B">
      <w:pPr>
        <w:pStyle w:val="TOC2"/>
        <w:rPr>
          <w:rFonts w:asciiTheme="minorHAnsi" w:eastAsiaTheme="minorEastAsia" w:hAnsiTheme="minorHAnsi" w:cstheme="minorBidi"/>
          <w:noProof/>
          <w:sz w:val="22"/>
          <w:szCs w:val="22"/>
          <w:lang w:eastAsia="en-GB"/>
        </w:rPr>
      </w:pPr>
      <w:hyperlink w:anchor="_Toc141721016" w:history="1">
        <w:r w:rsidR="00873BB8" w:rsidRPr="00B73DAE">
          <w:rPr>
            <w:rStyle w:val="Hyperlink"/>
            <w:noProof/>
          </w:rPr>
          <w:t>Annex 1: Maximum Payments on Termination</w:t>
        </w:r>
        <w:r w:rsidR="00873BB8">
          <w:rPr>
            <w:noProof/>
            <w:webHidden/>
          </w:rPr>
          <w:tab/>
        </w:r>
        <w:r w:rsidR="00873BB8">
          <w:rPr>
            <w:noProof/>
            <w:webHidden/>
          </w:rPr>
          <w:fldChar w:fldCharType="begin"/>
        </w:r>
        <w:r w:rsidR="00873BB8">
          <w:rPr>
            <w:noProof/>
            <w:webHidden/>
          </w:rPr>
          <w:instrText xml:space="preserve"> PAGEREF _Toc141721016 \h </w:instrText>
        </w:r>
        <w:r w:rsidR="00873BB8">
          <w:rPr>
            <w:noProof/>
            <w:webHidden/>
          </w:rPr>
        </w:r>
        <w:r w:rsidR="00873BB8">
          <w:rPr>
            <w:noProof/>
            <w:webHidden/>
          </w:rPr>
          <w:fldChar w:fldCharType="separate"/>
        </w:r>
        <w:r w:rsidR="00873BB8">
          <w:rPr>
            <w:noProof/>
            <w:webHidden/>
          </w:rPr>
          <w:t>242</w:t>
        </w:r>
        <w:r w:rsidR="00873BB8">
          <w:rPr>
            <w:noProof/>
            <w:webHidden/>
          </w:rPr>
          <w:fldChar w:fldCharType="end"/>
        </w:r>
      </w:hyperlink>
    </w:p>
    <w:p w14:paraId="4850BD20" w14:textId="1132BBC3"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17" w:history="1">
        <w:r w:rsidR="00873BB8" w:rsidRPr="00B73DAE">
          <w:rPr>
            <w:rStyle w:val="Hyperlink"/>
            <w:noProof/>
            <w:lang w:bidi="en-US"/>
          </w:rPr>
          <w:t>Schedule 17: Benchmarking</w:t>
        </w:r>
        <w:r w:rsidR="00873BB8">
          <w:rPr>
            <w:noProof/>
            <w:webHidden/>
          </w:rPr>
          <w:tab/>
        </w:r>
        <w:r w:rsidR="00873BB8">
          <w:rPr>
            <w:noProof/>
            <w:webHidden/>
          </w:rPr>
          <w:fldChar w:fldCharType="begin"/>
        </w:r>
        <w:r w:rsidR="00873BB8">
          <w:rPr>
            <w:noProof/>
            <w:webHidden/>
          </w:rPr>
          <w:instrText xml:space="preserve"> PAGEREF _Toc141721017 \h </w:instrText>
        </w:r>
        <w:r w:rsidR="00873BB8">
          <w:rPr>
            <w:noProof/>
            <w:webHidden/>
          </w:rPr>
        </w:r>
        <w:r w:rsidR="00873BB8">
          <w:rPr>
            <w:noProof/>
            <w:webHidden/>
          </w:rPr>
          <w:fldChar w:fldCharType="separate"/>
        </w:r>
        <w:r w:rsidR="00873BB8">
          <w:rPr>
            <w:rFonts w:hint="eastAsia"/>
            <w:noProof/>
            <w:webHidden/>
          </w:rPr>
          <w:t>244</w:t>
        </w:r>
        <w:r w:rsidR="00873BB8">
          <w:rPr>
            <w:noProof/>
            <w:webHidden/>
          </w:rPr>
          <w:fldChar w:fldCharType="end"/>
        </w:r>
      </w:hyperlink>
    </w:p>
    <w:p w14:paraId="5C745176" w14:textId="5ED41CC8" w:rsidR="00873BB8" w:rsidRDefault="00EC0D9B">
      <w:pPr>
        <w:pStyle w:val="TOC2"/>
        <w:rPr>
          <w:rFonts w:asciiTheme="minorHAnsi" w:eastAsiaTheme="minorEastAsia" w:hAnsiTheme="minorHAnsi" w:cstheme="minorBidi"/>
          <w:noProof/>
          <w:sz w:val="22"/>
          <w:szCs w:val="22"/>
          <w:lang w:eastAsia="en-GB"/>
        </w:rPr>
      </w:pPr>
      <w:hyperlink w:anchor="_Toc141721018" w:history="1">
        <w:r w:rsidR="00873BB8" w:rsidRPr="00B73DAE">
          <w:rPr>
            <w:rStyle w:val="Hyperlink"/>
            <w:noProof/>
          </w:rPr>
          <w:t>Annex 1: Approved Benchmarkers</w:t>
        </w:r>
        <w:r w:rsidR="00873BB8">
          <w:rPr>
            <w:noProof/>
            <w:webHidden/>
          </w:rPr>
          <w:tab/>
        </w:r>
        <w:r w:rsidR="00873BB8">
          <w:rPr>
            <w:noProof/>
            <w:webHidden/>
          </w:rPr>
          <w:fldChar w:fldCharType="begin"/>
        </w:r>
        <w:r w:rsidR="00873BB8">
          <w:rPr>
            <w:noProof/>
            <w:webHidden/>
          </w:rPr>
          <w:instrText xml:space="preserve"> PAGEREF _Toc141721018 \h </w:instrText>
        </w:r>
        <w:r w:rsidR="00873BB8">
          <w:rPr>
            <w:noProof/>
            <w:webHidden/>
          </w:rPr>
        </w:r>
        <w:r w:rsidR="00873BB8">
          <w:rPr>
            <w:noProof/>
            <w:webHidden/>
          </w:rPr>
          <w:fldChar w:fldCharType="separate"/>
        </w:r>
        <w:r w:rsidR="00873BB8">
          <w:rPr>
            <w:noProof/>
            <w:webHidden/>
          </w:rPr>
          <w:t>250</w:t>
        </w:r>
        <w:r w:rsidR="00873BB8">
          <w:rPr>
            <w:noProof/>
            <w:webHidden/>
          </w:rPr>
          <w:fldChar w:fldCharType="end"/>
        </w:r>
      </w:hyperlink>
    </w:p>
    <w:p w14:paraId="7565F7BA" w14:textId="0B4D9E1B" w:rsidR="00873BB8" w:rsidRDefault="00EC0D9B">
      <w:pPr>
        <w:pStyle w:val="TOC2"/>
        <w:rPr>
          <w:rFonts w:asciiTheme="minorHAnsi" w:eastAsiaTheme="minorEastAsia" w:hAnsiTheme="minorHAnsi" w:cstheme="minorBidi"/>
          <w:noProof/>
          <w:sz w:val="22"/>
          <w:szCs w:val="22"/>
          <w:lang w:eastAsia="en-GB"/>
        </w:rPr>
      </w:pPr>
      <w:hyperlink w:anchor="_Toc141721019" w:history="1">
        <w:r w:rsidR="00873BB8" w:rsidRPr="00B73DAE">
          <w:rPr>
            <w:rStyle w:val="Hyperlink"/>
            <w:noProof/>
          </w:rPr>
          <w:t>Annex 2: Confidentiality Agreement</w:t>
        </w:r>
        <w:r w:rsidR="00873BB8">
          <w:rPr>
            <w:noProof/>
            <w:webHidden/>
          </w:rPr>
          <w:tab/>
        </w:r>
        <w:r w:rsidR="00873BB8">
          <w:rPr>
            <w:noProof/>
            <w:webHidden/>
          </w:rPr>
          <w:fldChar w:fldCharType="begin"/>
        </w:r>
        <w:r w:rsidR="00873BB8">
          <w:rPr>
            <w:noProof/>
            <w:webHidden/>
          </w:rPr>
          <w:instrText xml:space="preserve"> PAGEREF _Toc141721019 \h </w:instrText>
        </w:r>
        <w:r w:rsidR="00873BB8">
          <w:rPr>
            <w:noProof/>
            <w:webHidden/>
          </w:rPr>
        </w:r>
        <w:r w:rsidR="00873BB8">
          <w:rPr>
            <w:noProof/>
            <w:webHidden/>
          </w:rPr>
          <w:fldChar w:fldCharType="separate"/>
        </w:r>
        <w:r w:rsidR="00873BB8">
          <w:rPr>
            <w:noProof/>
            <w:webHidden/>
          </w:rPr>
          <w:t>251</w:t>
        </w:r>
        <w:r w:rsidR="00873BB8">
          <w:rPr>
            <w:noProof/>
            <w:webHidden/>
          </w:rPr>
          <w:fldChar w:fldCharType="end"/>
        </w:r>
      </w:hyperlink>
    </w:p>
    <w:p w14:paraId="63DD8EEF" w14:textId="6C2ED1BA"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20" w:history="1">
        <w:r w:rsidR="00873BB8" w:rsidRPr="00B73DAE">
          <w:rPr>
            <w:rStyle w:val="Hyperlink"/>
            <w:noProof/>
            <w:lang w:bidi="en-US"/>
          </w:rPr>
          <w:t>Schedule 18: Financial Distress</w:t>
        </w:r>
        <w:r w:rsidR="00873BB8">
          <w:rPr>
            <w:noProof/>
            <w:webHidden/>
          </w:rPr>
          <w:tab/>
        </w:r>
        <w:r w:rsidR="00873BB8">
          <w:rPr>
            <w:noProof/>
            <w:webHidden/>
          </w:rPr>
          <w:fldChar w:fldCharType="begin"/>
        </w:r>
        <w:r w:rsidR="00873BB8">
          <w:rPr>
            <w:noProof/>
            <w:webHidden/>
          </w:rPr>
          <w:instrText xml:space="preserve"> PAGEREF _Toc141721020 \h </w:instrText>
        </w:r>
        <w:r w:rsidR="00873BB8">
          <w:rPr>
            <w:noProof/>
            <w:webHidden/>
          </w:rPr>
        </w:r>
        <w:r w:rsidR="00873BB8">
          <w:rPr>
            <w:noProof/>
            <w:webHidden/>
          </w:rPr>
          <w:fldChar w:fldCharType="separate"/>
        </w:r>
        <w:r w:rsidR="00873BB8">
          <w:rPr>
            <w:rFonts w:hint="eastAsia"/>
            <w:noProof/>
            <w:webHidden/>
          </w:rPr>
          <w:t>259</w:t>
        </w:r>
        <w:r w:rsidR="00873BB8">
          <w:rPr>
            <w:noProof/>
            <w:webHidden/>
          </w:rPr>
          <w:fldChar w:fldCharType="end"/>
        </w:r>
      </w:hyperlink>
    </w:p>
    <w:p w14:paraId="45C1441C" w14:textId="64DD9EB4" w:rsidR="00873BB8" w:rsidRDefault="00EC0D9B">
      <w:pPr>
        <w:pStyle w:val="TOC2"/>
        <w:rPr>
          <w:rFonts w:asciiTheme="minorHAnsi" w:eastAsiaTheme="minorEastAsia" w:hAnsiTheme="minorHAnsi" w:cstheme="minorBidi"/>
          <w:noProof/>
          <w:sz w:val="22"/>
          <w:szCs w:val="22"/>
          <w:lang w:eastAsia="en-GB"/>
        </w:rPr>
      </w:pPr>
      <w:hyperlink w:anchor="_Toc141721021" w:history="1">
        <w:r w:rsidR="00873BB8" w:rsidRPr="00B73DAE">
          <w:rPr>
            <w:rStyle w:val="Hyperlink"/>
            <w:noProof/>
          </w:rPr>
          <w:t>Annex 1: Rating Agencies and their Standard Rating System</w:t>
        </w:r>
        <w:r w:rsidR="00873BB8">
          <w:rPr>
            <w:noProof/>
            <w:webHidden/>
          </w:rPr>
          <w:tab/>
        </w:r>
        <w:r w:rsidR="00873BB8">
          <w:rPr>
            <w:noProof/>
            <w:webHidden/>
          </w:rPr>
          <w:fldChar w:fldCharType="begin"/>
        </w:r>
        <w:r w:rsidR="00873BB8">
          <w:rPr>
            <w:noProof/>
            <w:webHidden/>
          </w:rPr>
          <w:instrText xml:space="preserve"> PAGEREF _Toc141721021 \h </w:instrText>
        </w:r>
        <w:r w:rsidR="00873BB8">
          <w:rPr>
            <w:noProof/>
            <w:webHidden/>
          </w:rPr>
        </w:r>
        <w:r w:rsidR="00873BB8">
          <w:rPr>
            <w:noProof/>
            <w:webHidden/>
          </w:rPr>
          <w:fldChar w:fldCharType="separate"/>
        </w:r>
        <w:r w:rsidR="00873BB8">
          <w:rPr>
            <w:noProof/>
            <w:webHidden/>
          </w:rPr>
          <w:t>269</w:t>
        </w:r>
        <w:r w:rsidR="00873BB8">
          <w:rPr>
            <w:noProof/>
            <w:webHidden/>
          </w:rPr>
          <w:fldChar w:fldCharType="end"/>
        </w:r>
      </w:hyperlink>
    </w:p>
    <w:p w14:paraId="225EC57C" w14:textId="0474F878" w:rsidR="00873BB8" w:rsidRDefault="00EC0D9B">
      <w:pPr>
        <w:pStyle w:val="TOC2"/>
        <w:rPr>
          <w:rFonts w:asciiTheme="minorHAnsi" w:eastAsiaTheme="minorEastAsia" w:hAnsiTheme="minorHAnsi" w:cstheme="minorBidi"/>
          <w:noProof/>
          <w:sz w:val="22"/>
          <w:szCs w:val="22"/>
          <w:lang w:eastAsia="en-GB"/>
        </w:rPr>
      </w:pPr>
      <w:hyperlink w:anchor="_Toc141721022" w:history="1">
        <w:r w:rsidR="00873BB8" w:rsidRPr="00B73DAE">
          <w:rPr>
            <w:rStyle w:val="Hyperlink"/>
            <w:noProof/>
          </w:rPr>
          <w:t>Annex 2: Credit Ratings and Credit Rating Thresholds</w:t>
        </w:r>
        <w:r w:rsidR="00873BB8">
          <w:rPr>
            <w:noProof/>
            <w:webHidden/>
          </w:rPr>
          <w:tab/>
        </w:r>
        <w:r w:rsidR="00873BB8">
          <w:rPr>
            <w:noProof/>
            <w:webHidden/>
          </w:rPr>
          <w:fldChar w:fldCharType="begin"/>
        </w:r>
        <w:r w:rsidR="00873BB8">
          <w:rPr>
            <w:noProof/>
            <w:webHidden/>
          </w:rPr>
          <w:instrText xml:space="preserve"> PAGEREF _Toc141721022 \h </w:instrText>
        </w:r>
        <w:r w:rsidR="00873BB8">
          <w:rPr>
            <w:noProof/>
            <w:webHidden/>
          </w:rPr>
        </w:r>
        <w:r w:rsidR="00873BB8">
          <w:rPr>
            <w:noProof/>
            <w:webHidden/>
          </w:rPr>
          <w:fldChar w:fldCharType="separate"/>
        </w:r>
        <w:r w:rsidR="00873BB8">
          <w:rPr>
            <w:noProof/>
            <w:webHidden/>
          </w:rPr>
          <w:t>271</w:t>
        </w:r>
        <w:r w:rsidR="00873BB8">
          <w:rPr>
            <w:noProof/>
            <w:webHidden/>
          </w:rPr>
          <w:fldChar w:fldCharType="end"/>
        </w:r>
      </w:hyperlink>
    </w:p>
    <w:p w14:paraId="28CADB53" w14:textId="06D18938" w:rsidR="00873BB8" w:rsidRDefault="00EC0D9B">
      <w:pPr>
        <w:pStyle w:val="TOC2"/>
        <w:rPr>
          <w:rFonts w:asciiTheme="minorHAnsi" w:eastAsiaTheme="minorEastAsia" w:hAnsiTheme="minorHAnsi" w:cstheme="minorBidi"/>
          <w:noProof/>
          <w:sz w:val="22"/>
          <w:szCs w:val="22"/>
          <w:lang w:eastAsia="en-GB"/>
        </w:rPr>
      </w:pPr>
      <w:hyperlink w:anchor="_Toc141721023" w:history="1">
        <w:r w:rsidR="00873BB8" w:rsidRPr="00B73DAE">
          <w:rPr>
            <w:rStyle w:val="Hyperlink"/>
            <w:noProof/>
          </w:rPr>
          <w:t>Annex 3: Calculation Methodology for Financial Indicators</w:t>
        </w:r>
        <w:r w:rsidR="00873BB8">
          <w:rPr>
            <w:noProof/>
            <w:webHidden/>
          </w:rPr>
          <w:tab/>
        </w:r>
        <w:r w:rsidR="00873BB8">
          <w:rPr>
            <w:noProof/>
            <w:webHidden/>
          </w:rPr>
          <w:fldChar w:fldCharType="begin"/>
        </w:r>
        <w:r w:rsidR="00873BB8">
          <w:rPr>
            <w:noProof/>
            <w:webHidden/>
          </w:rPr>
          <w:instrText xml:space="preserve"> PAGEREF _Toc141721023 \h </w:instrText>
        </w:r>
        <w:r w:rsidR="00873BB8">
          <w:rPr>
            <w:noProof/>
            <w:webHidden/>
          </w:rPr>
        </w:r>
        <w:r w:rsidR="00873BB8">
          <w:rPr>
            <w:noProof/>
            <w:webHidden/>
          </w:rPr>
          <w:fldChar w:fldCharType="separate"/>
        </w:r>
        <w:r w:rsidR="00873BB8">
          <w:rPr>
            <w:noProof/>
            <w:webHidden/>
          </w:rPr>
          <w:t>272</w:t>
        </w:r>
        <w:r w:rsidR="00873BB8">
          <w:rPr>
            <w:noProof/>
            <w:webHidden/>
          </w:rPr>
          <w:fldChar w:fldCharType="end"/>
        </w:r>
      </w:hyperlink>
    </w:p>
    <w:p w14:paraId="094CB840" w14:textId="793A0CB8" w:rsidR="00873BB8" w:rsidRDefault="00EC0D9B">
      <w:pPr>
        <w:pStyle w:val="TOC2"/>
        <w:rPr>
          <w:rFonts w:asciiTheme="minorHAnsi" w:eastAsiaTheme="minorEastAsia" w:hAnsiTheme="minorHAnsi" w:cstheme="minorBidi"/>
          <w:noProof/>
          <w:sz w:val="22"/>
          <w:szCs w:val="22"/>
          <w:lang w:eastAsia="en-GB"/>
        </w:rPr>
      </w:pPr>
      <w:hyperlink w:anchor="_Toc141721024" w:history="1">
        <w:r w:rsidR="00873BB8" w:rsidRPr="00B73DAE">
          <w:rPr>
            <w:rStyle w:val="Hyperlink"/>
            <w:noProof/>
          </w:rPr>
          <w:t>Annex 4: Board Confirmation</w:t>
        </w:r>
        <w:r w:rsidR="00873BB8">
          <w:rPr>
            <w:noProof/>
            <w:webHidden/>
          </w:rPr>
          <w:tab/>
        </w:r>
        <w:r w:rsidR="00873BB8">
          <w:rPr>
            <w:noProof/>
            <w:webHidden/>
          </w:rPr>
          <w:fldChar w:fldCharType="begin"/>
        </w:r>
        <w:r w:rsidR="00873BB8">
          <w:rPr>
            <w:noProof/>
            <w:webHidden/>
          </w:rPr>
          <w:instrText xml:space="preserve"> PAGEREF _Toc141721024 \h </w:instrText>
        </w:r>
        <w:r w:rsidR="00873BB8">
          <w:rPr>
            <w:noProof/>
            <w:webHidden/>
          </w:rPr>
        </w:r>
        <w:r w:rsidR="00873BB8">
          <w:rPr>
            <w:noProof/>
            <w:webHidden/>
          </w:rPr>
          <w:fldChar w:fldCharType="separate"/>
        </w:r>
        <w:r w:rsidR="00873BB8">
          <w:rPr>
            <w:noProof/>
            <w:webHidden/>
          </w:rPr>
          <w:t>277</w:t>
        </w:r>
        <w:r w:rsidR="00873BB8">
          <w:rPr>
            <w:noProof/>
            <w:webHidden/>
          </w:rPr>
          <w:fldChar w:fldCharType="end"/>
        </w:r>
      </w:hyperlink>
    </w:p>
    <w:p w14:paraId="5F453276" w14:textId="5627ECD5"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25" w:history="1">
        <w:r w:rsidR="00873BB8" w:rsidRPr="00B73DAE">
          <w:rPr>
            <w:rStyle w:val="Hyperlink"/>
            <w:noProof/>
            <w:lang w:bidi="en-US"/>
          </w:rPr>
          <w:t>Schedule 19: Financial Reports and Audit Rights</w:t>
        </w:r>
        <w:r w:rsidR="00873BB8">
          <w:rPr>
            <w:noProof/>
            <w:webHidden/>
          </w:rPr>
          <w:tab/>
        </w:r>
        <w:r w:rsidR="00873BB8">
          <w:rPr>
            <w:noProof/>
            <w:webHidden/>
          </w:rPr>
          <w:fldChar w:fldCharType="begin"/>
        </w:r>
        <w:r w:rsidR="00873BB8">
          <w:rPr>
            <w:noProof/>
            <w:webHidden/>
          </w:rPr>
          <w:instrText xml:space="preserve"> PAGEREF _Toc141721025 \h </w:instrText>
        </w:r>
        <w:r w:rsidR="00873BB8">
          <w:rPr>
            <w:noProof/>
            <w:webHidden/>
          </w:rPr>
        </w:r>
        <w:r w:rsidR="00873BB8">
          <w:rPr>
            <w:noProof/>
            <w:webHidden/>
          </w:rPr>
          <w:fldChar w:fldCharType="separate"/>
        </w:r>
        <w:r w:rsidR="00873BB8">
          <w:rPr>
            <w:rFonts w:hint="eastAsia"/>
            <w:noProof/>
            <w:webHidden/>
          </w:rPr>
          <w:t>279</w:t>
        </w:r>
        <w:r w:rsidR="00873BB8">
          <w:rPr>
            <w:noProof/>
            <w:webHidden/>
          </w:rPr>
          <w:fldChar w:fldCharType="end"/>
        </w:r>
      </w:hyperlink>
    </w:p>
    <w:p w14:paraId="7CADB015" w14:textId="751EBB97" w:rsidR="00873BB8" w:rsidRDefault="00EC0D9B">
      <w:pPr>
        <w:pStyle w:val="TOC2"/>
        <w:rPr>
          <w:rFonts w:asciiTheme="minorHAnsi" w:eastAsiaTheme="minorEastAsia" w:hAnsiTheme="minorHAnsi" w:cstheme="minorBidi"/>
          <w:noProof/>
          <w:sz w:val="22"/>
          <w:szCs w:val="22"/>
          <w:lang w:eastAsia="en-GB"/>
        </w:rPr>
      </w:pPr>
      <w:hyperlink w:anchor="_Toc141721026" w:history="1">
        <w:r w:rsidR="00873BB8" w:rsidRPr="00B73DAE">
          <w:rPr>
            <w:rStyle w:val="Hyperlink"/>
            <w:noProof/>
          </w:rPr>
          <w:t>Part A: Financial Transparency Objectives and Open Book Data</w:t>
        </w:r>
        <w:r w:rsidR="00873BB8">
          <w:rPr>
            <w:noProof/>
            <w:webHidden/>
          </w:rPr>
          <w:tab/>
        </w:r>
        <w:r w:rsidR="00873BB8">
          <w:rPr>
            <w:noProof/>
            <w:webHidden/>
          </w:rPr>
          <w:fldChar w:fldCharType="begin"/>
        </w:r>
        <w:r w:rsidR="00873BB8">
          <w:rPr>
            <w:noProof/>
            <w:webHidden/>
          </w:rPr>
          <w:instrText xml:space="preserve"> PAGEREF _Toc141721026 \h </w:instrText>
        </w:r>
        <w:r w:rsidR="00873BB8">
          <w:rPr>
            <w:noProof/>
            <w:webHidden/>
          </w:rPr>
        </w:r>
        <w:r w:rsidR="00873BB8">
          <w:rPr>
            <w:noProof/>
            <w:webHidden/>
          </w:rPr>
          <w:fldChar w:fldCharType="separate"/>
        </w:r>
        <w:r w:rsidR="00873BB8">
          <w:rPr>
            <w:noProof/>
            <w:webHidden/>
          </w:rPr>
          <w:t>282</w:t>
        </w:r>
        <w:r w:rsidR="00873BB8">
          <w:rPr>
            <w:noProof/>
            <w:webHidden/>
          </w:rPr>
          <w:fldChar w:fldCharType="end"/>
        </w:r>
      </w:hyperlink>
    </w:p>
    <w:p w14:paraId="2E48FFF4" w14:textId="19F58759" w:rsidR="00873BB8" w:rsidRDefault="00EC0D9B">
      <w:pPr>
        <w:pStyle w:val="TOC2"/>
        <w:rPr>
          <w:rFonts w:asciiTheme="minorHAnsi" w:eastAsiaTheme="minorEastAsia" w:hAnsiTheme="minorHAnsi" w:cstheme="minorBidi"/>
          <w:noProof/>
          <w:sz w:val="22"/>
          <w:szCs w:val="22"/>
          <w:lang w:eastAsia="en-GB"/>
        </w:rPr>
      </w:pPr>
      <w:hyperlink w:anchor="_Toc141721027" w:history="1">
        <w:r w:rsidR="00873BB8" w:rsidRPr="00B73DAE">
          <w:rPr>
            <w:rStyle w:val="Hyperlink"/>
            <w:noProof/>
          </w:rPr>
          <w:t>Part B: Financial Reports</w:t>
        </w:r>
        <w:r w:rsidR="00873BB8">
          <w:rPr>
            <w:noProof/>
            <w:webHidden/>
          </w:rPr>
          <w:tab/>
        </w:r>
        <w:r w:rsidR="00873BB8">
          <w:rPr>
            <w:noProof/>
            <w:webHidden/>
          </w:rPr>
          <w:fldChar w:fldCharType="begin"/>
        </w:r>
        <w:r w:rsidR="00873BB8">
          <w:rPr>
            <w:noProof/>
            <w:webHidden/>
          </w:rPr>
          <w:instrText xml:space="preserve"> PAGEREF _Toc141721027 \h </w:instrText>
        </w:r>
        <w:r w:rsidR="00873BB8">
          <w:rPr>
            <w:noProof/>
            <w:webHidden/>
          </w:rPr>
        </w:r>
        <w:r w:rsidR="00873BB8">
          <w:rPr>
            <w:noProof/>
            <w:webHidden/>
          </w:rPr>
          <w:fldChar w:fldCharType="separate"/>
        </w:r>
        <w:r w:rsidR="00873BB8">
          <w:rPr>
            <w:noProof/>
            <w:webHidden/>
          </w:rPr>
          <w:t>284</w:t>
        </w:r>
        <w:r w:rsidR="00873BB8">
          <w:rPr>
            <w:noProof/>
            <w:webHidden/>
          </w:rPr>
          <w:fldChar w:fldCharType="end"/>
        </w:r>
      </w:hyperlink>
    </w:p>
    <w:p w14:paraId="419003E4" w14:textId="07E1EBE2" w:rsidR="00873BB8" w:rsidRDefault="00EC0D9B">
      <w:pPr>
        <w:pStyle w:val="TOC2"/>
        <w:rPr>
          <w:rFonts w:asciiTheme="minorHAnsi" w:eastAsiaTheme="minorEastAsia" w:hAnsiTheme="minorHAnsi" w:cstheme="minorBidi"/>
          <w:noProof/>
          <w:sz w:val="22"/>
          <w:szCs w:val="22"/>
          <w:lang w:eastAsia="en-GB"/>
        </w:rPr>
      </w:pPr>
      <w:hyperlink w:anchor="_Toc141721028" w:history="1">
        <w:r w:rsidR="00873BB8" w:rsidRPr="00B73DAE">
          <w:rPr>
            <w:rStyle w:val="Hyperlink"/>
            <w:noProof/>
          </w:rPr>
          <w:t>Part C: Audit Rights</w:t>
        </w:r>
        <w:r w:rsidR="00873BB8">
          <w:rPr>
            <w:noProof/>
            <w:webHidden/>
          </w:rPr>
          <w:tab/>
        </w:r>
        <w:r w:rsidR="00873BB8">
          <w:rPr>
            <w:noProof/>
            <w:webHidden/>
          </w:rPr>
          <w:fldChar w:fldCharType="begin"/>
        </w:r>
        <w:r w:rsidR="00873BB8">
          <w:rPr>
            <w:noProof/>
            <w:webHidden/>
          </w:rPr>
          <w:instrText xml:space="preserve"> PAGEREF _Toc141721028 \h </w:instrText>
        </w:r>
        <w:r w:rsidR="00873BB8">
          <w:rPr>
            <w:noProof/>
            <w:webHidden/>
          </w:rPr>
        </w:r>
        <w:r w:rsidR="00873BB8">
          <w:rPr>
            <w:noProof/>
            <w:webHidden/>
          </w:rPr>
          <w:fldChar w:fldCharType="separate"/>
        </w:r>
        <w:r w:rsidR="00873BB8">
          <w:rPr>
            <w:noProof/>
            <w:webHidden/>
          </w:rPr>
          <w:t>287</w:t>
        </w:r>
        <w:r w:rsidR="00873BB8">
          <w:rPr>
            <w:noProof/>
            <w:webHidden/>
          </w:rPr>
          <w:fldChar w:fldCharType="end"/>
        </w:r>
      </w:hyperlink>
    </w:p>
    <w:p w14:paraId="4CF209E9" w14:textId="3951135F"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29" w:history="1">
        <w:r w:rsidR="00873BB8" w:rsidRPr="00B73DAE">
          <w:rPr>
            <w:rStyle w:val="Hyperlink"/>
            <w:noProof/>
            <w:lang w:bidi="en-US"/>
          </w:rPr>
          <w:t>Schedule 20: Anticipated Savings</w:t>
        </w:r>
        <w:r w:rsidR="00873BB8">
          <w:rPr>
            <w:noProof/>
            <w:webHidden/>
          </w:rPr>
          <w:tab/>
        </w:r>
        <w:r w:rsidR="00873BB8">
          <w:rPr>
            <w:noProof/>
            <w:webHidden/>
          </w:rPr>
          <w:fldChar w:fldCharType="begin"/>
        </w:r>
        <w:r w:rsidR="00873BB8">
          <w:rPr>
            <w:noProof/>
            <w:webHidden/>
          </w:rPr>
          <w:instrText xml:space="preserve"> PAGEREF _Toc141721029 \h </w:instrText>
        </w:r>
        <w:r w:rsidR="00873BB8">
          <w:rPr>
            <w:noProof/>
            <w:webHidden/>
          </w:rPr>
        </w:r>
        <w:r w:rsidR="00873BB8">
          <w:rPr>
            <w:noProof/>
            <w:webHidden/>
          </w:rPr>
          <w:fldChar w:fldCharType="separate"/>
        </w:r>
        <w:r w:rsidR="00873BB8">
          <w:rPr>
            <w:rFonts w:hint="eastAsia"/>
            <w:noProof/>
            <w:webHidden/>
          </w:rPr>
          <w:t>292</w:t>
        </w:r>
        <w:r w:rsidR="00873BB8">
          <w:rPr>
            <w:noProof/>
            <w:webHidden/>
          </w:rPr>
          <w:fldChar w:fldCharType="end"/>
        </w:r>
      </w:hyperlink>
    </w:p>
    <w:p w14:paraId="7C72FF71" w14:textId="27AE5B44"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30" w:history="1">
        <w:r w:rsidR="00873BB8" w:rsidRPr="00B73DAE">
          <w:rPr>
            <w:rStyle w:val="Hyperlink"/>
            <w:noProof/>
            <w:lang w:bidi="en-US"/>
          </w:rPr>
          <w:t>Schedule 21: Governance</w:t>
        </w:r>
        <w:r w:rsidR="00873BB8">
          <w:rPr>
            <w:noProof/>
            <w:webHidden/>
          </w:rPr>
          <w:tab/>
        </w:r>
        <w:r w:rsidR="00873BB8">
          <w:rPr>
            <w:noProof/>
            <w:webHidden/>
          </w:rPr>
          <w:fldChar w:fldCharType="begin"/>
        </w:r>
        <w:r w:rsidR="00873BB8">
          <w:rPr>
            <w:noProof/>
            <w:webHidden/>
          </w:rPr>
          <w:instrText xml:space="preserve"> PAGEREF _Toc141721030 \h </w:instrText>
        </w:r>
        <w:r w:rsidR="00873BB8">
          <w:rPr>
            <w:noProof/>
            <w:webHidden/>
          </w:rPr>
        </w:r>
        <w:r w:rsidR="00873BB8">
          <w:rPr>
            <w:noProof/>
            <w:webHidden/>
          </w:rPr>
          <w:fldChar w:fldCharType="separate"/>
        </w:r>
        <w:r w:rsidR="00873BB8">
          <w:rPr>
            <w:rFonts w:hint="eastAsia"/>
            <w:noProof/>
            <w:webHidden/>
          </w:rPr>
          <w:t>294</w:t>
        </w:r>
        <w:r w:rsidR="00873BB8">
          <w:rPr>
            <w:noProof/>
            <w:webHidden/>
          </w:rPr>
          <w:fldChar w:fldCharType="end"/>
        </w:r>
      </w:hyperlink>
    </w:p>
    <w:p w14:paraId="62BE7D0C" w14:textId="62E3C5BE" w:rsidR="00873BB8" w:rsidRDefault="00EC0D9B">
      <w:pPr>
        <w:pStyle w:val="TOC2"/>
        <w:rPr>
          <w:rFonts w:asciiTheme="minorHAnsi" w:eastAsiaTheme="minorEastAsia" w:hAnsiTheme="minorHAnsi" w:cstheme="minorBidi"/>
          <w:noProof/>
          <w:sz w:val="22"/>
          <w:szCs w:val="22"/>
          <w:lang w:eastAsia="en-GB"/>
        </w:rPr>
      </w:pPr>
      <w:hyperlink w:anchor="_Toc141721031" w:history="1">
        <w:r w:rsidR="00873BB8" w:rsidRPr="00B73DAE">
          <w:rPr>
            <w:rStyle w:val="Hyperlink"/>
            <w:noProof/>
          </w:rPr>
          <w:t>Annex 1: Representation and Structure of Boards</w:t>
        </w:r>
        <w:r w:rsidR="00873BB8">
          <w:rPr>
            <w:noProof/>
            <w:webHidden/>
          </w:rPr>
          <w:tab/>
        </w:r>
        <w:r w:rsidR="00873BB8">
          <w:rPr>
            <w:noProof/>
            <w:webHidden/>
          </w:rPr>
          <w:fldChar w:fldCharType="begin"/>
        </w:r>
        <w:r w:rsidR="00873BB8">
          <w:rPr>
            <w:noProof/>
            <w:webHidden/>
          </w:rPr>
          <w:instrText xml:space="preserve"> PAGEREF _Toc141721031 \h </w:instrText>
        </w:r>
        <w:r w:rsidR="00873BB8">
          <w:rPr>
            <w:noProof/>
            <w:webHidden/>
          </w:rPr>
        </w:r>
        <w:r w:rsidR="00873BB8">
          <w:rPr>
            <w:noProof/>
            <w:webHidden/>
          </w:rPr>
          <w:fldChar w:fldCharType="separate"/>
        </w:r>
        <w:r w:rsidR="00873BB8">
          <w:rPr>
            <w:noProof/>
            <w:webHidden/>
          </w:rPr>
          <w:t>299</w:t>
        </w:r>
        <w:r w:rsidR="00873BB8">
          <w:rPr>
            <w:noProof/>
            <w:webHidden/>
          </w:rPr>
          <w:fldChar w:fldCharType="end"/>
        </w:r>
      </w:hyperlink>
    </w:p>
    <w:p w14:paraId="40D01DE2" w14:textId="0417241E"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32" w:history="1">
        <w:r w:rsidR="00873BB8" w:rsidRPr="00B73DAE">
          <w:rPr>
            <w:rStyle w:val="Hyperlink"/>
            <w:noProof/>
            <w:lang w:bidi="en-US"/>
          </w:rPr>
          <w:t>Schedule 22: Change Control Procedure</w:t>
        </w:r>
        <w:r w:rsidR="00873BB8">
          <w:rPr>
            <w:noProof/>
            <w:webHidden/>
          </w:rPr>
          <w:tab/>
        </w:r>
        <w:r w:rsidR="00873BB8">
          <w:rPr>
            <w:noProof/>
            <w:webHidden/>
          </w:rPr>
          <w:fldChar w:fldCharType="begin"/>
        </w:r>
        <w:r w:rsidR="00873BB8">
          <w:rPr>
            <w:noProof/>
            <w:webHidden/>
          </w:rPr>
          <w:instrText xml:space="preserve"> PAGEREF _Toc141721032 \h </w:instrText>
        </w:r>
        <w:r w:rsidR="00873BB8">
          <w:rPr>
            <w:noProof/>
            <w:webHidden/>
          </w:rPr>
        </w:r>
        <w:r w:rsidR="00873BB8">
          <w:rPr>
            <w:noProof/>
            <w:webHidden/>
          </w:rPr>
          <w:fldChar w:fldCharType="separate"/>
        </w:r>
        <w:r w:rsidR="00873BB8">
          <w:rPr>
            <w:rFonts w:hint="eastAsia"/>
            <w:noProof/>
            <w:webHidden/>
          </w:rPr>
          <w:t>302</w:t>
        </w:r>
        <w:r w:rsidR="00873BB8">
          <w:rPr>
            <w:noProof/>
            <w:webHidden/>
          </w:rPr>
          <w:fldChar w:fldCharType="end"/>
        </w:r>
      </w:hyperlink>
    </w:p>
    <w:p w14:paraId="0B174FDB" w14:textId="65C40DB5" w:rsidR="00873BB8" w:rsidRDefault="00EC0D9B">
      <w:pPr>
        <w:pStyle w:val="TOC2"/>
        <w:rPr>
          <w:rFonts w:asciiTheme="minorHAnsi" w:eastAsiaTheme="minorEastAsia" w:hAnsiTheme="minorHAnsi" w:cstheme="minorBidi"/>
          <w:noProof/>
          <w:sz w:val="22"/>
          <w:szCs w:val="22"/>
          <w:lang w:eastAsia="en-GB"/>
        </w:rPr>
      </w:pPr>
      <w:hyperlink w:anchor="_Toc141721033" w:history="1">
        <w:r w:rsidR="00873BB8" w:rsidRPr="00B73DAE">
          <w:rPr>
            <w:rStyle w:val="Hyperlink"/>
            <w:noProof/>
          </w:rPr>
          <w:t>Annex 1: Change Request Form</w:t>
        </w:r>
        <w:r w:rsidR="00873BB8">
          <w:rPr>
            <w:noProof/>
            <w:webHidden/>
          </w:rPr>
          <w:tab/>
        </w:r>
        <w:r w:rsidR="00873BB8">
          <w:rPr>
            <w:noProof/>
            <w:webHidden/>
          </w:rPr>
          <w:fldChar w:fldCharType="begin"/>
        </w:r>
        <w:r w:rsidR="00873BB8">
          <w:rPr>
            <w:noProof/>
            <w:webHidden/>
          </w:rPr>
          <w:instrText xml:space="preserve"> PAGEREF _Toc141721033 \h </w:instrText>
        </w:r>
        <w:r w:rsidR="00873BB8">
          <w:rPr>
            <w:noProof/>
            <w:webHidden/>
          </w:rPr>
        </w:r>
        <w:r w:rsidR="00873BB8">
          <w:rPr>
            <w:noProof/>
            <w:webHidden/>
          </w:rPr>
          <w:fldChar w:fldCharType="separate"/>
        </w:r>
        <w:r w:rsidR="00873BB8">
          <w:rPr>
            <w:noProof/>
            <w:webHidden/>
          </w:rPr>
          <w:t>310</w:t>
        </w:r>
        <w:r w:rsidR="00873BB8">
          <w:rPr>
            <w:noProof/>
            <w:webHidden/>
          </w:rPr>
          <w:fldChar w:fldCharType="end"/>
        </w:r>
      </w:hyperlink>
    </w:p>
    <w:p w14:paraId="185F357D" w14:textId="3AEE1689" w:rsidR="00873BB8" w:rsidRDefault="00EC0D9B">
      <w:pPr>
        <w:pStyle w:val="TOC2"/>
        <w:rPr>
          <w:rFonts w:asciiTheme="minorHAnsi" w:eastAsiaTheme="minorEastAsia" w:hAnsiTheme="minorHAnsi" w:cstheme="minorBidi"/>
          <w:noProof/>
          <w:sz w:val="22"/>
          <w:szCs w:val="22"/>
          <w:lang w:eastAsia="en-GB"/>
        </w:rPr>
      </w:pPr>
      <w:hyperlink w:anchor="_Toc141721034" w:history="1">
        <w:r w:rsidR="00873BB8" w:rsidRPr="00B73DAE">
          <w:rPr>
            <w:rStyle w:val="Hyperlink"/>
            <w:noProof/>
          </w:rPr>
          <w:t>Annex 2: Change Authorisation Note</w:t>
        </w:r>
        <w:r w:rsidR="00873BB8">
          <w:rPr>
            <w:noProof/>
            <w:webHidden/>
          </w:rPr>
          <w:tab/>
        </w:r>
        <w:r w:rsidR="00873BB8">
          <w:rPr>
            <w:noProof/>
            <w:webHidden/>
          </w:rPr>
          <w:fldChar w:fldCharType="begin"/>
        </w:r>
        <w:r w:rsidR="00873BB8">
          <w:rPr>
            <w:noProof/>
            <w:webHidden/>
          </w:rPr>
          <w:instrText xml:space="preserve"> PAGEREF _Toc141721034 \h </w:instrText>
        </w:r>
        <w:r w:rsidR="00873BB8">
          <w:rPr>
            <w:noProof/>
            <w:webHidden/>
          </w:rPr>
        </w:r>
        <w:r w:rsidR="00873BB8">
          <w:rPr>
            <w:noProof/>
            <w:webHidden/>
          </w:rPr>
          <w:fldChar w:fldCharType="separate"/>
        </w:r>
        <w:r w:rsidR="00873BB8">
          <w:rPr>
            <w:noProof/>
            <w:webHidden/>
          </w:rPr>
          <w:t>311</w:t>
        </w:r>
        <w:r w:rsidR="00873BB8">
          <w:rPr>
            <w:noProof/>
            <w:webHidden/>
          </w:rPr>
          <w:fldChar w:fldCharType="end"/>
        </w:r>
      </w:hyperlink>
    </w:p>
    <w:p w14:paraId="1793C757" w14:textId="71D13EC8"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35" w:history="1">
        <w:r w:rsidR="00873BB8" w:rsidRPr="00B73DAE">
          <w:rPr>
            <w:rStyle w:val="Hyperlink"/>
            <w:noProof/>
            <w:lang w:bidi="en-US"/>
          </w:rPr>
          <w:t>Schedule 23: Dispute Resolution Procedure</w:t>
        </w:r>
        <w:r w:rsidR="00873BB8">
          <w:rPr>
            <w:noProof/>
            <w:webHidden/>
          </w:rPr>
          <w:tab/>
        </w:r>
        <w:r w:rsidR="00873BB8">
          <w:rPr>
            <w:noProof/>
            <w:webHidden/>
          </w:rPr>
          <w:fldChar w:fldCharType="begin"/>
        </w:r>
        <w:r w:rsidR="00873BB8">
          <w:rPr>
            <w:noProof/>
            <w:webHidden/>
          </w:rPr>
          <w:instrText xml:space="preserve"> PAGEREF _Toc141721035 \h </w:instrText>
        </w:r>
        <w:r w:rsidR="00873BB8">
          <w:rPr>
            <w:noProof/>
            <w:webHidden/>
          </w:rPr>
        </w:r>
        <w:r w:rsidR="00873BB8">
          <w:rPr>
            <w:noProof/>
            <w:webHidden/>
          </w:rPr>
          <w:fldChar w:fldCharType="separate"/>
        </w:r>
        <w:r w:rsidR="00873BB8">
          <w:rPr>
            <w:rFonts w:hint="eastAsia"/>
            <w:noProof/>
            <w:webHidden/>
          </w:rPr>
          <w:t>313</w:t>
        </w:r>
        <w:r w:rsidR="00873BB8">
          <w:rPr>
            <w:noProof/>
            <w:webHidden/>
          </w:rPr>
          <w:fldChar w:fldCharType="end"/>
        </w:r>
      </w:hyperlink>
    </w:p>
    <w:p w14:paraId="1B5320A9" w14:textId="0C3E14C1"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36" w:history="1">
        <w:r w:rsidR="00873BB8" w:rsidRPr="00B73DAE">
          <w:rPr>
            <w:rStyle w:val="Hyperlink"/>
            <w:noProof/>
            <w:lang w:bidi="en-US"/>
          </w:rPr>
          <w:t>Schedule 24: Reports and Records Provisions</w:t>
        </w:r>
        <w:r w:rsidR="00873BB8">
          <w:rPr>
            <w:noProof/>
            <w:webHidden/>
          </w:rPr>
          <w:tab/>
        </w:r>
        <w:r w:rsidR="00873BB8">
          <w:rPr>
            <w:noProof/>
            <w:webHidden/>
          </w:rPr>
          <w:fldChar w:fldCharType="begin"/>
        </w:r>
        <w:r w:rsidR="00873BB8">
          <w:rPr>
            <w:noProof/>
            <w:webHidden/>
          </w:rPr>
          <w:instrText xml:space="preserve"> PAGEREF _Toc141721036 \h </w:instrText>
        </w:r>
        <w:r w:rsidR="00873BB8">
          <w:rPr>
            <w:noProof/>
            <w:webHidden/>
          </w:rPr>
        </w:r>
        <w:r w:rsidR="00873BB8">
          <w:rPr>
            <w:noProof/>
            <w:webHidden/>
          </w:rPr>
          <w:fldChar w:fldCharType="separate"/>
        </w:r>
        <w:r w:rsidR="00873BB8">
          <w:rPr>
            <w:rFonts w:hint="eastAsia"/>
            <w:noProof/>
            <w:webHidden/>
          </w:rPr>
          <w:t>322</w:t>
        </w:r>
        <w:r w:rsidR="00873BB8">
          <w:rPr>
            <w:noProof/>
            <w:webHidden/>
          </w:rPr>
          <w:fldChar w:fldCharType="end"/>
        </w:r>
      </w:hyperlink>
    </w:p>
    <w:p w14:paraId="5F18B4E1" w14:textId="2F24F5E2" w:rsidR="00873BB8" w:rsidRDefault="00EC0D9B">
      <w:pPr>
        <w:pStyle w:val="TOC2"/>
        <w:rPr>
          <w:rFonts w:asciiTheme="minorHAnsi" w:eastAsiaTheme="minorEastAsia" w:hAnsiTheme="minorHAnsi" w:cstheme="minorBidi"/>
          <w:noProof/>
          <w:sz w:val="22"/>
          <w:szCs w:val="22"/>
          <w:lang w:eastAsia="en-GB"/>
        </w:rPr>
      </w:pPr>
      <w:hyperlink w:anchor="_Toc141721037" w:history="1">
        <w:r w:rsidR="00873BB8" w:rsidRPr="00B73DAE">
          <w:rPr>
            <w:rStyle w:val="Hyperlink"/>
            <w:noProof/>
          </w:rPr>
          <w:t>Annex 1: Transparency Reports</w:t>
        </w:r>
        <w:r w:rsidR="00873BB8">
          <w:rPr>
            <w:noProof/>
            <w:webHidden/>
          </w:rPr>
          <w:tab/>
        </w:r>
        <w:r w:rsidR="00873BB8">
          <w:rPr>
            <w:noProof/>
            <w:webHidden/>
          </w:rPr>
          <w:fldChar w:fldCharType="begin"/>
        </w:r>
        <w:r w:rsidR="00873BB8">
          <w:rPr>
            <w:noProof/>
            <w:webHidden/>
          </w:rPr>
          <w:instrText xml:space="preserve"> PAGEREF _Toc141721037 \h </w:instrText>
        </w:r>
        <w:r w:rsidR="00873BB8">
          <w:rPr>
            <w:noProof/>
            <w:webHidden/>
          </w:rPr>
        </w:r>
        <w:r w:rsidR="00873BB8">
          <w:rPr>
            <w:noProof/>
            <w:webHidden/>
          </w:rPr>
          <w:fldChar w:fldCharType="separate"/>
        </w:r>
        <w:r w:rsidR="00873BB8">
          <w:rPr>
            <w:noProof/>
            <w:webHidden/>
          </w:rPr>
          <w:t>326</w:t>
        </w:r>
        <w:r w:rsidR="00873BB8">
          <w:rPr>
            <w:noProof/>
            <w:webHidden/>
          </w:rPr>
          <w:fldChar w:fldCharType="end"/>
        </w:r>
      </w:hyperlink>
    </w:p>
    <w:p w14:paraId="51E01280" w14:textId="2EB36839" w:rsidR="00873BB8" w:rsidRDefault="00EC0D9B">
      <w:pPr>
        <w:pStyle w:val="TOC2"/>
        <w:rPr>
          <w:rFonts w:asciiTheme="minorHAnsi" w:eastAsiaTheme="minorEastAsia" w:hAnsiTheme="minorHAnsi" w:cstheme="minorBidi"/>
          <w:noProof/>
          <w:sz w:val="22"/>
          <w:szCs w:val="22"/>
          <w:lang w:eastAsia="en-GB"/>
        </w:rPr>
      </w:pPr>
      <w:hyperlink w:anchor="_Toc141721038" w:history="1">
        <w:r w:rsidR="00873BB8" w:rsidRPr="00B73DAE">
          <w:rPr>
            <w:rStyle w:val="Hyperlink"/>
            <w:noProof/>
          </w:rPr>
          <w:t>Annex 2: Records to be kept by the Supplier</w:t>
        </w:r>
        <w:r w:rsidR="00873BB8">
          <w:rPr>
            <w:noProof/>
            <w:webHidden/>
          </w:rPr>
          <w:tab/>
        </w:r>
        <w:r w:rsidR="00873BB8">
          <w:rPr>
            <w:noProof/>
            <w:webHidden/>
          </w:rPr>
          <w:fldChar w:fldCharType="begin"/>
        </w:r>
        <w:r w:rsidR="00873BB8">
          <w:rPr>
            <w:noProof/>
            <w:webHidden/>
          </w:rPr>
          <w:instrText xml:space="preserve"> PAGEREF _Toc141721038 \h </w:instrText>
        </w:r>
        <w:r w:rsidR="00873BB8">
          <w:rPr>
            <w:noProof/>
            <w:webHidden/>
          </w:rPr>
        </w:r>
        <w:r w:rsidR="00873BB8">
          <w:rPr>
            <w:noProof/>
            <w:webHidden/>
          </w:rPr>
          <w:fldChar w:fldCharType="separate"/>
        </w:r>
        <w:r w:rsidR="00873BB8">
          <w:rPr>
            <w:noProof/>
            <w:webHidden/>
          </w:rPr>
          <w:t>327</w:t>
        </w:r>
        <w:r w:rsidR="00873BB8">
          <w:rPr>
            <w:noProof/>
            <w:webHidden/>
          </w:rPr>
          <w:fldChar w:fldCharType="end"/>
        </w:r>
      </w:hyperlink>
    </w:p>
    <w:p w14:paraId="1C328E85" w14:textId="708D5738" w:rsidR="00873BB8" w:rsidRDefault="00EC0D9B">
      <w:pPr>
        <w:pStyle w:val="TOC2"/>
        <w:rPr>
          <w:rFonts w:asciiTheme="minorHAnsi" w:eastAsiaTheme="minorEastAsia" w:hAnsiTheme="minorHAnsi" w:cstheme="minorBidi"/>
          <w:noProof/>
          <w:sz w:val="22"/>
          <w:szCs w:val="22"/>
          <w:lang w:eastAsia="en-GB"/>
        </w:rPr>
      </w:pPr>
      <w:hyperlink w:anchor="_Toc141721039" w:history="1">
        <w:r w:rsidR="00873BB8" w:rsidRPr="00B73DAE">
          <w:rPr>
            <w:rStyle w:val="Hyperlink"/>
            <w:noProof/>
          </w:rPr>
          <w:t>Annex 3: Records to Upload to Virtual Library</w:t>
        </w:r>
        <w:r w:rsidR="00873BB8">
          <w:rPr>
            <w:noProof/>
            <w:webHidden/>
          </w:rPr>
          <w:tab/>
        </w:r>
        <w:r w:rsidR="00873BB8">
          <w:rPr>
            <w:noProof/>
            <w:webHidden/>
          </w:rPr>
          <w:fldChar w:fldCharType="begin"/>
        </w:r>
        <w:r w:rsidR="00873BB8">
          <w:rPr>
            <w:noProof/>
            <w:webHidden/>
          </w:rPr>
          <w:instrText xml:space="preserve"> PAGEREF _Toc141721039 \h </w:instrText>
        </w:r>
        <w:r w:rsidR="00873BB8">
          <w:rPr>
            <w:noProof/>
            <w:webHidden/>
          </w:rPr>
        </w:r>
        <w:r w:rsidR="00873BB8">
          <w:rPr>
            <w:noProof/>
            <w:webHidden/>
          </w:rPr>
          <w:fldChar w:fldCharType="separate"/>
        </w:r>
        <w:r w:rsidR="00873BB8">
          <w:rPr>
            <w:noProof/>
            <w:webHidden/>
          </w:rPr>
          <w:t>328</w:t>
        </w:r>
        <w:r w:rsidR="00873BB8">
          <w:rPr>
            <w:noProof/>
            <w:webHidden/>
          </w:rPr>
          <w:fldChar w:fldCharType="end"/>
        </w:r>
      </w:hyperlink>
    </w:p>
    <w:p w14:paraId="5A924BDF" w14:textId="5D520F03" w:rsidR="00873BB8" w:rsidRDefault="00EC0D9B">
      <w:pPr>
        <w:pStyle w:val="TOC2"/>
        <w:rPr>
          <w:rFonts w:asciiTheme="minorHAnsi" w:eastAsiaTheme="minorEastAsia" w:hAnsiTheme="minorHAnsi" w:cstheme="minorBidi"/>
          <w:noProof/>
          <w:sz w:val="22"/>
          <w:szCs w:val="22"/>
          <w:lang w:eastAsia="en-GB"/>
        </w:rPr>
      </w:pPr>
      <w:hyperlink w:anchor="_Toc141721040" w:history="1">
        <w:r w:rsidR="00873BB8" w:rsidRPr="00B73DAE">
          <w:rPr>
            <w:rStyle w:val="Hyperlink"/>
            <w:noProof/>
          </w:rPr>
          <w:t>Annex 4: Supply Chain Transparency Information Template</w:t>
        </w:r>
        <w:r w:rsidR="00873BB8">
          <w:rPr>
            <w:noProof/>
            <w:webHidden/>
          </w:rPr>
          <w:tab/>
        </w:r>
        <w:r w:rsidR="00873BB8">
          <w:rPr>
            <w:noProof/>
            <w:webHidden/>
          </w:rPr>
          <w:fldChar w:fldCharType="begin"/>
        </w:r>
        <w:r w:rsidR="00873BB8">
          <w:rPr>
            <w:noProof/>
            <w:webHidden/>
          </w:rPr>
          <w:instrText xml:space="preserve"> PAGEREF _Toc141721040 \h </w:instrText>
        </w:r>
        <w:r w:rsidR="00873BB8">
          <w:rPr>
            <w:noProof/>
            <w:webHidden/>
          </w:rPr>
        </w:r>
        <w:r w:rsidR="00873BB8">
          <w:rPr>
            <w:noProof/>
            <w:webHidden/>
          </w:rPr>
          <w:fldChar w:fldCharType="separate"/>
        </w:r>
        <w:r w:rsidR="00873BB8">
          <w:rPr>
            <w:noProof/>
            <w:webHidden/>
          </w:rPr>
          <w:t>340</w:t>
        </w:r>
        <w:r w:rsidR="00873BB8">
          <w:rPr>
            <w:noProof/>
            <w:webHidden/>
          </w:rPr>
          <w:fldChar w:fldCharType="end"/>
        </w:r>
      </w:hyperlink>
    </w:p>
    <w:p w14:paraId="397595C2" w14:textId="7C4DD53C"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41" w:history="1">
        <w:r w:rsidR="00873BB8" w:rsidRPr="00B73DAE">
          <w:rPr>
            <w:rStyle w:val="Hyperlink"/>
            <w:noProof/>
            <w:lang w:bidi="en-US"/>
          </w:rPr>
          <w:t>Schedule 25: Exit Management</w:t>
        </w:r>
        <w:r w:rsidR="00873BB8">
          <w:rPr>
            <w:noProof/>
            <w:webHidden/>
          </w:rPr>
          <w:tab/>
        </w:r>
        <w:r w:rsidR="00873BB8">
          <w:rPr>
            <w:noProof/>
            <w:webHidden/>
          </w:rPr>
          <w:fldChar w:fldCharType="begin"/>
        </w:r>
        <w:r w:rsidR="00873BB8">
          <w:rPr>
            <w:noProof/>
            <w:webHidden/>
          </w:rPr>
          <w:instrText xml:space="preserve"> PAGEREF _Toc141721041 \h </w:instrText>
        </w:r>
        <w:r w:rsidR="00873BB8">
          <w:rPr>
            <w:noProof/>
            <w:webHidden/>
          </w:rPr>
        </w:r>
        <w:r w:rsidR="00873BB8">
          <w:rPr>
            <w:noProof/>
            <w:webHidden/>
          </w:rPr>
          <w:fldChar w:fldCharType="separate"/>
        </w:r>
        <w:r w:rsidR="00873BB8">
          <w:rPr>
            <w:rFonts w:hint="eastAsia"/>
            <w:noProof/>
            <w:webHidden/>
          </w:rPr>
          <w:t>342</w:t>
        </w:r>
        <w:r w:rsidR="00873BB8">
          <w:rPr>
            <w:noProof/>
            <w:webHidden/>
          </w:rPr>
          <w:fldChar w:fldCharType="end"/>
        </w:r>
      </w:hyperlink>
    </w:p>
    <w:p w14:paraId="6EFF14F5" w14:textId="7A28F11E" w:rsidR="00873BB8" w:rsidRDefault="00EC0D9B">
      <w:pPr>
        <w:pStyle w:val="TOC2"/>
        <w:rPr>
          <w:rFonts w:asciiTheme="minorHAnsi" w:eastAsiaTheme="minorEastAsia" w:hAnsiTheme="minorHAnsi" w:cstheme="minorBidi"/>
          <w:noProof/>
          <w:sz w:val="22"/>
          <w:szCs w:val="22"/>
          <w:lang w:eastAsia="en-GB"/>
        </w:rPr>
      </w:pPr>
      <w:hyperlink w:anchor="_Toc141721042" w:history="1">
        <w:r w:rsidR="00873BB8" w:rsidRPr="00B73DAE">
          <w:rPr>
            <w:rStyle w:val="Hyperlink"/>
            <w:noProof/>
          </w:rPr>
          <w:t>Annex 1: Scope of the Termination Services</w:t>
        </w:r>
        <w:r w:rsidR="00873BB8">
          <w:rPr>
            <w:noProof/>
            <w:webHidden/>
          </w:rPr>
          <w:tab/>
        </w:r>
        <w:r w:rsidR="00873BB8">
          <w:rPr>
            <w:noProof/>
            <w:webHidden/>
          </w:rPr>
          <w:fldChar w:fldCharType="begin"/>
        </w:r>
        <w:r w:rsidR="00873BB8">
          <w:rPr>
            <w:noProof/>
            <w:webHidden/>
          </w:rPr>
          <w:instrText xml:space="preserve"> PAGEREF _Toc141721042 \h </w:instrText>
        </w:r>
        <w:r w:rsidR="00873BB8">
          <w:rPr>
            <w:noProof/>
            <w:webHidden/>
          </w:rPr>
        </w:r>
        <w:r w:rsidR="00873BB8">
          <w:rPr>
            <w:noProof/>
            <w:webHidden/>
          </w:rPr>
          <w:fldChar w:fldCharType="separate"/>
        </w:r>
        <w:r w:rsidR="00873BB8">
          <w:rPr>
            <w:noProof/>
            <w:webHidden/>
          </w:rPr>
          <w:t>355</w:t>
        </w:r>
        <w:r w:rsidR="00873BB8">
          <w:rPr>
            <w:noProof/>
            <w:webHidden/>
          </w:rPr>
          <w:fldChar w:fldCharType="end"/>
        </w:r>
      </w:hyperlink>
    </w:p>
    <w:p w14:paraId="4AD3E0E8" w14:textId="1523E500" w:rsidR="00873BB8" w:rsidRDefault="00EC0D9B">
      <w:pPr>
        <w:pStyle w:val="TOC2"/>
        <w:rPr>
          <w:rFonts w:asciiTheme="minorHAnsi" w:eastAsiaTheme="minorEastAsia" w:hAnsiTheme="minorHAnsi" w:cstheme="minorBidi"/>
          <w:noProof/>
          <w:sz w:val="22"/>
          <w:szCs w:val="22"/>
          <w:lang w:eastAsia="en-GB"/>
        </w:rPr>
      </w:pPr>
      <w:hyperlink w:anchor="_Toc141721043" w:history="1">
        <w:r w:rsidR="00873BB8" w:rsidRPr="00B73DAE">
          <w:rPr>
            <w:rStyle w:val="Hyperlink"/>
            <w:noProof/>
          </w:rPr>
          <w:t>Annex 2: Draft Ethical Wall Agreement</w:t>
        </w:r>
        <w:r w:rsidR="00873BB8">
          <w:rPr>
            <w:noProof/>
            <w:webHidden/>
          </w:rPr>
          <w:tab/>
        </w:r>
        <w:r w:rsidR="00873BB8">
          <w:rPr>
            <w:noProof/>
            <w:webHidden/>
          </w:rPr>
          <w:fldChar w:fldCharType="begin"/>
        </w:r>
        <w:r w:rsidR="00873BB8">
          <w:rPr>
            <w:noProof/>
            <w:webHidden/>
          </w:rPr>
          <w:instrText xml:space="preserve"> PAGEREF _Toc141721043 \h </w:instrText>
        </w:r>
        <w:r w:rsidR="00873BB8">
          <w:rPr>
            <w:noProof/>
            <w:webHidden/>
          </w:rPr>
        </w:r>
        <w:r w:rsidR="00873BB8">
          <w:rPr>
            <w:noProof/>
            <w:webHidden/>
          </w:rPr>
          <w:fldChar w:fldCharType="separate"/>
        </w:r>
        <w:r w:rsidR="00873BB8">
          <w:rPr>
            <w:noProof/>
            <w:webHidden/>
          </w:rPr>
          <w:t>359</w:t>
        </w:r>
        <w:r w:rsidR="00873BB8">
          <w:rPr>
            <w:noProof/>
            <w:webHidden/>
          </w:rPr>
          <w:fldChar w:fldCharType="end"/>
        </w:r>
      </w:hyperlink>
    </w:p>
    <w:p w14:paraId="3D67FF52" w14:textId="3D0E92DD"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44" w:history="1">
        <w:r w:rsidR="00873BB8" w:rsidRPr="00B73DAE">
          <w:rPr>
            <w:rStyle w:val="Hyperlink"/>
            <w:noProof/>
            <w:lang w:bidi="en-US"/>
          </w:rPr>
          <w:t>Schedule 26: Service Continuity Plan and Corporate Resolution Planning</w:t>
        </w:r>
        <w:r w:rsidR="00873BB8">
          <w:rPr>
            <w:noProof/>
            <w:webHidden/>
          </w:rPr>
          <w:tab/>
        </w:r>
        <w:r w:rsidR="00873BB8">
          <w:rPr>
            <w:noProof/>
            <w:webHidden/>
          </w:rPr>
          <w:fldChar w:fldCharType="begin"/>
        </w:r>
        <w:r w:rsidR="00873BB8">
          <w:rPr>
            <w:noProof/>
            <w:webHidden/>
          </w:rPr>
          <w:instrText xml:space="preserve"> PAGEREF _Toc141721044 \h </w:instrText>
        </w:r>
        <w:r w:rsidR="00873BB8">
          <w:rPr>
            <w:noProof/>
            <w:webHidden/>
          </w:rPr>
        </w:r>
        <w:r w:rsidR="00873BB8">
          <w:rPr>
            <w:noProof/>
            <w:webHidden/>
          </w:rPr>
          <w:fldChar w:fldCharType="separate"/>
        </w:r>
        <w:r w:rsidR="00873BB8">
          <w:rPr>
            <w:rFonts w:hint="eastAsia"/>
            <w:noProof/>
            <w:webHidden/>
          </w:rPr>
          <w:t>371</w:t>
        </w:r>
        <w:r w:rsidR="00873BB8">
          <w:rPr>
            <w:noProof/>
            <w:webHidden/>
          </w:rPr>
          <w:fldChar w:fldCharType="end"/>
        </w:r>
      </w:hyperlink>
    </w:p>
    <w:p w14:paraId="59BABADD" w14:textId="57D033F8" w:rsidR="00873BB8" w:rsidRDefault="00EC0D9B">
      <w:pPr>
        <w:pStyle w:val="TOC2"/>
        <w:rPr>
          <w:rFonts w:asciiTheme="minorHAnsi" w:eastAsiaTheme="minorEastAsia" w:hAnsiTheme="minorHAnsi" w:cstheme="minorBidi"/>
          <w:noProof/>
          <w:sz w:val="22"/>
          <w:szCs w:val="22"/>
          <w:lang w:eastAsia="en-GB"/>
        </w:rPr>
      </w:pPr>
      <w:hyperlink w:anchor="_Toc141721045" w:history="1">
        <w:r w:rsidR="00873BB8" w:rsidRPr="00B73DAE">
          <w:rPr>
            <w:rStyle w:val="Hyperlink"/>
            <w:noProof/>
          </w:rPr>
          <w:t>Part A: Service Continuity Plan</w:t>
        </w:r>
        <w:r w:rsidR="00873BB8">
          <w:rPr>
            <w:noProof/>
            <w:webHidden/>
          </w:rPr>
          <w:tab/>
        </w:r>
        <w:r w:rsidR="00873BB8">
          <w:rPr>
            <w:noProof/>
            <w:webHidden/>
          </w:rPr>
          <w:fldChar w:fldCharType="begin"/>
        </w:r>
        <w:r w:rsidR="00873BB8">
          <w:rPr>
            <w:noProof/>
            <w:webHidden/>
          </w:rPr>
          <w:instrText xml:space="preserve"> PAGEREF _Toc141721045 \h </w:instrText>
        </w:r>
        <w:r w:rsidR="00873BB8">
          <w:rPr>
            <w:noProof/>
            <w:webHidden/>
          </w:rPr>
        </w:r>
        <w:r w:rsidR="00873BB8">
          <w:rPr>
            <w:noProof/>
            <w:webHidden/>
          </w:rPr>
          <w:fldChar w:fldCharType="separate"/>
        </w:r>
        <w:r w:rsidR="00873BB8">
          <w:rPr>
            <w:noProof/>
            <w:webHidden/>
          </w:rPr>
          <w:t>371</w:t>
        </w:r>
        <w:r w:rsidR="00873BB8">
          <w:rPr>
            <w:noProof/>
            <w:webHidden/>
          </w:rPr>
          <w:fldChar w:fldCharType="end"/>
        </w:r>
      </w:hyperlink>
    </w:p>
    <w:p w14:paraId="6B9F9476" w14:textId="2308DDA8" w:rsidR="00873BB8" w:rsidRDefault="00EC0D9B">
      <w:pPr>
        <w:pStyle w:val="TOC2"/>
        <w:rPr>
          <w:rFonts w:asciiTheme="minorHAnsi" w:eastAsiaTheme="minorEastAsia" w:hAnsiTheme="minorHAnsi" w:cstheme="minorBidi"/>
          <w:noProof/>
          <w:sz w:val="22"/>
          <w:szCs w:val="22"/>
          <w:lang w:eastAsia="en-GB"/>
        </w:rPr>
      </w:pPr>
      <w:hyperlink w:anchor="_Toc141721046" w:history="1">
        <w:r w:rsidR="00873BB8" w:rsidRPr="00B73DAE">
          <w:rPr>
            <w:rStyle w:val="Hyperlink"/>
            <w:noProof/>
          </w:rPr>
          <w:t>Part B: Corporate Resolution Planning</w:t>
        </w:r>
        <w:r w:rsidR="00873BB8">
          <w:rPr>
            <w:noProof/>
            <w:webHidden/>
          </w:rPr>
          <w:tab/>
        </w:r>
        <w:r w:rsidR="00873BB8">
          <w:rPr>
            <w:noProof/>
            <w:webHidden/>
          </w:rPr>
          <w:fldChar w:fldCharType="begin"/>
        </w:r>
        <w:r w:rsidR="00873BB8">
          <w:rPr>
            <w:noProof/>
            <w:webHidden/>
          </w:rPr>
          <w:instrText xml:space="preserve"> PAGEREF _Toc141721046 \h </w:instrText>
        </w:r>
        <w:r w:rsidR="00873BB8">
          <w:rPr>
            <w:noProof/>
            <w:webHidden/>
          </w:rPr>
        </w:r>
        <w:r w:rsidR="00873BB8">
          <w:rPr>
            <w:noProof/>
            <w:webHidden/>
          </w:rPr>
          <w:fldChar w:fldCharType="separate"/>
        </w:r>
        <w:r w:rsidR="00873BB8">
          <w:rPr>
            <w:noProof/>
            <w:webHidden/>
          </w:rPr>
          <w:t>380</w:t>
        </w:r>
        <w:r w:rsidR="00873BB8">
          <w:rPr>
            <w:noProof/>
            <w:webHidden/>
          </w:rPr>
          <w:fldChar w:fldCharType="end"/>
        </w:r>
      </w:hyperlink>
    </w:p>
    <w:p w14:paraId="640F6D73" w14:textId="3986E988" w:rsidR="00873BB8" w:rsidRDefault="00EC0D9B">
      <w:pPr>
        <w:pStyle w:val="TOC2"/>
        <w:rPr>
          <w:rFonts w:asciiTheme="minorHAnsi" w:eastAsiaTheme="minorEastAsia" w:hAnsiTheme="minorHAnsi" w:cstheme="minorBidi"/>
          <w:noProof/>
          <w:sz w:val="22"/>
          <w:szCs w:val="22"/>
          <w:lang w:eastAsia="en-GB"/>
        </w:rPr>
      </w:pPr>
      <w:hyperlink w:anchor="_Toc141721047" w:history="1">
        <w:r w:rsidR="00873BB8" w:rsidRPr="00B73DAE">
          <w:rPr>
            <w:rStyle w:val="Hyperlink"/>
            <w:noProof/>
            <w:lang w:val="fr-FR"/>
          </w:rPr>
          <w:t>Annex 1: Exposure Information (Contracts List)</w:t>
        </w:r>
        <w:r w:rsidR="00873BB8">
          <w:rPr>
            <w:noProof/>
            <w:webHidden/>
          </w:rPr>
          <w:tab/>
        </w:r>
        <w:r w:rsidR="00873BB8">
          <w:rPr>
            <w:noProof/>
            <w:webHidden/>
          </w:rPr>
          <w:fldChar w:fldCharType="begin"/>
        </w:r>
        <w:r w:rsidR="00873BB8">
          <w:rPr>
            <w:noProof/>
            <w:webHidden/>
          </w:rPr>
          <w:instrText xml:space="preserve"> PAGEREF _Toc141721047 \h </w:instrText>
        </w:r>
        <w:r w:rsidR="00873BB8">
          <w:rPr>
            <w:noProof/>
            <w:webHidden/>
          </w:rPr>
        </w:r>
        <w:r w:rsidR="00873BB8">
          <w:rPr>
            <w:noProof/>
            <w:webHidden/>
          </w:rPr>
          <w:fldChar w:fldCharType="separate"/>
        </w:r>
        <w:r w:rsidR="00873BB8">
          <w:rPr>
            <w:noProof/>
            <w:webHidden/>
          </w:rPr>
          <w:t>385</w:t>
        </w:r>
        <w:r w:rsidR="00873BB8">
          <w:rPr>
            <w:noProof/>
            <w:webHidden/>
          </w:rPr>
          <w:fldChar w:fldCharType="end"/>
        </w:r>
      </w:hyperlink>
    </w:p>
    <w:p w14:paraId="3EE6B4E9" w14:textId="54F96E2D" w:rsidR="00873BB8" w:rsidRDefault="00EC0D9B">
      <w:pPr>
        <w:pStyle w:val="TOC2"/>
        <w:rPr>
          <w:rFonts w:asciiTheme="minorHAnsi" w:eastAsiaTheme="minorEastAsia" w:hAnsiTheme="minorHAnsi" w:cstheme="minorBidi"/>
          <w:noProof/>
          <w:sz w:val="22"/>
          <w:szCs w:val="22"/>
          <w:lang w:eastAsia="en-GB"/>
        </w:rPr>
      </w:pPr>
      <w:hyperlink w:anchor="_Toc141721048" w:history="1">
        <w:r w:rsidR="00873BB8" w:rsidRPr="00B73DAE">
          <w:rPr>
            <w:rStyle w:val="Hyperlink"/>
            <w:noProof/>
          </w:rPr>
          <w:t>Annex 2: Corporate Resolvability Assessment (Structural Review)</w:t>
        </w:r>
        <w:r w:rsidR="00873BB8">
          <w:rPr>
            <w:noProof/>
            <w:webHidden/>
          </w:rPr>
          <w:tab/>
        </w:r>
        <w:r w:rsidR="00873BB8">
          <w:rPr>
            <w:noProof/>
            <w:webHidden/>
          </w:rPr>
          <w:fldChar w:fldCharType="begin"/>
        </w:r>
        <w:r w:rsidR="00873BB8">
          <w:rPr>
            <w:noProof/>
            <w:webHidden/>
          </w:rPr>
          <w:instrText xml:space="preserve"> PAGEREF _Toc141721048 \h </w:instrText>
        </w:r>
        <w:r w:rsidR="00873BB8">
          <w:rPr>
            <w:noProof/>
            <w:webHidden/>
          </w:rPr>
        </w:r>
        <w:r w:rsidR="00873BB8">
          <w:rPr>
            <w:noProof/>
            <w:webHidden/>
          </w:rPr>
          <w:fldChar w:fldCharType="separate"/>
        </w:r>
        <w:r w:rsidR="00873BB8">
          <w:rPr>
            <w:noProof/>
            <w:webHidden/>
          </w:rPr>
          <w:t>386</w:t>
        </w:r>
        <w:r w:rsidR="00873BB8">
          <w:rPr>
            <w:noProof/>
            <w:webHidden/>
          </w:rPr>
          <w:fldChar w:fldCharType="end"/>
        </w:r>
      </w:hyperlink>
    </w:p>
    <w:p w14:paraId="33B72A35" w14:textId="4FB2FDA1" w:rsidR="00873BB8" w:rsidRDefault="00EC0D9B">
      <w:pPr>
        <w:pStyle w:val="TOC2"/>
        <w:rPr>
          <w:rFonts w:asciiTheme="minorHAnsi" w:eastAsiaTheme="minorEastAsia" w:hAnsiTheme="minorHAnsi" w:cstheme="minorBidi"/>
          <w:noProof/>
          <w:sz w:val="22"/>
          <w:szCs w:val="22"/>
          <w:lang w:eastAsia="en-GB"/>
        </w:rPr>
      </w:pPr>
      <w:hyperlink w:anchor="_Toc141721049" w:history="1">
        <w:r w:rsidR="00873BB8" w:rsidRPr="00B73DAE">
          <w:rPr>
            <w:rStyle w:val="Hyperlink"/>
            <w:noProof/>
          </w:rPr>
          <w:t>Annex 3: Financial Information and Commentary</w:t>
        </w:r>
        <w:r w:rsidR="00873BB8">
          <w:rPr>
            <w:noProof/>
            <w:webHidden/>
          </w:rPr>
          <w:tab/>
        </w:r>
        <w:r w:rsidR="00873BB8">
          <w:rPr>
            <w:noProof/>
            <w:webHidden/>
          </w:rPr>
          <w:fldChar w:fldCharType="begin"/>
        </w:r>
        <w:r w:rsidR="00873BB8">
          <w:rPr>
            <w:noProof/>
            <w:webHidden/>
          </w:rPr>
          <w:instrText xml:space="preserve"> PAGEREF _Toc141721049 \h </w:instrText>
        </w:r>
        <w:r w:rsidR="00873BB8">
          <w:rPr>
            <w:noProof/>
            <w:webHidden/>
          </w:rPr>
        </w:r>
        <w:r w:rsidR="00873BB8">
          <w:rPr>
            <w:noProof/>
            <w:webHidden/>
          </w:rPr>
          <w:fldChar w:fldCharType="separate"/>
        </w:r>
        <w:r w:rsidR="00873BB8">
          <w:rPr>
            <w:noProof/>
            <w:webHidden/>
          </w:rPr>
          <w:t>387</w:t>
        </w:r>
        <w:r w:rsidR="00873BB8">
          <w:rPr>
            <w:noProof/>
            <w:webHidden/>
          </w:rPr>
          <w:fldChar w:fldCharType="end"/>
        </w:r>
      </w:hyperlink>
    </w:p>
    <w:p w14:paraId="14DB0BBF" w14:textId="07737FDD"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50" w:history="1">
        <w:r w:rsidR="00873BB8" w:rsidRPr="00B73DAE">
          <w:rPr>
            <w:rStyle w:val="Hyperlink"/>
            <w:noProof/>
            <w:lang w:bidi="en-US"/>
          </w:rPr>
          <w:t>Schedule 27: Conduct of Claims</w:t>
        </w:r>
        <w:r w:rsidR="00873BB8">
          <w:rPr>
            <w:noProof/>
            <w:webHidden/>
          </w:rPr>
          <w:tab/>
        </w:r>
        <w:r w:rsidR="00873BB8">
          <w:rPr>
            <w:noProof/>
            <w:webHidden/>
          </w:rPr>
          <w:fldChar w:fldCharType="begin"/>
        </w:r>
        <w:r w:rsidR="00873BB8">
          <w:rPr>
            <w:noProof/>
            <w:webHidden/>
          </w:rPr>
          <w:instrText xml:space="preserve"> PAGEREF _Toc141721050 \h </w:instrText>
        </w:r>
        <w:r w:rsidR="00873BB8">
          <w:rPr>
            <w:noProof/>
            <w:webHidden/>
          </w:rPr>
        </w:r>
        <w:r w:rsidR="00873BB8">
          <w:rPr>
            <w:noProof/>
            <w:webHidden/>
          </w:rPr>
          <w:fldChar w:fldCharType="separate"/>
        </w:r>
        <w:r w:rsidR="00873BB8">
          <w:rPr>
            <w:rFonts w:hint="eastAsia"/>
            <w:noProof/>
            <w:webHidden/>
          </w:rPr>
          <w:t>389</w:t>
        </w:r>
        <w:r w:rsidR="00873BB8">
          <w:rPr>
            <w:noProof/>
            <w:webHidden/>
          </w:rPr>
          <w:fldChar w:fldCharType="end"/>
        </w:r>
      </w:hyperlink>
    </w:p>
    <w:p w14:paraId="325E65B8" w14:textId="4C073820"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51" w:history="1">
        <w:r w:rsidR="00873BB8" w:rsidRPr="00B73DAE">
          <w:rPr>
            <w:rStyle w:val="Hyperlink"/>
            <w:noProof/>
            <w:lang w:bidi="en-US"/>
          </w:rPr>
          <w:t>Schedule 28: Staff Transfer</w:t>
        </w:r>
        <w:r w:rsidR="00873BB8">
          <w:rPr>
            <w:noProof/>
            <w:webHidden/>
          </w:rPr>
          <w:tab/>
        </w:r>
        <w:r w:rsidR="00873BB8">
          <w:rPr>
            <w:noProof/>
            <w:webHidden/>
          </w:rPr>
          <w:fldChar w:fldCharType="begin"/>
        </w:r>
        <w:r w:rsidR="00873BB8">
          <w:rPr>
            <w:noProof/>
            <w:webHidden/>
          </w:rPr>
          <w:instrText xml:space="preserve"> PAGEREF _Toc141721051 \h </w:instrText>
        </w:r>
        <w:r w:rsidR="00873BB8">
          <w:rPr>
            <w:noProof/>
            <w:webHidden/>
          </w:rPr>
        </w:r>
        <w:r w:rsidR="00873BB8">
          <w:rPr>
            <w:noProof/>
            <w:webHidden/>
          </w:rPr>
          <w:fldChar w:fldCharType="separate"/>
        </w:r>
        <w:r w:rsidR="00873BB8">
          <w:rPr>
            <w:rFonts w:hint="eastAsia"/>
            <w:noProof/>
            <w:webHidden/>
          </w:rPr>
          <w:t>392</w:t>
        </w:r>
        <w:r w:rsidR="00873BB8">
          <w:rPr>
            <w:noProof/>
            <w:webHidden/>
          </w:rPr>
          <w:fldChar w:fldCharType="end"/>
        </w:r>
      </w:hyperlink>
    </w:p>
    <w:p w14:paraId="6A711AAF" w14:textId="3BDBA7ED" w:rsidR="00873BB8" w:rsidRDefault="00EC0D9B">
      <w:pPr>
        <w:pStyle w:val="TOC2"/>
        <w:rPr>
          <w:rFonts w:asciiTheme="minorHAnsi" w:eastAsiaTheme="minorEastAsia" w:hAnsiTheme="minorHAnsi" w:cstheme="minorBidi"/>
          <w:noProof/>
          <w:sz w:val="22"/>
          <w:szCs w:val="22"/>
          <w:lang w:eastAsia="en-GB"/>
        </w:rPr>
      </w:pPr>
      <w:hyperlink w:anchor="_Toc141721052" w:history="1">
        <w:r w:rsidR="00873BB8" w:rsidRPr="00B73DAE">
          <w:rPr>
            <w:rStyle w:val="Hyperlink"/>
            <w:noProof/>
          </w:rPr>
          <w:t>Part A: Transferring Authority Employees at Commencement Of Services</w:t>
        </w:r>
        <w:r w:rsidR="00873BB8">
          <w:rPr>
            <w:noProof/>
            <w:webHidden/>
          </w:rPr>
          <w:tab/>
        </w:r>
        <w:r w:rsidR="00873BB8">
          <w:rPr>
            <w:noProof/>
            <w:webHidden/>
          </w:rPr>
          <w:fldChar w:fldCharType="begin"/>
        </w:r>
        <w:r w:rsidR="00873BB8">
          <w:rPr>
            <w:noProof/>
            <w:webHidden/>
          </w:rPr>
          <w:instrText xml:space="preserve"> PAGEREF _Toc141721052 \h </w:instrText>
        </w:r>
        <w:r w:rsidR="00873BB8">
          <w:rPr>
            <w:noProof/>
            <w:webHidden/>
          </w:rPr>
        </w:r>
        <w:r w:rsidR="00873BB8">
          <w:rPr>
            <w:noProof/>
            <w:webHidden/>
          </w:rPr>
          <w:fldChar w:fldCharType="separate"/>
        </w:r>
        <w:r w:rsidR="00873BB8">
          <w:rPr>
            <w:noProof/>
            <w:webHidden/>
          </w:rPr>
          <w:t>396</w:t>
        </w:r>
        <w:r w:rsidR="00873BB8">
          <w:rPr>
            <w:noProof/>
            <w:webHidden/>
          </w:rPr>
          <w:fldChar w:fldCharType="end"/>
        </w:r>
      </w:hyperlink>
    </w:p>
    <w:p w14:paraId="1019996C" w14:textId="03604876" w:rsidR="00873BB8" w:rsidRDefault="00EC0D9B">
      <w:pPr>
        <w:pStyle w:val="TOC2"/>
        <w:rPr>
          <w:rFonts w:asciiTheme="minorHAnsi" w:eastAsiaTheme="minorEastAsia" w:hAnsiTheme="minorHAnsi" w:cstheme="minorBidi"/>
          <w:noProof/>
          <w:sz w:val="22"/>
          <w:szCs w:val="22"/>
          <w:lang w:eastAsia="en-GB"/>
        </w:rPr>
      </w:pPr>
      <w:hyperlink w:anchor="_Toc141721053" w:history="1">
        <w:r w:rsidR="00873BB8" w:rsidRPr="00B73DAE">
          <w:rPr>
            <w:rStyle w:val="Hyperlink"/>
            <w:noProof/>
          </w:rPr>
          <w:t>Part B: Transferring Former Supplier Employees at Commencement of Services</w:t>
        </w:r>
        <w:r w:rsidR="00873BB8">
          <w:rPr>
            <w:noProof/>
            <w:webHidden/>
          </w:rPr>
          <w:tab/>
        </w:r>
        <w:r w:rsidR="00873BB8">
          <w:rPr>
            <w:noProof/>
            <w:webHidden/>
          </w:rPr>
          <w:fldChar w:fldCharType="begin"/>
        </w:r>
        <w:r w:rsidR="00873BB8">
          <w:rPr>
            <w:noProof/>
            <w:webHidden/>
          </w:rPr>
          <w:instrText xml:space="preserve"> PAGEREF _Toc141721053 \h </w:instrText>
        </w:r>
        <w:r w:rsidR="00873BB8">
          <w:rPr>
            <w:noProof/>
            <w:webHidden/>
          </w:rPr>
        </w:r>
        <w:r w:rsidR="00873BB8">
          <w:rPr>
            <w:noProof/>
            <w:webHidden/>
          </w:rPr>
          <w:fldChar w:fldCharType="separate"/>
        </w:r>
        <w:r w:rsidR="00873BB8">
          <w:rPr>
            <w:noProof/>
            <w:webHidden/>
          </w:rPr>
          <w:t>403</w:t>
        </w:r>
        <w:r w:rsidR="00873BB8">
          <w:rPr>
            <w:noProof/>
            <w:webHidden/>
          </w:rPr>
          <w:fldChar w:fldCharType="end"/>
        </w:r>
      </w:hyperlink>
    </w:p>
    <w:p w14:paraId="411F82A6" w14:textId="45B0CB7A" w:rsidR="00873BB8" w:rsidRDefault="00EC0D9B">
      <w:pPr>
        <w:pStyle w:val="TOC2"/>
        <w:rPr>
          <w:rFonts w:asciiTheme="minorHAnsi" w:eastAsiaTheme="minorEastAsia" w:hAnsiTheme="minorHAnsi" w:cstheme="minorBidi"/>
          <w:noProof/>
          <w:sz w:val="22"/>
          <w:szCs w:val="22"/>
          <w:lang w:eastAsia="en-GB"/>
        </w:rPr>
      </w:pPr>
      <w:hyperlink w:anchor="_Toc141721054" w:history="1">
        <w:r w:rsidR="00873BB8" w:rsidRPr="00B73DAE">
          <w:rPr>
            <w:rStyle w:val="Hyperlink"/>
            <w:noProof/>
          </w:rPr>
          <w:t>Part C: No Transfer of Employees Expected at Commencement of Services</w:t>
        </w:r>
        <w:r w:rsidR="00873BB8">
          <w:rPr>
            <w:noProof/>
            <w:webHidden/>
          </w:rPr>
          <w:tab/>
        </w:r>
        <w:r w:rsidR="00873BB8">
          <w:rPr>
            <w:noProof/>
            <w:webHidden/>
          </w:rPr>
          <w:fldChar w:fldCharType="begin"/>
        </w:r>
        <w:r w:rsidR="00873BB8">
          <w:rPr>
            <w:noProof/>
            <w:webHidden/>
          </w:rPr>
          <w:instrText xml:space="preserve"> PAGEREF _Toc141721054 \h </w:instrText>
        </w:r>
        <w:r w:rsidR="00873BB8">
          <w:rPr>
            <w:noProof/>
            <w:webHidden/>
          </w:rPr>
        </w:r>
        <w:r w:rsidR="00873BB8">
          <w:rPr>
            <w:noProof/>
            <w:webHidden/>
          </w:rPr>
          <w:fldChar w:fldCharType="separate"/>
        </w:r>
        <w:r w:rsidR="00873BB8">
          <w:rPr>
            <w:noProof/>
            <w:webHidden/>
          </w:rPr>
          <w:t>410</w:t>
        </w:r>
        <w:r w:rsidR="00873BB8">
          <w:rPr>
            <w:noProof/>
            <w:webHidden/>
          </w:rPr>
          <w:fldChar w:fldCharType="end"/>
        </w:r>
      </w:hyperlink>
    </w:p>
    <w:p w14:paraId="70E3FFE8" w14:textId="372D9D68" w:rsidR="00873BB8" w:rsidRDefault="00EC0D9B">
      <w:pPr>
        <w:pStyle w:val="TOC2"/>
        <w:rPr>
          <w:rFonts w:asciiTheme="minorHAnsi" w:eastAsiaTheme="minorEastAsia" w:hAnsiTheme="minorHAnsi" w:cstheme="minorBidi"/>
          <w:noProof/>
          <w:sz w:val="22"/>
          <w:szCs w:val="22"/>
          <w:lang w:eastAsia="en-GB"/>
        </w:rPr>
      </w:pPr>
      <w:hyperlink w:anchor="_Toc141721055" w:history="1">
        <w:r w:rsidR="00873BB8" w:rsidRPr="00B73DAE">
          <w:rPr>
            <w:rStyle w:val="Hyperlink"/>
            <w:noProof/>
          </w:rPr>
          <w:t>Part D: Pensions</w:t>
        </w:r>
        <w:r w:rsidR="00873BB8">
          <w:rPr>
            <w:noProof/>
            <w:webHidden/>
          </w:rPr>
          <w:tab/>
        </w:r>
        <w:r w:rsidR="00873BB8">
          <w:rPr>
            <w:noProof/>
            <w:webHidden/>
          </w:rPr>
          <w:fldChar w:fldCharType="begin"/>
        </w:r>
        <w:r w:rsidR="00873BB8">
          <w:rPr>
            <w:noProof/>
            <w:webHidden/>
          </w:rPr>
          <w:instrText xml:space="preserve"> PAGEREF _Toc141721055 \h </w:instrText>
        </w:r>
        <w:r w:rsidR="00873BB8">
          <w:rPr>
            <w:noProof/>
            <w:webHidden/>
          </w:rPr>
        </w:r>
        <w:r w:rsidR="00873BB8">
          <w:rPr>
            <w:noProof/>
            <w:webHidden/>
          </w:rPr>
          <w:fldChar w:fldCharType="separate"/>
        </w:r>
        <w:r w:rsidR="00873BB8">
          <w:rPr>
            <w:noProof/>
            <w:webHidden/>
          </w:rPr>
          <w:t>413</w:t>
        </w:r>
        <w:r w:rsidR="00873BB8">
          <w:rPr>
            <w:noProof/>
            <w:webHidden/>
          </w:rPr>
          <w:fldChar w:fldCharType="end"/>
        </w:r>
      </w:hyperlink>
    </w:p>
    <w:p w14:paraId="75DD4CCE" w14:textId="7A2B5B76" w:rsidR="00873BB8" w:rsidRDefault="00EC0D9B">
      <w:pPr>
        <w:pStyle w:val="TOC2"/>
        <w:rPr>
          <w:rFonts w:asciiTheme="minorHAnsi" w:eastAsiaTheme="minorEastAsia" w:hAnsiTheme="minorHAnsi" w:cstheme="minorBidi"/>
          <w:noProof/>
          <w:sz w:val="22"/>
          <w:szCs w:val="22"/>
          <w:lang w:eastAsia="en-GB"/>
        </w:rPr>
      </w:pPr>
      <w:hyperlink w:anchor="_Toc141721056" w:history="1">
        <w:r w:rsidR="00873BB8" w:rsidRPr="00B73DAE">
          <w:rPr>
            <w:rStyle w:val="Hyperlink"/>
            <w:noProof/>
          </w:rPr>
          <w:t>Annex 1: CSPS</w:t>
        </w:r>
        <w:r w:rsidR="00873BB8">
          <w:rPr>
            <w:noProof/>
            <w:webHidden/>
          </w:rPr>
          <w:tab/>
        </w:r>
        <w:r w:rsidR="00873BB8">
          <w:rPr>
            <w:noProof/>
            <w:webHidden/>
          </w:rPr>
          <w:fldChar w:fldCharType="begin"/>
        </w:r>
        <w:r w:rsidR="00873BB8">
          <w:rPr>
            <w:noProof/>
            <w:webHidden/>
          </w:rPr>
          <w:instrText xml:space="preserve"> PAGEREF _Toc141721056 \h </w:instrText>
        </w:r>
        <w:r w:rsidR="00873BB8">
          <w:rPr>
            <w:noProof/>
            <w:webHidden/>
          </w:rPr>
        </w:r>
        <w:r w:rsidR="00873BB8">
          <w:rPr>
            <w:noProof/>
            <w:webHidden/>
          </w:rPr>
          <w:fldChar w:fldCharType="separate"/>
        </w:r>
        <w:r w:rsidR="00873BB8">
          <w:rPr>
            <w:noProof/>
            <w:webHidden/>
          </w:rPr>
          <w:t>423</w:t>
        </w:r>
        <w:r w:rsidR="00873BB8">
          <w:rPr>
            <w:noProof/>
            <w:webHidden/>
          </w:rPr>
          <w:fldChar w:fldCharType="end"/>
        </w:r>
      </w:hyperlink>
    </w:p>
    <w:p w14:paraId="45D87FD5" w14:textId="0FCE3737" w:rsidR="00873BB8" w:rsidRDefault="00EC0D9B">
      <w:pPr>
        <w:pStyle w:val="TOC2"/>
        <w:rPr>
          <w:rFonts w:asciiTheme="minorHAnsi" w:eastAsiaTheme="minorEastAsia" w:hAnsiTheme="minorHAnsi" w:cstheme="minorBidi"/>
          <w:noProof/>
          <w:sz w:val="22"/>
          <w:szCs w:val="22"/>
          <w:lang w:eastAsia="en-GB"/>
        </w:rPr>
      </w:pPr>
      <w:hyperlink w:anchor="_Toc141721057" w:history="1">
        <w:r w:rsidR="00873BB8" w:rsidRPr="00B73DAE">
          <w:rPr>
            <w:rStyle w:val="Hyperlink"/>
            <w:noProof/>
          </w:rPr>
          <w:t>Annex 2: NHSPS</w:t>
        </w:r>
        <w:r w:rsidR="00873BB8">
          <w:rPr>
            <w:noProof/>
            <w:webHidden/>
          </w:rPr>
          <w:tab/>
        </w:r>
        <w:r w:rsidR="00873BB8">
          <w:rPr>
            <w:noProof/>
            <w:webHidden/>
          </w:rPr>
          <w:fldChar w:fldCharType="begin"/>
        </w:r>
        <w:r w:rsidR="00873BB8">
          <w:rPr>
            <w:noProof/>
            <w:webHidden/>
          </w:rPr>
          <w:instrText xml:space="preserve"> PAGEREF _Toc141721057 \h </w:instrText>
        </w:r>
        <w:r w:rsidR="00873BB8">
          <w:rPr>
            <w:noProof/>
            <w:webHidden/>
          </w:rPr>
        </w:r>
        <w:r w:rsidR="00873BB8">
          <w:rPr>
            <w:noProof/>
            <w:webHidden/>
          </w:rPr>
          <w:fldChar w:fldCharType="separate"/>
        </w:r>
        <w:r w:rsidR="00873BB8">
          <w:rPr>
            <w:noProof/>
            <w:webHidden/>
          </w:rPr>
          <w:t>425</w:t>
        </w:r>
        <w:r w:rsidR="00873BB8">
          <w:rPr>
            <w:noProof/>
            <w:webHidden/>
          </w:rPr>
          <w:fldChar w:fldCharType="end"/>
        </w:r>
      </w:hyperlink>
    </w:p>
    <w:p w14:paraId="1DACF81B" w14:textId="6C90FD4E" w:rsidR="00873BB8" w:rsidRDefault="00EC0D9B">
      <w:pPr>
        <w:pStyle w:val="TOC2"/>
        <w:rPr>
          <w:rFonts w:asciiTheme="minorHAnsi" w:eastAsiaTheme="minorEastAsia" w:hAnsiTheme="minorHAnsi" w:cstheme="minorBidi"/>
          <w:noProof/>
          <w:sz w:val="22"/>
          <w:szCs w:val="22"/>
          <w:lang w:eastAsia="en-GB"/>
        </w:rPr>
      </w:pPr>
      <w:hyperlink w:anchor="_Toc141721058" w:history="1">
        <w:r w:rsidR="00873BB8" w:rsidRPr="00B73DAE">
          <w:rPr>
            <w:rStyle w:val="Hyperlink"/>
            <w:noProof/>
          </w:rPr>
          <w:t>Annex 3: LGPS</w:t>
        </w:r>
        <w:r w:rsidR="00873BB8">
          <w:rPr>
            <w:noProof/>
            <w:webHidden/>
          </w:rPr>
          <w:tab/>
        </w:r>
        <w:r w:rsidR="00873BB8">
          <w:rPr>
            <w:noProof/>
            <w:webHidden/>
          </w:rPr>
          <w:fldChar w:fldCharType="begin"/>
        </w:r>
        <w:r w:rsidR="00873BB8">
          <w:rPr>
            <w:noProof/>
            <w:webHidden/>
          </w:rPr>
          <w:instrText xml:space="preserve"> PAGEREF _Toc141721058 \h </w:instrText>
        </w:r>
        <w:r w:rsidR="00873BB8">
          <w:rPr>
            <w:noProof/>
            <w:webHidden/>
          </w:rPr>
        </w:r>
        <w:r w:rsidR="00873BB8">
          <w:rPr>
            <w:noProof/>
            <w:webHidden/>
          </w:rPr>
          <w:fldChar w:fldCharType="separate"/>
        </w:r>
        <w:r w:rsidR="00873BB8">
          <w:rPr>
            <w:noProof/>
            <w:webHidden/>
          </w:rPr>
          <w:t>430</w:t>
        </w:r>
        <w:r w:rsidR="00873BB8">
          <w:rPr>
            <w:noProof/>
            <w:webHidden/>
          </w:rPr>
          <w:fldChar w:fldCharType="end"/>
        </w:r>
      </w:hyperlink>
    </w:p>
    <w:p w14:paraId="0FB6E29A" w14:textId="392A046C" w:rsidR="00873BB8" w:rsidRDefault="00EC0D9B">
      <w:pPr>
        <w:pStyle w:val="TOC2"/>
        <w:rPr>
          <w:rFonts w:asciiTheme="minorHAnsi" w:eastAsiaTheme="minorEastAsia" w:hAnsiTheme="minorHAnsi" w:cstheme="minorBidi"/>
          <w:noProof/>
          <w:sz w:val="22"/>
          <w:szCs w:val="22"/>
          <w:lang w:eastAsia="en-GB"/>
        </w:rPr>
      </w:pPr>
      <w:hyperlink w:anchor="_Toc141721059" w:history="1">
        <w:r w:rsidR="00873BB8" w:rsidRPr="00B73DAE">
          <w:rPr>
            <w:rStyle w:val="Hyperlink"/>
            <w:noProof/>
          </w:rPr>
          <w:t>Annex 4: Other Schemes</w:t>
        </w:r>
        <w:r w:rsidR="00873BB8">
          <w:rPr>
            <w:noProof/>
            <w:webHidden/>
          </w:rPr>
          <w:tab/>
        </w:r>
        <w:r w:rsidR="00873BB8">
          <w:rPr>
            <w:noProof/>
            <w:webHidden/>
          </w:rPr>
          <w:fldChar w:fldCharType="begin"/>
        </w:r>
        <w:r w:rsidR="00873BB8">
          <w:rPr>
            <w:noProof/>
            <w:webHidden/>
          </w:rPr>
          <w:instrText xml:space="preserve"> PAGEREF _Toc141721059 \h </w:instrText>
        </w:r>
        <w:r w:rsidR="00873BB8">
          <w:rPr>
            <w:noProof/>
            <w:webHidden/>
          </w:rPr>
        </w:r>
        <w:r w:rsidR="00873BB8">
          <w:rPr>
            <w:noProof/>
            <w:webHidden/>
          </w:rPr>
          <w:fldChar w:fldCharType="separate"/>
        </w:r>
        <w:r w:rsidR="00873BB8">
          <w:rPr>
            <w:noProof/>
            <w:webHidden/>
          </w:rPr>
          <w:t>436</w:t>
        </w:r>
        <w:r w:rsidR="00873BB8">
          <w:rPr>
            <w:noProof/>
            <w:webHidden/>
          </w:rPr>
          <w:fldChar w:fldCharType="end"/>
        </w:r>
      </w:hyperlink>
    </w:p>
    <w:p w14:paraId="761FE9A9" w14:textId="0C4A63C2" w:rsidR="00873BB8" w:rsidRDefault="00EC0D9B">
      <w:pPr>
        <w:pStyle w:val="TOC2"/>
        <w:rPr>
          <w:rFonts w:asciiTheme="minorHAnsi" w:eastAsiaTheme="minorEastAsia" w:hAnsiTheme="minorHAnsi" w:cstheme="minorBidi"/>
          <w:noProof/>
          <w:sz w:val="22"/>
          <w:szCs w:val="22"/>
          <w:lang w:eastAsia="en-GB"/>
        </w:rPr>
      </w:pPr>
      <w:hyperlink w:anchor="_Toc141721060" w:history="1">
        <w:r w:rsidR="00873BB8" w:rsidRPr="00B73DAE">
          <w:rPr>
            <w:rStyle w:val="Hyperlink"/>
            <w:noProof/>
          </w:rPr>
          <w:t>Part E: Employment Exit Provisions</w:t>
        </w:r>
        <w:r w:rsidR="00873BB8">
          <w:rPr>
            <w:noProof/>
            <w:webHidden/>
          </w:rPr>
          <w:tab/>
        </w:r>
        <w:r w:rsidR="00873BB8">
          <w:rPr>
            <w:noProof/>
            <w:webHidden/>
          </w:rPr>
          <w:fldChar w:fldCharType="begin"/>
        </w:r>
        <w:r w:rsidR="00873BB8">
          <w:rPr>
            <w:noProof/>
            <w:webHidden/>
          </w:rPr>
          <w:instrText xml:space="preserve"> PAGEREF _Toc141721060 \h </w:instrText>
        </w:r>
        <w:r w:rsidR="00873BB8">
          <w:rPr>
            <w:noProof/>
            <w:webHidden/>
          </w:rPr>
        </w:r>
        <w:r w:rsidR="00873BB8">
          <w:rPr>
            <w:noProof/>
            <w:webHidden/>
          </w:rPr>
          <w:fldChar w:fldCharType="separate"/>
        </w:r>
        <w:r w:rsidR="00873BB8">
          <w:rPr>
            <w:noProof/>
            <w:webHidden/>
          </w:rPr>
          <w:t>437</w:t>
        </w:r>
        <w:r w:rsidR="00873BB8">
          <w:rPr>
            <w:noProof/>
            <w:webHidden/>
          </w:rPr>
          <w:fldChar w:fldCharType="end"/>
        </w:r>
      </w:hyperlink>
    </w:p>
    <w:p w14:paraId="4153EFAE" w14:textId="49D98B41" w:rsidR="00873BB8" w:rsidRDefault="00EC0D9B">
      <w:pPr>
        <w:pStyle w:val="TOC2"/>
        <w:rPr>
          <w:rFonts w:asciiTheme="minorHAnsi" w:eastAsiaTheme="minorEastAsia" w:hAnsiTheme="minorHAnsi" w:cstheme="minorBidi"/>
          <w:noProof/>
          <w:sz w:val="22"/>
          <w:szCs w:val="22"/>
          <w:lang w:eastAsia="en-GB"/>
        </w:rPr>
      </w:pPr>
      <w:hyperlink w:anchor="_Toc141721061" w:history="1">
        <w:r w:rsidR="00873BB8" w:rsidRPr="00B73DAE">
          <w:rPr>
            <w:rStyle w:val="Hyperlink"/>
            <w:noProof/>
          </w:rPr>
          <w:t>Annex E1: List of Notified Sub Contractors</w:t>
        </w:r>
        <w:r w:rsidR="00873BB8">
          <w:rPr>
            <w:noProof/>
            <w:webHidden/>
          </w:rPr>
          <w:tab/>
        </w:r>
        <w:r w:rsidR="00873BB8">
          <w:rPr>
            <w:noProof/>
            <w:webHidden/>
          </w:rPr>
          <w:fldChar w:fldCharType="begin"/>
        </w:r>
        <w:r w:rsidR="00873BB8">
          <w:rPr>
            <w:noProof/>
            <w:webHidden/>
          </w:rPr>
          <w:instrText xml:space="preserve"> PAGEREF _Toc141721061 \h </w:instrText>
        </w:r>
        <w:r w:rsidR="00873BB8">
          <w:rPr>
            <w:noProof/>
            <w:webHidden/>
          </w:rPr>
        </w:r>
        <w:r w:rsidR="00873BB8">
          <w:rPr>
            <w:noProof/>
            <w:webHidden/>
          </w:rPr>
          <w:fldChar w:fldCharType="separate"/>
        </w:r>
        <w:r w:rsidR="00873BB8">
          <w:rPr>
            <w:noProof/>
            <w:webHidden/>
          </w:rPr>
          <w:t>446</w:t>
        </w:r>
        <w:r w:rsidR="00873BB8">
          <w:rPr>
            <w:noProof/>
            <w:webHidden/>
          </w:rPr>
          <w:fldChar w:fldCharType="end"/>
        </w:r>
      </w:hyperlink>
    </w:p>
    <w:p w14:paraId="4C1EC6A5" w14:textId="127966E5" w:rsidR="00873BB8" w:rsidRDefault="00EC0D9B">
      <w:pPr>
        <w:pStyle w:val="TOC2"/>
        <w:rPr>
          <w:rFonts w:asciiTheme="minorHAnsi" w:eastAsiaTheme="minorEastAsia" w:hAnsiTheme="minorHAnsi" w:cstheme="minorBidi"/>
          <w:noProof/>
          <w:sz w:val="22"/>
          <w:szCs w:val="22"/>
          <w:lang w:eastAsia="en-GB"/>
        </w:rPr>
      </w:pPr>
      <w:hyperlink w:anchor="_Toc141721062" w:history="1">
        <w:r w:rsidR="00873BB8" w:rsidRPr="00B73DAE">
          <w:rPr>
            <w:rStyle w:val="Hyperlink"/>
            <w:noProof/>
          </w:rPr>
          <w:t>Annex E2: Staffing Information</w:t>
        </w:r>
        <w:r w:rsidR="00873BB8">
          <w:rPr>
            <w:noProof/>
            <w:webHidden/>
          </w:rPr>
          <w:tab/>
        </w:r>
        <w:r w:rsidR="00873BB8">
          <w:rPr>
            <w:noProof/>
            <w:webHidden/>
          </w:rPr>
          <w:fldChar w:fldCharType="begin"/>
        </w:r>
        <w:r w:rsidR="00873BB8">
          <w:rPr>
            <w:noProof/>
            <w:webHidden/>
          </w:rPr>
          <w:instrText xml:space="preserve"> PAGEREF _Toc141721062 \h </w:instrText>
        </w:r>
        <w:r w:rsidR="00873BB8">
          <w:rPr>
            <w:noProof/>
            <w:webHidden/>
          </w:rPr>
        </w:r>
        <w:r w:rsidR="00873BB8">
          <w:rPr>
            <w:noProof/>
            <w:webHidden/>
          </w:rPr>
          <w:fldChar w:fldCharType="separate"/>
        </w:r>
        <w:r w:rsidR="00873BB8">
          <w:rPr>
            <w:noProof/>
            <w:webHidden/>
          </w:rPr>
          <w:t>447</w:t>
        </w:r>
        <w:r w:rsidR="00873BB8">
          <w:rPr>
            <w:noProof/>
            <w:webHidden/>
          </w:rPr>
          <w:fldChar w:fldCharType="end"/>
        </w:r>
      </w:hyperlink>
    </w:p>
    <w:p w14:paraId="53B77903" w14:textId="06B53FC8"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63" w:history="1">
        <w:r w:rsidR="00873BB8" w:rsidRPr="00B73DAE">
          <w:rPr>
            <w:rStyle w:val="Hyperlink"/>
            <w:noProof/>
            <w:lang w:bidi="en-US"/>
          </w:rPr>
          <w:t>Schedule 29: Key Personnel</w:t>
        </w:r>
        <w:r w:rsidR="00873BB8">
          <w:rPr>
            <w:noProof/>
            <w:webHidden/>
          </w:rPr>
          <w:tab/>
        </w:r>
        <w:r w:rsidR="00873BB8">
          <w:rPr>
            <w:noProof/>
            <w:webHidden/>
          </w:rPr>
          <w:fldChar w:fldCharType="begin"/>
        </w:r>
        <w:r w:rsidR="00873BB8">
          <w:rPr>
            <w:noProof/>
            <w:webHidden/>
          </w:rPr>
          <w:instrText xml:space="preserve"> PAGEREF _Toc141721063 \h </w:instrText>
        </w:r>
        <w:r w:rsidR="00873BB8">
          <w:rPr>
            <w:noProof/>
            <w:webHidden/>
          </w:rPr>
        </w:r>
        <w:r w:rsidR="00873BB8">
          <w:rPr>
            <w:noProof/>
            <w:webHidden/>
          </w:rPr>
          <w:fldChar w:fldCharType="separate"/>
        </w:r>
        <w:r w:rsidR="00873BB8">
          <w:rPr>
            <w:rFonts w:hint="eastAsia"/>
            <w:noProof/>
            <w:webHidden/>
          </w:rPr>
          <w:t>457</w:t>
        </w:r>
        <w:r w:rsidR="00873BB8">
          <w:rPr>
            <w:noProof/>
            <w:webHidden/>
          </w:rPr>
          <w:fldChar w:fldCharType="end"/>
        </w:r>
      </w:hyperlink>
    </w:p>
    <w:p w14:paraId="40AA5676" w14:textId="5747E5B7"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64" w:history="1">
        <w:r w:rsidR="00873BB8" w:rsidRPr="00B73DAE">
          <w:rPr>
            <w:rStyle w:val="Hyperlink"/>
            <w:noProof/>
            <w:lang w:bidi="en-US"/>
          </w:rPr>
          <w:t>Schedule 30: Guarantee</w:t>
        </w:r>
        <w:r w:rsidR="00873BB8">
          <w:rPr>
            <w:noProof/>
            <w:webHidden/>
          </w:rPr>
          <w:tab/>
        </w:r>
        <w:r w:rsidR="00873BB8">
          <w:rPr>
            <w:noProof/>
            <w:webHidden/>
          </w:rPr>
          <w:fldChar w:fldCharType="begin"/>
        </w:r>
        <w:r w:rsidR="00873BB8">
          <w:rPr>
            <w:noProof/>
            <w:webHidden/>
          </w:rPr>
          <w:instrText xml:space="preserve"> PAGEREF _Toc141721064 \h </w:instrText>
        </w:r>
        <w:r w:rsidR="00873BB8">
          <w:rPr>
            <w:noProof/>
            <w:webHidden/>
          </w:rPr>
        </w:r>
        <w:r w:rsidR="00873BB8">
          <w:rPr>
            <w:noProof/>
            <w:webHidden/>
          </w:rPr>
          <w:fldChar w:fldCharType="separate"/>
        </w:r>
        <w:r w:rsidR="00873BB8">
          <w:rPr>
            <w:rFonts w:hint="eastAsia"/>
            <w:noProof/>
            <w:webHidden/>
          </w:rPr>
          <w:t>459</w:t>
        </w:r>
        <w:r w:rsidR="00873BB8">
          <w:rPr>
            <w:noProof/>
            <w:webHidden/>
          </w:rPr>
          <w:fldChar w:fldCharType="end"/>
        </w:r>
      </w:hyperlink>
    </w:p>
    <w:p w14:paraId="61C3B5B2" w14:textId="15655314"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65" w:history="1">
        <w:r w:rsidR="00873BB8" w:rsidRPr="00B73DAE">
          <w:rPr>
            <w:rStyle w:val="Hyperlink"/>
            <w:noProof/>
            <w:lang w:bidi="en-US"/>
          </w:rPr>
          <w:t>Schedule 31: Processing Personal Data</w:t>
        </w:r>
        <w:r w:rsidR="00873BB8">
          <w:rPr>
            <w:noProof/>
            <w:webHidden/>
          </w:rPr>
          <w:tab/>
        </w:r>
        <w:r w:rsidR="00873BB8">
          <w:rPr>
            <w:noProof/>
            <w:webHidden/>
          </w:rPr>
          <w:fldChar w:fldCharType="begin"/>
        </w:r>
        <w:r w:rsidR="00873BB8">
          <w:rPr>
            <w:noProof/>
            <w:webHidden/>
          </w:rPr>
          <w:instrText xml:space="preserve"> PAGEREF _Toc141721065 \h </w:instrText>
        </w:r>
        <w:r w:rsidR="00873BB8">
          <w:rPr>
            <w:noProof/>
            <w:webHidden/>
          </w:rPr>
        </w:r>
        <w:r w:rsidR="00873BB8">
          <w:rPr>
            <w:noProof/>
            <w:webHidden/>
          </w:rPr>
          <w:fldChar w:fldCharType="separate"/>
        </w:r>
        <w:r w:rsidR="00873BB8">
          <w:rPr>
            <w:rFonts w:hint="eastAsia"/>
            <w:noProof/>
            <w:webHidden/>
          </w:rPr>
          <w:t>469</w:t>
        </w:r>
        <w:r w:rsidR="00873BB8">
          <w:rPr>
            <w:noProof/>
            <w:webHidden/>
          </w:rPr>
          <w:fldChar w:fldCharType="end"/>
        </w:r>
      </w:hyperlink>
    </w:p>
    <w:p w14:paraId="2C1E5CC9" w14:textId="61F3BD66" w:rsidR="00873BB8" w:rsidRDefault="00EC0D9B">
      <w:pPr>
        <w:pStyle w:val="TOC2"/>
        <w:rPr>
          <w:rFonts w:asciiTheme="minorHAnsi" w:eastAsiaTheme="minorEastAsia" w:hAnsiTheme="minorHAnsi" w:cstheme="minorBidi"/>
          <w:noProof/>
          <w:sz w:val="22"/>
          <w:szCs w:val="22"/>
          <w:lang w:eastAsia="en-GB"/>
        </w:rPr>
      </w:pPr>
      <w:hyperlink w:anchor="_Toc141721066" w:history="1">
        <w:r w:rsidR="00873BB8" w:rsidRPr="00B73DAE">
          <w:rPr>
            <w:rStyle w:val="Hyperlink"/>
            <w:noProof/>
          </w:rPr>
          <w:t>Annex 1: Joint Controller Agreement</w:t>
        </w:r>
        <w:r w:rsidR="00873BB8">
          <w:rPr>
            <w:noProof/>
            <w:webHidden/>
          </w:rPr>
          <w:tab/>
        </w:r>
        <w:r w:rsidR="00873BB8">
          <w:rPr>
            <w:noProof/>
            <w:webHidden/>
          </w:rPr>
          <w:fldChar w:fldCharType="begin"/>
        </w:r>
        <w:r w:rsidR="00873BB8">
          <w:rPr>
            <w:noProof/>
            <w:webHidden/>
          </w:rPr>
          <w:instrText xml:space="preserve"> PAGEREF _Toc141721066 \h </w:instrText>
        </w:r>
        <w:r w:rsidR="00873BB8">
          <w:rPr>
            <w:noProof/>
            <w:webHidden/>
          </w:rPr>
        </w:r>
        <w:r w:rsidR="00873BB8">
          <w:rPr>
            <w:noProof/>
            <w:webHidden/>
          </w:rPr>
          <w:fldChar w:fldCharType="separate"/>
        </w:r>
        <w:r w:rsidR="00873BB8">
          <w:rPr>
            <w:noProof/>
            <w:webHidden/>
          </w:rPr>
          <w:t>472</w:t>
        </w:r>
        <w:r w:rsidR="00873BB8">
          <w:rPr>
            <w:noProof/>
            <w:webHidden/>
          </w:rPr>
          <w:fldChar w:fldCharType="end"/>
        </w:r>
      </w:hyperlink>
    </w:p>
    <w:p w14:paraId="23DA4CCF" w14:textId="02975D5C" w:rsidR="00873BB8" w:rsidRDefault="00EC0D9B">
      <w:pPr>
        <w:pStyle w:val="TOC2"/>
        <w:rPr>
          <w:rFonts w:asciiTheme="minorHAnsi" w:eastAsiaTheme="minorEastAsia" w:hAnsiTheme="minorHAnsi" w:cstheme="minorBidi"/>
          <w:noProof/>
          <w:sz w:val="22"/>
          <w:szCs w:val="22"/>
          <w:lang w:eastAsia="en-GB"/>
        </w:rPr>
      </w:pPr>
      <w:hyperlink w:anchor="_Toc141721067" w:history="1">
        <w:r w:rsidR="00873BB8" w:rsidRPr="00B73DAE">
          <w:rPr>
            <w:rStyle w:val="Hyperlink"/>
            <w:noProof/>
          </w:rPr>
          <w:t>Annex 2: International Data Transfer Agreement</w:t>
        </w:r>
        <w:r w:rsidR="00873BB8">
          <w:rPr>
            <w:noProof/>
            <w:webHidden/>
          </w:rPr>
          <w:tab/>
        </w:r>
        <w:r w:rsidR="00873BB8">
          <w:rPr>
            <w:noProof/>
            <w:webHidden/>
          </w:rPr>
          <w:fldChar w:fldCharType="begin"/>
        </w:r>
        <w:r w:rsidR="00873BB8">
          <w:rPr>
            <w:noProof/>
            <w:webHidden/>
          </w:rPr>
          <w:instrText xml:space="preserve"> PAGEREF _Toc141721067 \h </w:instrText>
        </w:r>
        <w:r w:rsidR="00873BB8">
          <w:rPr>
            <w:noProof/>
            <w:webHidden/>
          </w:rPr>
        </w:r>
        <w:r w:rsidR="00873BB8">
          <w:rPr>
            <w:noProof/>
            <w:webHidden/>
          </w:rPr>
          <w:fldChar w:fldCharType="separate"/>
        </w:r>
        <w:r w:rsidR="00873BB8">
          <w:rPr>
            <w:noProof/>
            <w:webHidden/>
          </w:rPr>
          <w:t>479</w:t>
        </w:r>
        <w:r w:rsidR="00873BB8">
          <w:rPr>
            <w:noProof/>
            <w:webHidden/>
          </w:rPr>
          <w:fldChar w:fldCharType="end"/>
        </w:r>
      </w:hyperlink>
    </w:p>
    <w:p w14:paraId="08C1671C" w14:textId="6FA9FFEB" w:rsidR="00873BB8" w:rsidRDefault="00EC0D9B">
      <w:pPr>
        <w:pStyle w:val="TOC2"/>
        <w:rPr>
          <w:rFonts w:asciiTheme="minorHAnsi" w:eastAsiaTheme="minorEastAsia" w:hAnsiTheme="minorHAnsi" w:cstheme="minorBidi"/>
          <w:noProof/>
          <w:sz w:val="22"/>
          <w:szCs w:val="22"/>
          <w:lang w:eastAsia="en-GB"/>
        </w:rPr>
      </w:pPr>
      <w:hyperlink w:anchor="_Toc141721068" w:history="1">
        <w:r w:rsidR="00873BB8" w:rsidRPr="00B73DAE">
          <w:rPr>
            <w:rStyle w:val="Hyperlink"/>
            <w:noProof/>
          </w:rPr>
          <w:t>Part A: International Data Transfer Agreement</w:t>
        </w:r>
        <w:r w:rsidR="00873BB8">
          <w:rPr>
            <w:noProof/>
            <w:webHidden/>
          </w:rPr>
          <w:tab/>
        </w:r>
        <w:r w:rsidR="00873BB8">
          <w:rPr>
            <w:noProof/>
            <w:webHidden/>
          </w:rPr>
          <w:fldChar w:fldCharType="begin"/>
        </w:r>
        <w:r w:rsidR="00873BB8">
          <w:rPr>
            <w:noProof/>
            <w:webHidden/>
          </w:rPr>
          <w:instrText xml:space="preserve"> PAGEREF _Toc141721068 \h </w:instrText>
        </w:r>
        <w:r w:rsidR="00873BB8">
          <w:rPr>
            <w:noProof/>
            <w:webHidden/>
          </w:rPr>
        </w:r>
        <w:r w:rsidR="00873BB8">
          <w:rPr>
            <w:noProof/>
            <w:webHidden/>
          </w:rPr>
          <w:fldChar w:fldCharType="separate"/>
        </w:r>
        <w:r w:rsidR="00873BB8">
          <w:rPr>
            <w:noProof/>
            <w:webHidden/>
          </w:rPr>
          <w:t>479</w:t>
        </w:r>
        <w:r w:rsidR="00873BB8">
          <w:rPr>
            <w:noProof/>
            <w:webHidden/>
          </w:rPr>
          <w:fldChar w:fldCharType="end"/>
        </w:r>
      </w:hyperlink>
    </w:p>
    <w:p w14:paraId="7E9D62B4" w14:textId="6420D4E3" w:rsidR="00873BB8" w:rsidRDefault="00EC0D9B">
      <w:pPr>
        <w:pStyle w:val="TOC2"/>
        <w:rPr>
          <w:rFonts w:asciiTheme="minorHAnsi" w:eastAsiaTheme="minorEastAsia" w:hAnsiTheme="minorHAnsi" w:cstheme="minorBidi"/>
          <w:noProof/>
          <w:sz w:val="22"/>
          <w:szCs w:val="22"/>
          <w:lang w:eastAsia="en-GB"/>
        </w:rPr>
      </w:pPr>
      <w:hyperlink w:anchor="_Toc141721069" w:history="1">
        <w:r w:rsidR="00873BB8" w:rsidRPr="00B73DAE">
          <w:rPr>
            <w:rStyle w:val="Hyperlink"/>
            <w:noProof/>
          </w:rPr>
          <w:t>Part B: International Data Transfer Agreement Addendum to the EU Commission Standard Contractual Clauses</w:t>
        </w:r>
        <w:r w:rsidR="00873BB8">
          <w:rPr>
            <w:noProof/>
            <w:webHidden/>
          </w:rPr>
          <w:tab/>
        </w:r>
        <w:r w:rsidR="00873BB8">
          <w:rPr>
            <w:noProof/>
            <w:webHidden/>
          </w:rPr>
          <w:fldChar w:fldCharType="begin"/>
        </w:r>
        <w:r w:rsidR="00873BB8">
          <w:rPr>
            <w:noProof/>
            <w:webHidden/>
          </w:rPr>
          <w:instrText xml:space="preserve"> PAGEREF _Toc141721069 \h </w:instrText>
        </w:r>
        <w:r w:rsidR="00873BB8">
          <w:rPr>
            <w:noProof/>
            <w:webHidden/>
          </w:rPr>
        </w:r>
        <w:r w:rsidR="00873BB8">
          <w:rPr>
            <w:noProof/>
            <w:webHidden/>
          </w:rPr>
          <w:fldChar w:fldCharType="separate"/>
        </w:r>
        <w:r w:rsidR="00873BB8">
          <w:rPr>
            <w:noProof/>
            <w:webHidden/>
          </w:rPr>
          <w:t>507</w:t>
        </w:r>
        <w:r w:rsidR="00873BB8">
          <w:rPr>
            <w:noProof/>
            <w:webHidden/>
          </w:rPr>
          <w:fldChar w:fldCharType="end"/>
        </w:r>
      </w:hyperlink>
    </w:p>
    <w:p w14:paraId="76E082CE" w14:textId="2B075461" w:rsidR="00873BB8" w:rsidRDefault="00EC0D9B">
      <w:pPr>
        <w:pStyle w:val="TOC2"/>
        <w:rPr>
          <w:rFonts w:asciiTheme="minorHAnsi" w:eastAsiaTheme="minorEastAsia" w:hAnsiTheme="minorHAnsi" w:cstheme="minorBidi"/>
          <w:noProof/>
          <w:sz w:val="22"/>
          <w:szCs w:val="22"/>
          <w:lang w:eastAsia="en-GB"/>
        </w:rPr>
      </w:pPr>
      <w:hyperlink w:anchor="_Toc141721070" w:history="1">
        <w:r w:rsidR="00873BB8" w:rsidRPr="00B73DAE">
          <w:rPr>
            <w:rStyle w:val="Hyperlink"/>
            <w:noProof/>
          </w:rPr>
          <w:t>ANNEX 3: STANDARD CONTRACTUAL CLAUSES FOR EU GDPR COMPLIANT TRANSFERS</w:t>
        </w:r>
        <w:r w:rsidR="00873BB8">
          <w:rPr>
            <w:noProof/>
            <w:webHidden/>
          </w:rPr>
          <w:tab/>
        </w:r>
        <w:r w:rsidR="00873BB8">
          <w:rPr>
            <w:noProof/>
            <w:webHidden/>
          </w:rPr>
          <w:fldChar w:fldCharType="begin"/>
        </w:r>
        <w:r w:rsidR="00873BB8">
          <w:rPr>
            <w:noProof/>
            <w:webHidden/>
          </w:rPr>
          <w:instrText xml:space="preserve"> PAGEREF _Toc141721070 \h </w:instrText>
        </w:r>
        <w:r w:rsidR="00873BB8">
          <w:rPr>
            <w:noProof/>
            <w:webHidden/>
          </w:rPr>
        </w:r>
        <w:r w:rsidR="00873BB8">
          <w:rPr>
            <w:noProof/>
            <w:webHidden/>
          </w:rPr>
          <w:fldChar w:fldCharType="separate"/>
        </w:r>
        <w:r w:rsidR="00873BB8">
          <w:rPr>
            <w:noProof/>
            <w:webHidden/>
          </w:rPr>
          <w:t>514</w:t>
        </w:r>
        <w:r w:rsidR="00873BB8">
          <w:rPr>
            <w:noProof/>
            <w:webHidden/>
          </w:rPr>
          <w:fldChar w:fldCharType="end"/>
        </w:r>
      </w:hyperlink>
    </w:p>
    <w:p w14:paraId="1E071CF0" w14:textId="4C673FA8" w:rsidR="00873BB8" w:rsidRDefault="00EC0D9B">
      <w:pPr>
        <w:pStyle w:val="TOC2"/>
        <w:rPr>
          <w:rFonts w:asciiTheme="minorHAnsi" w:eastAsiaTheme="minorEastAsia" w:hAnsiTheme="minorHAnsi" w:cstheme="minorBidi"/>
          <w:noProof/>
          <w:sz w:val="22"/>
          <w:szCs w:val="22"/>
          <w:lang w:eastAsia="en-GB"/>
        </w:rPr>
      </w:pPr>
      <w:hyperlink w:anchor="_Toc141721071" w:history="1">
        <w:r w:rsidR="00873BB8" w:rsidRPr="00B73DAE">
          <w:rPr>
            <w:rStyle w:val="Hyperlink"/>
            <w:noProof/>
          </w:rPr>
          <w:t>Part A: Processor to Controller Standard Contractual Clauses</w:t>
        </w:r>
        <w:r w:rsidR="00873BB8">
          <w:rPr>
            <w:noProof/>
            <w:webHidden/>
          </w:rPr>
          <w:tab/>
        </w:r>
        <w:r w:rsidR="00873BB8">
          <w:rPr>
            <w:noProof/>
            <w:webHidden/>
          </w:rPr>
          <w:fldChar w:fldCharType="begin"/>
        </w:r>
        <w:r w:rsidR="00873BB8">
          <w:rPr>
            <w:noProof/>
            <w:webHidden/>
          </w:rPr>
          <w:instrText xml:space="preserve"> PAGEREF _Toc141721071 \h </w:instrText>
        </w:r>
        <w:r w:rsidR="00873BB8">
          <w:rPr>
            <w:noProof/>
            <w:webHidden/>
          </w:rPr>
        </w:r>
        <w:r w:rsidR="00873BB8">
          <w:rPr>
            <w:noProof/>
            <w:webHidden/>
          </w:rPr>
          <w:fldChar w:fldCharType="separate"/>
        </w:r>
        <w:r w:rsidR="00873BB8">
          <w:rPr>
            <w:noProof/>
            <w:webHidden/>
          </w:rPr>
          <w:t>514</w:t>
        </w:r>
        <w:r w:rsidR="00873BB8">
          <w:rPr>
            <w:noProof/>
            <w:webHidden/>
          </w:rPr>
          <w:fldChar w:fldCharType="end"/>
        </w:r>
      </w:hyperlink>
    </w:p>
    <w:p w14:paraId="11EDDFA8" w14:textId="76365364" w:rsidR="00873BB8" w:rsidRDefault="00EC0D9B">
      <w:pPr>
        <w:pStyle w:val="TOC2"/>
        <w:rPr>
          <w:rFonts w:asciiTheme="minorHAnsi" w:eastAsiaTheme="minorEastAsia" w:hAnsiTheme="minorHAnsi" w:cstheme="minorBidi"/>
          <w:noProof/>
          <w:sz w:val="22"/>
          <w:szCs w:val="22"/>
          <w:lang w:eastAsia="en-GB"/>
        </w:rPr>
      </w:pPr>
      <w:hyperlink w:anchor="_Toc141721072" w:history="1">
        <w:r w:rsidR="00873BB8" w:rsidRPr="00B73DAE">
          <w:rPr>
            <w:rStyle w:val="Hyperlink"/>
            <w:noProof/>
          </w:rPr>
          <w:t>Part B: Controller to Processor Standard Contractual Clauses</w:t>
        </w:r>
        <w:r w:rsidR="00873BB8">
          <w:rPr>
            <w:noProof/>
            <w:webHidden/>
          </w:rPr>
          <w:tab/>
        </w:r>
        <w:r w:rsidR="00873BB8">
          <w:rPr>
            <w:noProof/>
            <w:webHidden/>
          </w:rPr>
          <w:fldChar w:fldCharType="begin"/>
        </w:r>
        <w:r w:rsidR="00873BB8">
          <w:rPr>
            <w:noProof/>
            <w:webHidden/>
          </w:rPr>
          <w:instrText xml:space="preserve"> PAGEREF _Toc141721072 \h </w:instrText>
        </w:r>
        <w:r w:rsidR="00873BB8">
          <w:rPr>
            <w:noProof/>
            <w:webHidden/>
          </w:rPr>
        </w:r>
        <w:r w:rsidR="00873BB8">
          <w:rPr>
            <w:noProof/>
            <w:webHidden/>
          </w:rPr>
          <w:fldChar w:fldCharType="separate"/>
        </w:r>
        <w:r w:rsidR="00873BB8">
          <w:rPr>
            <w:noProof/>
            <w:webHidden/>
          </w:rPr>
          <w:t>528</w:t>
        </w:r>
        <w:r w:rsidR="00873BB8">
          <w:rPr>
            <w:noProof/>
            <w:webHidden/>
          </w:rPr>
          <w:fldChar w:fldCharType="end"/>
        </w:r>
      </w:hyperlink>
    </w:p>
    <w:p w14:paraId="6DA9F9E8" w14:textId="04879E98" w:rsidR="00873BB8" w:rsidRDefault="00EC0D9B">
      <w:pPr>
        <w:pStyle w:val="TOC2"/>
        <w:rPr>
          <w:rFonts w:asciiTheme="minorHAnsi" w:eastAsiaTheme="minorEastAsia" w:hAnsiTheme="minorHAnsi" w:cstheme="minorBidi"/>
          <w:noProof/>
          <w:sz w:val="22"/>
          <w:szCs w:val="22"/>
          <w:lang w:eastAsia="en-GB"/>
        </w:rPr>
      </w:pPr>
      <w:hyperlink w:anchor="_Toc141721073" w:history="1">
        <w:r w:rsidR="00873BB8" w:rsidRPr="00B73DAE">
          <w:rPr>
            <w:rStyle w:val="Hyperlink"/>
            <w:noProof/>
          </w:rPr>
          <w:t>Part C: Processor to Processor Standard Contractual Clauses</w:t>
        </w:r>
        <w:r w:rsidR="00873BB8">
          <w:rPr>
            <w:noProof/>
            <w:webHidden/>
          </w:rPr>
          <w:tab/>
        </w:r>
        <w:r w:rsidR="00873BB8">
          <w:rPr>
            <w:noProof/>
            <w:webHidden/>
          </w:rPr>
          <w:fldChar w:fldCharType="begin"/>
        </w:r>
        <w:r w:rsidR="00873BB8">
          <w:rPr>
            <w:noProof/>
            <w:webHidden/>
          </w:rPr>
          <w:instrText xml:space="preserve"> PAGEREF _Toc141721073 \h </w:instrText>
        </w:r>
        <w:r w:rsidR="00873BB8">
          <w:rPr>
            <w:noProof/>
            <w:webHidden/>
          </w:rPr>
        </w:r>
        <w:r w:rsidR="00873BB8">
          <w:rPr>
            <w:noProof/>
            <w:webHidden/>
          </w:rPr>
          <w:fldChar w:fldCharType="separate"/>
        </w:r>
        <w:r w:rsidR="00873BB8">
          <w:rPr>
            <w:noProof/>
            <w:webHidden/>
          </w:rPr>
          <w:t>548</w:t>
        </w:r>
        <w:r w:rsidR="00873BB8">
          <w:rPr>
            <w:noProof/>
            <w:webHidden/>
          </w:rPr>
          <w:fldChar w:fldCharType="end"/>
        </w:r>
      </w:hyperlink>
    </w:p>
    <w:p w14:paraId="2CE53D3B" w14:textId="0F75CDB2" w:rsidR="00873BB8" w:rsidRDefault="00EC0D9B">
      <w:pPr>
        <w:pStyle w:val="TOC1"/>
        <w:rPr>
          <w:rFonts w:asciiTheme="minorHAnsi" w:eastAsiaTheme="minorEastAsia" w:hAnsiTheme="minorHAnsi" w:cstheme="minorBidi"/>
          <w:b w:val="0"/>
          <w:noProof/>
          <w:color w:val="auto"/>
          <w:sz w:val="22"/>
          <w:szCs w:val="22"/>
          <w:lang w:eastAsia="en-GB"/>
        </w:rPr>
      </w:pPr>
      <w:hyperlink w:anchor="_Toc141721074" w:history="1">
        <w:r w:rsidR="00873BB8" w:rsidRPr="00B73DAE">
          <w:rPr>
            <w:rStyle w:val="Hyperlink"/>
            <w:noProof/>
            <w:lang w:bidi="en-US"/>
          </w:rPr>
          <w:t>Schedule 32: Intellectual Property Rights</w:t>
        </w:r>
        <w:r w:rsidR="00873BB8">
          <w:rPr>
            <w:noProof/>
            <w:webHidden/>
          </w:rPr>
          <w:tab/>
        </w:r>
        <w:r w:rsidR="00873BB8">
          <w:rPr>
            <w:noProof/>
            <w:webHidden/>
          </w:rPr>
          <w:fldChar w:fldCharType="begin"/>
        </w:r>
        <w:r w:rsidR="00873BB8">
          <w:rPr>
            <w:noProof/>
            <w:webHidden/>
          </w:rPr>
          <w:instrText xml:space="preserve"> PAGEREF _Toc141721074 \h </w:instrText>
        </w:r>
        <w:r w:rsidR="00873BB8">
          <w:rPr>
            <w:noProof/>
            <w:webHidden/>
          </w:rPr>
        </w:r>
        <w:r w:rsidR="00873BB8">
          <w:rPr>
            <w:noProof/>
            <w:webHidden/>
          </w:rPr>
          <w:fldChar w:fldCharType="separate"/>
        </w:r>
        <w:r w:rsidR="00873BB8">
          <w:rPr>
            <w:rFonts w:hint="eastAsia"/>
            <w:noProof/>
            <w:webHidden/>
          </w:rPr>
          <w:t>571</w:t>
        </w:r>
        <w:r w:rsidR="00873BB8">
          <w:rPr>
            <w:noProof/>
            <w:webHidden/>
          </w:rPr>
          <w:fldChar w:fldCharType="end"/>
        </w:r>
      </w:hyperlink>
    </w:p>
    <w:p w14:paraId="716AD553" w14:textId="6EBA6069" w:rsidR="00873BB8" w:rsidRDefault="00EC0D9B">
      <w:pPr>
        <w:pStyle w:val="TOC2"/>
        <w:rPr>
          <w:rFonts w:asciiTheme="minorHAnsi" w:eastAsiaTheme="minorEastAsia" w:hAnsiTheme="minorHAnsi" w:cstheme="minorBidi"/>
          <w:noProof/>
          <w:sz w:val="22"/>
          <w:szCs w:val="22"/>
          <w:lang w:eastAsia="en-GB"/>
        </w:rPr>
      </w:pPr>
      <w:hyperlink w:anchor="_Toc141721075" w:history="1">
        <w:r w:rsidR="00873BB8" w:rsidRPr="00B73DAE">
          <w:rPr>
            <w:rStyle w:val="Hyperlink"/>
            <w:noProof/>
          </w:rPr>
          <w:t>Option 1</w:t>
        </w:r>
        <w:r w:rsidR="00873BB8">
          <w:rPr>
            <w:noProof/>
            <w:webHidden/>
          </w:rPr>
          <w:tab/>
        </w:r>
        <w:r w:rsidR="00873BB8">
          <w:rPr>
            <w:noProof/>
            <w:webHidden/>
          </w:rPr>
          <w:fldChar w:fldCharType="begin"/>
        </w:r>
        <w:r w:rsidR="00873BB8">
          <w:rPr>
            <w:noProof/>
            <w:webHidden/>
          </w:rPr>
          <w:instrText xml:space="preserve"> PAGEREF _Toc141721075 \h </w:instrText>
        </w:r>
        <w:r w:rsidR="00873BB8">
          <w:rPr>
            <w:noProof/>
            <w:webHidden/>
          </w:rPr>
        </w:r>
        <w:r w:rsidR="00873BB8">
          <w:rPr>
            <w:noProof/>
            <w:webHidden/>
          </w:rPr>
          <w:fldChar w:fldCharType="separate"/>
        </w:r>
        <w:r w:rsidR="00873BB8">
          <w:rPr>
            <w:noProof/>
            <w:webHidden/>
          </w:rPr>
          <w:t>573</w:t>
        </w:r>
        <w:r w:rsidR="00873BB8">
          <w:rPr>
            <w:noProof/>
            <w:webHidden/>
          </w:rPr>
          <w:fldChar w:fldCharType="end"/>
        </w:r>
      </w:hyperlink>
    </w:p>
    <w:p w14:paraId="2A86C9A3" w14:textId="00A501FB" w:rsidR="00873BB8" w:rsidRDefault="00EC0D9B">
      <w:pPr>
        <w:pStyle w:val="TOC2"/>
        <w:rPr>
          <w:rFonts w:asciiTheme="minorHAnsi" w:eastAsiaTheme="minorEastAsia" w:hAnsiTheme="minorHAnsi" w:cstheme="minorBidi"/>
          <w:noProof/>
          <w:sz w:val="22"/>
          <w:szCs w:val="22"/>
          <w:lang w:eastAsia="en-GB"/>
        </w:rPr>
      </w:pPr>
      <w:hyperlink w:anchor="_Toc141721076" w:history="1">
        <w:r w:rsidR="00873BB8" w:rsidRPr="00B73DAE">
          <w:rPr>
            <w:rStyle w:val="Hyperlink"/>
            <w:noProof/>
          </w:rPr>
          <w:t>Option 2</w:t>
        </w:r>
        <w:r w:rsidR="00873BB8">
          <w:rPr>
            <w:noProof/>
            <w:webHidden/>
          </w:rPr>
          <w:tab/>
        </w:r>
        <w:r w:rsidR="00873BB8">
          <w:rPr>
            <w:noProof/>
            <w:webHidden/>
          </w:rPr>
          <w:fldChar w:fldCharType="begin"/>
        </w:r>
        <w:r w:rsidR="00873BB8">
          <w:rPr>
            <w:noProof/>
            <w:webHidden/>
          </w:rPr>
          <w:instrText xml:space="preserve"> PAGEREF _Toc141721076 \h </w:instrText>
        </w:r>
        <w:r w:rsidR="00873BB8">
          <w:rPr>
            <w:noProof/>
            <w:webHidden/>
          </w:rPr>
        </w:r>
        <w:r w:rsidR="00873BB8">
          <w:rPr>
            <w:noProof/>
            <w:webHidden/>
          </w:rPr>
          <w:fldChar w:fldCharType="separate"/>
        </w:r>
        <w:r w:rsidR="00873BB8">
          <w:rPr>
            <w:noProof/>
            <w:webHidden/>
          </w:rPr>
          <w:t>582</w:t>
        </w:r>
        <w:r w:rsidR="00873BB8">
          <w:rPr>
            <w:noProof/>
            <w:webHidden/>
          </w:rPr>
          <w:fldChar w:fldCharType="end"/>
        </w:r>
      </w:hyperlink>
    </w:p>
    <w:p w14:paraId="0FF24F0E" w14:textId="4159B13B" w:rsidR="00873BB8" w:rsidRDefault="00EC0D9B">
      <w:pPr>
        <w:pStyle w:val="TOC2"/>
        <w:rPr>
          <w:rFonts w:asciiTheme="minorHAnsi" w:eastAsiaTheme="minorEastAsia" w:hAnsiTheme="minorHAnsi" w:cstheme="minorBidi"/>
          <w:noProof/>
          <w:sz w:val="22"/>
          <w:szCs w:val="22"/>
          <w:lang w:eastAsia="en-GB"/>
        </w:rPr>
      </w:pPr>
      <w:hyperlink w:anchor="_Toc141721077" w:history="1">
        <w:r w:rsidR="00873BB8" w:rsidRPr="00B73DAE">
          <w:rPr>
            <w:rStyle w:val="Hyperlink"/>
            <w:noProof/>
          </w:rPr>
          <w:t>Option 3</w:t>
        </w:r>
        <w:r w:rsidR="00873BB8">
          <w:rPr>
            <w:noProof/>
            <w:webHidden/>
          </w:rPr>
          <w:tab/>
        </w:r>
        <w:r w:rsidR="00873BB8">
          <w:rPr>
            <w:noProof/>
            <w:webHidden/>
          </w:rPr>
          <w:fldChar w:fldCharType="begin"/>
        </w:r>
        <w:r w:rsidR="00873BB8">
          <w:rPr>
            <w:noProof/>
            <w:webHidden/>
          </w:rPr>
          <w:instrText xml:space="preserve"> PAGEREF _Toc141721077 \h </w:instrText>
        </w:r>
        <w:r w:rsidR="00873BB8">
          <w:rPr>
            <w:noProof/>
            <w:webHidden/>
          </w:rPr>
        </w:r>
        <w:r w:rsidR="00873BB8">
          <w:rPr>
            <w:noProof/>
            <w:webHidden/>
          </w:rPr>
          <w:fldChar w:fldCharType="separate"/>
        </w:r>
        <w:r w:rsidR="00873BB8">
          <w:rPr>
            <w:noProof/>
            <w:webHidden/>
          </w:rPr>
          <w:t>590</w:t>
        </w:r>
        <w:r w:rsidR="00873BB8">
          <w:rPr>
            <w:noProof/>
            <w:webHidden/>
          </w:rPr>
          <w:fldChar w:fldCharType="end"/>
        </w:r>
      </w:hyperlink>
    </w:p>
    <w:p w14:paraId="5DCF8195" w14:textId="229E2B81" w:rsidR="00873BB8" w:rsidRDefault="00EC0D9B">
      <w:pPr>
        <w:pStyle w:val="TOC2"/>
        <w:rPr>
          <w:rFonts w:asciiTheme="minorHAnsi" w:eastAsiaTheme="minorEastAsia" w:hAnsiTheme="minorHAnsi" w:cstheme="minorBidi"/>
          <w:noProof/>
          <w:sz w:val="22"/>
          <w:szCs w:val="22"/>
          <w:lang w:eastAsia="en-GB"/>
        </w:rPr>
      </w:pPr>
      <w:hyperlink w:anchor="_Toc141721078" w:history="1">
        <w:r w:rsidR="00873BB8" w:rsidRPr="00B73DAE">
          <w:rPr>
            <w:rStyle w:val="Hyperlink"/>
            <w:noProof/>
          </w:rPr>
          <w:t>Option 4</w:t>
        </w:r>
        <w:r w:rsidR="00873BB8">
          <w:rPr>
            <w:noProof/>
            <w:webHidden/>
          </w:rPr>
          <w:tab/>
        </w:r>
        <w:r w:rsidR="00873BB8">
          <w:rPr>
            <w:noProof/>
            <w:webHidden/>
          </w:rPr>
          <w:fldChar w:fldCharType="begin"/>
        </w:r>
        <w:r w:rsidR="00873BB8">
          <w:rPr>
            <w:noProof/>
            <w:webHidden/>
          </w:rPr>
          <w:instrText xml:space="preserve"> PAGEREF _Toc141721078 \h </w:instrText>
        </w:r>
        <w:r w:rsidR="00873BB8">
          <w:rPr>
            <w:noProof/>
            <w:webHidden/>
          </w:rPr>
        </w:r>
        <w:r w:rsidR="00873BB8">
          <w:rPr>
            <w:noProof/>
            <w:webHidden/>
          </w:rPr>
          <w:fldChar w:fldCharType="separate"/>
        </w:r>
        <w:r w:rsidR="00873BB8">
          <w:rPr>
            <w:noProof/>
            <w:webHidden/>
          </w:rPr>
          <w:t>597</w:t>
        </w:r>
        <w:r w:rsidR="00873BB8">
          <w:rPr>
            <w:noProof/>
            <w:webHidden/>
          </w:rPr>
          <w:fldChar w:fldCharType="end"/>
        </w:r>
      </w:hyperlink>
    </w:p>
    <w:p w14:paraId="7CAB257D" w14:textId="7ED81880" w:rsidR="00873BB8" w:rsidRDefault="00EC0D9B">
      <w:pPr>
        <w:pStyle w:val="TOC2"/>
        <w:rPr>
          <w:rFonts w:asciiTheme="minorHAnsi" w:eastAsiaTheme="minorEastAsia" w:hAnsiTheme="minorHAnsi" w:cstheme="minorBidi"/>
          <w:noProof/>
          <w:sz w:val="22"/>
          <w:szCs w:val="22"/>
          <w:lang w:eastAsia="en-GB"/>
        </w:rPr>
      </w:pPr>
      <w:hyperlink w:anchor="_Toc141721079" w:history="1">
        <w:r w:rsidR="00873BB8" w:rsidRPr="00B73DAE">
          <w:rPr>
            <w:rStyle w:val="Hyperlink"/>
            <w:noProof/>
          </w:rPr>
          <w:t>Option 5</w:t>
        </w:r>
        <w:r w:rsidR="00873BB8">
          <w:rPr>
            <w:noProof/>
            <w:webHidden/>
          </w:rPr>
          <w:tab/>
        </w:r>
        <w:r w:rsidR="00873BB8">
          <w:rPr>
            <w:noProof/>
            <w:webHidden/>
          </w:rPr>
          <w:fldChar w:fldCharType="begin"/>
        </w:r>
        <w:r w:rsidR="00873BB8">
          <w:rPr>
            <w:noProof/>
            <w:webHidden/>
          </w:rPr>
          <w:instrText xml:space="preserve"> PAGEREF _Toc141721079 \h </w:instrText>
        </w:r>
        <w:r w:rsidR="00873BB8">
          <w:rPr>
            <w:noProof/>
            <w:webHidden/>
          </w:rPr>
        </w:r>
        <w:r w:rsidR="00873BB8">
          <w:rPr>
            <w:noProof/>
            <w:webHidden/>
          </w:rPr>
          <w:fldChar w:fldCharType="separate"/>
        </w:r>
        <w:r w:rsidR="00873BB8">
          <w:rPr>
            <w:noProof/>
            <w:webHidden/>
          </w:rPr>
          <w:t>604</w:t>
        </w:r>
        <w:r w:rsidR="00873BB8">
          <w:rPr>
            <w:noProof/>
            <w:webHidden/>
          </w:rPr>
          <w:fldChar w:fldCharType="end"/>
        </w:r>
      </w:hyperlink>
    </w:p>
    <w:p w14:paraId="4CCA2FFC" w14:textId="7F1F89B7" w:rsidR="00873BB8" w:rsidRDefault="00EC0D9B">
      <w:pPr>
        <w:pStyle w:val="TOC2"/>
        <w:rPr>
          <w:rFonts w:asciiTheme="minorHAnsi" w:eastAsiaTheme="minorEastAsia" w:hAnsiTheme="minorHAnsi" w:cstheme="minorBidi"/>
          <w:noProof/>
          <w:sz w:val="22"/>
          <w:szCs w:val="22"/>
          <w:lang w:eastAsia="en-GB"/>
        </w:rPr>
      </w:pPr>
      <w:hyperlink w:anchor="_Toc141721080" w:history="1">
        <w:r w:rsidR="00873BB8" w:rsidRPr="00B73DAE">
          <w:rPr>
            <w:rStyle w:val="Hyperlink"/>
            <w:noProof/>
          </w:rPr>
          <w:t>Annex 1: Project Specific IPR and Specially Written Software</w:t>
        </w:r>
        <w:r w:rsidR="00873BB8">
          <w:rPr>
            <w:noProof/>
            <w:webHidden/>
          </w:rPr>
          <w:tab/>
        </w:r>
        <w:r w:rsidR="00873BB8">
          <w:rPr>
            <w:noProof/>
            <w:webHidden/>
          </w:rPr>
          <w:fldChar w:fldCharType="begin"/>
        </w:r>
        <w:r w:rsidR="00873BB8">
          <w:rPr>
            <w:noProof/>
            <w:webHidden/>
          </w:rPr>
          <w:instrText xml:space="preserve"> PAGEREF _Toc141721080 \h </w:instrText>
        </w:r>
        <w:r w:rsidR="00873BB8">
          <w:rPr>
            <w:noProof/>
            <w:webHidden/>
          </w:rPr>
        </w:r>
        <w:r w:rsidR="00873BB8">
          <w:rPr>
            <w:noProof/>
            <w:webHidden/>
          </w:rPr>
          <w:fldChar w:fldCharType="separate"/>
        </w:r>
        <w:r w:rsidR="00873BB8">
          <w:rPr>
            <w:noProof/>
            <w:webHidden/>
          </w:rPr>
          <w:t>608</w:t>
        </w:r>
        <w:r w:rsidR="00873BB8">
          <w:rPr>
            <w:noProof/>
            <w:webHidden/>
          </w:rPr>
          <w:fldChar w:fldCharType="end"/>
        </w:r>
      </w:hyperlink>
    </w:p>
    <w:p w14:paraId="0A8A7433" w14:textId="039FAEE4" w:rsidR="00292300" w:rsidRPr="00BD6C5F" w:rsidRDefault="00292300" w:rsidP="00292300">
      <w:pPr>
        <w:pStyle w:val="MarginText"/>
        <w:rPr>
          <w:rFonts w:asciiTheme="minorHAnsi" w:hAnsiTheme="minorHAnsi" w:cstheme="minorHAnsi"/>
          <w:b/>
        </w:rPr>
      </w:pPr>
      <w:r w:rsidRPr="00BD6C5F">
        <w:rPr>
          <w:rFonts w:asciiTheme="minorHAnsi" w:hAnsiTheme="minorHAnsi" w:cstheme="minorHAnsi"/>
          <w:b/>
        </w:rPr>
        <w:fldChar w:fldCharType="end"/>
      </w:r>
    </w:p>
    <w:p w14:paraId="00D1646D" w14:textId="77777777" w:rsidR="00292300" w:rsidRPr="00BD6C5F" w:rsidRDefault="00292300" w:rsidP="00E0728B">
      <w:pPr>
        <w:pStyle w:val="MarginText"/>
        <w:rPr>
          <w:rFonts w:asciiTheme="minorHAnsi" w:hAnsiTheme="minorHAnsi" w:cstheme="minorHAnsi"/>
          <w:b/>
        </w:rPr>
      </w:pPr>
    </w:p>
    <w:p w14:paraId="48DD15CC" w14:textId="77777777" w:rsidR="006D411A" w:rsidRPr="00BD6C5F" w:rsidRDefault="006D411A" w:rsidP="00E0728B">
      <w:pPr>
        <w:pStyle w:val="MarginText"/>
        <w:rPr>
          <w:rFonts w:asciiTheme="minorHAnsi" w:hAnsiTheme="minorHAnsi" w:cstheme="minorHAnsi"/>
          <w:b/>
        </w:rPr>
      </w:pPr>
    </w:p>
    <w:p w14:paraId="7F81CAB5" w14:textId="77777777" w:rsidR="00D77DF8" w:rsidRPr="00BD6C5F" w:rsidRDefault="00D77DF8">
      <w:pPr>
        <w:pStyle w:val="BodyText"/>
        <w:spacing w:before="1"/>
        <w:rPr>
          <w:rFonts w:asciiTheme="minorHAnsi" w:hAnsiTheme="minorHAnsi" w:cstheme="minorHAnsi"/>
          <w:b/>
        </w:rPr>
        <w:sectPr w:rsidR="00D77DF8" w:rsidRPr="00BD6C5F" w:rsidSect="00EA65BF">
          <w:headerReference w:type="even" r:id="rId14"/>
          <w:headerReference w:type="default" r:id="rId15"/>
          <w:footerReference w:type="even" r:id="rId16"/>
          <w:footerReference w:type="default" r:id="rId17"/>
          <w:headerReference w:type="first" r:id="rId18"/>
          <w:footerReference w:type="first" r:id="rId19"/>
          <w:pgSz w:w="11910" w:h="16840"/>
          <w:pgMar w:top="1701" w:right="851" w:bottom="1134" w:left="851" w:header="567" w:footer="567" w:gutter="0"/>
          <w:cols w:space="720"/>
        </w:sectPr>
      </w:pPr>
    </w:p>
    <w:p w14:paraId="1240870E" w14:textId="77777777" w:rsidR="00175B22" w:rsidRPr="00175B22" w:rsidRDefault="00175B22" w:rsidP="00175B22">
      <w:pPr>
        <w:pStyle w:val="Dividername"/>
      </w:pPr>
      <w:bookmarkStart w:id="0" w:name="_Ref98252973"/>
      <w:bookmarkStart w:id="1" w:name="_Toc98332701"/>
      <w:bookmarkStart w:id="2" w:name="_Toc98852876"/>
      <w:r w:rsidRPr="00175B22">
        <w:lastRenderedPageBreak/>
        <w:t xml:space="preserve">Schedule </w:t>
      </w:r>
      <w:bookmarkStart w:id="3" w:name="Schedule_1"/>
      <w:r w:rsidRPr="00175B22">
        <w:t>1</w:t>
      </w:r>
      <w:bookmarkEnd w:id="3"/>
    </w:p>
    <w:p w14:paraId="5089CE7F" w14:textId="77777777" w:rsidR="00175B22" w:rsidRPr="00175B22" w:rsidRDefault="00175B22" w:rsidP="00175B22">
      <w:pPr>
        <w:pStyle w:val="Dividername"/>
      </w:pPr>
      <w:r w:rsidRPr="00175B22">
        <w:t>Definitions</w:t>
      </w:r>
    </w:p>
    <w:p w14:paraId="51C3B0A2" w14:textId="77777777" w:rsidR="00175B22" w:rsidRDefault="00175B22" w:rsidP="00175B22"/>
    <w:p w14:paraId="054C56F5" w14:textId="37921119" w:rsidR="00BC7DDA" w:rsidRPr="00BD6C5F" w:rsidRDefault="003E65E3" w:rsidP="00175B22">
      <w:pPr>
        <w:pStyle w:val="Heading1"/>
        <w:pageBreakBefore/>
      </w:pPr>
      <w:bookmarkStart w:id="4" w:name="_Toc141720969"/>
      <w:r w:rsidRPr="00BD6C5F">
        <w:lastRenderedPageBreak/>
        <w:t>Schedule 1</w:t>
      </w:r>
      <w:r w:rsidR="00DA04BE" w:rsidRPr="00BD6C5F">
        <w:t>:</w:t>
      </w:r>
      <w:r w:rsidRPr="00BD6C5F">
        <w:t xml:space="preserve"> Definitions</w:t>
      </w:r>
      <w:bookmarkEnd w:id="0"/>
      <w:bookmarkEnd w:id="1"/>
      <w:bookmarkEnd w:id="2"/>
      <w:bookmarkEnd w:id="4"/>
    </w:p>
    <w:p w14:paraId="6665D015" w14:textId="66C090C9" w:rsidR="00C43F63" w:rsidRPr="00BD6C5F" w:rsidRDefault="00C43F63" w:rsidP="00A375E5">
      <w:pPr>
        <w:spacing w:before="100" w:after="200"/>
        <w:jc w:val="center"/>
        <w:rPr>
          <w:rFonts w:asciiTheme="minorHAnsi" w:hAnsiTheme="minorHAnsi" w:cstheme="minorHAnsi"/>
          <w:szCs w:val="24"/>
        </w:rPr>
      </w:pPr>
      <w:r w:rsidRPr="00BD6C5F">
        <w:rPr>
          <w:rFonts w:asciiTheme="minorHAnsi" w:hAnsiTheme="minorHAnsi" w:cstheme="minorHAnsi"/>
        </w:rPr>
        <w:t>This is the schedule referred to in the foregoing agreement between</w:t>
      </w:r>
      <w:r w:rsidR="00EE06F9" w:rsidRPr="00BD6C5F">
        <w:rPr>
          <w:rFonts w:asciiTheme="minorHAnsi" w:hAnsiTheme="minorHAnsi" w:cstheme="minorHAnsi"/>
        </w:rPr>
        <w:t xml:space="preserve"> [</w:t>
      </w:r>
      <w:r w:rsidR="00EE06F9" w:rsidRPr="00BD6C5F">
        <w:rPr>
          <w:rFonts w:asciiTheme="minorHAnsi" w:hAnsiTheme="minorHAnsi" w:cstheme="minorHAnsi"/>
          <w:highlight w:val="yellow"/>
        </w:rPr>
        <w:t>name of party</w:t>
      </w:r>
      <w:r w:rsidR="00EE06F9" w:rsidRPr="00BD6C5F">
        <w:rPr>
          <w:rFonts w:asciiTheme="minorHAnsi" w:hAnsiTheme="minorHAnsi" w:cstheme="minorHAnsi"/>
        </w:rPr>
        <w:t>] and [</w:t>
      </w:r>
      <w:r w:rsidR="00EE06F9" w:rsidRPr="00BD6C5F">
        <w:rPr>
          <w:rFonts w:asciiTheme="minorHAnsi" w:hAnsiTheme="minorHAnsi" w:cstheme="minorHAnsi"/>
          <w:highlight w:val="yellow"/>
        </w:rPr>
        <w:t>name</w:t>
      </w:r>
      <w:r w:rsidR="00D02CA4" w:rsidRPr="00BD6C5F">
        <w:rPr>
          <w:rFonts w:asciiTheme="minorHAnsi" w:hAnsiTheme="minorHAnsi" w:cstheme="minorHAnsi"/>
          <w:highlight w:val="yellow"/>
        </w:rPr>
        <w:t> </w:t>
      </w:r>
      <w:r w:rsidR="00EE06F9" w:rsidRPr="00BD6C5F">
        <w:rPr>
          <w:rFonts w:asciiTheme="minorHAnsi" w:hAnsiTheme="minorHAnsi" w:cstheme="minorHAnsi"/>
          <w:highlight w:val="yellow"/>
        </w:rPr>
        <w:t>of party</w:t>
      </w:r>
      <w:r w:rsidR="00EE06F9" w:rsidRPr="00BD6C5F">
        <w:rPr>
          <w:rFonts w:asciiTheme="minorHAnsi" w:hAnsiTheme="minorHAnsi" w:cstheme="minorHAnsi"/>
        </w:rPr>
        <w:t>] dated [</w:t>
      </w:r>
      <w:r w:rsidR="00EE06F9" w:rsidRPr="00BD6C5F">
        <w:rPr>
          <w:rFonts w:asciiTheme="minorHAnsi" w:hAnsiTheme="minorHAnsi" w:cstheme="minorHAnsi"/>
          <w:highlight w:val="yellow"/>
        </w:rPr>
        <w:t>date</w:t>
      </w:r>
      <w:r w:rsidR="00EE06F9" w:rsidRPr="00BD6C5F">
        <w:rPr>
          <w:rFonts w:asciiTheme="minorHAnsi" w:hAnsiTheme="minorHAnsi" w:cstheme="minorHAnsi"/>
        </w:rPr>
        <w:t>]</w:t>
      </w:r>
    </w:p>
    <w:p w14:paraId="0241B115" w14:textId="628FB07A" w:rsidR="00BC7DDA" w:rsidRPr="00BD6C5F" w:rsidRDefault="009B03E9" w:rsidP="007B75C0">
      <w:pPr>
        <w:pStyle w:val="Numbered1"/>
      </w:pPr>
      <w:r w:rsidRPr="00BD6C5F">
        <w:t>Definitions</w:t>
      </w:r>
    </w:p>
    <w:p w14:paraId="0D93708D" w14:textId="4BD7BA0E" w:rsidR="006D7C8F" w:rsidRPr="00BD6C5F" w:rsidRDefault="006D7C8F" w:rsidP="00A64142">
      <w:pPr>
        <w:pStyle w:val="Numbered11"/>
      </w:pPr>
      <w:r w:rsidRPr="00BD6C5F">
        <w:t>In th</w:t>
      </w:r>
      <w:r w:rsidR="00540619" w:rsidRPr="00BD6C5F">
        <w:t>is</w:t>
      </w:r>
      <w:r w:rsidRPr="00BD6C5F">
        <w:t xml:space="preserve"> Contract, unless the context otherwise requires, capitalised expressions shall have the meanings set out in this </w:t>
      </w:r>
      <w:r w:rsidR="008A1009" w:rsidRPr="00BD6C5F">
        <w:t>Schedule</w:t>
      </w:r>
      <w:r w:rsidR="00D54BA8" w:rsidRPr="00BD6C5F">
        <w:t> </w:t>
      </w:r>
      <w:r w:rsidR="00056976">
        <w:fldChar w:fldCharType="begin"/>
      </w:r>
      <w:r w:rsidR="00056976">
        <w:instrText xml:space="preserve"> REF Schedule_1 \h </w:instrText>
      </w:r>
      <w:r w:rsidR="00056976">
        <w:fldChar w:fldCharType="separate"/>
      </w:r>
      <w:r w:rsidR="009749A0" w:rsidRPr="00175B22">
        <w:t>1</w:t>
      </w:r>
      <w:r w:rsidR="00056976">
        <w:fldChar w:fldCharType="end"/>
      </w:r>
      <w:r w:rsidRPr="00BD6C5F">
        <w:t xml:space="preserve"> or </w:t>
      </w:r>
      <w:r w:rsidR="00540619" w:rsidRPr="00BD6C5F">
        <w:t xml:space="preserve">(subject to Clause </w:t>
      </w:r>
      <w:r w:rsidR="000F7689">
        <w:t>1.3</w:t>
      </w:r>
      <w:r w:rsidR="00540619" w:rsidRPr="00BD6C5F">
        <w:t xml:space="preserve">) </w:t>
      </w:r>
      <w:r w:rsidRPr="00BD6C5F">
        <w:t>the relevant Schedule in which that capitalised expression appears.</w:t>
      </w:r>
    </w:p>
    <w:p w14:paraId="6C519721" w14:textId="77777777" w:rsidR="006D7C8F" w:rsidRPr="00BD6C5F" w:rsidRDefault="006D7C8F" w:rsidP="00C5057A">
      <w:pPr>
        <w:pStyle w:val="Numbered11"/>
      </w:pPr>
      <w:r w:rsidRPr="00BD6C5F">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11FB8E3" w14:textId="1BBD8328" w:rsidR="006D7C8F" w:rsidRPr="00BD6C5F" w:rsidRDefault="006D7C8F" w:rsidP="0055123C">
      <w:pPr>
        <w:pStyle w:val="Numbered11"/>
        <w:keepNext/>
      </w:pPr>
      <w:bookmarkStart w:id="5" w:name="_Ref98843680"/>
      <w:r w:rsidRPr="00BD6C5F">
        <w:t>In th</w:t>
      </w:r>
      <w:r w:rsidR="00540619" w:rsidRPr="00BD6C5F">
        <w:t>is</w:t>
      </w:r>
      <w:r w:rsidRPr="00BD6C5F">
        <w:t xml:space="preserve"> Contract, unless the context otherwise requires:</w:t>
      </w:r>
      <w:bookmarkEnd w:id="5"/>
    </w:p>
    <w:p w14:paraId="0904A586" w14:textId="2A5CD826" w:rsidR="006D7C8F" w:rsidRPr="00BD6C5F" w:rsidRDefault="006D7C8F" w:rsidP="00A64142">
      <w:pPr>
        <w:pStyle w:val="Numbered111"/>
      </w:pPr>
      <w:r w:rsidRPr="00BD6C5F">
        <w:t>the singular includes the plural and vice versa;</w:t>
      </w:r>
    </w:p>
    <w:p w14:paraId="124EBCFB" w14:textId="77777777" w:rsidR="006D7C8F" w:rsidRPr="00BD6C5F" w:rsidRDefault="006D7C8F" w:rsidP="00C5057A">
      <w:pPr>
        <w:pStyle w:val="Numbered111"/>
      </w:pPr>
      <w:r w:rsidRPr="00BD6C5F">
        <w:t>reference to a gender includes the other gender and the neuter;</w:t>
      </w:r>
    </w:p>
    <w:p w14:paraId="71B49E9B" w14:textId="77777777" w:rsidR="006D7C8F" w:rsidRPr="00BD6C5F" w:rsidRDefault="006D7C8F" w:rsidP="00A64142">
      <w:pPr>
        <w:pStyle w:val="Numbered111"/>
      </w:pPr>
      <w:r w:rsidRPr="00BD6C5F">
        <w:t>references to a person include an individual, company, body corporate, corporation, unincorporated association, firm, partnership or other legal entity or Crown Body;</w:t>
      </w:r>
    </w:p>
    <w:p w14:paraId="39358DB4" w14:textId="742FA36B" w:rsidR="006D7C8F" w:rsidRPr="00BD6C5F" w:rsidRDefault="006D7C8F" w:rsidP="00C5057A">
      <w:pPr>
        <w:pStyle w:val="Numbered111"/>
      </w:pPr>
      <w:r w:rsidRPr="00BD6C5F">
        <w:t xml:space="preserve">a reference to a Law includes a reference to that Law as </w:t>
      </w:r>
      <w:r w:rsidR="009A0E6E">
        <w:t xml:space="preserve">modified, </w:t>
      </w:r>
      <w:r w:rsidRPr="00BD6C5F">
        <w:t>amended, extended, consolidated</w:t>
      </w:r>
      <w:r w:rsidR="009A0E6E">
        <w:t>, replaced</w:t>
      </w:r>
      <w:r w:rsidRPr="00BD6C5F">
        <w:t xml:space="preserve"> or re-enacted</w:t>
      </w:r>
      <w:r w:rsidR="00B2215B">
        <w:t xml:space="preserve"> (including as a consequence of the retained EU Law</w:t>
      </w:r>
      <w:r w:rsidR="00374DA7">
        <w:t xml:space="preserve"> </w:t>
      </w:r>
      <w:r w:rsidR="00374DA7" w:rsidRPr="00374DA7">
        <w:t xml:space="preserve">(Revocation and Reform) </w:t>
      </w:r>
      <w:r w:rsidR="00821CF0">
        <w:t>Act 2023</w:t>
      </w:r>
      <w:r w:rsidR="00374DA7" w:rsidRPr="00374DA7">
        <w:t>)</w:t>
      </w:r>
      <w:r w:rsidRPr="00BD6C5F">
        <w:t xml:space="preserve"> from time to time</w:t>
      </w:r>
      <w:r w:rsidR="008B0A5C">
        <w:t xml:space="preserve"> </w:t>
      </w:r>
      <w:r w:rsidR="008B0A5C" w:rsidRPr="008B0A5C">
        <w:t>before or after the date of this Contract and any prior or subsequent legislation under it</w:t>
      </w:r>
      <w:r w:rsidRPr="00BD6C5F">
        <w:t>;</w:t>
      </w:r>
    </w:p>
    <w:p w14:paraId="568A13B9" w14:textId="48D5821C" w:rsidR="006D7C8F" w:rsidRPr="00BD6C5F" w:rsidRDefault="006D7C8F" w:rsidP="00C5057A">
      <w:pPr>
        <w:pStyle w:val="Numbered111"/>
      </w:pPr>
      <w:r w:rsidRPr="00BD6C5F">
        <w:t xml:space="preserve">the words </w:t>
      </w:r>
      <w:r w:rsidR="00A4555C" w:rsidRPr="00BD6C5F">
        <w:t>“</w:t>
      </w:r>
      <w:r w:rsidRPr="00BD6C5F">
        <w:rPr>
          <w:b/>
        </w:rPr>
        <w:t>including</w:t>
      </w:r>
      <w:r w:rsidR="00A4555C" w:rsidRPr="00BD6C5F">
        <w:t>”</w:t>
      </w:r>
      <w:r w:rsidRPr="00BD6C5F">
        <w:t xml:space="preserve">, </w:t>
      </w:r>
      <w:r w:rsidR="00A4555C" w:rsidRPr="00BD6C5F">
        <w:t>“</w:t>
      </w:r>
      <w:r w:rsidRPr="00BD6C5F">
        <w:rPr>
          <w:b/>
        </w:rPr>
        <w:t>other</w:t>
      </w:r>
      <w:r w:rsidR="00A4555C" w:rsidRPr="00BD6C5F">
        <w:t>”</w:t>
      </w:r>
      <w:r w:rsidRPr="00BD6C5F">
        <w:t xml:space="preserve">, </w:t>
      </w:r>
      <w:r w:rsidR="00A4555C" w:rsidRPr="00BD6C5F">
        <w:t>“</w:t>
      </w:r>
      <w:r w:rsidRPr="00BD6C5F">
        <w:rPr>
          <w:b/>
        </w:rPr>
        <w:t>in particular</w:t>
      </w:r>
      <w:r w:rsidR="00A4555C" w:rsidRPr="00BD6C5F">
        <w:t>”</w:t>
      </w:r>
      <w:r w:rsidRPr="00BD6C5F">
        <w:t xml:space="preserve">, </w:t>
      </w:r>
      <w:r w:rsidR="00A4555C" w:rsidRPr="00BD6C5F">
        <w:t>“</w:t>
      </w:r>
      <w:r w:rsidRPr="00BD6C5F">
        <w:rPr>
          <w:b/>
        </w:rPr>
        <w:t>for example</w:t>
      </w:r>
      <w:r w:rsidR="00A4555C" w:rsidRPr="00BD6C5F">
        <w:t>”</w:t>
      </w:r>
      <w:r w:rsidRPr="00BD6C5F">
        <w:t xml:space="preserve"> and similar words shall not limit the generality of the preceding words and shall be construed as if they were immediately followed by the words </w:t>
      </w:r>
      <w:r w:rsidR="00A4555C" w:rsidRPr="00BD6C5F">
        <w:t>“</w:t>
      </w:r>
      <w:r w:rsidRPr="00BD6C5F">
        <w:rPr>
          <w:b/>
        </w:rPr>
        <w:t>without limitation</w:t>
      </w:r>
      <w:r w:rsidR="00A4555C" w:rsidRPr="00BD6C5F">
        <w:t>”</w:t>
      </w:r>
      <w:r w:rsidRPr="00BD6C5F">
        <w:t>;</w:t>
      </w:r>
    </w:p>
    <w:p w14:paraId="0A23782D" w14:textId="3353B756" w:rsidR="006D7C8F" w:rsidRPr="00BD6C5F" w:rsidRDefault="006D7C8F" w:rsidP="00C5057A">
      <w:pPr>
        <w:pStyle w:val="Numbered111"/>
      </w:pPr>
      <w:r w:rsidRPr="00BD6C5F">
        <w:t xml:space="preserve">references to </w:t>
      </w:r>
      <w:r w:rsidR="00A4555C" w:rsidRPr="00BD6C5F">
        <w:t>“</w:t>
      </w:r>
      <w:r w:rsidRPr="00BD6C5F">
        <w:rPr>
          <w:b/>
        </w:rPr>
        <w:t>writing</w:t>
      </w:r>
      <w:r w:rsidR="00A4555C" w:rsidRPr="00BD6C5F">
        <w:t>”</w:t>
      </w:r>
      <w:r w:rsidRPr="00BD6C5F">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0DC61345" w14:textId="2A44DD6E" w:rsidR="006D7C8F" w:rsidRPr="00BD6C5F" w:rsidRDefault="006D7C8F" w:rsidP="00C5057A">
      <w:pPr>
        <w:pStyle w:val="Numbered111"/>
      </w:pPr>
      <w:r w:rsidRPr="00BD6C5F">
        <w:t xml:space="preserve">references to </w:t>
      </w:r>
      <w:r w:rsidR="00A4555C" w:rsidRPr="00BD6C5F">
        <w:t>“</w:t>
      </w:r>
      <w:r w:rsidRPr="00BD6C5F">
        <w:rPr>
          <w:b/>
        </w:rPr>
        <w:t>representations</w:t>
      </w:r>
      <w:r w:rsidR="00A4555C" w:rsidRPr="00BD6C5F">
        <w:t>”</w:t>
      </w:r>
      <w:r w:rsidRPr="00BD6C5F">
        <w:t xml:space="preserve"> shall be construed as references to present facts, to </w:t>
      </w:r>
      <w:r w:rsidR="00A4555C" w:rsidRPr="00BD6C5F">
        <w:t>“</w:t>
      </w:r>
      <w:r w:rsidRPr="00BD6C5F">
        <w:t>warranties</w:t>
      </w:r>
      <w:r w:rsidR="00A4555C" w:rsidRPr="00BD6C5F">
        <w:t>”</w:t>
      </w:r>
      <w:r w:rsidRPr="00BD6C5F">
        <w:t xml:space="preserve"> as references to present and future facts and to </w:t>
      </w:r>
      <w:r w:rsidR="00A4555C" w:rsidRPr="00BD6C5F">
        <w:t>“</w:t>
      </w:r>
      <w:r w:rsidRPr="00BD6C5F">
        <w:rPr>
          <w:b/>
        </w:rPr>
        <w:t>undertakings</w:t>
      </w:r>
      <w:r w:rsidR="00A4555C" w:rsidRPr="00BD6C5F">
        <w:rPr>
          <w:bCs/>
        </w:rPr>
        <w:t>”</w:t>
      </w:r>
      <w:r w:rsidRPr="00BD6C5F">
        <w:t xml:space="preserve"> as references to obligations under the Contract; </w:t>
      </w:r>
    </w:p>
    <w:p w14:paraId="02DDE508" w14:textId="11A8C943" w:rsidR="006D7C8F" w:rsidRPr="00BD6C5F" w:rsidRDefault="006D7C8F" w:rsidP="00C5057A">
      <w:pPr>
        <w:pStyle w:val="Numbered111"/>
      </w:pPr>
      <w:r w:rsidRPr="00BD6C5F">
        <w:t xml:space="preserve">references to </w:t>
      </w:r>
      <w:r w:rsidR="00A4555C" w:rsidRPr="00BD6C5F">
        <w:rPr>
          <w:bCs/>
        </w:rPr>
        <w:t>“</w:t>
      </w:r>
      <w:r w:rsidRPr="00BD6C5F">
        <w:rPr>
          <w:b/>
        </w:rPr>
        <w:t>Clauses</w:t>
      </w:r>
      <w:r w:rsidR="00A4555C" w:rsidRPr="00BD6C5F">
        <w:rPr>
          <w:bCs/>
        </w:rPr>
        <w:t>”</w:t>
      </w:r>
      <w:r w:rsidRPr="00BD6C5F">
        <w:rPr>
          <w:bCs/>
        </w:rPr>
        <w:t xml:space="preserve"> and </w:t>
      </w:r>
      <w:r w:rsidR="00A4555C" w:rsidRPr="00BD6C5F">
        <w:rPr>
          <w:bCs/>
        </w:rPr>
        <w:t>“</w:t>
      </w:r>
      <w:r w:rsidRPr="00BD6C5F">
        <w:rPr>
          <w:b/>
        </w:rPr>
        <w:t>Schedules</w:t>
      </w:r>
      <w:r w:rsidR="00A4555C" w:rsidRPr="00BD6C5F">
        <w:rPr>
          <w:bCs/>
        </w:rPr>
        <w:t>”</w:t>
      </w:r>
      <w:r w:rsidRPr="00BD6C5F">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15A828C5" w14:textId="2680B62F" w:rsidR="006D7C8F" w:rsidRPr="00BD6C5F" w:rsidRDefault="006D7C8F" w:rsidP="00C5057A">
      <w:pPr>
        <w:pStyle w:val="Numbered111"/>
      </w:pPr>
      <w:r w:rsidRPr="00BD6C5F">
        <w:t xml:space="preserve">references to </w:t>
      </w:r>
      <w:r w:rsidR="00A4555C" w:rsidRPr="00BD6C5F">
        <w:rPr>
          <w:bCs/>
        </w:rPr>
        <w:t>“</w:t>
      </w:r>
      <w:r w:rsidRPr="00BD6C5F">
        <w:rPr>
          <w:b/>
        </w:rPr>
        <w:t>Paragraphs</w:t>
      </w:r>
      <w:r w:rsidR="00A4555C" w:rsidRPr="00BD6C5F">
        <w:rPr>
          <w:bCs/>
        </w:rPr>
        <w:t>”</w:t>
      </w:r>
      <w:r w:rsidRPr="00BD6C5F">
        <w:t xml:space="preserve"> are, unless otherwise provided, references to the </w:t>
      </w:r>
      <w:r w:rsidRPr="00BD6C5F">
        <w:lastRenderedPageBreak/>
        <w:t>paragraph of the appropriate Schedules unless otherwise provided; and</w:t>
      </w:r>
    </w:p>
    <w:p w14:paraId="6F30BE45" w14:textId="77777777" w:rsidR="006D7C8F" w:rsidRPr="00BD6C5F" w:rsidRDefault="006D7C8F" w:rsidP="00814758">
      <w:pPr>
        <w:pStyle w:val="Numbered111"/>
      </w:pPr>
      <w:r w:rsidRPr="00BD6C5F">
        <w:t>references to a series of Clauses or Paragraphs shall be inclusive of the clause numbers specified.</w:t>
      </w:r>
    </w:p>
    <w:p w14:paraId="3C005075" w14:textId="77777777" w:rsidR="006D7C8F" w:rsidRPr="00BD6C5F" w:rsidRDefault="006D7C8F" w:rsidP="00C5057A">
      <w:pPr>
        <w:pStyle w:val="Numbered111"/>
      </w:pPr>
      <w:r w:rsidRPr="00BD6C5F">
        <w:t>the headings in the Contract are for ease of reference only and shall not affect the interpretation or construction of the Contract; and</w:t>
      </w:r>
    </w:p>
    <w:p w14:paraId="731B67DA" w14:textId="128073C4" w:rsidR="006D7C8F" w:rsidRPr="00BD6C5F" w:rsidRDefault="006D7C8F" w:rsidP="00C5057A">
      <w:pPr>
        <w:pStyle w:val="Numbered111"/>
      </w:pPr>
      <w:r w:rsidRPr="00BD6C5F">
        <w:t xml:space="preserve">where the </w:t>
      </w:r>
      <w:r w:rsidR="00540619" w:rsidRPr="00BD6C5F">
        <w:t>Authority</w:t>
      </w:r>
      <w:r w:rsidRPr="00BD6C5F">
        <w:t xml:space="preserve"> is a Crown Body it shall be treated as contracting with the Crown as a whole.</w:t>
      </w:r>
    </w:p>
    <w:p w14:paraId="7D6BFDBE" w14:textId="77777777" w:rsidR="006D7C8F" w:rsidRPr="00BD6C5F" w:rsidRDefault="006D7C8F" w:rsidP="00C5057A">
      <w:pPr>
        <w:pStyle w:val="Numbered111"/>
      </w:pPr>
      <w:r w:rsidRPr="00BD6C5F">
        <w:t xml:space="preserve">Any reference in this Contract which immediately before IP Completion Day (or such later date when relevant EU law ceases to have effect pursuant to Section 1A of the European Union (Withdrawal) Act 2018) is a reference to (as it has effect from time to time): </w:t>
      </w:r>
    </w:p>
    <w:p w14:paraId="32F2636D" w14:textId="64163A24" w:rsidR="006D7C8F" w:rsidRPr="00BD6C5F" w:rsidRDefault="006D7C8F" w:rsidP="00A64142">
      <w:pPr>
        <w:pStyle w:val="Numbered111a"/>
      </w:pPr>
      <w:r w:rsidRPr="00BD6C5F">
        <w:t xml:space="preserve">any EU regulation, EU decision, EU tertiary legislation or </w:t>
      </w:r>
      <w:r w:rsidRPr="00BD6C5F">
        <w:rPr>
          <w:color w:val="000000" w:themeColor="text1"/>
        </w:rPr>
        <w:t>provision</w:t>
      </w:r>
      <w:r w:rsidRPr="00BD6C5F">
        <w:t xml:space="preserve"> of the EEA agreement (</w:t>
      </w:r>
      <w:r w:rsidR="00A4555C" w:rsidRPr="00BD6C5F">
        <w:t>“</w:t>
      </w:r>
      <w:r w:rsidRPr="00BD6C5F">
        <w:rPr>
          <w:b/>
        </w:rPr>
        <w:t>EU References</w:t>
      </w:r>
      <w:r w:rsidR="00A4555C" w:rsidRPr="00BD6C5F">
        <w:t>”</w:t>
      </w:r>
      <w:r w:rsidRPr="00BD6C5F">
        <w:t>) which is to form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7B204937" w14:textId="010C2F21" w:rsidR="00B225A5" w:rsidRDefault="006D7C8F" w:rsidP="00CE51D0">
      <w:pPr>
        <w:pStyle w:val="Numbered111a"/>
        <w:rPr>
          <w:lang w:val="en-GB"/>
        </w:rPr>
      </w:pPr>
      <w:r w:rsidRPr="00BD6C5F">
        <w:rPr>
          <w:lang w:val="en-GB"/>
        </w:rPr>
        <w:t xml:space="preserve">any EU institution or EU authority or other such EU body </w:t>
      </w:r>
      <w:r w:rsidRPr="00BD6C5F">
        <w:rPr>
          <w:color w:val="000000" w:themeColor="text1"/>
          <w:lang w:val="en-GB"/>
        </w:rPr>
        <w:t>shall</w:t>
      </w:r>
      <w:r w:rsidRPr="00BD6C5F">
        <w:rPr>
          <w:lang w:val="en-GB"/>
        </w:rPr>
        <w:t xml:space="preserve"> be read on and after IP Completion Day as a reference to the UK institution, authority or body to which its functions were transferred.</w:t>
      </w:r>
    </w:p>
    <w:p w14:paraId="7B219DE7" w14:textId="75ADCBD7" w:rsidR="00330861" w:rsidRDefault="00330861" w:rsidP="00330861">
      <w:pPr>
        <w:pStyle w:val="Numbered111"/>
      </w:pPr>
      <w:r>
        <w:t xml:space="preserve">a reference </w:t>
      </w:r>
      <w:r w:rsidR="002734DC" w:rsidRPr="002734DC">
        <w:t>to a document (including this Contract) is to that document as varied, amended, novated, ratified or replaced from time to time; and</w:t>
      </w:r>
    </w:p>
    <w:p w14:paraId="5B7114B4" w14:textId="5969ECCE" w:rsidR="002734DC" w:rsidRPr="00BD6C5F" w:rsidRDefault="00D712AB" w:rsidP="00330861">
      <w:pPr>
        <w:pStyle w:val="Numbered111"/>
      </w:pPr>
      <w:r w:rsidRPr="00D712AB">
        <w:t>any monetary sums set out in this Contract shall (unless expressly stated otherwise) be in pounds sterling</w:t>
      </w:r>
      <w:r>
        <w:t>.</w:t>
      </w:r>
    </w:p>
    <w:p w14:paraId="1857FC89" w14:textId="77777777" w:rsidR="006D7C8F" w:rsidRPr="00BD6C5F" w:rsidRDefault="006D7C8F" w:rsidP="00C5057A">
      <w:pPr>
        <w:pStyle w:val="Numbered11"/>
      </w:pPr>
      <w:r w:rsidRPr="00BD6C5F">
        <w:t>Where a standard, policy or document is referred to in this Contract by reference to a hyperlink, then if the hyperlink is changed or no longer provides access to the relevant standard, policy or document, the Supplier shall notify the Authority and the Parties shall update this Contract with a reference to the replacement hyperlink.</w:t>
      </w:r>
    </w:p>
    <w:tbl>
      <w:tblPr>
        <w:tblW w:w="9528" w:type="dxa"/>
        <w:tblInd w:w="720" w:type="dxa"/>
        <w:tblLayout w:type="fixed"/>
        <w:tblCellMar>
          <w:top w:w="58" w:type="dxa"/>
          <w:left w:w="58" w:type="dxa"/>
          <w:bottom w:w="58" w:type="dxa"/>
          <w:right w:w="58" w:type="dxa"/>
        </w:tblCellMar>
        <w:tblLook w:val="01E0" w:firstRow="1" w:lastRow="1" w:firstColumn="1" w:lastColumn="1" w:noHBand="0" w:noVBand="0"/>
      </w:tblPr>
      <w:tblGrid>
        <w:gridCol w:w="10"/>
        <w:gridCol w:w="3532"/>
        <w:gridCol w:w="5954"/>
        <w:gridCol w:w="32"/>
      </w:tblGrid>
      <w:tr w:rsidR="00BC7DDA" w:rsidRPr="00BD6C5F" w14:paraId="16E6847F" w14:textId="77777777" w:rsidTr="00A64142">
        <w:trPr>
          <w:gridBefore w:val="1"/>
          <w:gridAfter w:val="1"/>
          <w:wBefore w:w="10" w:type="dxa"/>
          <w:wAfter w:w="32" w:type="dxa"/>
          <w:trHeight w:val="20"/>
        </w:trPr>
        <w:tc>
          <w:tcPr>
            <w:tcW w:w="3532" w:type="dxa"/>
          </w:tcPr>
          <w:p w14:paraId="5E4EDD89" w14:textId="6D0FFE2A" w:rsidR="00BC7DDA" w:rsidRPr="00BD6C5F" w:rsidRDefault="00A4555C" w:rsidP="00AD6FB4">
            <w:pPr>
              <w:pStyle w:val="Tabletext"/>
              <w:rPr>
                <w:b/>
                <w:bCs/>
              </w:rPr>
            </w:pPr>
            <w:r w:rsidRPr="00BD6C5F">
              <w:rPr>
                <w:b/>
                <w:bCs/>
              </w:rPr>
              <w:t>“</w:t>
            </w:r>
            <w:r w:rsidR="009B03E9" w:rsidRPr="00BD6C5F">
              <w:rPr>
                <w:b/>
                <w:bCs/>
              </w:rPr>
              <w:t>Accounting Reference Date</w:t>
            </w:r>
            <w:r w:rsidRPr="00BD6C5F">
              <w:rPr>
                <w:b/>
                <w:bCs/>
              </w:rPr>
              <w:t>”</w:t>
            </w:r>
          </w:p>
        </w:tc>
        <w:tc>
          <w:tcPr>
            <w:tcW w:w="5954" w:type="dxa"/>
          </w:tcPr>
          <w:p w14:paraId="1295C656" w14:textId="77777777" w:rsidR="00BC7DDA" w:rsidRPr="00BD6C5F" w:rsidRDefault="009B03E9" w:rsidP="00AD6FB4">
            <w:pPr>
              <w:pStyle w:val="Tabletext"/>
            </w:pPr>
            <w:r w:rsidRPr="00BD6C5F">
              <w:t>means in each year the date to which the Supplier prepares its annual audited financial statements;</w:t>
            </w:r>
          </w:p>
        </w:tc>
      </w:tr>
      <w:tr w:rsidR="00BC7DDA" w:rsidRPr="00BD6C5F" w14:paraId="6E192AA0" w14:textId="77777777" w:rsidTr="00A64142">
        <w:trPr>
          <w:gridBefore w:val="1"/>
          <w:gridAfter w:val="1"/>
          <w:wBefore w:w="10" w:type="dxa"/>
          <w:wAfter w:w="32" w:type="dxa"/>
          <w:trHeight w:val="20"/>
        </w:trPr>
        <w:tc>
          <w:tcPr>
            <w:tcW w:w="3532" w:type="dxa"/>
          </w:tcPr>
          <w:p w14:paraId="2475B8E8" w14:textId="56893B83" w:rsidR="00BC7DDA" w:rsidRPr="00BD6C5F" w:rsidRDefault="00A4555C" w:rsidP="00AD6FB4">
            <w:pPr>
              <w:pStyle w:val="Tabletext"/>
              <w:rPr>
                <w:b/>
                <w:bCs/>
              </w:rPr>
            </w:pPr>
            <w:r w:rsidRPr="00BD6C5F">
              <w:rPr>
                <w:b/>
                <w:bCs/>
              </w:rPr>
              <w:t>“</w:t>
            </w:r>
            <w:r w:rsidR="009B03E9" w:rsidRPr="00BD6C5F">
              <w:rPr>
                <w:b/>
                <w:bCs/>
              </w:rPr>
              <w:t>Achieve</w:t>
            </w:r>
            <w:r w:rsidRPr="00BD6C5F">
              <w:rPr>
                <w:b/>
                <w:bCs/>
              </w:rPr>
              <w:t>”</w:t>
            </w:r>
          </w:p>
        </w:tc>
        <w:tc>
          <w:tcPr>
            <w:tcW w:w="5954" w:type="dxa"/>
          </w:tcPr>
          <w:p w14:paraId="53435BAB" w14:textId="77777777" w:rsidR="00BC7DDA" w:rsidRPr="00BD6C5F" w:rsidRDefault="009B03E9" w:rsidP="003A5D4B">
            <w:pPr>
              <w:pStyle w:val="Tablea"/>
            </w:pPr>
            <w:r w:rsidRPr="00BD6C5F">
              <w:t>in respect of a Test, to successfully pass a Test without any Test Issues; and</w:t>
            </w:r>
          </w:p>
          <w:p w14:paraId="5A20A296" w14:textId="358D7236" w:rsidR="00BC7DDA" w:rsidRPr="00BD6C5F" w:rsidRDefault="009B03E9" w:rsidP="003A5D4B">
            <w:pPr>
              <w:pStyle w:val="Tablea"/>
            </w:pPr>
            <w:r w:rsidRPr="00BD6C5F">
              <w:t xml:space="preserve">in respect of a Milestone, the issue of a Milestone Achievement Certificate in respect of that Milestone in accordance with the provisions of </w:t>
            </w:r>
            <w:r w:rsidR="00B94CF9" w:rsidRPr="00BD6C5F">
              <w:t>Schedule</w:t>
            </w:r>
            <w:r w:rsidR="007F2D7F" w:rsidRPr="00BD6C5F">
              <w:t> </w:t>
            </w:r>
            <w:r w:rsidR="00056976">
              <w:fldChar w:fldCharType="begin"/>
            </w:r>
            <w:r w:rsidR="00056976">
              <w:instrText xml:space="preserve"> REF Schedule_14 \h </w:instrText>
            </w:r>
            <w:r w:rsidR="00056976">
              <w:fldChar w:fldCharType="separate"/>
            </w:r>
            <w:r w:rsidR="009749A0">
              <w:t>14</w:t>
            </w:r>
            <w:r w:rsidR="00056976">
              <w:fldChar w:fldCharType="end"/>
            </w:r>
            <w:r w:rsidRPr="00BD6C5F">
              <w:t xml:space="preserve"> (</w:t>
            </w:r>
            <w:r w:rsidRPr="00BD6C5F">
              <w:rPr>
                <w:i/>
              </w:rPr>
              <w:t>Testing Procedures</w:t>
            </w:r>
            <w:r w:rsidRPr="00BD6C5F">
              <w:t>),</w:t>
            </w:r>
          </w:p>
          <w:p w14:paraId="310A2AD0" w14:textId="44F693AA"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and </w:t>
            </w:r>
            <w:r w:rsidR="00A4555C" w:rsidRPr="00BD6C5F">
              <w:rPr>
                <w:rFonts w:asciiTheme="minorHAnsi" w:hAnsiTheme="minorHAnsi" w:cstheme="minorHAnsi"/>
              </w:rPr>
              <w:t>“</w:t>
            </w:r>
            <w:r w:rsidRPr="00BD6C5F">
              <w:rPr>
                <w:rFonts w:asciiTheme="minorHAnsi" w:hAnsiTheme="minorHAnsi" w:cstheme="minorHAnsi"/>
                <w:b/>
                <w:bCs/>
              </w:rPr>
              <w:t>Achieved</w:t>
            </w:r>
            <w:r w:rsidR="00A4555C" w:rsidRPr="00BD6C5F">
              <w:rPr>
                <w:rFonts w:asciiTheme="minorHAnsi" w:hAnsiTheme="minorHAnsi" w:cstheme="minorHAnsi"/>
              </w:rPr>
              <w:t>”</w:t>
            </w:r>
            <w:r w:rsidRPr="00BD6C5F">
              <w:rPr>
                <w:rFonts w:asciiTheme="minorHAnsi" w:hAnsiTheme="minorHAnsi" w:cstheme="minorHAnsi"/>
              </w:rPr>
              <w:t xml:space="preserve"> and </w:t>
            </w:r>
            <w:r w:rsidR="00A4555C" w:rsidRPr="00BD6C5F">
              <w:rPr>
                <w:rFonts w:asciiTheme="minorHAnsi" w:hAnsiTheme="minorHAnsi" w:cstheme="minorHAnsi"/>
              </w:rPr>
              <w:t>“</w:t>
            </w:r>
            <w:r w:rsidRPr="00BD6C5F">
              <w:rPr>
                <w:rFonts w:asciiTheme="minorHAnsi" w:hAnsiTheme="minorHAnsi" w:cstheme="minorHAnsi"/>
                <w:b/>
                <w:bCs/>
              </w:rPr>
              <w:t>Achievement</w:t>
            </w:r>
            <w:r w:rsidR="00A4555C" w:rsidRPr="00BD6C5F">
              <w:rPr>
                <w:rFonts w:asciiTheme="minorHAnsi" w:hAnsiTheme="minorHAnsi" w:cstheme="minorHAnsi"/>
              </w:rPr>
              <w:t>”</w:t>
            </w:r>
            <w:r w:rsidRPr="00BD6C5F">
              <w:rPr>
                <w:rFonts w:asciiTheme="minorHAnsi" w:hAnsiTheme="minorHAnsi" w:cstheme="minorHAnsi"/>
              </w:rPr>
              <w:t xml:space="preserve"> shall be </w:t>
            </w:r>
            <w:r w:rsidRPr="00BD6C5F">
              <w:t>construed</w:t>
            </w:r>
            <w:r w:rsidRPr="00BD6C5F">
              <w:rPr>
                <w:rFonts w:asciiTheme="minorHAnsi" w:hAnsiTheme="minorHAnsi" w:cstheme="minorHAnsi"/>
              </w:rPr>
              <w:t xml:space="preserve"> accordingly;</w:t>
            </w:r>
          </w:p>
        </w:tc>
      </w:tr>
      <w:tr w:rsidR="00BC7DDA" w:rsidRPr="00BD6C5F" w14:paraId="10F6049B" w14:textId="77777777" w:rsidTr="00A64142">
        <w:trPr>
          <w:gridBefore w:val="1"/>
          <w:gridAfter w:val="1"/>
          <w:wBefore w:w="10" w:type="dxa"/>
          <w:wAfter w:w="32" w:type="dxa"/>
          <w:trHeight w:val="20"/>
        </w:trPr>
        <w:tc>
          <w:tcPr>
            <w:tcW w:w="3532" w:type="dxa"/>
          </w:tcPr>
          <w:p w14:paraId="625BD0DF" w14:textId="5C7D9C64" w:rsidR="00BC7DDA" w:rsidRPr="00BD6C5F" w:rsidRDefault="00A4555C" w:rsidP="00AD6FB4">
            <w:pPr>
              <w:pStyle w:val="Tabletext"/>
              <w:rPr>
                <w:b/>
                <w:bCs/>
              </w:rPr>
            </w:pPr>
            <w:r w:rsidRPr="00BD6C5F">
              <w:rPr>
                <w:b/>
                <w:bCs/>
              </w:rPr>
              <w:t>“</w:t>
            </w:r>
            <w:r w:rsidR="009B03E9" w:rsidRPr="00BD6C5F">
              <w:rPr>
                <w:b/>
                <w:bCs/>
              </w:rPr>
              <w:t>Affected Party</w:t>
            </w:r>
            <w:r w:rsidRPr="00BD6C5F">
              <w:rPr>
                <w:b/>
                <w:bCs/>
              </w:rPr>
              <w:t>”</w:t>
            </w:r>
          </w:p>
        </w:tc>
        <w:tc>
          <w:tcPr>
            <w:tcW w:w="5954" w:type="dxa"/>
          </w:tcPr>
          <w:p w14:paraId="7768F7C4"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the Party seeking to claim relief in respect of a Force </w:t>
            </w:r>
            <w:r w:rsidRPr="00BD6C5F">
              <w:lastRenderedPageBreak/>
              <w:t>Majeure</w:t>
            </w:r>
            <w:r w:rsidRPr="00BD6C5F">
              <w:rPr>
                <w:rFonts w:asciiTheme="minorHAnsi" w:hAnsiTheme="minorHAnsi" w:cstheme="minorHAnsi"/>
              </w:rPr>
              <w:t xml:space="preserve"> Event;</w:t>
            </w:r>
          </w:p>
        </w:tc>
      </w:tr>
      <w:tr w:rsidR="00BC7DDA" w:rsidRPr="00BD6C5F" w14:paraId="5395D4A0" w14:textId="77777777" w:rsidTr="00A64142">
        <w:trPr>
          <w:gridBefore w:val="1"/>
          <w:gridAfter w:val="1"/>
          <w:wBefore w:w="10" w:type="dxa"/>
          <w:wAfter w:w="32" w:type="dxa"/>
          <w:trHeight w:val="20"/>
        </w:trPr>
        <w:tc>
          <w:tcPr>
            <w:tcW w:w="3532" w:type="dxa"/>
          </w:tcPr>
          <w:p w14:paraId="491B5F16" w14:textId="404665D5" w:rsidR="00BC7DDA" w:rsidRPr="00BD6C5F" w:rsidRDefault="00A4555C" w:rsidP="00AD6FB4">
            <w:pPr>
              <w:pStyle w:val="Tabletext"/>
              <w:rPr>
                <w:b/>
                <w:bCs/>
              </w:rPr>
            </w:pPr>
            <w:r w:rsidRPr="00BD6C5F">
              <w:rPr>
                <w:b/>
                <w:bCs/>
              </w:rPr>
              <w:lastRenderedPageBreak/>
              <w:t>“</w:t>
            </w:r>
            <w:r w:rsidR="009B03E9" w:rsidRPr="00BD6C5F">
              <w:rPr>
                <w:b/>
                <w:bCs/>
              </w:rPr>
              <w:t>Affiliate</w:t>
            </w:r>
            <w:r w:rsidRPr="00BD6C5F">
              <w:rPr>
                <w:b/>
                <w:bCs/>
              </w:rPr>
              <w:t>”</w:t>
            </w:r>
          </w:p>
        </w:tc>
        <w:tc>
          <w:tcPr>
            <w:tcW w:w="5954" w:type="dxa"/>
          </w:tcPr>
          <w:p w14:paraId="3A1BB259"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in relation </w:t>
            </w:r>
            <w:r w:rsidRPr="00BD6C5F">
              <w:t>to</w:t>
            </w:r>
            <w:r w:rsidRPr="00BD6C5F">
              <w:rPr>
                <w:rFonts w:asciiTheme="minorHAnsi" w:hAnsiTheme="minorHAnsi" w:cstheme="minorHAnsi"/>
              </w:rPr>
              <w:t xml:space="preserve"> a body corporate, any other entity which directly or indirectly Controls, is Controlled by, or is under direct or indirect common Control with, that body corporate from time to time;</w:t>
            </w:r>
          </w:p>
        </w:tc>
      </w:tr>
      <w:tr w:rsidR="00BC7DDA" w:rsidRPr="00BD6C5F" w14:paraId="78C1AF74" w14:textId="77777777" w:rsidTr="00A64142">
        <w:trPr>
          <w:gridBefore w:val="1"/>
          <w:gridAfter w:val="1"/>
          <w:wBefore w:w="10" w:type="dxa"/>
          <w:wAfter w:w="32" w:type="dxa"/>
          <w:trHeight w:val="20"/>
        </w:trPr>
        <w:tc>
          <w:tcPr>
            <w:tcW w:w="3532" w:type="dxa"/>
          </w:tcPr>
          <w:p w14:paraId="360AE53A" w14:textId="681F9211" w:rsidR="00BC7DDA" w:rsidRPr="00BD6C5F" w:rsidRDefault="00A4555C" w:rsidP="00AD6FB4">
            <w:pPr>
              <w:pStyle w:val="Tabletext"/>
              <w:rPr>
                <w:b/>
                <w:bCs/>
              </w:rPr>
            </w:pPr>
            <w:r w:rsidRPr="00BD6C5F">
              <w:rPr>
                <w:b/>
                <w:bCs/>
              </w:rPr>
              <w:t>“</w:t>
            </w:r>
            <w:r w:rsidR="009B03E9" w:rsidRPr="00BD6C5F">
              <w:rPr>
                <w:b/>
                <w:bCs/>
              </w:rPr>
              <w:t>Allowable Assumptions</w:t>
            </w:r>
            <w:r w:rsidRPr="00BD6C5F">
              <w:rPr>
                <w:b/>
                <w:bCs/>
              </w:rPr>
              <w:t>”</w:t>
            </w:r>
          </w:p>
        </w:tc>
        <w:tc>
          <w:tcPr>
            <w:tcW w:w="5954" w:type="dxa"/>
          </w:tcPr>
          <w:p w14:paraId="5B08B983" w14:textId="6F1F75EE"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the </w:t>
            </w:r>
            <w:r w:rsidRPr="00BD6C5F">
              <w:t>assumptions</w:t>
            </w:r>
            <w:r w:rsidRPr="00BD6C5F">
              <w:rPr>
                <w:rFonts w:asciiTheme="minorHAnsi" w:hAnsiTheme="minorHAnsi" w:cstheme="minorHAnsi"/>
              </w:rPr>
              <w:t xml:space="preserve"> set out in </w:t>
            </w:r>
            <w:r w:rsidR="0092397B">
              <w:rPr>
                <w:rFonts w:asciiTheme="minorHAnsi" w:hAnsiTheme="minorHAnsi" w:cstheme="minorHAnsi"/>
              </w:rPr>
              <w:t>Annex </w:t>
            </w:r>
            <w:r w:rsidR="0092397B">
              <w:rPr>
                <w:rFonts w:asciiTheme="minorHAnsi" w:hAnsiTheme="minorHAnsi" w:cstheme="minorHAnsi"/>
              </w:rPr>
              <w:fldChar w:fldCharType="begin"/>
            </w:r>
            <w:r w:rsidR="0092397B">
              <w:rPr>
                <w:rFonts w:asciiTheme="minorHAnsi" w:hAnsiTheme="minorHAnsi" w:cstheme="minorHAnsi"/>
              </w:rPr>
              <w:instrText xml:space="preserve"> REF Schedule_15_Part_E_Annex_5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5</w:t>
            </w:r>
            <w:r w:rsidR="0092397B">
              <w:rPr>
                <w:rFonts w:asciiTheme="minorHAnsi" w:hAnsiTheme="minorHAnsi" w:cstheme="minorHAnsi"/>
              </w:rPr>
              <w:fldChar w:fldCharType="end"/>
            </w:r>
            <w:r w:rsidRPr="00BD6C5F">
              <w:rPr>
                <w:rFonts w:asciiTheme="minorHAnsi" w:hAnsiTheme="minorHAnsi" w:cstheme="minorHAnsi"/>
              </w:rPr>
              <w:t xml:space="preserve"> </w:t>
            </w:r>
            <w:r w:rsidR="0092397B">
              <w:rPr>
                <w:rFonts w:asciiTheme="minorHAnsi" w:hAnsiTheme="minorHAnsi" w:cstheme="minorHAnsi"/>
              </w:rPr>
              <w:t>of Part </w:t>
            </w:r>
            <w:r w:rsidR="0092397B">
              <w:rPr>
                <w:rFonts w:asciiTheme="minorHAnsi" w:hAnsiTheme="minorHAnsi" w:cstheme="minorHAnsi"/>
              </w:rPr>
              <w:fldChar w:fldCharType="begin"/>
            </w:r>
            <w:r w:rsidR="0092397B">
              <w:rPr>
                <w:rFonts w:asciiTheme="minorHAnsi" w:hAnsiTheme="minorHAnsi" w:cstheme="minorHAnsi"/>
              </w:rPr>
              <w:instrText xml:space="preserve"> REF Schedule_15_Part_E \h </w:instrText>
            </w:r>
            <w:r w:rsidR="0092397B">
              <w:rPr>
                <w:rFonts w:asciiTheme="minorHAnsi" w:hAnsiTheme="minorHAnsi" w:cstheme="minorHAnsi"/>
              </w:rPr>
            </w:r>
            <w:r w:rsidR="0092397B">
              <w:rPr>
                <w:rFonts w:asciiTheme="minorHAnsi" w:hAnsiTheme="minorHAnsi" w:cstheme="minorHAnsi"/>
              </w:rPr>
              <w:fldChar w:fldCharType="separate"/>
            </w:r>
            <w:r w:rsidR="009749A0" w:rsidRPr="00BD6C5F">
              <w:t>E</w:t>
            </w:r>
            <w:r w:rsidR="0092397B">
              <w:rPr>
                <w:rFonts w:asciiTheme="minorHAnsi" w:hAnsiTheme="minorHAnsi" w:cstheme="minorHAnsi"/>
              </w:rPr>
              <w:fldChar w:fldCharType="end"/>
            </w:r>
            <w:r w:rsidR="0092397B">
              <w:rPr>
                <w:rFonts w:asciiTheme="minorHAnsi" w:hAnsiTheme="minorHAnsi" w:cstheme="minorHAnsi"/>
              </w:rPr>
              <w:t xml:space="preserve"> </w:t>
            </w:r>
            <w:r w:rsidRPr="00BD6C5F">
              <w:rPr>
                <w:rFonts w:asciiTheme="minorHAnsi" w:hAnsiTheme="minorHAnsi" w:cstheme="minorHAnsi"/>
              </w:rPr>
              <w:t xml:space="preserve">of </w:t>
            </w:r>
            <w:r w:rsidR="00B94CF9" w:rsidRPr="00BD6C5F">
              <w:rPr>
                <w:rFonts w:asciiTheme="minorHAnsi" w:hAnsiTheme="minorHAnsi" w:cstheme="minorHAnsi"/>
              </w:rPr>
              <w:t>Schedule</w:t>
            </w:r>
            <w:r w:rsidR="007F2D7F"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Schedule_15 \h </w:instrText>
            </w:r>
            <w:r w:rsidR="00056976">
              <w:rPr>
                <w:rFonts w:asciiTheme="minorHAnsi" w:hAnsiTheme="minorHAnsi" w:cstheme="minorHAnsi"/>
              </w:rPr>
            </w:r>
            <w:r w:rsidR="00056976">
              <w:rPr>
                <w:rFonts w:asciiTheme="minorHAnsi" w:hAnsiTheme="minorHAnsi" w:cstheme="minorHAnsi"/>
              </w:rPr>
              <w:fldChar w:fldCharType="separate"/>
            </w:r>
            <w:r w:rsidR="009749A0">
              <w:t>15</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CC3CE3" w:rsidRPr="00BD6C5F" w14:paraId="6DD29838" w14:textId="77777777" w:rsidTr="00A64142">
        <w:trPr>
          <w:gridBefore w:val="1"/>
          <w:gridAfter w:val="1"/>
          <w:wBefore w:w="10" w:type="dxa"/>
          <w:wAfter w:w="32" w:type="dxa"/>
          <w:trHeight w:val="20"/>
        </w:trPr>
        <w:tc>
          <w:tcPr>
            <w:tcW w:w="3532" w:type="dxa"/>
          </w:tcPr>
          <w:p w14:paraId="3974DF51" w14:textId="0017A0CF" w:rsidR="00CC3CE3" w:rsidRPr="00BD6C5F" w:rsidRDefault="00A4555C" w:rsidP="00AD6FB4">
            <w:pPr>
              <w:pStyle w:val="Tabletext"/>
              <w:rPr>
                <w:b/>
                <w:bCs/>
              </w:rPr>
            </w:pPr>
            <w:r w:rsidRPr="00BD6C5F">
              <w:rPr>
                <w:b/>
                <w:bCs/>
              </w:rPr>
              <w:t>“</w:t>
            </w:r>
            <w:r w:rsidR="00CC3CE3" w:rsidRPr="00BD6C5F">
              <w:rPr>
                <w:b/>
                <w:bCs/>
              </w:rPr>
              <w:t>Allowable Price</w:t>
            </w:r>
            <w:r w:rsidRPr="00BD6C5F">
              <w:rPr>
                <w:b/>
                <w:bCs/>
              </w:rPr>
              <w:t>”</w:t>
            </w:r>
          </w:p>
        </w:tc>
        <w:tc>
          <w:tcPr>
            <w:tcW w:w="5954" w:type="dxa"/>
          </w:tcPr>
          <w:p w14:paraId="53A7E8BD" w14:textId="77777777" w:rsidR="00CC3CE3" w:rsidRPr="00BD6C5F" w:rsidRDefault="00CC3CE3" w:rsidP="00AD6FB4">
            <w:pPr>
              <w:pStyle w:val="Tabletext"/>
              <w:rPr>
                <w:rFonts w:asciiTheme="minorHAnsi" w:hAnsiTheme="minorHAnsi" w:cstheme="minorHAnsi"/>
              </w:rPr>
            </w:pPr>
            <w:r w:rsidRPr="00BD6C5F">
              <w:rPr>
                <w:rFonts w:asciiTheme="minorHAnsi" w:hAnsiTheme="minorHAnsi" w:cstheme="minorHAnsi"/>
              </w:rPr>
              <w:t xml:space="preserve">in </w:t>
            </w:r>
            <w:r w:rsidRPr="00BD6C5F">
              <w:t>relation</w:t>
            </w:r>
            <w:r w:rsidRPr="00BD6C5F">
              <w:rPr>
                <w:rFonts w:asciiTheme="minorHAnsi" w:hAnsiTheme="minorHAnsi" w:cstheme="minorHAnsi"/>
              </w:rPr>
              <w:t xml:space="preserve"> to the Retained Deliverables relating to a CPP Milestone, if any, an amount determined in accordance with the formula:</w:t>
            </w:r>
          </w:p>
          <w:p w14:paraId="6B986AFB" w14:textId="77777777" w:rsidR="00CC3CE3" w:rsidRPr="00BD6C5F" w:rsidRDefault="00CC3CE3" w:rsidP="00AD6FB4">
            <w:pPr>
              <w:pStyle w:val="Tabletext"/>
              <w:rPr>
                <w:rFonts w:asciiTheme="minorHAnsi" w:hAnsiTheme="minorHAnsi" w:cstheme="minorHAnsi"/>
              </w:rPr>
            </w:pPr>
            <w:r w:rsidRPr="00BD6C5F">
              <w:rPr>
                <w:rFonts w:asciiTheme="minorHAnsi" w:hAnsiTheme="minorHAnsi" w:cstheme="minorHAnsi"/>
              </w:rPr>
              <w:t>A – B</w:t>
            </w:r>
          </w:p>
          <w:p w14:paraId="514D1498" w14:textId="77777777" w:rsidR="00CC3CE3" w:rsidRPr="00BD6C5F" w:rsidRDefault="00CC3CE3" w:rsidP="00AD6FB4">
            <w:pPr>
              <w:pStyle w:val="Tabletext"/>
              <w:rPr>
                <w:rFonts w:asciiTheme="minorHAnsi" w:hAnsiTheme="minorHAnsi" w:cstheme="minorHAnsi"/>
              </w:rPr>
            </w:pPr>
            <w:r w:rsidRPr="00BD6C5F">
              <w:rPr>
                <w:rFonts w:asciiTheme="minorHAnsi" w:hAnsiTheme="minorHAnsi" w:cstheme="minorHAnsi"/>
              </w:rPr>
              <w:t>where:</w:t>
            </w:r>
          </w:p>
          <w:p w14:paraId="4882D420" w14:textId="77777777" w:rsidR="00CC3CE3" w:rsidRPr="00A64142" w:rsidRDefault="00CC3CE3" w:rsidP="003A5D4B">
            <w:pPr>
              <w:pStyle w:val="Tablea"/>
            </w:pPr>
            <w:r w:rsidRPr="00BD6C5F">
              <w:t xml:space="preserve">A is an amount equal to the Costs incurred by the Supplier in providing or developing the relevant </w:t>
            </w:r>
            <w:r w:rsidRPr="00A64142">
              <w:t>Retained Deliverables as reflected in the Financial Model together with an amount equal to the Anticipated Contract Life Profit Margin thereon; and</w:t>
            </w:r>
          </w:p>
          <w:p w14:paraId="5E10B9DF" w14:textId="77777777" w:rsidR="00CC3CE3" w:rsidRPr="00BD6C5F" w:rsidRDefault="00CC3CE3" w:rsidP="003A5D4B">
            <w:pPr>
              <w:pStyle w:val="Tablea"/>
            </w:pPr>
            <w:r w:rsidRPr="00A64142">
              <w:t>B is an amount equal to the Allowable Price Adjustment relat</w:t>
            </w:r>
            <w:r w:rsidRPr="00BD6C5F">
              <w:t>ing to the relevant Retained Deliverables, if any, or if there is no such Allowable Price Adjustment, zero,</w:t>
            </w:r>
          </w:p>
          <w:p w14:paraId="151BFD56" w14:textId="42B78F95" w:rsidR="00CC3CE3" w:rsidRPr="00BD6C5F" w:rsidRDefault="00CC3CE3" w:rsidP="00AD6FB4">
            <w:pPr>
              <w:pStyle w:val="Tabletext"/>
              <w:rPr>
                <w:rFonts w:asciiTheme="minorHAnsi" w:hAnsiTheme="minorHAnsi" w:cstheme="minorHAnsi"/>
              </w:rPr>
            </w:pPr>
            <w:r w:rsidRPr="00BD6C5F">
              <w:rPr>
                <w:rFonts w:asciiTheme="minorHAnsi" w:hAnsiTheme="minorHAnsi" w:cstheme="minorHAnsi"/>
              </w:rPr>
              <w:t xml:space="preserve">provided that the Allowable Price for any Retained Deliverables shall in no circumstances exceed the aggregate amount of the Milestone Payments paid to the Supplier in respect of the Milestones (or in the case of Partial </w:t>
            </w:r>
            <w:r w:rsidRPr="00BD6C5F">
              <w:t>Termination</w:t>
            </w:r>
            <w:r w:rsidRPr="00BD6C5F">
              <w:rPr>
                <w:rFonts w:asciiTheme="minorHAnsi" w:hAnsiTheme="minorHAnsi" w:cstheme="minorHAnsi"/>
              </w:rPr>
              <w:t>, the Milestones for the parts of the Services terminated) relating to that CPP Milestone;</w:t>
            </w:r>
          </w:p>
        </w:tc>
      </w:tr>
      <w:tr w:rsidR="00BC7DDA" w:rsidRPr="00BD6C5F" w14:paraId="280E6E4F" w14:textId="77777777" w:rsidTr="00A64142">
        <w:trPr>
          <w:gridBefore w:val="1"/>
          <w:gridAfter w:val="1"/>
          <w:wBefore w:w="10" w:type="dxa"/>
          <w:wAfter w:w="32" w:type="dxa"/>
          <w:trHeight w:val="20"/>
        </w:trPr>
        <w:tc>
          <w:tcPr>
            <w:tcW w:w="3532" w:type="dxa"/>
          </w:tcPr>
          <w:p w14:paraId="4F105400" w14:textId="2DCFBC0D" w:rsidR="00BC7DDA" w:rsidRPr="00BD6C5F" w:rsidRDefault="00A4555C" w:rsidP="00AD6FB4">
            <w:pPr>
              <w:pStyle w:val="Tabletext"/>
              <w:rPr>
                <w:b/>
                <w:bCs/>
              </w:rPr>
            </w:pPr>
            <w:r w:rsidRPr="00BD6C5F">
              <w:rPr>
                <w:b/>
                <w:bCs/>
              </w:rPr>
              <w:t>“</w:t>
            </w:r>
            <w:r w:rsidR="009B03E9" w:rsidRPr="00BD6C5F">
              <w:rPr>
                <w:b/>
                <w:bCs/>
              </w:rPr>
              <w:t>Allowable Price Adjustment</w:t>
            </w:r>
            <w:r w:rsidRPr="00BD6C5F">
              <w:rPr>
                <w:b/>
                <w:bCs/>
              </w:rPr>
              <w:t>”</w:t>
            </w:r>
          </w:p>
        </w:tc>
        <w:tc>
          <w:tcPr>
            <w:tcW w:w="5954" w:type="dxa"/>
          </w:tcPr>
          <w:p w14:paraId="407372F8" w14:textId="632EE420"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in </w:t>
            </w:r>
            <w:r w:rsidR="005E736B" w:rsidRPr="00BD6C5F">
              <w:rPr>
                <w:rFonts w:asciiTheme="minorHAnsi" w:hAnsiTheme="minorHAnsi" w:cstheme="minorHAnsi"/>
              </w:rPr>
              <w:t>Clause </w:t>
            </w:r>
            <w:r w:rsidRPr="00BD6C5F">
              <w:rPr>
                <w:rFonts w:asciiTheme="minorHAnsi" w:hAnsiTheme="minorHAnsi" w:cstheme="minorHAnsi"/>
              </w:rPr>
              <w:t>3</w:t>
            </w:r>
            <w:r w:rsidR="00540619" w:rsidRPr="00BD6C5F">
              <w:rPr>
                <w:rFonts w:asciiTheme="minorHAnsi" w:hAnsiTheme="minorHAnsi" w:cstheme="minorHAnsi"/>
              </w:rPr>
              <w:t>2</w:t>
            </w:r>
            <w:r w:rsidRPr="00BD6C5F">
              <w:rPr>
                <w:rFonts w:asciiTheme="minorHAnsi" w:hAnsiTheme="minorHAnsi" w:cstheme="minorHAnsi"/>
              </w:rPr>
              <w:t>.</w:t>
            </w:r>
            <w:r w:rsidR="008E2FFE">
              <w:rPr>
                <w:rFonts w:asciiTheme="minorHAnsi" w:hAnsiTheme="minorHAnsi" w:cstheme="minorHAnsi"/>
              </w:rPr>
              <w:t>9.3</w:t>
            </w:r>
            <w:r w:rsidRPr="00BD6C5F">
              <w:rPr>
                <w:rFonts w:asciiTheme="minorHAnsi" w:hAnsiTheme="minorHAnsi" w:cstheme="minorHAnsi"/>
              </w:rPr>
              <w:t xml:space="preserve"> (</w:t>
            </w:r>
            <w:r w:rsidRPr="00BD6C5F">
              <w:rPr>
                <w:rFonts w:asciiTheme="minorHAnsi" w:hAnsiTheme="minorHAnsi" w:cstheme="minorHAnsi"/>
                <w:i/>
              </w:rPr>
              <w:t>Payments by the</w:t>
            </w:r>
            <w:r w:rsidRPr="00BD6C5F">
              <w:rPr>
                <w:rFonts w:asciiTheme="minorHAnsi" w:hAnsiTheme="minorHAnsi" w:cstheme="minorHAnsi"/>
                <w:i/>
                <w:iCs/>
              </w:rPr>
              <w:t xml:space="preserve"> Supplier</w:t>
            </w:r>
            <w:r w:rsidRPr="00BD6C5F">
              <w:rPr>
                <w:rFonts w:asciiTheme="minorHAnsi" w:hAnsiTheme="minorHAnsi" w:cstheme="minorHAnsi"/>
              </w:rPr>
              <w:t>);</w:t>
            </w:r>
          </w:p>
        </w:tc>
      </w:tr>
      <w:tr w:rsidR="00BC7DDA" w:rsidRPr="00BD6C5F" w14:paraId="44D2AA48" w14:textId="77777777" w:rsidTr="00A64142">
        <w:trPr>
          <w:gridBefore w:val="1"/>
          <w:gridAfter w:val="1"/>
          <w:wBefore w:w="10" w:type="dxa"/>
          <w:wAfter w:w="32" w:type="dxa"/>
          <w:trHeight w:val="20"/>
        </w:trPr>
        <w:tc>
          <w:tcPr>
            <w:tcW w:w="3532" w:type="dxa"/>
          </w:tcPr>
          <w:p w14:paraId="4CAA9AD9" w14:textId="75785A06" w:rsidR="00BC7DDA" w:rsidRPr="00BD6C5F" w:rsidRDefault="00A4555C" w:rsidP="00AD6FB4">
            <w:pPr>
              <w:pStyle w:val="Tabletext"/>
              <w:rPr>
                <w:b/>
                <w:bCs/>
              </w:rPr>
            </w:pPr>
            <w:r w:rsidRPr="00BD6C5F">
              <w:rPr>
                <w:b/>
                <w:bCs/>
              </w:rPr>
              <w:t>“</w:t>
            </w:r>
            <w:r w:rsidR="009B03E9" w:rsidRPr="00BD6C5F">
              <w:rPr>
                <w:b/>
                <w:bCs/>
              </w:rPr>
              <w:t>Annual Contract Report</w:t>
            </w:r>
            <w:r w:rsidRPr="00BD6C5F">
              <w:rPr>
                <w:b/>
                <w:bCs/>
              </w:rPr>
              <w:t>”</w:t>
            </w:r>
          </w:p>
        </w:tc>
        <w:tc>
          <w:tcPr>
            <w:tcW w:w="5954" w:type="dxa"/>
          </w:tcPr>
          <w:p w14:paraId="480361FB" w14:textId="3FD64CB8"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in </w:t>
            </w:r>
            <w:r w:rsidR="00B94CF9" w:rsidRPr="00BD6C5F">
              <w:rPr>
                <w:rFonts w:asciiTheme="minorHAnsi" w:hAnsiTheme="minorHAnsi" w:cstheme="minorHAnsi"/>
              </w:rPr>
              <w:t>Schedule</w:t>
            </w:r>
            <w:r w:rsidR="007F2D7F"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Schedule_19 \h </w:instrText>
            </w:r>
            <w:r w:rsidR="00056976">
              <w:rPr>
                <w:rFonts w:asciiTheme="minorHAnsi" w:hAnsiTheme="minorHAnsi" w:cstheme="minorHAnsi"/>
              </w:rPr>
            </w:r>
            <w:r w:rsidR="00056976">
              <w:rPr>
                <w:rFonts w:asciiTheme="minorHAnsi" w:hAnsiTheme="minorHAnsi" w:cstheme="minorHAnsi"/>
              </w:rPr>
              <w:fldChar w:fldCharType="separate"/>
            </w:r>
            <w:r w:rsidR="009749A0">
              <w:t>19</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A516D3" w:rsidRPr="00BD6C5F" w14:paraId="6EC70CB8" w14:textId="77777777" w:rsidTr="00A64142">
        <w:trPr>
          <w:gridBefore w:val="1"/>
          <w:gridAfter w:val="1"/>
          <w:wBefore w:w="10" w:type="dxa"/>
          <w:wAfter w:w="32" w:type="dxa"/>
          <w:trHeight w:val="20"/>
        </w:trPr>
        <w:tc>
          <w:tcPr>
            <w:tcW w:w="3532" w:type="dxa"/>
          </w:tcPr>
          <w:p w14:paraId="60DB6CAA" w14:textId="4F4079E0" w:rsidR="00A516D3" w:rsidRPr="00BD6C5F" w:rsidRDefault="00A516D3" w:rsidP="00AD6FB4">
            <w:pPr>
              <w:pStyle w:val="Tabletext"/>
              <w:rPr>
                <w:b/>
                <w:bCs/>
              </w:rPr>
            </w:pPr>
            <w:r w:rsidRPr="00BD6C5F">
              <w:rPr>
                <w:b/>
                <w:bCs/>
              </w:rPr>
              <w:t>“Annual Revenue”</w:t>
            </w:r>
          </w:p>
        </w:tc>
        <w:tc>
          <w:tcPr>
            <w:tcW w:w="5954" w:type="dxa"/>
          </w:tcPr>
          <w:p w14:paraId="5CE48DCC" w14:textId="77777777" w:rsidR="00A516D3" w:rsidRPr="00BD6C5F" w:rsidRDefault="00A516D3" w:rsidP="00AD6FB4">
            <w:pPr>
              <w:pStyle w:val="Tabletext"/>
              <w:rPr>
                <w:rFonts w:asciiTheme="minorHAnsi" w:hAnsiTheme="minorHAnsi" w:cstheme="minorHAnsi"/>
              </w:rPr>
            </w:pPr>
            <w:r w:rsidRPr="00BD6C5F">
              <w:rPr>
                <w:rFonts w:asciiTheme="minorHAnsi" w:hAnsiTheme="minorHAnsi" w:cstheme="minorHAnsi"/>
              </w:rPr>
              <w:t xml:space="preserve">means, for </w:t>
            </w:r>
            <w:r w:rsidRPr="00BD6C5F">
              <w:t>the</w:t>
            </w:r>
            <w:r w:rsidRPr="00BD6C5F">
              <w:rPr>
                <w:rFonts w:asciiTheme="minorHAnsi" w:hAnsiTheme="minorHAnsi" w:cstheme="minorHAnsi"/>
              </w:rPr>
              <w:t xml:space="preserv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2ED728A1" w14:textId="77777777" w:rsidR="00A516D3" w:rsidRPr="00A64142" w:rsidRDefault="00A516D3" w:rsidP="003A5D4B">
            <w:pPr>
              <w:pStyle w:val="Tablea"/>
            </w:pPr>
            <w:r w:rsidRPr="00BD6C5F">
              <w:lastRenderedPageBreak/>
              <w:t xml:space="preserve">figures for accounting periods of other than 12 </w:t>
            </w:r>
            <w:r w:rsidRPr="00A64142">
              <w:t>months should be scaled pro rata to produce a proforma figure for a 12 month period; and</w:t>
            </w:r>
          </w:p>
          <w:p w14:paraId="4CDA53A0" w14:textId="0F3E63C3" w:rsidR="00A516D3" w:rsidRPr="00BD6C5F" w:rsidRDefault="00A516D3" w:rsidP="003A5D4B">
            <w:pPr>
              <w:pStyle w:val="Tablea"/>
            </w:pPr>
            <w:r w:rsidRPr="00A64142">
              <w:t>where the Supplier, the Supplier Group and/or their joint ventures and Associates report in a foreign currency, revenue should be converted to</w:t>
            </w:r>
            <w:r w:rsidRPr="00BD6C5F">
              <w:t xml:space="preserve"> British Pound Sterling at the closing exchange rate on the Accounting Reference Date;</w:t>
            </w:r>
          </w:p>
        </w:tc>
      </w:tr>
      <w:tr w:rsidR="00BC7DDA" w:rsidRPr="00BD6C5F" w14:paraId="6F5F3A59" w14:textId="77777777" w:rsidTr="00A64142">
        <w:trPr>
          <w:gridBefore w:val="1"/>
          <w:gridAfter w:val="1"/>
          <w:wBefore w:w="10" w:type="dxa"/>
          <w:wAfter w:w="32" w:type="dxa"/>
          <w:trHeight w:val="20"/>
        </w:trPr>
        <w:tc>
          <w:tcPr>
            <w:tcW w:w="3532" w:type="dxa"/>
          </w:tcPr>
          <w:p w14:paraId="653FE8C0" w14:textId="0C03A82E" w:rsidR="00BC7DDA" w:rsidRPr="00BD6C5F" w:rsidRDefault="00A4555C" w:rsidP="00AD6FB4">
            <w:pPr>
              <w:pStyle w:val="Tabletext"/>
              <w:rPr>
                <w:b/>
                <w:bCs/>
              </w:rPr>
            </w:pPr>
            <w:r w:rsidRPr="00BD6C5F">
              <w:rPr>
                <w:b/>
                <w:bCs/>
              </w:rPr>
              <w:lastRenderedPageBreak/>
              <w:t>“</w:t>
            </w:r>
            <w:r w:rsidR="009B03E9" w:rsidRPr="00BD6C5F">
              <w:rPr>
                <w:b/>
                <w:bCs/>
              </w:rPr>
              <w:t>Anticipated Contract Life Profit Margin</w:t>
            </w:r>
            <w:r w:rsidRPr="00BD6C5F">
              <w:rPr>
                <w:b/>
                <w:bCs/>
              </w:rPr>
              <w:t>”</w:t>
            </w:r>
          </w:p>
        </w:tc>
        <w:tc>
          <w:tcPr>
            <w:tcW w:w="5954" w:type="dxa"/>
          </w:tcPr>
          <w:p w14:paraId="5FD0FBF8" w14:textId="1A74D87A"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has the meaning given in </w:t>
            </w:r>
            <w:r w:rsidR="00B94CF9" w:rsidRPr="00BD6C5F">
              <w:rPr>
                <w:rFonts w:asciiTheme="minorHAnsi" w:hAnsiTheme="minorHAnsi" w:cstheme="minorHAnsi"/>
              </w:rPr>
              <w:t>Schedule</w:t>
            </w:r>
            <w:r w:rsidR="007F2D7F"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Schedule_15 \h </w:instrText>
            </w:r>
            <w:r w:rsidR="00056976">
              <w:rPr>
                <w:rFonts w:asciiTheme="minorHAnsi" w:hAnsiTheme="minorHAnsi" w:cstheme="minorHAnsi"/>
              </w:rPr>
            </w:r>
            <w:r w:rsidR="00056976">
              <w:rPr>
                <w:rFonts w:asciiTheme="minorHAnsi" w:hAnsiTheme="minorHAnsi" w:cstheme="minorHAnsi"/>
              </w:rPr>
              <w:fldChar w:fldCharType="separate"/>
            </w:r>
            <w:r w:rsidR="009749A0">
              <w:t>15</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BC7DDA" w:rsidRPr="00BD6C5F" w14:paraId="6B6D3E4D" w14:textId="77777777" w:rsidTr="00A64142">
        <w:trPr>
          <w:gridBefore w:val="1"/>
          <w:gridAfter w:val="1"/>
          <w:wBefore w:w="10" w:type="dxa"/>
          <w:wAfter w:w="32" w:type="dxa"/>
          <w:trHeight w:val="20"/>
        </w:trPr>
        <w:tc>
          <w:tcPr>
            <w:tcW w:w="3532" w:type="dxa"/>
          </w:tcPr>
          <w:p w14:paraId="60B9F0C6" w14:textId="7D1A5141" w:rsidR="00BC7DDA" w:rsidRPr="00BD6C5F" w:rsidRDefault="00A4555C" w:rsidP="00AD6FB4">
            <w:pPr>
              <w:pStyle w:val="Tabletext"/>
              <w:rPr>
                <w:b/>
                <w:bCs/>
              </w:rPr>
            </w:pPr>
            <w:r w:rsidRPr="00BD6C5F">
              <w:rPr>
                <w:b/>
                <w:bCs/>
              </w:rPr>
              <w:t>“</w:t>
            </w:r>
            <w:r w:rsidR="009B03E9" w:rsidRPr="00BD6C5F">
              <w:rPr>
                <w:b/>
                <w:bCs/>
              </w:rPr>
              <w:t>Approved Sub-Licensee</w:t>
            </w:r>
            <w:r w:rsidRPr="00BD6C5F">
              <w:rPr>
                <w:b/>
                <w:bCs/>
              </w:rPr>
              <w:t>”</w:t>
            </w:r>
          </w:p>
        </w:tc>
        <w:tc>
          <w:tcPr>
            <w:tcW w:w="5954" w:type="dxa"/>
          </w:tcPr>
          <w:p w14:paraId="5856D636"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any of the following:</w:t>
            </w:r>
          </w:p>
          <w:p w14:paraId="1664C03E" w14:textId="5839222A" w:rsidR="00BC7DDA" w:rsidRPr="00A64142" w:rsidRDefault="009B03E9" w:rsidP="003A5D4B">
            <w:pPr>
              <w:pStyle w:val="Tablea"/>
            </w:pPr>
            <w:r w:rsidRPr="00BD6C5F">
              <w:t xml:space="preserve">a </w:t>
            </w:r>
            <w:r w:rsidR="006811ED">
              <w:t>Crown</w:t>
            </w:r>
            <w:r w:rsidRPr="00A64142">
              <w:t xml:space="preserve"> Body;</w:t>
            </w:r>
          </w:p>
          <w:p w14:paraId="322FD035" w14:textId="6E4636AB" w:rsidR="00BC7DDA" w:rsidRPr="00A64142" w:rsidRDefault="009B03E9" w:rsidP="003A5D4B">
            <w:pPr>
              <w:pStyle w:val="Tablea"/>
            </w:pPr>
            <w:r w:rsidRPr="00A64142">
              <w:t>any third party providing services to a C</w:t>
            </w:r>
            <w:r w:rsidR="006811ED">
              <w:t>rown</w:t>
            </w:r>
            <w:r w:rsidRPr="00A64142">
              <w:t xml:space="preserve"> Body; and/or</w:t>
            </w:r>
          </w:p>
          <w:p w14:paraId="6F53583E" w14:textId="77777777" w:rsidR="00BC7DDA" w:rsidRPr="00BD6C5F" w:rsidRDefault="009B03E9" w:rsidP="003A5D4B">
            <w:pPr>
              <w:pStyle w:val="Tablea"/>
            </w:pPr>
            <w:r w:rsidRPr="00A64142">
              <w:t>any body (including any private sector body) which performs or carries on any of the functions and/or activities that previously had been performed and/or carried on by the Authority;</w:t>
            </w:r>
          </w:p>
        </w:tc>
      </w:tr>
      <w:tr w:rsidR="00BC7DDA" w:rsidRPr="00BD6C5F" w14:paraId="402B3D24" w14:textId="77777777" w:rsidTr="00A64142">
        <w:trPr>
          <w:gridBefore w:val="1"/>
          <w:gridAfter w:val="1"/>
          <w:wBefore w:w="10" w:type="dxa"/>
          <w:wAfter w:w="32" w:type="dxa"/>
          <w:trHeight w:val="20"/>
        </w:trPr>
        <w:tc>
          <w:tcPr>
            <w:tcW w:w="3532" w:type="dxa"/>
          </w:tcPr>
          <w:p w14:paraId="58FC12DF" w14:textId="1CC40B1D" w:rsidR="00BC7DDA" w:rsidRPr="00BD6C5F" w:rsidRDefault="00A4555C" w:rsidP="00AD6FB4">
            <w:pPr>
              <w:pStyle w:val="Tabletext"/>
              <w:rPr>
                <w:b/>
                <w:bCs/>
              </w:rPr>
            </w:pPr>
            <w:r w:rsidRPr="00BD6C5F">
              <w:rPr>
                <w:b/>
                <w:bCs/>
              </w:rPr>
              <w:t>“</w:t>
            </w:r>
            <w:r w:rsidR="009B03E9" w:rsidRPr="00BD6C5F">
              <w:rPr>
                <w:b/>
                <w:bCs/>
              </w:rPr>
              <w:t>Assets</w:t>
            </w:r>
            <w:r w:rsidRPr="00BD6C5F">
              <w:rPr>
                <w:b/>
                <w:bCs/>
              </w:rPr>
              <w:t>”</w:t>
            </w:r>
          </w:p>
        </w:tc>
        <w:tc>
          <w:tcPr>
            <w:tcW w:w="5954" w:type="dxa"/>
          </w:tcPr>
          <w:p w14:paraId="596CDB70" w14:textId="1B586658"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all assets and rights used by the Supplier to provide the Services in accordance with this </w:t>
            </w:r>
            <w:r w:rsidR="00540619" w:rsidRPr="00BD6C5F">
              <w:rPr>
                <w:rFonts w:asciiTheme="minorHAnsi" w:hAnsiTheme="minorHAnsi" w:cstheme="minorHAnsi"/>
              </w:rPr>
              <w:t xml:space="preserve">Contract </w:t>
            </w:r>
            <w:r w:rsidRPr="00BD6C5F">
              <w:rPr>
                <w:rFonts w:asciiTheme="minorHAnsi" w:hAnsiTheme="minorHAnsi" w:cstheme="minorHAnsi"/>
              </w:rPr>
              <w:t>but excluding the Authority Assets;</w:t>
            </w:r>
          </w:p>
        </w:tc>
      </w:tr>
      <w:tr w:rsidR="00BC7DDA" w:rsidRPr="00BD6C5F" w14:paraId="7B303AAA" w14:textId="77777777" w:rsidTr="00A64142">
        <w:trPr>
          <w:gridBefore w:val="1"/>
          <w:gridAfter w:val="1"/>
          <w:wBefore w:w="10" w:type="dxa"/>
          <w:wAfter w:w="32" w:type="dxa"/>
          <w:trHeight w:val="20"/>
        </w:trPr>
        <w:tc>
          <w:tcPr>
            <w:tcW w:w="3532" w:type="dxa"/>
          </w:tcPr>
          <w:p w14:paraId="55D565AB" w14:textId="17E823D8" w:rsidR="00BC7DDA" w:rsidRPr="00BD6C5F" w:rsidRDefault="00A4555C" w:rsidP="00AD6FB4">
            <w:pPr>
              <w:pStyle w:val="Tabletext"/>
              <w:rPr>
                <w:b/>
                <w:bCs/>
              </w:rPr>
            </w:pPr>
            <w:r w:rsidRPr="00BD6C5F">
              <w:rPr>
                <w:b/>
                <w:bCs/>
              </w:rPr>
              <w:t>“</w:t>
            </w:r>
            <w:r w:rsidR="009B03E9" w:rsidRPr="00BD6C5F">
              <w:rPr>
                <w:b/>
                <w:bCs/>
              </w:rPr>
              <w:t>Associated Person</w:t>
            </w:r>
            <w:r w:rsidRPr="00BD6C5F">
              <w:rPr>
                <w:b/>
                <w:bCs/>
              </w:rPr>
              <w:t>”</w:t>
            </w:r>
          </w:p>
        </w:tc>
        <w:tc>
          <w:tcPr>
            <w:tcW w:w="5954" w:type="dxa"/>
          </w:tcPr>
          <w:p w14:paraId="76AA37EB"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has the meaning given to it in Section 44(4) of the Criminal Finances Act 2017;</w:t>
            </w:r>
          </w:p>
        </w:tc>
      </w:tr>
      <w:tr w:rsidR="00BC7DDA" w:rsidRPr="00BD6C5F" w14:paraId="4B453022" w14:textId="77777777" w:rsidTr="00A64142">
        <w:trPr>
          <w:gridBefore w:val="1"/>
          <w:gridAfter w:val="1"/>
          <w:wBefore w:w="10" w:type="dxa"/>
          <w:wAfter w:w="32" w:type="dxa"/>
          <w:trHeight w:val="20"/>
        </w:trPr>
        <w:tc>
          <w:tcPr>
            <w:tcW w:w="3532" w:type="dxa"/>
          </w:tcPr>
          <w:p w14:paraId="04477530" w14:textId="4C32FC7E" w:rsidR="00BC7DDA" w:rsidRPr="00BD6C5F" w:rsidRDefault="00A4555C" w:rsidP="00AD6FB4">
            <w:pPr>
              <w:pStyle w:val="Tabletext"/>
              <w:rPr>
                <w:b/>
                <w:bCs/>
              </w:rPr>
            </w:pPr>
            <w:r w:rsidRPr="00BD6C5F">
              <w:rPr>
                <w:b/>
                <w:bCs/>
              </w:rPr>
              <w:t>“</w:t>
            </w:r>
            <w:r w:rsidR="009B03E9" w:rsidRPr="00BD6C5F">
              <w:rPr>
                <w:b/>
                <w:bCs/>
              </w:rPr>
              <w:t>Associates</w:t>
            </w:r>
            <w:r w:rsidRPr="00BD6C5F">
              <w:rPr>
                <w:b/>
                <w:bCs/>
              </w:rPr>
              <w:t>”</w:t>
            </w:r>
          </w:p>
        </w:tc>
        <w:tc>
          <w:tcPr>
            <w:tcW w:w="5954" w:type="dxa"/>
          </w:tcPr>
          <w:p w14:paraId="4467556E"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BC7DDA" w:rsidRPr="00BD6C5F" w14:paraId="02C69390" w14:textId="77777777" w:rsidTr="00A64142">
        <w:trPr>
          <w:gridBefore w:val="1"/>
          <w:gridAfter w:val="1"/>
          <w:wBefore w:w="10" w:type="dxa"/>
          <w:wAfter w:w="32" w:type="dxa"/>
          <w:trHeight w:val="20"/>
        </w:trPr>
        <w:tc>
          <w:tcPr>
            <w:tcW w:w="3532" w:type="dxa"/>
          </w:tcPr>
          <w:p w14:paraId="385453A8" w14:textId="01396AF1" w:rsidR="00BC7DDA" w:rsidRPr="00BD6C5F" w:rsidRDefault="00A4555C" w:rsidP="00AD6FB4">
            <w:pPr>
              <w:pStyle w:val="Tabletext"/>
              <w:rPr>
                <w:b/>
                <w:bCs/>
              </w:rPr>
            </w:pPr>
            <w:r w:rsidRPr="00BD6C5F">
              <w:rPr>
                <w:b/>
                <w:bCs/>
              </w:rPr>
              <w:t>“</w:t>
            </w:r>
            <w:r w:rsidR="009B03E9" w:rsidRPr="00BD6C5F">
              <w:rPr>
                <w:b/>
                <w:bCs/>
              </w:rPr>
              <w:t>Assurance</w:t>
            </w:r>
            <w:r w:rsidRPr="00BD6C5F">
              <w:rPr>
                <w:b/>
                <w:bCs/>
              </w:rPr>
              <w:t>”</w:t>
            </w:r>
          </w:p>
        </w:tc>
        <w:tc>
          <w:tcPr>
            <w:tcW w:w="5954" w:type="dxa"/>
          </w:tcPr>
          <w:p w14:paraId="161A1C91"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means written confirmation from a Relevant Authority to the Supplier that the CRP Information is approved by the Relevant Authority;</w:t>
            </w:r>
          </w:p>
        </w:tc>
      </w:tr>
      <w:tr w:rsidR="00BC7DDA" w:rsidRPr="00BD6C5F" w14:paraId="4C663B85" w14:textId="77777777" w:rsidTr="00A64142">
        <w:trPr>
          <w:gridBefore w:val="1"/>
          <w:gridAfter w:val="1"/>
          <w:wBefore w:w="10" w:type="dxa"/>
          <w:wAfter w:w="32" w:type="dxa"/>
          <w:trHeight w:val="20"/>
        </w:trPr>
        <w:tc>
          <w:tcPr>
            <w:tcW w:w="3532" w:type="dxa"/>
          </w:tcPr>
          <w:p w14:paraId="1717A739" w14:textId="203AE0C0" w:rsidR="00BC7DDA" w:rsidRPr="00BD6C5F" w:rsidRDefault="00A4555C" w:rsidP="00AD6FB4">
            <w:pPr>
              <w:pStyle w:val="Tabletext"/>
              <w:rPr>
                <w:b/>
                <w:bCs/>
              </w:rPr>
            </w:pPr>
            <w:r w:rsidRPr="00BD6C5F">
              <w:rPr>
                <w:b/>
                <w:bCs/>
              </w:rPr>
              <w:t>“</w:t>
            </w:r>
            <w:r w:rsidR="009B03E9" w:rsidRPr="00BD6C5F">
              <w:rPr>
                <w:b/>
                <w:bCs/>
              </w:rPr>
              <w:t>ATP Milestone</w:t>
            </w:r>
            <w:r w:rsidRPr="00BD6C5F">
              <w:rPr>
                <w:b/>
                <w:bCs/>
              </w:rPr>
              <w:t>”</w:t>
            </w:r>
          </w:p>
        </w:tc>
        <w:tc>
          <w:tcPr>
            <w:tcW w:w="5954" w:type="dxa"/>
          </w:tcPr>
          <w:p w14:paraId="0176FA20"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the Milestone linked to Authority to Proceed for the relevant Operational Services set out in the Implementation Plan;</w:t>
            </w:r>
          </w:p>
        </w:tc>
      </w:tr>
      <w:tr w:rsidR="00BC7DDA" w:rsidRPr="00BD6C5F" w14:paraId="1FD4B2ED" w14:textId="77777777" w:rsidTr="00A64142">
        <w:trPr>
          <w:gridBefore w:val="1"/>
          <w:gridAfter w:val="1"/>
          <w:wBefore w:w="10" w:type="dxa"/>
          <w:wAfter w:w="32" w:type="dxa"/>
          <w:trHeight w:val="20"/>
        </w:trPr>
        <w:tc>
          <w:tcPr>
            <w:tcW w:w="3532" w:type="dxa"/>
          </w:tcPr>
          <w:p w14:paraId="0906495E" w14:textId="7DFB8A94" w:rsidR="00BC7DDA" w:rsidRPr="00BD6C5F" w:rsidRDefault="00A4555C" w:rsidP="00AD6FB4">
            <w:pPr>
              <w:pStyle w:val="Tabletext"/>
              <w:rPr>
                <w:b/>
                <w:bCs/>
              </w:rPr>
            </w:pPr>
            <w:r w:rsidRPr="00BD6C5F">
              <w:rPr>
                <w:b/>
                <w:bCs/>
              </w:rPr>
              <w:t>“</w:t>
            </w:r>
            <w:r w:rsidR="009B03E9" w:rsidRPr="00BD6C5F">
              <w:rPr>
                <w:b/>
                <w:bCs/>
              </w:rPr>
              <w:t>Audit</w:t>
            </w:r>
            <w:r w:rsidRPr="00BD6C5F">
              <w:rPr>
                <w:b/>
                <w:bCs/>
              </w:rPr>
              <w:t>”</w:t>
            </w:r>
          </w:p>
        </w:tc>
        <w:tc>
          <w:tcPr>
            <w:tcW w:w="5954" w:type="dxa"/>
          </w:tcPr>
          <w:p w14:paraId="5139573D" w14:textId="720480A6"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any exercise by the Authority of its Audit Rights pursuant to </w:t>
            </w:r>
            <w:r w:rsidR="005E736B" w:rsidRPr="00BD6C5F">
              <w:rPr>
                <w:rFonts w:asciiTheme="minorHAnsi" w:hAnsiTheme="minorHAnsi" w:cstheme="minorHAnsi"/>
              </w:rPr>
              <w:t>Clause </w:t>
            </w:r>
            <w:r w:rsidRPr="00BD6C5F">
              <w:rPr>
                <w:rFonts w:asciiTheme="minorHAnsi" w:hAnsiTheme="minorHAnsi" w:cstheme="minorHAnsi"/>
              </w:rPr>
              <w:t>12 (</w:t>
            </w:r>
            <w:r w:rsidRPr="00BD6C5F">
              <w:rPr>
                <w:rFonts w:asciiTheme="minorHAnsi" w:hAnsiTheme="minorHAnsi" w:cstheme="minorHAnsi"/>
                <w:i/>
              </w:rPr>
              <w:t>Records, Reports, Audit and Open Book Data</w:t>
            </w:r>
            <w:r w:rsidRPr="00BD6C5F">
              <w:rPr>
                <w:rFonts w:asciiTheme="minorHAnsi" w:hAnsiTheme="minorHAnsi" w:cstheme="minorHAnsi"/>
              </w:rPr>
              <w:t xml:space="preserve">) and </w:t>
            </w:r>
            <w:r w:rsidR="00B94CF9" w:rsidRPr="00BD6C5F">
              <w:rPr>
                <w:rFonts w:asciiTheme="minorHAnsi" w:hAnsiTheme="minorHAnsi" w:cstheme="minorHAnsi"/>
              </w:rPr>
              <w:t>Schedule</w:t>
            </w:r>
            <w:r w:rsidR="007F2D7F"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Schedule_19 \h </w:instrText>
            </w:r>
            <w:r w:rsidR="00056976">
              <w:rPr>
                <w:rFonts w:asciiTheme="minorHAnsi" w:hAnsiTheme="minorHAnsi" w:cstheme="minorHAnsi"/>
              </w:rPr>
            </w:r>
            <w:r w:rsidR="00056976">
              <w:rPr>
                <w:rFonts w:asciiTheme="minorHAnsi" w:hAnsiTheme="minorHAnsi" w:cstheme="minorHAnsi"/>
              </w:rPr>
              <w:fldChar w:fldCharType="separate"/>
            </w:r>
            <w:r w:rsidR="009749A0">
              <w:t>19</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A516D3" w:rsidRPr="00BD6C5F" w14:paraId="4DC5C760" w14:textId="77777777" w:rsidTr="00A64142">
        <w:trPr>
          <w:gridBefore w:val="1"/>
          <w:gridAfter w:val="1"/>
          <w:wBefore w:w="10" w:type="dxa"/>
          <w:wAfter w:w="32" w:type="dxa"/>
          <w:trHeight w:val="20"/>
        </w:trPr>
        <w:tc>
          <w:tcPr>
            <w:tcW w:w="3532" w:type="dxa"/>
          </w:tcPr>
          <w:p w14:paraId="3DE0F9ED" w14:textId="07F8BC9A" w:rsidR="00A516D3" w:rsidRPr="00BD6C5F" w:rsidRDefault="00A516D3" w:rsidP="00AD6FB4">
            <w:pPr>
              <w:pStyle w:val="Tabletext"/>
              <w:rPr>
                <w:b/>
                <w:bCs/>
              </w:rPr>
            </w:pPr>
            <w:r w:rsidRPr="00BD6C5F">
              <w:rPr>
                <w:b/>
                <w:bCs/>
              </w:rPr>
              <w:lastRenderedPageBreak/>
              <w:t>“Audit Agents”</w:t>
            </w:r>
          </w:p>
        </w:tc>
        <w:tc>
          <w:tcPr>
            <w:tcW w:w="5954" w:type="dxa"/>
          </w:tcPr>
          <w:p w14:paraId="7AE0CC0A" w14:textId="6D1B9894" w:rsidR="00A516D3" w:rsidRPr="00BD6C5F" w:rsidRDefault="00A516D3" w:rsidP="003A5D4B">
            <w:pPr>
              <w:pStyle w:val="Tablea"/>
            </w:pPr>
            <w:r w:rsidRPr="00BD6C5F">
              <w:t>the Authority’s internal and external auditors;</w:t>
            </w:r>
          </w:p>
          <w:p w14:paraId="1D009EC3" w14:textId="21AF0B16" w:rsidR="00A516D3" w:rsidRPr="00BD6C5F" w:rsidRDefault="00A516D3" w:rsidP="003A5D4B">
            <w:pPr>
              <w:pStyle w:val="Tablea"/>
            </w:pPr>
            <w:r w:rsidRPr="00BD6C5F">
              <w:t>the Authority’s statutory or regulatory auditors;</w:t>
            </w:r>
          </w:p>
          <w:p w14:paraId="3BA341EE" w14:textId="77777777" w:rsidR="00A516D3" w:rsidRPr="00BD6C5F" w:rsidRDefault="00A516D3" w:rsidP="003A5D4B">
            <w:pPr>
              <w:pStyle w:val="Tablea"/>
            </w:pPr>
            <w:r w:rsidRPr="00BD6C5F">
              <w:t>the Comptroller and Auditor General, their staff and/or any appointed representatives of the National Audit Office;</w:t>
            </w:r>
          </w:p>
          <w:p w14:paraId="01250EB9" w14:textId="77777777" w:rsidR="00A516D3" w:rsidRPr="00BD6C5F" w:rsidRDefault="00A516D3" w:rsidP="003A5D4B">
            <w:pPr>
              <w:pStyle w:val="Tablea"/>
            </w:pPr>
            <w:r w:rsidRPr="00BD6C5F">
              <w:t>HM Treasury or the Cabinet Office;</w:t>
            </w:r>
          </w:p>
          <w:p w14:paraId="05B278B9" w14:textId="77777777" w:rsidR="00A516D3" w:rsidRPr="00BD6C5F" w:rsidRDefault="00A516D3" w:rsidP="003A5D4B">
            <w:pPr>
              <w:pStyle w:val="Tablea"/>
            </w:pPr>
            <w:r w:rsidRPr="00BD6C5F">
              <w:t>any party formally appointed by the Authority to carry out audit or similar review functions; and</w:t>
            </w:r>
          </w:p>
          <w:p w14:paraId="3BD74D85" w14:textId="2ACDF673" w:rsidR="00A516D3" w:rsidRPr="00BD6C5F" w:rsidRDefault="00A516D3" w:rsidP="003A5D4B">
            <w:pPr>
              <w:pStyle w:val="Tablea"/>
            </w:pPr>
            <w:r w:rsidRPr="00BD6C5F">
              <w:t>successors or assigns of any of the above;</w:t>
            </w:r>
          </w:p>
        </w:tc>
      </w:tr>
      <w:tr w:rsidR="00BC7DDA" w:rsidRPr="00BD6C5F" w14:paraId="2684CBB8" w14:textId="77777777" w:rsidTr="00A64142">
        <w:trPr>
          <w:gridBefore w:val="1"/>
          <w:gridAfter w:val="1"/>
          <w:wBefore w:w="10" w:type="dxa"/>
          <w:wAfter w:w="32" w:type="dxa"/>
          <w:trHeight w:val="20"/>
        </w:trPr>
        <w:tc>
          <w:tcPr>
            <w:tcW w:w="3532" w:type="dxa"/>
          </w:tcPr>
          <w:p w14:paraId="1E022BB6" w14:textId="4D92AC4E" w:rsidR="00BC7DDA" w:rsidRPr="00BD6C5F" w:rsidRDefault="00A4555C" w:rsidP="00AD6FB4">
            <w:pPr>
              <w:pStyle w:val="Tabletext"/>
              <w:rPr>
                <w:b/>
                <w:bCs/>
              </w:rPr>
            </w:pPr>
            <w:r w:rsidRPr="00BD6C5F">
              <w:rPr>
                <w:b/>
                <w:bCs/>
              </w:rPr>
              <w:t>“</w:t>
            </w:r>
            <w:r w:rsidR="009B03E9" w:rsidRPr="00BD6C5F">
              <w:rPr>
                <w:b/>
                <w:bCs/>
              </w:rPr>
              <w:t>Audit Rights</w:t>
            </w:r>
            <w:r w:rsidRPr="00BD6C5F">
              <w:rPr>
                <w:b/>
                <w:bCs/>
              </w:rPr>
              <w:t>”</w:t>
            </w:r>
          </w:p>
        </w:tc>
        <w:tc>
          <w:tcPr>
            <w:tcW w:w="5954" w:type="dxa"/>
          </w:tcPr>
          <w:p w14:paraId="54539B97" w14:textId="377A861D"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 xml:space="preserve">the audit and access rights referred to in </w:t>
            </w:r>
            <w:r w:rsidR="00B94CF9" w:rsidRPr="00BD6C5F">
              <w:rPr>
                <w:rFonts w:asciiTheme="minorHAnsi" w:hAnsiTheme="minorHAnsi" w:cstheme="minorHAnsi"/>
              </w:rPr>
              <w:t>Schedule</w:t>
            </w:r>
            <w:r w:rsidR="007F2D7F" w:rsidRPr="00BD6C5F">
              <w:rPr>
                <w:rFonts w:asciiTheme="minorHAnsi" w:hAnsiTheme="minorHAnsi" w:cstheme="minorHAnsi"/>
              </w:rPr>
              <w:t> </w:t>
            </w:r>
            <w:r w:rsidR="00056976">
              <w:rPr>
                <w:rFonts w:asciiTheme="minorHAnsi" w:hAnsiTheme="minorHAnsi" w:cstheme="minorHAnsi"/>
              </w:rPr>
              <w:fldChar w:fldCharType="begin"/>
            </w:r>
            <w:r w:rsidR="00056976">
              <w:rPr>
                <w:rFonts w:asciiTheme="minorHAnsi" w:hAnsiTheme="minorHAnsi" w:cstheme="minorHAnsi"/>
              </w:rPr>
              <w:instrText xml:space="preserve"> REF Schedule_19 \h </w:instrText>
            </w:r>
            <w:r w:rsidR="00056976">
              <w:rPr>
                <w:rFonts w:asciiTheme="minorHAnsi" w:hAnsiTheme="minorHAnsi" w:cstheme="minorHAnsi"/>
              </w:rPr>
            </w:r>
            <w:r w:rsidR="00056976">
              <w:rPr>
                <w:rFonts w:asciiTheme="minorHAnsi" w:hAnsiTheme="minorHAnsi" w:cstheme="minorHAnsi"/>
              </w:rPr>
              <w:fldChar w:fldCharType="separate"/>
            </w:r>
            <w:r w:rsidR="009749A0">
              <w:t>19</w:t>
            </w:r>
            <w:r w:rsidR="0005697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BC7DDA" w:rsidRPr="00BD6C5F" w14:paraId="431AB18D" w14:textId="77777777" w:rsidTr="00A64142">
        <w:trPr>
          <w:gridBefore w:val="1"/>
          <w:gridAfter w:val="1"/>
          <w:wBefore w:w="10" w:type="dxa"/>
          <w:wAfter w:w="32" w:type="dxa"/>
          <w:trHeight w:val="20"/>
        </w:trPr>
        <w:tc>
          <w:tcPr>
            <w:tcW w:w="3532" w:type="dxa"/>
          </w:tcPr>
          <w:p w14:paraId="4F881FD8" w14:textId="044BBCCE" w:rsidR="00BC7DDA" w:rsidRPr="00BD6C5F" w:rsidRDefault="00A4555C" w:rsidP="00AD6FB4">
            <w:pPr>
              <w:pStyle w:val="Tabletext"/>
              <w:rPr>
                <w:b/>
                <w:bCs/>
              </w:rPr>
            </w:pPr>
            <w:r w:rsidRPr="00BD6C5F">
              <w:rPr>
                <w:b/>
                <w:bCs/>
              </w:rPr>
              <w:t>“</w:t>
            </w:r>
            <w:r w:rsidR="009B03E9" w:rsidRPr="00BD6C5F">
              <w:rPr>
                <w:b/>
                <w:bCs/>
              </w:rPr>
              <w:t>Authority Assets</w:t>
            </w:r>
            <w:r w:rsidRPr="00BD6C5F">
              <w:rPr>
                <w:b/>
                <w:bCs/>
              </w:rPr>
              <w:t>”</w:t>
            </w:r>
          </w:p>
        </w:tc>
        <w:tc>
          <w:tcPr>
            <w:tcW w:w="5954" w:type="dxa"/>
          </w:tcPr>
          <w:p w14:paraId="343A7EAE"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the Authority Materials, the Authority infrastructure and any other data, software, assets, equipment or other property owned by and/or licensed or leased to the Authority and which is or may be used in connection with the provision or receipt of the Services;</w:t>
            </w:r>
          </w:p>
        </w:tc>
      </w:tr>
      <w:tr w:rsidR="00BC7DDA" w:rsidRPr="00BD6C5F" w14:paraId="20A0AB64" w14:textId="77777777" w:rsidTr="00A64142">
        <w:trPr>
          <w:gridBefore w:val="1"/>
          <w:gridAfter w:val="1"/>
          <w:wBefore w:w="10" w:type="dxa"/>
          <w:wAfter w:w="32" w:type="dxa"/>
          <w:trHeight w:val="20"/>
        </w:trPr>
        <w:tc>
          <w:tcPr>
            <w:tcW w:w="3532" w:type="dxa"/>
          </w:tcPr>
          <w:p w14:paraId="721A4DFA" w14:textId="2A13A5D0" w:rsidR="00BC7DDA" w:rsidRPr="00BD6C5F" w:rsidRDefault="00A4555C" w:rsidP="00AD6FB4">
            <w:pPr>
              <w:pStyle w:val="Tabletext"/>
              <w:rPr>
                <w:b/>
                <w:bCs/>
              </w:rPr>
            </w:pPr>
            <w:r w:rsidRPr="00BD6C5F">
              <w:rPr>
                <w:b/>
                <w:bCs/>
              </w:rPr>
              <w:t>“</w:t>
            </w:r>
            <w:r w:rsidR="009B03E9" w:rsidRPr="00BD6C5F">
              <w:rPr>
                <w:b/>
                <w:bCs/>
              </w:rPr>
              <w:t>Authority Background IPRs</w:t>
            </w:r>
            <w:r w:rsidRPr="00BD6C5F">
              <w:rPr>
                <w:b/>
                <w:bCs/>
              </w:rPr>
              <w:t>”</w:t>
            </w:r>
          </w:p>
        </w:tc>
        <w:tc>
          <w:tcPr>
            <w:tcW w:w="5954" w:type="dxa"/>
          </w:tcPr>
          <w:p w14:paraId="762E7544" w14:textId="35BE0C15" w:rsidR="00BC7DDA" w:rsidRPr="00BD6C5F" w:rsidRDefault="009B03E9" w:rsidP="003A5D4B">
            <w:pPr>
              <w:pStyle w:val="Tablea"/>
            </w:pPr>
            <w:r w:rsidRPr="00A64142">
              <w:t>IPRs</w:t>
            </w:r>
            <w:r w:rsidRPr="00BD6C5F">
              <w:t xml:space="preserve"> owned by the Authority before the Effective Date, including IPRs contained in any of the Authority</w:t>
            </w:r>
            <w:r w:rsidR="00A4555C" w:rsidRPr="00BD6C5F">
              <w:t>’</w:t>
            </w:r>
            <w:r w:rsidRPr="00BD6C5F">
              <w:t>s Know-How, documentation, processes and procedures;</w:t>
            </w:r>
          </w:p>
          <w:p w14:paraId="6F559EDF" w14:textId="160055FA" w:rsidR="00BC7DDA" w:rsidRPr="00BD6C5F" w:rsidRDefault="009B03E9" w:rsidP="003A5D4B">
            <w:pPr>
              <w:pStyle w:val="Tablea"/>
            </w:pPr>
            <w:r w:rsidRPr="00BD6C5F">
              <w:t xml:space="preserve">IPRs created by the Authority independently of this </w:t>
            </w:r>
            <w:r w:rsidR="006811ED">
              <w:t>Contract</w:t>
            </w:r>
            <w:r w:rsidRPr="00BD6C5F">
              <w:t>; and/or</w:t>
            </w:r>
          </w:p>
          <w:p w14:paraId="42BCC3E1" w14:textId="295AEF93" w:rsidR="00BC7DDA" w:rsidRPr="00BD6C5F" w:rsidRDefault="009B03E9" w:rsidP="003A5D4B">
            <w:pPr>
              <w:pStyle w:val="Tablea"/>
            </w:pPr>
            <w:r w:rsidRPr="00BD6C5F">
              <w:t xml:space="preserve">Crown Copyright which is not available to the Supplier otherwise than under this </w:t>
            </w:r>
            <w:r w:rsidR="00DE54CD" w:rsidRPr="00BD6C5F">
              <w:t>Contract</w:t>
            </w:r>
            <w:r w:rsidRPr="00BD6C5F">
              <w:t>;</w:t>
            </w:r>
          </w:p>
          <w:p w14:paraId="5EB353BF"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but excluding IPRs owned by the Authority subsisting in the Authority Software;</w:t>
            </w:r>
          </w:p>
        </w:tc>
      </w:tr>
      <w:tr w:rsidR="00BC7DDA" w:rsidRPr="00BD6C5F" w14:paraId="4CABD3C2" w14:textId="77777777" w:rsidTr="00A64142">
        <w:trPr>
          <w:gridBefore w:val="1"/>
          <w:gridAfter w:val="1"/>
          <w:wBefore w:w="10" w:type="dxa"/>
          <w:wAfter w:w="32" w:type="dxa"/>
          <w:trHeight w:val="20"/>
        </w:trPr>
        <w:tc>
          <w:tcPr>
            <w:tcW w:w="3532" w:type="dxa"/>
          </w:tcPr>
          <w:p w14:paraId="4EDBEF79" w14:textId="1CABB910" w:rsidR="00BC7DDA" w:rsidRPr="00BD6C5F" w:rsidRDefault="00A4555C" w:rsidP="00AD6FB4">
            <w:pPr>
              <w:pStyle w:val="Tabletext"/>
              <w:rPr>
                <w:b/>
                <w:bCs/>
              </w:rPr>
            </w:pPr>
            <w:r w:rsidRPr="00BD6C5F">
              <w:rPr>
                <w:b/>
                <w:bCs/>
              </w:rPr>
              <w:t>“</w:t>
            </w:r>
            <w:r w:rsidR="009B03E9" w:rsidRPr="00BD6C5F">
              <w:rPr>
                <w:b/>
                <w:bCs/>
              </w:rPr>
              <w:t>Authority Cause</w:t>
            </w:r>
            <w:r w:rsidRPr="00BD6C5F">
              <w:rPr>
                <w:b/>
                <w:bCs/>
              </w:rPr>
              <w:t>”</w:t>
            </w:r>
          </w:p>
        </w:tc>
        <w:tc>
          <w:tcPr>
            <w:tcW w:w="5954" w:type="dxa"/>
          </w:tcPr>
          <w:p w14:paraId="667ECE1F" w14:textId="77777777" w:rsidR="00BC7DDA" w:rsidRPr="00BD6C5F" w:rsidRDefault="009B03E9" w:rsidP="00AD6FB4">
            <w:pPr>
              <w:pStyle w:val="Tabletext"/>
              <w:rPr>
                <w:rFonts w:asciiTheme="minorHAnsi" w:hAnsiTheme="minorHAnsi" w:cstheme="minorHAnsi"/>
              </w:rPr>
            </w:pPr>
            <w:r w:rsidRPr="00BD6C5F">
              <w:rPr>
                <w:rFonts w:asciiTheme="minorHAnsi" w:hAnsiTheme="minorHAnsi" w:cstheme="minorHAnsi"/>
              </w:rPr>
              <w:t>any material breach by the Authority of any of the Authority Responsibilities, except to the extent that such breach is:</w:t>
            </w:r>
          </w:p>
          <w:p w14:paraId="29B65AF2" w14:textId="77777777" w:rsidR="00BC7DDA" w:rsidRPr="00BD6C5F" w:rsidRDefault="009B03E9" w:rsidP="00814758">
            <w:pPr>
              <w:pStyle w:val="Tablea"/>
            </w:pPr>
            <w:r w:rsidRPr="00BD6C5F">
              <w:t>the result of any act or omission by the Authority to which the Supplier has given its prior consent; or</w:t>
            </w:r>
          </w:p>
          <w:p w14:paraId="53CBCE07" w14:textId="55C4063A" w:rsidR="00BC7DDA" w:rsidRPr="00BD6C5F" w:rsidRDefault="009B03E9" w:rsidP="003A5D4B">
            <w:pPr>
              <w:pStyle w:val="Tablea"/>
            </w:pPr>
            <w:r w:rsidRPr="00BD6C5F">
              <w:t>caused by the Supplier, any Sub-contractor or any Supplier Personnel;</w:t>
            </w:r>
          </w:p>
        </w:tc>
      </w:tr>
      <w:tr w:rsidR="00A516D3" w:rsidRPr="00BD6C5F" w14:paraId="627C38DA" w14:textId="77777777" w:rsidTr="00A64142">
        <w:trPr>
          <w:gridBefore w:val="1"/>
          <w:gridAfter w:val="1"/>
          <w:wBefore w:w="10" w:type="dxa"/>
          <w:wAfter w:w="32" w:type="dxa"/>
          <w:trHeight w:val="20"/>
        </w:trPr>
        <w:tc>
          <w:tcPr>
            <w:tcW w:w="3532" w:type="dxa"/>
          </w:tcPr>
          <w:p w14:paraId="76E7A4EC" w14:textId="12B608E2" w:rsidR="00A516D3" w:rsidRPr="00BD6C5F" w:rsidRDefault="00A516D3" w:rsidP="00AD6FB4">
            <w:pPr>
              <w:pStyle w:val="Tabletext"/>
              <w:rPr>
                <w:b/>
                <w:bCs/>
              </w:rPr>
            </w:pPr>
            <w:r w:rsidRPr="00BD6C5F">
              <w:rPr>
                <w:b/>
                <w:bCs/>
              </w:rPr>
              <w:t>“Authority Data”</w:t>
            </w:r>
          </w:p>
        </w:tc>
        <w:tc>
          <w:tcPr>
            <w:tcW w:w="5954" w:type="dxa"/>
          </w:tcPr>
          <w:p w14:paraId="58FC0D4A" w14:textId="32468A8C" w:rsidR="006811ED" w:rsidRDefault="006811ED" w:rsidP="006811ED">
            <w:pPr>
              <w:pStyle w:val="Tablea"/>
              <w:numPr>
                <w:ilvl w:val="0"/>
                <w:numId w:val="0"/>
              </w:numPr>
              <w:ind w:left="720"/>
            </w:pPr>
            <w:r>
              <w:t>means any:</w:t>
            </w:r>
          </w:p>
          <w:p w14:paraId="31072752" w14:textId="239E32C0" w:rsidR="00A516D3" w:rsidRDefault="00A516D3" w:rsidP="003A5D4B">
            <w:pPr>
              <w:pStyle w:val="Tablea"/>
            </w:pPr>
            <w:bookmarkStart w:id="6" w:name="_Ref141304001"/>
            <w:r w:rsidRPr="00BD6C5F">
              <w:t>data, text, drawings, diagrams, images or sounds (together with any database made up of any of these) which are embodied in any electronic, magnetic, optical or tangible media</w:t>
            </w:r>
            <w:r w:rsidR="006811ED">
              <w:t>;</w:t>
            </w:r>
            <w:bookmarkEnd w:id="6"/>
          </w:p>
          <w:p w14:paraId="7716242E" w14:textId="4100C5B9" w:rsidR="006811ED" w:rsidRDefault="006811ED" w:rsidP="003A5D4B">
            <w:pPr>
              <w:pStyle w:val="Tablea"/>
            </w:pPr>
            <w:bookmarkStart w:id="7" w:name="_Ref141304046"/>
            <w:r>
              <w:lastRenderedPageBreak/>
              <w:t>Personal Data for which the Authority is a, or the</w:t>
            </w:r>
            <w:r w:rsidR="005F5E01">
              <w:t>, Data Controller; or</w:t>
            </w:r>
            <w:bookmarkEnd w:id="7"/>
          </w:p>
          <w:p w14:paraId="16479F69" w14:textId="5E82F13C" w:rsidR="005F5E01" w:rsidRDefault="005F5E01" w:rsidP="003A5D4B">
            <w:pPr>
              <w:pStyle w:val="Tablea"/>
            </w:pPr>
            <w:r>
              <w:t xml:space="preserve">any meta data relating to categories of data </w:t>
            </w:r>
            <w:r w:rsidR="00AA60D5">
              <w:t xml:space="preserve">referred to in paragraphs </w:t>
            </w:r>
            <w:r w:rsidR="00C64197">
              <w:fldChar w:fldCharType="begin"/>
            </w:r>
            <w:r w:rsidR="00C64197">
              <w:instrText xml:space="preserve"> REF _Ref141304001 \r \h </w:instrText>
            </w:r>
            <w:r w:rsidR="00C64197">
              <w:fldChar w:fldCharType="separate"/>
            </w:r>
            <w:r w:rsidR="009749A0">
              <w:t>(a)</w:t>
            </w:r>
            <w:r w:rsidR="00C64197">
              <w:fldChar w:fldCharType="end"/>
            </w:r>
            <w:r w:rsidR="00AA60D5">
              <w:t xml:space="preserve"> or </w:t>
            </w:r>
            <w:r w:rsidR="00C64197">
              <w:fldChar w:fldCharType="begin"/>
            </w:r>
            <w:r w:rsidR="00C64197">
              <w:instrText xml:space="preserve"> REF _Ref141304046 \r \h </w:instrText>
            </w:r>
            <w:r w:rsidR="00C64197">
              <w:fldChar w:fldCharType="separate"/>
            </w:r>
            <w:r w:rsidR="009749A0">
              <w:t>(b)</w:t>
            </w:r>
            <w:r w:rsidR="00C64197">
              <w:fldChar w:fldCharType="end"/>
            </w:r>
            <w:r w:rsidR="00AA60D5">
              <w:t>;</w:t>
            </w:r>
          </w:p>
          <w:p w14:paraId="291DB840" w14:textId="57B09421" w:rsidR="00AA60D5" w:rsidRPr="00BD6C5F" w:rsidRDefault="00AA60D5" w:rsidP="00AA60D5">
            <w:pPr>
              <w:pStyle w:val="Tablea"/>
              <w:numPr>
                <w:ilvl w:val="0"/>
                <w:numId w:val="0"/>
              </w:numPr>
              <w:ind w:left="720"/>
            </w:pPr>
            <w:r>
              <w:t>that:</w:t>
            </w:r>
          </w:p>
          <w:p w14:paraId="406D0800" w14:textId="36D00B19" w:rsidR="00A516D3" w:rsidRPr="00BD6C5F" w:rsidRDefault="00AA60D5" w:rsidP="00386C05">
            <w:pPr>
              <w:pStyle w:val="Tableai"/>
            </w:pPr>
            <w:r>
              <w:t xml:space="preserve">is </w:t>
            </w:r>
            <w:r w:rsidR="00A516D3" w:rsidRPr="00BD6C5F">
              <w:t>supplied to the Supplier by or on behalf of the Authority; and/or</w:t>
            </w:r>
          </w:p>
          <w:p w14:paraId="41B38581" w14:textId="77777777" w:rsidR="00A516D3" w:rsidRDefault="001C3118" w:rsidP="001C3118">
            <w:pPr>
              <w:pStyle w:val="Tableai"/>
            </w:pPr>
            <w:r>
              <w:t>that</w:t>
            </w:r>
            <w:r w:rsidR="00A516D3" w:rsidRPr="00BD6C5F">
              <w:t xml:space="preserve"> the Supplier generate</w:t>
            </w:r>
            <w:r>
              <w:t>s</w:t>
            </w:r>
            <w:r w:rsidR="00A516D3" w:rsidRPr="00BD6C5F">
              <w:t>, process</w:t>
            </w:r>
            <w:r>
              <w:t>es</w:t>
            </w:r>
            <w:r w:rsidR="00A516D3" w:rsidRPr="00BD6C5F">
              <w:t>, store</w:t>
            </w:r>
            <w:r>
              <w:t>s</w:t>
            </w:r>
            <w:r w:rsidR="00A516D3" w:rsidRPr="00BD6C5F">
              <w:t xml:space="preserve"> or transmit</w:t>
            </w:r>
            <w:r>
              <w:t>s</w:t>
            </w:r>
            <w:r w:rsidR="00A516D3" w:rsidRPr="00BD6C5F">
              <w:t xml:space="preserve"> </w:t>
            </w:r>
            <w:r>
              <w:t xml:space="preserve">under </w:t>
            </w:r>
            <w:r w:rsidR="00A516D3" w:rsidRPr="00BD6C5F">
              <w:t xml:space="preserve">this Contract; </w:t>
            </w:r>
            <w:r>
              <w:t>and</w:t>
            </w:r>
          </w:p>
          <w:p w14:paraId="2FAEDDB5" w14:textId="60881643" w:rsidR="00BB3C70" w:rsidRPr="00BD6C5F" w:rsidRDefault="00BB3C70" w:rsidP="00BB3C70">
            <w:pPr>
              <w:pStyle w:val="Tableai"/>
              <w:numPr>
                <w:ilvl w:val="0"/>
                <w:numId w:val="0"/>
              </w:numPr>
              <w:ind w:left="720"/>
            </w:pPr>
            <w:r>
              <w:t>for the avoidance of doubt includes the Code and any meta data relating to the Code;</w:t>
            </w:r>
          </w:p>
        </w:tc>
      </w:tr>
      <w:tr w:rsidR="00BB3C70" w:rsidRPr="00BD6C5F" w14:paraId="7B16610E" w14:textId="77777777" w:rsidTr="00A64142">
        <w:trPr>
          <w:gridBefore w:val="1"/>
          <w:gridAfter w:val="1"/>
          <w:wBefore w:w="10" w:type="dxa"/>
          <w:wAfter w:w="32" w:type="dxa"/>
          <w:trHeight w:val="20"/>
        </w:trPr>
        <w:tc>
          <w:tcPr>
            <w:tcW w:w="3532" w:type="dxa"/>
          </w:tcPr>
          <w:p w14:paraId="00C56DDE" w14:textId="1ABBD505" w:rsidR="00BB3C70" w:rsidRPr="00BD6C5F" w:rsidRDefault="00BB3C70" w:rsidP="00BB3C70">
            <w:pPr>
              <w:pStyle w:val="Tabletext"/>
              <w:rPr>
                <w:b/>
                <w:bCs/>
              </w:rPr>
            </w:pPr>
            <w:r w:rsidRPr="00BD6C5F">
              <w:rPr>
                <w:b/>
                <w:bCs/>
              </w:rPr>
              <w:lastRenderedPageBreak/>
              <w:t xml:space="preserve">“Authority </w:t>
            </w:r>
            <w:r w:rsidR="00DD4F10">
              <w:rPr>
                <w:b/>
                <w:bCs/>
              </w:rPr>
              <w:t>Equipment</w:t>
            </w:r>
            <w:r w:rsidRPr="00BD6C5F">
              <w:rPr>
                <w:b/>
                <w:bCs/>
              </w:rPr>
              <w:t>”</w:t>
            </w:r>
          </w:p>
        </w:tc>
        <w:tc>
          <w:tcPr>
            <w:tcW w:w="5954" w:type="dxa"/>
          </w:tcPr>
          <w:p w14:paraId="311483F0" w14:textId="59876B3E" w:rsidR="00BB3C70" w:rsidRPr="00BD6C5F" w:rsidRDefault="00AF69A5" w:rsidP="00BB3C70">
            <w:pPr>
              <w:pStyle w:val="Tabletext"/>
              <w:rPr>
                <w:rFonts w:asciiTheme="minorHAnsi" w:hAnsiTheme="minorHAnsi" w:cstheme="minorHAnsi"/>
              </w:rPr>
            </w:pPr>
            <w:r w:rsidRPr="00AF69A5">
              <w:rPr>
                <w:rFonts w:asciiTheme="minorHAnsi" w:hAnsiTheme="minorHAnsi" w:cstheme="minorHAnsi"/>
              </w:rPr>
              <w:t>has the meaning given in Schedule</w:t>
            </w:r>
            <w:r w:rsidR="00C64197">
              <w:rPr>
                <w:rFonts w:asciiTheme="minorHAnsi" w:hAnsiTheme="minorHAnsi" w:cstheme="minorHAnsi"/>
              </w:rPr>
              <w:t> </w:t>
            </w:r>
            <w:r w:rsidR="00C64197">
              <w:rPr>
                <w:rFonts w:asciiTheme="minorHAnsi" w:hAnsiTheme="minorHAnsi" w:cstheme="minorHAnsi"/>
              </w:rPr>
              <w:fldChar w:fldCharType="begin"/>
            </w:r>
            <w:r w:rsidR="00C64197">
              <w:rPr>
                <w:rFonts w:asciiTheme="minorHAnsi" w:hAnsiTheme="minorHAnsi" w:cstheme="minorHAnsi"/>
              </w:rPr>
              <w:instrText xml:space="preserve"> REF Schedule_5 \h </w:instrText>
            </w:r>
            <w:r w:rsidR="00C64197">
              <w:rPr>
                <w:rFonts w:asciiTheme="minorHAnsi" w:hAnsiTheme="minorHAnsi" w:cstheme="minorHAnsi"/>
              </w:rPr>
            </w:r>
            <w:r w:rsidR="00C64197">
              <w:rPr>
                <w:rFonts w:asciiTheme="minorHAnsi" w:hAnsiTheme="minorHAnsi" w:cstheme="minorHAnsi"/>
              </w:rPr>
              <w:fldChar w:fldCharType="separate"/>
            </w:r>
            <w:r w:rsidR="009749A0">
              <w:t>5</w:t>
            </w:r>
            <w:r w:rsidR="00C64197">
              <w:rPr>
                <w:rFonts w:asciiTheme="minorHAnsi" w:hAnsiTheme="minorHAnsi" w:cstheme="minorHAnsi"/>
              </w:rPr>
              <w:fldChar w:fldCharType="end"/>
            </w:r>
            <w:r w:rsidRPr="00AF69A5">
              <w:rPr>
                <w:rFonts w:asciiTheme="minorHAnsi" w:hAnsiTheme="minorHAnsi" w:cstheme="minorHAnsi"/>
              </w:rPr>
              <w:t xml:space="preserve"> (</w:t>
            </w:r>
            <w:r w:rsidRPr="00AF69A5">
              <w:rPr>
                <w:rFonts w:asciiTheme="minorHAnsi" w:hAnsiTheme="minorHAnsi" w:cstheme="minorHAnsi"/>
                <w:i/>
                <w:iCs/>
              </w:rPr>
              <w:t>Security Management</w:t>
            </w:r>
            <w:r w:rsidRPr="00AF69A5">
              <w:rPr>
                <w:rFonts w:asciiTheme="minorHAnsi" w:hAnsiTheme="minorHAnsi" w:cstheme="minorHAnsi"/>
              </w:rPr>
              <w:t>)</w:t>
            </w:r>
            <w:r w:rsidR="00BB3C70" w:rsidRPr="00BD6C5F">
              <w:rPr>
                <w:rFonts w:asciiTheme="minorHAnsi" w:hAnsiTheme="minorHAnsi" w:cstheme="minorHAnsi"/>
              </w:rPr>
              <w:t>;</w:t>
            </w:r>
          </w:p>
        </w:tc>
      </w:tr>
      <w:tr w:rsidR="00BB3C70" w:rsidRPr="00BD6C5F" w14:paraId="5B8A8429" w14:textId="77777777" w:rsidTr="00A64142">
        <w:trPr>
          <w:gridBefore w:val="1"/>
          <w:gridAfter w:val="1"/>
          <w:wBefore w:w="10" w:type="dxa"/>
          <w:wAfter w:w="32" w:type="dxa"/>
          <w:trHeight w:val="20"/>
        </w:trPr>
        <w:tc>
          <w:tcPr>
            <w:tcW w:w="3532" w:type="dxa"/>
          </w:tcPr>
          <w:p w14:paraId="660C3473" w14:textId="4378536B" w:rsidR="00BB3C70" w:rsidRPr="00BD6C5F" w:rsidRDefault="00BB3C70" w:rsidP="00BB3C70">
            <w:pPr>
              <w:pStyle w:val="Tabletext"/>
              <w:rPr>
                <w:b/>
                <w:bCs/>
              </w:rPr>
            </w:pPr>
            <w:r w:rsidRPr="00BD6C5F">
              <w:rPr>
                <w:b/>
                <w:bCs/>
              </w:rPr>
              <w:t>“Authority IT Strategy”</w:t>
            </w:r>
          </w:p>
        </w:tc>
        <w:tc>
          <w:tcPr>
            <w:tcW w:w="5954" w:type="dxa"/>
          </w:tcPr>
          <w:p w14:paraId="7D4502D4" w14:textId="41A2E162"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Authority’s IT policy in force as at the Effective Date (a copy of which has been supplied to the Supplier), as updated from time to time in accordance with the Change Control Procedure;</w:t>
            </w:r>
          </w:p>
        </w:tc>
      </w:tr>
      <w:tr w:rsidR="00BB3C70" w:rsidRPr="00BD6C5F" w14:paraId="5F8EC1D0" w14:textId="77777777" w:rsidTr="00A64142">
        <w:trPr>
          <w:gridBefore w:val="1"/>
          <w:gridAfter w:val="1"/>
          <w:wBefore w:w="10" w:type="dxa"/>
          <w:wAfter w:w="32" w:type="dxa"/>
          <w:trHeight w:val="20"/>
        </w:trPr>
        <w:tc>
          <w:tcPr>
            <w:tcW w:w="3532" w:type="dxa"/>
          </w:tcPr>
          <w:p w14:paraId="6BFD108D" w14:textId="7AB09877" w:rsidR="00BB3C70" w:rsidRPr="00BD6C5F" w:rsidRDefault="00BB3C70" w:rsidP="00BB3C70">
            <w:pPr>
              <w:pStyle w:val="Tabletext"/>
              <w:rPr>
                <w:b/>
                <w:bCs/>
              </w:rPr>
            </w:pPr>
            <w:r w:rsidRPr="00BD6C5F">
              <w:rPr>
                <w:b/>
                <w:bCs/>
              </w:rPr>
              <w:t>“Authority Materials”</w:t>
            </w:r>
          </w:p>
        </w:tc>
        <w:tc>
          <w:tcPr>
            <w:tcW w:w="5954" w:type="dxa"/>
          </w:tcPr>
          <w:p w14:paraId="6670F47F"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Authority Data together with any materials, documentation, information, programs and codes supplied by the Authority to the Supplier, the IPRs in which:</w:t>
            </w:r>
          </w:p>
          <w:p w14:paraId="16608EF8" w14:textId="77777777" w:rsidR="00BB3C70" w:rsidRPr="00BD6C5F" w:rsidRDefault="00BB3C70" w:rsidP="00BB3C70">
            <w:pPr>
              <w:pStyle w:val="Tablea"/>
            </w:pPr>
            <w:r w:rsidRPr="00BD6C5F">
              <w:t xml:space="preserve">are </w:t>
            </w:r>
            <w:r w:rsidRPr="00A64142">
              <w:t>owned</w:t>
            </w:r>
            <w:r w:rsidRPr="00BD6C5F">
              <w:t xml:space="preserve"> or used by or on behalf of the Authority; and</w:t>
            </w:r>
          </w:p>
          <w:p w14:paraId="115989FA" w14:textId="77777777" w:rsidR="00BB3C70" w:rsidRPr="00BD6C5F" w:rsidRDefault="00BB3C70" w:rsidP="00BB3C70">
            <w:pPr>
              <w:pStyle w:val="Tablea"/>
            </w:pPr>
            <w:r w:rsidRPr="00BD6C5F">
              <w:t>are or may be used in connection with the provision or receipt of the Services,</w:t>
            </w:r>
          </w:p>
          <w:p w14:paraId="330EF30B"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but excluding any Project Specific IPRs, Specially Written Software, Supplier Software, Third Party Software and Documentation relating to Supplier Software or Third Party Software;</w:t>
            </w:r>
          </w:p>
        </w:tc>
      </w:tr>
      <w:tr w:rsidR="00BB3C70" w:rsidRPr="00BD6C5F" w14:paraId="4CB75032" w14:textId="77777777" w:rsidTr="00A64142">
        <w:trPr>
          <w:gridBefore w:val="1"/>
          <w:gridAfter w:val="1"/>
          <w:wBefore w:w="10" w:type="dxa"/>
          <w:wAfter w:w="32" w:type="dxa"/>
          <w:trHeight w:val="20"/>
        </w:trPr>
        <w:tc>
          <w:tcPr>
            <w:tcW w:w="3532" w:type="dxa"/>
          </w:tcPr>
          <w:p w14:paraId="02AE3A15" w14:textId="5C4945B3" w:rsidR="00BB3C70" w:rsidRPr="00BD6C5F" w:rsidRDefault="00BB3C70" w:rsidP="00BB3C70">
            <w:pPr>
              <w:pStyle w:val="Tabletext"/>
              <w:rPr>
                <w:b/>
                <w:bCs/>
              </w:rPr>
            </w:pPr>
            <w:r w:rsidRPr="00BD6C5F">
              <w:rPr>
                <w:b/>
                <w:bCs/>
              </w:rPr>
              <w:t>“Authority Premises”</w:t>
            </w:r>
          </w:p>
        </w:tc>
        <w:tc>
          <w:tcPr>
            <w:tcW w:w="5954" w:type="dxa"/>
          </w:tcPr>
          <w:p w14:paraId="70F6F238" w14:textId="11D41383"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premises owned, controlled or occupied by the Authority and/or any C</w:t>
            </w:r>
            <w:r>
              <w:rPr>
                <w:rFonts w:asciiTheme="minorHAnsi" w:hAnsiTheme="minorHAnsi" w:cstheme="minorHAnsi"/>
              </w:rPr>
              <w:t>rown</w:t>
            </w:r>
            <w:r w:rsidRPr="00BD6C5F">
              <w:rPr>
                <w:rFonts w:asciiTheme="minorHAnsi" w:hAnsiTheme="minorHAnsi" w:cstheme="minorHAnsi"/>
              </w:rPr>
              <w:t xml:space="preserve"> Body which are made available for use by the Supplier or its Sub-contractors for provision of the Services (or any of them);</w:t>
            </w:r>
          </w:p>
        </w:tc>
      </w:tr>
      <w:tr w:rsidR="00BB3C70" w:rsidRPr="00BD6C5F" w14:paraId="5F83053A" w14:textId="77777777" w:rsidTr="00A64142">
        <w:trPr>
          <w:gridBefore w:val="1"/>
          <w:gridAfter w:val="1"/>
          <w:wBefore w:w="10" w:type="dxa"/>
          <w:wAfter w:w="32" w:type="dxa"/>
          <w:trHeight w:val="20"/>
        </w:trPr>
        <w:tc>
          <w:tcPr>
            <w:tcW w:w="3532" w:type="dxa"/>
          </w:tcPr>
          <w:p w14:paraId="2F8C76B1" w14:textId="2DAC4698" w:rsidR="00BB3C70" w:rsidRPr="00BD6C5F" w:rsidRDefault="00BB3C70" w:rsidP="00BB3C70">
            <w:pPr>
              <w:pStyle w:val="Tabletext"/>
              <w:rPr>
                <w:b/>
                <w:bCs/>
              </w:rPr>
            </w:pPr>
            <w:r w:rsidRPr="00BD6C5F">
              <w:rPr>
                <w:b/>
                <w:bCs/>
              </w:rPr>
              <w:t>“Authority Representative”</w:t>
            </w:r>
          </w:p>
        </w:tc>
        <w:tc>
          <w:tcPr>
            <w:tcW w:w="5954" w:type="dxa"/>
          </w:tcPr>
          <w:p w14:paraId="3AB226B0" w14:textId="3C2D3969"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representative appointed by the Authority pursuant to Clause 11.4 (</w:t>
            </w:r>
            <w:r w:rsidRPr="00BD6C5F">
              <w:rPr>
                <w:rFonts w:asciiTheme="minorHAnsi" w:hAnsiTheme="minorHAnsi" w:cstheme="minorHAnsi"/>
                <w:i/>
              </w:rPr>
              <w:t>Representatives</w:t>
            </w:r>
            <w:r w:rsidRPr="00BD6C5F">
              <w:rPr>
                <w:rFonts w:asciiTheme="minorHAnsi" w:hAnsiTheme="minorHAnsi" w:cstheme="minorHAnsi"/>
              </w:rPr>
              <w:t>);</w:t>
            </w:r>
          </w:p>
        </w:tc>
      </w:tr>
      <w:tr w:rsidR="00BB3C70" w:rsidRPr="00BD6C5F" w14:paraId="5EB23397" w14:textId="77777777" w:rsidTr="00A64142">
        <w:trPr>
          <w:gridBefore w:val="1"/>
          <w:gridAfter w:val="1"/>
          <w:wBefore w:w="10" w:type="dxa"/>
          <w:wAfter w:w="32" w:type="dxa"/>
          <w:trHeight w:val="20"/>
        </w:trPr>
        <w:tc>
          <w:tcPr>
            <w:tcW w:w="3532" w:type="dxa"/>
          </w:tcPr>
          <w:p w14:paraId="406C735D" w14:textId="35A44223" w:rsidR="00BB3C70" w:rsidRPr="00BD6C5F" w:rsidRDefault="00BB3C70" w:rsidP="00BB3C70">
            <w:pPr>
              <w:pStyle w:val="Tabletext"/>
              <w:rPr>
                <w:b/>
                <w:bCs/>
              </w:rPr>
            </w:pPr>
            <w:r w:rsidRPr="00BD6C5F">
              <w:rPr>
                <w:b/>
                <w:bCs/>
              </w:rPr>
              <w:t>“Authority Requirements”</w:t>
            </w:r>
          </w:p>
        </w:tc>
        <w:tc>
          <w:tcPr>
            <w:tcW w:w="5954" w:type="dxa"/>
          </w:tcPr>
          <w:p w14:paraId="1B9282D7" w14:textId="59BB25C9" w:rsidR="00BB3C70" w:rsidRPr="00BD6C5F" w:rsidRDefault="00BB3C70" w:rsidP="00BB3C70">
            <w:pPr>
              <w:pStyle w:val="Tabletext"/>
              <w:rPr>
                <w:rFonts w:asciiTheme="minorHAnsi" w:hAnsiTheme="minorHAnsi" w:cstheme="minorHAnsi"/>
                <w:i/>
              </w:rPr>
            </w:pPr>
            <w:r w:rsidRPr="00BD6C5F">
              <w:rPr>
                <w:rFonts w:asciiTheme="minorHAnsi" w:hAnsiTheme="minorHAnsi" w:cstheme="minorHAnsi"/>
              </w:rPr>
              <w:t>the requirements of the Authority set out in Schedule </w:t>
            </w:r>
            <w:r>
              <w:rPr>
                <w:rFonts w:asciiTheme="minorHAnsi" w:hAnsiTheme="minorHAnsi" w:cstheme="minorHAnsi"/>
              </w:rPr>
              <w:fldChar w:fldCharType="begin"/>
            </w:r>
            <w:r>
              <w:rPr>
                <w:rFonts w:asciiTheme="minorHAnsi" w:hAnsiTheme="minorHAnsi" w:cstheme="minorHAnsi"/>
              </w:rPr>
              <w:instrText xml:space="preserve"> REF Schedule_2 \h </w:instrText>
            </w:r>
            <w:r>
              <w:rPr>
                <w:rFonts w:asciiTheme="minorHAnsi" w:hAnsiTheme="minorHAnsi" w:cstheme="minorHAnsi"/>
              </w:rPr>
            </w:r>
            <w:r>
              <w:rPr>
                <w:rFonts w:asciiTheme="minorHAnsi" w:hAnsiTheme="minorHAnsi" w:cstheme="minorHAnsi"/>
              </w:rPr>
              <w:fldChar w:fldCharType="separate"/>
            </w:r>
            <w:r w:rsidR="009749A0">
              <w:t>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Services Description</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Schedule_4 \h </w:instrText>
            </w:r>
            <w:r>
              <w:rPr>
                <w:rFonts w:asciiTheme="minorHAnsi" w:hAnsiTheme="minorHAnsi" w:cstheme="minorHAnsi"/>
              </w:rPr>
            </w:r>
            <w:r>
              <w:rPr>
                <w:rFonts w:asciiTheme="minorHAnsi" w:hAnsiTheme="minorHAnsi" w:cstheme="minorHAnsi"/>
              </w:rPr>
              <w:fldChar w:fldCharType="separate"/>
            </w:r>
            <w:r w:rsidR="009749A0">
              <w:t>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Standards</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Schedule_5 \h </w:instrText>
            </w:r>
            <w:r>
              <w:rPr>
                <w:rFonts w:asciiTheme="minorHAnsi" w:hAnsiTheme="minorHAnsi" w:cstheme="minorHAnsi"/>
              </w:rPr>
            </w:r>
            <w:r>
              <w:rPr>
                <w:rFonts w:asciiTheme="minorHAnsi" w:hAnsiTheme="minorHAnsi" w:cstheme="minorHAnsi"/>
              </w:rPr>
              <w:fldChar w:fldCharType="separate"/>
            </w:r>
            <w:r w:rsidR="009749A0">
              <w:t>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Security Management</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Schedule_6 \h </w:instrText>
            </w:r>
            <w:r>
              <w:rPr>
                <w:rFonts w:asciiTheme="minorHAnsi" w:hAnsiTheme="minorHAnsi" w:cstheme="minorHAnsi"/>
              </w:rPr>
            </w:r>
            <w:r>
              <w:rPr>
                <w:rFonts w:asciiTheme="minorHAnsi" w:hAnsiTheme="minorHAnsi" w:cstheme="minorHAnsi"/>
              </w:rPr>
              <w:fldChar w:fldCharType="separate"/>
            </w:r>
            <w:r w:rsidR="009749A0">
              <w:t>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Insurance Requirements</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Schedule_13 \h </w:instrText>
            </w:r>
            <w:r>
              <w:rPr>
                <w:rFonts w:asciiTheme="minorHAnsi" w:hAnsiTheme="minorHAnsi" w:cstheme="minorHAnsi"/>
              </w:rPr>
            </w:r>
            <w:r>
              <w:rPr>
                <w:rFonts w:asciiTheme="minorHAnsi" w:hAnsiTheme="minorHAnsi" w:cstheme="minorHAnsi"/>
              </w:rPr>
              <w:fldChar w:fldCharType="separate"/>
            </w:r>
            <w:r w:rsidR="009749A0">
              <w:t>13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Implementation Plan</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rPr>
              <w:lastRenderedPageBreak/>
              <w:t>(</w:t>
            </w:r>
            <w:r w:rsidRPr="00BD6C5F">
              <w:rPr>
                <w:rFonts w:asciiTheme="minorHAnsi" w:hAnsiTheme="minorHAnsi" w:cstheme="minorHAnsi"/>
                <w:i/>
              </w:rPr>
              <w:t>Reports and Records Provisions</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 and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 Continuity Plan and Corporate Resolution Planning</w:t>
            </w:r>
            <w:r w:rsidRPr="00BD6C5F">
              <w:rPr>
                <w:rFonts w:asciiTheme="minorHAnsi" w:hAnsiTheme="minorHAnsi" w:cstheme="minorHAnsi"/>
              </w:rPr>
              <w:t>);</w:t>
            </w:r>
          </w:p>
        </w:tc>
      </w:tr>
      <w:tr w:rsidR="00BB3C70" w:rsidRPr="00BD6C5F" w14:paraId="3372FB54" w14:textId="77777777" w:rsidTr="00A64142">
        <w:trPr>
          <w:gridBefore w:val="1"/>
          <w:gridAfter w:val="1"/>
          <w:wBefore w:w="10" w:type="dxa"/>
          <w:wAfter w:w="32" w:type="dxa"/>
          <w:trHeight w:val="20"/>
        </w:trPr>
        <w:tc>
          <w:tcPr>
            <w:tcW w:w="3532" w:type="dxa"/>
          </w:tcPr>
          <w:p w14:paraId="545320AE" w14:textId="1C789926" w:rsidR="00BB3C70" w:rsidRPr="00BD6C5F" w:rsidRDefault="00BB3C70" w:rsidP="00BB3C70">
            <w:pPr>
              <w:pStyle w:val="Tabletext"/>
              <w:rPr>
                <w:b/>
                <w:bCs/>
              </w:rPr>
            </w:pPr>
            <w:r w:rsidRPr="00BD6C5F">
              <w:rPr>
                <w:b/>
                <w:bCs/>
              </w:rPr>
              <w:lastRenderedPageBreak/>
              <w:t>“Authority Responsibilities”</w:t>
            </w:r>
          </w:p>
        </w:tc>
        <w:tc>
          <w:tcPr>
            <w:tcW w:w="5954" w:type="dxa"/>
          </w:tcPr>
          <w:p w14:paraId="14198E40" w14:textId="45DA072F"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responsibilities of the Authority specified in Schedule </w:t>
            </w:r>
            <w:r>
              <w:rPr>
                <w:rFonts w:asciiTheme="minorHAnsi" w:hAnsiTheme="minorHAnsi" w:cstheme="minorHAnsi"/>
              </w:rPr>
              <w:fldChar w:fldCharType="begin"/>
            </w:r>
            <w:r>
              <w:rPr>
                <w:rFonts w:asciiTheme="minorHAnsi" w:hAnsiTheme="minorHAnsi" w:cstheme="minorHAnsi"/>
              </w:rPr>
              <w:instrText xml:space="preserve"> REF Schedule_7 \h </w:instrText>
            </w:r>
            <w:r>
              <w:rPr>
                <w:rFonts w:asciiTheme="minorHAnsi" w:hAnsiTheme="minorHAnsi" w:cstheme="minorHAnsi"/>
              </w:rPr>
            </w:r>
            <w:r>
              <w:rPr>
                <w:rFonts w:asciiTheme="minorHAnsi" w:hAnsiTheme="minorHAnsi" w:cstheme="minorHAnsi"/>
              </w:rPr>
              <w:fldChar w:fldCharType="separate"/>
            </w:r>
            <w:r w:rsidR="009749A0">
              <w:t>7</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Authority Responsibilities</w:t>
            </w:r>
            <w:r w:rsidRPr="00BD6C5F">
              <w:rPr>
                <w:rFonts w:asciiTheme="minorHAnsi" w:hAnsiTheme="minorHAnsi" w:cstheme="minorHAnsi"/>
              </w:rPr>
              <w:t>);</w:t>
            </w:r>
          </w:p>
        </w:tc>
      </w:tr>
      <w:tr w:rsidR="00BB3C70" w:rsidRPr="00BD6C5F" w14:paraId="1B1E2738" w14:textId="77777777" w:rsidTr="00A64142">
        <w:trPr>
          <w:gridBefore w:val="1"/>
          <w:gridAfter w:val="1"/>
          <w:wBefore w:w="10" w:type="dxa"/>
          <w:wAfter w:w="32" w:type="dxa"/>
          <w:trHeight w:val="20"/>
        </w:trPr>
        <w:tc>
          <w:tcPr>
            <w:tcW w:w="3532" w:type="dxa"/>
          </w:tcPr>
          <w:p w14:paraId="5D208354" w14:textId="2B8768D1" w:rsidR="00BB3C70" w:rsidRPr="00BD6C5F" w:rsidRDefault="00BB3C70" w:rsidP="00BB3C70">
            <w:pPr>
              <w:pStyle w:val="Tabletext"/>
              <w:rPr>
                <w:b/>
                <w:bCs/>
              </w:rPr>
            </w:pPr>
            <w:r w:rsidRPr="00BD6C5F">
              <w:rPr>
                <w:b/>
                <w:bCs/>
              </w:rPr>
              <w:t>“Authority Software”</w:t>
            </w:r>
          </w:p>
        </w:tc>
        <w:tc>
          <w:tcPr>
            <w:tcW w:w="5954" w:type="dxa"/>
          </w:tcPr>
          <w:p w14:paraId="435B2819" w14:textId="6B5CAAE1"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software which is owned by or licensed to the Authority (other than under or pursuant to this Contract) and which is or will be used by the Supplier for the purposes of providing the Services;</w:t>
            </w:r>
          </w:p>
        </w:tc>
      </w:tr>
      <w:tr w:rsidR="00BB3C70" w:rsidRPr="00BD6C5F" w14:paraId="2F0A9151" w14:textId="77777777" w:rsidTr="00A64142">
        <w:trPr>
          <w:gridBefore w:val="1"/>
          <w:gridAfter w:val="1"/>
          <w:wBefore w:w="10" w:type="dxa"/>
          <w:wAfter w:w="32" w:type="dxa"/>
          <w:trHeight w:val="20"/>
        </w:trPr>
        <w:tc>
          <w:tcPr>
            <w:tcW w:w="3532" w:type="dxa"/>
          </w:tcPr>
          <w:p w14:paraId="6ED3448A" w14:textId="7FEDCD51" w:rsidR="00BB3C70" w:rsidRPr="00BD6C5F" w:rsidRDefault="00BB3C70" w:rsidP="00BB3C70">
            <w:pPr>
              <w:pStyle w:val="Tabletext"/>
              <w:rPr>
                <w:b/>
                <w:bCs/>
              </w:rPr>
            </w:pPr>
            <w:r w:rsidRPr="00BD6C5F">
              <w:rPr>
                <w:b/>
                <w:bCs/>
              </w:rPr>
              <w:t>“Authority System”</w:t>
            </w:r>
          </w:p>
        </w:tc>
        <w:tc>
          <w:tcPr>
            <w:tcW w:w="5954" w:type="dxa"/>
          </w:tcPr>
          <w:p w14:paraId="76155E93" w14:textId="418CEB30" w:rsidR="00864E8B" w:rsidRPr="00BD6C5F" w:rsidRDefault="00864E8B" w:rsidP="00864E8B">
            <w:pPr>
              <w:pStyle w:val="Tabletext"/>
              <w:rPr>
                <w:rFonts w:asciiTheme="minorHAnsi" w:hAnsiTheme="minorHAnsi" w:cstheme="minorHAnsi"/>
              </w:rPr>
            </w:pPr>
            <w:r w:rsidRPr="00864E8B">
              <w:rPr>
                <w:rFonts w:asciiTheme="minorHAnsi" w:hAnsiTheme="minorHAnsi" w:cstheme="minorHAnsi"/>
              </w:rPr>
              <w:t>means the Authority's information and  communications technology system, including any software or Authority Equipment, owned by the Authority or leased or licenced to it by a third party, that:</w:t>
            </w:r>
          </w:p>
          <w:p w14:paraId="15EA0671" w14:textId="77777777" w:rsidR="00864E8B" w:rsidRPr="00864E8B" w:rsidRDefault="00864E8B" w:rsidP="00864E8B">
            <w:pPr>
              <w:pStyle w:val="Tablea"/>
            </w:pPr>
            <w:r w:rsidRPr="00864E8B">
              <w:t>is used by the Authority or the Supplier in connection with this Contract;</w:t>
            </w:r>
          </w:p>
          <w:p w14:paraId="0D372FDB" w14:textId="77777777" w:rsidR="00864E8B" w:rsidRPr="00864E8B" w:rsidRDefault="00864E8B" w:rsidP="00864E8B">
            <w:pPr>
              <w:pStyle w:val="Tablea"/>
            </w:pPr>
            <w:r w:rsidRPr="00864E8B">
              <w:t>interfaces with the Supplier System; and/or</w:t>
            </w:r>
          </w:p>
          <w:p w14:paraId="39F960FD" w14:textId="4943C702" w:rsidR="00BB3C70" w:rsidRPr="00BD6C5F" w:rsidRDefault="00864E8B" w:rsidP="001C57ED">
            <w:pPr>
              <w:pStyle w:val="Tablea"/>
            </w:pPr>
            <w:r w:rsidRPr="00864E8B">
              <w:t>is necessary for the Authority to receive the Services.</w:t>
            </w:r>
          </w:p>
        </w:tc>
      </w:tr>
      <w:tr w:rsidR="00BB3C70" w:rsidRPr="00BD6C5F" w14:paraId="5D3B5C78" w14:textId="77777777" w:rsidTr="00A64142">
        <w:trPr>
          <w:gridBefore w:val="1"/>
          <w:gridAfter w:val="1"/>
          <w:wBefore w:w="10" w:type="dxa"/>
          <w:wAfter w:w="32" w:type="dxa"/>
          <w:trHeight w:val="20"/>
        </w:trPr>
        <w:tc>
          <w:tcPr>
            <w:tcW w:w="3532" w:type="dxa"/>
          </w:tcPr>
          <w:p w14:paraId="4375AE3C" w14:textId="0F1F0BEE" w:rsidR="00BB3C70" w:rsidRPr="00BD6C5F" w:rsidRDefault="00BB3C70" w:rsidP="00BB3C70">
            <w:pPr>
              <w:pStyle w:val="Tabletext"/>
              <w:rPr>
                <w:b/>
                <w:bCs/>
              </w:rPr>
            </w:pPr>
            <w:r w:rsidRPr="00BD6C5F">
              <w:rPr>
                <w:b/>
                <w:bCs/>
              </w:rPr>
              <w:t>“Authority to Proceed” or “ATP”</w:t>
            </w:r>
          </w:p>
        </w:tc>
        <w:tc>
          <w:tcPr>
            <w:tcW w:w="5954" w:type="dxa"/>
          </w:tcPr>
          <w:p w14:paraId="14AA1D86"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authorisation to the Supplier to commence the provision of the relevant Operational Services to the Authority, provided by the Authority in the form of a Milestone Achievement Certificate in respect of the ATP Milestone;</w:t>
            </w:r>
          </w:p>
        </w:tc>
      </w:tr>
      <w:tr w:rsidR="00BB3C70" w:rsidRPr="00BD6C5F" w14:paraId="35B86000" w14:textId="77777777" w:rsidTr="00A64142">
        <w:trPr>
          <w:gridBefore w:val="1"/>
          <w:gridAfter w:val="1"/>
          <w:wBefore w:w="10" w:type="dxa"/>
          <w:wAfter w:w="32" w:type="dxa"/>
          <w:trHeight w:val="20"/>
        </w:trPr>
        <w:tc>
          <w:tcPr>
            <w:tcW w:w="3532" w:type="dxa"/>
          </w:tcPr>
          <w:p w14:paraId="495749AD" w14:textId="4228DFBC" w:rsidR="00BB3C70" w:rsidRPr="00BD6C5F" w:rsidRDefault="00BB3C70" w:rsidP="00BB3C70">
            <w:pPr>
              <w:pStyle w:val="Tabletext"/>
              <w:rPr>
                <w:b/>
                <w:bCs/>
              </w:rPr>
            </w:pPr>
            <w:r w:rsidRPr="00BD6C5F">
              <w:rPr>
                <w:b/>
                <w:bCs/>
              </w:rPr>
              <w:t>“Balanced Scorecard Report”</w:t>
            </w:r>
          </w:p>
        </w:tc>
        <w:tc>
          <w:tcPr>
            <w:tcW w:w="5954" w:type="dxa"/>
          </w:tcPr>
          <w:p w14:paraId="34B242C5" w14:textId="38BA42A6"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has the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_Ref98351196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1.1.2</w:t>
            </w:r>
            <w:r w:rsidRPr="00BD6C5F">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Schedule_3_Part_B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BB3C70" w:rsidRPr="00BD6C5F" w14:paraId="58EEA132" w14:textId="77777777" w:rsidTr="00A64142">
        <w:trPr>
          <w:gridBefore w:val="1"/>
          <w:gridAfter w:val="1"/>
          <w:wBefore w:w="10" w:type="dxa"/>
          <w:wAfter w:w="32" w:type="dxa"/>
          <w:trHeight w:val="20"/>
        </w:trPr>
        <w:tc>
          <w:tcPr>
            <w:tcW w:w="3532" w:type="dxa"/>
          </w:tcPr>
          <w:p w14:paraId="101B0CF3" w14:textId="61D2B86E" w:rsidR="00BB3C70" w:rsidRPr="00BD6C5F" w:rsidRDefault="00BB3C70" w:rsidP="00BB3C70">
            <w:pPr>
              <w:pStyle w:val="Tabletext"/>
              <w:rPr>
                <w:b/>
                <w:bCs/>
              </w:rPr>
            </w:pPr>
            <w:r w:rsidRPr="00BD6C5F">
              <w:rPr>
                <w:b/>
                <w:bCs/>
              </w:rPr>
              <w:t>“Board”</w:t>
            </w:r>
          </w:p>
        </w:tc>
        <w:tc>
          <w:tcPr>
            <w:tcW w:w="5954" w:type="dxa"/>
          </w:tcPr>
          <w:p w14:paraId="78CC83F1" w14:textId="2228D952"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means the Supplier’s board of directors;</w:t>
            </w:r>
          </w:p>
        </w:tc>
      </w:tr>
      <w:tr w:rsidR="00BB3C70" w:rsidRPr="00BD6C5F" w14:paraId="1B2C945D" w14:textId="77777777" w:rsidTr="00A64142">
        <w:trPr>
          <w:gridBefore w:val="1"/>
          <w:gridAfter w:val="1"/>
          <w:wBefore w:w="10" w:type="dxa"/>
          <w:wAfter w:w="32" w:type="dxa"/>
          <w:trHeight w:val="20"/>
        </w:trPr>
        <w:tc>
          <w:tcPr>
            <w:tcW w:w="3532" w:type="dxa"/>
          </w:tcPr>
          <w:p w14:paraId="55AAE3B0" w14:textId="39026F18" w:rsidR="00BB3C70" w:rsidRPr="00BD6C5F" w:rsidRDefault="00BB3C70" w:rsidP="00BB3C70">
            <w:pPr>
              <w:pStyle w:val="Tabletext"/>
              <w:rPr>
                <w:b/>
                <w:bCs/>
              </w:rPr>
            </w:pPr>
            <w:r w:rsidRPr="00BD6C5F">
              <w:rPr>
                <w:b/>
                <w:bCs/>
              </w:rPr>
              <w:t>“Board Confirmation”</w:t>
            </w:r>
          </w:p>
        </w:tc>
        <w:tc>
          <w:tcPr>
            <w:tcW w:w="5954" w:type="dxa"/>
          </w:tcPr>
          <w:p w14:paraId="16DF9A3B" w14:textId="380EA20C"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means the written confirmation from the Board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_Ref98254029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8</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Schedule_18 \h </w:instrText>
            </w:r>
            <w:r>
              <w:rPr>
                <w:rFonts w:asciiTheme="minorHAnsi" w:hAnsiTheme="minorHAnsi" w:cstheme="minorHAnsi"/>
              </w:rPr>
            </w:r>
            <w:r>
              <w:rPr>
                <w:rFonts w:asciiTheme="minorHAnsi" w:hAnsiTheme="minorHAnsi" w:cstheme="minorHAnsi"/>
              </w:rPr>
              <w:fldChar w:fldCharType="separate"/>
            </w:r>
            <w:r w:rsidR="009749A0">
              <w:t>18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Distress</w:t>
            </w:r>
            <w:r w:rsidRPr="00BD6C5F">
              <w:rPr>
                <w:rFonts w:asciiTheme="minorHAnsi" w:hAnsiTheme="minorHAnsi" w:cstheme="minorHAnsi"/>
              </w:rPr>
              <w:t>);</w:t>
            </w:r>
          </w:p>
        </w:tc>
      </w:tr>
      <w:tr w:rsidR="00BB3C70" w:rsidRPr="00BD6C5F" w14:paraId="3A2F5A6B" w14:textId="77777777" w:rsidTr="00A64142">
        <w:trPr>
          <w:gridBefore w:val="1"/>
          <w:gridAfter w:val="1"/>
          <w:wBefore w:w="10" w:type="dxa"/>
          <w:wAfter w:w="32" w:type="dxa"/>
          <w:trHeight w:val="20"/>
        </w:trPr>
        <w:tc>
          <w:tcPr>
            <w:tcW w:w="3532" w:type="dxa"/>
          </w:tcPr>
          <w:p w14:paraId="16E91C98" w14:textId="539800D0" w:rsidR="00BB3C70" w:rsidRPr="00BD6C5F" w:rsidRDefault="00BB3C70" w:rsidP="00BB3C70">
            <w:pPr>
              <w:pStyle w:val="Tabletext"/>
              <w:rPr>
                <w:b/>
                <w:bCs/>
              </w:rPr>
            </w:pPr>
            <w:r w:rsidRPr="00BD6C5F">
              <w:rPr>
                <w:b/>
                <w:bCs/>
              </w:rPr>
              <w:t>“Breakage Costs Payment”</w:t>
            </w:r>
          </w:p>
        </w:tc>
        <w:tc>
          <w:tcPr>
            <w:tcW w:w="5954" w:type="dxa"/>
          </w:tcPr>
          <w:p w14:paraId="07FAC39F" w14:textId="725B5B0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Schedule_16 \h </w:instrText>
            </w:r>
            <w:r>
              <w:rPr>
                <w:rFonts w:asciiTheme="minorHAnsi" w:hAnsiTheme="minorHAnsi" w:cstheme="minorHAnsi"/>
              </w:rPr>
            </w:r>
            <w:r>
              <w:rPr>
                <w:rFonts w:asciiTheme="minorHAnsi" w:hAnsiTheme="minorHAnsi" w:cstheme="minorHAnsi"/>
              </w:rPr>
              <w:fldChar w:fldCharType="separate"/>
            </w:r>
            <w:r w:rsidR="009749A0">
              <w:t>16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Payments on Termination</w:t>
            </w:r>
            <w:r w:rsidRPr="00BD6C5F">
              <w:rPr>
                <w:rFonts w:asciiTheme="minorHAnsi" w:hAnsiTheme="minorHAnsi" w:cstheme="minorHAnsi"/>
              </w:rPr>
              <w:t>);</w:t>
            </w:r>
          </w:p>
        </w:tc>
      </w:tr>
      <w:tr w:rsidR="00BB3C70" w:rsidRPr="00BD6C5F" w14:paraId="5ACCC073" w14:textId="77777777" w:rsidTr="00A64142">
        <w:trPr>
          <w:gridBefore w:val="1"/>
          <w:gridAfter w:val="1"/>
          <w:wBefore w:w="10" w:type="dxa"/>
          <w:wAfter w:w="32" w:type="dxa"/>
          <w:trHeight w:val="20"/>
        </w:trPr>
        <w:tc>
          <w:tcPr>
            <w:tcW w:w="3532" w:type="dxa"/>
          </w:tcPr>
          <w:p w14:paraId="45AC826D" w14:textId="1F323A09" w:rsidR="00BB3C70" w:rsidRPr="00BD6C5F" w:rsidRDefault="00BB3C70" w:rsidP="00BB3C70">
            <w:pPr>
              <w:pStyle w:val="Tabletext"/>
              <w:rPr>
                <w:b/>
                <w:bCs/>
              </w:rPr>
            </w:pPr>
            <w:r w:rsidRPr="00BD6C5F">
              <w:rPr>
                <w:b/>
                <w:bCs/>
              </w:rPr>
              <w:t>“Cabinet Office Markets and Suppliers Team”</w:t>
            </w:r>
          </w:p>
        </w:tc>
        <w:tc>
          <w:tcPr>
            <w:tcW w:w="5954" w:type="dxa"/>
          </w:tcPr>
          <w:p w14:paraId="06147B59" w14:textId="0F69CE0B"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means the UK Government’s team responsible for managing the relationship between government and its Strategic Suppliers, or any replacement or successor body carrying out the same function;</w:t>
            </w:r>
          </w:p>
        </w:tc>
      </w:tr>
      <w:tr w:rsidR="00BB3C70" w:rsidRPr="00BD6C5F" w14:paraId="0B7A7809" w14:textId="77777777" w:rsidTr="00A64142">
        <w:trPr>
          <w:gridBefore w:val="1"/>
          <w:gridAfter w:val="1"/>
          <w:wBefore w:w="10" w:type="dxa"/>
          <w:wAfter w:w="32" w:type="dxa"/>
          <w:trHeight w:val="20"/>
        </w:trPr>
        <w:tc>
          <w:tcPr>
            <w:tcW w:w="3532" w:type="dxa"/>
          </w:tcPr>
          <w:p w14:paraId="131A78E5" w14:textId="1AFD1076" w:rsidR="00BB3C70" w:rsidRPr="00BD6C5F" w:rsidRDefault="00BB3C70" w:rsidP="00BB3C70">
            <w:pPr>
              <w:pStyle w:val="Tabletext"/>
              <w:rPr>
                <w:b/>
                <w:bCs/>
              </w:rPr>
            </w:pPr>
            <w:r w:rsidRPr="00BD6C5F">
              <w:rPr>
                <w:b/>
                <w:bCs/>
              </w:rPr>
              <w:t>“Certificate of Costs”</w:t>
            </w:r>
          </w:p>
        </w:tc>
        <w:tc>
          <w:tcPr>
            <w:tcW w:w="5954" w:type="dxa"/>
          </w:tcPr>
          <w:p w14:paraId="799CB28B" w14:textId="08D0C923"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BB3C70" w:rsidRPr="00BD6C5F" w14:paraId="4B1B7EFB" w14:textId="77777777" w:rsidTr="00A64142">
        <w:trPr>
          <w:gridBefore w:val="1"/>
          <w:gridAfter w:val="1"/>
          <w:wBefore w:w="10" w:type="dxa"/>
          <w:wAfter w:w="32" w:type="dxa"/>
          <w:trHeight w:val="20"/>
        </w:trPr>
        <w:tc>
          <w:tcPr>
            <w:tcW w:w="3532" w:type="dxa"/>
          </w:tcPr>
          <w:p w14:paraId="745B965B" w14:textId="3B857880" w:rsidR="00BB3C70" w:rsidRPr="00BD6C5F" w:rsidRDefault="00BB3C70" w:rsidP="00BB3C70">
            <w:pPr>
              <w:pStyle w:val="Tabletext"/>
              <w:rPr>
                <w:b/>
                <w:bCs/>
              </w:rPr>
            </w:pPr>
            <w:r w:rsidRPr="00BD6C5F">
              <w:rPr>
                <w:b/>
                <w:bCs/>
              </w:rPr>
              <w:t>“Change”</w:t>
            </w:r>
          </w:p>
        </w:tc>
        <w:tc>
          <w:tcPr>
            <w:tcW w:w="5954" w:type="dxa"/>
          </w:tcPr>
          <w:p w14:paraId="78A41DE3" w14:textId="7563269F"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any change to this Contract;</w:t>
            </w:r>
          </w:p>
        </w:tc>
      </w:tr>
      <w:tr w:rsidR="00BB3C70" w:rsidRPr="00BD6C5F" w14:paraId="042E9A3E" w14:textId="77777777" w:rsidTr="00A64142">
        <w:trPr>
          <w:gridBefore w:val="1"/>
          <w:gridAfter w:val="1"/>
          <w:wBefore w:w="10" w:type="dxa"/>
          <w:wAfter w:w="32" w:type="dxa"/>
          <w:trHeight w:val="20"/>
        </w:trPr>
        <w:tc>
          <w:tcPr>
            <w:tcW w:w="3532" w:type="dxa"/>
          </w:tcPr>
          <w:p w14:paraId="78E34436" w14:textId="01A9FB5E" w:rsidR="00BB3C70" w:rsidRPr="00BD6C5F" w:rsidRDefault="00BB3C70" w:rsidP="00BB3C70">
            <w:pPr>
              <w:pStyle w:val="Tabletext"/>
              <w:rPr>
                <w:b/>
                <w:bCs/>
              </w:rPr>
            </w:pPr>
            <w:r w:rsidRPr="00BD6C5F">
              <w:rPr>
                <w:b/>
                <w:bCs/>
              </w:rPr>
              <w:lastRenderedPageBreak/>
              <w:t>“Change Authorisation Note”</w:t>
            </w:r>
          </w:p>
        </w:tc>
        <w:tc>
          <w:tcPr>
            <w:tcW w:w="5954" w:type="dxa"/>
          </w:tcPr>
          <w:p w14:paraId="41BCD470" w14:textId="489522B0"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 xml:space="preserve">a form setting out an agreed Contract Change which shall be substantially in the form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Schedule_22_Annex_2 \h </w:instrText>
            </w:r>
            <w:r>
              <w:rPr>
                <w:rFonts w:asciiTheme="minorHAnsi" w:hAnsiTheme="minorHAnsi" w:cstheme="minorHAnsi"/>
              </w:rPr>
            </w:r>
            <w:r>
              <w:rPr>
                <w:rFonts w:asciiTheme="minorHAnsi" w:hAnsiTheme="minorHAnsi" w:cstheme="minorHAnsi"/>
              </w:rPr>
              <w:fldChar w:fldCharType="separate"/>
            </w:r>
            <w:r w:rsidR="009749A0" w:rsidRPr="00BD6C5F">
              <w:t>2</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Schedule_22 \h </w:instrText>
            </w:r>
            <w:r>
              <w:rPr>
                <w:rFonts w:asciiTheme="minorHAnsi" w:hAnsiTheme="minorHAnsi" w:cstheme="minorHAnsi"/>
              </w:rPr>
            </w:r>
            <w:r>
              <w:rPr>
                <w:rFonts w:asciiTheme="minorHAnsi" w:hAnsiTheme="minorHAnsi" w:cstheme="minorHAnsi"/>
              </w:rPr>
              <w:fldChar w:fldCharType="separate"/>
            </w:r>
            <w:r w:rsidR="009749A0">
              <w:t>22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Change Control Procedure</w:t>
            </w:r>
            <w:r w:rsidRPr="00BD6C5F">
              <w:rPr>
                <w:rFonts w:asciiTheme="minorHAnsi" w:hAnsiTheme="minorHAnsi" w:cstheme="minorHAnsi"/>
              </w:rPr>
              <w:t>);</w:t>
            </w:r>
          </w:p>
        </w:tc>
      </w:tr>
      <w:tr w:rsidR="00BB3C70" w:rsidRPr="00BD6C5F" w14:paraId="559192FB" w14:textId="77777777" w:rsidTr="00A64142">
        <w:trPr>
          <w:gridBefore w:val="1"/>
          <w:gridAfter w:val="1"/>
          <w:wBefore w:w="10" w:type="dxa"/>
          <w:wAfter w:w="32" w:type="dxa"/>
          <w:trHeight w:val="20"/>
        </w:trPr>
        <w:tc>
          <w:tcPr>
            <w:tcW w:w="3532" w:type="dxa"/>
          </w:tcPr>
          <w:p w14:paraId="0ADFEFEE" w14:textId="7BDB1098" w:rsidR="00BB3C70" w:rsidRPr="00BD6C5F" w:rsidRDefault="00BB3C70" w:rsidP="00BB3C70">
            <w:pPr>
              <w:pStyle w:val="Tabletext"/>
              <w:rPr>
                <w:b/>
                <w:bCs/>
              </w:rPr>
            </w:pPr>
            <w:r w:rsidRPr="00BD6C5F">
              <w:rPr>
                <w:b/>
                <w:bCs/>
              </w:rPr>
              <w:t>“Change Control Procedure”</w:t>
            </w:r>
          </w:p>
        </w:tc>
        <w:tc>
          <w:tcPr>
            <w:tcW w:w="5954" w:type="dxa"/>
          </w:tcPr>
          <w:p w14:paraId="4C0421CD" w14:textId="1AEF60FF"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the procedure for changing this Contract set out in Schedule</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Schedule_22 \h </w:instrText>
            </w:r>
            <w:r>
              <w:rPr>
                <w:rFonts w:asciiTheme="minorHAnsi" w:hAnsiTheme="minorHAnsi" w:cstheme="minorHAnsi"/>
              </w:rPr>
            </w:r>
            <w:r>
              <w:rPr>
                <w:rFonts w:asciiTheme="minorHAnsi" w:hAnsiTheme="minorHAnsi" w:cstheme="minorHAnsi"/>
              </w:rPr>
              <w:fldChar w:fldCharType="separate"/>
            </w:r>
            <w:r w:rsidR="009749A0">
              <w:t>22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Change Control Procedure</w:t>
            </w:r>
            <w:r w:rsidRPr="00BD6C5F">
              <w:rPr>
                <w:rFonts w:asciiTheme="minorHAnsi" w:hAnsiTheme="minorHAnsi" w:cstheme="minorHAnsi"/>
              </w:rPr>
              <w:t>);</w:t>
            </w:r>
          </w:p>
        </w:tc>
      </w:tr>
      <w:tr w:rsidR="00BB3C70" w:rsidRPr="00BD6C5F" w14:paraId="3A86E219" w14:textId="77777777" w:rsidTr="00A64142">
        <w:trPr>
          <w:gridBefore w:val="1"/>
          <w:gridAfter w:val="1"/>
          <w:wBefore w:w="10" w:type="dxa"/>
          <w:wAfter w:w="32" w:type="dxa"/>
          <w:trHeight w:val="20"/>
        </w:trPr>
        <w:tc>
          <w:tcPr>
            <w:tcW w:w="3532" w:type="dxa"/>
          </w:tcPr>
          <w:p w14:paraId="4CC09B66" w14:textId="673AB1B7" w:rsidR="00BB3C70" w:rsidRPr="00BD6C5F" w:rsidRDefault="00BB3C70" w:rsidP="00BB3C70">
            <w:pPr>
              <w:pStyle w:val="Tabletext"/>
              <w:rPr>
                <w:b/>
                <w:bCs/>
              </w:rPr>
            </w:pPr>
            <w:r w:rsidRPr="00BD6C5F">
              <w:rPr>
                <w:b/>
                <w:bCs/>
              </w:rPr>
              <w:t>“Change in Law”</w:t>
            </w:r>
          </w:p>
        </w:tc>
        <w:tc>
          <w:tcPr>
            <w:tcW w:w="5954" w:type="dxa"/>
          </w:tcPr>
          <w:p w14:paraId="14166755"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any change in Law which impacts on the performance of the Services which comes into force after the Effective Date;</w:t>
            </w:r>
          </w:p>
        </w:tc>
      </w:tr>
      <w:tr w:rsidR="00BB3C70" w:rsidRPr="00BD6C5F" w14:paraId="0F03CEA1" w14:textId="77777777" w:rsidTr="00A64142">
        <w:trPr>
          <w:gridBefore w:val="1"/>
          <w:gridAfter w:val="1"/>
          <w:wBefore w:w="10" w:type="dxa"/>
          <w:wAfter w:w="32" w:type="dxa"/>
          <w:trHeight w:val="20"/>
        </w:trPr>
        <w:tc>
          <w:tcPr>
            <w:tcW w:w="3532" w:type="dxa"/>
          </w:tcPr>
          <w:p w14:paraId="639CB817" w14:textId="52BEAEA7" w:rsidR="00BB3C70" w:rsidRPr="00BD6C5F" w:rsidRDefault="00BB3C70" w:rsidP="00BB3C70">
            <w:pPr>
              <w:pStyle w:val="Tabletext"/>
              <w:rPr>
                <w:b/>
                <w:bCs/>
              </w:rPr>
            </w:pPr>
            <w:r w:rsidRPr="00BD6C5F">
              <w:rPr>
                <w:b/>
                <w:bCs/>
              </w:rPr>
              <w:t>“Change Request”</w:t>
            </w:r>
          </w:p>
        </w:tc>
        <w:tc>
          <w:tcPr>
            <w:tcW w:w="5954" w:type="dxa"/>
          </w:tcPr>
          <w:p w14:paraId="0E4F307C" w14:textId="51CB587B"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 xml:space="preserve">a written request for a Contract Change substantially in the form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Schedule_22_Annex_1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Schedule_22 \h </w:instrText>
            </w:r>
            <w:r>
              <w:rPr>
                <w:rFonts w:asciiTheme="minorHAnsi" w:hAnsiTheme="minorHAnsi" w:cstheme="minorHAnsi"/>
              </w:rPr>
            </w:r>
            <w:r>
              <w:rPr>
                <w:rFonts w:asciiTheme="minorHAnsi" w:hAnsiTheme="minorHAnsi" w:cstheme="minorHAnsi"/>
              </w:rPr>
              <w:fldChar w:fldCharType="separate"/>
            </w:r>
            <w:r w:rsidR="009749A0">
              <w:t>22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Change Control Procedure</w:t>
            </w:r>
            <w:r w:rsidRPr="00BD6C5F">
              <w:rPr>
                <w:rFonts w:asciiTheme="minorHAnsi" w:hAnsiTheme="minorHAnsi" w:cstheme="minorHAnsi"/>
              </w:rPr>
              <w:t>);</w:t>
            </w:r>
          </w:p>
        </w:tc>
      </w:tr>
      <w:tr w:rsidR="00BB3C70" w:rsidRPr="00BD6C5F" w14:paraId="68B40BF3" w14:textId="77777777" w:rsidTr="00A64142">
        <w:trPr>
          <w:gridBefore w:val="1"/>
          <w:gridAfter w:val="1"/>
          <w:wBefore w:w="10" w:type="dxa"/>
          <w:wAfter w:w="32" w:type="dxa"/>
          <w:trHeight w:val="20"/>
        </w:trPr>
        <w:tc>
          <w:tcPr>
            <w:tcW w:w="3532" w:type="dxa"/>
          </w:tcPr>
          <w:p w14:paraId="201AB834" w14:textId="75C7E901" w:rsidR="00BB3C70" w:rsidRPr="00BD6C5F" w:rsidRDefault="00BB3C70" w:rsidP="00BB3C70">
            <w:pPr>
              <w:pStyle w:val="Tabletext"/>
              <w:rPr>
                <w:b/>
                <w:bCs/>
              </w:rPr>
            </w:pPr>
            <w:r w:rsidRPr="00BD6C5F">
              <w:rPr>
                <w:b/>
                <w:bCs/>
              </w:rPr>
              <w:t>“Charges”</w:t>
            </w:r>
          </w:p>
        </w:tc>
        <w:tc>
          <w:tcPr>
            <w:tcW w:w="5954" w:type="dxa"/>
          </w:tcPr>
          <w:p w14:paraId="34CAF209" w14:textId="7ABCA175" w:rsidR="00BB3C70" w:rsidRPr="00BD6C5F" w:rsidRDefault="00BB3C70" w:rsidP="00BB3C70">
            <w:pPr>
              <w:pStyle w:val="Tabletext"/>
              <w:rPr>
                <w:rFonts w:asciiTheme="minorHAnsi" w:hAnsiTheme="minorHAnsi" w:cstheme="minorHAnsi"/>
                <w:i/>
              </w:rPr>
            </w:pPr>
            <w:r w:rsidRPr="00BD6C5F">
              <w:rPr>
                <w:rFonts w:asciiTheme="minorHAnsi" w:hAnsiTheme="minorHAnsi" w:cstheme="minorHAnsi"/>
              </w:rPr>
              <w:t>the charges for the provision of the Services set out in or otherwise calculated in accordance with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including any Milestone Payment or Service Charge;</w:t>
            </w:r>
          </w:p>
        </w:tc>
      </w:tr>
      <w:tr w:rsidR="00BB3C70" w:rsidRPr="00BD6C5F" w14:paraId="473C38F7" w14:textId="77777777" w:rsidTr="00A64142">
        <w:trPr>
          <w:gridBefore w:val="1"/>
          <w:gridAfter w:val="1"/>
          <w:wBefore w:w="10" w:type="dxa"/>
          <w:wAfter w:w="32" w:type="dxa"/>
          <w:trHeight w:val="20"/>
        </w:trPr>
        <w:tc>
          <w:tcPr>
            <w:tcW w:w="3532" w:type="dxa"/>
          </w:tcPr>
          <w:p w14:paraId="33099E81" w14:textId="667D68DE" w:rsidR="00BB3C70" w:rsidRPr="00BD6C5F" w:rsidRDefault="00BB3C70" w:rsidP="00BB3C70">
            <w:pPr>
              <w:pStyle w:val="Tabletext"/>
              <w:rPr>
                <w:b/>
                <w:bCs/>
              </w:rPr>
            </w:pPr>
            <w:r w:rsidRPr="00BD6C5F">
              <w:rPr>
                <w:b/>
                <w:bCs/>
              </w:rPr>
              <w:t>“Class 1 Transaction”</w:t>
            </w:r>
          </w:p>
        </w:tc>
        <w:tc>
          <w:tcPr>
            <w:tcW w:w="5954" w:type="dxa"/>
          </w:tcPr>
          <w:p w14:paraId="13127C6E"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has the meaning set out in the listing rules issued by the UK Listing Authority;</w:t>
            </w:r>
          </w:p>
        </w:tc>
      </w:tr>
      <w:tr w:rsidR="00BB3C70" w:rsidRPr="00BD6C5F" w14:paraId="19438E19" w14:textId="77777777" w:rsidTr="00A64142">
        <w:trPr>
          <w:gridBefore w:val="1"/>
          <w:gridAfter w:val="1"/>
          <w:wBefore w:w="10" w:type="dxa"/>
          <w:wAfter w:w="32" w:type="dxa"/>
          <w:trHeight w:val="20"/>
        </w:trPr>
        <w:tc>
          <w:tcPr>
            <w:tcW w:w="3532" w:type="dxa"/>
          </w:tcPr>
          <w:p w14:paraId="6C622DA0" w14:textId="0EF83317" w:rsidR="00BB3C70" w:rsidRPr="00BD6C5F" w:rsidRDefault="00BB3C70" w:rsidP="00BB3C70">
            <w:pPr>
              <w:pStyle w:val="Tabletext"/>
              <w:rPr>
                <w:b/>
                <w:bCs/>
              </w:rPr>
            </w:pPr>
            <w:r w:rsidRPr="00BD6C5F">
              <w:rPr>
                <w:b/>
                <w:bCs/>
              </w:rPr>
              <w:t>“CNI”</w:t>
            </w:r>
          </w:p>
        </w:tc>
        <w:tc>
          <w:tcPr>
            <w:tcW w:w="5954" w:type="dxa"/>
          </w:tcPr>
          <w:p w14:paraId="0D7D416C" w14:textId="77777777" w:rsidR="00BB3C70" w:rsidRPr="00BD6C5F" w:rsidRDefault="00BB3C70" w:rsidP="00BB3C70">
            <w:pPr>
              <w:pStyle w:val="Tabletext"/>
              <w:rPr>
                <w:rFonts w:asciiTheme="minorHAnsi" w:hAnsiTheme="minorHAnsi" w:cstheme="minorHAnsi"/>
              </w:rPr>
            </w:pPr>
            <w:r w:rsidRPr="00BD6C5F">
              <w:rPr>
                <w:rFonts w:asciiTheme="minorHAnsi" w:hAnsiTheme="minorHAnsi" w:cstheme="minorHAnsi"/>
              </w:rPr>
              <w:t>means Critical National Infrastructure;</w:t>
            </w:r>
          </w:p>
        </w:tc>
      </w:tr>
      <w:tr w:rsidR="00663943" w:rsidRPr="00BD6C5F" w14:paraId="43B8F978" w14:textId="77777777" w:rsidTr="00A64142">
        <w:trPr>
          <w:gridBefore w:val="1"/>
          <w:gridAfter w:val="1"/>
          <w:wBefore w:w="10" w:type="dxa"/>
          <w:wAfter w:w="32" w:type="dxa"/>
          <w:trHeight w:val="20"/>
        </w:trPr>
        <w:tc>
          <w:tcPr>
            <w:tcW w:w="3532" w:type="dxa"/>
          </w:tcPr>
          <w:p w14:paraId="7AF67626" w14:textId="2B5EF9B7" w:rsidR="00663943" w:rsidRPr="00BD6C5F" w:rsidRDefault="00663943" w:rsidP="00663943">
            <w:pPr>
              <w:pStyle w:val="Tabletext"/>
              <w:rPr>
                <w:b/>
                <w:bCs/>
              </w:rPr>
            </w:pPr>
            <w:r w:rsidRPr="00BD6C5F">
              <w:rPr>
                <w:b/>
                <w:bCs/>
              </w:rPr>
              <w:t>“C</w:t>
            </w:r>
            <w:r>
              <w:rPr>
                <w:b/>
                <w:bCs/>
              </w:rPr>
              <w:t>ode</w:t>
            </w:r>
            <w:r w:rsidRPr="00BD6C5F">
              <w:rPr>
                <w:b/>
                <w:bCs/>
              </w:rPr>
              <w:t>”</w:t>
            </w:r>
          </w:p>
        </w:tc>
        <w:tc>
          <w:tcPr>
            <w:tcW w:w="5954" w:type="dxa"/>
          </w:tcPr>
          <w:p w14:paraId="5C1F9C38" w14:textId="1B5D0626" w:rsidR="00663943" w:rsidRPr="00BD6C5F" w:rsidRDefault="00E12ABD" w:rsidP="00663943">
            <w:pPr>
              <w:pStyle w:val="Tabletext"/>
              <w:rPr>
                <w:rFonts w:asciiTheme="minorHAnsi" w:hAnsiTheme="minorHAnsi" w:cstheme="minorHAnsi"/>
              </w:rPr>
            </w:pPr>
            <w:r w:rsidRPr="00E12ABD">
              <w:rPr>
                <w:rFonts w:asciiTheme="minorHAnsi" w:hAnsiTheme="minorHAnsi" w:cstheme="minorHAnsi"/>
              </w:rPr>
              <w:t>has the meaning given in Schedule</w:t>
            </w:r>
            <w:r w:rsidR="00C64197">
              <w:rPr>
                <w:rFonts w:asciiTheme="minorHAnsi" w:hAnsiTheme="minorHAnsi" w:cstheme="minorHAnsi"/>
              </w:rPr>
              <w:t> </w:t>
            </w:r>
            <w:r w:rsidR="00C64197">
              <w:rPr>
                <w:rFonts w:asciiTheme="minorHAnsi" w:hAnsiTheme="minorHAnsi" w:cstheme="minorHAnsi"/>
              </w:rPr>
              <w:fldChar w:fldCharType="begin"/>
            </w:r>
            <w:r w:rsidR="00C64197">
              <w:rPr>
                <w:rFonts w:asciiTheme="minorHAnsi" w:hAnsiTheme="minorHAnsi" w:cstheme="minorHAnsi"/>
              </w:rPr>
              <w:instrText xml:space="preserve"> REF Schedule_5 \h </w:instrText>
            </w:r>
            <w:r w:rsidR="00C64197">
              <w:rPr>
                <w:rFonts w:asciiTheme="minorHAnsi" w:hAnsiTheme="minorHAnsi" w:cstheme="minorHAnsi"/>
              </w:rPr>
            </w:r>
            <w:r w:rsidR="00C64197">
              <w:rPr>
                <w:rFonts w:asciiTheme="minorHAnsi" w:hAnsiTheme="minorHAnsi" w:cstheme="minorHAnsi"/>
              </w:rPr>
              <w:fldChar w:fldCharType="separate"/>
            </w:r>
            <w:r w:rsidR="009749A0">
              <w:t>5</w:t>
            </w:r>
            <w:r w:rsidR="00C64197">
              <w:rPr>
                <w:rFonts w:asciiTheme="minorHAnsi" w:hAnsiTheme="minorHAnsi" w:cstheme="minorHAnsi"/>
              </w:rPr>
              <w:fldChar w:fldCharType="end"/>
            </w:r>
            <w:r w:rsidRPr="00E12ABD">
              <w:rPr>
                <w:rFonts w:asciiTheme="minorHAnsi" w:hAnsiTheme="minorHAnsi" w:cstheme="minorHAnsi"/>
              </w:rPr>
              <w:t xml:space="preserve"> (</w:t>
            </w:r>
            <w:r w:rsidRPr="00E12ABD">
              <w:rPr>
                <w:rFonts w:asciiTheme="minorHAnsi" w:hAnsiTheme="minorHAnsi" w:cstheme="minorHAnsi"/>
                <w:i/>
                <w:iCs/>
              </w:rPr>
              <w:t>Security Management</w:t>
            </w:r>
            <w:r w:rsidRPr="00E12ABD">
              <w:rPr>
                <w:rFonts w:asciiTheme="minorHAnsi" w:hAnsiTheme="minorHAnsi" w:cstheme="minorHAnsi"/>
              </w:rPr>
              <w:t>);</w:t>
            </w:r>
          </w:p>
        </w:tc>
      </w:tr>
      <w:tr w:rsidR="00663943" w:rsidRPr="00BD6C5F" w14:paraId="0DA48293" w14:textId="77777777" w:rsidTr="00A64142">
        <w:trPr>
          <w:gridBefore w:val="1"/>
          <w:gridAfter w:val="1"/>
          <w:wBefore w:w="10" w:type="dxa"/>
          <w:wAfter w:w="32" w:type="dxa"/>
          <w:trHeight w:val="20"/>
        </w:trPr>
        <w:tc>
          <w:tcPr>
            <w:tcW w:w="3532" w:type="dxa"/>
          </w:tcPr>
          <w:p w14:paraId="4FAF21F5" w14:textId="52FE8FDF" w:rsidR="00663943" w:rsidRPr="00BD6C5F" w:rsidRDefault="00663943" w:rsidP="00663943">
            <w:pPr>
              <w:pStyle w:val="Tabletext"/>
              <w:rPr>
                <w:b/>
                <w:bCs/>
              </w:rPr>
            </w:pPr>
            <w:r w:rsidRPr="00BD6C5F">
              <w:rPr>
                <w:b/>
                <w:bCs/>
              </w:rPr>
              <w:t>“Commercially Sensitive Information”</w:t>
            </w:r>
          </w:p>
        </w:tc>
        <w:tc>
          <w:tcPr>
            <w:tcW w:w="5954" w:type="dxa"/>
          </w:tcPr>
          <w:p w14:paraId="0CB69BC8" w14:textId="58706EB7"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the information listed in Schedule </w:t>
            </w:r>
            <w:r>
              <w:rPr>
                <w:rFonts w:asciiTheme="minorHAnsi" w:hAnsiTheme="minorHAnsi" w:cstheme="minorHAnsi"/>
              </w:rPr>
              <w:fldChar w:fldCharType="begin"/>
            </w:r>
            <w:r>
              <w:rPr>
                <w:rFonts w:asciiTheme="minorHAnsi" w:hAnsiTheme="minorHAnsi" w:cstheme="minorHAnsi"/>
              </w:rPr>
              <w:instrText xml:space="preserve"> REF Schedule_9 \h </w:instrText>
            </w:r>
            <w:r>
              <w:rPr>
                <w:rFonts w:asciiTheme="minorHAnsi" w:hAnsiTheme="minorHAnsi" w:cstheme="minorHAnsi"/>
              </w:rPr>
            </w:r>
            <w:r>
              <w:rPr>
                <w:rFonts w:asciiTheme="minorHAnsi" w:hAnsiTheme="minorHAnsi" w:cstheme="minorHAnsi"/>
              </w:rPr>
              <w:fldChar w:fldCharType="separate"/>
            </w:r>
            <w:r w:rsidR="009749A0">
              <w:t>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Commercially</w:t>
            </w:r>
            <w:r w:rsidRPr="00BD6C5F">
              <w:rPr>
                <w:rFonts w:asciiTheme="minorHAnsi" w:hAnsiTheme="minorHAnsi" w:cstheme="minorHAnsi"/>
                <w:i/>
              </w:rPr>
              <w:t xml:space="preserve"> Sensitive Information</w:t>
            </w:r>
            <w:r w:rsidRPr="00BD6C5F">
              <w:rPr>
                <w:rFonts w:asciiTheme="minorHAnsi" w:hAnsiTheme="minorHAnsi" w:cstheme="minorHAnsi"/>
              </w:rPr>
              <w:t>) comprising the information of a commercially sensitive nature relating to:</w:t>
            </w:r>
          </w:p>
          <w:p w14:paraId="54831116" w14:textId="77777777" w:rsidR="00663943" w:rsidRPr="00BD6C5F" w:rsidRDefault="00663943" w:rsidP="00663943">
            <w:pPr>
              <w:pStyle w:val="Tablea"/>
            </w:pPr>
            <w:r w:rsidRPr="00BD6C5F">
              <w:t xml:space="preserve">the pricing </w:t>
            </w:r>
            <w:r w:rsidRPr="00DC2DA2">
              <w:t>of</w:t>
            </w:r>
            <w:r w:rsidRPr="00BD6C5F">
              <w:t xml:space="preserve"> the Services;</w:t>
            </w:r>
          </w:p>
          <w:p w14:paraId="43335322" w14:textId="7AEA78A9" w:rsidR="00663943" w:rsidRPr="00BD6C5F" w:rsidRDefault="00663943" w:rsidP="00663943">
            <w:pPr>
              <w:pStyle w:val="Tablea"/>
            </w:pPr>
            <w:r w:rsidRPr="00BD6C5F">
              <w:t>details of the Supplier’s IPRs; and</w:t>
            </w:r>
          </w:p>
          <w:p w14:paraId="23090689" w14:textId="498B86F0" w:rsidR="00663943" w:rsidRPr="00BD6C5F" w:rsidRDefault="00663943" w:rsidP="00663943">
            <w:pPr>
              <w:pStyle w:val="Tablea"/>
            </w:pPr>
            <w:r w:rsidRPr="00BD6C5F">
              <w:t>the Supplier’s business and investment plans;</w:t>
            </w:r>
          </w:p>
          <w:p w14:paraId="2C4C7EAD" w14:textId="77777777"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which the Supplier has indicated to the Authority that, if disclosed by the Authority, would cause the Supplier significant commercial disadvantage or material financial loss;</w:t>
            </w:r>
          </w:p>
        </w:tc>
      </w:tr>
      <w:tr w:rsidR="00663943" w:rsidRPr="00BD6C5F" w14:paraId="201F2FD1" w14:textId="77777777" w:rsidTr="00A64142">
        <w:trPr>
          <w:gridBefore w:val="1"/>
          <w:gridAfter w:val="1"/>
          <w:wBefore w:w="10" w:type="dxa"/>
          <w:wAfter w:w="32" w:type="dxa"/>
          <w:trHeight w:val="20"/>
        </w:trPr>
        <w:tc>
          <w:tcPr>
            <w:tcW w:w="3532" w:type="dxa"/>
          </w:tcPr>
          <w:p w14:paraId="7B31FF11" w14:textId="3FB9867D" w:rsidR="00663943" w:rsidRPr="00BD6C5F" w:rsidRDefault="00663943" w:rsidP="00663943">
            <w:pPr>
              <w:pStyle w:val="Tabletext"/>
              <w:rPr>
                <w:b/>
                <w:bCs/>
              </w:rPr>
            </w:pPr>
            <w:r w:rsidRPr="00BD6C5F">
              <w:rPr>
                <w:b/>
                <w:bCs/>
              </w:rPr>
              <w:t>“Comparable Supply”</w:t>
            </w:r>
          </w:p>
        </w:tc>
        <w:tc>
          <w:tcPr>
            <w:tcW w:w="5954" w:type="dxa"/>
          </w:tcPr>
          <w:p w14:paraId="48131BD2" w14:textId="77777777"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the supply of services to another customer of the Supplier that are the same or similar to any of the Services;</w:t>
            </w:r>
          </w:p>
        </w:tc>
      </w:tr>
      <w:tr w:rsidR="00663943" w:rsidRPr="00BD6C5F" w14:paraId="294B10FD" w14:textId="77777777" w:rsidTr="00A64142">
        <w:trPr>
          <w:gridBefore w:val="1"/>
          <w:gridAfter w:val="1"/>
          <w:wBefore w:w="10" w:type="dxa"/>
          <w:wAfter w:w="32" w:type="dxa"/>
          <w:trHeight w:val="20"/>
        </w:trPr>
        <w:tc>
          <w:tcPr>
            <w:tcW w:w="3532" w:type="dxa"/>
          </w:tcPr>
          <w:p w14:paraId="677A274F" w14:textId="01FED3FC" w:rsidR="00663943" w:rsidRPr="00BD6C5F" w:rsidRDefault="00663943" w:rsidP="00663943">
            <w:pPr>
              <w:pStyle w:val="Tabletext"/>
              <w:rPr>
                <w:b/>
                <w:bCs/>
              </w:rPr>
            </w:pPr>
            <w:r w:rsidRPr="00BD6C5F">
              <w:rPr>
                <w:b/>
                <w:bCs/>
              </w:rPr>
              <w:t>“Compensation for Unacceptable KPI Failure”</w:t>
            </w:r>
          </w:p>
        </w:tc>
        <w:tc>
          <w:tcPr>
            <w:tcW w:w="5954" w:type="dxa"/>
          </w:tcPr>
          <w:p w14:paraId="5442FF5A" w14:textId="7E174E9F"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has the meaning given in Clause 7.4</w:t>
            </w:r>
            <w:r w:rsidR="008E2FFE">
              <w:rPr>
                <w:rFonts w:asciiTheme="minorHAnsi" w:hAnsiTheme="minorHAnsi" w:cstheme="minorHAnsi"/>
              </w:rPr>
              <w:t>.1</w:t>
            </w:r>
            <w:r w:rsidRPr="00BD6C5F">
              <w:rPr>
                <w:rFonts w:asciiTheme="minorHAnsi" w:hAnsiTheme="minorHAnsi" w:cstheme="minorHAnsi"/>
              </w:rPr>
              <w:t xml:space="preserve"> (</w:t>
            </w:r>
            <w:r w:rsidRPr="00BD6C5F">
              <w:rPr>
                <w:rFonts w:asciiTheme="minorHAnsi" w:hAnsiTheme="minorHAnsi" w:cstheme="minorHAnsi"/>
                <w:i/>
              </w:rPr>
              <w:t>Unacceptable KPI Failure</w:t>
            </w:r>
            <w:r w:rsidRPr="00BD6C5F">
              <w:rPr>
                <w:rFonts w:asciiTheme="minorHAnsi" w:hAnsiTheme="minorHAnsi" w:cstheme="minorHAnsi"/>
              </w:rPr>
              <w:t>);</w:t>
            </w:r>
          </w:p>
        </w:tc>
      </w:tr>
      <w:tr w:rsidR="00663943" w:rsidRPr="00BD6C5F" w14:paraId="57D032BE" w14:textId="77777777" w:rsidTr="00A64142">
        <w:trPr>
          <w:gridBefore w:val="1"/>
          <w:gridAfter w:val="1"/>
          <w:wBefore w:w="10" w:type="dxa"/>
          <w:wAfter w:w="32" w:type="dxa"/>
          <w:trHeight w:val="20"/>
        </w:trPr>
        <w:tc>
          <w:tcPr>
            <w:tcW w:w="3532" w:type="dxa"/>
          </w:tcPr>
          <w:p w14:paraId="3FD785F6" w14:textId="505B9C01" w:rsidR="00663943" w:rsidRPr="00BD6C5F" w:rsidRDefault="00663943" w:rsidP="00663943">
            <w:pPr>
              <w:pStyle w:val="Tabletext"/>
              <w:rPr>
                <w:b/>
                <w:bCs/>
              </w:rPr>
            </w:pPr>
            <w:r w:rsidRPr="00BD6C5F">
              <w:rPr>
                <w:b/>
                <w:bCs/>
              </w:rPr>
              <w:t>“Compensation Payment”</w:t>
            </w:r>
          </w:p>
        </w:tc>
        <w:tc>
          <w:tcPr>
            <w:tcW w:w="5954" w:type="dxa"/>
          </w:tcPr>
          <w:p w14:paraId="4A3B1638" w14:textId="2B6C95F6"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Schedule_16 \h </w:instrText>
            </w:r>
            <w:r>
              <w:rPr>
                <w:rFonts w:asciiTheme="minorHAnsi" w:hAnsiTheme="minorHAnsi" w:cstheme="minorHAnsi"/>
              </w:rPr>
            </w:r>
            <w:r>
              <w:rPr>
                <w:rFonts w:asciiTheme="minorHAnsi" w:hAnsiTheme="minorHAnsi" w:cstheme="minorHAnsi"/>
              </w:rPr>
              <w:fldChar w:fldCharType="separate"/>
            </w:r>
            <w:r w:rsidR="009749A0">
              <w:t>16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Payments on Termination</w:t>
            </w:r>
            <w:r w:rsidRPr="00BD6C5F">
              <w:rPr>
                <w:rFonts w:asciiTheme="minorHAnsi" w:hAnsiTheme="minorHAnsi" w:cstheme="minorHAnsi"/>
              </w:rPr>
              <w:t>);</w:t>
            </w:r>
          </w:p>
        </w:tc>
      </w:tr>
      <w:tr w:rsidR="00663943" w:rsidRPr="00BD6C5F" w14:paraId="6B70A6F8" w14:textId="77777777" w:rsidTr="00A64142">
        <w:trPr>
          <w:gridBefore w:val="1"/>
          <w:gridAfter w:val="1"/>
          <w:wBefore w:w="10" w:type="dxa"/>
          <w:wAfter w:w="32" w:type="dxa"/>
          <w:trHeight w:val="20"/>
        </w:trPr>
        <w:tc>
          <w:tcPr>
            <w:tcW w:w="3532" w:type="dxa"/>
          </w:tcPr>
          <w:p w14:paraId="6937790A" w14:textId="2CABC18F" w:rsidR="00663943" w:rsidRPr="00BD6C5F" w:rsidRDefault="00663943" w:rsidP="00663943">
            <w:pPr>
              <w:pStyle w:val="Tabletext"/>
              <w:rPr>
                <w:b/>
                <w:bCs/>
              </w:rPr>
            </w:pPr>
            <w:r w:rsidRPr="00BD6C5F">
              <w:rPr>
                <w:b/>
                <w:bCs/>
              </w:rPr>
              <w:lastRenderedPageBreak/>
              <w:t>“Condition Precedent”</w:t>
            </w:r>
          </w:p>
        </w:tc>
        <w:tc>
          <w:tcPr>
            <w:tcW w:w="5954" w:type="dxa"/>
          </w:tcPr>
          <w:p w14:paraId="102B628E" w14:textId="4BBD7566"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has the meaning given in Clause 4.2 (</w:t>
            </w:r>
            <w:r w:rsidRPr="00BD6C5F">
              <w:rPr>
                <w:rFonts w:asciiTheme="minorHAnsi" w:hAnsiTheme="minorHAnsi" w:cstheme="minorHAnsi"/>
                <w:i/>
              </w:rPr>
              <w:t>Condition Precedent</w:t>
            </w:r>
            <w:r w:rsidRPr="00BD6C5F">
              <w:rPr>
                <w:rFonts w:asciiTheme="minorHAnsi" w:hAnsiTheme="minorHAnsi" w:cstheme="minorHAnsi"/>
              </w:rPr>
              <w:t>);</w:t>
            </w:r>
          </w:p>
        </w:tc>
      </w:tr>
      <w:tr w:rsidR="00663943" w:rsidRPr="00BD6C5F" w14:paraId="433ED33E" w14:textId="77777777" w:rsidTr="00A64142">
        <w:trPr>
          <w:gridBefore w:val="1"/>
          <w:gridAfter w:val="1"/>
          <w:wBefore w:w="10" w:type="dxa"/>
          <w:wAfter w:w="32" w:type="dxa"/>
          <w:trHeight w:val="20"/>
        </w:trPr>
        <w:tc>
          <w:tcPr>
            <w:tcW w:w="3532" w:type="dxa"/>
          </w:tcPr>
          <w:p w14:paraId="5BC25993" w14:textId="24D66F37" w:rsidR="00663943" w:rsidRPr="00BD6C5F" w:rsidRDefault="00663943" w:rsidP="00663943">
            <w:pPr>
              <w:pStyle w:val="Tabletext"/>
              <w:rPr>
                <w:b/>
                <w:bCs/>
              </w:rPr>
            </w:pPr>
            <w:r w:rsidRPr="00BD6C5F">
              <w:rPr>
                <w:b/>
                <w:bCs/>
              </w:rPr>
              <w:t>“Confidential Information”</w:t>
            </w:r>
          </w:p>
        </w:tc>
        <w:tc>
          <w:tcPr>
            <w:tcW w:w="5954" w:type="dxa"/>
          </w:tcPr>
          <w:p w14:paraId="49F34261" w14:textId="151ED80B" w:rsidR="00663943" w:rsidRPr="00BD6C5F" w:rsidRDefault="00663943" w:rsidP="00663943">
            <w:pPr>
              <w:pStyle w:val="Tablea"/>
            </w:pPr>
            <w:r w:rsidRPr="00BD6C5F">
              <w:t>Information, including all Personal Data, which (however it is conveyed) is provided by the Disclosing Party pursuant to or in anticipation of this Contract that relates to:</w:t>
            </w:r>
          </w:p>
          <w:p w14:paraId="2FCBFAC0" w14:textId="77777777" w:rsidR="00663943" w:rsidRPr="00BD6C5F" w:rsidRDefault="00663943" w:rsidP="00663943">
            <w:pPr>
              <w:pStyle w:val="Tableai"/>
            </w:pPr>
            <w:r w:rsidRPr="00BD6C5F">
              <w:t>the Disclosing Party Group; or</w:t>
            </w:r>
          </w:p>
          <w:p w14:paraId="3F5F6946" w14:textId="77777777" w:rsidR="00663943" w:rsidRPr="00BD6C5F" w:rsidRDefault="00663943" w:rsidP="00663943">
            <w:pPr>
              <w:pStyle w:val="Tableai"/>
            </w:pPr>
            <w:r w:rsidRPr="00BD6C5F">
              <w:t>the operations, business, affairs, developments, intellectual property rights, trade secrets, know-how and/or personnel of the Disclosing Party Group;</w:t>
            </w:r>
          </w:p>
          <w:p w14:paraId="4A566DE2" w14:textId="77777777" w:rsidR="00663943" w:rsidRPr="00BD6C5F" w:rsidRDefault="00663943" w:rsidP="00663943">
            <w:pPr>
              <w:pStyle w:val="Tablea"/>
            </w:pPr>
            <w:r w:rsidRPr="00BD6C5F">
              <w:t xml:space="preserve">other Information provided by the Disclosing </w:t>
            </w:r>
            <w:r w:rsidRPr="00DC2DA2">
              <w:t>Party</w:t>
            </w:r>
            <w:r w:rsidRPr="00BD6C5F">
              <w:t xml:space="preserve"> pursuant to or in anticipation of this Contract that is clearly designated as being confidential or equivalent or that ought reasonably to be considered to be confidential (whether or not it is so marked) which comes (or has come) to the Recipient’s attention or into the Recipient’s possession in connection with this Contract;</w:t>
            </w:r>
          </w:p>
          <w:p w14:paraId="65E795B5" w14:textId="77777777" w:rsidR="00663943" w:rsidRPr="00BD6C5F" w:rsidRDefault="00663943" w:rsidP="00663943">
            <w:pPr>
              <w:pStyle w:val="Tablea"/>
            </w:pPr>
            <w:r w:rsidRPr="00BD6C5F">
              <w:t>discussions, negotiations, and correspondence between the Disclosing Party or any of its directors, officers, employees, consultants or professional advisers and the Recipient or any of its directors, officers, employees, consultants and professional advisers in connection with this Contract and all matters arising therefrom; and</w:t>
            </w:r>
          </w:p>
          <w:p w14:paraId="00673F89" w14:textId="7799FF71" w:rsidR="00663943" w:rsidRPr="00BD6C5F" w:rsidRDefault="00663943" w:rsidP="00663943">
            <w:pPr>
              <w:pStyle w:val="Tablea"/>
            </w:pPr>
            <w:r w:rsidRPr="00BD6C5F">
              <w:t>information derived from any of the above,</w:t>
            </w:r>
          </w:p>
          <w:p w14:paraId="13FD2B23" w14:textId="77777777" w:rsidR="00663943" w:rsidRPr="00BD6C5F" w:rsidRDefault="00663943" w:rsidP="00663943">
            <w:pPr>
              <w:pStyle w:val="Tabletext"/>
              <w:keepNext/>
              <w:spacing w:before="120"/>
              <w:rPr>
                <w:rFonts w:asciiTheme="minorHAnsi" w:hAnsiTheme="minorHAnsi" w:cstheme="minorHAnsi"/>
              </w:rPr>
            </w:pPr>
            <w:r w:rsidRPr="00BD6C5F">
              <w:rPr>
                <w:rFonts w:asciiTheme="minorHAnsi" w:hAnsiTheme="minorHAnsi" w:cstheme="minorHAnsi"/>
              </w:rPr>
              <w:t>but not including any Information which:</w:t>
            </w:r>
          </w:p>
          <w:p w14:paraId="726C9250" w14:textId="77777777" w:rsidR="00663943" w:rsidRPr="00BD6C5F" w:rsidRDefault="00663943" w:rsidP="00663943">
            <w:pPr>
              <w:pStyle w:val="Tableai"/>
            </w:pPr>
            <w:r w:rsidRPr="00BD6C5F">
              <w:t>was in the possession of the Recipient without obligation of confidentiality prior to its disclosure by the Disclosing Party;</w:t>
            </w:r>
          </w:p>
          <w:p w14:paraId="12EB3362" w14:textId="7DA327C8" w:rsidR="00663943" w:rsidRPr="00BD6C5F" w:rsidRDefault="00663943" w:rsidP="00663943">
            <w:pPr>
              <w:pStyle w:val="Tableai"/>
            </w:pPr>
            <w:r w:rsidRPr="00BD6C5F">
              <w:t>the Recipient obtained on a non-confidential basis from a third party who is not, to the Recipient’s knowledge or belief, bound by a confidentiality agreement with the Disclosing Party or otherwise prohibited from disclosing the information to the Recipient;</w:t>
            </w:r>
          </w:p>
          <w:p w14:paraId="641EE9A0" w14:textId="77777777" w:rsidR="00663943" w:rsidRPr="00BD6C5F" w:rsidRDefault="00663943" w:rsidP="00663943">
            <w:pPr>
              <w:pStyle w:val="Tableai"/>
            </w:pPr>
            <w:r w:rsidRPr="00BD6C5F">
              <w:t>was already generally available and in the public domain at the time of disclosure otherwise than by a breach of this Contract or breach of a duty of confidentiality;</w:t>
            </w:r>
          </w:p>
          <w:p w14:paraId="10F593B7" w14:textId="77777777" w:rsidR="00663943" w:rsidRPr="00BD6C5F" w:rsidRDefault="00663943" w:rsidP="00663943">
            <w:pPr>
              <w:pStyle w:val="Tableai"/>
            </w:pPr>
            <w:r w:rsidRPr="00BD6C5F">
              <w:lastRenderedPageBreak/>
              <w:t>was independently developed without access to the Confidential Information; or</w:t>
            </w:r>
          </w:p>
          <w:p w14:paraId="38309F3C" w14:textId="77777777" w:rsidR="00663943" w:rsidRPr="00BD6C5F" w:rsidRDefault="00663943" w:rsidP="00663943">
            <w:pPr>
              <w:pStyle w:val="Tableai"/>
            </w:pPr>
            <w:r w:rsidRPr="00BD6C5F">
              <w:t>relates to the Supplier’s:</w:t>
            </w:r>
          </w:p>
          <w:p w14:paraId="3C598CC6" w14:textId="7C2CDAD9" w:rsidR="00663943" w:rsidRPr="00BD6C5F" w:rsidRDefault="00663943" w:rsidP="00663943">
            <w:pPr>
              <w:pStyle w:val="Tableai1"/>
            </w:pPr>
            <w:r w:rsidRPr="00BD6C5F">
              <w:t>performance under this Contract; or</w:t>
            </w:r>
          </w:p>
          <w:p w14:paraId="7DB27BA8" w14:textId="2C97790C" w:rsidR="00663943" w:rsidRPr="00BD6C5F" w:rsidRDefault="00663943" w:rsidP="00663943">
            <w:pPr>
              <w:pStyle w:val="Tableai1"/>
            </w:pPr>
            <w:r w:rsidRPr="00BD6C5F">
              <w:t>failure to pay any Sub-contractor as required pursuant to Clause 15.15</w:t>
            </w:r>
            <w:r w:rsidR="008E2FFE">
              <w:t>.1</w:t>
            </w:r>
            <w:r w:rsidRPr="00BD6C5F">
              <w:t xml:space="preserve"> (</w:t>
            </w:r>
            <w:r w:rsidRPr="00BD6C5F">
              <w:rPr>
                <w:i/>
                <w:iCs/>
              </w:rPr>
              <w:t>Supply Chain Protection</w:t>
            </w:r>
            <w:r w:rsidRPr="00BD6C5F">
              <w:t>);</w:t>
            </w:r>
          </w:p>
        </w:tc>
      </w:tr>
      <w:tr w:rsidR="00663943" w:rsidRPr="00BD6C5F" w14:paraId="5991F124" w14:textId="77777777" w:rsidTr="00A64142">
        <w:trPr>
          <w:gridBefore w:val="1"/>
          <w:gridAfter w:val="1"/>
          <w:wBefore w:w="10" w:type="dxa"/>
          <w:wAfter w:w="32" w:type="dxa"/>
          <w:trHeight w:val="20"/>
        </w:trPr>
        <w:tc>
          <w:tcPr>
            <w:tcW w:w="3532" w:type="dxa"/>
          </w:tcPr>
          <w:p w14:paraId="322FF76C" w14:textId="366D7518" w:rsidR="00663943" w:rsidRPr="00BD6C5F" w:rsidRDefault="00663943" w:rsidP="00663943">
            <w:pPr>
              <w:pStyle w:val="Tabletext"/>
              <w:rPr>
                <w:b/>
                <w:bCs/>
              </w:rPr>
            </w:pPr>
            <w:r w:rsidRPr="00BD6C5F">
              <w:rPr>
                <w:b/>
                <w:bCs/>
              </w:rPr>
              <w:lastRenderedPageBreak/>
              <w:t>“Conflict of Interest”</w:t>
            </w:r>
          </w:p>
        </w:tc>
        <w:tc>
          <w:tcPr>
            <w:tcW w:w="5954" w:type="dxa"/>
          </w:tcPr>
          <w:p w14:paraId="7533A6C6" w14:textId="3FEB3C85" w:rsidR="00663943" w:rsidRPr="00BD6C5F" w:rsidRDefault="00663943" w:rsidP="00663943">
            <w:pPr>
              <w:pStyle w:val="Tabletext"/>
              <w:rPr>
                <w:rFonts w:asciiTheme="minorHAnsi" w:hAnsiTheme="minorHAnsi" w:cstheme="minorHAnsi"/>
              </w:rPr>
            </w:pPr>
            <w:r w:rsidRPr="00BD6C5F">
              <w:rPr>
                <w:rFonts w:asciiTheme="minorHAnsi" w:hAnsiTheme="minorHAnsi" w:cstheme="minorHAnsi"/>
              </w:rPr>
              <w:t>a conflict between the financial or personal duties of the Supplier or the Supplier Personnel and the duties owed to the Authority under the Contract, in the reasonable opinion of the Authority;</w:t>
            </w:r>
          </w:p>
        </w:tc>
      </w:tr>
      <w:tr w:rsidR="00920899" w:rsidRPr="00BD6C5F" w14:paraId="69D07C3B" w14:textId="77777777" w:rsidTr="00A64142">
        <w:trPr>
          <w:gridBefore w:val="1"/>
          <w:gridAfter w:val="1"/>
          <w:wBefore w:w="10" w:type="dxa"/>
          <w:wAfter w:w="32" w:type="dxa"/>
          <w:trHeight w:val="20"/>
        </w:trPr>
        <w:tc>
          <w:tcPr>
            <w:tcW w:w="3532" w:type="dxa"/>
          </w:tcPr>
          <w:p w14:paraId="245C21F0" w14:textId="30E2224D" w:rsidR="00920899" w:rsidRPr="00BD6C5F" w:rsidRDefault="00920899" w:rsidP="00920899">
            <w:pPr>
              <w:pStyle w:val="Tabletext"/>
              <w:rPr>
                <w:b/>
                <w:bCs/>
              </w:rPr>
            </w:pPr>
            <w:r w:rsidRPr="00BD6C5F">
              <w:rPr>
                <w:b/>
                <w:bCs/>
              </w:rPr>
              <w:t>“Contract”</w:t>
            </w:r>
          </w:p>
        </w:tc>
        <w:tc>
          <w:tcPr>
            <w:tcW w:w="5954" w:type="dxa"/>
          </w:tcPr>
          <w:p w14:paraId="7D8EC961" w14:textId="665446DB" w:rsidR="00920899" w:rsidRPr="00BD6C5F" w:rsidRDefault="00920899" w:rsidP="00920899">
            <w:pPr>
              <w:pStyle w:val="Tabletext"/>
              <w:rPr>
                <w:rFonts w:asciiTheme="minorHAnsi" w:hAnsiTheme="minorHAnsi" w:cstheme="minorHAnsi"/>
              </w:rPr>
            </w:pPr>
            <w:r>
              <w:rPr>
                <w:rFonts w:asciiTheme="minorHAnsi" w:hAnsiTheme="minorHAnsi" w:cstheme="minorHAnsi"/>
              </w:rPr>
              <w:t>the Contract between the Authority and Supplier</w:t>
            </w:r>
            <w:r w:rsidRPr="00BD6C5F">
              <w:rPr>
                <w:rFonts w:asciiTheme="minorHAnsi" w:hAnsiTheme="minorHAnsi" w:cstheme="minorHAnsi"/>
              </w:rPr>
              <w:t>;</w:t>
            </w:r>
          </w:p>
        </w:tc>
      </w:tr>
      <w:tr w:rsidR="00920899" w:rsidRPr="00BD6C5F" w14:paraId="0F16785E" w14:textId="77777777" w:rsidTr="00A64142">
        <w:trPr>
          <w:gridBefore w:val="1"/>
          <w:gridAfter w:val="1"/>
          <w:wBefore w:w="10" w:type="dxa"/>
          <w:wAfter w:w="32" w:type="dxa"/>
          <w:trHeight w:val="20"/>
        </w:trPr>
        <w:tc>
          <w:tcPr>
            <w:tcW w:w="3532" w:type="dxa"/>
          </w:tcPr>
          <w:p w14:paraId="7A38BF0F" w14:textId="0C811FFD" w:rsidR="00920899" w:rsidRPr="00BD6C5F" w:rsidRDefault="00920899" w:rsidP="00920899">
            <w:pPr>
              <w:pStyle w:val="Tabletext"/>
              <w:rPr>
                <w:b/>
                <w:bCs/>
              </w:rPr>
            </w:pPr>
            <w:r w:rsidRPr="00BD6C5F">
              <w:rPr>
                <w:b/>
                <w:bCs/>
              </w:rPr>
              <w:t>“Contract Change”</w:t>
            </w:r>
          </w:p>
        </w:tc>
        <w:tc>
          <w:tcPr>
            <w:tcW w:w="5954" w:type="dxa"/>
          </w:tcPr>
          <w:p w14:paraId="6E069F34" w14:textId="6B24D43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change to this Contract other than an Operational Change;</w:t>
            </w:r>
          </w:p>
        </w:tc>
      </w:tr>
      <w:tr w:rsidR="00920899" w:rsidRPr="00BD6C5F" w14:paraId="303C5129" w14:textId="77777777" w:rsidTr="00A64142">
        <w:trPr>
          <w:gridBefore w:val="1"/>
          <w:gridAfter w:val="1"/>
          <w:wBefore w:w="10" w:type="dxa"/>
          <w:wAfter w:w="32" w:type="dxa"/>
          <w:trHeight w:val="20"/>
        </w:trPr>
        <w:tc>
          <w:tcPr>
            <w:tcW w:w="3532" w:type="dxa"/>
          </w:tcPr>
          <w:p w14:paraId="6C1465F8" w14:textId="63314752" w:rsidR="00920899" w:rsidRPr="00BD6C5F" w:rsidRDefault="00920899" w:rsidP="00920899">
            <w:pPr>
              <w:pStyle w:val="Tabletext"/>
              <w:rPr>
                <w:b/>
                <w:bCs/>
              </w:rPr>
            </w:pPr>
            <w:r w:rsidRPr="00BD6C5F">
              <w:rPr>
                <w:b/>
                <w:bCs/>
              </w:rPr>
              <w:t>“Contract Inception Report”</w:t>
            </w:r>
          </w:p>
        </w:tc>
        <w:tc>
          <w:tcPr>
            <w:tcW w:w="5954" w:type="dxa"/>
          </w:tcPr>
          <w:p w14:paraId="6598C14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initial financial model in a form agreed by the Supplier and the Authority in writing on or before the Effective Date;</w:t>
            </w:r>
          </w:p>
        </w:tc>
      </w:tr>
      <w:tr w:rsidR="00920899" w:rsidRPr="00BD6C5F" w14:paraId="7349BD11" w14:textId="77777777" w:rsidTr="00A64142">
        <w:trPr>
          <w:gridBefore w:val="1"/>
          <w:gridAfter w:val="1"/>
          <w:wBefore w:w="10" w:type="dxa"/>
          <w:wAfter w:w="32" w:type="dxa"/>
          <w:trHeight w:val="20"/>
        </w:trPr>
        <w:tc>
          <w:tcPr>
            <w:tcW w:w="3532" w:type="dxa"/>
          </w:tcPr>
          <w:p w14:paraId="15024F7D" w14:textId="26685CEF" w:rsidR="00920899" w:rsidRPr="00BD6C5F" w:rsidRDefault="00920899" w:rsidP="00920899">
            <w:pPr>
              <w:pStyle w:val="Tabletext"/>
              <w:rPr>
                <w:b/>
                <w:bCs/>
              </w:rPr>
            </w:pPr>
            <w:r w:rsidRPr="00BD6C5F">
              <w:rPr>
                <w:b/>
                <w:bCs/>
              </w:rPr>
              <w:t>“Contract Year”</w:t>
            </w:r>
          </w:p>
        </w:tc>
        <w:tc>
          <w:tcPr>
            <w:tcW w:w="5954" w:type="dxa"/>
          </w:tcPr>
          <w:p w14:paraId="14B02DBA" w14:textId="77777777" w:rsidR="00920899" w:rsidRPr="00BD6C5F" w:rsidRDefault="00920899" w:rsidP="00920899">
            <w:pPr>
              <w:pStyle w:val="Tablea"/>
            </w:pPr>
            <w:r w:rsidRPr="00BD6C5F">
              <w:t>a period of 12 months commencing on the Effective Date; or</w:t>
            </w:r>
          </w:p>
          <w:p w14:paraId="45D6FEB4" w14:textId="77777777" w:rsidR="00920899" w:rsidRPr="00BD6C5F" w:rsidRDefault="00920899" w:rsidP="00920899">
            <w:pPr>
              <w:pStyle w:val="Tablea"/>
            </w:pPr>
            <w:r w:rsidRPr="00BD6C5F">
              <w:t>thereafter a period of 12 months commencing on each anniversary of the Effective Date;</w:t>
            </w:r>
          </w:p>
          <w:p w14:paraId="63F619D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provided that the final Contract Year shall end on the expiry or termination of the Term;</w:t>
            </w:r>
          </w:p>
        </w:tc>
      </w:tr>
      <w:tr w:rsidR="00920899" w:rsidRPr="00BD6C5F" w14:paraId="424F3FC3" w14:textId="77777777" w:rsidTr="00A64142">
        <w:trPr>
          <w:gridBefore w:val="1"/>
          <w:gridAfter w:val="1"/>
          <w:wBefore w:w="10" w:type="dxa"/>
          <w:wAfter w:w="32" w:type="dxa"/>
          <w:trHeight w:val="20"/>
        </w:trPr>
        <w:tc>
          <w:tcPr>
            <w:tcW w:w="3532" w:type="dxa"/>
          </w:tcPr>
          <w:p w14:paraId="6EE73A52" w14:textId="0127F0AA" w:rsidR="00920899" w:rsidRPr="00BD6C5F" w:rsidRDefault="00920899" w:rsidP="00920899">
            <w:pPr>
              <w:pStyle w:val="Tabletext"/>
              <w:rPr>
                <w:b/>
                <w:bCs/>
              </w:rPr>
            </w:pPr>
            <w:r w:rsidRPr="00BD6C5F">
              <w:rPr>
                <w:b/>
                <w:bCs/>
              </w:rPr>
              <w:t>“Control”</w:t>
            </w:r>
          </w:p>
        </w:tc>
        <w:tc>
          <w:tcPr>
            <w:tcW w:w="5954" w:type="dxa"/>
          </w:tcPr>
          <w:p w14:paraId="37B55373" w14:textId="5263BCF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possession by a person, directly or indirectly, of the power to direct or cause the direction of the management and policies of the other person (whether through the ownership of voting shares, by contract or otherwise) and “</w:t>
            </w:r>
            <w:r w:rsidRPr="00BD6C5F">
              <w:rPr>
                <w:rFonts w:asciiTheme="minorHAnsi" w:hAnsiTheme="minorHAnsi" w:cstheme="minorHAnsi"/>
                <w:b/>
                <w:bCs/>
              </w:rPr>
              <w:t>Controls</w:t>
            </w:r>
            <w:r w:rsidRPr="00BD6C5F">
              <w:rPr>
                <w:rFonts w:asciiTheme="minorHAnsi" w:hAnsiTheme="minorHAnsi" w:cstheme="minorHAnsi"/>
              </w:rPr>
              <w:t>” and “</w:t>
            </w:r>
            <w:r w:rsidRPr="00BD6C5F">
              <w:rPr>
                <w:rFonts w:asciiTheme="minorHAnsi" w:hAnsiTheme="minorHAnsi" w:cstheme="minorHAnsi"/>
                <w:b/>
                <w:bCs/>
              </w:rPr>
              <w:t>Controlled</w:t>
            </w:r>
            <w:r w:rsidRPr="00BD6C5F">
              <w:rPr>
                <w:rFonts w:asciiTheme="minorHAnsi" w:hAnsiTheme="minorHAnsi" w:cstheme="minorHAnsi"/>
              </w:rPr>
              <w:t>” shall be interpreted accordingly;</w:t>
            </w:r>
          </w:p>
        </w:tc>
      </w:tr>
      <w:tr w:rsidR="00920899" w:rsidRPr="00BD6C5F" w14:paraId="71D40346" w14:textId="77777777" w:rsidTr="00A64142">
        <w:trPr>
          <w:gridBefore w:val="1"/>
          <w:gridAfter w:val="1"/>
          <w:wBefore w:w="10" w:type="dxa"/>
          <w:wAfter w:w="32" w:type="dxa"/>
          <w:trHeight w:val="20"/>
        </w:trPr>
        <w:tc>
          <w:tcPr>
            <w:tcW w:w="3532" w:type="dxa"/>
          </w:tcPr>
          <w:p w14:paraId="754E05A3" w14:textId="7156ECE7" w:rsidR="00920899" w:rsidRPr="00BD6C5F" w:rsidRDefault="00920899" w:rsidP="00920899">
            <w:pPr>
              <w:pStyle w:val="Tabletext"/>
              <w:rPr>
                <w:b/>
                <w:bCs/>
              </w:rPr>
            </w:pPr>
            <w:r w:rsidRPr="00BD6C5F">
              <w:rPr>
                <w:b/>
                <w:bCs/>
              </w:rPr>
              <w:t>“Controller”</w:t>
            </w:r>
          </w:p>
        </w:tc>
        <w:tc>
          <w:tcPr>
            <w:tcW w:w="5954" w:type="dxa"/>
          </w:tcPr>
          <w:p w14:paraId="4D3B2A56" w14:textId="53F6526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the UK GDPR or the EU GDPR as the context requires;</w:t>
            </w:r>
          </w:p>
        </w:tc>
      </w:tr>
      <w:tr w:rsidR="00920899" w:rsidRPr="00BD6C5F" w14:paraId="47C908E3" w14:textId="77777777" w:rsidTr="00A64142">
        <w:trPr>
          <w:gridBefore w:val="1"/>
          <w:gridAfter w:val="1"/>
          <w:wBefore w:w="10" w:type="dxa"/>
          <w:wAfter w:w="32" w:type="dxa"/>
          <w:trHeight w:val="20"/>
        </w:trPr>
        <w:tc>
          <w:tcPr>
            <w:tcW w:w="3532" w:type="dxa"/>
          </w:tcPr>
          <w:p w14:paraId="6D8E930E" w14:textId="47213048" w:rsidR="00920899" w:rsidRPr="00BD6C5F" w:rsidRDefault="00920899" w:rsidP="00920899">
            <w:pPr>
              <w:pStyle w:val="Tabletext"/>
              <w:rPr>
                <w:b/>
                <w:bCs/>
              </w:rPr>
            </w:pPr>
            <w:r w:rsidRPr="00BD6C5F">
              <w:rPr>
                <w:b/>
                <w:bCs/>
              </w:rPr>
              <w:t>“Corporate Change Event”</w:t>
            </w:r>
          </w:p>
        </w:tc>
        <w:tc>
          <w:tcPr>
            <w:tcW w:w="5954" w:type="dxa"/>
          </w:tcPr>
          <w:p w14:paraId="11AC7F6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w:t>
            </w:r>
          </w:p>
          <w:p w14:paraId="219FEA2F" w14:textId="77777777" w:rsidR="00920899" w:rsidRPr="00BD6C5F" w:rsidRDefault="00920899" w:rsidP="00920899">
            <w:pPr>
              <w:pStyle w:val="Tablea"/>
            </w:pPr>
            <w:r w:rsidRPr="00BD6C5F">
              <w:t>any change of Control of the Supplier or a Parent Undertaking of the Supplier;</w:t>
            </w:r>
          </w:p>
          <w:p w14:paraId="207EF463" w14:textId="77777777" w:rsidR="00920899" w:rsidRPr="00BD6C5F" w:rsidRDefault="00920899" w:rsidP="00920899">
            <w:pPr>
              <w:pStyle w:val="Tablea"/>
            </w:pPr>
            <w:r w:rsidRPr="00BD6C5F">
              <w:t>any change of Control of any member of the Supplier Group which, in the reasonable opinion of the Authority could have a material adverse effect on the Services;</w:t>
            </w:r>
          </w:p>
          <w:p w14:paraId="41723BE7" w14:textId="77777777" w:rsidR="00920899" w:rsidRPr="00BD6C5F" w:rsidRDefault="00920899" w:rsidP="00920899">
            <w:pPr>
              <w:pStyle w:val="Tablea"/>
            </w:pPr>
            <w:r w:rsidRPr="00BD6C5F">
              <w:lastRenderedPageBreak/>
              <w:tab/>
              <w:t>any change to the business of the Supplier or any member of the Supplier Group which, in the reasonable opinion of the Authority, could have a material adverse effect on the Services;</w:t>
            </w:r>
          </w:p>
          <w:p w14:paraId="5670E0C3" w14:textId="77777777" w:rsidR="00920899" w:rsidRPr="00BD6C5F" w:rsidRDefault="00920899" w:rsidP="00920899">
            <w:pPr>
              <w:pStyle w:val="Tablea"/>
            </w:pPr>
            <w:r w:rsidRPr="00BD6C5F">
              <w:t>A Class 1 Transaction taking place in relation to the shares of the Supplier or any Parent Undertaking of the Supplier whose shares are listed on the main market of the London Stock Exchange plc;</w:t>
            </w:r>
          </w:p>
          <w:p w14:paraId="436B7C7F" w14:textId="77777777" w:rsidR="00920899" w:rsidRPr="00BD6C5F" w:rsidRDefault="00920899" w:rsidP="00920899">
            <w:pPr>
              <w:pStyle w:val="Tablea"/>
            </w:pPr>
            <w:bookmarkStart w:id="8" w:name="_Ref98255750"/>
            <w:r w:rsidRPr="00BD6C5F">
              <w:t>an event that could reasonably be regarded as being equivalent to a Class 1 Transaction taking place in respect of the Supplier or any Parent Undertaking of the Supplier;</w:t>
            </w:r>
          </w:p>
          <w:bookmarkEnd w:id="8"/>
          <w:p w14:paraId="4D72F040" w14:textId="77777777" w:rsidR="00920899" w:rsidRPr="00BD6C5F" w:rsidRDefault="00920899" w:rsidP="00920899">
            <w:pPr>
              <w:pStyle w:val="Tablea"/>
            </w:pPr>
            <w:r w:rsidRPr="00BD6C5F">
              <w:t>payment of dividends by the Supplier or the ultimate Parent Undertaking of the Supplier Group exceeding 25% of the Net Asset Value of the Supplier or the ultimate Parent Undertaking of the Supplier Group respectively in any 12 month period;</w:t>
            </w:r>
          </w:p>
          <w:p w14:paraId="4D77A3F0" w14:textId="77777777" w:rsidR="00920899" w:rsidRPr="00BD6C5F" w:rsidRDefault="00920899" w:rsidP="00920899">
            <w:pPr>
              <w:pStyle w:val="Tablea"/>
            </w:pPr>
            <w:bookmarkStart w:id="9" w:name="_Ref98255792"/>
            <w:r w:rsidRPr="00BD6C5F">
              <w:t>an order is made or an effective resolution is passed for the winding up of any member of the Supplier Group;</w:t>
            </w:r>
          </w:p>
          <w:bookmarkEnd w:id="9"/>
          <w:p w14:paraId="0B9B5162" w14:textId="77777777" w:rsidR="00920899" w:rsidRPr="00BD6C5F" w:rsidRDefault="00920899" w:rsidP="00920899">
            <w:pPr>
              <w:pStyle w:val="Tablea"/>
            </w:pPr>
            <w:r w:rsidRPr="00BD6C5F">
              <w:t>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arrangement or agreement being made with creditors of any member of the Supplier Group;</w:t>
            </w:r>
          </w:p>
          <w:p w14:paraId="45A09692" w14:textId="77777777" w:rsidR="00920899" w:rsidRPr="00BD6C5F" w:rsidRDefault="00920899" w:rsidP="00920899">
            <w:pPr>
              <w:pStyle w:val="Tablea"/>
            </w:pPr>
            <w:r w:rsidRPr="00BD6C5F">
              <w:t>the appointment of a receiver, administrative receiver or administrator in respect of or over all or a material part of the undertaking or assets of any member of the Supplier Group; and/or</w:t>
            </w:r>
          </w:p>
          <w:p w14:paraId="6E763480" w14:textId="2208B049" w:rsidR="00920899" w:rsidRPr="00BD6C5F" w:rsidRDefault="00920899" w:rsidP="00920899">
            <w:pPr>
              <w:pStyle w:val="Tablea"/>
            </w:pPr>
            <w:r w:rsidRPr="00BD6C5F">
              <w:t xml:space="preserve">any process or events with an effect analogous to those in paragraphs </w:t>
            </w:r>
            <w:r w:rsidRPr="00BD6C5F">
              <w:fldChar w:fldCharType="begin"/>
            </w:r>
            <w:r w:rsidRPr="00BD6C5F">
              <w:instrText xml:space="preserve"> REF _Ref98255750 \w \h  \* MERGEFORMAT </w:instrText>
            </w:r>
            <w:r w:rsidRPr="00BD6C5F">
              <w:fldChar w:fldCharType="separate"/>
            </w:r>
            <w:r w:rsidR="009749A0">
              <w:t>(e)</w:t>
            </w:r>
            <w:r w:rsidRPr="00BD6C5F">
              <w:fldChar w:fldCharType="end"/>
            </w:r>
            <w:r w:rsidRPr="00BD6C5F">
              <w:t xml:space="preserve"> to </w:t>
            </w:r>
            <w:r w:rsidRPr="00BD6C5F">
              <w:fldChar w:fldCharType="begin"/>
            </w:r>
            <w:r w:rsidRPr="00BD6C5F">
              <w:instrText xml:space="preserve"> REF _Ref98255792 \w \h  \* MERGEFORMAT </w:instrText>
            </w:r>
            <w:r w:rsidRPr="00BD6C5F">
              <w:fldChar w:fldCharType="separate"/>
            </w:r>
            <w:r w:rsidR="009749A0">
              <w:t>(g)</w:t>
            </w:r>
            <w:r w:rsidRPr="00BD6C5F">
              <w:fldChar w:fldCharType="end"/>
            </w:r>
            <w:r w:rsidRPr="00BD6C5F">
              <w:t xml:space="preserve"> inclusive above occurring to a member of the Supplier Group in a jurisdiction outside Scotland;</w:t>
            </w:r>
          </w:p>
        </w:tc>
      </w:tr>
      <w:tr w:rsidR="00920899" w:rsidRPr="00BD6C5F" w14:paraId="6E3BA1E6" w14:textId="77777777" w:rsidTr="00A64142">
        <w:trPr>
          <w:gridBefore w:val="1"/>
          <w:gridAfter w:val="1"/>
          <w:wBefore w:w="10" w:type="dxa"/>
          <w:wAfter w:w="32" w:type="dxa"/>
          <w:trHeight w:val="20"/>
        </w:trPr>
        <w:tc>
          <w:tcPr>
            <w:tcW w:w="3532" w:type="dxa"/>
          </w:tcPr>
          <w:p w14:paraId="6AD2319A" w14:textId="1788834F" w:rsidR="00920899" w:rsidRPr="00BD6C5F" w:rsidRDefault="00920899" w:rsidP="00920899">
            <w:pPr>
              <w:pStyle w:val="Tabletext"/>
              <w:rPr>
                <w:b/>
                <w:bCs/>
              </w:rPr>
            </w:pPr>
            <w:r w:rsidRPr="00BD6C5F">
              <w:rPr>
                <w:b/>
                <w:bCs/>
              </w:rPr>
              <w:lastRenderedPageBreak/>
              <w:t>“Corporate Change Event Grace Period”</w:t>
            </w:r>
          </w:p>
        </w:tc>
        <w:tc>
          <w:tcPr>
            <w:tcW w:w="5954" w:type="dxa"/>
          </w:tcPr>
          <w:p w14:paraId="1CC5E053" w14:textId="6A3964B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 grace period agreed to by the Relevant Authority for providing CRP Information and/or updates to Service Continuity Plan after a Corporate Change Event;</w:t>
            </w:r>
          </w:p>
        </w:tc>
      </w:tr>
      <w:tr w:rsidR="00920899" w:rsidRPr="00BD6C5F" w14:paraId="1FF3F1E0" w14:textId="77777777" w:rsidTr="00A64142">
        <w:trPr>
          <w:gridBefore w:val="1"/>
          <w:gridAfter w:val="1"/>
          <w:wBefore w:w="10" w:type="dxa"/>
          <w:wAfter w:w="32" w:type="dxa"/>
          <w:trHeight w:val="20"/>
        </w:trPr>
        <w:tc>
          <w:tcPr>
            <w:tcW w:w="3532" w:type="dxa"/>
          </w:tcPr>
          <w:p w14:paraId="34BA456A" w14:textId="4F41B5C1" w:rsidR="00920899" w:rsidRPr="00BD6C5F" w:rsidRDefault="00920899" w:rsidP="00920899">
            <w:pPr>
              <w:pStyle w:val="Tabletext"/>
              <w:rPr>
                <w:b/>
                <w:bCs/>
              </w:rPr>
            </w:pPr>
            <w:r w:rsidRPr="00BD6C5F">
              <w:rPr>
                <w:b/>
                <w:bCs/>
              </w:rPr>
              <w:t xml:space="preserve">“Corporate Resolvability Assessment (Structural </w:t>
            </w:r>
            <w:r w:rsidRPr="00BD6C5F">
              <w:rPr>
                <w:b/>
                <w:bCs/>
              </w:rPr>
              <w:lastRenderedPageBreak/>
              <w:t>Review)”</w:t>
            </w:r>
          </w:p>
        </w:tc>
        <w:tc>
          <w:tcPr>
            <w:tcW w:w="5954" w:type="dxa"/>
          </w:tcPr>
          <w:p w14:paraId="6905D61C" w14:textId="7BC55D2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lastRenderedPageBreak/>
              <w:t xml:space="preserve">means part of the CRP Information relating to the Supplier Group to be provided by the Supplier in </w:t>
            </w:r>
            <w:r w:rsidRPr="00BD6C5F">
              <w:rPr>
                <w:rFonts w:asciiTheme="minorHAnsi" w:hAnsiTheme="minorHAnsi" w:cstheme="minorHAnsi"/>
              </w:rPr>
              <w:lastRenderedPageBreak/>
              <w:t>accordance with Paragraphs </w:t>
            </w:r>
            <w:r w:rsidRPr="00BD6C5F">
              <w:rPr>
                <w:rFonts w:asciiTheme="minorHAnsi" w:hAnsiTheme="minorHAnsi" w:cstheme="minorHAnsi"/>
              </w:rPr>
              <w:fldChar w:fldCharType="begin"/>
            </w:r>
            <w:r w:rsidRPr="00BD6C5F">
              <w:rPr>
                <w:rFonts w:asciiTheme="minorHAnsi" w:hAnsiTheme="minorHAnsi" w:cstheme="minorHAnsi"/>
              </w:rPr>
              <w:instrText xml:space="preserve"> REF _Ref98351440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2</w:t>
            </w:r>
            <w:r w:rsidRPr="00BD6C5F">
              <w:rPr>
                <w:rFonts w:asciiTheme="minorHAnsi" w:hAnsiTheme="minorHAnsi" w:cstheme="minorHAnsi"/>
              </w:rPr>
              <w:fldChar w:fldCharType="end"/>
            </w:r>
            <w:r w:rsidRPr="00BD6C5F">
              <w:rPr>
                <w:rFonts w:asciiTheme="minorHAnsi" w:hAnsiTheme="minorHAnsi" w:cstheme="minorHAnsi"/>
              </w:rPr>
              <w:t xml:space="preserve"> and </w:t>
            </w:r>
            <w:r>
              <w:rPr>
                <w:rFonts w:asciiTheme="minorHAnsi" w:hAnsiTheme="minorHAnsi" w:cstheme="minorHAnsi"/>
              </w:rPr>
              <w:t>Annex </w:t>
            </w:r>
            <w:r>
              <w:rPr>
                <w:rFonts w:asciiTheme="minorHAnsi" w:hAnsiTheme="minorHAnsi" w:cstheme="minorHAnsi"/>
                <w:highlight w:val="cyan"/>
              </w:rPr>
              <w:fldChar w:fldCharType="begin"/>
            </w:r>
            <w:r>
              <w:rPr>
                <w:rFonts w:asciiTheme="minorHAnsi" w:hAnsiTheme="minorHAnsi" w:cstheme="minorHAnsi"/>
              </w:rPr>
              <w:instrText xml:space="preserve"> REF Schedule_26_Part_B_Annex_2 \h </w:instrText>
            </w:r>
            <w:r>
              <w:rPr>
                <w:rFonts w:asciiTheme="minorHAnsi" w:hAnsiTheme="minorHAnsi" w:cstheme="minorHAnsi"/>
                <w:highlight w:val="cyan"/>
              </w:rPr>
            </w:r>
            <w:r>
              <w:rPr>
                <w:rFonts w:asciiTheme="minorHAnsi" w:hAnsiTheme="minorHAnsi" w:cstheme="minorHAnsi"/>
                <w:highlight w:val="cyan"/>
              </w:rPr>
              <w:fldChar w:fldCharType="separate"/>
            </w:r>
            <w:r w:rsidR="009749A0" w:rsidRPr="00BD6C5F">
              <w:t>2</w:t>
            </w:r>
            <w:r>
              <w:rPr>
                <w:rFonts w:asciiTheme="minorHAnsi" w:hAnsiTheme="minorHAnsi" w:cstheme="minorHAnsi"/>
                <w:highlight w:val="cyan"/>
              </w:rPr>
              <w:fldChar w:fldCharType="end"/>
            </w:r>
            <w:r w:rsidRPr="00BD6C5F">
              <w:rPr>
                <w:rFonts w:asciiTheme="minorHAnsi" w:hAnsiTheme="minorHAnsi" w:cstheme="minorHAnsi"/>
              </w:rPr>
              <w:t xml:space="preserve"> Corporate Resolvability Assessment (Structural Review)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Schedule_26_Part_B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Pr>
                <w:rFonts w:asciiTheme="minorHAnsi" w:hAnsiTheme="minorHAnsi" w:cstheme="minorHAnsi"/>
              </w:rPr>
              <w:t xml:space="preserve"> of </w:t>
            </w:r>
            <w:r w:rsidRPr="00BD6C5F">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Service Continuity Plan and Corporate Resolution Planning</w:t>
            </w:r>
            <w:r w:rsidRPr="00BD6C5F">
              <w:rPr>
                <w:rFonts w:asciiTheme="minorHAnsi" w:hAnsiTheme="minorHAnsi" w:cstheme="minorHAnsi"/>
              </w:rPr>
              <w:t>);</w:t>
            </w:r>
          </w:p>
        </w:tc>
      </w:tr>
      <w:tr w:rsidR="00920899" w:rsidRPr="00BD6C5F" w14:paraId="19323A62" w14:textId="77777777" w:rsidTr="00A64142">
        <w:trPr>
          <w:gridBefore w:val="1"/>
          <w:gridAfter w:val="1"/>
          <w:wBefore w:w="10" w:type="dxa"/>
          <w:wAfter w:w="32" w:type="dxa"/>
          <w:trHeight w:val="20"/>
        </w:trPr>
        <w:tc>
          <w:tcPr>
            <w:tcW w:w="3532" w:type="dxa"/>
          </w:tcPr>
          <w:p w14:paraId="389ABD9F" w14:textId="68FE16C5" w:rsidR="00920899" w:rsidRPr="00BD6C5F" w:rsidRDefault="00920899" w:rsidP="00920899">
            <w:pPr>
              <w:pStyle w:val="Tabletext"/>
              <w:rPr>
                <w:b/>
                <w:bCs/>
              </w:rPr>
            </w:pPr>
            <w:r w:rsidRPr="00BD6C5F">
              <w:rPr>
                <w:b/>
                <w:bCs/>
              </w:rPr>
              <w:lastRenderedPageBreak/>
              <w:t>“Costs”</w:t>
            </w:r>
          </w:p>
        </w:tc>
        <w:tc>
          <w:tcPr>
            <w:tcW w:w="5954" w:type="dxa"/>
          </w:tcPr>
          <w:p w14:paraId="2369496A" w14:textId="2B733FC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6CD7E77B" w14:textId="77777777" w:rsidTr="00A64142">
        <w:trPr>
          <w:gridBefore w:val="1"/>
          <w:gridAfter w:val="1"/>
          <w:wBefore w:w="10" w:type="dxa"/>
          <w:wAfter w:w="32" w:type="dxa"/>
          <w:trHeight w:val="20"/>
        </w:trPr>
        <w:tc>
          <w:tcPr>
            <w:tcW w:w="3532" w:type="dxa"/>
          </w:tcPr>
          <w:p w14:paraId="36F67108" w14:textId="727B516E" w:rsidR="00920899" w:rsidRPr="00BD6C5F" w:rsidRDefault="00920899" w:rsidP="00920899">
            <w:pPr>
              <w:pStyle w:val="Tabletext"/>
              <w:rPr>
                <w:b/>
                <w:bCs/>
              </w:rPr>
            </w:pPr>
            <w:r w:rsidRPr="00BD6C5F">
              <w:rPr>
                <w:b/>
                <w:bCs/>
              </w:rPr>
              <w:t>“CPP Milestone”</w:t>
            </w:r>
          </w:p>
        </w:tc>
        <w:tc>
          <w:tcPr>
            <w:tcW w:w="5954" w:type="dxa"/>
          </w:tcPr>
          <w:p w14:paraId="275B18EC" w14:textId="5A7168B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contract performance point as set out in the Implementation Plan, being the Milestone at which the Supplier has demonstrated that the Supplier Solution or relevant Service is working satisfactorily in its operating environment in accordance with Schedule </w:t>
            </w:r>
            <w:r>
              <w:rPr>
                <w:rFonts w:asciiTheme="minorHAnsi" w:hAnsiTheme="minorHAnsi" w:cstheme="minorHAnsi"/>
              </w:rPr>
              <w:fldChar w:fldCharType="begin"/>
            </w:r>
            <w:r>
              <w:rPr>
                <w:rFonts w:asciiTheme="minorHAnsi" w:hAnsiTheme="minorHAnsi" w:cstheme="minorHAnsi"/>
              </w:rPr>
              <w:instrText xml:space="preserve"> REF Schedule_14 \h </w:instrText>
            </w:r>
            <w:r>
              <w:rPr>
                <w:rFonts w:asciiTheme="minorHAnsi" w:hAnsiTheme="minorHAnsi" w:cstheme="minorHAnsi"/>
              </w:rPr>
            </w:r>
            <w:r>
              <w:rPr>
                <w:rFonts w:asciiTheme="minorHAnsi" w:hAnsiTheme="minorHAnsi" w:cstheme="minorHAnsi"/>
              </w:rPr>
              <w:fldChar w:fldCharType="separate"/>
            </w:r>
            <w:r w:rsidR="009749A0">
              <w:t>14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Procedures</w:t>
            </w:r>
            <w:r w:rsidRPr="00BD6C5F">
              <w:rPr>
                <w:rFonts w:asciiTheme="minorHAnsi" w:hAnsiTheme="minorHAnsi" w:cstheme="minorHAnsi"/>
              </w:rPr>
              <w:t>);</w:t>
            </w:r>
          </w:p>
        </w:tc>
      </w:tr>
      <w:tr w:rsidR="00920899" w:rsidRPr="00BD6C5F" w14:paraId="59931A9A" w14:textId="77777777" w:rsidTr="00A64142">
        <w:trPr>
          <w:gridBefore w:val="1"/>
          <w:gridAfter w:val="1"/>
          <w:wBefore w:w="10" w:type="dxa"/>
          <w:wAfter w:w="32" w:type="dxa"/>
          <w:trHeight w:val="20"/>
        </w:trPr>
        <w:tc>
          <w:tcPr>
            <w:tcW w:w="3532" w:type="dxa"/>
          </w:tcPr>
          <w:p w14:paraId="31D83A0B" w14:textId="36F1C128" w:rsidR="00920899" w:rsidRPr="00BD6C5F" w:rsidRDefault="00920899" w:rsidP="00920899">
            <w:pPr>
              <w:pStyle w:val="Tabletext"/>
              <w:rPr>
                <w:b/>
                <w:bCs/>
              </w:rPr>
            </w:pPr>
            <w:r w:rsidRPr="00BD6C5F">
              <w:rPr>
                <w:b/>
                <w:bCs/>
              </w:rPr>
              <w:t>“Critical National Infrastructure”</w:t>
            </w:r>
          </w:p>
        </w:tc>
        <w:tc>
          <w:tcPr>
            <w:tcW w:w="5954" w:type="dxa"/>
          </w:tcPr>
          <w:p w14:paraId="4F37824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those critical elements of UK national infrastructure (namely assets, facilities, systems, networks or processes and the essential workers that operate and facilitate them), the loss or compromise of which could result in:</w:t>
            </w:r>
          </w:p>
          <w:p w14:paraId="1F8CAB51" w14:textId="77777777" w:rsidR="00920899" w:rsidRPr="00BD6C5F" w:rsidRDefault="00920899" w:rsidP="00920899">
            <w:pPr>
              <w:pStyle w:val="Tablea"/>
            </w:pPr>
            <w:r w:rsidRPr="00BD6C5F">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729502A3" w14:textId="77777777" w:rsidR="00920899" w:rsidRPr="00BD6C5F" w:rsidRDefault="00920899" w:rsidP="00920899">
            <w:pPr>
              <w:pStyle w:val="Tablea"/>
            </w:pPr>
            <w:r w:rsidRPr="00BD6C5F">
              <w:t>significant impact on the national security, national defence, or the functioning of the UK;</w:t>
            </w:r>
          </w:p>
        </w:tc>
      </w:tr>
      <w:tr w:rsidR="00920899" w:rsidRPr="00BD6C5F" w14:paraId="33C96DB3" w14:textId="77777777" w:rsidTr="00A64142">
        <w:trPr>
          <w:gridBefore w:val="1"/>
          <w:gridAfter w:val="1"/>
          <w:wBefore w:w="10" w:type="dxa"/>
          <w:wAfter w:w="32" w:type="dxa"/>
          <w:trHeight w:val="20"/>
        </w:trPr>
        <w:tc>
          <w:tcPr>
            <w:tcW w:w="3532" w:type="dxa"/>
          </w:tcPr>
          <w:p w14:paraId="7B707BA8" w14:textId="0576456D" w:rsidR="00920899" w:rsidRPr="00BD6C5F" w:rsidRDefault="00920899" w:rsidP="00920899">
            <w:pPr>
              <w:pStyle w:val="Tabletext"/>
              <w:rPr>
                <w:b/>
                <w:bCs/>
              </w:rPr>
            </w:pPr>
            <w:r w:rsidRPr="00BD6C5F">
              <w:rPr>
                <w:b/>
                <w:bCs/>
              </w:rPr>
              <w:t>“Critical Performance Failure”</w:t>
            </w:r>
          </w:p>
        </w:tc>
        <w:tc>
          <w:tcPr>
            <w:tcW w:w="5954" w:type="dxa"/>
          </w:tcPr>
          <w:p w14:paraId="6D5BD3C6" w14:textId="7A69A966" w:rsidR="00920899" w:rsidRPr="00BD6C5F" w:rsidRDefault="00920899" w:rsidP="00920899">
            <w:pPr>
              <w:pStyle w:val="Tablea"/>
            </w:pPr>
            <w:r w:rsidRPr="00BD6C5F">
              <w:t xml:space="preserve">the Supplier accruing in aggregate </w:t>
            </w:r>
            <w:r w:rsidRPr="006D1202">
              <w:rPr>
                <w:highlight w:val="yellow"/>
              </w:rPr>
              <w:t>[</w:t>
            </w:r>
            <w:r w:rsidRPr="00D852B2">
              <w:rPr>
                <w:b/>
                <w:bCs/>
                <w:highlight w:val="yellow"/>
              </w:rPr>
              <w:t>insert</w:t>
            </w:r>
            <w:r w:rsidRPr="006D1202">
              <w:rPr>
                <w:highlight w:val="yellow"/>
              </w:rPr>
              <w:t xml:space="preserve"> number]</w:t>
            </w:r>
            <w:r w:rsidRPr="00BD6C5F">
              <w:t xml:space="preserve"> or more Service Points (in terms of the number of points allocated) in any period of </w:t>
            </w:r>
            <w:r w:rsidRPr="006D1202">
              <w:rPr>
                <w:highlight w:val="yellow"/>
              </w:rPr>
              <w:t>[</w:t>
            </w:r>
            <w:r w:rsidRPr="00D852B2">
              <w:rPr>
                <w:b/>
                <w:bCs/>
                <w:highlight w:val="yellow"/>
              </w:rPr>
              <w:t>insert</w:t>
            </w:r>
            <w:r w:rsidRPr="006D1202">
              <w:rPr>
                <w:highlight w:val="yellow"/>
              </w:rPr>
              <w:t xml:space="preserve"> number]</w:t>
            </w:r>
            <w:r w:rsidRPr="006D1202">
              <w:t xml:space="preserve"> </w:t>
            </w:r>
            <w:r w:rsidRPr="00BD6C5F">
              <w:t>months; or</w:t>
            </w:r>
          </w:p>
          <w:p w14:paraId="5A10062A" w14:textId="2512B906" w:rsidR="00920899" w:rsidRPr="00BD6C5F" w:rsidRDefault="00920899" w:rsidP="00920899">
            <w:pPr>
              <w:pStyle w:val="Tablea"/>
            </w:pPr>
            <w:r w:rsidRPr="00BD6C5F">
              <w:t>the Supplier accruing Service Credits or Compensation for Unacceptable KPI Failure which meet or exceed the Service Credit Cap;</w:t>
            </w:r>
          </w:p>
        </w:tc>
      </w:tr>
      <w:tr w:rsidR="00920899" w:rsidRPr="00BD6C5F" w14:paraId="1148C961" w14:textId="77777777" w:rsidTr="00A64142">
        <w:trPr>
          <w:gridAfter w:val="1"/>
          <w:wAfter w:w="32" w:type="dxa"/>
          <w:trHeight w:val="20"/>
        </w:trPr>
        <w:tc>
          <w:tcPr>
            <w:tcW w:w="3542" w:type="dxa"/>
            <w:gridSpan w:val="2"/>
          </w:tcPr>
          <w:p w14:paraId="619106EF" w14:textId="634B028A" w:rsidR="00920899" w:rsidRPr="00BD6C5F" w:rsidRDefault="00920899" w:rsidP="00920899">
            <w:pPr>
              <w:pStyle w:val="Tabletext"/>
              <w:rPr>
                <w:b/>
                <w:bCs/>
              </w:rPr>
            </w:pPr>
            <w:r w:rsidRPr="00BD6C5F">
              <w:rPr>
                <w:b/>
                <w:bCs/>
              </w:rPr>
              <w:t>“Critical Service Contract”</w:t>
            </w:r>
          </w:p>
        </w:tc>
        <w:tc>
          <w:tcPr>
            <w:tcW w:w="5954" w:type="dxa"/>
          </w:tcPr>
          <w:p w14:paraId="5E558128" w14:textId="13D9D00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the overall status of the Services provided under this Contract as determined by the Authority and specified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_Ref98362077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1.1</w:t>
            </w:r>
            <w:r w:rsidRPr="00BD6C5F">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Schedule_26_Part_B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sidRPr="00BD6C5F">
              <w:rPr>
                <w:rFonts w:asciiTheme="minorHAnsi" w:hAnsiTheme="minorHAnsi" w:cstheme="minorHAnsi"/>
              </w:rPr>
              <w:t xml:space="preserve"> to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 Continuity Plan and Corporate Resolution Planning</w:t>
            </w:r>
            <w:r w:rsidRPr="00BD6C5F">
              <w:rPr>
                <w:rFonts w:asciiTheme="minorHAnsi" w:hAnsiTheme="minorHAnsi" w:cstheme="minorHAnsi"/>
              </w:rPr>
              <w:t>);</w:t>
            </w:r>
          </w:p>
        </w:tc>
      </w:tr>
      <w:tr w:rsidR="00920899" w:rsidRPr="00BD6C5F" w14:paraId="7FD63E5D" w14:textId="77777777" w:rsidTr="00A64142">
        <w:trPr>
          <w:gridAfter w:val="1"/>
          <w:wAfter w:w="32" w:type="dxa"/>
          <w:trHeight w:val="20"/>
        </w:trPr>
        <w:tc>
          <w:tcPr>
            <w:tcW w:w="3542" w:type="dxa"/>
            <w:gridSpan w:val="2"/>
          </w:tcPr>
          <w:p w14:paraId="2C63B4F1" w14:textId="02040F33" w:rsidR="00920899" w:rsidRPr="00BD6C5F" w:rsidRDefault="00920899" w:rsidP="00920899">
            <w:pPr>
              <w:pStyle w:val="Tabletext"/>
              <w:rPr>
                <w:b/>
                <w:bCs/>
              </w:rPr>
            </w:pPr>
            <w:r w:rsidRPr="00BD6C5F">
              <w:rPr>
                <w:b/>
                <w:bCs/>
              </w:rPr>
              <w:t>“Crown Body”</w:t>
            </w:r>
          </w:p>
        </w:tc>
        <w:tc>
          <w:tcPr>
            <w:tcW w:w="5954" w:type="dxa"/>
          </w:tcPr>
          <w:p w14:paraId="08214810" w14:textId="1600284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government of the United Kingdom (including the Northern Ireland Assembly and Executive Committee, the Scottish Government and the </w:t>
            </w:r>
            <w:r>
              <w:rPr>
                <w:rFonts w:asciiTheme="minorHAnsi" w:hAnsiTheme="minorHAnsi" w:cstheme="minorHAnsi"/>
              </w:rPr>
              <w:t>Welsh Government</w:t>
            </w:r>
            <w:r w:rsidRPr="00BD6C5F">
              <w:rPr>
                <w:rFonts w:asciiTheme="minorHAnsi" w:hAnsiTheme="minorHAnsi" w:cstheme="minorHAnsi"/>
              </w:rPr>
              <w:t xml:space="preserve">), including government ministers and government departments and particular bodies, persons, commissions or agencies from time </w:t>
            </w:r>
            <w:r w:rsidRPr="00BD6C5F">
              <w:rPr>
                <w:rFonts w:asciiTheme="minorHAnsi" w:hAnsiTheme="minorHAnsi" w:cstheme="minorHAnsi"/>
              </w:rPr>
              <w:lastRenderedPageBreak/>
              <w:t>to time carrying out functions on its behalf;</w:t>
            </w:r>
          </w:p>
        </w:tc>
      </w:tr>
      <w:tr w:rsidR="00920899" w:rsidRPr="00BD6C5F" w14:paraId="7A8C2431" w14:textId="77777777" w:rsidTr="00A64142">
        <w:trPr>
          <w:gridAfter w:val="1"/>
          <w:wAfter w:w="32" w:type="dxa"/>
          <w:trHeight w:val="20"/>
        </w:trPr>
        <w:tc>
          <w:tcPr>
            <w:tcW w:w="3542" w:type="dxa"/>
            <w:gridSpan w:val="2"/>
          </w:tcPr>
          <w:p w14:paraId="7B8C6F75" w14:textId="0EFB5AF0" w:rsidR="00920899" w:rsidRPr="00BD6C5F" w:rsidRDefault="00920899" w:rsidP="00920899">
            <w:pPr>
              <w:pStyle w:val="Tabletext"/>
              <w:rPr>
                <w:b/>
                <w:bCs/>
              </w:rPr>
            </w:pPr>
            <w:r w:rsidRPr="00BD6C5F">
              <w:rPr>
                <w:b/>
                <w:bCs/>
              </w:rPr>
              <w:lastRenderedPageBreak/>
              <w:t>“Crown Copyright”</w:t>
            </w:r>
          </w:p>
        </w:tc>
        <w:tc>
          <w:tcPr>
            <w:tcW w:w="5954" w:type="dxa"/>
          </w:tcPr>
          <w:p w14:paraId="559CC706" w14:textId="59228F4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the Copyright Designs and Patent Act 1988;</w:t>
            </w:r>
          </w:p>
        </w:tc>
      </w:tr>
      <w:tr w:rsidR="00920899" w:rsidRPr="00BD6C5F" w14:paraId="5C2FA498" w14:textId="77777777" w:rsidTr="00A64142">
        <w:trPr>
          <w:gridAfter w:val="1"/>
          <w:wAfter w:w="32" w:type="dxa"/>
          <w:trHeight w:val="20"/>
        </w:trPr>
        <w:tc>
          <w:tcPr>
            <w:tcW w:w="3542" w:type="dxa"/>
            <w:gridSpan w:val="2"/>
          </w:tcPr>
          <w:p w14:paraId="30624CA8" w14:textId="14A16173" w:rsidR="00920899" w:rsidRPr="00BD6C5F" w:rsidRDefault="00920899" w:rsidP="00920899">
            <w:pPr>
              <w:pStyle w:val="Tabletext"/>
              <w:keepNext/>
              <w:rPr>
                <w:b/>
                <w:bCs/>
              </w:rPr>
            </w:pPr>
            <w:r w:rsidRPr="00BD6C5F">
              <w:rPr>
                <w:b/>
                <w:bCs/>
              </w:rPr>
              <w:t>“CRP Information”</w:t>
            </w:r>
          </w:p>
        </w:tc>
        <w:tc>
          <w:tcPr>
            <w:tcW w:w="5954" w:type="dxa"/>
          </w:tcPr>
          <w:p w14:paraId="70ACAB94" w14:textId="38B0276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the Corporate Resolution Planning Information, together, the:</w:t>
            </w:r>
          </w:p>
          <w:p w14:paraId="7CACEC60" w14:textId="77777777" w:rsidR="00920899" w:rsidRPr="00BD6C5F" w:rsidRDefault="00920899" w:rsidP="00920899">
            <w:pPr>
              <w:pStyle w:val="Tablea"/>
            </w:pPr>
            <w:r w:rsidRPr="00BD6C5F">
              <w:t>Exposure Information (Contracts list);</w:t>
            </w:r>
          </w:p>
          <w:p w14:paraId="7951705B" w14:textId="77777777" w:rsidR="00920899" w:rsidRPr="00BD6C5F" w:rsidRDefault="00920899" w:rsidP="00920899">
            <w:pPr>
              <w:pStyle w:val="Tablea"/>
            </w:pPr>
            <w:r w:rsidRPr="00BD6C5F">
              <w:t>Corporate Resolvability Assessment (Structural Review); and</w:t>
            </w:r>
          </w:p>
          <w:p w14:paraId="46238845" w14:textId="4450592E" w:rsidR="00920899" w:rsidRPr="00BD6C5F" w:rsidRDefault="00920899" w:rsidP="00920899">
            <w:pPr>
              <w:pStyle w:val="Tablea"/>
            </w:pPr>
            <w:r w:rsidRPr="00BD6C5F">
              <w:t>Financial Information and Commentary;</w:t>
            </w:r>
          </w:p>
        </w:tc>
      </w:tr>
      <w:tr w:rsidR="00920899" w:rsidRPr="00BD6C5F" w14:paraId="3C4957C3" w14:textId="77777777" w:rsidTr="00A64142">
        <w:trPr>
          <w:gridAfter w:val="1"/>
          <w:wAfter w:w="32" w:type="dxa"/>
          <w:trHeight w:val="20"/>
        </w:trPr>
        <w:tc>
          <w:tcPr>
            <w:tcW w:w="3542" w:type="dxa"/>
            <w:gridSpan w:val="2"/>
          </w:tcPr>
          <w:p w14:paraId="2ACA39C8" w14:textId="2ED73526" w:rsidR="00920899" w:rsidRPr="00BD6C5F" w:rsidRDefault="00920899" w:rsidP="00920899">
            <w:pPr>
              <w:pStyle w:val="Tabletext"/>
              <w:rPr>
                <w:b/>
                <w:bCs/>
              </w:rPr>
            </w:pPr>
            <w:r w:rsidRPr="00BD6C5F">
              <w:rPr>
                <w:b/>
                <w:bCs/>
              </w:rPr>
              <w:t>“CTPRSA”</w:t>
            </w:r>
          </w:p>
        </w:tc>
        <w:tc>
          <w:tcPr>
            <w:tcW w:w="5954" w:type="dxa"/>
          </w:tcPr>
          <w:p w14:paraId="2B1769FA"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Contract (Third Party Rights) (Scotland) Act 2017;</w:t>
            </w:r>
          </w:p>
        </w:tc>
      </w:tr>
      <w:tr w:rsidR="00920899" w:rsidRPr="00BD6C5F" w14:paraId="29E28F00" w14:textId="77777777" w:rsidTr="00A64142">
        <w:trPr>
          <w:gridAfter w:val="1"/>
          <w:wAfter w:w="32" w:type="dxa"/>
          <w:trHeight w:val="20"/>
        </w:trPr>
        <w:tc>
          <w:tcPr>
            <w:tcW w:w="3542" w:type="dxa"/>
            <w:gridSpan w:val="2"/>
          </w:tcPr>
          <w:p w14:paraId="64B8B9AA" w14:textId="46A0667B" w:rsidR="00920899" w:rsidRPr="00BD6C5F" w:rsidRDefault="00920899" w:rsidP="00920899">
            <w:pPr>
              <w:pStyle w:val="Tabletext"/>
              <w:rPr>
                <w:b/>
                <w:bCs/>
              </w:rPr>
            </w:pPr>
            <w:r w:rsidRPr="00BD6C5F">
              <w:rPr>
                <w:b/>
                <w:bCs/>
              </w:rPr>
              <w:t>“Data Loss Event”</w:t>
            </w:r>
          </w:p>
        </w:tc>
        <w:tc>
          <w:tcPr>
            <w:tcW w:w="5954" w:type="dxa"/>
          </w:tcPr>
          <w:p w14:paraId="1DB7A931" w14:textId="53A32BC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920899" w:rsidRPr="00BD6C5F" w14:paraId="360E5832" w14:textId="77777777" w:rsidTr="00A64142">
        <w:trPr>
          <w:gridAfter w:val="1"/>
          <w:wAfter w:w="32" w:type="dxa"/>
          <w:trHeight w:val="20"/>
        </w:trPr>
        <w:tc>
          <w:tcPr>
            <w:tcW w:w="3542" w:type="dxa"/>
            <w:gridSpan w:val="2"/>
          </w:tcPr>
          <w:p w14:paraId="7394B070" w14:textId="02DB2EE5" w:rsidR="00920899" w:rsidRPr="00BD6C5F" w:rsidRDefault="00920899" w:rsidP="00920899">
            <w:pPr>
              <w:pStyle w:val="Tabletext"/>
              <w:rPr>
                <w:b/>
                <w:bCs/>
              </w:rPr>
            </w:pPr>
            <w:r w:rsidRPr="00BD6C5F">
              <w:rPr>
                <w:b/>
                <w:bCs/>
              </w:rPr>
              <w:t>“Data Protection Impact Assessment”</w:t>
            </w:r>
          </w:p>
        </w:tc>
        <w:tc>
          <w:tcPr>
            <w:tcW w:w="5954" w:type="dxa"/>
          </w:tcPr>
          <w:p w14:paraId="2A41B6C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assessment by the Controller of the impact of the envisaged processing on the protection of Personal Data;</w:t>
            </w:r>
          </w:p>
        </w:tc>
      </w:tr>
      <w:tr w:rsidR="00920899" w:rsidRPr="00BD6C5F" w14:paraId="430C9518" w14:textId="77777777" w:rsidTr="00A64142">
        <w:trPr>
          <w:gridAfter w:val="1"/>
          <w:wAfter w:w="32" w:type="dxa"/>
          <w:trHeight w:val="20"/>
        </w:trPr>
        <w:tc>
          <w:tcPr>
            <w:tcW w:w="3542" w:type="dxa"/>
            <w:gridSpan w:val="2"/>
          </w:tcPr>
          <w:p w14:paraId="5F5A56D2" w14:textId="51BD9A8B" w:rsidR="00920899" w:rsidRPr="00BD6C5F" w:rsidRDefault="00920899" w:rsidP="00920899">
            <w:pPr>
              <w:pStyle w:val="Tabletext"/>
              <w:rPr>
                <w:b/>
                <w:bCs/>
              </w:rPr>
            </w:pPr>
            <w:r w:rsidRPr="00BD6C5F">
              <w:rPr>
                <w:b/>
                <w:bCs/>
              </w:rPr>
              <w:t>“Data Protection Legislation”</w:t>
            </w:r>
          </w:p>
        </w:tc>
        <w:tc>
          <w:tcPr>
            <w:tcW w:w="5954" w:type="dxa"/>
          </w:tcPr>
          <w:p w14:paraId="6C12D4CD" w14:textId="077DC5DB" w:rsidR="00920899" w:rsidRPr="00BD6C5F" w:rsidRDefault="00920899" w:rsidP="00920899">
            <w:pPr>
              <w:pStyle w:val="Tablea"/>
            </w:pPr>
            <w:r w:rsidRPr="00BD6C5F">
              <w:t>the UK GDPR;</w:t>
            </w:r>
          </w:p>
          <w:p w14:paraId="4994BEB6" w14:textId="77777777" w:rsidR="00920899" w:rsidRPr="00BD6C5F" w:rsidRDefault="00920899" w:rsidP="00920899">
            <w:pPr>
              <w:pStyle w:val="Tablea"/>
            </w:pPr>
            <w:r w:rsidRPr="00BD6C5F">
              <w:t>the DPA 2018 to the extent that it relates to processing of personal data and privacy;</w:t>
            </w:r>
          </w:p>
          <w:p w14:paraId="6F6B8BDE" w14:textId="77777777" w:rsidR="00920899" w:rsidRPr="00BD6C5F" w:rsidRDefault="00920899" w:rsidP="00920899">
            <w:pPr>
              <w:pStyle w:val="Tablea"/>
            </w:pPr>
            <w:r w:rsidRPr="00BD6C5F">
              <w:t>all applicable Law about the processing of personal data and privacy; and</w:t>
            </w:r>
          </w:p>
          <w:p w14:paraId="6A651612" w14:textId="761BB94D" w:rsidR="00920899" w:rsidRPr="00BD6C5F" w:rsidRDefault="00920899" w:rsidP="00920899">
            <w:pPr>
              <w:pStyle w:val="Tablea"/>
            </w:pPr>
            <w:r w:rsidRPr="00BD6C5F">
              <w:t>(to the extent that it applies) the EU GDPR;</w:t>
            </w:r>
          </w:p>
        </w:tc>
      </w:tr>
      <w:tr w:rsidR="00920899" w:rsidRPr="00BD6C5F" w14:paraId="631B847D" w14:textId="77777777" w:rsidTr="00A64142">
        <w:trPr>
          <w:gridAfter w:val="1"/>
          <w:wAfter w:w="32" w:type="dxa"/>
          <w:trHeight w:val="20"/>
        </w:trPr>
        <w:tc>
          <w:tcPr>
            <w:tcW w:w="3542" w:type="dxa"/>
            <w:gridSpan w:val="2"/>
          </w:tcPr>
          <w:p w14:paraId="54C08A6A" w14:textId="2E013440" w:rsidR="00920899" w:rsidRPr="00BD6C5F" w:rsidRDefault="00920899" w:rsidP="00920899">
            <w:pPr>
              <w:pStyle w:val="Tabletext"/>
              <w:rPr>
                <w:b/>
                <w:bCs/>
              </w:rPr>
            </w:pPr>
            <w:r w:rsidRPr="00BD6C5F">
              <w:rPr>
                <w:b/>
                <w:bCs/>
              </w:rPr>
              <w:t>“Data Subject”</w:t>
            </w:r>
          </w:p>
        </w:tc>
        <w:tc>
          <w:tcPr>
            <w:tcW w:w="5954" w:type="dxa"/>
          </w:tcPr>
          <w:p w14:paraId="798AF665" w14:textId="663773E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to it in the UK GDPR or the EU GDPR as the context requires;</w:t>
            </w:r>
          </w:p>
        </w:tc>
      </w:tr>
      <w:tr w:rsidR="00920899" w:rsidRPr="00BD6C5F" w14:paraId="47BE1BB2" w14:textId="77777777" w:rsidTr="00A64142">
        <w:trPr>
          <w:gridAfter w:val="1"/>
          <w:wAfter w:w="32" w:type="dxa"/>
          <w:trHeight w:val="20"/>
        </w:trPr>
        <w:tc>
          <w:tcPr>
            <w:tcW w:w="3542" w:type="dxa"/>
            <w:gridSpan w:val="2"/>
          </w:tcPr>
          <w:p w14:paraId="31B69CBB" w14:textId="751C498B" w:rsidR="00920899" w:rsidRPr="00BD6C5F" w:rsidRDefault="00920899" w:rsidP="00920899">
            <w:pPr>
              <w:pStyle w:val="Tabletext"/>
              <w:rPr>
                <w:b/>
                <w:bCs/>
              </w:rPr>
            </w:pPr>
            <w:r w:rsidRPr="00BD6C5F">
              <w:rPr>
                <w:b/>
                <w:bCs/>
              </w:rPr>
              <w:t>“Data Subject Request”</w:t>
            </w:r>
          </w:p>
        </w:tc>
        <w:tc>
          <w:tcPr>
            <w:tcW w:w="5954" w:type="dxa"/>
          </w:tcPr>
          <w:p w14:paraId="45A78C4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request made by, or on behalf of, a Data Subject in accordance with rights granted pursuant to the Data Protection Legislation to their Personal Data;</w:t>
            </w:r>
          </w:p>
        </w:tc>
      </w:tr>
      <w:tr w:rsidR="00920899" w:rsidRPr="00BD6C5F" w14:paraId="017FF8EF" w14:textId="77777777" w:rsidTr="00A64142">
        <w:trPr>
          <w:gridAfter w:val="1"/>
          <w:wAfter w:w="32" w:type="dxa"/>
          <w:trHeight w:val="20"/>
        </w:trPr>
        <w:tc>
          <w:tcPr>
            <w:tcW w:w="3542" w:type="dxa"/>
            <w:gridSpan w:val="2"/>
          </w:tcPr>
          <w:p w14:paraId="63395E91" w14:textId="358818B7" w:rsidR="00920899" w:rsidRPr="00BD6C5F" w:rsidRDefault="00920899" w:rsidP="00920899">
            <w:pPr>
              <w:pStyle w:val="Tabletext"/>
              <w:rPr>
                <w:b/>
                <w:bCs/>
              </w:rPr>
            </w:pPr>
            <w:r w:rsidRPr="00BD6C5F">
              <w:rPr>
                <w:b/>
                <w:bCs/>
              </w:rPr>
              <w:t>“Deductions”</w:t>
            </w:r>
          </w:p>
        </w:tc>
        <w:tc>
          <w:tcPr>
            <w:tcW w:w="5954" w:type="dxa"/>
          </w:tcPr>
          <w:p w14:paraId="2AEDD7E3" w14:textId="35D4821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Service Credits, Compensation for Unacceptable KPI Failure, Delay Payments or any other deduction which is paid or payable to the Authority under this Contract;</w:t>
            </w:r>
          </w:p>
        </w:tc>
      </w:tr>
      <w:tr w:rsidR="00920899" w:rsidRPr="00BD6C5F" w14:paraId="0851EE77" w14:textId="77777777" w:rsidTr="00A64142">
        <w:trPr>
          <w:gridBefore w:val="1"/>
          <w:gridAfter w:val="1"/>
          <w:wBefore w:w="10" w:type="dxa"/>
          <w:wAfter w:w="32" w:type="dxa"/>
          <w:trHeight w:val="57"/>
        </w:trPr>
        <w:tc>
          <w:tcPr>
            <w:tcW w:w="3532" w:type="dxa"/>
          </w:tcPr>
          <w:p w14:paraId="3229A9FD" w14:textId="49B8F63E" w:rsidR="00920899" w:rsidRPr="00BD6C5F" w:rsidRDefault="00920899" w:rsidP="00920899">
            <w:pPr>
              <w:pStyle w:val="Tabletext"/>
              <w:rPr>
                <w:b/>
                <w:bCs/>
              </w:rPr>
            </w:pPr>
            <w:r w:rsidRPr="00BD6C5F">
              <w:rPr>
                <w:b/>
                <w:bCs/>
              </w:rPr>
              <w:t>“Default”</w:t>
            </w:r>
          </w:p>
        </w:tc>
        <w:tc>
          <w:tcPr>
            <w:tcW w:w="5954" w:type="dxa"/>
          </w:tcPr>
          <w:p w14:paraId="036B0BE8" w14:textId="348F505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breach of the obligations of the relevant Party (including abandonment of this Contract in breach of its terms, repudiatory breach or breach of a fundamental term) or any other default, act, omission, negligence or statement:</w:t>
            </w:r>
          </w:p>
          <w:p w14:paraId="4F49AA5C" w14:textId="77777777" w:rsidR="00920899" w:rsidRPr="00BD6C5F" w:rsidRDefault="00920899" w:rsidP="00920899">
            <w:pPr>
              <w:pStyle w:val="Tablea"/>
            </w:pPr>
            <w:r w:rsidRPr="00BD6C5F">
              <w:lastRenderedPageBreak/>
              <w:t>in the case of the Authority, of its employees, servants, agents; or</w:t>
            </w:r>
          </w:p>
          <w:p w14:paraId="5819760B" w14:textId="0C998EB1" w:rsidR="00920899" w:rsidRPr="00BD6C5F" w:rsidRDefault="00920899" w:rsidP="00920899">
            <w:pPr>
              <w:pStyle w:val="Tablea"/>
            </w:pPr>
            <w:r w:rsidRPr="00BD6C5F">
              <w:t>in the case of the Supplier, of its Sub-contractors or any Supplier Personnel,</w:t>
            </w:r>
          </w:p>
          <w:p w14:paraId="3F966949" w14:textId="63D2700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connection with or in relation to the subject- matter of this Contract and in respect of which such Party is liable to the other;</w:t>
            </w:r>
          </w:p>
        </w:tc>
      </w:tr>
      <w:tr w:rsidR="00920899" w:rsidRPr="00BD6C5F" w14:paraId="7424063F" w14:textId="77777777" w:rsidTr="00A64142">
        <w:trPr>
          <w:gridBefore w:val="1"/>
          <w:gridAfter w:val="1"/>
          <w:wBefore w:w="10" w:type="dxa"/>
          <w:wAfter w:w="32" w:type="dxa"/>
          <w:trHeight w:val="20"/>
        </w:trPr>
        <w:tc>
          <w:tcPr>
            <w:tcW w:w="3532" w:type="dxa"/>
          </w:tcPr>
          <w:p w14:paraId="4A35EFA5" w14:textId="09B379FC" w:rsidR="00920899" w:rsidRPr="00BD6C5F" w:rsidRDefault="00920899" w:rsidP="00920899">
            <w:pPr>
              <w:pStyle w:val="Tabletext"/>
              <w:rPr>
                <w:b/>
                <w:bCs/>
              </w:rPr>
            </w:pPr>
            <w:r w:rsidRPr="00BD6C5F">
              <w:rPr>
                <w:b/>
                <w:bCs/>
              </w:rPr>
              <w:lastRenderedPageBreak/>
              <w:t>“Defect”</w:t>
            </w:r>
          </w:p>
        </w:tc>
        <w:tc>
          <w:tcPr>
            <w:tcW w:w="5954" w:type="dxa"/>
          </w:tcPr>
          <w:p w14:paraId="1237716C" w14:textId="77777777" w:rsidR="00920899" w:rsidRPr="00BD6C5F" w:rsidRDefault="00920899" w:rsidP="00920899">
            <w:pPr>
              <w:pStyle w:val="Tablea"/>
            </w:pPr>
            <w:r w:rsidRPr="00BD6C5F">
              <w:t>any error, damage or defect in the manufacturing of a Deliverable; or</w:t>
            </w:r>
          </w:p>
          <w:p w14:paraId="740705F6" w14:textId="77777777" w:rsidR="00920899" w:rsidRPr="00BD6C5F" w:rsidRDefault="00920899" w:rsidP="00920899">
            <w:pPr>
              <w:pStyle w:val="Tablea"/>
            </w:pPr>
            <w:r w:rsidRPr="00BD6C5F">
              <w:t>any error or failure of code within the Software which causes a Deliverable to malfunction or to produce unintelligible or incorrect results; or</w:t>
            </w:r>
          </w:p>
          <w:p w14:paraId="4C7CA461" w14:textId="77777777" w:rsidR="00920899" w:rsidRPr="00BD6C5F" w:rsidRDefault="00920899" w:rsidP="00920899">
            <w:pPr>
              <w:pStyle w:val="Tablea"/>
            </w:pPr>
            <w:r w:rsidRPr="00BD6C5F">
              <w:t>any failure of any Deliverable to provide the performance, features and functionality specified in the Authority Requirements or the Documentation (including any adverse effect on response times) regardless of whether or not it prevents the relevant Deliverable from meeting its associated Test Success Criteria; or</w:t>
            </w:r>
          </w:p>
          <w:p w14:paraId="64BAFA5F" w14:textId="77777777" w:rsidR="00920899" w:rsidRPr="00BD6C5F" w:rsidRDefault="00920899" w:rsidP="00920899">
            <w:pPr>
              <w:pStyle w:val="Tablea"/>
            </w:pPr>
            <w:r w:rsidRPr="00BD6C5F">
              <w:t>any failure of any Deliverable to operate in conjunction with or interface with any other Deliverable in order to provide the performance, features and functionality specified in the Authority Requirements or the Documentation (including any adverse effect on response times) regardless of whether or not it prevents the relevant Deliverable from meeting its associated Test Success Criteria;</w:t>
            </w:r>
          </w:p>
        </w:tc>
      </w:tr>
      <w:tr w:rsidR="00920899" w:rsidRPr="00BD6C5F" w14:paraId="0688F623" w14:textId="77777777" w:rsidTr="00A64142">
        <w:trPr>
          <w:gridBefore w:val="1"/>
          <w:gridAfter w:val="1"/>
          <w:wBefore w:w="10" w:type="dxa"/>
          <w:wAfter w:w="32" w:type="dxa"/>
          <w:trHeight w:val="20"/>
        </w:trPr>
        <w:tc>
          <w:tcPr>
            <w:tcW w:w="3532" w:type="dxa"/>
          </w:tcPr>
          <w:p w14:paraId="251082C5" w14:textId="57620EF6" w:rsidR="00920899" w:rsidRPr="00BD6C5F" w:rsidRDefault="00920899" w:rsidP="00920899">
            <w:pPr>
              <w:pStyle w:val="Tabletext"/>
              <w:rPr>
                <w:b/>
                <w:bCs/>
              </w:rPr>
            </w:pPr>
            <w:r w:rsidRPr="00BD6C5F">
              <w:rPr>
                <w:b/>
                <w:bCs/>
              </w:rPr>
              <w:t>“Delay”</w:t>
            </w:r>
          </w:p>
        </w:tc>
        <w:tc>
          <w:tcPr>
            <w:tcW w:w="5954" w:type="dxa"/>
          </w:tcPr>
          <w:p w14:paraId="046ED64D" w14:textId="46E18090" w:rsidR="00920899" w:rsidRPr="00BD6C5F" w:rsidRDefault="00920899" w:rsidP="00920899">
            <w:pPr>
              <w:pStyle w:val="Tablea"/>
            </w:pPr>
            <w:r w:rsidRPr="00BD6C5F">
              <w:t>a delay in the Achievement of a Milestone by its Milestone Date; or</w:t>
            </w:r>
          </w:p>
          <w:p w14:paraId="057577FE" w14:textId="2B1FF947" w:rsidR="00920899" w:rsidRPr="00BD6C5F" w:rsidRDefault="00920899" w:rsidP="00920899">
            <w:pPr>
              <w:pStyle w:val="Tablea"/>
            </w:pPr>
            <w:r w:rsidRPr="00BD6C5F">
              <w:t>a delay in the design, development, testing or implementation of a Deliverable by the relevant date set out in the Implementation Plan;</w:t>
            </w:r>
          </w:p>
        </w:tc>
      </w:tr>
      <w:tr w:rsidR="00920899" w:rsidRPr="00BD6C5F" w14:paraId="11BFA501" w14:textId="77777777" w:rsidTr="00A64142">
        <w:trPr>
          <w:gridBefore w:val="1"/>
          <w:gridAfter w:val="1"/>
          <w:wBefore w:w="10" w:type="dxa"/>
          <w:wAfter w:w="32" w:type="dxa"/>
          <w:trHeight w:val="20"/>
        </w:trPr>
        <w:tc>
          <w:tcPr>
            <w:tcW w:w="3532" w:type="dxa"/>
          </w:tcPr>
          <w:p w14:paraId="65D4BE83" w14:textId="4A771E5B" w:rsidR="00920899" w:rsidRPr="00BD6C5F" w:rsidRDefault="00920899" w:rsidP="00920899">
            <w:pPr>
              <w:pStyle w:val="Tabletext"/>
              <w:rPr>
                <w:b/>
                <w:bCs/>
              </w:rPr>
            </w:pPr>
            <w:r w:rsidRPr="00BD6C5F">
              <w:rPr>
                <w:b/>
                <w:bCs/>
              </w:rPr>
              <w:t>“Delay Deduction Period”</w:t>
            </w:r>
          </w:p>
        </w:tc>
        <w:tc>
          <w:tcPr>
            <w:tcW w:w="5954" w:type="dxa"/>
          </w:tcPr>
          <w:p w14:paraId="2D9D973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period of one hundred (100) days commencing on the relevant Milestone Date;</w:t>
            </w:r>
          </w:p>
        </w:tc>
      </w:tr>
      <w:tr w:rsidR="00920899" w:rsidRPr="00BD6C5F" w14:paraId="7A930BE1" w14:textId="77777777" w:rsidTr="00A64142">
        <w:trPr>
          <w:gridBefore w:val="1"/>
          <w:gridAfter w:val="1"/>
          <w:wBefore w:w="10" w:type="dxa"/>
          <w:wAfter w:w="32" w:type="dxa"/>
          <w:trHeight w:val="20"/>
        </w:trPr>
        <w:tc>
          <w:tcPr>
            <w:tcW w:w="3532" w:type="dxa"/>
          </w:tcPr>
          <w:p w14:paraId="0029C06E" w14:textId="3176B9A7" w:rsidR="00920899" w:rsidRPr="00BD6C5F" w:rsidRDefault="00920899" w:rsidP="00920899">
            <w:pPr>
              <w:pStyle w:val="Tabletext"/>
              <w:rPr>
                <w:b/>
                <w:bCs/>
              </w:rPr>
            </w:pPr>
            <w:r w:rsidRPr="00BD6C5F">
              <w:rPr>
                <w:b/>
                <w:bCs/>
              </w:rPr>
              <w:t>“Delay Payments”</w:t>
            </w:r>
          </w:p>
        </w:tc>
        <w:tc>
          <w:tcPr>
            <w:tcW w:w="5954" w:type="dxa"/>
          </w:tcPr>
          <w:p w14:paraId="5CC7DDC1" w14:textId="571E50E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amounts payable by the Supplier to the Authority in respect of a Delay in Achieving a Key Milestone as specified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0F709902" w14:textId="77777777" w:rsidTr="00A64142">
        <w:trPr>
          <w:gridBefore w:val="1"/>
          <w:gridAfter w:val="1"/>
          <w:wBefore w:w="10" w:type="dxa"/>
          <w:wAfter w:w="32" w:type="dxa"/>
          <w:trHeight w:val="20"/>
        </w:trPr>
        <w:tc>
          <w:tcPr>
            <w:tcW w:w="3532" w:type="dxa"/>
          </w:tcPr>
          <w:p w14:paraId="763BAC00" w14:textId="63153093" w:rsidR="00920899" w:rsidRPr="00BD6C5F" w:rsidRDefault="00920899" w:rsidP="00920899">
            <w:pPr>
              <w:pStyle w:val="Tabletext"/>
              <w:rPr>
                <w:b/>
                <w:bCs/>
              </w:rPr>
            </w:pPr>
            <w:r w:rsidRPr="00BD6C5F">
              <w:rPr>
                <w:b/>
                <w:bCs/>
              </w:rPr>
              <w:t>“Deliverable”</w:t>
            </w:r>
          </w:p>
        </w:tc>
        <w:tc>
          <w:tcPr>
            <w:tcW w:w="5954" w:type="dxa"/>
          </w:tcPr>
          <w:p w14:paraId="6A42602D" w14:textId="53BE75B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item</w:t>
            </w:r>
            <w:r w:rsidR="00C70070">
              <w:rPr>
                <w:rFonts w:asciiTheme="minorHAnsi" w:hAnsiTheme="minorHAnsi" w:cstheme="minorHAnsi"/>
              </w:rPr>
              <w:t>,</w:t>
            </w:r>
            <w:r w:rsidRPr="00BD6C5F">
              <w:rPr>
                <w:rFonts w:asciiTheme="minorHAnsi" w:hAnsiTheme="minorHAnsi" w:cstheme="minorHAnsi"/>
              </w:rPr>
              <w:t xml:space="preserve"> feature</w:t>
            </w:r>
            <w:r w:rsidR="00C70070">
              <w:rPr>
                <w:rFonts w:asciiTheme="minorHAnsi" w:hAnsiTheme="minorHAnsi" w:cstheme="minorHAnsi"/>
              </w:rPr>
              <w:t xml:space="preserve"> or software</w:t>
            </w:r>
            <w:r w:rsidRPr="00BD6C5F">
              <w:rPr>
                <w:rFonts w:asciiTheme="minorHAnsi" w:hAnsiTheme="minorHAnsi" w:cstheme="minorHAnsi"/>
              </w:rPr>
              <w:t xml:space="preserve"> delivered or to be delivered by the Supplier at or before a Milestone Date or at any other stage during the performance of this Contract;</w:t>
            </w:r>
          </w:p>
        </w:tc>
      </w:tr>
      <w:tr w:rsidR="00920899" w:rsidRPr="00BD6C5F" w14:paraId="75664D6C" w14:textId="77777777" w:rsidTr="00A64142">
        <w:trPr>
          <w:gridBefore w:val="1"/>
          <w:gridAfter w:val="1"/>
          <w:wBefore w:w="10" w:type="dxa"/>
          <w:wAfter w:w="32" w:type="dxa"/>
          <w:trHeight w:val="20"/>
        </w:trPr>
        <w:tc>
          <w:tcPr>
            <w:tcW w:w="3532" w:type="dxa"/>
          </w:tcPr>
          <w:p w14:paraId="6DAAA276" w14:textId="66C6FDD4" w:rsidR="00920899" w:rsidRPr="00BD6C5F" w:rsidRDefault="00920899" w:rsidP="00920899">
            <w:pPr>
              <w:pStyle w:val="Tabletext"/>
              <w:rPr>
                <w:b/>
                <w:bCs/>
              </w:rPr>
            </w:pPr>
            <w:r w:rsidRPr="00BD6C5F">
              <w:rPr>
                <w:b/>
                <w:bCs/>
              </w:rPr>
              <w:lastRenderedPageBreak/>
              <w:t>“Dependent Parent Undertaking”</w:t>
            </w:r>
          </w:p>
        </w:tc>
        <w:tc>
          <w:tcPr>
            <w:tcW w:w="5954" w:type="dxa"/>
          </w:tcPr>
          <w:p w14:paraId="462786AC" w14:textId="5A1DB33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rsidR="00920899" w:rsidRPr="00BD6C5F" w14:paraId="5938989A" w14:textId="77777777" w:rsidTr="00A64142">
        <w:trPr>
          <w:gridBefore w:val="1"/>
          <w:gridAfter w:val="1"/>
          <w:wBefore w:w="10" w:type="dxa"/>
          <w:wAfter w:w="32" w:type="dxa"/>
          <w:trHeight w:val="20"/>
        </w:trPr>
        <w:tc>
          <w:tcPr>
            <w:tcW w:w="3532" w:type="dxa"/>
          </w:tcPr>
          <w:p w14:paraId="70B51960" w14:textId="0F47AA8D" w:rsidR="00920899" w:rsidRPr="00BD6C5F" w:rsidRDefault="00920899" w:rsidP="00920899">
            <w:pPr>
              <w:pStyle w:val="Tabletext"/>
              <w:rPr>
                <w:b/>
                <w:bCs/>
              </w:rPr>
            </w:pPr>
            <w:r w:rsidRPr="00BD6C5F">
              <w:rPr>
                <w:b/>
                <w:bCs/>
              </w:rPr>
              <w:t>“Detailed Implementation Plan”</w:t>
            </w:r>
          </w:p>
        </w:tc>
        <w:tc>
          <w:tcPr>
            <w:tcW w:w="5954" w:type="dxa"/>
          </w:tcPr>
          <w:p w14:paraId="6E9B5C80" w14:textId="5957E0E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plan developed and revised from time to time in accordance with Paragraphs </w:t>
            </w:r>
            <w:r w:rsidRPr="00BD6C5F">
              <w:rPr>
                <w:rFonts w:asciiTheme="minorHAnsi" w:hAnsiTheme="minorHAnsi" w:cstheme="minorHAnsi"/>
              </w:rPr>
              <w:fldChar w:fldCharType="begin"/>
            </w:r>
            <w:r w:rsidRPr="00BD6C5F">
              <w:rPr>
                <w:rFonts w:asciiTheme="minorHAnsi" w:hAnsiTheme="minorHAnsi" w:cstheme="minorHAnsi"/>
              </w:rPr>
              <w:instrText xml:space="preserve"> REF _Ref98257827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3</w:t>
            </w:r>
            <w:r w:rsidRPr="00BD6C5F">
              <w:rPr>
                <w:rFonts w:asciiTheme="minorHAnsi" w:hAnsiTheme="minorHAnsi" w:cstheme="minorHAnsi"/>
              </w:rPr>
              <w:fldChar w:fldCharType="end"/>
            </w:r>
            <w:r w:rsidRPr="00BD6C5F">
              <w:rPr>
                <w:rFonts w:asciiTheme="minorHAnsi" w:hAnsiTheme="minorHAnsi" w:cstheme="minorHAnsi"/>
              </w:rPr>
              <w:t xml:space="preserve"> and </w:t>
            </w:r>
            <w:r w:rsidRPr="00BD6C5F">
              <w:rPr>
                <w:rFonts w:asciiTheme="minorHAnsi" w:hAnsiTheme="minorHAnsi" w:cstheme="minorHAnsi"/>
              </w:rPr>
              <w:fldChar w:fldCharType="begin"/>
            </w:r>
            <w:r w:rsidRPr="00BD6C5F">
              <w:rPr>
                <w:rFonts w:asciiTheme="minorHAnsi" w:hAnsiTheme="minorHAnsi" w:cstheme="minorHAnsi"/>
              </w:rPr>
              <w:instrText xml:space="preserve"> REF _Ref98257865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Schedule_13 \h </w:instrText>
            </w:r>
            <w:r>
              <w:rPr>
                <w:rFonts w:asciiTheme="minorHAnsi" w:hAnsiTheme="minorHAnsi" w:cstheme="minorHAnsi"/>
              </w:rPr>
            </w:r>
            <w:r>
              <w:rPr>
                <w:rFonts w:asciiTheme="minorHAnsi" w:hAnsiTheme="minorHAnsi" w:cstheme="minorHAnsi"/>
              </w:rPr>
              <w:fldChar w:fldCharType="separate"/>
            </w:r>
            <w:r w:rsidR="009749A0">
              <w:t>13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Implementation Plan</w:t>
            </w:r>
            <w:r w:rsidRPr="00BD6C5F">
              <w:rPr>
                <w:rFonts w:asciiTheme="minorHAnsi" w:hAnsiTheme="minorHAnsi" w:cstheme="minorHAnsi"/>
              </w:rPr>
              <w:t>);</w:t>
            </w:r>
          </w:p>
        </w:tc>
      </w:tr>
      <w:tr w:rsidR="00920899" w:rsidRPr="00BD6C5F" w14:paraId="516E857A" w14:textId="77777777" w:rsidTr="00A64142">
        <w:trPr>
          <w:gridBefore w:val="1"/>
          <w:gridAfter w:val="1"/>
          <w:wBefore w:w="10" w:type="dxa"/>
          <w:wAfter w:w="32" w:type="dxa"/>
          <w:trHeight w:val="20"/>
        </w:trPr>
        <w:tc>
          <w:tcPr>
            <w:tcW w:w="3532" w:type="dxa"/>
          </w:tcPr>
          <w:p w14:paraId="6B4340C2" w14:textId="219CAE68" w:rsidR="00920899" w:rsidRPr="00BD6C5F" w:rsidRDefault="00920899" w:rsidP="00920899">
            <w:pPr>
              <w:pStyle w:val="Tabletext"/>
              <w:rPr>
                <w:b/>
                <w:bCs/>
              </w:rPr>
            </w:pPr>
            <w:r w:rsidRPr="00BD6C5F">
              <w:rPr>
                <w:b/>
                <w:bCs/>
              </w:rPr>
              <w:t>“Disclosing Party”</w:t>
            </w:r>
          </w:p>
        </w:tc>
        <w:tc>
          <w:tcPr>
            <w:tcW w:w="5954" w:type="dxa"/>
          </w:tcPr>
          <w:p w14:paraId="0E183323" w14:textId="40711E5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19.1 (</w:t>
            </w:r>
            <w:r w:rsidRPr="00BD6C5F">
              <w:rPr>
                <w:rFonts w:asciiTheme="minorHAnsi" w:hAnsiTheme="minorHAnsi" w:cstheme="minorHAnsi"/>
                <w:i/>
              </w:rPr>
              <w:t>Confidentiality</w:t>
            </w:r>
            <w:r w:rsidRPr="00BD6C5F">
              <w:rPr>
                <w:rFonts w:asciiTheme="minorHAnsi" w:hAnsiTheme="minorHAnsi" w:cstheme="minorHAnsi"/>
              </w:rPr>
              <w:t>);</w:t>
            </w:r>
          </w:p>
        </w:tc>
      </w:tr>
      <w:tr w:rsidR="00920899" w:rsidRPr="00BD6C5F" w14:paraId="23F1EF38" w14:textId="77777777" w:rsidTr="00A64142">
        <w:trPr>
          <w:gridBefore w:val="1"/>
          <w:gridAfter w:val="1"/>
          <w:wBefore w:w="10" w:type="dxa"/>
          <w:wAfter w:w="32" w:type="dxa"/>
          <w:trHeight w:val="20"/>
        </w:trPr>
        <w:tc>
          <w:tcPr>
            <w:tcW w:w="3532" w:type="dxa"/>
          </w:tcPr>
          <w:p w14:paraId="18038944" w14:textId="0CA2CCD5" w:rsidR="00920899" w:rsidRPr="00BD6C5F" w:rsidRDefault="00920899" w:rsidP="00920899">
            <w:pPr>
              <w:pStyle w:val="Tabletext"/>
              <w:rPr>
                <w:b/>
                <w:bCs/>
              </w:rPr>
            </w:pPr>
            <w:r w:rsidRPr="00BD6C5F">
              <w:rPr>
                <w:b/>
                <w:bCs/>
              </w:rPr>
              <w:t>“Disclosing Party Group”</w:t>
            </w:r>
          </w:p>
        </w:tc>
        <w:tc>
          <w:tcPr>
            <w:tcW w:w="5954" w:type="dxa"/>
          </w:tcPr>
          <w:p w14:paraId="5AB5B76A" w14:textId="77777777" w:rsidR="00920899" w:rsidRPr="00BD6C5F" w:rsidRDefault="00920899" w:rsidP="00920899">
            <w:pPr>
              <w:pStyle w:val="Tablea"/>
            </w:pPr>
            <w:r w:rsidRPr="00BD6C5F">
              <w:t>where the Disclosing Party is the Supplier, the Supplier and any Affiliates of the Supplier; and</w:t>
            </w:r>
          </w:p>
          <w:p w14:paraId="084A42D1" w14:textId="2319A66B" w:rsidR="00920899" w:rsidRPr="00BD6C5F" w:rsidRDefault="00920899" w:rsidP="00920899">
            <w:pPr>
              <w:pStyle w:val="Tablea"/>
            </w:pPr>
            <w:r w:rsidRPr="00BD6C5F">
              <w:t>where the Disclosing Party is the Authority, the Authority and any C</w:t>
            </w:r>
            <w:r>
              <w:t>rown</w:t>
            </w:r>
            <w:r w:rsidRPr="00BD6C5F">
              <w:t xml:space="preserve"> Body with which the Authority or the Supplier interacts in connection with this Contract;</w:t>
            </w:r>
          </w:p>
        </w:tc>
      </w:tr>
      <w:tr w:rsidR="00920899" w:rsidRPr="00BD6C5F" w14:paraId="26F104D1" w14:textId="77777777" w:rsidTr="00A64142">
        <w:trPr>
          <w:gridBefore w:val="1"/>
          <w:gridAfter w:val="1"/>
          <w:wBefore w:w="10" w:type="dxa"/>
          <w:wAfter w:w="32" w:type="dxa"/>
          <w:trHeight w:val="20"/>
        </w:trPr>
        <w:tc>
          <w:tcPr>
            <w:tcW w:w="3532" w:type="dxa"/>
          </w:tcPr>
          <w:p w14:paraId="13730007" w14:textId="0608A5C1" w:rsidR="00920899" w:rsidRPr="00BD6C5F" w:rsidRDefault="00920899" w:rsidP="00920899">
            <w:pPr>
              <w:pStyle w:val="Tabletext"/>
              <w:rPr>
                <w:b/>
                <w:bCs/>
              </w:rPr>
            </w:pPr>
            <w:r w:rsidRPr="00BD6C5F">
              <w:rPr>
                <w:b/>
                <w:bCs/>
              </w:rPr>
              <w:t>“Dispute”</w:t>
            </w:r>
          </w:p>
        </w:tc>
        <w:tc>
          <w:tcPr>
            <w:tcW w:w="5954" w:type="dxa"/>
          </w:tcPr>
          <w:p w14:paraId="3DD4C75D" w14:textId="23C3047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dispute, difference or question of interpretation arising out of or in connection with this Contract, including any dispute, difference or question of interpretation relating to the Services, failure to agree in accordance with the Change Control Procedure or any matter where this Contract directs the Parties to resolve an issue by reference to the Dispute Resolution Procedure;</w:t>
            </w:r>
          </w:p>
        </w:tc>
      </w:tr>
      <w:tr w:rsidR="00920899" w:rsidRPr="00BD6C5F" w14:paraId="0328B7E9" w14:textId="77777777" w:rsidTr="00A64142">
        <w:trPr>
          <w:gridBefore w:val="1"/>
          <w:gridAfter w:val="1"/>
          <w:wBefore w:w="10" w:type="dxa"/>
          <w:wAfter w:w="32" w:type="dxa"/>
          <w:trHeight w:val="20"/>
        </w:trPr>
        <w:tc>
          <w:tcPr>
            <w:tcW w:w="3532" w:type="dxa"/>
          </w:tcPr>
          <w:p w14:paraId="6E2867DE" w14:textId="707BD521" w:rsidR="00920899" w:rsidRPr="00BD6C5F" w:rsidRDefault="00920899" w:rsidP="00920899">
            <w:pPr>
              <w:pStyle w:val="Tabletext"/>
              <w:rPr>
                <w:b/>
                <w:bCs/>
              </w:rPr>
            </w:pPr>
            <w:r w:rsidRPr="00BD6C5F">
              <w:rPr>
                <w:b/>
                <w:bCs/>
              </w:rPr>
              <w:t>“Dispute Notice”</w:t>
            </w:r>
          </w:p>
        </w:tc>
        <w:tc>
          <w:tcPr>
            <w:tcW w:w="5954" w:type="dxa"/>
          </w:tcPr>
          <w:p w14:paraId="1F25AB48"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written notice served by one Party on the other stating that the Party serving the notice believes that there is a Dispute;</w:t>
            </w:r>
          </w:p>
        </w:tc>
      </w:tr>
      <w:tr w:rsidR="00920899" w:rsidRPr="00BD6C5F" w14:paraId="025EFB94" w14:textId="77777777" w:rsidTr="00A64142">
        <w:trPr>
          <w:gridBefore w:val="1"/>
          <w:gridAfter w:val="1"/>
          <w:wBefore w:w="10" w:type="dxa"/>
          <w:wAfter w:w="32" w:type="dxa"/>
          <w:trHeight w:val="20"/>
        </w:trPr>
        <w:tc>
          <w:tcPr>
            <w:tcW w:w="3532" w:type="dxa"/>
          </w:tcPr>
          <w:p w14:paraId="4C241573" w14:textId="4D53E855" w:rsidR="00920899" w:rsidRPr="00BD6C5F" w:rsidRDefault="00920899" w:rsidP="00920899">
            <w:pPr>
              <w:pStyle w:val="Tabletext"/>
              <w:rPr>
                <w:b/>
                <w:bCs/>
              </w:rPr>
            </w:pPr>
            <w:r w:rsidRPr="00BD6C5F">
              <w:rPr>
                <w:b/>
                <w:bCs/>
              </w:rPr>
              <w:t>“Dispute Resolution Procedure”</w:t>
            </w:r>
          </w:p>
        </w:tc>
        <w:tc>
          <w:tcPr>
            <w:tcW w:w="5954" w:type="dxa"/>
          </w:tcPr>
          <w:p w14:paraId="1F57B246" w14:textId="78E8AF5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dispute resolution procedure set out in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36DA8331" w14:textId="77777777" w:rsidTr="00A64142">
        <w:trPr>
          <w:gridBefore w:val="1"/>
          <w:gridAfter w:val="1"/>
          <w:wBefore w:w="10" w:type="dxa"/>
          <w:wAfter w:w="32" w:type="dxa"/>
          <w:trHeight w:val="20"/>
        </w:trPr>
        <w:tc>
          <w:tcPr>
            <w:tcW w:w="3532" w:type="dxa"/>
          </w:tcPr>
          <w:p w14:paraId="10E60F92" w14:textId="0C87851B" w:rsidR="00920899" w:rsidRPr="00BD6C5F" w:rsidRDefault="00920899" w:rsidP="00920899">
            <w:pPr>
              <w:pStyle w:val="Tabletext"/>
              <w:rPr>
                <w:b/>
                <w:bCs/>
              </w:rPr>
            </w:pPr>
            <w:r w:rsidRPr="00BD6C5F">
              <w:rPr>
                <w:b/>
                <w:bCs/>
              </w:rPr>
              <w:t>“Documentation”</w:t>
            </w:r>
          </w:p>
        </w:tc>
        <w:tc>
          <w:tcPr>
            <w:tcW w:w="5954" w:type="dxa"/>
          </w:tcPr>
          <w:p w14:paraId="64F00D5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descriptions of the Services and Performance Indicators, details of the Supplier System (including (i) vendors and versions for off-the- 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w:t>
            </w:r>
            <w:r w:rsidRPr="00BD6C5F">
              <w:rPr>
                <w:rFonts w:asciiTheme="minorHAnsi" w:hAnsiTheme="minorHAnsi" w:cstheme="minorHAnsi"/>
              </w:rPr>
              <w:lastRenderedPageBreak/>
              <w:t>definitions and procedures, and all such other documentation as:</w:t>
            </w:r>
          </w:p>
          <w:p w14:paraId="683D718A" w14:textId="0B8FEA15" w:rsidR="00920899" w:rsidRPr="00BD6C5F" w:rsidRDefault="00920899" w:rsidP="00920899">
            <w:pPr>
              <w:pStyle w:val="Tablea"/>
            </w:pPr>
            <w:r w:rsidRPr="00BD6C5F">
              <w:t>is required to be supplied by the Supplier to the Authority under this Contract;</w:t>
            </w:r>
          </w:p>
          <w:p w14:paraId="1839A349" w14:textId="77777777" w:rsidR="00920899" w:rsidRPr="00BD6C5F" w:rsidRDefault="00920899" w:rsidP="00920899">
            <w:pPr>
              <w:pStyle w:val="Tablea"/>
            </w:pPr>
            <w:r w:rsidRPr="00BD6C5F">
              <w:t>would reasonably be required by a competent third party capable of Good Industry Practice contracted by the Authority to develop, configure, build, deploy, run, maintain, upgrade and test the individual systems that provide Services;</w:t>
            </w:r>
          </w:p>
          <w:p w14:paraId="7639ED6D" w14:textId="77777777" w:rsidR="00920899" w:rsidRPr="00BD6C5F" w:rsidRDefault="00920899" w:rsidP="00920899">
            <w:pPr>
              <w:pStyle w:val="Tablea"/>
            </w:pPr>
            <w:r w:rsidRPr="00BD6C5F">
              <w:t>is required by the Supplier in order to provide the Services; and/or</w:t>
            </w:r>
          </w:p>
          <w:p w14:paraId="27565A7F" w14:textId="77777777" w:rsidR="00920899" w:rsidRPr="00BD6C5F" w:rsidRDefault="00920899" w:rsidP="00920899">
            <w:pPr>
              <w:pStyle w:val="Tablea"/>
            </w:pPr>
            <w:r w:rsidRPr="00BD6C5F">
              <w:t>has been or shall be generated for the purpose of providing the Services;</w:t>
            </w:r>
          </w:p>
        </w:tc>
      </w:tr>
      <w:tr w:rsidR="00920899" w:rsidRPr="00BD6C5F" w14:paraId="79D72103" w14:textId="77777777" w:rsidTr="00A64142">
        <w:trPr>
          <w:gridBefore w:val="1"/>
          <w:gridAfter w:val="1"/>
          <w:wBefore w:w="10" w:type="dxa"/>
          <w:wAfter w:w="32" w:type="dxa"/>
          <w:trHeight w:val="20"/>
        </w:trPr>
        <w:tc>
          <w:tcPr>
            <w:tcW w:w="3532" w:type="dxa"/>
          </w:tcPr>
          <w:p w14:paraId="77E7CC75" w14:textId="50968277" w:rsidR="00920899" w:rsidRPr="00BD6C5F" w:rsidRDefault="00920899" w:rsidP="00920899">
            <w:pPr>
              <w:pStyle w:val="Tabletext"/>
              <w:rPr>
                <w:b/>
                <w:bCs/>
              </w:rPr>
            </w:pPr>
            <w:r w:rsidRPr="00BD6C5F">
              <w:rPr>
                <w:b/>
                <w:bCs/>
              </w:rPr>
              <w:lastRenderedPageBreak/>
              <w:t>“DOTAS”</w:t>
            </w:r>
          </w:p>
        </w:tc>
        <w:tc>
          <w:tcPr>
            <w:tcW w:w="5954" w:type="dxa"/>
          </w:tcPr>
          <w:p w14:paraId="78554223" w14:textId="059B710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Disclosure of Tax Avoidance Schemes rules which require a promoter of tax schemes to tell HMRC of any specified notifiable arrangements or proposals and to provide prescribed information on those arrangements or proposals within set time limits as contained in Part</w:t>
            </w:r>
            <w:r>
              <w:rPr>
                <w:rFonts w:asciiTheme="minorHAnsi" w:hAnsiTheme="minorHAnsi" w:cstheme="minorHAnsi"/>
              </w:rPr>
              <w:t> </w:t>
            </w:r>
            <w:r w:rsidRPr="00BD6C5F">
              <w:rPr>
                <w:rFonts w:asciiTheme="minorHAnsi" w:hAnsiTheme="minorHAnsi" w:cstheme="minorHAnsi"/>
              </w:rPr>
              <w:t>7 of the Finance Act 2004 and in secondary legislation made under rules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920899" w:rsidRPr="00BD6C5F" w14:paraId="1B86261F" w14:textId="77777777" w:rsidTr="00A64142">
        <w:trPr>
          <w:gridBefore w:val="1"/>
          <w:gridAfter w:val="1"/>
          <w:wBefore w:w="10" w:type="dxa"/>
          <w:wAfter w:w="32" w:type="dxa"/>
          <w:trHeight w:val="20"/>
        </w:trPr>
        <w:tc>
          <w:tcPr>
            <w:tcW w:w="3532" w:type="dxa"/>
          </w:tcPr>
          <w:p w14:paraId="5E012B9C" w14:textId="60D7B618" w:rsidR="00920899" w:rsidRPr="00BD6C5F" w:rsidRDefault="00920899" w:rsidP="00920899">
            <w:pPr>
              <w:pStyle w:val="Tabletext"/>
              <w:rPr>
                <w:b/>
                <w:bCs/>
              </w:rPr>
            </w:pPr>
            <w:r w:rsidRPr="00BD6C5F">
              <w:rPr>
                <w:b/>
                <w:bCs/>
              </w:rPr>
              <w:t>“DPA”</w:t>
            </w:r>
          </w:p>
        </w:tc>
        <w:tc>
          <w:tcPr>
            <w:tcW w:w="5954" w:type="dxa"/>
          </w:tcPr>
          <w:p w14:paraId="6DF2ED4A"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Data Protection Act 2018;</w:t>
            </w:r>
          </w:p>
        </w:tc>
      </w:tr>
      <w:tr w:rsidR="00920899" w:rsidRPr="00BD6C5F" w14:paraId="056684D9" w14:textId="77777777" w:rsidTr="00A64142">
        <w:trPr>
          <w:gridBefore w:val="1"/>
          <w:gridAfter w:val="1"/>
          <w:wBefore w:w="10" w:type="dxa"/>
          <w:wAfter w:w="32" w:type="dxa"/>
          <w:trHeight w:val="20"/>
        </w:trPr>
        <w:tc>
          <w:tcPr>
            <w:tcW w:w="3532" w:type="dxa"/>
          </w:tcPr>
          <w:p w14:paraId="04713F05" w14:textId="136D5851" w:rsidR="00920899" w:rsidRPr="00BD6C5F" w:rsidRDefault="00920899" w:rsidP="00920899">
            <w:pPr>
              <w:pStyle w:val="Tabletext"/>
              <w:rPr>
                <w:b/>
                <w:bCs/>
              </w:rPr>
            </w:pPr>
            <w:r w:rsidRPr="00BD6C5F">
              <w:rPr>
                <w:b/>
                <w:bCs/>
              </w:rPr>
              <w:t>“Due Diligence Information”</w:t>
            </w:r>
          </w:p>
        </w:tc>
        <w:tc>
          <w:tcPr>
            <w:tcW w:w="5954" w:type="dxa"/>
          </w:tcPr>
          <w:p w14:paraId="078B486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information supplied to the Supplier by or on behalf of the Authority prior to the Effective Date;</w:t>
            </w:r>
          </w:p>
        </w:tc>
      </w:tr>
      <w:tr w:rsidR="00920899" w:rsidRPr="00BD6C5F" w14:paraId="34F5FC45" w14:textId="77777777" w:rsidTr="00A64142">
        <w:trPr>
          <w:gridBefore w:val="1"/>
          <w:gridAfter w:val="1"/>
          <w:wBefore w:w="10" w:type="dxa"/>
          <w:wAfter w:w="32" w:type="dxa"/>
          <w:trHeight w:val="20"/>
        </w:trPr>
        <w:tc>
          <w:tcPr>
            <w:tcW w:w="3532" w:type="dxa"/>
          </w:tcPr>
          <w:p w14:paraId="27DD9BED" w14:textId="77777777" w:rsidR="00920899" w:rsidRPr="00BD6C5F" w:rsidRDefault="00920899" w:rsidP="00920899">
            <w:pPr>
              <w:pStyle w:val="Tabletext"/>
              <w:rPr>
                <w:b/>
                <w:bCs/>
              </w:rPr>
            </w:pPr>
            <w:r w:rsidRPr="00BD6C5F">
              <w:rPr>
                <w:b/>
                <w:bCs/>
              </w:rPr>
              <w:t>“EEA”</w:t>
            </w:r>
          </w:p>
        </w:tc>
        <w:tc>
          <w:tcPr>
            <w:tcW w:w="5954" w:type="dxa"/>
          </w:tcPr>
          <w:p w14:paraId="7BB39F5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European Economic Area;</w:t>
            </w:r>
          </w:p>
        </w:tc>
      </w:tr>
      <w:tr w:rsidR="00920899" w:rsidRPr="00BD6C5F" w14:paraId="458388FF" w14:textId="77777777" w:rsidTr="00A64142">
        <w:trPr>
          <w:gridBefore w:val="1"/>
          <w:gridAfter w:val="1"/>
          <w:wBefore w:w="10" w:type="dxa"/>
          <w:wAfter w:w="32" w:type="dxa"/>
          <w:trHeight w:val="20"/>
        </w:trPr>
        <w:tc>
          <w:tcPr>
            <w:tcW w:w="3532" w:type="dxa"/>
          </w:tcPr>
          <w:p w14:paraId="490326FD" w14:textId="576172BD" w:rsidR="00920899" w:rsidRPr="00BD6C5F" w:rsidRDefault="00920899" w:rsidP="00920899">
            <w:pPr>
              <w:pStyle w:val="Tabletext"/>
              <w:rPr>
                <w:b/>
                <w:bCs/>
              </w:rPr>
            </w:pPr>
            <w:r w:rsidRPr="00BD6C5F">
              <w:rPr>
                <w:b/>
                <w:bCs/>
              </w:rPr>
              <w:t>“Effective Date”</w:t>
            </w:r>
          </w:p>
        </w:tc>
        <w:tc>
          <w:tcPr>
            <w:tcW w:w="5954" w:type="dxa"/>
          </w:tcPr>
          <w:p w14:paraId="18FB8D8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later of:</w:t>
            </w:r>
          </w:p>
          <w:p w14:paraId="05724BAB" w14:textId="3513FD9C" w:rsidR="00920899" w:rsidRPr="00BD6C5F" w:rsidRDefault="00920899" w:rsidP="00920899">
            <w:pPr>
              <w:pStyle w:val="Tablea"/>
            </w:pPr>
            <w:r w:rsidRPr="00BD6C5F">
              <w:t>the date on which this Contract is signed by both Parties; and</w:t>
            </w:r>
          </w:p>
          <w:p w14:paraId="0CCD92C0" w14:textId="7A49F391" w:rsidR="00920899" w:rsidRPr="00BD6C5F" w:rsidRDefault="00920899" w:rsidP="00920899">
            <w:pPr>
              <w:pStyle w:val="Tablea"/>
            </w:pPr>
            <w:r w:rsidRPr="00BD6C5F">
              <w:t>the date on which the Condition Precedent has been satisfied or waived in accordance with Clause 4.2 (</w:t>
            </w:r>
            <w:r w:rsidRPr="00BD6C5F">
              <w:rPr>
                <w:i/>
              </w:rPr>
              <w:t>Condition Precedent</w:t>
            </w:r>
            <w:r w:rsidRPr="00BD6C5F">
              <w:t>);</w:t>
            </w:r>
          </w:p>
        </w:tc>
      </w:tr>
      <w:tr w:rsidR="00920899" w:rsidRPr="00BD6C5F" w14:paraId="4F063B58" w14:textId="77777777" w:rsidTr="00A64142">
        <w:trPr>
          <w:gridBefore w:val="1"/>
          <w:gridAfter w:val="1"/>
          <w:wBefore w:w="10" w:type="dxa"/>
          <w:wAfter w:w="32" w:type="dxa"/>
          <w:trHeight w:val="20"/>
        </w:trPr>
        <w:tc>
          <w:tcPr>
            <w:tcW w:w="3532" w:type="dxa"/>
          </w:tcPr>
          <w:p w14:paraId="622B6FC8" w14:textId="2FD78EF1" w:rsidR="00920899" w:rsidRPr="00BD6C5F" w:rsidRDefault="00920899" w:rsidP="00920899">
            <w:pPr>
              <w:pStyle w:val="Tabletext"/>
              <w:rPr>
                <w:b/>
                <w:bCs/>
              </w:rPr>
            </w:pPr>
            <w:r w:rsidRPr="00BD6C5F">
              <w:rPr>
                <w:b/>
                <w:bCs/>
              </w:rPr>
              <w:t>“EIRs”</w:t>
            </w:r>
          </w:p>
        </w:tc>
        <w:tc>
          <w:tcPr>
            <w:tcW w:w="5954" w:type="dxa"/>
          </w:tcPr>
          <w:p w14:paraId="376C40FF" w14:textId="2D76539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Environmental Information Regulations (Scotland) 2004, together with any guidance and/or codes of practice issued by the Scottish Ministers in relation to such Regulations, (or, where the Authority is not a Scottish Public Authority in terms of the FOISA, the </w:t>
            </w:r>
            <w:r w:rsidRPr="00BD6C5F">
              <w:rPr>
                <w:rFonts w:asciiTheme="minorHAnsi" w:hAnsiTheme="minorHAnsi" w:cstheme="minorHAnsi"/>
              </w:rPr>
              <w:lastRenderedPageBreak/>
              <w:t>Environmental Information Regulations 2004, together with any guidance and/or codes of practice issued by the Information Commissioner or any C</w:t>
            </w:r>
            <w:r>
              <w:rPr>
                <w:rFonts w:asciiTheme="minorHAnsi" w:hAnsiTheme="minorHAnsi" w:cstheme="minorHAnsi"/>
              </w:rPr>
              <w:t>rown</w:t>
            </w:r>
            <w:r w:rsidRPr="00BD6C5F">
              <w:rPr>
                <w:rFonts w:asciiTheme="minorHAnsi" w:hAnsiTheme="minorHAnsi" w:cstheme="minorHAnsi"/>
              </w:rPr>
              <w:t xml:space="preserve"> Body shall de deemed to apply in place of the EISRs);</w:t>
            </w:r>
          </w:p>
        </w:tc>
      </w:tr>
      <w:tr w:rsidR="00920899" w:rsidRPr="00BD6C5F" w14:paraId="53E72C62" w14:textId="77777777" w:rsidTr="00A64142">
        <w:trPr>
          <w:gridBefore w:val="1"/>
          <w:gridAfter w:val="1"/>
          <w:wBefore w:w="10" w:type="dxa"/>
          <w:wAfter w:w="32" w:type="dxa"/>
          <w:trHeight w:val="20"/>
        </w:trPr>
        <w:tc>
          <w:tcPr>
            <w:tcW w:w="3532" w:type="dxa"/>
          </w:tcPr>
          <w:p w14:paraId="3D1F8E76" w14:textId="72607AD4" w:rsidR="00920899" w:rsidRPr="00BD6C5F" w:rsidRDefault="00920899" w:rsidP="00920899">
            <w:pPr>
              <w:pStyle w:val="Tabletext"/>
              <w:keepNext/>
              <w:rPr>
                <w:b/>
                <w:bCs/>
              </w:rPr>
            </w:pPr>
            <w:r w:rsidRPr="00BD6C5F">
              <w:rPr>
                <w:b/>
                <w:bCs/>
              </w:rPr>
              <w:lastRenderedPageBreak/>
              <w:t>“Emergency Maintenance”</w:t>
            </w:r>
          </w:p>
        </w:tc>
        <w:tc>
          <w:tcPr>
            <w:tcW w:w="5954" w:type="dxa"/>
          </w:tcPr>
          <w:p w14:paraId="7EA9297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ad hoc and unplanned maintenance provided by the Supplier where:</w:t>
            </w:r>
          </w:p>
          <w:p w14:paraId="3AA9C4CE" w14:textId="77777777" w:rsidR="00920899" w:rsidRPr="00BD6C5F" w:rsidRDefault="00920899" w:rsidP="00920899">
            <w:pPr>
              <w:pStyle w:val="Tablea"/>
            </w:pPr>
            <w:r w:rsidRPr="00BD6C5F">
              <w:t>the Authority reasonably suspects that the IT Environment or the Services, or any part of the IT Environment or the Services, has or may have developed a fault, and notifies the Supplier of the same; or</w:t>
            </w:r>
          </w:p>
          <w:p w14:paraId="159A1A14" w14:textId="2622C329" w:rsidR="00920899" w:rsidRPr="00BD6C5F" w:rsidRDefault="00920899" w:rsidP="00920899">
            <w:pPr>
              <w:pStyle w:val="Tablea"/>
            </w:pPr>
            <w:r w:rsidRPr="00BD6C5F">
              <w:t>the Supplier reasonably suspects that the IT Environment or the Services, or any part the IT Environment or the Services, has or may have developed a fault;</w:t>
            </w:r>
          </w:p>
        </w:tc>
      </w:tr>
      <w:tr w:rsidR="00920899" w:rsidRPr="00BD6C5F" w14:paraId="2BD49D05" w14:textId="77777777" w:rsidTr="00A64142">
        <w:trPr>
          <w:gridBefore w:val="1"/>
          <w:gridAfter w:val="1"/>
          <w:wBefore w:w="10" w:type="dxa"/>
          <w:wAfter w:w="32" w:type="dxa"/>
          <w:trHeight w:val="20"/>
        </w:trPr>
        <w:tc>
          <w:tcPr>
            <w:tcW w:w="3532" w:type="dxa"/>
          </w:tcPr>
          <w:p w14:paraId="6C40DCE6" w14:textId="3B82500E" w:rsidR="00920899" w:rsidRPr="00BD6C5F" w:rsidRDefault="00920899" w:rsidP="00920899">
            <w:pPr>
              <w:pStyle w:val="Tabletext"/>
              <w:rPr>
                <w:b/>
                <w:bCs/>
              </w:rPr>
            </w:pPr>
            <w:r w:rsidRPr="00BD6C5F">
              <w:rPr>
                <w:b/>
                <w:bCs/>
              </w:rPr>
              <w:t>“Employee Liabilities”</w:t>
            </w:r>
          </w:p>
        </w:tc>
        <w:tc>
          <w:tcPr>
            <w:tcW w:w="5954" w:type="dxa"/>
          </w:tcPr>
          <w:p w14:paraId="0F6757F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20E934E9" w14:textId="77777777" w:rsidR="00920899" w:rsidRPr="00BD6C5F" w:rsidRDefault="00920899" w:rsidP="00920899">
            <w:pPr>
              <w:pStyle w:val="Tablea"/>
            </w:pPr>
            <w:r w:rsidRPr="00BD6C5F">
              <w:t>redundancy payments including contractual or enhanced redundancy costs, termination costs and notice payments;</w:t>
            </w:r>
          </w:p>
          <w:p w14:paraId="2D9F9514" w14:textId="77777777" w:rsidR="00920899" w:rsidRPr="00BD6C5F" w:rsidRDefault="00920899" w:rsidP="00920899">
            <w:pPr>
              <w:pStyle w:val="Tablea"/>
            </w:pPr>
            <w:r w:rsidRPr="00BD6C5F">
              <w:t>unfair, wrongful or constructive dismissal compensation;</w:t>
            </w:r>
          </w:p>
          <w:p w14:paraId="5E26F036" w14:textId="77777777" w:rsidR="00920899" w:rsidRPr="00BD6C5F" w:rsidRDefault="00920899" w:rsidP="00920899">
            <w:pPr>
              <w:pStyle w:val="Tablea"/>
            </w:pPr>
            <w:r w:rsidRPr="00BD6C5F">
              <w:t>compensation for discrimination on grounds of sex, race, disability, age, religion or belief, gender reassignment, marriage or civil partnership, pregnancy and maternity or sexual orientation or claims for equal pay;</w:t>
            </w:r>
          </w:p>
          <w:p w14:paraId="16DA408E" w14:textId="77777777" w:rsidR="00920899" w:rsidRPr="00BD6C5F" w:rsidRDefault="00920899" w:rsidP="00920899">
            <w:pPr>
              <w:pStyle w:val="Tablea"/>
            </w:pPr>
            <w:r w:rsidRPr="00BD6C5F">
              <w:t>compensation for less favourable treatment of part-time workers or fixed term employees;</w:t>
            </w:r>
          </w:p>
          <w:p w14:paraId="4DEB4181" w14:textId="77777777" w:rsidR="00920899" w:rsidRPr="00BD6C5F" w:rsidRDefault="00920899" w:rsidP="00920899">
            <w:pPr>
              <w:pStyle w:val="Tablea"/>
            </w:pPr>
            <w:r w:rsidRPr="00BD6C5F">
              <w:t>outstanding employment debts and unlawful deduction of wages including any PAYE and national insurance contributions;</w:t>
            </w:r>
          </w:p>
          <w:p w14:paraId="553CDB5D" w14:textId="77777777" w:rsidR="00920899" w:rsidRPr="00BD6C5F" w:rsidRDefault="00920899" w:rsidP="00920899">
            <w:pPr>
              <w:pStyle w:val="Tablea"/>
            </w:pPr>
            <w:r w:rsidRPr="00BD6C5F">
              <w:t>employment claims whether in delict, contract or statute or otherwise;</w:t>
            </w:r>
          </w:p>
          <w:p w14:paraId="65C0ADB3" w14:textId="1AB84F09" w:rsidR="00920899" w:rsidRPr="00BD6C5F" w:rsidRDefault="00920899" w:rsidP="00920899">
            <w:pPr>
              <w:pStyle w:val="Tablea"/>
            </w:pPr>
            <w:r w:rsidRPr="00BD6C5F">
              <w:t xml:space="preserve">any investigation relating to employment matters by the Equality and Human Rights Commission or other enforcement, regulatory or </w:t>
            </w:r>
            <w:r w:rsidRPr="00BD6C5F">
              <w:lastRenderedPageBreak/>
              <w:t>supervisory body and of implementing any requirements which may arise from such investigation;</w:t>
            </w:r>
          </w:p>
        </w:tc>
      </w:tr>
      <w:tr w:rsidR="00920899" w:rsidRPr="00BD6C5F" w14:paraId="6595E008" w14:textId="77777777" w:rsidTr="00A64142">
        <w:trPr>
          <w:gridBefore w:val="1"/>
          <w:gridAfter w:val="1"/>
          <w:wBefore w:w="10" w:type="dxa"/>
          <w:wAfter w:w="32" w:type="dxa"/>
          <w:trHeight w:val="20"/>
        </w:trPr>
        <w:tc>
          <w:tcPr>
            <w:tcW w:w="3532" w:type="dxa"/>
          </w:tcPr>
          <w:p w14:paraId="16989F5D" w14:textId="5865D9E5" w:rsidR="00920899" w:rsidRPr="00BD6C5F" w:rsidRDefault="00920899" w:rsidP="00920899">
            <w:pPr>
              <w:pStyle w:val="Tabletext"/>
              <w:keepNext/>
              <w:rPr>
                <w:b/>
                <w:bCs/>
              </w:rPr>
            </w:pPr>
            <w:r w:rsidRPr="00BD6C5F">
              <w:rPr>
                <w:b/>
                <w:bCs/>
              </w:rPr>
              <w:lastRenderedPageBreak/>
              <w:t>“Employment Regulations”</w:t>
            </w:r>
          </w:p>
        </w:tc>
        <w:tc>
          <w:tcPr>
            <w:tcW w:w="5954" w:type="dxa"/>
          </w:tcPr>
          <w:p w14:paraId="78265E6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Transfer of Undertakings (Protection of Employment) Regulations 2006 (SI 2006/246)</w:t>
            </w:r>
          </w:p>
          <w:p w14:paraId="73001797" w14:textId="5A29D0E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as amended or replaced; </w:t>
            </w:r>
          </w:p>
        </w:tc>
      </w:tr>
      <w:tr w:rsidR="00920899" w:rsidRPr="00BD6C5F" w14:paraId="38B49A8D" w14:textId="77777777" w:rsidTr="00A64142">
        <w:trPr>
          <w:gridBefore w:val="1"/>
          <w:gridAfter w:val="1"/>
          <w:wBefore w:w="10" w:type="dxa"/>
          <w:wAfter w:w="32" w:type="dxa"/>
          <w:trHeight w:val="20"/>
        </w:trPr>
        <w:tc>
          <w:tcPr>
            <w:tcW w:w="3532" w:type="dxa"/>
          </w:tcPr>
          <w:p w14:paraId="70BE6B40" w14:textId="1BBC7F27" w:rsidR="00920899" w:rsidRPr="00BD6C5F" w:rsidRDefault="00920899" w:rsidP="00920899">
            <w:pPr>
              <w:pStyle w:val="Tabletext"/>
              <w:rPr>
                <w:b/>
                <w:bCs/>
              </w:rPr>
            </w:pPr>
            <w:r w:rsidRPr="00BD6C5F">
              <w:rPr>
                <w:b/>
                <w:bCs/>
              </w:rPr>
              <w:t>“Estimated Year 1 Charges”</w:t>
            </w:r>
          </w:p>
        </w:tc>
        <w:tc>
          <w:tcPr>
            <w:tcW w:w="5954" w:type="dxa"/>
          </w:tcPr>
          <w:p w14:paraId="54255ED9"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estimated Charges payable by the Authority during the first Contract Year, as set out in the Financial Model;</w:t>
            </w:r>
          </w:p>
        </w:tc>
      </w:tr>
      <w:tr w:rsidR="00920899" w:rsidRPr="00BD6C5F" w14:paraId="2629AE2B" w14:textId="77777777" w:rsidTr="00A64142">
        <w:trPr>
          <w:gridBefore w:val="1"/>
          <w:gridAfter w:val="1"/>
          <w:wBefore w:w="10" w:type="dxa"/>
          <w:wAfter w:w="32" w:type="dxa"/>
          <w:trHeight w:val="20"/>
        </w:trPr>
        <w:tc>
          <w:tcPr>
            <w:tcW w:w="3532" w:type="dxa"/>
          </w:tcPr>
          <w:p w14:paraId="0399E666" w14:textId="497D101B" w:rsidR="00920899" w:rsidRPr="00BD6C5F" w:rsidRDefault="00920899" w:rsidP="00920899">
            <w:pPr>
              <w:pStyle w:val="Tabletext"/>
              <w:rPr>
                <w:b/>
                <w:bCs/>
              </w:rPr>
            </w:pPr>
            <w:r w:rsidRPr="00BD6C5F">
              <w:rPr>
                <w:b/>
                <w:bCs/>
              </w:rPr>
              <w:t>“Estimated Initial Service Charges”</w:t>
            </w:r>
          </w:p>
        </w:tc>
        <w:tc>
          <w:tcPr>
            <w:tcW w:w="5954" w:type="dxa"/>
          </w:tcPr>
          <w:p w14:paraId="42287BF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estimated Service Charges payable by the Authority during the period of 12 months from the first Operational Service Commencement Date, as set out in the Financial Model;</w:t>
            </w:r>
          </w:p>
        </w:tc>
      </w:tr>
      <w:tr w:rsidR="00920899" w:rsidRPr="00BD6C5F" w14:paraId="6A81C3E2" w14:textId="77777777" w:rsidTr="00A64142">
        <w:trPr>
          <w:gridBefore w:val="1"/>
          <w:gridAfter w:val="1"/>
          <w:wBefore w:w="10" w:type="dxa"/>
          <w:wAfter w:w="32" w:type="dxa"/>
          <w:trHeight w:val="20"/>
        </w:trPr>
        <w:tc>
          <w:tcPr>
            <w:tcW w:w="3532" w:type="dxa"/>
          </w:tcPr>
          <w:p w14:paraId="76F41DE5" w14:textId="7AB0C57A" w:rsidR="00920899" w:rsidRPr="00BD6C5F" w:rsidRDefault="00920899" w:rsidP="00920899">
            <w:pPr>
              <w:pStyle w:val="Tabletext"/>
              <w:rPr>
                <w:b/>
                <w:bCs/>
              </w:rPr>
            </w:pPr>
            <w:r w:rsidRPr="00BD6C5F">
              <w:rPr>
                <w:b/>
                <w:bCs/>
              </w:rPr>
              <w:t>“EU GDPR”</w:t>
            </w:r>
          </w:p>
        </w:tc>
        <w:tc>
          <w:tcPr>
            <w:tcW w:w="5954" w:type="dxa"/>
          </w:tcPr>
          <w:p w14:paraId="41AB7A5B" w14:textId="74BDFA8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920899" w:rsidRPr="00BD6C5F" w14:paraId="3F19E849" w14:textId="77777777" w:rsidTr="00A64142">
        <w:trPr>
          <w:gridBefore w:val="1"/>
          <w:gridAfter w:val="1"/>
          <w:wBefore w:w="10" w:type="dxa"/>
          <w:wAfter w:w="32" w:type="dxa"/>
          <w:trHeight w:val="20"/>
        </w:trPr>
        <w:tc>
          <w:tcPr>
            <w:tcW w:w="3532" w:type="dxa"/>
          </w:tcPr>
          <w:p w14:paraId="0F44923E" w14:textId="65F1EC49" w:rsidR="00920899" w:rsidRPr="00BD6C5F" w:rsidRDefault="00920899" w:rsidP="00920899">
            <w:pPr>
              <w:pStyle w:val="Tabletext"/>
              <w:rPr>
                <w:b/>
                <w:bCs/>
              </w:rPr>
            </w:pPr>
            <w:r w:rsidRPr="00BD6C5F">
              <w:rPr>
                <w:b/>
                <w:bCs/>
              </w:rPr>
              <w:t>“EU”</w:t>
            </w:r>
          </w:p>
        </w:tc>
        <w:tc>
          <w:tcPr>
            <w:tcW w:w="5954" w:type="dxa"/>
          </w:tcPr>
          <w:p w14:paraId="54AAFF88" w14:textId="1C65B33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European Union;</w:t>
            </w:r>
          </w:p>
        </w:tc>
      </w:tr>
      <w:tr w:rsidR="00920899" w:rsidRPr="00BD6C5F" w14:paraId="232EC601" w14:textId="77777777" w:rsidTr="00A64142">
        <w:trPr>
          <w:gridBefore w:val="1"/>
          <w:gridAfter w:val="1"/>
          <w:wBefore w:w="10" w:type="dxa"/>
          <w:wAfter w:w="32" w:type="dxa"/>
          <w:trHeight w:val="20"/>
        </w:trPr>
        <w:tc>
          <w:tcPr>
            <w:tcW w:w="3532" w:type="dxa"/>
          </w:tcPr>
          <w:p w14:paraId="5FF1173A" w14:textId="3F4AA402" w:rsidR="00920899" w:rsidRPr="00BD6C5F" w:rsidRDefault="00920899" w:rsidP="00920899">
            <w:pPr>
              <w:pStyle w:val="Tabletext"/>
              <w:rPr>
                <w:b/>
                <w:bCs/>
              </w:rPr>
            </w:pPr>
            <w:r w:rsidRPr="00BD6C5F">
              <w:rPr>
                <w:b/>
                <w:bCs/>
              </w:rPr>
              <w:t>“Exit Management”</w:t>
            </w:r>
          </w:p>
        </w:tc>
        <w:tc>
          <w:tcPr>
            <w:tcW w:w="5954" w:type="dxa"/>
          </w:tcPr>
          <w:p w14:paraId="3F14FCB0" w14:textId="3F4606E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services, activities, processes and procedures to ensure a smooth and orderly transition of all or part of the Services from the Supplier to the Authority and/or a Replacement Supplier, as set out or referred to in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71848118" w14:textId="77777777" w:rsidTr="00A64142">
        <w:trPr>
          <w:gridBefore w:val="1"/>
          <w:gridAfter w:val="1"/>
          <w:wBefore w:w="10" w:type="dxa"/>
          <w:wAfter w:w="32" w:type="dxa"/>
          <w:trHeight w:val="20"/>
        </w:trPr>
        <w:tc>
          <w:tcPr>
            <w:tcW w:w="3532" w:type="dxa"/>
          </w:tcPr>
          <w:p w14:paraId="546ED493" w14:textId="3E5DC659" w:rsidR="00920899" w:rsidRPr="00BD6C5F" w:rsidRDefault="00920899" w:rsidP="00920899">
            <w:pPr>
              <w:pStyle w:val="Tabletext"/>
              <w:rPr>
                <w:b/>
                <w:bCs/>
              </w:rPr>
            </w:pPr>
            <w:r w:rsidRPr="00BD6C5F">
              <w:rPr>
                <w:b/>
                <w:bCs/>
              </w:rPr>
              <w:t>“Exit Plan”</w:t>
            </w:r>
          </w:p>
        </w:tc>
        <w:tc>
          <w:tcPr>
            <w:tcW w:w="5954" w:type="dxa"/>
          </w:tcPr>
          <w:p w14:paraId="3ADDFECB" w14:textId="74788ED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plan produced and updated by the Supplier during the Term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_Ref98352454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2C0AAA48" w14:textId="77777777" w:rsidTr="00A64142">
        <w:trPr>
          <w:gridBefore w:val="1"/>
          <w:gridAfter w:val="1"/>
          <w:wBefore w:w="10" w:type="dxa"/>
          <w:wAfter w:w="32" w:type="dxa"/>
          <w:trHeight w:val="20"/>
        </w:trPr>
        <w:tc>
          <w:tcPr>
            <w:tcW w:w="3532" w:type="dxa"/>
          </w:tcPr>
          <w:p w14:paraId="03595D46" w14:textId="029C624C" w:rsidR="00920899" w:rsidRPr="00BD6C5F" w:rsidRDefault="00920899" w:rsidP="00920899">
            <w:pPr>
              <w:pStyle w:val="Tabletext"/>
              <w:rPr>
                <w:b/>
                <w:bCs/>
              </w:rPr>
            </w:pPr>
            <w:r w:rsidRPr="00BD6C5F">
              <w:rPr>
                <w:b/>
                <w:bCs/>
              </w:rPr>
              <w:t>“Expedited Dispute Timetable”</w:t>
            </w:r>
          </w:p>
        </w:tc>
        <w:tc>
          <w:tcPr>
            <w:tcW w:w="5954" w:type="dxa"/>
          </w:tcPr>
          <w:p w14:paraId="61BD08E2" w14:textId="436FD26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reduced timetable for the resolution of Disputes set out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_Ref98353415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3</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661CDF49" w14:textId="77777777" w:rsidTr="00A64142">
        <w:trPr>
          <w:gridBefore w:val="1"/>
          <w:gridAfter w:val="1"/>
          <w:wBefore w:w="10" w:type="dxa"/>
          <w:wAfter w:w="32" w:type="dxa"/>
          <w:trHeight w:val="20"/>
        </w:trPr>
        <w:tc>
          <w:tcPr>
            <w:tcW w:w="3532" w:type="dxa"/>
          </w:tcPr>
          <w:p w14:paraId="30336060" w14:textId="040CC03E" w:rsidR="00920899" w:rsidRPr="00BD6C5F" w:rsidRDefault="00920899" w:rsidP="00920899">
            <w:pPr>
              <w:pStyle w:val="Tabletext"/>
              <w:rPr>
                <w:b/>
                <w:bCs/>
              </w:rPr>
            </w:pPr>
            <w:r w:rsidRPr="00BD6C5F">
              <w:rPr>
                <w:b/>
                <w:bCs/>
              </w:rPr>
              <w:t>“Expert”</w:t>
            </w:r>
          </w:p>
        </w:tc>
        <w:tc>
          <w:tcPr>
            <w:tcW w:w="5954" w:type="dxa"/>
          </w:tcPr>
          <w:p w14:paraId="3E052302" w14:textId="2776049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18350C19" w14:textId="77777777" w:rsidTr="00A64142">
        <w:trPr>
          <w:gridBefore w:val="1"/>
          <w:gridAfter w:val="1"/>
          <w:wBefore w:w="10" w:type="dxa"/>
          <w:wAfter w:w="32" w:type="dxa"/>
          <w:trHeight w:val="20"/>
        </w:trPr>
        <w:tc>
          <w:tcPr>
            <w:tcW w:w="3532" w:type="dxa"/>
          </w:tcPr>
          <w:p w14:paraId="7CAEF25F" w14:textId="30A6CE8B" w:rsidR="00920899" w:rsidRPr="00BD6C5F" w:rsidRDefault="00920899" w:rsidP="00920899">
            <w:pPr>
              <w:pStyle w:val="Tabletext"/>
              <w:rPr>
                <w:b/>
                <w:bCs/>
              </w:rPr>
            </w:pPr>
            <w:r w:rsidRPr="00BD6C5F">
              <w:rPr>
                <w:b/>
                <w:bCs/>
              </w:rPr>
              <w:t>“Expert Determination”</w:t>
            </w:r>
          </w:p>
        </w:tc>
        <w:tc>
          <w:tcPr>
            <w:tcW w:w="5954" w:type="dxa"/>
          </w:tcPr>
          <w:p w14:paraId="5E951435" w14:textId="1EF717C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process described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_Ref98353430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6</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02098813" w14:textId="77777777" w:rsidTr="00A64142">
        <w:trPr>
          <w:gridBefore w:val="1"/>
          <w:gridAfter w:val="1"/>
          <w:wBefore w:w="10" w:type="dxa"/>
          <w:wAfter w:w="32" w:type="dxa"/>
          <w:trHeight w:val="20"/>
        </w:trPr>
        <w:tc>
          <w:tcPr>
            <w:tcW w:w="3532" w:type="dxa"/>
          </w:tcPr>
          <w:p w14:paraId="6E6A6851" w14:textId="33C28E39" w:rsidR="00920899" w:rsidRPr="00BD6C5F" w:rsidRDefault="00920899" w:rsidP="00920899">
            <w:pPr>
              <w:pStyle w:val="Tabletext"/>
              <w:rPr>
                <w:b/>
                <w:bCs/>
              </w:rPr>
            </w:pPr>
            <w:r w:rsidRPr="00BD6C5F">
              <w:rPr>
                <w:b/>
                <w:bCs/>
              </w:rPr>
              <w:t>“Exposure Information (Contracts List)”</w:t>
            </w:r>
          </w:p>
        </w:tc>
        <w:tc>
          <w:tcPr>
            <w:tcW w:w="5954" w:type="dxa"/>
          </w:tcPr>
          <w:p w14:paraId="0330CBDD" w14:textId="741D29F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part of the CRP Information relating to the Supplier Group to be provided by the Supplier in accordance with Paragraphs </w:t>
            </w:r>
            <w:r w:rsidRPr="00BD6C5F">
              <w:rPr>
                <w:rFonts w:asciiTheme="minorHAnsi" w:hAnsiTheme="minorHAnsi" w:cstheme="minorHAnsi"/>
              </w:rPr>
              <w:fldChar w:fldCharType="begin"/>
            </w:r>
            <w:r w:rsidRPr="00BD6C5F">
              <w:rPr>
                <w:rFonts w:asciiTheme="minorHAnsi" w:hAnsiTheme="minorHAnsi" w:cstheme="minorHAnsi"/>
              </w:rPr>
              <w:instrText xml:space="preserve"> REF _Ref98351440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2</w:t>
            </w:r>
            <w:r w:rsidRPr="00BD6C5F">
              <w:rPr>
                <w:rFonts w:asciiTheme="minorHAnsi" w:hAnsiTheme="minorHAnsi" w:cstheme="minorHAnsi"/>
              </w:rPr>
              <w:fldChar w:fldCharType="end"/>
            </w:r>
            <w:r w:rsidRPr="00BD6C5F">
              <w:rPr>
                <w:rFonts w:asciiTheme="minorHAnsi" w:hAnsiTheme="minorHAnsi" w:cstheme="minorHAnsi"/>
              </w:rPr>
              <w:t xml:space="preserve"> and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Schedule_26_Part_B_Annex_1 \h </w:instrText>
            </w:r>
            <w:r>
              <w:rPr>
                <w:rFonts w:asciiTheme="minorHAnsi" w:hAnsiTheme="minorHAnsi" w:cstheme="minorHAnsi"/>
              </w:rPr>
            </w:r>
            <w:r>
              <w:rPr>
                <w:rFonts w:asciiTheme="minorHAnsi" w:hAnsiTheme="minorHAnsi" w:cstheme="minorHAnsi"/>
              </w:rPr>
              <w:fldChar w:fldCharType="separate"/>
            </w:r>
            <w:r w:rsidR="009749A0" w:rsidRPr="00F63080">
              <w:rPr>
                <w:lang w:val="fr-FR"/>
              </w:rPr>
              <w:t>1</w:t>
            </w:r>
            <w:r>
              <w:rPr>
                <w:rFonts w:asciiTheme="minorHAnsi" w:hAnsiTheme="minorHAnsi" w:cstheme="minorHAnsi"/>
              </w:rPr>
              <w:fldChar w:fldCharType="end"/>
            </w:r>
            <w:r w:rsidRPr="00BD6C5F">
              <w:rPr>
                <w:rFonts w:asciiTheme="minorHAnsi" w:hAnsiTheme="minorHAnsi" w:cstheme="minorHAnsi"/>
              </w:rPr>
              <w:t xml:space="preserve"> </w:t>
            </w:r>
            <w:r>
              <w:rPr>
                <w:rFonts w:asciiTheme="minorHAnsi" w:hAnsiTheme="minorHAnsi" w:cstheme="minorHAnsi"/>
              </w:rPr>
              <w:t>of Part </w:t>
            </w:r>
            <w:r>
              <w:rPr>
                <w:rFonts w:asciiTheme="minorHAnsi" w:hAnsiTheme="minorHAnsi" w:cstheme="minorHAnsi"/>
              </w:rPr>
              <w:fldChar w:fldCharType="begin"/>
            </w:r>
            <w:r>
              <w:rPr>
                <w:rFonts w:asciiTheme="minorHAnsi" w:hAnsiTheme="minorHAnsi" w:cstheme="minorHAnsi"/>
              </w:rPr>
              <w:instrText xml:space="preserve"> REF Schedule_26_Part_B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Pr>
                <w:rFonts w:asciiTheme="minorHAnsi" w:hAnsiTheme="minorHAnsi" w:cstheme="minorHAnsi"/>
              </w:rPr>
              <w:t xml:space="preserve"> </w:t>
            </w:r>
            <w:r w:rsidRPr="00BD6C5F">
              <w:rPr>
                <w:rFonts w:asciiTheme="minorHAnsi" w:hAnsiTheme="minorHAnsi" w:cstheme="minorHAnsi"/>
              </w:rPr>
              <w:t>of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Service Continuity Plan and Corporate Resolution Planning</w:t>
            </w:r>
            <w:r w:rsidRPr="00BD6C5F">
              <w:rPr>
                <w:rFonts w:asciiTheme="minorHAnsi" w:hAnsiTheme="minorHAnsi" w:cstheme="minorHAnsi"/>
              </w:rPr>
              <w:t>);</w:t>
            </w:r>
          </w:p>
        </w:tc>
      </w:tr>
      <w:tr w:rsidR="00920899" w:rsidRPr="00BD6C5F" w14:paraId="4FDCBEF5" w14:textId="77777777" w:rsidTr="00A64142">
        <w:trPr>
          <w:gridBefore w:val="1"/>
          <w:gridAfter w:val="1"/>
          <w:wBefore w:w="10" w:type="dxa"/>
          <w:wAfter w:w="32" w:type="dxa"/>
          <w:trHeight w:val="20"/>
        </w:trPr>
        <w:tc>
          <w:tcPr>
            <w:tcW w:w="3532" w:type="dxa"/>
          </w:tcPr>
          <w:p w14:paraId="461DE290" w14:textId="2DBD775C" w:rsidR="00920899" w:rsidRPr="00BD6C5F" w:rsidRDefault="00920899" w:rsidP="00920899">
            <w:pPr>
              <w:pStyle w:val="Tabletext"/>
              <w:rPr>
                <w:b/>
                <w:bCs/>
              </w:rPr>
            </w:pPr>
            <w:r w:rsidRPr="00BD6C5F">
              <w:rPr>
                <w:b/>
                <w:bCs/>
              </w:rPr>
              <w:lastRenderedPageBreak/>
              <w:t>“Extension Period”</w:t>
            </w:r>
          </w:p>
        </w:tc>
        <w:tc>
          <w:tcPr>
            <w:tcW w:w="5954" w:type="dxa"/>
          </w:tcPr>
          <w:p w14:paraId="03899318"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 period of </w:t>
            </w:r>
            <w:r w:rsidRPr="00BD6C5F">
              <w:rPr>
                <w:rFonts w:asciiTheme="minorHAnsi" w:hAnsiTheme="minorHAnsi" w:cstheme="minorHAnsi"/>
                <w:b/>
                <w:bCs/>
                <w:shd w:val="clear" w:color="auto" w:fill="FFFF00"/>
              </w:rPr>
              <w:t>[x]</w:t>
            </w:r>
            <w:r w:rsidRPr="00BD6C5F">
              <w:rPr>
                <w:rFonts w:asciiTheme="minorHAnsi" w:hAnsiTheme="minorHAnsi" w:cstheme="minorHAnsi"/>
              </w:rPr>
              <w:t xml:space="preserve"> years from the end of the Initial Term;</w:t>
            </w:r>
          </w:p>
        </w:tc>
      </w:tr>
      <w:tr w:rsidR="00920899" w:rsidRPr="00BD6C5F" w14:paraId="617EFB69" w14:textId="77777777" w:rsidTr="00A64142">
        <w:trPr>
          <w:gridBefore w:val="1"/>
          <w:gridAfter w:val="1"/>
          <w:wBefore w:w="10" w:type="dxa"/>
          <w:wAfter w:w="32" w:type="dxa"/>
          <w:trHeight w:val="20"/>
        </w:trPr>
        <w:tc>
          <w:tcPr>
            <w:tcW w:w="3532" w:type="dxa"/>
          </w:tcPr>
          <w:p w14:paraId="6296A288" w14:textId="0DAF1F80" w:rsidR="00920899" w:rsidRPr="00BD6C5F" w:rsidRDefault="00920899" w:rsidP="00920899">
            <w:pPr>
              <w:pStyle w:val="Tabletext"/>
              <w:keepNext/>
              <w:rPr>
                <w:b/>
                <w:bCs/>
              </w:rPr>
            </w:pPr>
            <w:r w:rsidRPr="00BD6C5F">
              <w:rPr>
                <w:b/>
                <w:bCs/>
              </w:rPr>
              <w:t>“Financial Distress Event”</w:t>
            </w:r>
          </w:p>
        </w:tc>
        <w:tc>
          <w:tcPr>
            <w:tcW w:w="5954" w:type="dxa"/>
          </w:tcPr>
          <w:p w14:paraId="47E619F7" w14:textId="7CBF396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occurrence of one or more of the events listed in Paragraph </w:t>
            </w:r>
            <w:r w:rsidRPr="00BD6C5F">
              <w:rPr>
                <w:rFonts w:asciiTheme="minorHAnsi" w:hAnsiTheme="minorHAnsi" w:cstheme="minorHAnsi"/>
                <w:highlight w:val="cyan"/>
              </w:rPr>
              <w:fldChar w:fldCharType="begin"/>
            </w:r>
            <w:r w:rsidRPr="00BD6C5F">
              <w:rPr>
                <w:rFonts w:asciiTheme="minorHAnsi" w:hAnsiTheme="minorHAnsi" w:cstheme="minorHAnsi"/>
              </w:rPr>
              <w:instrText xml:space="preserve"> REF _Ref98257546 \w \h </w:instrText>
            </w:r>
            <w:r w:rsidRPr="00BD6C5F">
              <w:rPr>
                <w:rFonts w:asciiTheme="minorHAnsi" w:hAnsiTheme="minorHAnsi" w:cstheme="minorHAnsi"/>
                <w:highlight w:val="cyan"/>
              </w:rPr>
              <w:instrText xml:space="preserve"> \* MERGEFORMAT </w:instrText>
            </w:r>
            <w:r w:rsidRPr="00BD6C5F">
              <w:rPr>
                <w:rFonts w:asciiTheme="minorHAnsi" w:hAnsiTheme="minorHAnsi" w:cstheme="minorHAnsi"/>
                <w:highlight w:val="cyan"/>
              </w:rPr>
            </w:r>
            <w:r w:rsidRPr="00BD6C5F">
              <w:rPr>
                <w:rFonts w:asciiTheme="minorHAnsi" w:hAnsiTheme="minorHAnsi" w:cstheme="minorHAnsi"/>
                <w:highlight w:val="cyan"/>
              </w:rPr>
              <w:fldChar w:fldCharType="separate"/>
            </w:r>
            <w:r w:rsidR="009749A0">
              <w:rPr>
                <w:rFonts w:asciiTheme="minorHAnsi" w:hAnsiTheme="minorHAnsi" w:cstheme="minorHAnsi"/>
              </w:rPr>
              <w:t>3.1</w:t>
            </w:r>
            <w:r w:rsidRPr="00BD6C5F">
              <w:rPr>
                <w:rFonts w:asciiTheme="minorHAnsi" w:hAnsiTheme="minorHAnsi" w:cstheme="minorHAnsi"/>
                <w:highlight w:val="cyan"/>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Schedule_18 \h </w:instrText>
            </w:r>
            <w:r>
              <w:rPr>
                <w:rFonts w:asciiTheme="minorHAnsi" w:hAnsiTheme="minorHAnsi" w:cstheme="minorHAnsi"/>
              </w:rPr>
            </w:r>
            <w:r>
              <w:rPr>
                <w:rFonts w:asciiTheme="minorHAnsi" w:hAnsiTheme="minorHAnsi" w:cstheme="minorHAnsi"/>
              </w:rPr>
              <w:fldChar w:fldCharType="separate"/>
            </w:r>
            <w:r w:rsidR="009749A0">
              <w:t>18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Distress</w:t>
            </w:r>
            <w:r w:rsidRPr="00BD6C5F">
              <w:rPr>
                <w:rFonts w:asciiTheme="minorHAnsi" w:hAnsiTheme="minorHAnsi" w:cstheme="minorHAnsi"/>
              </w:rPr>
              <w:t>);</w:t>
            </w:r>
          </w:p>
        </w:tc>
      </w:tr>
      <w:tr w:rsidR="00920899" w:rsidRPr="00BD6C5F" w14:paraId="6B3DA423" w14:textId="77777777" w:rsidTr="00A64142">
        <w:trPr>
          <w:gridBefore w:val="1"/>
          <w:gridAfter w:val="1"/>
          <w:wBefore w:w="10" w:type="dxa"/>
          <w:wAfter w:w="32" w:type="dxa"/>
          <w:trHeight w:val="20"/>
        </w:trPr>
        <w:tc>
          <w:tcPr>
            <w:tcW w:w="3532" w:type="dxa"/>
          </w:tcPr>
          <w:p w14:paraId="20CDBC61" w14:textId="3EA02B6F" w:rsidR="00920899" w:rsidRPr="00BD6C5F" w:rsidRDefault="00920899" w:rsidP="00920899">
            <w:pPr>
              <w:pStyle w:val="Tabletext"/>
              <w:rPr>
                <w:b/>
                <w:bCs/>
              </w:rPr>
            </w:pPr>
            <w:r w:rsidRPr="00BD6C5F">
              <w:rPr>
                <w:b/>
                <w:bCs/>
              </w:rPr>
              <w:t>“Financial Information and Commentary”</w:t>
            </w:r>
          </w:p>
        </w:tc>
        <w:tc>
          <w:tcPr>
            <w:tcW w:w="5954" w:type="dxa"/>
          </w:tcPr>
          <w:p w14:paraId="0FC09C6C" w14:textId="31B8944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part of the CRP Information requirements set out in accordance with Paragraphs </w:t>
            </w:r>
            <w:r w:rsidRPr="00BD6C5F">
              <w:rPr>
                <w:rFonts w:asciiTheme="minorHAnsi" w:hAnsiTheme="minorHAnsi" w:cstheme="minorHAnsi"/>
              </w:rPr>
              <w:fldChar w:fldCharType="begin"/>
            </w:r>
            <w:r w:rsidRPr="00BD6C5F">
              <w:rPr>
                <w:rFonts w:asciiTheme="minorHAnsi" w:hAnsiTheme="minorHAnsi" w:cstheme="minorHAnsi"/>
              </w:rPr>
              <w:instrText xml:space="preserve"> REF _Ref98351440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2</w:t>
            </w:r>
            <w:r w:rsidRPr="00BD6C5F">
              <w:rPr>
                <w:rFonts w:asciiTheme="minorHAnsi" w:hAnsiTheme="minorHAnsi" w:cstheme="minorHAnsi"/>
              </w:rPr>
              <w:fldChar w:fldCharType="end"/>
            </w:r>
            <w:r w:rsidRPr="00BD6C5F">
              <w:rPr>
                <w:rFonts w:asciiTheme="minorHAnsi" w:hAnsiTheme="minorHAnsi" w:cstheme="minorHAnsi"/>
              </w:rPr>
              <w:t xml:space="preserve"> and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Schedule_26_Part_B_Annex_3 \h </w:instrText>
            </w:r>
            <w:r>
              <w:rPr>
                <w:rFonts w:asciiTheme="minorHAnsi" w:hAnsiTheme="minorHAnsi" w:cstheme="minorHAnsi"/>
              </w:rPr>
            </w:r>
            <w:r>
              <w:rPr>
                <w:rFonts w:asciiTheme="minorHAnsi" w:hAnsiTheme="minorHAnsi" w:cstheme="minorHAnsi"/>
              </w:rPr>
              <w:fldChar w:fldCharType="separate"/>
            </w:r>
            <w:r w:rsidR="009749A0" w:rsidRPr="00BD6C5F">
              <w:t>3</w:t>
            </w:r>
            <w:r>
              <w:rPr>
                <w:rFonts w:asciiTheme="minorHAnsi" w:hAnsiTheme="minorHAnsi" w:cstheme="minorHAnsi"/>
              </w:rPr>
              <w:fldChar w:fldCharType="end"/>
            </w:r>
            <w:r w:rsidRPr="00BD6C5F">
              <w:rPr>
                <w:rFonts w:asciiTheme="minorHAnsi" w:hAnsiTheme="minorHAnsi" w:cstheme="minorHAnsi"/>
              </w:rPr>
              <w:t xml:space="preserve"> </w:t>
            </w:r>
            <w:r>
              <w:rPr>
                <w:rFonts w:asciiTheme="minorHAnsi" w:hAnsiTheme="minorHAnsi" w:cstheme="minorHAnsi"/>
              </w:rPr>
              <w:t>of Part </w:t>
            </w:r>
            <w:r>
              <w:rPr>
                <w:rFonts w:asciiTheme="minorHAnsi" w:hAnsiTheme="minorHAnsi" w:cstheme="minorHAnsi"/>
              </w:rPr>
              <w:fldChar w:fldCharType="begin"/>
            </w:r>
            <w:r>
              <w:rPr>
                <w:rFonts w:asciiTheme="minorHAnsi" w:hAnsiTheme="minorHAnsi" w:cstheme="minorHAnsi"/>
              </w:rPr>
              <w:instrText xml:space="preserve"> REF Schedule_26_Part_B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Pr>
                <w:rFonts w:asciiTheme="minorHAnsi" w:hAnsiTheme="minorHAnsi" w:cstheme="minorHAnsi"/>
              </w:rPr>
              <w:t xml:space="preserve"> </w:t>
            </w:r>
            <w:r w:rsidRPr="00BD6C5F">
              <w:rPr>
                <w:rFonts w:asciiTheme="minorHAnsi" w:hAnsiTheme="minorHAnsi" w:cstheme="minorHAnsi"/>
              </w:rPr>
              <w:t>of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Service Continuity Plan and Corporate Resolution Planning</w:t>
            </w:r>
            <w:r w:rsidRPr="00BD6C5F">
              <w:rPr>
                <w:rFonts w:asciiTheme="minorHAnsi" w:hAnsiTheme="minorHAnsi" w:cstheme="minorHAnsi"/>
              </w:rPr>
              <w:t>);</w:t>
            </w:r>
          </w:p>
        </w:tc>
      </w:tr>
      <w:tr w:rsidR="00920899" w:rsidRPr="00BD6C5F" w14:paraId="25F45B70" w14:textId="77777777" w:rsidTr="00A64142">
        <w:trPr>
          <w:gridBefore w:val="1"/>
          <w:gridAfter w:val="1"/>
          <w:wBefore w:w="10" w:type="dxa"/>
          <w:wAfter w:w="32" w:type="dxa"/>
          <w:trHeight w:val="20"/>
        </w:trPr>
        <w:tc>
          <w:tcPr>
            <w:tcW w:w="3532" w:type="dxa"/>
          </w:tcPr>
          <w:p w14:paraId="5F7FCD73" w14:textId="0B2C6A14" w:rsidR="00920899" w:rsidRPr="00BD6C5F" w:rsidRDefault="00920899" w:rsidP="00920899">
            <w:pPr>
              <w:pStyle w:val="Tabletext"/>
              <w:rPr>
                <w:b/>
                <w:bCs/>
              </w:rPr>
            </w:pPr>
            <w:r w:rsidRPr="00BD6C5F">
              <w:rPr>
                <w:b/>
                <w:bCs/>
              </w:rPr>
              <w:t>“Financial Distress Remediation Plan”</w:t>
            </w:r>
          </w:p>
        </w:tc>
        <w:tc>
          <w:tcPr>
            <w:tcW w:w="5954" w:type="dxa"/>
          </w:tcPr>
          <w:p w14:paraId="36AD0061" w14:textId="3BD2CC2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plan setting out how the Supplier will ensure the continued performance and delivery of the Services in accordance with this Contract in the event that a Financial Distress Event occurs. This plan should include what the Authority would need to put in place to ensure performance and delivery of the Services in accordance with this Contract up to and including any Insolvency Event in respect of the relevant FDE Group entity and may refer to the Insolvency Continuity Plan in this regard;</w:t>
            </w:r>
          </w:p>
        </w:tc>
      </w:tr>
      <w:tr w:rsidR="00920899" w:rsidRPr="00BD6C5F" w14:paraId="19206E8A" w14:textId="77777777" w:rsidTr="00A64142">
        <w:trPr>
          <w:gridBefore w:val="1"/>
          <w:gridAfter w:val="1"/>
          <w:wBefore w:w="10" w:type="dxa"/>
          <w:wAfter w:w="32" w:type="dxa"/>
          <w:trHeight w:val="20"/>
        </w:trPr>
        <w:tc>
          <w:tcPr>
            <w:tcW w:w="3532" w:type="dxa"/>
          </w:tcPr>
          <w:p w14:paraId="6FB9EABA" w14:textId="4F07EE76" w:rsidR="00920899" w:rsidRPr="00BD6C5F" w:rsidRDefault="00920899" w:rsidP="00920899">
            <w:pPr>
              <w:pStyle w:val="Tabletext"/>
              <w:rPr>
                <w:b/>
                <w:bCs/>
              </w:rPr>
            </w:pPr>
            <w:r w:rsidRPr="00BD6C5F">
              <w:rPr>
                <w:b/>
                <w:bCs/>
              </w:rPr>
              <w:t>“Financial Model”</w:t>
            </w:r>
          </w:p>
        </w:tc>
        <w:tc>
          <w:tcPr>
            <w:tcW w:w="5954" w:type="dxa"/>
          </w:tcPr>
          <w:p w14:paraId="4A6ED64F" w14:textId="204AA9A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Schedule_19 \h </w:instrText>
            </w:r>
            <w:r>
              <w:rPr>
                <w:rFonts w:asciiTheme="minorHAnsi" w:hAnsiTheme="minorHAnsi" w:cstheme="minorHAnsi"/>
              </w:rPr>
            </w:r>
            <w:r>
              <w:rPr>
                <w:rFonts w:asciiTheme="minorHAnsi" w:hAnsiTheme="minorHAnsi" w:cstheme="minorHAnsi"/>
              </w:rPr>
              <w:fldChar w:fldCharType="separate"/>
            </w:r>
            <w:r w:rsidR="009749A0">
              <w:t>19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920899" w:rsidRPr="00BD6C5F" w14:paraId="3DE9344C" w14:textId="77777777" w:rsidTr="00A64142">
        <w:trPr>
          <w:gridBefore w:val="1"/>
          <w:gridAfter w:val="1"/>
          <w:wBefore w:w="10" w:type="dxa"/>
          <w:wAfter w:w="32" w:type="dxa"/>
          <w:trHeight w:val="20"/>
        </w:trPr>
        <w:tc>
          <w:tcPr>
            <w:tcW w:w="3532" w:type="dxa"/>
          </w:tcPr>
          <w:p w14:paraId="0C3D75CF" w14:textId="322229B6" w:rsidR="00920899" w:rsidRPr="00BD6C5F" w:rsidRDefault="00920899" w:rsidP="00920899">
            <w:pPr>
              <w:pStyle w:val="Tabletext"/>
              <w:rPr>
                <w:b/>
                <w:bCs/>
              </w:rPr>
            </w:pPr>
            <w:r w:rsidRPr="00BD6C5F">
              <w:rPr>
                <w:b/>
                <w:bCs/>
              </w:rPr>
              <w:t>“Financial Reports”</w:t>
            </w:r>
          </w:p>
        </w:tc>
        <w:tc>
          <w:tcPr>
            <w:tcW w:w="5954" w:type="dxa"/>
          </w:tcPr>
          <w:p w14:paraId="2CDD393A" w14:textId="600DBE2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Schedule_19 \h </w:instrText>
            </w:r>
            <w:r>
              <w:rPr>
                <w:rFonts w:asciiTheme="minorHAnsi" w:hAnsiTheme="minorHAnsi" w:cstheme="minorHAnsi"/>
              </w:rPr>
            </w:r>
            <w:r>
              <w:rPr>
                <w:rFonts w:asciiTheme="minorHAnsi" w:hAnsiTheme="minorHAnsi" w:cstheme="minorHAnsi"/>
              </w:rPr>
              <w:fldChar w:fldCharType="separate"/>
            </w:r>
            <w:r w:rsidR="009749A0">
              <w:t>19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920899" w:rsidRPr="00BD6C5F" w14:paraId="5F7FF3B8" w14:textId="77777777" w:rsidTr="00A64142">
        <w:trPr>
          <w:gridBefore w:val="1"/>
          <w:gridAfter w:val="1"/>
          <w:wBefore w:w="10" w:type="dxa"/>
          <w:wAfter w:w="32" w:type="dxa"/>
          <w:trHeight w:val="20"/>
        </w:trPr>
        <w:tc>
          <w:tcPr>
            <w:tcW w:w="3532" w:type="dxa"/>
          </w:tcPr>
          <w:p w14:paraId="3688135D" w14:textId="7443FF89" w:rsidR="00920899" w:rsidRPr="00BD6C5F" w:rsidRDefault="00920899" w:rsidP="00920899">
            <w:pPr>
              <w:pStyle w:val="Tabletext"/>
              <w:rPr>
                <w:b/>
                <w:bCs/>
              </w:rPr>
            </w:pPr>
            <w:r w:rsidRPr="00BD6C5F">
              <w:rPr>
                <w:b/>
                <w:bCs/>
              </w:rPr>
              <w:t>“Financial Transparency Objectives”</w:t>
            </w:r>
          </w:p>
        </w:tc>
        <w:tc>
          <w:tcPr>
            <w:tcW w:w="5954" w:type="dxa"/>
          </w:tcPr>
          <w:p w14:paraId="1D5BA2C4" w14:textId="1D5D9F0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Schedule_19 \h </w:instrText>
            </w:r>
            <w:r>
              <w:rPr>
                <w:rFonts w:asciiTheme="minorHAnsi" w:hAnsiTheme="minorHAnsi" w:cstheme="minorHAnsi"/>
              </w:rPr>
            </w:r>
            <w:r>
              <w:rPr>
                <w:rFonts w:asciiTheme="minorHAnsi" w:hAnsiTheme="minorHAnsi" w:cstheme="minorHAnsi"/>
              </w:rPr>
              <w:fldChar w:fldCharType="separate"/>
            </w:r>
            <w:r w:rsidR="009749A0">
              <w:t>19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920899" w:rsidRPr="00BD6C5F" w14:paraId="16043E10" w14:textId="77777777" w:rsidTr="00A64142">
        <w:trPr>
          <w:gridBefore w:val="1"/>
          <w:gridAfter w:val="1"/>
          <w:wBefore w:w="10" w:type="dxa"/>
          <w:wAfter w:w="32" w:type="dxa"/>
          <w:trHeight w:val="20"/>
        </w:trPr>
        <w:tc>
          <w:tcPr>
            <w:tcW w:w="3532" w:type="dxa"/>
          </w:tcPr>
          <w:p w14:paraId="4AB5D4BA" w14:textId="3867896C" w:rsidR="00920899" w:rsidRPr="00BD6C5F" w:rsidRDefault="00920899" w:rsidP="00920899">
            <w:pPr>
              <w:pStyle w:val="Tabletext"/>
              <w:rPr>
                <w:b/>
                <w:bCs/>
              </w:rPr>
            </w:pPr>
            <w:r w:rsidRPr="00BD6C5F">
              <w:rPr>
                <w:b/>
                <w:bCs/>
              </w:rPr>
              <w:t>“FOISA” or “FOIA”</w:t>
            </w:r>
          </w:p>
        </w:tc>
        <w:tc>
          <w:tcPr>
            <w:tcW w:w="5954" w:type="dxa"/>
          </w:tcPr>
          <w:p w14:paraId="3CAEB937" w14:textId="7E45704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Freedom of Information (Scotland) Act 2002 and any subordinate legislation made under that Act from time to time, together with any guidance issued by the Scottish Information Commissioner and/or codes of practice issued by the Scottish Ministers in relation to such Act where the Authority is a “Scottish Public Authority” as defined in Schedule</w:t>
            </w:r>
            <w:r>
              <w:rPr>
                <w:rFonts w:asciiTheme="minorHAnsi" w:hAnsiTheme="minorHAnsi" w:cstheme="minorHAnsi"/>
              </w:rPr>
              <w:t> </w:t>
            </w:r>
            <w:r w:rsidRPr="00BD6C5F">
              <w:rPr>
                <w:rFonts w:asciiTheme="minorHAnsi" w:hAnsiTheme="minorHAnsi" w:cstheme="minorHAnsi"/>
              </w:rPr>
              <w:t>1 of such Act; or, where the Authority is not a Scottish Public Authority, the Freedom of Information Act 2000 and any subordinate legislation made under that Act from time to time, together with any guidance and/or codes of practice issued by the Information Commissioner or any relevant C</w:t>
            </w:r>
            <w:r>
              <w:rPr>
                <w:rFonts w:asciiTheme="minorHAnsi" w:hAnsiTheme="minorHAnsi" w:cstheme="minorHAnsi"/>
              </w:rPr>
              <w:t>rown</w:t>
            </w:r>
            <w:r w:rsidRPr="00BD6C5F">
              <w:rPr>
                <w:rFonts w:asciiTheme="minorHAnsi" w:hAnsiTheme="minorHAnsi" w:cstheme="minorHAnsi"/>
              </w:rPr>
              <w:t xml:space="preserve"> Body in relation to such Act;</w:t>
            </w:r>
          </w:p>
        </w:tc>
      </w:tr>
      <w:tr w:rsidR="00920899" w:rsidRPr="00BD6C5F" w14:paraId="3FA313C2" w14:textId="77777777" w:rsidTr="00A64142">
        <w:trPr>
          <w:gridBefore w:val="1"/>
          <w:gridAfter w:val="1"/>
          <w:wBefore w:w="10" w:type="dxa"/>
          <w:wAfter w:w="32" w:type="dxa"/>
          <w:trHeight w:val="20"/>
        </w:trPr>
        <w:tc>
          <w:tcPr>
            <w:tcW w:w="3532" w:type="dxa"/>
          </w:tcPr>
          <w:p w14:paraId="3BCD9F70" w14:textId="76D6BD0A" w:rsidR="00920899" w:rsidRPr="00BD6C5F" w:rsidRDefault="00920899" w:rsidP="00920899">
            <w:pPr>
              <w:pStyle w:val="Tabletext"/>
              <w:rPr>
                <w:b/>
                <w:bCs/>
              </w:rPr>
            </w:pPr>
            <w:r w:rsidRPr="00BD6C5F">
              <w:rPr>
                <w:b/>
                <w:bCs/>
              </w:rPr>
              <w:t>“Force Majeure Event”</w:t>
            </w:r>
          </w:p>
        </w:tc>
        <w:tc>
          <w:tcPr>
            <w:tcW w:w="5954" w:type="dxa"/>
          </w:tcPr>
          <w:p w14:paraId="5A6A6B4B" w14:textId="3B61D06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any event outside the reasonable control of either Party affecting its performance of its obligations under this Contract arising from acts, events, omissions, happenings or non- happenings beyond its reasonable control and which are not attributable to any wilful act, neglect or failure to take reasonable preventative action by that Party, including riots, war or armed </w:t>
            </w:r>
            <w:r w:rsidRPr="00BD6C5F">
              <w:rPr>
                <w:rFonts w:asciiTheme="minorHAnsi" w:hAnsiTheme="minorHAnsi" w:cstheme="minorHAnsi"/>
              </w:rPr>
              <w:lastRenderedPageBreak/>
              <w:t>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rsidR="00920899" w:rsidRPr="00BD6C5F" w14:paraId="5ACB4A66" w14:textId="77777777" w:rsidTr="00A64142">
        <w:trPr>
          <w:gridBefore w:val="1"/>
          <w:gridAfter w:val="1"/>
          <w:wBefore w:w="10" w:type="dxa"/>
          <w:wAfter w:w="32" w:type="dxa"/>
          <w:trHeight w:val="20"/>
        </w:trPr>
        <w:tc>
          <w:tcPr>
            <w:tcW w:w="3532" w:type="dxa"/>
          </w:tcPr>
          <w:p w14:paraId="6E39C873" w14:textId="538F558A" w:rsidR="00920899" w:rsidRPr="00BD6C5F" w:rsidRDefault="00920899" w:rsidP="00920899">
            <w:pPr>
              <w:pStyle w:val="Tabletext"/>
              <w:rPr>
                <w:b/>
                <w:bCs/>
              </w:rPr>
            </w:pPr>
            <w:r w:rsidRPr="00BD6C5F">
              <w:rPr>
                <w:b/>
                <w:bCs/>
              </w:rPr>
              <w:lastRenderedPageBreak/>
              <w:t>“Force Majeure Notice”</w:t>
            </w:r>
          </w:p>
        </w:tc>
        <w:tc>
          <w:tcPr>
            <w:tcW w:w="5954" w:type="dxa"/>
          </w:tcPr>
          <w:p w14:paraId="39CBCEDA"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written notice served by the Affected Party on the other Party stating that the Affected Party believes that there is a Force Majeure Event;</w:t>
            </w:r>
          </w:p>
        </w:tc>
      </w:tr>
      <w:tr w:rsidR="00920899" w:rsidRPr="00BD6C5F" w14:paraId="13827DC4" w14:textId="77777777" w:rsidTr="00A64142">
        <w:trPr>
          <w:gridBefore w:val="1"/>
          <w:gridAfter w:val="1"/>
          <w:wBefore w:w="10" w:type="dxa"/>
          <w:wAfter w:w="32" w:type="dxa"/>
          <w:trHeight w:val="20"/>
        </w:trPr>
        <w:tc>
          <w:tcPr>
            <w:tcW w:w="3532" w:type="dxa"/>
          </w:tcPr>
          <w:p w14:paraId="43F216A7" w14:textId="1879D3C9" w:rsidR="00920899" w:rsidRPr="00BD6C5F" w:rsidRDefault="00920899" w:rsidP="00920899">
            <w:pPr>
              <w:pStyle w:val="Tabletext"/>
              <w:rPr>
                <w:b/>
                <w:bCs/>
              </w:rPr>
            </w:pPr>
            <w:r w:rsidRPr="00BD6C5F">
              <w:rPr>
                <w:b/>
                <w:bCs/>
              </w:rPr>
              <w:t>“Former Supplier”</w:t>
            </w:r>
          </w:p>
        </w:tc>
        <w:tc>
          <w:tcPr>
            <w:tcW w:w="5954" w:type="dxa"/>
          </w:tcPr>
          <w:p w14:paraId="395BD837" w14:textId="2A894D8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5A048E58" w14:textId="77777777" w:rsidTr="00A64142">
        <w:trPr>
          <w:gridBefore w:val="1"/>
          <w:gridAfter w:val="1"/>
          <w:wBefore w:w="10" w:type="dxa"/>
          <w:wAfter w:w="32" w:type="dxa"/>
          <w:trHeight w:val="20"/>
        </w:trPr>
        <w:tc>
          <w:tcPr>
            <w:tcW w:w="3532" w:type="dxa"/>
          </w:tcPr>
          <w:p w14:paraId="6B9E7736" w14:textId="2C56E361" w:rsidR="00920899" w:rsidRPr="00BD6C5F" w:rsidRDefault="00920899" w:rsidP="00920899">
            <w:pPr>
              <w:pStyle w:val="Tabletext"/>
              <w:rPr>
                <w:b/>
                <w:bCs/>
              </w:rPr>
            </w:pPr>
            <w:r w:rsidRPr="00BD6C5F">
              <w:rPr>
                <w:b/>
                <w:bCs/>
              </w:rPr>
              <w:t>“General Anti-Abuse Rule”</w:t>
            </w:r>
          </w:p>
        </w:tc>
        <w:tc>
          <w:tcPr>
            <w:tcW w:w="5954" w:type="dxa"/>
          </w:tcPr>
          <w:p w14:paraId="70A6B0E1" w14:textId="77777777" w:rsidR="00920899" w:rsidRPr="00BD6C5F" w:rsidRDefault="00920899" w:rsidP="00920899">
            <w:pPr>
              <w:pStyle w:val="Tablea"/>
            </w:pPr>
            <w:r w:rsidRPr="00BD6C5F">
              <w:t>the legislation in Part 5 of the Finance Act 2013; and</w:t>
            </w:r>
          </w:p>
          <w:p w14:paraId="3950561E" w14:textId="45DCA3E5" w:rsidR="00920899" w:rsidRPr="00BD6C5F" w:rsidRDefault="00920899" w:rsidP="00920899">
            <w:pPr>
              <w:pStyle w:val="Tablea"/>
            </w:pPr>
            <w:r w:rsidRPr="00BD6C5F">
              <w:t>any future legislation introduced into Parliament or the Scottish Parliament to counteract tax advantages arising from abusive arrangements to avoid national insurance contributions;</w:t>
            </w:r>
          </w:p>
        </w:tc>
      </w:tr>
      <w:tr w:rsidR="00920899" w:rsidRPr="00BD6C5F" w14:paraId="7A1CEDC2" w14:textId="77777777" w:rsidTr="00A64142">
        <w:trPr>
          <w:gridBefore w:val="1"/>
          <w:gridAfter w:val="1"/>
          <w:wBefore w:w="10" w:type="dxa"/>
          <w:wAfter w:w="32" w:type="dxa"/>
          <w:trHeight w:val="20"/>
        </w:trPr>
        <w:tc>
          <w:tcPr>
            <w:tcW w:w="3532" w:type="dxa"/>
          </w:tcPr>
          <w:p w14:paraId="454D7259" w14:textId="6715370A" w:rsidR="00920899" w:rsidRPr="00BD6C5F" w:rsidRDefault="00920899" w:rsidP="00920899">
            <w:pPr>
              <w:pStyle w:val="Tabletext"/>
              <w:rPr>
                <w:b/>
                <w:bCs/>
              </w:rPr>
            </w:pPr>
            <w:r w:rsidRPr="00BD6C5F">
              <w:rPr>
                <w:b/>
                <w:bCs/>
              </w:rPr>
              <w:t>“General Change in Law”</w:t>
            </w:r>
          </w:p>
        </w:tc>
        <w:tc>
          <w:tcPr>
            <w:tcW w:w="5954" w:type="dxa"/>
          </w:tcPr>
          <w:p w14:paraId="47288FA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Change in Law where the change is of a general legislative nature (including taxation or duties of any sort affecting the Supplier) or which affects or relates to a Comparable Supply;</w:t>
            </w:r>
          </w:p>
        </w:tc>
      </w:tr>
      <w:tr w:rsidR="00920899" w:rsidRPr="00BD6C5F" w14:paraId="6A0EF8D4" w14:textId="77777777" w:rsidTr="00A64142">
        <w:trPr>
          <w:gridBefore w:val="1"/>
          <w:gridAfter w:val="1"/>
          <w:wBefore w:w="10" w:type="dxa"/>
          <w:wAfter w:w="32" w:type="dxa"/>
          <w:trHeight w:val="20"/>
        </w:trPr>
        <w:tc>
          <w:tcPr>
            <w:tcW w:w="3532" w:type="dxa"/>
          </w:tcPr>
          <w:p w14:paraId="42DA2CBA" w14:textId="6C572EE2" w:rsidR="00920899" w:rsidRPr="00BD6C5F" w:rsidRDefault="00920899" w:rsidP="00920899">
            <w:pPr>
              <w:pStyle w:val="Tabletext"/>
              <w:rPr>
                <w:b/>
                <w:bCs/>
              </w:rPr>
            </w:pPr>
            <w:r w:rsidRPr="00BD6C5F">
              <w:rPr>
                <w:b/>
                <w:bCs/>
              </w:rPr>
              <w:t>“Good Industry Practice”</w:t>
            </w:r>
          </w:p>
        </w:tc>
        <w:tc>
          <w:tcPr>
            <w:tcW w:w="5954" w:type="dxa"/>
          </w:tcPr>
          <w:p w14:paraId="46F2C226"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920899" w:rsidRPr="00BD6C5F" w14:paraId="53E6AD26" w14:textId="77777777" w:rsidTr="00A64142">
        <w:trPr>
          <w:gridBefore w:val="1"/>
          <w:gridAfter w:val="1"/>
          <w:wBefore w:w="10" w:type="dxa"/>
          <w:wAfter w:w="32" w:type="dxa"/>
          <w:trHeight w:val="20"/>
        </w:trPr>
        <w:tc>
          <w:tcPr>
            <w:tcW w:w="3532" w:type="dxa"/>
          </w:tcPr>
          <w:p w14:paraId="5B6CD2BA" w14:textId="7DF4BF42" w:rsidR="00920899" w:rsidRPr="00BD6C5F" w:rsidRDefault="00920899" w:rsidP="00920899">
            <w:pPr>
              <w:pStyle w:val="Tabletext"/>
              <w:rPr>
                <w:b/>
                <w:bCs/>
              </w:rPr>
            </w:pPr>
            <w:r w:rsidRPr="00BD6C5F">
              <w:rPr>
                <w:b/>
                <w:bCs/>
              </w:rPr>
              <w:t>“Goods”</w:t>
            </w:r>
          </w:p>
        </w:tc>
        <w:tc>
          <w:tcPr>
            <w:tcW w:w="5954" w:type="dxa"/>
          </w:tcPr>
          <w:p w14:paraId="78DD111E" w14:textId="04C2AA6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9.7 (</w:t>
            </w:r>
            <w:r w:rsidRPr="00BD6C5F">
              <w:rPr>
                <w:rFonts w:asciiTheme="minorHAnsi" w:hAnsiTheme="minorHAnsi" w:cstheme="minorHAnsi"/>
                <w:i/>
              </w:rPr>
              <w:t>Supply of Goods</w:t>
            </w:r>
            <w:r w:rsidRPr="00BD6C5F">
              <w:rPr>
                <w:rFonts w:asciiTheme="minorHAnsi" w:hAnsiTheme="minorHAnsi" w:cstheme="minorHAnsi"/>
              </w:rPr>
              <w:t>);</w:t>
            </w:r>
          </w:p>
        </w:tc>
      </w:tr>
      <w:tr w:rsidR="00920899" w:rsidRPr="00BD6C5F" w14:paraId="5C8025BE" w14:textId="77777777" w:rsidTr="00A64142">
        <w:trPr>
          <w:gridBefore w:val="1"/>
          <w:gridAfter w:val="1"/>
          <w:wBefore w:w="10" w:type="dxa"/>
          <w:wAfter w:w="32" w:type="dxa"/>
          <w:trHeight w:val="20"/>
        </w:trPr>
        <w:tc>
          <w:tcPr>
            <w:tcW w:w="3532" w:type="dxa"/>
          </w:tcPr>
          <w:p w14:paraId="4F3D5D5E" w14:textId="68CC9BCB" w:rsidR="00920899" w:rsidRPr="00BD6C5F" w:rsidRDefault="00920899" w:rsidP="00920899">
            <w:pPr>
              <w:pStyle w:val="Tabletext"/>
              <w:rPr>
                <w:b/>
                <w:bCs/>
              </w:rPr>
            </w:pPr>
            <w:r w:rsidRPr="00BD6C5F">
              <w:rPr>
                <w:b/>
                <w:bCs/>
              </w:rPr>
              <w:t>“Guarantee”</w:t>
            </w:r>
          </w:p>
        </w:tc>
        <w:tc>
          <w:tcPr>
            <w:tcW w:w="5954" w:type="dxa"/>
          </w:tcPr>
          <w:p w14:paraId="0033C102" w14:textId="33B6901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guarantee agreement in favour of the Authority entered into by the Guarantor on or about the date of this Contract (which is in the form set out in Schedule </w:t>
            </w:r>
            <w:r>
              <w:rPr>
                <w:rFonts w:asciiTheme="minorHAnsi" w:hAnsiTheme="minorHAnsi" w:cstheme="minorHAnsi"/>
              </w:rPr>
              <w:fldChar w:fldCharType="begin"/>
            </w:r>
            <w:r>
              <w:rPr>
                <w:rFonts w:asciiTheme="minorHAnsi" w:hAnsiTheme="minorHAnsi" w:cstheme="minorHAnsi"/>
              </w:rPr>
              <w:instrText xml:space="preserve"> REF Schedule_10 \h </w:instrText>
            </w:r>
            <w:r>
              <w:rPr>
                <w:rFonts w:asciiTheme="minorHAnsi" w:hAnsiTheme="minorHAnsi" w:cstheme="minorHAnsi"/>
              </w:rPr>
            </w:r>
            <w:r>
              <w:rPr>
                <w:rFonts w:asciiTheme="minorHAnsi" w:hAnsiTheme="minorHAnsi" w:cstheme="minorHAnsi"/>
              </w:rPr>
              <w:fldChar w:fldCharType="separate"/>
            </w:r>
            <w:r w:rsidR="009749A0">
              <w:t>10</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Guarantee</w:t>
            </w:r>
            <w:r w:rsidRPr="00BD6C5F">
              <w:rPr>
                <w:rFonts w:asciiTheme="minorHAnsi" w:hAnsiTheme="minorHAnsi" w:cstheme="minorHAnsi"/>
              </w:rPr>
              <w:t>)), or any guarantee acceptable to the Authority that replaces it from time to time;</w:t>
            </w:r>
          </w:p>
        </w:tc>
      </w:tr>
      <w:tr w:rsidR="00920899" w:rsidRPr="00BD6C5F" w14:paraId="377E0BE7" w14:textId="77777777" w:rsidTr="00A64142">
        <w:trPr>
          <w:gridBefore w:val="1"/>
          <w:gridAfter w:val="1"/>
          <w:wBefore w:w="10" w:type="dxa"/>
          <w:wAfter w:w="32" w:type="dxa"/>
          <w:trHeight w:val="20"/>
        </w:trPr>
        <w:tc>
          <w:tcPr>
            <w:tcW w:w="3532" w:type="dxa"/>
          </w:tcPr>
          <w:p w14:paraId="3B34D6D2" w14:textId="32670F61" w:rsidR="00920899" w:rsidRPr="00BD6C5F" w:rsidRDefault="00920899" w:rsidP="00920899">
            <w:pPr>
              <w:pStyle w:val="Tabletext"/>
              <w:rPr>
                <w:b/>
                <w:bCs/>
              </w:rPr>
            </w:pPr>
            <w:r w:rsidRPr="00BD6C5F">
              <w:rPr>
                <w:b/>
                <w:bCs/>
              </w:rPr>
              <w:t>“Guarantor”</w:t>
            </w:r>
          </w:p>
        </w:tc>
        <w:tc>
          <w:tcPr>
            <w:tcW w:w="5954" w:type="dxa"/>
          </w:tcPr>
          <w:p w14:paraId="7522149F" w14:textId="7904A0F6" w:rsidR="00920899" w:rsidRPr="006D1202" w:rsidRDefault="00920899" w:rsidP="00920899">
            <w:pPr>
              <w:pStyle w:val="Tabletext"/>
              <w:rPr>
                <w:rFonts w:asciiTheme="minorHAnsi" w:hAnsiTheme="minorHAnsi" w:cstheme="minorHAnsi"/>
              </w:rPr>
            </w:pPr>
            <w:r w:rsidRPr="006D1202">
              <w:rPr>
                <w:rFonts w:asciiTheme="minorHAnsi" w:hAnsiTheme="minorHAnsi" w:cstheme="minorHAnsi"/>
                <w:highlight w:val="yellow"/>
              </w:rPr>
              <w:t>[</w:t>
            </w:r>
            <w:r w:rsidRPr="00D54B83">
              <w:rPr>
                <w:rFonts w:asciiTheme="minorHAnsi" w:hAnsiTheme="minorHAnsi" w:cstheme="minorHAnsi"/>
                <w:b/>
                <w:bCs/>
                <w:highlight w:val="yellow"/>
              </w:rPr>
              <w:t>insert</w:t>
            </w:r>
            <w:r w:rsidRPr="006D1202">
              <w:rPr>
                <w:rFonts w:asciiTheme="minorHAnsi" w:hAnsiTheme="minorHAnsi" w:cstheme="minorHAnsi"/>
                <w:highlight w:val="yellow"/>
              </w:rPr>
              <w:t xml:space="preserve"> name]</w:t>
            </w:r>
            <w:r w:rsidRPr="006D1202">
              <w:rPr>
                <w:rFonts w:asciiTheme="minorHAnsi" w:hAnsiTheme="minorHAnsi" w:cstheme="minorHAnsi"/>
              </w:rPr>
              <w:t xml:space="preserve">, a company registered in </w:t>
            </w:r>
            <w:r w:rsidRPr="006D1202">
              <w:rPr>
                <w:rFonts w:asciiTheme="minorHAnsi" w:hAnsiTheme="minorHAnsi" w:cstheme="minorHAnsi"/>
                <w:highlight w:val="yellow"/>
              </w:rPr>
              <w:t>[</w:t>
            </w:r>
            <w:r w:rsidRPr="00D54B83">
              <w:rPr>
                <w:rFonts w:asciiTheme="minorHAnsi" w:hAnsiTheme="minorHAnsi" w:cstheme="minorHAnsi"/>
                <w:b/>
                <w:bCs/>
                <w:highlight w:val="yellow"/>
              </w:rPr>
              <w:t>insert</w:t>
            </w:r>
            <w:r w:rsidRPr="006D1202">
              <w:rPr>
                <w:rFonts w:asciiTheme="minorHAnsi" w:hAnsiTheme="minorHAnsi" w:cstheme="minorHAnsi"/>
                <w:highlight w:val="yellow"/>
              </w:rPr>
              <w:t xml:space="preserve"> country]</w:t>
            </w:r>
            <w:r w:rsidRPr="006D1202">
              <w:rPr>
                <w:rFonts w:asciiTheme="minorHAnsi" w:hAnsiTheme="minorHAnsi" w:cstheme="minorHAnsi"/>
              </w:rPr>
              <w:t xml:space="preserve"> with company number </w:t>
            </w:r>
            <w:r w:rsidRPr="006D1202">
              <w:rPr>
                <w:rFonts w:asciiTheme="minorHAnsi" w:hAnsiTheme="minorHAnsi" w:cstheme="minorHAnsi"/>
                <w:highlight w:val="yellow"/>
              </w:rPr>
              <w:t>[</w:t>
            </w:r>
            <w:r w:rsidRPr="00D54B83">
              <w:rPr>
                <w:rFonts w:asciiTheme="minorHAnsi" w:hAnsiTheme="minorHAnsi" w:cstheme="minorHAnsi"/>
                <w:b/>
                <w:bCs/>
                <w:highlight w:val="yellow"/>
              </w:rPr>
              <w:t>insert</w:t>
            </w:r>
            <w:r w:rsidRPr="006D1202">
              <w:rPr>
                <w:rFonts w:asciiTheme="minorHAnsi" w:hAnsiTheme="minorHAnsi" w:cstheme="minorHAnsi"/>
                <w:highlight w:val="yellow"/>
              </w:rPr>
              <w:t xml:space="preserve"> company number]</w:t>
            </w:r>
            <w:r w:rsidRPr="006D1202">
              <w:rPr>
                <w:rFonts w:asciiTheme="minorHAnsi" w:hAnsiTheme="minorHAnsi" w:cstheme="minorHAnsi"/>
              </w:rPr>
              <w:t xml:space="preserve"> and whose registered office is at </w:t>
            </w:r>
            <w:r w:rsidRPr="006D1202">
              <w:rPr>
                <w:rFonts w:asciiTheme="minorHAnsi" w:hAnsiTheme="minorHAnsi" w:cstheme="minorHAnsi"/>
                <w:highlight w:val="yellow"/>
              </w:rPr>
              <w:t>[</w:t>
            </w:r>
            <w:r w:rsidRPr="00D54B83">
              <w:rPr>
                <w:rFonts w:asciiTheme="minorHAnsi" w:hAnsiTheme="minorHAnsi" w:cstheme="minorHAnsi"/>
                <w:b/>
                <w:bCs/>
                <w:highlight w:val="yellow"/>
              </w:rPr>
              <w:t>insert</w:t>
            </w:r>
            <w:r w:rsidRPr="006D1202">
              <w:rPr>
                <w:rFonts w:asciiTheme="minorHAnsi" w:hAnsiTheme="minorHAnsi" w:cstheme="minorHAnsi"/>
                <w:highlight w:val="yellow"/>
              </w:rPr>
              <w:t xml:space="preserve"> registered address]</w:t>
            </w:r>
            <w:r w:rsidRPr="006D1202">
              <w:rPr>
                <w:rFonts w:asciiTheme="minorHAnsi" w:hAnsiTheme="minorHAnsi" w:cstheme="minorHAnsi"/>
              </w:rPr>
              <w:t>;</w:t>
            </w:r>
          </w:p>
        </w:tc>
      </w:tr>
      <w:tr w:rsidR="00920899" w:rsidRPr="00BD6C5F" w14:paraId="0C800EB7" w14:textId="77777777" w:rsidTr="00A64142">
        <w:trPr>
          <w:gridBefore w:val="1"/>
          <w:gridAfter w:val="1"/>
          <w:wBefore w:w="10" w:type="dxa"/>
          <w:wAfter w:w="32" w:type="dxa"/>
          <w:trHeight w:val="20"/>
        </w:trPr>
        <w:tc>
          <w:tcPr>
            <w:tcW w:w="3532" w:type="dxa"/>
          </w:tcPr>
          <w:p w14:paraId="799B655F" w14:textId="4EA0A991" w:rsidR="00920899" w:rsidRPr="00BD6C5F" w:rsidRDefault="00920899" w:rsidP="00920899">
            <w:pPr>
              <w:pStyle w:val="Tabletext"/>
              <w:rPr>
                <w:b/>
                <w:bCs/>
              </w:rPr>
            </w:pPr>
            <w:r w:rsidRPr="00BD6C5F">
              <w:rPr>
                <w:b/>
                <w:bCs/>
              </w:rPr>
              <w:t>“Halifax Abuse Principle”</w:t>
            </w:r>
          </w:p>
        </w:tc>
        <w:tc>
          <w:tcPr>
            <w:tcW w:w="5954" w:type="dxa"/>
          </w:tcPr>
          <w:p w14:paraId="598CE027"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principle explained in the CJEU Case C- 255/02 </w:t>
            </w:r>
            <w:r w:rsidRPr="00BD6C5F">
              <w:rPr>
                <w:rFonts w:asciiTheme="minorHAnsi" w:hAnsiTheme="minorHAnsi" w:cstheme="minorHAnsi"/>
              </w:rPr>
              <w:lastRenderedPageBreak/>
              <w:t>Halifax and others;</w:t>
            </w:r>
          </w:p>
        </w:tc>
      </w:tr>
      <w:tr w:rsidR="00920899" w:rsidRPr="00BD6C5F" w14:paraId="29BCCC19" w14:textId="77777777" w:rsidTr="00A64142">
        <w:trPr>
          <w:gridBefore w:val="1"/>
          <w:gridAfter w:val="1"/>
          <w:wBefore w:w="10" w:type="dxa"/>
          <w:wAfter w:w="32" w:type="dxa"/>
          <w:trHeight w:val="20"/>
        </w:trPr>
        <w:tc>
          <w:tcPr>
            <w:tcW w:w="3532" w:type="dxa"/>
          </w:tcPr>
          <w:p w14:paraId="27C12E17" w14:textId="63453246" w:rsidR="00920899" w:rsidRPr="00BD6C5F" w:rsidRDefault="00920899" w:rsidP="00920899">
            <w:pPr>
              <w:pStyle w:val="Tabletext"/>
              <w:rPr>
                <w:b/>
                <w:bCs/>
              </w:rPr>
            </w:pPr>
            <w:r w:rsidRPr="00BD6C5F">
              <w:rPr>
                <w:b/>
                <w:bCs/>
              </w:rPr>
              <w:lastRenderedPageBreak/>
              <w:t>“Health and Safety Policy”</w:t>
            </w:r>
          </w:p>
        </w:tc>
        <w:tc>
          <w:tcPr>
            <w:tcW w:w="5954" w:type="dxa"/>
          </w:tcPr>
          <w:p w14:paraId="01475CB9" w14:textId="7BBAFEA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health and safety policy of the Authority and/or other relevant C</w:t>
            </w:r>
            <w:r>
              <w:rPr>
                <w:rFonts w:asciiTheme="minorHAnsi" w:hAnsiTheme="minorHAnsi" w:cstheme="minorHAnsi"/>
              </w:rPr>
              <w:t>rown</w:t>
            </w:r>
            <w:r w:rsidRPr="00BD6C5F">
              <w:rPr>
                <w:rFonts w:asciiTheme="minorHAnsi" w:hAnsiTheme="minorHAnsi" w:cstheme="minorHAnsi"/>
              </w:rPr>
              <w:t xml:space="preserve">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920899" w:rsidRPr="00BD6C5F" w14:paraId="16240382" w14:textId="77777777" w:rsidTr="00A64142">
        <w:trPr>
          <w:gridBefore w:val="1"/>
          <w:gridAfter w:val="1"/>
          <w:wBefore w:w="10" w:type="dxa"/>
          <w:wAfter w:w="32" w:type="dxa"/>
          <w:trHeight w:val="20"/>
        </w:trPr>
        <w:tc>
          <w:tcPr>
            <w:tcW w:w="3532" w:type="dxa"/>
          </w:tcPr>
          <w:p w14:paraId="548C76CE" w14:textId="2EB4157D" w:rsidR="00920899" w:rsidRPr="00BD6C5F" w:rsidRDefault="00920899" w:rsidP="00920899">
            <w:pPr>
              <w:pStyle w:val="Tabletext"/>
              <w:rPr>
                <w:b/>
                <w:bCs/>
              </w:rPr>
            </w:pPr>
            <w:r w:rsidRPr="00BD6C5F">
              <w:rPr>
                <w:b/>
                <w:bCs/>
              </w:rPr>
              <w:t>“HMRC”</w:t>
            </w:r>
          </w:p>
        </w:tc>
        <w:tc>
          <w:tcPr>
            <w:tcW w:w="5954" w:type="dxa"/>
          </w:tcPr>
          <w:p w14:paraId="2BB692A1"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HM Revenue &amp; Customs;</w:t>
            </w:r>
          </w:p>
        </w:tc>
      </w:tr>
      <w:tr w:rsidR="00920899" w:rsidRPr="00BD6C5F" w14:paraId="45377F29" w14:textId="77777777" w:rsidTr="00A64142">
        <w:trPr>
          <w:gridBefore w:val="1"/>
          <w:gridAfter w:val="1"/>
          <w:wBefore w:w="10" w:type="dxa"/>
          <w:wAfter w:w="32" w:type="dxa"/>
          <w:trHeight w:val="20"/>
        </w:trPr>
        <w:tc>
          <w:tcPr>
            <w:tcW w:w="3532" w:type="dxa"/>
          </w:tcPr>
          <w:p w14:paraId="7EA73D9B" w14:textId="0F038059" w:rsidR="00920899" w:rsidRPr="00BD6C5F" w:rsidRDefault="00920899" w:rsidP="00920899">
            <w:pPr>
              <w:pStyle w:val="Tabletext"/>
              <w:rPr>
                <w:b/>
                <w:bCs/>
              </w:rPr>
            </w:pPr>
            <w:r w:rsidRPr="00BD6C5F">
              <w:rPr>
                <w:b/>
                <w:bCs/>
              </w:rPr>
              <w:t>“Impact Assessment”</w:t>
            </w:r>
          </w:p>
        </w:tc>
        <w:tc>
          <w:tcPr>
            <w:tcW w:w="5954" w:type="dxa"/>
          </w:tcPr>
          <w:p w14:paraId="70F36A07" w14:textId="7DAAC8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Schedule_22 \h </w:instrText>
            </w:r>
            <w:r>
              <w:rPr>
                <w:rFonts w:asciiTheme="minorHAnsi" w:hAnsiTheme="minorHAnsi" w:cstheme="minorHAnsi"/>
              </w:rPr>
            </w:r>
            <w:r>
              <w:rPr>
                <w:rFonts w:asciiTheme="minorHAnsi" w:hAnsiTheme="minorHAnsi" w:cstheme="minorHAnsi"/>
              </w:rPr>
              <w:fldChar w:fldCharType="separate"/>
            </w:r>
            <w:r w:rsidR="009749A0">
              <w:t>22</w:t>
            </w:r>
            <w:r>
              <w:rPr>
                <w:rFonts w:asciiTheme="minorHAnsi" w:hAnsiTheme="minorHAnsi" w:cstheme="minorHAnsi"/>
              </w:rPr>
              <w:fldChar w:fldCharType="end"/>
            </w:r>
            <w:r w:rsidRPr="00BD6C5F">
              <w:rPr>
                <w:rFonts w:asciiTheme="minorHAnsi" w:hAnsiTheme="minorHAnsi" w:cstheme="minorHAnsi"/>
              </w:rPr>
              <w:t xml:space="preserve"> (Change</w:t>
            </w:r>
            <w:r w:rsidRPr="00BD6C5F">
              <w:rPr>
                <w:rFonts w:asciiTheme="minorHAnsi" w:hAnsiTheme="minorHAnsi" w:cstheme="minorHAnsi"/>
                <w:i/>
              </w:rPr>
              <w:t xml:space="preserve"> Control Procedure</w:t>
            </w:r>
            <w:r w:rsidRPr="00BD6C5F">
              <w:rPr>
                <w:rFonts w:asciiTheme="minorHAnsi" w:hAnsiTheme="minorHAnsi" w:cstheme="minorHAnsi"/>
              </w:rPr>
              <w:t>);</w:t>
            </w:r>
          </w:p>
        </w:tc>
      </w:tr>
      <w:tr w:rsidR="00920899" w:rsidRPr="00BD6C5F" w14:paraId="737A7D31" w14:textId="77777777" w:rsidTr="00A64142">
        <w:trPr>
          <w:gridBefore w:val="1"/>
          <w:gridAfter w:val="1"/>
          <w:wBefore w:w="10" w:type="dxa"/>
          <w:wAfter w:w="32" w:type="dxa"/>
          <w:trHeight w:val="20"/>
        </w:trPr>
        <w:tc>
          <w:tcPr>
            <w:tcW w:w="3532" w:type="dxa"/>
          </w:tcPr>
          <w:p w14:paraId="7D162208" w14:textId="638CDC63" w:rsidR="00920899" w:rsidRPr="00BD6C5F" w:rsidRDefault="00920899" w:rsidP="00920899">
            <w:pPr>
              <w:pStyle w:val="Tabletext"/>
              <w:rPr>
                <w:b/>
                <w:bCs/>
              </w:rPr>
            </w:pPr>
            <w:r w:rsidRPr="00BD6C5F">
              <w:rPr>
                <w:b/>
                <w:bCs/>
              </w:rPr>
              <w:t>“Implementation Plan”</w:t>
            </w:r>
          </w:p>
        </w:tc>
        <w:tc>
          <w:tcPr>
            <w:tcW w:w="5954" w:type="dxa"/>
          </w:tcPr>
          <w:p w14:paraId="55247A73" w14:textId="3015DF9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Outline Implementation Plan or (if and when approved by the Authority pursuant to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_Ref98257827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3</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Schedule_13 \h </w:instrText>
            </w:r>
            <w:r>
              <w:rPr>
                <w:rFonts w:asciiTheme="minorHAnsi" w:hAnsiTheme="minorHAnsi" w:cstheme="minorHAnsi"/>
              </w:rPr>
            </w:r>
            <w:r>
              <w:rPr>
                <w:rFonts w:asciiTheme="minorHAnsi" w:hAnsiTheme="minorHAnsi" w:cstheme="minorHAnsi"/>
              </w:rPr>
              <w:fldChar w:fldCharType="separate"/>
            </w:r>
            <w:r w:rsidR="009749A0">
              <w:t>13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Implementation Plan</w:t>
            </w:r>
            <w:r w:rsidRPr="00BD6C5F">
              <w:rPr>
                <w:rFonts w:asciiTheme="minorHAnsi" w:hAnsiTheme="minorHAnsi" w:cstheme="minorHAnsi"/>
              </w:rPr>
              <w:t xml:space="preserve">)) the Detailed Implementation Plan as updated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_Ref98257865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Schedule_13 \h </w:instrText>
            </w:r>
            <w:r>
              <w:rPr>
                <w:rFonts w:asciiTheme="minorHAnsi" w:hAnsiTheme="minorHAnsi" w:cstheme="minorHAnsi"/>
              </w:rPr>
            </w:r>
            <w:r>
              <w:rPr>
                <w:rFonts w:asciiTheme="minorHAnsi" w:hAnsiTheme="minorHAnsi" w:cstheme="minorHAnsi"/>
              </w:rPr>
              <w:fldChar w:fldCharType="separate"/>
            </w:r>
            <w:r w:rsidR="009749A0">
              <w:t>13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Implementation Plan</w:t>
            </w:r>
            <w:r w:rsidRPr="00BD6C5F">
              <w:rPr>
                <w:rFonts w:asciiTheme="minorHAnsi" w:hAnsiTheme="minorHAnsi" w:cstheme="minorHAnsi"/>
              </w:rPr>
              <w:t>) from time to time;</w:t>
            </w:r>
          </w:p>
        </w:tc>
      </w:tr>
      <w:tr w:rsidR="00920899" w:rsidRPr="00BD6C5F" w14:paraId="3D9EABD3" w14:textId="77777777" w:rsidTr="00A64142">
        <w:trPr>
          <w:gridBefore w:val="1"/>
          <w:gridAfter w:val="1"/>
          <w:wBefore w:w="10" w:type="dxa"/>
          <w:wAfter w:w="32" w:type="dxa"/>
          <w:trHeight w:val="20"/>
        </w:trPr>
        <w:tc>
          <w:tcPr>
            <w:tcW w:w="3532" w:type="dxa"/>
          </w:tcPr>
          <w:p w14:paraId="3D21C4D3" w14:textId="6991CBC9" w:rsidR="00920899" w:rsidRPr="00BD6C5F" w:rsidRDefault="00920899" w:rsidP="00920899">
            <w:pPr>
              <w:pStyle w:val="Tabletext"/>
              <w:rPr>
                <w:b/>
                <w:bCs/>
              </w:rPr>
            </w:pPr>
            <w:r w:rsidRPr="00BD6C5F">
              <w:rPr>
                <w:b/>
                <w:bCs/>
              </w:rPr>
              <w:t>“Implementation Services”</w:t>
            </w:r>
          </w:p>
        </w:tc>
        <w:tc>
          <w:tcPr>
            <w:tcW w:w="5954" w:type="dxa"/>
          </w:tcPr>
          <w:p w14:paraId="5388AE97"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implementation services described as such in the Services Description;</w:t>
            </w:r>
          </w:p>
        </w:tc>
      </w:tr>
      <w:tr w:rsidR="00920899" w:rsidRPr="00BD6C5F" w14:paraId="28A761E6" w14:textId="77777777" w:rsidTr="00A64142">
        <w:trPr>
          <w:gridBefore w:val="1"/>
          <w:gridAfter w:val="1"/>
          <w:wBefore w:w="10" w:type="dxa"/>
          <w:wAfter w:w="32" w:type="dxa"/>
          <w:trHeight w:val="20"/>
        </w:trPr>
        <w:tc>
          <w:tcPr>
            <w:tcW w:w="3532" w:type="dxa"/>
          </w:tcPr>
          <w:p w14:paraId="0B3296BF" w14:textId="1A643B03" w:rsidR="00920899" w:rsidRPr="00BD6C5F" w:rsidRDefault="00920899" w:rsidP="00920899">
            <w:pPr>
              <w:pStyle w:val="Tabletext"/>
              <w:rPr>
                <w:b/>
                <w:bCs/>
              </w:rPr>
            </w:pPr>
            <w:r w:rsidRPr="00BD6C5F">
              <w:rPr>
                <w:b/>
                <w:bCs/>
              </w:rPr>
              <w:t>“Implementation Services Commencement Date”</w:t>
            </w:r>
          </w:p>
        </w:tc>
        <w:tc>
          <w:tcPr>
            <w:tcW w:w="5954" w:type="dxa"/>
          </w:tcPr>
          <w:p w14:paraId="2ECDCFBD" w14:textId="65B63EA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date on which the Supplier is to commence provision of the first of the Services, b</w:t>
            </w:r>
            <w:r w:rsidRPr="006D1202">
              <w:rPr>
                <w:rFonts w:asciiTheme="minorHAnsi" w:hAnsiTheme="minorHAnsi" w:cstheme="minorHAnsi"/>
              </w:rPr>
              <w:t xml:space="preserve">eing </w:t>
            </w:r>
            <w:r w:rsidRPr="006D1202">
              <w:rPr>
                <w:rFonts w:asciiTheme="minorHAnsi" w:hAnsiTheme="minorHAnsi" w:cstheme="minorHAnsi"/>
                <w:highlight w:val="yellow"/>
              </w:rPr>
              <w:t>[</w:t>
            </w:r>
            <w:r w:rsidRPr="00D54B83">
              <w:rPr>
                <w:rFonts w:asciiTheme="minorHAnsi" w:hAnsiTheme="minorHAnsi" w:cstheme="minorHAnsi"/>
                <w:b/>
                <w:bCs/>
                <w:highlight w:val="yellow"/>
              </w:rPr>
              <w:t>insert</w:t>
            </w:r>
            <w:r w:rsidRPr="006D1202">
              <w:rPr>
                <w:rFonts w:asciiTheme="minorHAnsi" w:hAnsiTheme="minorHAnsi" w:cstheme="minorHAnsi"/>
                <w:highlight w:val="yellow"/>
              </w:rPr>
              <w:t xml:space="preserve"> date]</w:t>
            </w:r>
            <w:r w:rsidRPr="006D1202">
              <w:rPr>
                <w:rFonts w:asciiTheme="minorHAnsi" w:hAnsiTheme="minorHAnsi" w:cstheme="minorHAnsi"/>
              </w:rPr>
              <w:t>;</w:t>
            </w:r>
          </w:p>
        </w:tc>
      </w:tr>
      <w:tr w:rsidR="00920899" w:rsidRPr="00BD6C5F" w14:paraId="04181F98" w14:textId="77777777" w:rsidTr="00A64142">
        <w:trPr>
          <w:gridBefore w:val="1"/>
          <w:gridAfter w:val="1"/>
          <w:wBefore w:w="10" w:type="dxa"/>
          <w:wAfter w:w="32" w:type="dxa"/>
          <w:trHeight w:val="20"/>
        </w:trPr>
        <w:tc>
          <w:tcPr>
            <w:tcW w:w="3532" w:type="dxa"/>
          </w:tcPr>
          <w:p w14:paraId="38637F09" w14:textId="36AE2B61" w:rsidR="00920899" w:rsidRPr="00BD6C5F" w:rsidRDefault="00920899" w:rsidP="00920899">
            <w:pPr>
              <w:pStyle w:val="Tabletext"/>
              <w:rPr>
                <w:b/>
                <w:bCs/>
              </w:rPr>
            </w:pPr>
            <w:r w:rsidRPr="00BD6C5F">
              <w:rPr>
                <w:b/>
                <w:bCs/>
              </w:rPr>
              <w:t>“Indemnified Person”</w:t>
            </w:r>
          </w:p>
        </w:tc>
        <w:tc>
          <w:tcPr>
            <w:tcW w:w="5954" w:type="dxa"/>
          </w:tcPr>
          <w:p w14:paraId="5C0D44E0" w14:textId="304CAFE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Authority and each and every person to whom the Authority (or any direct or indirect sub-licensee of the Authority) sub-licenses, </w:t>
            </w:r>
            <w:r w:rsidR="00BF7B96">
              <w:rPr>
                <w:rFonts w:asciiTheme="minorHAnsi" w:hAnsiTheme="minorHAnsi" w:cstheme="minorHAnsi"/>
              </w:rPr>
              <w:t xml:space="preserve">carries out an </w:t>
            </w:r>
            <w:r w:rsidRPr="00BD6C5F">
              <w:rPr>
                <w:rFonts w:asciiTheme="minorHAnsi" w:hAnsiTheme="minorHAnsi" w:cstheme="minorHAnsi"/>
              </w:rPr>
              <w:t>assign</w:t>
            </w:r>
            <w:r w:rsidR="00BF7B96">
              <w:rPr>
                <w:rFonts w:asciiTheme="minorHAnsi" w:hAnsiTheme="minorHAnsi" w:cstheme="minorHAnsi"/>
              </w:rPr>
              <w:t>ation</w:t>
            </w:r>
            <w:r w:rsidRPr="00BD6C5F">
              <w:rPr>
                <w:rFonts w:asciiTheme="minorHAnsi" w:hAnsiTheme="minorHAnsi" w:cstheme="minorHAnsi"/>
              </w:rPr>
              <w:t xml:space="preserve"> or novates any Relevant IPRs or rights in Relevant IPRs in accordance with this Contract;</w:t>
            </w:r>
          </w:p>
        </w:tc>
      </w:tr>
      <w:tr w:rsidR="00920899" w:rsidRPr="00BD6C5F" w14:paraId="21DB60B1" w14:textId="77777777" w:rsidTr="00A64142">
        <w:trPr>
          <w:gridBefore w:val="1"/>
          <w:gridAfter w:val="1"/>
          <w:wBefore w:w="10" w:type="dxa"/>
          <w:wAfter w:w="32" w:type="dxa"/>
          <w:trHeight w:val="20"/>
        </w:trPr>
        <w:tc>
          <w:tcPr>
            <w:tcW w:w="3532" w:type="dxa"/>
          </w:tcPr>
          <w:p w14:paraId="2C80B202" w14:textId="7302AED6" w:rsidR="00920899" w:rsidRPr="00BD6C5F" w:rsidRDefault="00920899" w:rsidP="00920899">
            <w:pPr>
              <w:pStyle w:val="Tabletext"/>
              <w:rPr>
                <w:b/>
                <w:bCs/>
              </w:rPr>
            </w:pPr>
            <w:r w:rsidRPr="00BD6C5F">
              <w:rPr>
                <w:b/>
                <w:bCs/>
              </w:rPr>
              <w:t>“Independent Controller”</w:t>
            </w:r>
          </w:p>
        </w:tc>
        <w:tc>
          <w:tcPr>
            <w:tcW w:w="5954" w:type="dxa"/>
          </w:tcPr>
          <w:p w14:paraId="6039BB82" w14:textId="21EA85E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party which is Controller of the same Personal Data as the other Party and there is no element of joint control with regards to that Personal Data;</w:t>
            </w:r>
          </w:p>
        </w:tc>
      </w:tr>
      <w:tr w:rsidR="00920899" w:rsidRPr="00BD6C5F" w14:paraId="035DF67C" w14:textId="77777777" w:rsidTr="00A64142">
        <w:trPr>
          <w:gridBefore w:val="1"/>
          <w:gridAfter w:val="1"/>
          <w:wBefore w:w="10" w:type="dxa"/>
          <w:wAfter w:w="32" w:type="dxa"/>
          <w:trHeight w:val="20"/>
        </w:trPr>
        <w:tc>
          <w:tcPr>
            <w:tcW w:w="3532" w:type="dxa"/>
          </w:tcPr>
          <w:p w14:paraId="78192071" w14:textId="3D3233DB" w:rsidR="00920899" w:rsidRPr="00BD6C5F" w:rsidRDefault="00920899" w:rsidP="00920899">
            <w:pPr>
              <w:pStyle w:val="Tabletext"/>
              <w:rPr>
                <w:b/>
                <w:bCs/>
              </w:rPr>
            </w:pPr>
            <w:r w:rsidRPr="00BD6C5F">
              <w:rPr>
                <w:b/>
                <w:bCs/>
              </w:rPr>
              <w:t>“Information”</w:t>
            </w:r>
          </w:p>
        </w:tc>
        <w:tc>
          <w:tcPr>
            <w:tcW w:w="5954" w:type="dxa"/>
          </w:tcPr>
          <w:p w14:paraId="1E858577" w14:textId="2A63023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information of whatever nature, however conveyed and in whatever form, including in writing, orally, by demonstration, electronically and in a tangible, visual or machine-readable medium (including CD-ROM, magnetic and digital form);</w:t>
            </w:r>
          </w:p>
        </w:tc>
      </w:tr>
      <w:tr w:rsidR="00920899" w:rsidRPr="00BD6C5F" w14:paraId="1CEDEC2A" w14:textId="77777777" w:rsidTr="00A64142">
        <w:trPr>
          <w:gridBefore w:val="1"/>
          <w:gridAfter w:val="1"/>
          <w:wBefore w:w="10" w:type="dxa"/>
          <w:wAfter w:w="32" w:type="dxa"/>
          <w:trHeight w:val="20"/>
        </w:trPr>
        <w:tc>
          <w:tcPr>
            <w:tcW w:w="3532" w:type="dxa"/>
          </w:tcPr>
          <w:p w14:paraId="24E8F301" w14:textId="7B8F064C" w:rsidR="00920899" w:rsidRPr="00BD6C5F" w:rsidRDefault="00920899" w:rsidP="00920899">
            <w:pPr>
              <w:pStyle w:val="Tabletext"/>
              <w:rPr>
                <w:b/>
                <w:bCs/>
              </w:rPr>
            </w:pPr>
            <w:r w:rsidRPr="00BD6C5F">
              <w:rPr>
                <w:b/>
                <w:bCs/>
              </w:rPr>
              <w:t>“Initial Term”</w:t>
            </w:r>
          </w:p>
        </w:tc>
        <w:tc>
          <w:tcPr>
            <w:tcW w:w="5954" w:type="dxa"/>
          </w:tcPr>
          <w:p w14:paraId="17BF320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period of</w:t>
            </w:r>
            <w:r w:rsidRPr="006D1202">
              <w:rPr>
                <w:rFonts w:asciiTheme="minorHAnsi" w:hAnsiTheme="minorHAnsi" w:cstheme="minorHAnsi"/>
              </w:rPr>
              <w:t xml:space="preserve"> </w:t>
            </w:r>
            <w:r w:rsidRPr="006D1202">
              <w:rPr>
                <w:rFonts w:asciiTheme="minorHAnsi" w:hAnsiTheme="minorHAnsi" w:cstheme="minorHAnsi"/>
                <w:shd w:val="clear" w:color="auto" w:fill="FFFF00"/>
              </w:rPr>
              <w:t>[</w:t>
            </w:r>
            <w:r w:rsidRPr="006D1202">
              <w:rPr>
                <w:rFonts w:asciiTheme="minorHAnsi" w:hAnsiTheme="minorHAnsi" w:cstheme="minorHAnsi"/>
                <w:iCs/>
                <w:shd w:val="clear" w:color="auto" w:fill="FFFF00"/>
              </w:rPr>
              <w:t>x years</w:t>
            </w:r>
            <w:r w:rsidRPr="006D1202">
              <w:rPr>
                <w:rFonts w:asciiTheme="minorHAnsi" w:hAnsiTheme="minorHAnsi" w:cstheme="minorHAnsi"/>
                <w:shd w:val="clear" w:color="auto" w:fill="FFFF00"/>
              </w:rPr>
              <w:t>]</w:t>
            </w:r>
            <w:r w:rsidRPr="006D1202">
              <w:rPr>
                <w:rFonts w:asciiTheme="minorHAnsi" w:hAnsiTheme="minorHAnsi" w:cstheme="minorHAnsi"/>
              </w:rPr>
              <w:t xml:space="preserve"> f</w:t>
            </w:r>
            <w:r w:rsidRPr="00BD6C5F">
              <w:rPr>
                <w:rFonts w:asciiTheme="minorHAnsi" w:hAnsiTheme="minorHAnsi" w:cstheme="minorHAnsi"/>
              </w:rPr>
              <w:t>rom and including the Effective Date;</w:t>
            </w:r>
          </w:p>
        </w:tc>
      </w:tr>
      <w:tr w:rsidR="00920899" w:rsidRPr="00BD6C5F" w14:paraId="05D546CE" w14:textId="77777777" w:rsidTr="00A64142">
        <w:trPr>
          <w:gridBefore w:val="1"/>
          <w:gridAfter w:val="1"/>
          <w:wBefore w:w="10" w:type="dxa"/>
          <w:wAfter w:w="32" w:type="dxa"/>
          <w:trHeight w:val="20"/>
        </w:trPr>
        <w:tc>
          <w:tcPr>
            <w:tcW w:w="3532" w:type="dxa"/>
          </w:tcPr>
          <w:p w14:paraId="6E89C9A4" w14:textId="23186597" w:rsidR="00920899" w:rsidRPr="00BD6C5F" w:rsidRDefault="00920899" w:rsidP="00920899">
            <w:pPr>
              <w:pStyle w:val="Tabletext"/>
              <w:rPr>
                <w:b/>
                <w:bCs/>
              </w:rPr>
            </w:pPr>
            <w:r w:rsidRPr="00BD6C5F">
              <w:rPr>
                <w:b/>
                <w:bCs/>
              </w:rPr>
              <w:t>“Initial Upload Date”</w:t>
            </w:r>
          </w:p>
        </w:tc>
        <w:tc>
          <w:tcPr>
            <w:tcW w:w="5954" w:type="dxa"/>
          </w:tcPr>
          <w:p w14:paraId="3709963C" w14:textId="2E9739C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occurrence of an event detailed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Schedule_24_Annex_3 \h </w:instrText>
            </w:r>
            <w:r>
              <w:rPr>
                <w:rFonts w:asciiTheme="minorHAnsi" w:hAnsiTheme="minorHAnsi" w:cstheme="minorHAnsi"/>
              </w:rPr>
            </w:r>
            <w:r>
              <w:rPr>
                <w:rFonts w:asciiTheme="minorHAnsi" w:hAnsiTheme="minorHAnsi" w:cstheme="minorHAnsi"/>
              </w:rPr>
              <w:fldChar w:fldCharType="separate"/>
            </w:r>
            <w:r w:rsidR="009749A0" w:rsidRPr="00BD6C5F">
              <w:t>3</w:t>
            </w:r>
            <w:r>
              <w:rPr>
                <w:rFonts w:asciiTheme="minorHAnsi" w:hAnsiTheme="minorHAnsi" w:cstheme="minorHAnsi"/>
              </w:rPr>
              <w:fldChar w:fldCharType="end"/>
            </w:r>
            <w:r>
              <w:rPr>
                <w:rFonts w:asciiTheme="minorHAnsi" w:hAnsiTheme="minorHAnsi" w:cstheme="minorHAnsi"/>
              </w:rPr>
              <w:t xml:space="preserve"> </w:t>
            </w:r>
            <w:r w:rsidRPr="00BD6C5F">
              <w:rPr>
                <w:rFonts w:asciiTheme="minorHAnsi" w:hAnsiTheme="minorHAnsi" w:cstheme="minorHAnsi"/>
              </w:rPr>
              <w:t>(</w:t>
            </w:r>
            <w:r w:rsidRPr="00BD6C5F">
              <w:rPr>
                <w:rFonts w:asciiTheme="minorHAnsi" w:hAnsiTheme="minorHAnsi" w:cstheme="minorHAnsi"/>
                <w:i/>
              </w:rPr>
              <w:t>Virtual Library</w:t>
            </w:r>
            <w:r w:rsidRPr="00BD6C5F">
              <w:rPr>
                <w:rFonts w:asciiTheme="minorHAnsi" w:hAnsiTheme="minorHAnsi" w:cstheme="minorHAnsi"/>
              </w:rPr>
              <w:t xml:space="preserve">) </w:t>
            </w:r>
            <w:r>
              <w:rPr>
                <w:rFonts w:asciiTheme="minorHAnsi" w:hAnsiTheme="minorHAnsi" w:cstheme="minorHAnsi"/>
              </w:rPr>
              <w:t xml:space="preserve">of </w:t>
            </w:r>
            <w:r w:rsidRPr="00BD6C5F">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w:t>
            </w:r>
            <w:r w:rsidRPr="00BD6C5F">
              <w:rPr>
                <w:rFonts w:asciiTheme="minorHAnsi" w:hAnsiTheme="minorHAnsi" w:cstheme="minorHAnsi"/>
                <w:i/>
                <w:iCs/>
              </w:rPr>
              <w:t xml:space="preserve"> Records</w:t>
            </w:r>
            <w:r w:rsidRPr="00BD6C5F">
              <w:rPr>
                <w:rFonts w:asciiTheme="minorHAnsi" w:hAnsiTheme="minorHAnsi" w:cstheme="minorHAnsi"/>
                <w:i/>
              </w:rPr>
              <w:t xml:space="preserve"> </w:t>
            </w:r>
            <w:r w:rsidRPr="00BD6C5F">
              <w:rPr>
                <w:rFonts w:asciiTheme="minorHAnsi" w:hAnsiTheme="minorHAnsi" w:cstheme="minorHAnsi"/>
                <w:i/>
              </w:rPr>
              <w:lastRenderedPageBreak/>
              <w:t>Provisions</w:t>
            </w:r>
            <w:r w:rsidRPr="00BD6C5F">
              <w:rPr>
                <w:rFonts w:asciiTheme="minorHAnsi" w:hAnsiTheme="minorHAnsi" w:cstheme="minorHAnsi"/>
              </w:rPr>
              <w:t>) which requires the Supplier to provide its initial upload of the relevant information to the Virtual Library;</w:t>
            </w:r>
          </w:p>
        </w:tc>
      </w:tr>
      <w:tr w:rsidR="00920899" w:rsidRPr="00BD6C5F" w14:paraId="2962C723" w14:textId="77777777" w:rsidTr="00A64142">
        <w:trPr>
          <w:gridBefore w:val="1"/>
          <w:gridAfter w:val="1"/>
          <w:wBefore w:w="10" w:type="dxa"/>
          <w:wAfter w:w="32" w:type="dxa"/>
          <w:trHeight w:val="20"/>
        </w:trPr>
        <w:tc>
          <w:tcPr>
            <w:tcW w:w="3532" w:type="dxa"/>
          </w:tcPr>
          <w:p w14:paraId="6209F97E" w14:textId="0E9D2E14" w:rsidR="00920899" w:rsidRPr="00BD6C5F" w:rsidRDefault="00920899" w:rsidP="00920899">
            <w:pPr>
              <w:pStyle w:val="Tabletext"/>
              <w:rPr>
                <w:b/>
                <w:bCs/>
              </w:rPr>
            </w:pPr>
            <w:r w:rsidRPr="00BD6C5F">
              <w:rPr>
                <w:b/>
                <w:bCs/>
              </w:rPr>
              <w:lastRenderedPageBreak/>
              <w:t>“Insolvency Event”</w:t>
            </w:r>
          </w:p>
        </w:tc>
        <w:tc>
          <w:tcPr>
            <w:tcW w:w="5954" w:type="dxa"/>
          </w:tcPr>
          <w:p w14:paraId="33B53A81"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with respect to any person, means:</w:t>
            </w:r>
          </w:p>
          <w:p w14:paraId="4A9237A3" w14:textId="77777777" w:rsidR="00920899" w:rsidRPr="00BD6C5F" w:rsidRDefault="00920899" w:rsidP="00920899">
            <w:pPr>
              <w:pStyle w:val="Tablea"/>
            </w:pPr>
            <w:r w:rsidRPr="00BD6C5F">
              <w:t>that person suspends, or threatens to suspend, payment of its debts, or is unable to pay its debts as they fall due or admits inability to pay its debts, or:</w:t>
            </w:r>
          </w:p>
          <w:p w14:paraId="666D3AB5" w14:textId="77777777" w:rsidR="00920899" w:rsidRPr="00BD6C5F" w:rsidRDefault="00920899" w:rsidP="00920899">
            <w:pPr>
              <w:pStyle w:val="Tableai"/>
            </w:pPr>
            <w:r w:rsidRPr="00BD6C5F">
              <w:t>(being a company or a LLP) is deemed unable to pay its debts within the meaning of section 123 of the Insolvency Act 1986, or</w:t>
            </w:r>
          </w:p>
          <w:p w14:paraId="5FF63347" w14:textId="77777777" w:rsidR="00920899" w:rsidRPr="00BD6C5F" w:rsidRDefault="00920899" w:rsidP="00920899">
            <w:pPr>
              <w:pStyle w:val="Tableai"/>
            </w:pPr>
            <w:r w:rsidRPr="00BD6C5F">
              <w:t>(being a partnership) is deemed unable to pay its debts within the meaning of section 222 of the Insolvency Act 1986;</w:t>
            </w:r>
          </w:p>
          <w:p w14:paraId="031A1B1D" w14:textId="6469849A" w:rsidR="00920899" w:rsidRPr="00BD6C5F" w:rsidRDefault="00920899" w:rsidP="00920899">
            <w:pPr>
              <w:pStyle w:val="Tablea"/>
            </w:pPr>
            <w:r w:rsidRPr="00BD6C5F">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w:t>
            </w:r>
            <w:r>
              <w:t> </w:t>
            </w:r>
            <w:r w:rsidRPr="00BD6C5F">
              <w:t>A1 of the Insolvency Act 1986 other than (in the case of a company, a LLP or a partnership) for the sole purpose of a scheme for a solvent amalgamation of that person with one or more other companies or the solvent reconstruction of that person;</w:t>
            </w:r>
          </w:p>
          <w:p w14:paraId="1B8EE5BA" w14:textId="77777777" w:rsidR="00920899" w:rsidRPr="00BD6C5F" w:rsidRDefault="00920899" w:rsidP="00920899">
            <w:pPr>
              <w:pStyle w:val="Tablea"/>
            </w:pPr>
            <w:r w:rsidRPr="00BD6C5F">
              <w:t>another person becomes entitled to appoint a receiver over the assets of that person or a receiver is appointed over the assets of that person;</w:t>
            </w:r>
          </w:p>
          <w:p w14:paraId="540FE145" w14:textId="77777777" w:rsidR="00920899" w:rsidRPr="00BD6C5F" w:rsidRDefault="00920899" w:rsidP="00920899">
            <w:pPr>
              <w:pStyle w:val="Tablea"/>
            </w:pPr>
            <w:r w:rsidRPr="00BD6C5F">
              <w:t>that person has been served with a charge for payment which has expired, and a creditor has been granted an attachment order by a court, which is executed in relation to the property of that person, or such other process is enforced or pursued against the whole or any part of that person’s property;</w:t>
            </w:r>
          </w:p>
          <w:p w14:paraId="0041F69A" w14:textId="77777777" w:rsidR="00920899" w:rsidRPr="00BD6C5F" w:rsidRDefault="00920899" w:rsidP="00920899">
            <w:pPr>
              <w:pStyle w:val="Tablea"/>
            </w:pPr>
            <w:r w:rsidRPr="00BD6C5F">
              <w:t>that person suspends or ceases, or threatens to suspend or cease, carrying on all or a substantial part of its business;</w:t>
            </w:r>
          </w:p>
          <w:p w14:paraId="7D9E1FF3" w14:textId="77777777" w:rsidR="00920899" w:rsidRPr="00BD6C5F" w:rsidRDefault="00920899" w:rsidP="00920899">
            <w:pPr>
              <w:pStyle w:val="Tablea"/>
            </w:pPr>
            <w:r w:rsidRPr="00BD6C5F">
              <w:t>where that person is a company, a LLP or a partnership:</w:t>
            </w:r>
          </w:p>
          <w:p w14:paraId="363C9B59" w14:textId="77777777" w:rsidR="00920899" w:rsidRPr="00BD6C5F" w:rsidRDefault="00920899" w:rsidP="00920899">
            <w:pPr>
              <w:pStyle w:val="Tableai"/>
            </w:pPr>
            <w:r w:rsidRPr="00BD6C5F">
              <w:lastRenderedPageBreak/>
              <w:t>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4E20871D" w14:textId="77777777" w:rsidR="00920899" w:rsidRPr="00BD6C5F" w:rsidRDefault="00920899" w:rsidP="00920899">
            <w:pPr>
              <w:pStyle w:val="Tableai"/>
            </w:pPr>
            <w:r w:rsidRPr="00BD6C5F">
              <w:t>an application is made to court, or an order is made, for the appointment of an administrator, or if a notice of intention to appoint an administrator is filed at Court or given or if an administrator is appointed, over that person; or</w:t>
            </w:r>
          </w:p>
          <w:p w14:paraId="50EC3EF2" w14:textId="77777777" w:rsidR="00920899" w:rsidRPr="00BD6C5F" w:rsidRDefault="00920899" w:rsidP="00920899">
            <w:pPr>
              <w:pStyle w:val="Tableai"/>
            </w:pPr>
            <w:r w:rsidRPr="00BD6C5F">
              <w:t>(being a company or a LLP) the holder of a qualifying floating charge over the assets of that person has become entitled to appoint or has appointed an administrative receiver; or</w:t>
            </w:r>
          </w:p>
          <w:p w14:paraId="44486BF7" w14:textId="1237BAD6" w:rsidR="00920899" w:rsidRPr="00BD6C5F" w:rsidRDefault="00920899" w:rsidP="00920899">
            <w:pPr>
              <w:pStyle w:val="Tablea"/>
            </w:pPr>
            <w:r w:rsidRPr="00BD6C5F">
              <w:t>any event occurs, or proceeding is taken, with respect to that person in any jurisdiction to which it is subject that has an effect equivalent or similar to any of the events mentioned above;</w:t>
            </w:r>
          </w:p>
        </w:tc>
      </w:tr>
      <w:tr w:rsidR="00920899" w:rsidRPr="00BD6C5F" w14:paraId="32FB7E76" w14:textId="77777777" w:rsidTr="00A64142">
        <w:trPr>
          <w:gridBefore w:val="1"/>
          <w:gridAfter w:val="1"/>
          <w:wBefore w:w="10" w:type="dxa"/>
          <w:wAfter w:w="32" w:type="dxa"/>
          <w:trHeight w:val="20"/>
        </w:trPr>
        <w:tc>
          <w:tcPr>
            <w:tcW w:w="3532" w:type="dxa"/>
          </w:tcPr>
          <w:p w14:paraId="452526A5" w14:textId="00767ECB" w:rsidR="00920899" w:rsidRPr="00BD6C5F" w:rsidRDefault="00920899" w:rsidP="00920899">
            <w:pPr>
              <w:pStyle w:val="Tabletext"/>
              <w:rPr>
                <w:b/>
                <w:bCs/>
              </w:rPr>
            </w:pPr>
            <w:r w:rsidRPr="00BD6C5F">
              <w:rPr>
                <w:b/>
                <w:bCs/>
              </w:rPr>
              <w:lastRenderedPageBreak/>
              <w:t>“Intellectual Property Rights” or “IPRs”</w:t>
            </w:r>
          </w:p>
        </w:tc>
        <w:tc>
          <w:tcPr>
            <w:tcW w:w="5954" w:type="dxa"/>
          </w:tcPr>
          <w:p w14:paraId="3D486B5F" w14:textId="77777777" w:rsidR="00920899" w:rsidRPr="00BD6C5F" w:rsidRDefault="00920899" w:rsidP="00920899">
            <w:pPr>
              <w:pStyle w:val="Tablea"/>
            </w:pPr>
            <w:bookmarkStart w:id="10" w:name="_bookmark4"/>
            <w:bookmarkEnd w:id="10"/>
            <w:r w:rsidRPr="00BD6C5F">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E4BF6C7" w14:textId="5C67A4B4" w:rsidR="00920899" w:rsidRPr="00BD6C5F" w:rsidRDefault="00920899" w:rsidP="00920899">
            <w:pPr>
              <w:pStyle w:val="Tablea"/>
            </w:pPr>
            <w:r w:rsidRPr="00BD6C5F">
              <w:t>applications for registration, and the right to apply for registration, for any of the rights listed at (a) that are capable of being registered in any country or jurisdiction; and</w:t>
            </w:r>
          </w:p>
          <w:p w14:paraId="6346ECE8" w14:textId="77777777" w:rsidR="00920899" w:rsidRPr="00BD6C5F" w:rsidRDefault="00920899" w:rsidP="00920899">
            <w:pPr>
              <w:pStyle w:val="Tablea"/>
            </w:pPr>
            <w:r w:rsidRPr="00BD6C5F">
              <w:t>all other rights having equivalent or similar effect in any country or jurisdiction;</w:t>
            </w:r>
          </w:p>
        </w:tc>
      </w:tr>
      <w:tr w:rsidR="00920899" w:rsidRPr="00BD6C5F" w14:paraId="2E9F28B3" w14:textId="77777777" w:rsidTr="00A64142">
        <w:trPr>
          <w:gridBefore w:val="1"/>
          <w:gridAfter w:val="1"/>
          <w:wBefore w:w="10" w:type="dxa"/>
          <w:wAfter w:w="32" w:type="dxa"/>
          <w:trHeight w:val="20"/>
        </w:trPr>
        <w:tc>
          <w:tcPr>
            <w:tcW w:w="3532" w:type="dxa"/>
          </w:tcPr>
          <w:p w14:paraId="752F4A35" w14:textId="7BBBB5A6" w:rsidR="00920899" w:rsidRPr="00BD6C5F" w:rsidRDefault="00920899" w:rsidP="00920899">
            <w:pPr>
              <w:pStyle w:val="Tabletext"/>
              <w:rPr>
                <w:b/>
                <w:bCs/>
              </w:rPr>
            </w:pPr>
            <w:r w:rsidRPr="00BD6C5F">
              <w:rPr>
                <w:b/>
                <w:bCs/>
              </w:rPr>
              <w:t>“Intervention Cause”</w:t>
            </w:r>
          </w:p>
        </w:tc>
        <w:tc>
          <w:tcPr>
            <w:tcW w:w="5954" w:type="dxa"/>
          </w:tcPr>
          <w:p w14:paraId="323ECF30" w14:textId="05ED7C1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27.1 (</w:t>
            </w:r>
            <w:r w:rsidRPr="00BD6C5F">
              <w:rPr>
                <w:rFonts w:asciiTheme="minorHAnsi" w:hAnsiTheme="minorHAnsi" w:cstheme="minorHAnsi"/>
                <w:i/>
              </w:rPr>
              <w:t>Remedial Adviser</w:t>
            </w:r>
            <w:r w:rsidRPr="00BD6C5F">
              <w:rPr>
                <w:rFonts w:asciiTheme="minorHAnsi" w:hAnsiTheme="minorHAnsi" w:cstheme="minorHAnsi"/>
              </w:rPr>
              <w:t>);</w:t>
            </w:r>
          </w:p>
        </w:tc>
      </w:tr>
      <w:tr w:rsidR="00920899" w:rsidRPr="00BD6C5F" w14:paraId="1A9BB098" w14:textId="77777777" w:rsidTr="00A64142">
        <w:trPr>
          <w:gridBefore w:val="1"/>
          <w:gridAfter w:val="1"/>
          <w:wBefore w:w="10" w:type="dxa"/>
          <w:wAfter w:w="32" w:type="dxa"/>
          <w:trHeight w:val="20"/>
        </w:trPr>
        <w:tc>
          <w:tcPr>
            <w:tcW w:w="3532" w:type="dxa"/>
          </w:tcPr>
          <w:p w14:paraId="2AE920B6" w14:textId="2672E254" w:rsidR="00920899" w:rsidRPr="00BD6C5F" w:rsidRDefault="00920899" w:rsidP="00920899">
            <w:pPr>
              <w:pStyle w:val="Tabletext"/>
              <w:rPr>
                <w:b/>
                <w:bCs/>
              </w:rPr>
            </w:pPr>
            <w:r w:rsidRPr="00BD6C5F">
              <w:rPr>
                <w:b/>
                <w:bCs/>
              </w:rPr>
              <w:t>“Intervention Notice”</w:t>
            </w:r>
          </w:p>
        </w:tc>
        <w:tc>
          <w:tcPr>
            <w:tcW w:w="5954" w:type="dxa"/>
          </w:tcPr>
          <w:p w14:paraId="4C98BD1C" w14:textId="02BD455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27.1 (</w:t>
            </w:r>
            <w:r w:rsidRPr="00BD6C5F">
              <w:rPr>
                <w:rFonts w:asciiTheme="minorHAnsi" w:hAnsiTheme="minorHAnsi" w:cstheme="minorHAnsi"/>
                <w:i/>
              </w:rPr>
              <w:t>Remedial Adviser</w:t>
            </w:r>
            <w:r w:rsidRPr="00BD6C5F">
              <w:rPr>
                <w:rFonts w:asciiTheme="minorHAnsi" w:hAnsiTheme="minorHAnsi" w:cstheme="minorHAnsi"/>
              </w:rPr>
              <w:t>);</w:t>
            </w:r>
          </w:p>
        </w:tc>
      </w:tr>
      <w:tr w:rsidR="00920899" w:rsidRPr="00BD6C5F" w14:paraId="1384A0B3" w14:textId="77777777" w:rsidTr="00A64142">
        <w:trPr>
          <w:gridBefore w:val="1"/>
          <w:gridAfter w:val="1"/>
          <w:wBefore w:w="10" w:type="dxa"/>
          <w:wAfter w:w="32" w:type="dxa"/>
          <w:trHeight w:val="20"/>
        </w:trPr>
        <w:tc>
          <w:tcPr>
            <w:tcW w:w="3532" w:type="dxa"/>
          </w:tcPr>
          <w:p w14:paraId="61D26D64" w14:textId="3C8EF3EA" w:rsidR="00920899" w:rsidRPr="00BD6C5F" w:rsidRDefault="00920899" w:rsidP="00920899">
            <w:pPr>
              <w:pStyle w:val="Tabletext"/>
              <w:rPr>
                <w:b/>
                <w:bCs/>
              </w:rPr>
            </w:pPr>
            <w:r w:rsidRPr="00BD6C5F">
              <w:rPr>
                <w:b/>
                <w:bCs/>
              </w:rPr>
              <w:t>“Intervention Period”</w:t>
            </w:r>
          </w:p>
        </w:tc>
        <w:tc>
          <w:tcPr>
            <w:tcW w:w="5954" w:type="dxa"/>
          </w:tcPr>
          <w:p w14:paraId="60BB7BAE" w14:textId="35C7769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27.2</w:t>
            </w:r>
            <w:r w:rsidR="008E2FFE">
              <w:rPr>
                <w:rFonts w:asciiTheme="minorHAnsi" w:hAnsiTheme="minorHAnsi" w:cstheme="minorHAnsi"/>
              </w:rPr>
              <w:t>.3</w:t>
            </w:r>
            <w:r w:rsidRPr="00BD6C5F">
              <w:rPr>
                <w:rFonts w:asciiTheme="minorHAnsi" w:hAnsiTheme="minorHAnsi" w:cstheme="minorHAnsi"/>
              </w:rPr>
              <w:t xml:space="preserve"> (</w:t>
            </w:r>
            <w:r w:rsidRPr="00BD6C5F">
              <w:rPr>
                <w:rFonts w:asciiTheme="minorHAnsi" w:hAnsiTheme="minorHAnsi" w:cstheme="minorHAnsi"/>
                <w:i/>
              </w:rPr>
              <w:t xml:space="preserve">Remedial </w:t>
            </w:r>
            <w:r w:rsidRPr="00BD6C5F">
              <w:rPr>
                <w:rFonts w:asciiTheme="minorHAnsi" w:hAnsiTheme="minorHAnsi" w:cstheme="minorHAnsi"/>
                <w:i/>
              </w:rPr>
              <w:lastRenderedPageBreak/>
              <w:t>Adviser</w:t>
            </w:r>
            <w:r w:rsidRPr="00BD6C5F">
              <w:rPr>
                <w:rFonts w:asciiTheme="minorHAnsi" w:hAnsiTheme="minorHAnsi" w:cstheme="minorHAnsi"/>
              </w:rPr>
              <w:t>);</w:t>
            </w:r>
          </w:p>
        </w:tc>
      </w:tr>
      <w:tr w:rsidR="00920899" w:rsidRPr="00BD6C5F" w14:paraId="2FDD7F1D" w14:textId="77777777" w:rsidTr="00A64142">
        <w:trPr>
          <w:gridBefore w:val="1"/>
          <w:gridAfter w:val="1"/>
          <w:wBefore w:w="10" w:type="dxa"/>
          <w:wAfter w:w="32" w:type="dxa"/>
          <w:trHeight w:val="20"/>
        </w:trPr>
        <w:tc>
          <w:tcPr>
            <w:tcW w:w="3532" w:type="dxa"/>
          </w:tcPr>
          <w:p w14:paraId="6215A860" w14:textId="3641C354" w:rsidR="00920899" w:rsidRPr="00BD6C5F" w:rsidRDefault="00920899" w:rsidP="00920899">
            <w:pPr>
              <w:pStyle w:val="Tabletext"/>
              <w:rPr>
                <w:b/>
                <w:bCs/>
              </w:rPr>
            </w:pPr>
            <w:r w:rsidRPr="00BD6C5F">
              <w:rPr>
                <w:b/>
                <w:bCs/>
              </w:rPr>
              <w:lastRenderedPageBreak/>
              <w:t>“Intervention Trigger Event”</w:t>
            </w:r>
          </w:p>
        </w:tc>
        <w:tc>
          <w:tcPr>
            <w:tcW w:w="5954" w:type="dxa"/>
          </w:tcPr>
          <w:p w14:paraId="73E9514D" w14:textId="132FC50A" w:rsidR="00920899" w:rsidRPr="00BD6C5F" w:rsidRDefault="00920899" w:rsidP="00920899">
            <w:pPr>
              <w:pStyle w:val="Tablea"/>
            </w:pPr>
            <w:r w:rsidRPr="00BD6C5F">
              <w:t>any event falling within limb (a), (b), (c), (e), (f) or (g) of the definition of a Supplier Termination Event;</w:t>
            </w:r>
          </w:p>
          <w:p w14:paraId="58E0DC6D" w14:textId="77777777" w:rsidR="00920899" w:rsidRPr="00BD6C5F" w:rsidRDefault="00920899" w:rsidP="00920899">
            <w:pPr>
              <w:pStyle w:val="Tablea"/>
            </w:pPr>
            <w:r w:rsidRPr="00BD6C5F">
              <w:t>a Default by the Supplier that is materially preventing or materially delaying the performance of the Services or any material part of the Services;</w:t>
            </w:r>
          </w:p>
          <w:p w14:paraId="728B2DD6" w14:textId="0046D199" w:rsidR="00920899" w:rsidRPr="006D1202" w:rsidRDefault="00920899" w:rsidP="00920899">
            <w:pPr>
              <w:pStyle w:val="Tablea"/>
            </w:pPr>
            <w:r w:rsidRPr="00BD6C5F">
              <w:t xml:space="preserve">the Supplier accruing in </w:t>
            </w:r>
            <w:r w:rsidRPr="006D1202">
              <w:t xml:space="preserve">aggregate </w:t>
            </w:r>
            <w:r w:rsidRPr="006D1202">
              <w:rPr>
                <w:shd w:val="clear" w:color="auto" w:fill="FFFF00"/>
              </w:rPr>
              <w:t>[</w:t>
            </w:r>
            <w:r w:rsidRPr="00D852B2">
              <w:rPr>
                <w:b/>
                <w:bCs/>
                <w:iCs/>
                <w:shd w:val="clear" w:color="auto" w:fill="FFFF00"/>
              </w:rPr>
              <w:t>insert</w:t>
            </w:r>
            <w:r w:rsidRPr="006D1202">
              <w:rPr>
                <w:iCs/>
                <w:shd w:val="clear" w:color="auto" w:fill="FFFF00"/>
              </w:rPr>
              <w:t xml:space="preserve"> number of points which is 75% of the points that would constitute a “Critical Performance Failure”</w:t>
            </w:r>
            <w:r w:rsidRPr="006D1202">
              <w:rPr>
                <w:shd w:val="clear" w:color="auto" w:fill="FFFF00"/>
              </w:rPr>
              <w:t>]</w:t>
            </w:r>
            <w:r w:rsidRPr="006D1202">
              <w:t xml:space="preserve"> or more Service Points (in terms of the number of points allocated) in any period of </w:t>
            </w:r>
            <w:r w:rsidRPr="006D1202">
              <w:rPr>
                <w:shd w:val="clear" w:color="auto" w:fill="FFFF00"/>
              </w:rPr>
              <w:t>[</w:t>
            </w:r>
            <w:r w:rsidRPr="00D852B2">
              <w:rPr>
                <w:b/>
                <w:bCs/>
                <w:highlight w:val="yellow"/>
                <w:shd w:val="clear" w:color="auto" w:fill="FFFF00"/>
              </w:rPr>
              <w:t>insert</w:t>
            </w:r>
            <w:r w:rsidRPr="006D1202">
              <w:rPr>
                <w:highlight w:val="yellow"/>
                <w:shd w:val="clear" w:color="auto" w:fill="FFFF00"/>
              </w:rPr>
              <w:t xml:space="preserve"> number of months</w:t>
            </w:r>
            <w:r w:rsidRPr="006D1202">
              <w:rPr>
                <w:highlight w:val="yellow"/>
              </w:rPr>
              <w:t xml:space="preserve"> </w:t>
            </w:r>
            <w:r w:rsidRPr="006D1202">
              <w:rPr>
                <w:highlight w:val="yellow"/>
                <w:shd w:val="clear" w:color="auto" w:fill="FFFF00"/>
              </w:rPr>
              <w:t>taken from definition of “Critical</w:t>
            </w:r>
            <w:r w:rsidRPr="006D1202">
              <w:rPr>
                <w:highlight w:val="yellow"/>
              </w:rPr>
              <w:t xml:space="preserve"> </w:t>
            </w:r>
            <w:r w:rsidRPr="006D1202">
              <w:rPr>
                <w:highlight w:val="yellow"/>
                <w:shd w:val="clear" w:color="auto" w:fill="FFFF00"/>
              </w:rPr>
              <w:t>Performance Failure”</w:t>
            </w:r>
            <w:r w:rsidRPr="006D1202">
              <w:rPr>
                <w:shd w:val="clear" w:color="auto" w:fill="FFFF00"/>
              </w:rPr>
              <w:t>]</w:t>
            </w:r>
            <w:r w:rsidRPr="006D1202">
              <w:t xml:space="preserve"> months;</w:t>
            </w:r>
          </w:p>
          <w:p w14:paraId="606A6326" w14:textId="77777777" w:rsidR="00920899" w:rsidRPr="00BD6C5F" w:rsidRDefault="00920899" w:rsidP="00920899">
            <w:pPr>
              <w:pStyle w:val="Tablea"/>
            </w:pPr>
            <w:r w:rsidRPr="00BD6C5F">
              <w:t>the Supplier accruing Service Credits which meet or exceed 75% of the Service Credit Cap; and/or</w:t>
            </w:r>
          </w:p>
          <w:p w14:paraId="6CE532DF" w14:textId="6C6AA51C" w:rsidR="00920899" w:rsidRPr="00BD6C5F" w:rsidRDefault="00920899" w:rsidP="00920899">
            <w:pPr>
              <w:pStyle w:val="Tablea"/>
            </w:pPr>
            <w:r w:rsidRPr="00BD6C5F">
              <w:t>the Supplier not Achieving a Key Milestone within seventy-five (75) days of its relevant Milestone Date;</w:t>
            </w:r>
          </w:p>
        </w:tc>
      </w:tr>
      <w:tr w:rsidR="00920899" w:rsidRPr="00BD6C5F" w14:paraId="0A497E15" w14:textId="77777777" w:rsidTr="00A64142">
        <w:trPr>
          <w:gridBefore w:val="1"/>
          <w:gridAfter w:val="1"/>
          <w:wBefore w:w="10" w:type="dxa"/>
          <w:wAfter w:w="32" w:type="dxa"/>
          <w:trHeight w:val="20"/>
        </w:trPr>
        <w:tc>
          <w:tcPr>
            <w:tcW w:w="3532" w:type="dxa"/>
          </w:tcPr>
          <w:p w14:paraId="6FDBBA69" w14:textId="345D6586" w:rsidR="00920899" w:rsidRPr="00BD6C5F" w:rsidRDefault="00920899" w:rsidP="00920899">
            <w:pPr>
              <w:pStyle w:val="Tabletext"/>
              <w:rPr>
                <w:b/>
                <w:bCs/>
              </w:rPr>
            </w:pPr>
            <w:r w:rsidRPr="00BD6C5F">
              <w:rPr>
                <w:b/>
                <w:bCs/>
              </w:rPr>
              <w:t>“IP Completion Day”</w:t>
            </w:r>
          </w:p>
        </w:tc>
        <w:tc>
          <w:tcPr>
            <w:tcW w:w="5954" w:type="dxa"/>
          </w:tcPr>
          <w:p w14:paraId="5B8B4E58" w14:textId="269265C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to it in the European Union (Withdrawal Agreement) Act 2020;</w:t>
            </w:r>
          </w:p>
        </w:tc>
      </w:tr>
      <w:tr w:rsidR="00920899" w:rsidRPr="00BD6C5F" w14:paraId="5D3D3849" w14:textId="77777777" w:rsidTr="00A64142">
        <w:trPr>
          <w:gridBefore w:val="1"/>
          <w:gridAfter w:val="1"/>
          <w:wBefore w:w="10" w:type="dxa"/>
          <w:wAfter w:w="32" w:type="dxa"/>
          <w:trHeight w:val="20"/>
        </w:trPr>
        <w:tc>
          <w:tcPr>
            <w:tcW w:w="3532" w:type="dxa"/>
          </w:tcPr>
          <w:p w14:paraId="13991F9B" w14:textId="3F7E6F9D" w:rsidR="00920899" w:rsidRPr="00BD6C5F" w:rsidRDefault="00920899" w:rsidP="00920899">
            <w:pPr>
              <w:pStyle w:val="Tabletext"/>
              <w:rPr>
                <w:b/>
                <w:bCs/>
              </w:rPr>
            </w:pPr>
            <w:r w:rsidRPr="00BD6C5F">
              <w:rPr>
                <w:b/>
                <w:bCs/>
              </w:rPr>
              <w:t>“IPRs Claim”</w:t>
            </w:r>
          </w:p>
        </w:tc>
        <w:tc>
          <w:tcPr>
            <w:tcW w:w="5954" w:type="dxa"/>
          </w:tcPr>
          <w:p w14:paraId="745E35A7" w14:textId="6094F3D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Authority Software by or on behalf of the Supplier, in either case in combination with any item not supplied or recommended by the Supplier pursuant to this Contract or for a purpose not reasonably to be inferred from the Services Description or the provisions of this Contract;</w:t>
            </w:r>
          </w:p>
        </w:tc>
      </w:tr>
      <w:tr w:rsidR="00920899" w:rsidRPr="00BD6C5F" w14:paraId="79981AAB" w14:textId="77777777" w:rsidTr="00A64142">
        <w:trPr>
          <w:gridBefore w:val="1"/>
          <w:gridAfter w:val="1"/>
          <w:wBefore w:w="10" w:type="dxa"/>
          <w:wAfter w:w="32" w:type="dxa"/>
          <w:trHeight w:val="20"/>
        </w:trPr>
        <w:tc>
          <w:tcPr>
            <w:tcW w:w="3532" w:type="dxa"/>
          </w:tcPr>
          <w:p w14:paraId="10A522A9" w14:textId="0D04DCA8" w:rsidR="00920899" w:rsidRPr="00BD6C5F" w:rsidRDefault="00920899" w:rsidP="00920899">
            <w:pPr>
              <w:pStyle w:val="Tabletext"/>
              <w:rPr>
                <w:b/>
                <w:bCs/>
              </w:rPr>
            </w:pPr>
            <w:r w:rsidRPr="00BD6C5F">
              <w:rPr>
                <w:b/>
                <w:bCs/>
              </w:rPr>
              <w:t>“IT”</w:t>
            </w:r>
          </w:p>
        </w:tc>
        <w:tc>
          <w:tcPr>
            <w:tcW w:w="5954" w:type="dxa"/>
          </w:tcPr>
          <w:p w14:paraId="2A2F749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information and communications technology;</w:t>
            </w:r>
          </w:p>
        </w:tc>
      </w:tr>
      <w:tr w:rsidR="00920899" w:rsidRPr="00BD6C5F" w14:paraId="63995FCD" w14:textId="77777777" w:rsidTr="00A64142">
        <w:trPr>
          <w:gridBefore w:val="1"/>
          <w:gridAfter w:val="1"/>
          <w:wBefore w:w="10" w:type="dxa"/>
          <w:wAfter w:w="32" w:type="dxa"/>
          <w:trHeight w:val="20"/>
        </w:trPr>
        <w:tc>
          <w:tcPr>
            <w:tcW w:w="3532" w:type="dxa"/>
          </w:tcPr>
          <w:p w14:paraId="5B440835" w14:textId="1F801984" w:rsidR="00920899" w:rsidRPr="00BD6C5F" w:rsidRDefault="00920899" w:rsidP="00920899">
            <w:pPr>
              <w:pStyle w:val="Tabletext"/>
              <w:rPr>
                <w:b/>
                <w:bCs/>
              </w:rPr>
            </w:pPr>
            <w:r w:rsidRPr="00BD6C5F">
              <w:rPr>
                <w:b/>
                <w:bCs/>
              </w:rPr>
              <w:t>“IT Environment”</w:t>
            </w:r>
          </w:p>
        </w:tc>
        <w:tc>
          <w:tcPr>
            <w:tcW w:w="5954" w:type="dxa"/>
          </w:tcPr>
          <w:p w14:paraId="5BFBBD48"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Authority System and the Supplier System;</w:t>
            </w:r>
          </w:p>
        </w:tc>
      </w:tr>
      <w:tr w:rsidR="00920899" w:rsidRPr="00BD6C5F" w14:paraId="3252977A" w14:textId="77777777" w:rsidTr="00A64142">
        <w:trPr>
          <w:gridBefore w:val="1"/>
          <w:gridAfter w:val="1"/>
          <w:wBefore w:w="10" w:type="dxa"/>
          <w:wAfter w:w="32" w:type="dxa"/>
          <w:trHeight w:val="20"/>
        </w:trPr>
        <w:tc>
          <w:tcPr>
            <w:tcW w:w="3532" w:type="dxa"/>
          </w:tcPr>
          <w:p w14:paraId="0DFD23DA" w14:textId="11FCAE61" w:rsidR="00920899" w:rsidRPr="00BD6C5F" w:rsidRDefault="00920899" w:rsidP="00920899">
            <w:pPr>
              <w:pStyle w:val="Tabletext"/>
              <w:rPr>
                <w:b/>
                <w:bCs/>
              </w:rPr>
            </w:pPr>
            <w:r w:rsidRPr="00BD6C5F">
              <w:rPr>
                <w:b/>
                <w:bCs/>
              </w:rPr>
              <w:t>“Joint Controllers”</w:t>
            </w:r>
          </w:p>
        </w:tc>
        <w:tc>
          <w:tcPr>
            <w:tcW w:w="5954" w:type="dxa"/>
          </w:tcPr>
          <w:p w14:paraId="435516A5" w14:textId="500FB815" w:rsidR="00920899" w:rsidRPr="00BD6C5F" w:rsidRDefault="00122745" w:rsidP="00920899">
            <w:pPr>
              <w:pStyle w:val="Tabletext"/>
              <w:rPr>
                <w:rFonts w:asciiTheme="minorHAnsi" w:hAnsiTheme="minorHAnsi" w:cstheme="minorHAnsi"/>
              </w:rPr>
            </w:pPr>
            <w:r>
              <w:rPr>
                <w:rFonts w:asciiTheme="minorHAnsi" w:hAnsiTheme="minorHAnsi" w:cstheme="minorHAnsi"/>
              </w:rPr>
              <w:t xml:space="preserve">hasthe meaning </w:t>
            </w:r>
            <w:r w:rsidR="00295198">
              <w:rPr>
                <w:rFonts w:asciiTheme="minorHAnsi" w:hAnsiTheme="minorHAnsi" w:cstheme="minorHAnsi"/>
              </w:rPr>
              <w:t>given in Article 26 of the UK GDPR, or EU GDPR, as the context requires</w:t>
            </w:r>
            <w:r w:rsidR="00920899" w:rsidRPr="00BD6C5F">
              <w:rPr>
                <w:rFonts w:asciiTheme="minorHAnsi" w:hAnsiTheme="minorHAnsi" w:cstheme="minorHAnsi"/>
              </w:rPr>
              <w:t>;</w:t>
            </w:r>
          </w:p>
        </w:tc>
      </w:tr>
      <w:tr w:rsidR="00920899" w:rsidRPr="00BD6C5F" w14:paraId="562E23EA" w14:textId="77777777" w:rsidTr="00A64142">
        <w:trPr>
          <w:gridBefore w:val="1"/>
          <w:gridAfter w:val="1"/>
          <w:wBefore w:w="10" w:type="dxa"/>
          <w:wAfter w:w="32" w:type="dxa"/>
          <w:trHeight w:val="20"/>
        </w:trPr>
        <w:tc>
          <w:tcPr>
            <w:tcW w:w="3532" w:type="dxa"/>
          </w:tcPr>
          <w:p w14:paraId="2589ED80" w14:textId="15F6FC9B" w:rsidR="00920899" w:rsidRPr="00BD6C5F" w:rsidRDefault="00920899" w:rsidP="00920899">
            <w:pPr>
              <w:pStyle w:val="Tabletext"/>
              <w:rPr>
                <w:b/>
                <w:bCs/>
              </w:rPr>
            </w:pPr>
            <w:r w:rsidRPr="00BD6C5F">
              <w:rPr>
                <w:b/>
                <w:bCs/>
              </w:rPr>
              <w:t>“Key Milestone”</w:t>
            </w:r>
          </w:p>
        </w:tc>
        <w:tc>
          <w:tcPr>
            <w:tcW w:w="5954" w:type="dxa"/>
          </w:tcPr>
          <w:p w14:paraId="37691A99" w14:textId="13EDB52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Milestones identified in the Implementation Plan as key milestones and in respect of which Delay Payments may be payable in accordance with </w:t>
            </w:r>
            <w:r w:rsidRPr="00BD6C5F">
              <w:rPr>
                <w:rFonts w:asciiTheme="minorHAnsi" w:hAnsiTheme="minorHAnsi" w:cstheme="minorHAnsi"/>
              </w:rPr>
              <w:lastRenderedPageBreak/>
              <w:t>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_Ref98353977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1</w:t>
            </w:r>
            <w:r w:rsidRPr="00BD6C5F">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Schedule_15_Part_C \h </w:instrText>
            </w:r>
            <w:r>
              <w:rPr>
                <w:rFonts w:asciiTheme="minorHAnsi" w:hAnsiTheme="minorHAnsi" w:cstheme="minorHAnsi"/>
              </w:rPr>
            </w:r>
            <w:r>
              <w:rPr>
                <w:rFonts w:asciiTheme="minorHAnsi" w:hAnsiTheme="minorHAnsi" w:cstheme="minorHAnsi"/>
              </w:rPr>
              <w:fldChar w:fldCharType="separate"/>
            </w:r>
            <w:r w:rsidR="009749A0" w:rsidRPr="00BD6C5F">
              <w:t>C</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if the Supplier fails to Achieve the Milestone Date in respect of such Milestone;</w:t>
            </w:r>
          </w:p>
        </w:tc>
      </w:tr>
      <w:tr w:rsidR="00920899" w:rsidRPr="00BD6C5F" w14:paraId="5366D084" w14:textId="77777777" w:rsidTr="00A64142">
        <w:trPr>
          <w:gridBefore w:val="1"/>
          <w:gridAfter w:val="1"/>
          <w:wBefore w:w="10" w:type="dxa"/>
          <w:wAfter w:w="32" w:type="dxa"/>
          <w:trHeight w:val="20"/>
        </w:trPr>
        <w:tc>
          <w:tcPr>
            <w:tcW w:w="3532" w:type="dxa"/>
          </w:tcPr>
          <w:p w14:paraId="4324BB06" w14:textId="1830BAA2" w:rsidR="00920899" w:rsidRPr="00BD6C5F" w:rsidRDefault="00920899" w:rsidP="00920899">
            <w:pPr>
              <w:pStyle w:val="Tabletext"/>
              <w:rPr>
                <w:b/>
                <w:bCs/>
              </w:rPr>
            </w:pPr>
            <w:r w:rsidRPr="00BD6C5F">
              <w:rPr>
                <w:b/>
                <w:bCs/>
              </w:rPr>
              <w:lastRenderedPageBreak/>
              <w:t>“Key Performance Indicator”</w:t>
            </w:r>
          </w:p>
        </w:tc>
        <w:tc>
          <w:tcPr>
            <w:tcW w:w="5954" w:type="dxa"/>
          </w:tcPr>
          <w:p w14:paraId="7327A80C" w14:textId="7F17723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key performance indicators set out in Table </w:t>
            </w:r>
            <w:r w:rsidRPr="00BD6C5F">
              <w:rPr>
                <w:rFonts w:asciiTheme="minorHAnsi" w:hAnsiTheme="minorHAnsi" w:cstheme="minorHAnsi"/>
              </w:rPr>
              <w:fldChar w:fldCharType="begin"/>
            </w:r>
            <w:r w:rsidRPr="00BD6C5F">
              <w:rPr>
                <w:rFonts w:asciiTheme="minorHAnsi" w:hAnsiTheme="minorHAnsi" w:cstheme="minorHAnsi"/>
              </w:rPr>
              <w:instrText xml:space="preserve"> REF _Ref98354050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1</w:t>
            </w:r>
            <w:r w:rsidRPr="00BD6C5F">
              <w:rPr>
                <w:rFonts w:asciiTheme="minorHAnsi" w:hAnsiTheme="minorHAnsi" w:cstheme="minorHAnsi"/>
              </w:rPr>
              <w:fldChar w:fldCharType="end"/>
            </w:r>
            <w:r w:rsidRPr="00BD6C5F">
              <w:rPr>
                <w:rFonts w:asciiTheme="minorHAnsi" w:hAnsiTheme="minorHAnsi" w:cstheme="minorHAnsi"/>
              </w:rPr>
              <w:t xml:space="preserve">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0E2CAA8A" w14:textId="77777777" w:rsidTr="00A64142">
        <w:trPr>
          <w:gridBefore w:val="1"/>
          <w:gridAfter w:val="1"/>
          <w:wBefore w:w="10" w:type="dxa"/>
          <w:wAfter w:w="32" w:type="dxa"/>
          <w:trHeight w:val="20"/>
        </w:trPr>
        <w:tc>
          <w:tcPr>
            <w:tcW w:w="3532" w:type="dxa"/>
          </w:tcPr>
          <w:p w14:paraId="2A5A310B" w14:textId="4619EB1A" w:rsidR="00920899" w:rsidRPr="00BD6C5F" w:rsidRDefault="00920899" w:rsidP="00920899">
            <w:pPr>
              <w:pStyle w:val="Tabletext"/>
              <w:rPr>
                <w:b/>
                <w:bCs/>
              </w:rPr>
            </w:pPr>
            <w:r w:rsidRPr="00BD6C5F">
              <w:rPr>
                <w:b/>
                <w:bCs/>
              </w:rPr>
              <w:t>“Key Personnel”</w:t>
            </w:r>
          </w:p>
        </w:tc>
        <w:tc>
          <w:tcPr>
            <w:tcW w:w="5954" w:type="dxa"/>
          </w:tcPr>
          <w:p w14:paraId="7C1D615A" w14:textId="5BE2FC7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those persons appointed by the Supplier to fulfil the Key Roles, being the persons listed in Schedule </w:t>
            </w:r>
            <w:r>
              <w:rPr>
                <w:rFonts w:asciiTheme="minorHAnsi" w:hAnsiTheme="minorHAnsi" w:cstheme="minorHAnsi"/>
              </w:rPr>
              <w:fldChar w:fldCharType="begin"/>
            </w:r>
            <w:r>
              <w:rPr>
                <w:rFonts w:asciiTheme="minorHAnsi" w:hAnsiTheme="minorHAnsi" w:cstheme="minorHAnsi"/>
              </w:rPr>
              <w:instrText xml:space="preserve"> REF Schedule_29 \h </w:instrText>
            </w:r>
            <w:r>
              <w:rPr>
                <w:rFonts w:asciiTheme="minorHAnsi" w:hAnsiTheme="minorHAnsi" w:cstheme="minorHAnsi"/>
              </w:rPr>
            </w:r>
            <w:r>
              <w:rPr>
                <w:rFonts w:asciiTheme="minorHAnsi" w:hAnsiTheme="minorHAnsi" w:cstheme="minorHAnsi"/>
              </w:rPr>
              <w:fldChar w:fldCharType="separate"/>
            </w:r>
            <w:r w:rsidR="009749A0">
              <w:t>29</w:t>
            </w:r>
            <w:r>
              <w:rPr>
                <w:rFonts w:asciiTheme="minorHAnsi" w:hAnsiTheme="minorHAnsi" w:cstheme="minorHAnsi"/>
              </w:rPr>
              <w:fldChar w:fldCharType="end"/>
            </w:r>
            <w:r>
              <w:rPr>
                <w:rFonts w:asciiTheme="minorHAnsi" w:hAnsiTheme="minorHAnsi" w:cstheme="minorHAnsi"/>
              </w:rPr>
              <w:t xml:space="preserve"> </w:t>
            </w:r>
            <w:r w:rsidRPr="00BD6C5F">
              <w:rPr>
                <w:rFonts w:asciiTheme="minorHAnsi" w:hAnsiTheme="minorHAnsi" w:cstheme="minorHAnsi"/>
              </w:rPr>
              <w:t>(</w:t>
            </w:r>
            <w:r w:rsidRPr="00BD6C5F">
              <w:rPr>
                <w:rFonts w:asciiTheme="minorHAnsi" w:hAnsiTheme="minorHAnsi" w:cstheme="minorHAnsi"/>
                <w:i/>
              </w:rPr>
              <w:t>Key Personnel</w:t>
            </w:r>
            <w:r w:rsidRPr="00BD6C5F">
              <w:rPr>
                <w:rFonts w:asciiTheme="minorHAnsi" w:hAnsiTheme="minorHAnsi" w:cstheme="minorHAnsi"/>
              </w:rPr>
              <w:t>) against each Key Role as at the Effective Date or as amended from time to time in accordance with Clauses 14.5 and 14.6 (</w:t>
            </w:r>
            <w:r w:rsidRPr="00BD6C5F">
              <w:rPr>
                <w:rFonts w:asciiTheme="minorHAnsi" w:hAnsiTheme="minorHAnsi" w:cstheme="minorHAnsi"/>
                <w:i/>
              </w:rPr>
              <w:t>Key Personnel</w:t>
            </w:r>
            <w:r w:rsidRPr="00BD6C5F">
              <w:rPr>
                <w:rFonts w:asciiTheme="minorHAnsi" w:hAnsiTheme="minorHAnsi" w:cstheme="minorHAnsi"/>
              </w:rPr>
              <w:t>);</w:t>
            </w:r>
          </w:p>
        </w:tc>
      </w:tr>
      <w:tr w:rsidR="00920899" w:rsidRPr="00BD6C5F" w14:paraId="74956E58" w14:textId="77777777" w:rsidTr="00A64142">
        <w:trPr>
          <w:gridBefore w:val="1"/>
          <w:gridAfter w:val="1"/>
          <w:wBefore w:w="10" w:type="dxa"/>
          <w:wAfter w:w="32" w:type="dxa"/>
          <w:trHeight w:val="20"/>
        </w:trPr>
        <w:tc>
          <w:tcPr>
            <w:tcW w:w="3532" w:type="dxa"/>
          </w:tcPr>
          <w:p w14:paraId="28FB11DB" w14:textId="100A4A67" w:rsidR="00920899" w:rsidRPr="00BD6C5F" w:rsidRDefault="00920899" w:rsidP="00920899">
            <w:pPr>
              <w:pStyle w:val="Tabletext"/>
              <w:rPr>
                <w:b/>
                <w:bCs/>
              </w:rPr>
            </w:pPr>
            <w:r w:rsidRPr="00BD6C5F">
              <w:rPr>
                <w:b/>
                <w:bCs/>
              </w:rPr>
              <w:t>“Key Roles”</w:t>
            </w:r>
          </w:p>
        </w:tc>
        <w:tc>
          <w:tcPr>
            <w:tcW w:w="5954" w:type="dxa"/>
          </w:tcPr>
          <w:p w14:paraId="42E8B5DB" w14:textId="5F5ECF5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role described as a Key Role in Schedule </w:t>
            </w:r>
            <w:r>
              <w:rPr>
                <w:rFonts w:asciiTheme="minorHAnsi" w:hAnsiTheme="minorHAnsi" w:cstheme="minorHAnsi"/>
              </w:rPr>
              <w:fldChar w:fldCharType="begin"/>
            </w:r>
            <w:r>
              <w:rPr>
                <w:rFonts w:asciiTheme="minorHAnsi" w:hAnsiTheme="minorHAnsi" w:cstheme="minorHAnsi"/>
              </w:rPr>
              <w:instrText xml:space="preserve"> REF Schedule_29 \h </w:instrText>
            </w:r>
            <w:r>
              <w:rPr>
                <w:rFonts w:asciiTheme="minorHAnsi" w:hAnsiTheme="minorHAnsi" w:cstheme="minorHAnsi"/>
              </w:rPr>
            </w:r>
            <w:r>
              <w:rPr>
                <w:rFonts w:asciiTheme="minorHAnsi" w:hAnsiTheme="minorHAnsi" w:cstheme="minorHAnsi"/>
              </w:rPr>
              <w:fldChar w:fldCharType="separate"/>
            </w:r>
            <w:r w:rsidR="009749A0">
              <w:t>29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Key Personnel</w:t>
            </w:r>
            <w:r w:rsidRPr="00BD6C5F">
              <w:rPr>
                <w:rFonts w:asciiTheme="minorHAnsi" w:hAnsiTheme="minorHAnsi" w:cstheme="minorHAnsi"/>
              </w:rPr>
              <w:t>) and any additional roles added from time to time in accordance with Clause 14.4 (</w:t>
            </w:r>
            <w:r w:rsidRPr="00BD6C5F">
              <w:rPr>
                <w:rFonts w:asciiTheme="minorHAnsi" w:hAnsiTheme="minorHAnsi" w:cstheme="minorHAnsi"/>
                <w:i/>
              </w:rPr>
              <w:t>Key Personnel</w:t>
            </w:r>
            <w:r w:rsidRPr="00BD6C5F">
              <w:rPr>
                <w:rFonts w:asciiTheme="minorHAnsi" w:hAnsiTheme="minorHAnsi" w:cstheme="minorHAnsi"/>
              </w:rPr>
              <w:t>);</w:t>
            </w:r>
          </w:p>
        </w:tc>
      </w:tr>
      <w:tr w:rsidR="00920899" w:rsidRPr="00BD6C5F" w14:paraId="4F9A2EDD" w14:textId="77777777" w:rsidTr="00A64142">
        <w:trPr>
          <w:gridBefore w:val="1"/>
          <w:gridAfter w:val="1"/>
          <w:wBefore w:w="10" w:type="dxa"/>
          <w:wAfter w:w="32" w:type="dxa"/>
          <w:trHeight w:val="20"/>
        </w:trPr>
        <w:tc>
          <w:tcPr>
            <w:tcW w:w="3532" w:type="dxa"/>
          </w:tcPr>
          <w:p w14:paraId="23B7135E" w14:textId="7BF3DD9E" w:rsidR="00920899" w:rsidRPr="00BD6C5F" w:rsidRDefault="00920899" w:rsidP="00920899">
            <w:pPr>
              <w:pStyle w:val="Tabletext"/>
              <w:rPr>
                <w:b/>
                <w:bCs/>
              </w:rPr>
            </w:pPr>
            <w:r w:rsidRPr="00BD6C5F">
              <w:rPr>
                <w:b/>
                <w:bCs/>
              </w:rPr>
              <w:t>“Key Sub-contract”</w:t>
            </w:r>
          </w:p>
        </w:tc>
        <w:tc>
          <w:tcPr>
            <w:tcW w:w="5954" w:type="dxa"/>
          </w:tcPr>
          <w:p w14:paraId="416EB81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each Sub-contract with a Key Sub-contractor;</w:t>
            </w:r>
          </w:p>
        </w:tc>
      </w:tr>
      <w:tr w:rsidR="00920899" w:rsidRPr="00BD6C5F" w14:paraId="56623730" w14:textId="77777777" w:rsidTr="00A64142">
        <w:trPr>
          <w:gridBefore w:val="1"/>
          <w:gridAfter w:val="1"/>
          <w:wBefore w:w="10" w:type="dxa"/>
          <w:wAfter w:w="32" w:type="dxa"/>
          <w:trHeight w:val="20"/>
        </w:trPr>
        <w:tc>
          <w:tcPr>
            <w:tcW w:w="3532" w:type="dxa"/>
          </w:tcPr>
          <w:p w14:paraId="6904B790" w14:textId="6D196A25" w:rsidR="00920899" w:rsidRPr="00BD6C5F" w:rsidRDefault="00920899" w:rsidP="00920899">
            <w:pPr>
              <w:pStyle w:val="Tabletext"/>
              <w:rPr>
                <w:b/>
                <w:bCs/>
              </w:rPr>
            </w:pPr>
            <w:r w:rsidRPr="00BD6C5F">
              <w:rPr>
                <w:b/>
                <w:bCs/>
              </w:rPr>
              <w:t>“Key Sub-contractor”</w:t>
            </w:r>
          </w:p>
        </w:tc>
        <w:tc>
          <w:tcPr>
            <w:tcW w:w="5954" w:type="dxa"/>
          </w:tcPr>
          <w:p w14:paraId="7503030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Sub-contractor:</w:t>
            </w:r>
          </w:p>
          <w:p w14:paraId="0F97023A" w14:textId="77777777" w:rsidR="00920899" w:rsidRPr="00BD6C5F" w:rsidRDefault="00920899" w:rsidP="00920899">
            <w:pPr>
              <w:pStyle w:val="Tablea"/>
            </w:pPr>
            <w:r w:rsidRPr="00BD6C5F">
              <w:t>which, in the opinion of the Authority, performs (or would perform if appointed) a critical role in the provision of all or any part of the Services; and/or</w:t>
            </w:r>
          </w:p>
          <w:p w14:paraId="2F3D1BDA" w14:textId="313F3CD5" w:rsidR="00920899" w:rsidRPr="00BD6C5F" w:rsidRDefault="00920899" w:rsidP="00920899">
            <w:pPr>
              <w:pStyle w:val="Tablea"/>
            </w:pPr>
            <w:r w:rsidRPr="00BD6C5F">
              <w:t>with a Sub-contract with a contract value which at the time of appointment exceeds (or would exceed if appointed) 10% of the aggregate Charges forecast to be payable under this Contract (as set out in the Financial Model);</w:t>
            </w:r>
          </w:p>
        </w:tc>
      </w:tr>
      <w:tr w:rsidR="00920899" w:rsidRPr="00BD6C5F" w14:paraId="116649B7" w14:textId="77777777" w:rsidTr="00A64142">
        <w:trPr>
          <w:gridBefore w:val="1"/>
          <w:gridAfter w:val="1"/>
          <w:wBefore w:w="10" w:type="dxa"/>
          <w:wAfter w:w="32" w:type="dxa"/>
          <w:trHeight w:val="20"/>
        </w:trPr>
        <w:tc>
          <w:tcPr>
            <w:tcW w:w="3532" w:type="dxa"/>
          </w:tcPr>
          <w:p w14:paraId="10EC00BC" w14:textId="0716C199" w:rsidR="00920899" w:rsidRPr="00BD6C5F" w:rsidRDefault="00920899" w:rsidP="00920899">
            <w:pPr>
              <w:pStyle w:val="Tabletext"/>
              <w:rPr>
                <w:b/>
                <w:bCs/>
              </w:rPr>
            </w:pPr>
            <w:r w:rsidRPr="00BD6C5F">
              <w:rPr>
                <w:b/>
                <w:bCs/>
              </w:rPr>
              <w:t>“Know-How”</w:t>
            </w:r>
          </w:p>
        </w:tc>
        <w:tc>
          <w:tcPr>
            <w:tcW w:w="5954" w:type="dxa"/>
          </w:tcPr>
          <w:p w14:paraId="48E4ED09" w14:textId="67C4B81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ideas, concepts, schemes, information, knowledge, techniques, methodology, and anything else in the nature of know how relating to the Services but excluding know how already in the other Party’s possession before this Contract;</w:t>
            </w:r>
          </w:p>
        </w:tc>
      </w:tr>
      <w:tr w:rsidR="00920899" w:rsidRPr="00BD6C5F" w14:paraId="3A2C91A9" w14:textId="77777777" w:rsidTr="00A64142">
        <w:trPr>
          <w:gridBefore w:val="1"/>
          <w:gridAfter w:val="1"/>
          <w:wBefore w:w="10" w:type="dxa"/>
          <w:wAfter w:w="32" w:type="dxa"/>
          <w:trHeight w:val="20"/>
        </w:trPr>
        <w:tc>
          <w:tcPr>
            <w:tcW w:w="3532" w:type="dxa"/>
          </w:tcPr>
          <w:p w14:paraId="1C26A3FC" w14:textId="65369CEA" w:rsidR="00920899" w:rsidRPr="00BD6C5F" w:rsidRDefault="00920899" w:rsidP="00920899">
            <w:pPr>
              <w:pStyle w:val="Tabletext"/>
              <w:rPr>
                <w:b/>
                <w:bCs/>
              </w:rPr>
            </w:pPr>
            <w:r w:rsidRPr="00BD6C5F">
              <w:rPr>
                <w:b/>
                <w:bCs/>
              </w:rPr>
              <w:t>“KPI Failure”</w:t>
            </w:r>
          </w:p>
        </w:tc>
        <w:tc>
          <w:tcPr>
            <w:tcW w:w="5954" w:type="dxa"/>
          </w:tcPr>
          <w:p w14:paraId="116DBE5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failure to meet the Target Performance Level in respect of a Key Performance Indicator;</w:t>
            </w:r>
          </w:p>
        </w:tc>
      </w:tr>
      <w:tr w:rsidR="00920899" w:rsidRPr="00BD6C5F" w14:paraId="749B3209" w14:textId="77777777" w:rsidTr="00A64142">
        <w:trPr>
          <w:gridBefore w:val="1"/>
          <w:gridAfter w:val="1"/>
          <w:wBefore w:w="10" w:type="dxa"/>
          <w:wAfter w:w="32" w:type="dxa"/>
          <w:trHeight w:val="20"/>
        </w:trPr>
        <w:tc>
          <w:tcPr>
            <w:tcW w:w="3532" w:type="dxa"/>
          </w:tcPr>
          <w:p w14:paraId="5ADCC9BF" w14:textId="7E51EA4C" w:rsidR="00920899" w:rsidRPr="00BD6C5F" w:rsidRDefault="00920899" w:rsidP="00920899">
            <w:pPr>
              <w:pStyle w:val="Tabletext"/>
              <w:rPr>
                <w:b/>
                <w:bCs/>
              </w:rPr>
            </w:pPr>
            <w:r w:rsidRPr="00BD6C5F">
              <w:rPr>
                <w:b/>
                <w:bCs/>
              </w:rPr>
              <w:t>“KPI Service Threshold”</w:t>
            </w:r>
          </w:p>
        </w:tc>
        <w:tc>
          <w:tcPr>
            <w:tcW w:w="5954" w:type="dxa"/>
          </w:tcPr>
          <w:p w14:paraId="63349DEB" w14:textId="11DA26B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be as set out against the relevant Key Performance Indicator in Table 1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680C01A9" w14:textId="77777777" w:rsidTr="00A64142">
        <w:trPr>
          <w:gridBefore w:val="1"/>
          <w:gridAfter w:val="1"/>
          <w:wBefore w:w="10" w:type="dxa"/>
          <w:wAfter w:w="32" w:type="dxa"/>
          <w:trHeight w:val="20"/>
        </w:trPr>
        <w:tc>
          <w:tcPr>
            <w:tcW w:w="3532" w:type="dxa"/>
          </w:tcPr>
          <w:p w14:paraId="00DB722B" w14:textId="3DCE13EB" w:rsidR="00920899" w:rsidRPr="00BD6C5F" w:rsidRDefault="00920899" w:rsidP="00920899">
            <w:pPr>
              <w:pStyle w:val="Tabletext"/>
              <w:rPr>
                <w:b/>
                <w:bCs/>
              </w:rPr>
            </w:pPr>
            <w:r w:rsidRPr="00BD6C5F">
              <w:rPr>
                <w:b/>
                <w:bCs/>
              </w:rPr>
              <w:t>“Law”</w:t>
            </w:r>
          </w:p>
        </w:tc>
        <w:tc>
          <w:tcPr>
            <w:tcW w:w="5954" w:type="dxa"/>
          </w:tcPr>
          <w:p w14:paraId="04FC8F24" w14:textId="0754489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any law, statute, subordinate legislation within the meaning of </w:t>
            </w:r>
            <w:bookmarkStart w:id="11" w:name="_9kR3WTr277DGD4rcszv1GII6y47tVZH98KLBEBC"/>
            <w:r w:rsidRPr="00BD6C5F">
              <w:rPr>
                <w:rFonts w:asciiTheme="minorHAnsi" w:hAnsiTheme="minorHAnsi" w:cstheme="minorHAnsi"/>
              </w:rPr>
              <w:t>Section 21(1) of the Interpretation Act 1978</w:t>
            </w:r>
            <w:bookmarkEnd w:id="11"/>
            <w:r w:rsidRPr="00BD6C5F">
              <w:rPr>
                <w:rFonts w:asciiTheme="minorHAnsi" w:hAnsiTheme="minorHAnsi" w:cstheme="minorHAnsi"/>
              </w:rPr>
              <w:t xml:space="preserve">, bye-law, right within the meaning of </w:t>
            </w:r>
            <w:bookmarkStart w:id="12" w:name="_9kR3WTr277DGE5rcszv1G5w25rPaKFE5r1eaHGP"/>
            <w:r w:rsidRPr="00BD6C5F">
              <w:rPr>
                <w:rFonts w:asciiTheme="minorHAnsi" w:hAnsiTheme="minorHAnsi" w:cstheme="minorHAnsi"/>
              </w:rPr>
              <w:t xml:space="preserve">the European Union (Withdrawal) Act </w:t>
            </w:r>
            <w:bookmarkEnd w:id="12"/>
            <w:r w:rsidRPr="00BD6C5F">
              <w:rPr>
                <w:rFonts w:asciiTheme="minorHAnsi" w:hAnsiTheme="minorHAnsi" w:cstheme="minorHAnsi"/>
              </w:rPr>
              <w:t xml:space="preserve">2018 as amended by European Union (Withdrawal Agreement) Act 2020, </w:t>
            </w:r>
            <w:r w:rsidRPr="00BD6C5F">
              <w:rPr>
                <w:rFonts w:asciiTheme="minorHAnsi" w:hAnsiTheme="minorHAnsi" w:cstheme="minorHAnsi"/>
              </w:rPr>
              <w:lastRenderedPageBreak/>
              <w:t>regulation, order, regulatory policy, mandatory guidance or code of practice, judgment of a relevant court of law, or directives or requirements of any regulatory body with which the Supplier is bound to comply;</w:t>
            </w:r>
          </w:p>
        </w:tc>
      </w:tr>
      <w:tr w:rsidR="00920899" w:rsidRPr="00C64197" w14:paraId="08A0D2EC" w14:textId="77777777" w:rsidTr="00A64142">
        <w:trPr>
          <w:gridBefore w:val="1"/>
          <w:gridAfter w:val="1"/>
          <w:wBefore w:w="10" w:type="dxa"/>
          <w:wAfter w:w="32" w:type="dxa"/>
          <w:trHeight w:val="20"/>
        </w:trPr>
        <w:tc>
          <w:tcPr>
            <w:tcW w:w="3532" w:type="dxa"/>
          </w:tcPr>
          <w:p w14:paraId="7474DBCC" w14:textId="45B11B4F" w:rsidR="00920899" w:rsidRPr="00BD6C5F" w:rsidRDefault="00920899" w:rsidP="00920899">
            <w:pPr>
              <w:pStyle w:val="Tabletext"/>
              <w:rPr>
                <w:b/>
                <w:bCs/>
              </w:rPr>
            </w:pPr>
            <w:r w:rsidRPr="00BD6C5F">
              <w:rPr>
                <w:b/>
                <w:bCs/>
              </w:rPr>
              <w:lastRenderedPageBreak/>
              <w:t>“LED”</w:t>
            </w:r>
          </w:p>
        </w:tc>
        <w:tc>
          <w:tcPr>
            <w:tcW w:w="5954" w:type="dxa"/>
          </w:tcPr>
          <w:p w14:paraId="42210A9C" w14:textId="77777777" w:rsidR="00920899" w:rsidRPr="00F63080" w:rsidRDefault="00920899" w:rsidP="00920899">
            <w:pPr>
              <w:pStyle w:val="Tabletext"/>
              <w:rPr>
                <w:rFonts w:asciiTheme="minorHAnsi" w:hAnsiTheme="minorHAnsi" w:cstheme="minorHAnsi"/>
                <w:lang w:val="fr-FR"/>
              </w:rPr>
            </w:pPr>
            <w:r w:rsidRPr="00F63080">
              <w:rPr>
                <w:rFonts w:asciiTheme="minorHAnsi" w:hAnsiTheme="minorHAnsi" w:cstheme="minorHAnsi"/>
                <w:lang w:val="fr-FR"/>
              </w:rPr>
              <w:t xml:space="preserve">Law Enforcement Directive </w:t>
            </w:r>
            <w:r w:rsidRPr="00F63080">
              <w:rPr>
                <w:rFonts w:asciiTheme="minorHAnsi" w:hAnsiTheme="minorHAnsi" w:cstheme="minorHAnsi"/>
                <w:i/>
                <w:lang w:val="fr-FR"/>
              </w:rPr>
              <w:t>(Directive (EU) 2016/680)</w:t>
            </w:r>
            <w:r w:rsidRPr="00F63080">
              <w:rPr>
                <w:rFonts w:asciiTheme="minorHAnsi" w:hAnsiTheme="minorHAnsi" w:cstheme="minorHAnsi"/>
                <w:lang w:val="fr-FR"/>
              </w:rPr>
              <w:t>;</w:t>
            </w:r>
          </w:p>
        </w:tc>
      </w:tr>
      <w:tr w:rsidR="00920899" w:rsidRPr="00BD6C5F" w14:paraId="6B68C834" w14:textId="77777777" w:rsidTr="00A64142">
        <w:trPr>
          <w:gridBefore w:val="1"/>
          <w:gridAfter w:val="1"/>
          <w:wBefore w:w="10" w:type="dxa"/>
          <w:wAfter w:w="32" w:type="dxa"/>
          <w:trHeight w:val="20"/>
        </w:trPr>
        <w:tc>
          <w:tcPr>
            <w:tcW w:w="3532" w:type="dxa"/>
          </w:tcPr>
          <w:p w14:paraId="1CC86FD1" w14:textId="5E2BC472" w:rsidR="00920899" w:rsidRPr="00BD6C5F" w:rsidRDefault="00920899" w:rsidP="00920899">
            <w:pPr>
              <w:pStyle w:val="Tabletext"/>
              <w:rPr>
                <w:b/>
                <w:bCs/>
              </w:rPr>
            </w:pPr>
            <w:r w:rsidRPr="00BD6C5F">
              <w:rPr>
                <w:b/>
                <w:bCs/>
              </w:rPr>
              <w:t>“Licensed Software”</w:t>
            </w:r>
          </w:p>
        </w:tc>
        <w:tc>
          <w:tcPr>
            <w:tcW w:w="5954" w:type="dxa"/>
          </w:tcPr>
          <w:p w14:paraId="507674B9" w14:textId="392215B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and any Software licensed by or through the Supplier, its Sub-contractors or any third party to the Authority for the purposes of or pursuant to this Contract, including any Supplier Software, Third Party Software and/or any Specially Written Software;</w:t>
            </w:r>
          </w:p>
        </w:tc>
      </w:tr>
      <w:tr w:rsidR="00920899" w:rsidRPr="00BD6C5F" w14:paraId="2064CD24" w14:textId="77777777" w:rsidTr="00A64142">
        <w:trPr>
          <w:gridBefore w:val="1"/>
          <w:gridAfter w:val="1"/>
          <w:wBefore w:w="10" w:type="dxa"/>
          <w:wAfter w:w="32" w:type="dxa"/>
          <w:trHeight w:val="20"/>
        </w:trPr>
        <w:tc>
          <w:tcPr>
            <w:tcW w:w="3532" w:type="dxa"/>
          </w:tcPr>
          <w:p w14:paraId="2DD55B6B" w14:textId="5A45B0B3" w:rsidR="00920899" w:rsidRPr="00BD6C5F" w:rsidRDefault="00920899" w:rsidP="00920899">
            <w:pPr>
              <w:pStyle w:val="Tabletext"/>
              <w:rPr>
                <w:b/>
                <w:bCs/>
              </w:rPr>
            </w:pPr>
            <w:r w:rsidRPr="00BD6C5F">
              <w:rPr>
                <w:b/>
                <w:bCs/>
              </w:rPr>
              <w:t>“Losses”</w:t>
            </w:r>
          </w:p>
        </w:tc>
        <w:tc>
          <w:tcPr>
            <w:tcW w:w="5954" w:type="dxa"/>
          </w:tcPr>
          <w:p w14:paraId="6D20DA5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losses, liabilities, damages, costs and expenses (including legal fees on a solicitor/client basis) and disbursements and costs of investigation, litigation, settlement, judgment interest and penalties whether arising in contract, delict, breach of statutory duty or otherwise;</w:t>
            </w:r>
          </w:p>
        </w:tc>
      </w:tr>
      <w:tr w:rsidR="00920899" w:rsidRPr="00BD6C5F" w14:paraId="63C036F0" w14:textId="77777777" w:rsidTr="00A64142">
        <w:trPr>
          <w:gridBefore w:val="1"/>
          <w:gridAfter w:val="1"/>
          <w:wBefore w:w="10" w:type="dxa"/>
          <w:wAfter w:w="32" w:type="dxa"/>
          <w:trHeight w:val="20"/>
        </w:trPr>
        <w:tc>
          <w:tcPr>
            <w:tcW w:w="3532" w:type="dxa"/>
          </w:tcPr>
          <w:p w14:paraId="561EA509" w14:textId="1AFEC5AC" w:rsidR="00920899" w:rsidRPr="00BD6C5F" w:rsidRDefault="00920899" w:rsidP="00920899">
            <w:pPr>
              <w:pStyle w:val="Tabletext"/>
              <w:rPr>
                <w:b/>
                <w:bCs/>
              </w:rPr>
            </w:pPr>
            <w:r w:rsidRPr="00BD6C5F">
              <w:rPr>
                <w:b/>
                <w:bCs/>
              </w:rPr>
              <w:t>“Maintenance Schedule”</w:t>
            </w:r>
          </w:p>
        </w:tc>
        <w:tc>
          <w:tcPr>
            <w:tcW w:w="5954" w:type="dxa"/>
          </w:tcPr>
          <w:p w14:paraId="70AE24A1" w14:textId="5FB1B14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have the meaning set out in Clause 9.4 (</w:t>
            </w:r>
            <w:r w:rsidRPr="00BD6C5F">
              <w:rPr>
                <w:rFonts w:asciiTheme="minorHAnsi" w:hAnsiTheme="minorHAnsi" w:cstheme="minorHAnsi"/>
                <w:i/>
              </w:rPr>
              <w:t>Maintenance</w:t>
            </w:r>
            <w:r w:rsidRPr="00BD6C5F">
              <w:rPr>
                <w:rFonts w:asciiTheme="minorHAnsi" w:hAnsiTheme="minorHAnsi" w:cstheme="minorHAnsi"/>
              </w:rPr>
              <w:t>);</w:t>
            </w:r>
          </w:p>
        </w:tc>
      </w:tr>
      <w:tr w:rsidR="00920899" w:rsidRPr="00BD6C5F" w14:paraId="7D335B07" w14:textId="77777777" w:rsidTr="00A64142">
        <w:trPr>
          <w:gridBefore w:val="1"/>
          <w:gridAfter w:val="1"/>
          <w:wBefore w:w="10" w:type="dxa"/>
          <w:wAfter w:w="32" w:type="dxa"/>
          <w:trHeight w:val="20"/>
        </w:trPr>
        <w:tc>
          <w:tcPr>
            <w:tcW w:w="3532" w:type="dxa"/>
          </w:tcPr>
          <w:p w14:paraId="6008782B" w14:textId="1E0A20EF" w:rsidR="00920899" w:rsidRPr="00BD6C5F" w:rsidRDefault="00920899" w:rsidP="00920899">
            <w:pPr>
              <w:pStyle w:val="Tabletext"/>
              <w:rPr>
                <w:b/>
                <w:bCs/>
              </w:rPr>
            </w:pPr>
            <w:r w:rsidRPr="00BD6C5F">
              <w:rPr>
                <w:b/>
                <w:bCs/>
              </w:rPr>
              <w:t>“Malicious Software”</w:t>
            </w:r>
          </w:p>
        </w:tc>
        <w:tc>
          <w:tcPr>
            <w:tcW w:w="5954" w:type="dxa"/>
          </w:tcPr>
          <w:p w14:paraId="3FF6E17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20899" w:rsidRPr="00BD6C5F" w14:paraId="2DEEF68E" w14:textId="77777777" w:rsidTr="00A64142">
        <w:trPr>
          <w:gridBefore w:val="1"/>
          <w:gridAfter w:val="1"/>
          <w:wBefore w:w="10" w:type="dxa"/>
          <w:wAfter w:w="32" w:type="dxa"/>
          <w:trHeight w:val="20"/>
        </w:trPr>
        <w:tc>
          <w:tcPr>
            <w:tcW w:w="3532" w:type="dxa"/>
          </w:tcPr>
          <w:p w14:paraId="3638177A" w14:textId="1AF6317A" w:rsidR="00920899" w:rsidRPr="00BD6C5F" w:rsidRDefault="00920899" w:rsidP="00920899">
            <w:pPr>
              <w:pStyle w:val="Tabletext"/>
              <w:rPr>
                <w:b/>
                <w:bCs/>
              </w:rPr>
            </w:pPr>
            <w:r w:rsidRPr="00BD6C5F">
              <w:rPr>
                <w:b/>
                <w:bCs/>
              </w:rPr>
              <w:t>“Management Information”</w:t>
            </w:r>
          </w:p>
        </w:tc>
        <w:tc>
          <w:tcPr>
            <w:tcW w:w="5954" w:type="dxa"/>
          </w:tcPr>
          <w:p w14:paraId="353784D0" w14:textId="09738EC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management information specified in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and Schedule </w:t>
            </w:r>
            <w:r>
              <w:rPr>
                <w:rFonts w:asciiTheme="minorHAnsi" w:hAnsiTheme="minorHAnsi" w:cstheme="minorHAnsi"/>
              </w:rPr>
              <w:fldChar w:fldCharType="begin"/>
            </w:r>
            <w:r>
              <w:rPr>
                <w:rFonts w:asciiTheme="minorHAnsi" w:hAnsiTheme="minorHAnsi" w:cstheme="minorHAnsi"/>
              </w:rPr>
              <w:instrText xml:space="preserve"> REF Schedule_21 \h </w:instrText>
            </w:r>
            <w:r>
              <w:rPr>
                <w:rFonts w:asciiTheme="minorHAnsi" w:hAnsiTheme="minorHAnsi" w:cstheme="minorHAnsi"/>
              </w:rPr>
            </w:r>
            <w:r>
              <w:rPr>
                <w:rFonts w:asciiTheme="minorHAnsi" w:hAnsiTheme="minorHAnsi" w:cstheme="minorHAnsi"/>
              </w:rPr>
              <w:fldChar w:fldCharType="separate"/>
            </w:r>
            <w:r w:rsidR="009749A0">
              <w:t>21</w:t>
            </w:r>
            <w:r>
              <w:rPr>
                <w:rFonts w:asciiTheme="minorHAnsi" w:hAnsiTheme="minorHAnsi" w:cstheme="minorHAnsi"/>
              </w:rPr>
              <w:fldChar w:fldCharType="end"/>
            </w:r>
            <w:r w:rsidRPr="00BD6C5F">
              <w:rPr>
                <w:rFonts w:asciiTheme="minorHAnsi" w:hAnsiTheme="minorHAnsi" w:cstheme="minorHAnsi"/>
              </w:rPr>
              <w:t xml:space="preserve"> (Governance) to be provided by the Supplier to the Authority;</w:t>
            </w:r>
          </w:p>
        </w:tc>
      </w:tr>
      <w:tr w:rsidR="00920899" w:rsidRPr="00BD6C5F" w14:paraId="283AEB98" w14:textId="77777777" w:rsidTr="00A64142">
        <w:trPr>
          <w:gridBefore w:val="1"/>
          <w:gridAfter w:val="1"/>
          <w:wBefore w:w="10" w:type="dxa"/>
          <w:wAfter w:w="32" w:type="dxa"/>
          <w:trHeight w:val="20"/>
        </w:trPr>
        <w:tc>
          <w:tcPr>
            <w:tcW w:w="3532" w:type="dxa"/>
          </w:tcPr>
          <w:p w14:paraId="2A55BAC9" w14:textId="6E84C3EB" w:rsidR="00920899" w:rsidRPr="00BD6C5F" w:rsidRDefault="00920899" w:rsidP="00920899">
            <w:pPr>
              <w:pStyle w:val="Tabletext"/>
              <w:rPr>
                <w:b/>
                <w:bCs/>
              </w:rPr>
            </w:pPr>
            <w:r w:rsidRPr="00BD6C5F">
              <w:rPr>
                <w:b/>
                <w:bCs/>
              </w:rPr>
              <w:t>“Ma</w:t>
            </w:r>
            <w:r>
              <w:rPr>
                <w:b/>
                <w:bCs/>
              </w:rPr>
              <w:t>terial Default</w:t>
            </w:r>
            <w:r w:rsidRPr="00BD6C5F">
              <w:rPr>
                <w:b/>
                <w:bCs/>
              </w:rPr>
              <w:t>”</w:t>
            </w:r>
          </w:p>
        </w:tc>
        <w:tc>
          <w:tcPr>
            <w:tcW w:w="5954" w:type="dxa"/>
          </w:tcPr>
          <w:p w14:paraId="35EB8ADC" w14:textId="31CB7827" w:rsidR="00920899" w:rsidRPr="00BD6C5F" w:rsidRDefault="00920899" w:rsidP="00920899">
            <w:pPr>
              <w:pStyle w:val="Tabletext"/>
              <w:rPr>
                <w:rFonts w:asciiTheme="minorHAnsi" w:hAnsiTheme="minorHAnsi" w:cstheme="minorHAnsi"/>
              </w:rPr>
            </w:pPr>
            <w:r>
              <w:rPr>
                <w:rFonts w:asciiTheme="minorHAnsi" w:hAnsiTheme="minorHAnsi" w:cstheme="minorHAnsi"/>
              </w:rPr>
              <w:t xml:space="preserve">a </w:t>
            </w:r>
            <w:r w:rsidRPr="005B088B">
              <w:rPr>
                <w:rFonts w:asciiTheme="minorHAnsi" w:hAnsiTheme="minorHAnsi" w:cstheme="minorHAnsi"/>
              </w:rPr>
              <w:t>single serious Default of a number of Defaults or repeated Defaults (whether of the same or different obligations and regardless of whether such Defaults are remedied);</w:t>
            </w:r>
          </w:p>
        </w:tc>
      </w:tr>
      <w:tr w:rsidR="00920899" w:rsidRPr="00BD6C5F" w14:paraId="4E948EEA" w14:textId="77777777" w:rsidTr="00A64142">
        <w:trPr>
          <w:gridBefore w:val="1"/>
          <w:gridAfter w:val="1"/>
          <w:wBefore w:w="10" w:type="dxa"/>
          <w:wAfter w:w="32" w:type="dxa"/>
          <w:trHeight w:val="20"/>
        </w:trPr>
        <w:tc>
          <w:tcPr>
            <w:tcW w:w="3532" w:type="dxa"/>
          </w:tcPr>
          <w:p w14:paraId="43757B01" w14:textId="1BA2B359" w:rsidR="00920899" w:rsidRPr="00BD6C5F" w:rsidRDefault="00920899" w:rsidP="00920899">
            <w:pPr>
              <w:pStyle w:val="Tabletext"/>
              <w:rPr>
                <w:b/>
                <w:bCs/>
              </w:rPr>
            </w:pPr>
            <w:r w:rsidRPr="00BD6C5F">
              <w:rPr>
                <w:b/>
                <w:bCs/>
              </w:rPr>
              <w:t>“Material KPI Failure”</w:t>
            </w:r>
          </w:p>
        </w:tc>
        <w:tc>
          <w:tcPr>
            <w:tcW w:w="5954" w:type="dxa"/>
          </w:tcPr>
          <w:p w14:paraId="0CFCB1E7" w14:textId="77777777" w:rsidR="00920899" w:rsidRPr="00BD6C5F" w:rsidRDefault="00920899" w:rsidP="00920899">
            <w:pPr>
              <w:pStyle w:val="Tablea"/>
            </w:pPr>
            <w:r w:rsidRPr="00BD6C5F">
              <w:t>a Serious KPI Failure;</w:t>
            </w:r>
          </w:p>
          <w:p w14:paraId="5541AAE8" w14:textId="77777777" w:rsidR="00920899" w:rsidRPr="00BD6C5F" w:rsidRDefault="00920899" w:rsidP="00920899">
            <w:pPr>
              <w:pStyle w:val="Tablea"/>
            </w:pPr>
            <w:r w:rsidRPr="00BD6C5F">
              <w:t>a Severe KPI Failure; or</w:t>
            </w:r>
          </w:p>
          <w:p w14:paraId="534664C4" w14:textId="77777777" w:rsidR="00920899" w:rsidRPr="00BD6C5F" w:rsidRDefault="00920899" w:rsidP="00920899">
            <w:pPr>
              <w:pStyle w:val="Tablea"/>
            </w:pPr>
            <w:r w:rsidRPr="00BD6C5F">
              <w:t>a failure by the Supplier to meet a KPI Service Threshold;</w:t>
            </w:r>
          </w:p>
        </w:tc>
      </w:tr>
      <w:tr w:rsidR="00920899" w:rsidRPr="00BD6C5F" w14:paraId="60EFE9FA" w14:textId="77777777" w:rsidTr="00A64142">
        <w:trPr>
          <w:gridBefore w:val="1"/>
          <w:gridAfter w:val="1"/>
          <w:wBefore w:w="10" w:type="dxa"/>
          <w:wAfter w:w="32" w:type="dxa"/>
          <w:trHeight w:val="20"/>
        </w:trPr>
        <w:tc>
          <w:tcPr>
            <w:tcW w:w="3532" w:type="dxa"/>
          </w:tcPr>
          <w:p w14:paraId="343B8D70" w14:textId="6DE8C7AE" w:rsidR="00920899" w:rsidRPr="00BD6C5F" w:rsidRDefault="00920899" w:rsidP="00920899">
            <w:pPr>
              <w:pStyle w:val="Tabletext"/>
              <w:rPr>
                <w:b/>
                <w:bCs/>
              </w:rPr>
            </w:pPr>
            <w:r w:rsidRPr="00BD6C5F">
              <w:rPr>
                <w:b/>
                <w:bCs/>
              </w:rPr>
              <w:t>“Material PI Failure”</w:t>
            </w:r>
          </w:p>
        </w:tc>
        <w:tc>
          <w:tcPr>
            <w:tcW w:w="5954" w:type="dxa"/>
          </w:tcPr>
          <w:p w14:paraId="7B0E4A21" w14:textId="77777777" w:rsidR="00920899" w:rsidRPr="00BD6C5F" w:rsidRDefault="00920899" w:rsidP="00920899">
            <w:pPr>
              <w:pStyle w:val="Tablea"/>
            </w:pPr>
            <w:r w:rsidRPr="00BD6C5F">
              <w:t xml:space="preserve">a failure by the Supplier to meet the PI Service Threshold in respect of 25% or more of the </w:t>
            </w:r>
            <w:r w:rsidRPr="00BD6C5F">
              <w:lastRenderedPageBreak/>
              <w:t>Subsidiary Performance Indicators that are measured in that Service Period; and/or</w:t>
            </w:r>
          </w:p>
          <w:p w14:paraId="03C969E3" w14:textId="6E3ECD4B" w:rsidR="00920899" w:rsidRPr="00BD6C5F" w:rsidRDefault="00920899" w:rsidP="00920899">
            <w:pPr>
              <w:pStyle w:val="Tablea"/>
            </w:pPr>
            <w:r w:rsidRPr="00BD6C5F">
              <w:t>a failure by the Supplier to meet the Target Performance Level in respect of 50% or more of the Subsidiary Performance Indicators that are measured in that Service Period;</w:t>
            </w:r>
          </w:p>
        </w:tc>
      </w:tr>
      <w:tr w:rsidR="00920899" w:rsidRPr="00BD6C5F" w14:paraId="6F96EC08" w14:textId="77777777" w:rsidTr="00A64142">
        <w:trPr>
          <w:gridBefore w:val="1"/>
          <w:gridAfter w:val="1"/>
          <w:wBefore w:w="10" w:type="dxa"/>
          <w:wAfter w:w="32" w:type="dxa"/>
          <w:trHeight w:val="20"/>
        </w:trPr>
        <w:tc>
          <w:tcPr>
            <w:tcW w:w="3532" w:type="dxa"/>
          </w:tcPr>
          <w:p w14:paraId="42425FBB" w14:textId="56803388" w:rsidR="00920899" w:rsidRPr="00BD6C5F" w:rsidRDefault="00920899" w:rsidP="00920899">
            <w:pPr>
              <w:pStyle w:val="Tabletext"/>
              <w:rPr>
                <w:b/>
                <w:bCs/>
              </w:rPr>
            </w:pPr>
            <w:r w:rsidRPr="00BD6C5F">
              <w:rPr>
                <w:b/>
                <w:bCs/>
              </w:rPr>
              <w:lastRenderedPageBreak/>
              <w:t>“Measurement Period”</w:t>
            </w:r>
          </w:p>
        </w:tc>
        <w:tc>
          <w:tcPr>
            <w:tcW w:w="5954" w:type="dxa"/>
          </w:tcPr>
          <w:p w14:paraId="075F56F0" w14:textId="55A345B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relation to a Key Performance Indicator or Subsidiary Performance Indicator, the period over which the Supplier’s performance is measured (for example, a Service Period if measured monthly or a 12 month period if measured annually);</w:t>
            </w:r>
          </w:p>
        </w:tc>
      </w:tr>
      <w:tr w:rsidR="00920899" w:rsidRPr="00BD6C5F" w14:paraId="3A6F8FEB" w14:textId="77777777" w:rsidTr="00A64142">
        <w:trPr>
          <w:gridBefore w:val="1"/>
          <w:gridAfter w:val="1"/>
          <w:wBefore w:w="10" w:type="dxa"/>
          <w:wAfter w:w="32" w:type="dxa"/>
          <w:trHeight w:val="20"/>
        </w:trPr>
        <w:tc>
          <w:tcPr>
            <w:tcW w:w="3532" w:type="dxa"/>
          </w:tcPr>
          <w:p w14:paraId="0BE9ED9D" w14:textId="54547866" w:rsidR="00920899" w:rsidRPr="00BD6C5F" w:rsidRDefault="00920899" w:rsidP="00920899">
            <w:pPr>
              <w:pStyle w:val="Tabletext"/>
              <w:rPr>
                <w:b/>
                <w:bCs/>
              </w:rPr>
            </w:pPr>
            <w:r w:rsidRPr="00BD6C5F">
              <w:rPr>
                <w:b/>
                <w:bCs/>
              </w:rPr>
              <w:t>“Milestone”</w:t>
            </w:r>
          </w:p>
        </w:tc>
        <w:tc>
          <w:tcPr>
            <w:tcW w:w="5954" w:type="dxa"/>
          </w:tcPr>
          <w:p w14:paraId="284D5982"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event or task described in the Implementation Plan which, if applicable, shall be completed by the relevant Milestone Date;</w:t>
            </w:r>
          </w:p>
        </w:tc>
      </w:tr>
      <w:tr w:rsidR="00920899" w:rsidRPr="00BD6C5F" w14:paraId="30327F2B" w14:textId="77777777" w:rsidTr="00A64142">
        <w:trPr>
          <w:gridBefore w:val="1"/>
          <w:gridAfter w:val="1"/>
          <w:wBefore w:w="10" w:type="dxa"/>
          <w:wAfter w:w="32" w:type="dxa"/>
          <w:trHeight w:val="20"/>
        </w:trPr>
        <w:tc>
          <w:tcPr>
            <w:tcW w:w="3532" w:type="dxa"/>
          </w:tcPr>
          <w:p w14:paraId="64F0ECFB" w14:textId="73A806CF" w:rsidR="00920899" w:rsidRPr="00BD6C5F" w:rsidRDefault="00920899" w:rsidP="00920899">
            <w:pPr>
              <w:pStyle w:val="Tabletext"/>
              <w:rPr>
                <w:b/>
                <w:bCs/>
              </w:rPr>
            </w:pPr>
            <w:r w:rsidRPr="00BD6C5F">
              <w:rPr>
                <w:b/>
                <w:bCs/>
              </w:rPr>
              <w:t>“Milestone Achievement Certificate”</w:t>
            </w:r>
          </w:p>
        </w:tc>
        <w:tc>
          <w:tcPr>
            <w:tcW w:w="5954" w:type="dxa"/>
          </w:tcPr>
          <w:p w14:paraId="09C04562" w14:textId="4E8BFE5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certificate to be granted by the Authority when the Supplier has Achieved a Milestone, which shall be in substantially the same form as that set out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Schedule_14_Annex_3 \h </w:instrText>
            </w:r>
            <w:r>
              <w:rPr>
                <w:rFonts w:asciiTheme="minorHAnsi" w:hAnsiTheme="minorHAnsi" w:cstheme="minorHAnsi"/>
              </w:rPr>
            </w:r>
            <w:r>
              <w:rPr>
                <w:rFonts w:asciiTheme="minorHAnsi" w:hAnsiTheme="minorHAnsi" w:cstheme="minorHAnsi"/>
              </w:rPr>
              <w:fldChar w:fldCharType="separate"/>
            </w:r>
            <w:r w:rsidR="009749A0" w:rsidRPr="00BD6C5F">
              <w:t>3</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Schedule_14 \h </w:instrText>
            </w:r>
            <w:r>
              <w:rPr>
                <w:rFonts w:asciiTheme="minorHAnsi" w:hAnsiTheme="minorHAnsi" w:cstheme="minorHAnsi"/>
              </w:rPr>
            </w:r>
            <w:r>
              <w:rPr>
                <w:rFonts w:asciiTheme="minorHAnsi" w:hAnsiTheme="minorHAnsi" w:cstheme="minorHAnsi"/>
              </w:rPr>
              <w:fldChar w:fldCharType="separate"/>
            </w:r>
            <w:r w:rsidR="009749A0">
              <w:t>14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Procedures</w:t>
            </w:r>
            <w:r w:rsidRPr="00BD6C5F">
              <w:rPr>
                <w:rFonts w:asciiTheme="minorHAnsi" w:hAnsiTheme="minorHAnsi" w:cstheme="minorHAnsi"/>
              </w:rPr>
              <w:t>);</w:t>
            </w:r>
          </w:p>
        </w:tc>
      </w:tr>
      <w:tr w:rsidR="00920899" w:rsidRPr="00BD6C5F" w14:paraId="02F5D7AB" w14:textId="77777777" w:rsidTr="00A64142">
        <w:trPr>
          <w:gridBefore w:val="1"/>
          <w:gridAfter w:val="1"/>
          <w:wBefore w:w="10" w:type="dxa"/>
          <w:wAfter w:w="32" w:type="dxa"/>
          <w:trHeight w:val="20"/>
        </w:trPr>
        <w:tc>
          <w:tcPr>
            <w:tcW w:w="3532" w:type="dxa"/>
          </w:tcPr>
          <w:p w14:paraId="1C4561CD" w14:textId="0D120180" w:rsidR="00920899" w:rsidRPr="00BD6C5F" w:rsidRDefault="00920899" w:rsidP="00920899">
            <w:pPr>
              <w:pStyle w:val="Tabletext"/>
              <w:rPr>
                <w:b/>
                <w:bCs/>
              </w:rPr>
            </w:pPr>
            <w:r w:rsidRPr="00BD6C5F">
              <w:rPr>
                <w:b/>
                <w:bCs/>
              </w:rPr>
              <w:t>“Milestone Adjustment Payment Amount”</w:t>
            </w:r>
          </w:p>
        </w:tc>
        <w:tc>
          <w:tcPr>
            <w:tcW w:w="5954" w:type="dxa"/>
          </w:tcPr>
          <w:p w14:paraId="2CC5AC66"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respect of each CPP Milestone the subject of a Milestone Adjustment Payment Notice, an amount determined in accordance with the formula:</w:t>
            </w:r>
          </w:p>
          <w:p w14:paraId="36737E0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 B</w:t>
            </w:r>
          </w:p>
          <w:p w14:paraId="07B5A1A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where:</w:t>
            </w:r>
          </w:p>
          <w:p w14:paraId="5E06C9AC" w14:textId="77777777" w:rsidR="00920899" w:rsidRPr="00BD6C5F" w:rsidRDefault="00920899" w:rsidP="00920899">
            <w:pPr>
              <w:pStyle w:val="Tablea"/>
            </w:pPr>
            <w:r w:rsidRPr="00BD6C5F">
              <w:t>A is an amount equal to the aggregate sum of all Milestone Payments paid to the Supplier in respect of the Milestones (or in the case of Partial Termination, the Milestones for the parts of the Services terminated) relating to that CPP Milestone; and</w:t>
            </w:r>
          </w:p>
          <w:p w14:paraId="4573B50F" w14:textId="77777777" w:rsidR="00920899" w:rsidRPr="00BD6C5F" w:rsidRDefault="00920899" w:rsidP="00920899">
            <w:pPr>
              <w:pStyle w:val="Tablea"/>
            </w:pPr>
            <w:r w:rsidRPr="00BD6C5F">
              <w:t>B is an amount equal to the aggregate Allowable Price for the Retained Deliverables relating to that CPP Milestone or, if there are no such Retained Deliverables, zero;</w:t>
            </w:r>
          </w:p>
        </w:tc>
      </w:tr>
      <w:tr w:rsidR="00920899" w:rsidRPr="00BD6C5F" w14:paraId="67136EF3" w14:textId="77777777" w:rsidTr="00A64142">
        <w:trPr>
          <w:gridBefore w:val="1"/>
          <w:gridAfter w:val="1"/>
          <w:wBefore w:w="10" w:type="dxa"/>
          <w:wAfter w:w="32" w:type="dxa"/>
          <w:trHeight w:val="20"/>
        </w:trPr>
        <w:tc>
          <w:tcPr>
            <w:tcW w:w="3532" w:type="dxa"/>
          </w:tcPr>
          <w:p w14:paraId="2C5F7F15" w14:textId="672E9875" w:rsidR="00920899" w:rsidRPr="00BD6C5F" w:rsidRDefault="00920899" w:rsidP="00920899">
            <w:pPr>
              <w:pStyle w:val="Tabletext"/>
              <w:rPr>
                <w:b/>
                <w:bCs/>
              </w:rPr>
            </w:pPr>
            <w:r w:rsidRPr="00BD6C5F">
              <w:rPr>
                <w:b/>
                <w:bCs/>
              </w:rPr>
              <w:t>“Milestone Adjustment Payment Notice”</w:t>
            </w:r>
          </w:p>
        </w:tc>
        <w:tc>
          <w:tcPr>
            <w:tcW w:w="5954" w:type="dxa"/>
          </w:tcPr>
          <w:p w14:paraId="669B18CD" w14:textId="6BA7C4B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32.7 (</w:t>
            </w:r>
            <w:r w:rsidRPr="00BD6C5F">
              <w:rPr>
                <w:rFonts w:asciiTheme="minorHAnsi" w:hAnsiTheme="minorHAnsi" w:cstheme="minorHAnsi"/>
                <w:i/>
                <w:iCs/>
              </w:rPr>
              <w:t xml:space="preserve">Payments </w:t>
            </w:r>
            <w:r w:rsidRPr="00BD6C5F">
              <w:rPr>
                <w:rFonts w:asciiTheme="minorHAnsi" w:hAnsiTheme="minorHAnsi" w:cstheme="minorHAnsi"/>
                <w:i/>
              </w:rPr>
              <w:t>by the Supplier</w:t>
            </w:r>
            <w:r w:rsidRPr="00BD6C5F">
              <w:rPr>
                <w:rFonts w:asciiTheme="minorHAnsi" w:hAnsiTheme="minorHAnsi" w:cstheme="minorHAnsi"/>
              </w:rPr>
              <w:t>);</w:t>
            </w:r>
          </w:p>
        </w:tc>
      </w:tr>
      <w:tr w:rsidR="00920899" w:rsidRPr="00BD6C5F" w14:paraId="253B4D31" w14:textId="77777777" w:rsidTr="00A64142">
        <w:trPr>
          <w:gridBefore w:val="1"/>
          <w:gridAfter w:val="1"/>
          <w:wBefore w:w="10" w:type="dxa"/>
          <w:wAfter w:w="32" w:type="dxa"/>
          <w:trHeight w:val="20"/>
        </w:trPr>
        <w:tc>
          <w:tcPr>
            <w:tcW w:w="3532" w:type="dxa"/>
          </w:tcPr>
          <w:p w14:paraId="28073A39" w14:textId="64434C6C" w:rsidR="00920899" w:rsidRPr="00BD6C5F" w:rsidRDefault="00920899" w:rsidP="00920899">
            <w:pPr>
              <w:pStyle w:val="Tabletext"/>
              <w:rPr>
                <w:b/>
                <w:bCs/>
              </w:rPr>
            </w:pPr>
            <w:r w:rsidRPr="00BD6C5F">
              <w:rPr>
                <w:b/>
                <w:bCs/>
              </w:rPr>
              <w:t>“Milestone Date”</w:t>
            </w:r>
          </w:p>
        </w:tc>
        <w:tc>
          <w:tcPr>
            <w:tcW w:w="5954" w:type="dxa"/>
          </w:tcPr>
          <w:p w14:paraId="38516277"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target date set out against the relevant Milestone in the Implementation Plan by which the Milestone must be Achieved;</w:t>
            </w:r>
          </w:p>
        </w:tc>
      </w:tr>
      <w:tr w:rsidR="00920899" w:rsidRPr="00BD6C5F" w14:paraId="28A6F41B" w14:textId="77777777" w:rsidTr="00A64142">
        <w:trPr>
          <w:gridBefore w:val="1"/>
          <w:gridAfter w:val="1"/>
          <w:wBefore w:w="10" w:type="dxa"/>
          <w:wAfter w:w="32" w:type="dxa"/>
          <w:trHeight w:val="20"/>
        </w:trPr>
        <w:tc>
          <w:tcPr>
            <w:tcW w:w="3532" w:type="dxa"/>
          </w:tcPr>
          <w:p w14:paraId="6F0D2218" w14:textId="3CC97A64" w:rsidR="00920899" w:rsidRPr="00BD6C5F" w:rsidRDefault="00920899" w:rsidP="00920899">
            <w:pPr>
              <w:pStyle w:val="Tabletext"/>
              <w:rPr>
                <w:b/>
                <w:bCs/>
              </w:rPr>
            </w:pPr>
            <w:r w:rsidRPr="00BD6C5F">
              <w:rPr>
                <w:b/>
                <w:bCs/>
              </w:rPr>
              <w:t>“Milestone Payment”</w:t>
            </w:r>
          </w:p>
        </w:tc>
        <w:tc>
          <w:tcPr>
            <w:tcW w:w="5954" w:type="dxa"/>
          </w:tcPr>
          <w:p w14:paraId="65E1F5FE" w14:textId="085B880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payment identified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to be made following the issue of a Milestone Achievement Certificate;</w:t>
            </w:r>
          </w:p>
        </w:tc>
      </w:tr>
      <w:tr w:rsidR="00920899" w:rsidRPr="00BD6C5F" w14:paraId="39CB1380" w14:textId="77777777" w:rsidTr="00A64142">
        <w:trPr>
          <w:gridBefore w:val="1"/>
          <w:gridAfter w:val="1"/>
          <w:wBefore w:w="10" w:type="dxa"/>
          <w:wAfter w:w="32" w:type="dxa"/>
          <w:trHeight w:val="20"/>
        </w:trPr>
        <w:tc>
          <w:tcPr>
            <w:tcW w:w="3532" w:type="dxa"/>
          </w:tcPr>
          <w:p w14:paraId="27EF79B1" w14:textId="0DC8E3BE" w:rsidR="00920899" w:rsidRPr="00BD6C5F" w:rsidRDefault="00920899" w:rsidP="00920899">
            <w:pPr>
              <w:pStyle w:val="Tabletext"/>
              <w:rPr>
                <w:b/>
                <w:bCs/>
              </w:rPr>
            </w:pPr>
            <w:r w:rsidRPr="00BD6C5F">
              <w:rPr>
                <w:b/>
                <w:bCs/>
              </w:rPr>
              <w:lastRenderedPageBreak/>
              <w:t>“Milestone Retention”</w:t>
            </w:r>
          </w:p>
        </w:tc>
        <w:tc>
          <w:tcPr>
            <w:tcW w:w="5954" w:type="dxa"/>
          </w:tcPr>
          <w:p w14:paraId="291C3286" w14:textId="06D480B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36F2A09D" w14:textId="77777777" w:rsidTr="00A64142">
        <w:trPr>
          <w:gridBefore w:val="1"/>
          <w:gridAfter w:val="1"/>
          <w:wBefore w:w="10" w:type="dxa"/>
          <w:wAfter w:w="32" w:type="dxa"/>
          <w:trHeight w:val="20"/>
        </w:trPr>
        <w:tc>
          <w:tcPr>
            <w:tcW w:w="3532" w:type="dxa"/>
          </w:tcPr>
          <w:p w14:paraId="3EB7E0A7" w14:textId="54AFCEE8" w:rsidR="00920899" w:rsidRPr="00BD6C5F" w:rsidRDefault="00920899" w:rsidP="00920899">
            <w:pPr>
              <w:pStyle w:val="Tabletext"/>
              <w:rPr>
                <w:b/>
                <w:bCs/>
              </w:rPr>
            </w:pPr>
            <w:r w:rsidRPr="00BD6C5F">
              <w:rPr>
                <w:b/>
                <w:bCs/>
              </w:rPr>
              <w:t>“Minor KPI Failure”</w:t>
            </w:r>
          </w:p>
        </w:tc>
        <w:tc>
          <w:tcPr>
            <w:tcW w:w="5954" w:type="dxa"/>
          </w:tcPr>
          <w:p w14:paraId="2F3247A0" w14:textId="1AC617A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be as set out against the relevant Key Performance Indicator in Table 1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2D3B20EF" w14:textId="77777777" w:rsidTr="00A64142">
        <w:trPr>
          <w:gridBefore w:val="1"/>
          <w:gridAfter w:val="1"/>
          <w:wBefore w:w="10" w:type="dxa"/>
          <w:wAfter w:w="32" w:type="dxa"/>
          <w:trHeight w:val="20"/>
        </w:trPr>
        <w:tc>
          <w:tcPr>
            <w:tcW w:w="3532" w:type="dxa"/>
          </w:tcPr>
          <w:p w14:paraId="76D353FC" w14:textId="789F77F2" w:rsidR="00920899" w:rsidRPr="00BD6C5F" w:rsidRDefault="00920899" w:rsidP="00920899">
            <w:pPr>
              <w:pStyle w:val="Tabletext"/>
              <w:rPr>
                <w:b/>
                <w:bCs/>
              </w:rPr>
            </w:pPr>
            <w:r w:rsidRPr="00BD6C5F">
              <w:rPr>
                <w:b/>
                <w:bCs/>
                <w:highlight w:val="yellow"/>
              </w:rPr>
              <w:t>[Optional: “Modern Slavery Assessment Tool”</w:t>
            </w:r>
          </w:p>
          <w:p w14:paraId="56714047" w14:textId="4843F351" w:rsidR="00920899" w:rsidRPr="00BD6C5F" w:rsidRDefault="00920899" w:rsidP="00920899">
            <w:pPr>
              <w:pStyle w:val="Tabletext"/>
              <w:rPr>
                <w:b/>
                <w:bCs/>
                <w:iCs/>
              </w:rPr>
            </w:pPr>
            <w:r w:rsidRPr="00BD6C5F">
              <w:rPr>
                <w:b/>
                <w:bCs/>
                <w:iCs/>
                <w:highlight w:val="yellow"/>
              </w:rPr>
              <w:t>[</w:t>
            </w:r>
            <w:r w:rsidRPr="00B13C04">
              <w:rPr>
                <w:b/>
                <w:bCs/>
                <w:i/>
                <w:highlight w:val="yellow"/>
              </w:rPr>
              <w:t>Guidance: Include this definition if Optional Clause 33.8</w:t>
            </w:r>
            <w:r w:rsidR="008E2FFE">
              <w:rPr>
                <w:b/>
                <w:bCs/>
                <w:i/>
                <w:highlight w:val="yellow"/>
              </w:rPr>
              <w:t>.8</w:t>
            </w:r>
            <w:r w:rsidRPr="00B13C04">
              <w:rPr>
                <w:b/>
                <w:bCs/>
                <w:i/>
                <w:highlight w:val="yellow"/>
              </w:rPr>
              <w:t xml:space="preserve"> is included in the Core Terms</w:t>
            </w:r>
            <w:r w:rsidRPr="006D1202">
              <w:rPr>
                <w:iCs/>
                <w:highlight w:val="yellow"/>
              </w:rPr>
              <w:t>]</w:t>
            </w:r>
          </w:p>
        </w:tc>
        <w:tc>
          <w:tcPr>
            <w:tcW w:w="5954" w:type="dxa"/>
          </w:tcPr>
          <w:p w14:paraId="51BBD083" w14:textId="7F7B776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modern slavery risk identification and management tool which can be found online at: </w:t>
            </w:r>
            <w:hyperlink r:id="rId20" w:history="1">
              <w:r w:rsidRPr="00BD6C5F">
                <w:rPr>
                  <w:rStyle w:val="Hyperlink"/>
                  <w:rFonts w:asciiTheme="minorHAnsi" w:eastAsiaTheme="majorEastAsia" w:hAnsiTheme="minorHAnsi" w:cstheme="minorHAnsi"/>
                </w:rPr>
                <w:t>https://supplierregistration.cabinetoffice.gov.uk/msat</w:t>
              </w:r>
            </w:hyperlink>
            <w:r w:rsidRPr="00BD6C5F">
              <w:rPr>
                <w:rFonts w:asciiTheme="minorHAnsi" w:hAnsiTheme="minorHAnsi" w:cstheme="minorHAnsi"/>
              </w:rPr>
              <w:t xml:space="preserve">] </w:t>
            </w:r>
          </w:p>
        </w:tc>
      </w:tr>
      <w:tr w:rsidR="00920899" w:rsidRPr="00BD6C5F" w14:paraId="573F32E2" w14:textId="77777777" w:rsidTr="00A64142">
        <w:trPr>
          <w:gridBefore w:val="1"/>
          <w:gridAfter w:val="1"/>
          <w:wBefore w:w="10" w:type="dxa"/>
          <w:wAfter w:w="32" w:type="dxa"/>
          <w:trHeight w:val="20"/>
        </w:trPr>
        <w:tc>
          <w:tcPr>
            <w:tcW w:w="3532" w:type="dxa"/>
          </w:tcPr>
          <w:p w14:paraId="1508788F" w14:textId="029734A9" w:rsidR="00920899" w:rsidRPr="00BD6C5F" w:rsidRDefault="00920899" w:rsidP="00920899">
            <w:pPr>
              <w:pStyle w:val="Tabletext"/>
              <w:rPr>
                <w:b/>
                <w:bCs/>
              </w:rPr>
            </w:pPr>
            <w:r w:rsidRPr="00BD6C5F">
              <w:rPr>
                <w:b/>
                <w:bCs/>
              </w:rPr>
              <w:t>“month”</w:t>
            </w:r>
          </w:p>
        </w:tc>
        <w:tc>
          <w:tcPr>
            <w:tcW w:w="5954" w:type="dxa"/>
          </w:tcPr>
          <w:p w14:paraId="0105D168" w14:textId="0080D85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calendar month and “</w:t>
            </w:r>
            <w:r w:rsidRPr="00BD6C5F">
              <w:rPr>
                <w:rFonts w:asciiTheme="minorHAnsi" w:hAnsiTheme="minorHAnsi" w:cstheme="minorHAnsi"/>
                <w:b/>
              </w:rPr>
              <w:t>monthly</w:t>
            </w:r>
            <w:r w:rsidRPr="00BD6C5F">
              <w:rPr>
                <w:rFonts w:asciiTheme="minorHAnsi" w:hAnsiTheme="minorHAnsi" w:cstheme="minorHAnsi"/>
              </w:rPr>
              <w:t>” shall be interpreted accordingly;</w:t>
            </w:r>
          </w:p>
        </w:tc>
      </w:tr>
      <w:tr w:rsidR="00920899" w:rsidRPr="00BD6C5F" w14:paraId="2A808DFB" w14:textId="77777777" w:rsidTr="00A64142">
        <w:trPr>
          <w:gridBefore w:val="1"/>
          <w:gridAfter w:val="1"/>
          <w:wBefore w:w="10" w:type="dxa"/>
          <w:wAfter w:w="32" w:type="dxa"/>
          <w:trHeight w:val="20"/>
        </w:trPr>
        <w:tc>
          <w:tcPr>
            <w:tcW w:w="3532" w:type="dxa"/>
          </w:tcPr>
          <w:p w14:paraId="2E8FF978" w14:textId="29E4DB5A" w:rsidR="00920899" w:rsidRPr="00BD6C5F" w:rsidRDefault="00920899" w:rsidP="00920899">
            <w:pPr>
              <w:pStyle w:val="Tabletext"/>
              <w:rPr>
                <w:b/>
                <w:bCs/>
              </w:rPr>
            </w:pPr>
            <w:r w:rsidRPr="00BD6C5F">
              <w:rPr>
                <w:b/>
                <w:bCs/>
              </w:rPr>
              <w:t>“Multi-Party Dispute Resolution Procedure”</w:t>
            </w:r>
          </w:p>
        </w:tc>
        <w:tc>
          <w:tcPr>
            <w:tcW w:w="5954" w:type="dxa"/>
          </w:tcPr>
          <w:p w14:paraId="64624F14" w14:textId="1D35FFB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_Ref98318141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9.1</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28D9E533" w14:textId="77777777" w:rsidTr="00A64142">
        <w:trPr>
          <w:gridBefore w:val="1"/>
          <w:gridAfter w:val="1"/>
          <w:wBefore w:w="10" w:type="dxa"/>
          <w:wAfter w:w="32" w:type="dxa"/>
          <w:trHeight w:val="20"/>
        </w:trPr>
        <w:tc>
          <w:tcPr>
            <w:tcW w:w="3532" w:type="dxa"/>
          </w:tcPr>
          <w:p w14:paraId="20D39640" w14:textId="54696FD4" w:rsidR="00920899" w:rsidRPr="00BD6C5F" w:rsidRDefault="00920899" w:rsidP="00920899">
            <w:pPr>
              <w:pStyle w:val="Tabletext"/>
              <w:rPr>
                <w:b/>
                <w:bCs/>
              </w:rPr>
            </w:pPr>
            <w:r w:rsidRPr="00BD6C5F">
              <w:rPr>
                <w:b/>
                <w:bCs/>
              </w:rPr>
              <w:t>“Multi-Party Procedure Initiation Notice”</w:t>
            </w:r>
          </w:p>
        </w:tc>
        <w:tc>
          <w:tcPr>
            <w:tcW w:w="5954" w:type="dxa"/>
          </w:tcPr>
          <w:p w14:paraId="7037D456" w14:textId="406CC30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_Ref98318184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9.2</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Schedule_23 \h </w:instrText>
            </w:r>
            <w:r>
              <w:rPr>
                <w:rFonts w:asciiTheme="minorHAnsi" w:hAnsiTheme="minorHAnsi" w:cstheme="minorHAnsi"/>
              </w:rPr>
            </w:r>
            <w:r>
              <w:rPr>
                <w:rFonts w:asciiTheme="minorHAnsi" w:hAnsiTheme="minorHAnsi" w:cstheme="minorHAnsi"/>
              </w:rPr>
              <w:fldChar w:fldCharType="separate"/>
            </w:r>
            <w:r w:rsidR="009749A0">
              <w:t>23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Dispute Resolution Procedure</w:t>
            </w:r>
            <w:r w:rsidRPr="00BD6C5F">
              <w:rPr>
                <w:rFonts w:asciiTheme="minorHAnsi" w:hAnsiTheme="minorHAnsi" w:cstheme="minorHAnsi"/>
              </w:rPr>
              <w:t>);</w:t>
            </w:r>
          </w:p>
        </w:tc>
      </w:tr>
      <w:tr w:rsidR="00920899" w:rsidRPr="00BD6C5F" w14:paraId="058AD4A3" w14:textId="77777777" w:rsidTr="00A64142">
        <w:trPr>
          <w:gridBefore w:val="1"/>
          <w:gridAfter w:val="1"/>
          <w:wBefore w:w="10" w:type="dxa"/>
          <w:wAfter w:w="32" w:type="dxa"/>
          <w:trHeight w:val="20"/>
        </w:trPr>
        <w:tc>
          <w:tcPr>
            <w:tcW w:w="3532" w:type="dxa"/>
          </w:tcPr>
          <w:p w14:paraId="4A3A960A" w14:textId="61AF38A3" w:rsidR="00920899" w:rsidRPr="00BD6C5F" w:rsidRDefault="00920899" w:rsidP="00920899">
            <w:pPr>
              <w:pStyle w:val="Tabletext"/>
              <w:rPr>
                <w:b/>
                <w:bCs/>
              </w:rPr>
            </w:pPr>
            <w:r w:rsidRPr="00BD6C5F">
              <w:rPr>
                <w:b/>
                <w:bCs/>
              </w:rPr>
              <w:t>“NCSC”</w:t>
            </w:r>
          </w:p>
        </w:tc>
        <w:tc>
          <w:tcPr>
            <w:tcW w:w="5954" w:type="dxa"/>
          </w:tcPr>
          <w:p w14:paraId="449AE688"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National Cyber Security Centre or any replacement or successor body carrying out the same function;</w:t>
            </w:r>
          </w:p>
        </w:tc>
      </w:tr>
      <w:tr w:rsidR="00920899" w:rsidRPr="00BD6C5F" w14:paraId="275900A7" w14:textId="77777777" w:rsidTr="00A64142">
        <w:trPr>
          <w:gridBefore w:val="1"/>
          <w:gridAfter w:val="1"/>
          <w:wBefore w:w="10" w:type="dxa"/>
          <w:wAfter w:w="32" w:type="dxa"/>
          <w:trHeight w:val="20"/>
        </w:trPr>
        <w:tc>
          <w:tcPr>
            <w:tcW w:w="3532" w:type="dxa"/>
          </w:tcPr>
          <w:p w14:paraId="3A0C33E7" w14:textId="7EA2C6E8" w:rsidR="00920899" w:rsidRPr="00BD6C5F" w:rsidRDefault="00920899" w:rsidP="00920899">
            <w:pPr>
              <w:pStyle w:val="Tabletext"/>
              <w:rPr>
                <w:b/>
                <w:bCs/>
              </w:rPr>
            </w:pPr>
            <w:r w:rsidRPr="00BD6C5F">
              <w:rPr>
                <w:b/>
                <w:bCs/>
              </w:rPr>
              <w:t>“New Releases”</w:t>
            </w:r>
          </w:p>
        </w:tc>
        <w:tc>
          <w:tcPr>
            <w:tcW w:w="5954" w:type="dxa"/>
          </w:tcPr>
          <w:p w14:paraId="012FF1B9"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920899" w:rsidRPr="00BD6C5F" w14:paraId="51AA3306" w14:textId="77777777" w:rsidTr="00A64142">
        <w:trPr>
          <w:gridBefore w:val="1"/>
          <w:gridAfter w:val="1"/>
          <w:wBefore w:w="10" w:type="dxa"/>
          <w:wAfter w:w="32" w:type="dxa"/>
          <w:trHeight w:val="20"/>
        </w:trPr>
        <w:tc>
          <w:tcPr>
            <w:tcW w:w="3532" w:type="dxa"/>
          </w:tcPr>
          <w:p w14:paraId="1C7AD439" w14:textId="60EA4FB3" w:rsidR="00920899" w:rsidRPr="00BD6C5F" w:rsidRDefault="00920899" w:rsidP="00920899">
            <w:pPr>
              <w:pStyle w:val="Tabletext"/>
              <w:rPr>
                <w:b/>
                <w:bCs/>
              </w:rPr>
            </w:pPr>
            <w:r w:rsidRPr="00BD6C5F">
              <w:rPr>
                <w:b/>
                <w:bCs/>
              </w:rPr>
              <w:t>“Non-trivial Customer Base”</w:t>
            </w:r>
          </w:p>
        </w:tc>
        <w:tc>
          <w:tcPr>
            <w:tcW w:w="5954" w:type="dxa"/>
          </w:tcPr>
          <w:p w14:paraId="2F2C4D9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significant customer base with respect to the date of first release and the relevant market but excluding Affiliates and other entities related to the licensor;</w:t>
            </w:r>
          </w:p>
        </w:tc>
      </w:tr>
      <w:tr w:rsidR="00920899" w:rsidRPr="00BD6C5F" w14:paraId="5EA964CD" w14:textId="77777777" w:rsidTr="00A64142">
        <w:trPr>
          <w:gridBefore w:val="1"/>
          <w:gridAfter w:val="1"/>
          <w:wBefore w:w="10" w:type="dxa"/>
          <w:wAfter w:w="32" w:type="dxa"/>
          <w:trHeight w:val="20"/>
        </w:trPr>
        <w:tc>
          <w:tcPr>
            <w:tcW w:w="3532" w:type="dxa"/>
          </w:tcPr>
          <w:p w14:paraId="09744B1B" w14:textId="292AC481" w:rsidR="00920899" w:rsidRPr="00BD6C5F" w:rsidRDefault="00920899" w:rsidP="00920899">
            <w:pPr>
              <w:pStyle w:val="Tabletext"/>
              <w:rPr>
                <w:b/>
                <w:bCs/>
              </w:rPr>
            </w:pPr>
            <w:r w:rsidRPr="00BD6C5F">
              <w:rPr>
                <w:b/>
                <w:bCs/>
              </w:rPr>
              <w:t>“Non-retained Deliverables”</w:t>
            </w:r>
          </w:p>
        </w:tc>
        <w:tc>
          <w:tcPr>
            <w:tcW w:w="5954" w:type="dxa"/>
          </w:tcPr>
          <w:p w14:paraId="2A461BE8" w14:textId="7AFD36B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relation to a CPP Milestone Payment Notice and each CPP Milestone the subject of that CPP Milestone Payment Notice, Deliverables provided to the Authority which relate to the relevant CPP Milestone(s) and which are not Retained Deliverables;</w:t>
            </w:r>
          </w:p>
        </w:tc>
      </w:tr>
      <w:tr w:rsidR="00920899" w:rsidRPr="00BD6C5F" w14:paraId="4F307C1F" w14:textId="77777777" w:rsidTr="00A64142">
        <w:trPr>
          <w:gridBefore w:val="1"/>
          <w:gridAfter w:val="1"/>
          <w:wBefore w:w="10" w:type="dxa"/>
          <w:wAfter w:w="32" w:type="dxa"/>
          <w:trHeight w:val="20"/>
        </w:trPr>
        <w:tc>
          <w:tcPr>
            <w:tcW w:w="3532" w:type="dxa"/>
          </w:tcPr>
          <w:p w14:paraId="73043359" w14:textId="081B05DB" w:rsidR="00920899" w:rsidRPr="00BD6C5F" w:rsidRDefault="00920899" w:rsidP="00920899">
            <w:pPr>
              <w:pStyle w:val="Tabletext"/>
              <w:rPr>
                <w:b/>
                <w:bCs/>
              </w:rPr>
            </w:pPr>
            <w:r w:rsidRPr="00BD6C5F">
              <w:rPr>
                <w:b/>
                <w:bCs/>
              </w:rPr>
              <w:t>“Notifiable Default”</w:t>
            </w:r>
          </w:p>
        </w:tc>
        <w:tc>
          <w:tcPr>
            <w:tcW w:w="5954" w:type="dxa"/>
          </w:tcPr>
          <w:p w14:paraId="0332CEB4" w14:textId="1E32023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have the meaning given in Clause 25.1 (</w:t>
            </w:r>
            <w:r w:rsidRPr="00BD6C5F">
              <w:rPr>
                <w:rFonts w:asciiTheme="minorHAnsi" w:hAnsiTheme="minorHAnsi" w:cstheme="minorHAnsi"/>
                <w:i/>
              </w:rPr>
              <w:t>Rectification Plan Process</w:t>
            </w:r>
            <w:r w:rsidRPr="00BD6C5F">
              <w:rPr>
                <w:rFonts w:asciiTheme="minorHAnsi" w:hAnsiTheme="minorHAnsi" w:cstheme="minorHAnsi"/>
              </w:rPr>
              <w:t>);</w:t>
            </w:r>
          </w:p>
        </w:tc>
      </w:tr>
      <w:tr w:rsidR="00920899" w:rsidRPr="00BD6C5F" w14:paraId="67F57FFB" w14:textId="77777777" w:rsidTr="00A64142">
        <w:trPr>
          <w:gridBefore w:val="1"/>
          <w:gridAfter w:val="1"/>
          <w:wBefore w:w="10" w:type="dxa"/>
          <w:wAfter w:w="32" w:type="dxa"/>
          <w:trHeight w:val="20"/>
        </w:trPr>
        <w:tc>
          <w:tcPr>
            <w:tcW w:w="3532" w:type="dxa"/>
          </w:tcPr>
          <w:p w14:paraId="12169BF7" w14:textId="7271A679" w:rsidR="00920899" w:rsidRPr="00BD6C5F" w:rsidRDefault="00920899" w:rsidP="00920899">
            <w:pPr>
              <w:pStyle w:val="Tabletext"/>
              <w:rPr>
                <w:b/>
                <w:bCs/>
              </w:rPr>
            </w:pPr>
            <w:r w:rsidRPr="00BD6C5F">
              <w:rPr>
                <w:b/>
                <w:bCs/>
              </w:rPr>
              <w:t>“Object Code”</w:t>
            </w:r>
          </w:p>
        </w:tc>
        <w:tc>
          <w:tcPr>
            <w:tcW w:w="5954" w:type="dxa"/>
          </w:tcPr>
          <w:p w14:paraId="086A1007"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software and/or data in machine-readable, compiled object code form;</w:t>
            </w:r>
          </w:p>
        </w:tc>
      </w:tr>
      <w:tr w:rsidR="00920899" w:rsidRPr="00BD6C5F" w14:paraId="431287AE" w14:textId="77777777" w:rsidTr="00A64142">
        <w:trPr>
          <w:gridBefore w:val="1"/>
          <w:gridAfter w:val="1"/>
          <w:wBefore w:w="10" w:type="dxa"/>
          <w:wAfter w:w="32" w:type="dxa"/>
          <w:trHeight w:val="20"/>
        </w:trPr>
        <w:tc>
          <w:tcPr>
            <w:tcW w:w="3532" w:type="dxa"/>
          </w:tcPr>
          <w:p w14:paraId="503BBD2A" w14:textId="0D2183DA" w:rsidR="00920899" w:rsidRPr="00BD6C5F" w:rsidRDefault="00920899" w:rsidP="00920899">
            <w:pPr>
              <w:pStyle w:val="Tabletext"/>
              <w:rPr>
                <w:b/>
                <w:bCs/>
              </w:rPr>
            </w:pPr>
            <w:r w:rsidRPr="00BD6C5F">
              <w:rPr>
                <w:b/>
                <w:bCs/>
              </w:rPr>
              <w:t>“Occasion of Tax Non-Compliance”</w:t>
            </w:r>
          </w:p>
        </w:tc>
        <w:tc>
          <w:tcPr>
            <w:tcW w:w="5954" w:type="dxa"/>
          </w:tcPr>
          <w:p w14:paraId="1ED4CD33" w14:textId="265E77AD" w:rsidR="00920899" w:rsidRPr="00BD6C5F" w:rsidRDefault="00920899" w:rsidP="00920899">
            <w:pPr>
              <w:pStyle w:val="Tablea"/>
            </w:pPr>
            <w:r w:rsidRPr="00BD6C5F">
              <w:t xml:space="preserve">any tax return of the Supplier submitted to a Relevant Tax Authority on or after 1 October </w:t>
            </w:r>
            <w:r w:rsidRPr="00BD6C5F">
              <w:lastRenderedPageBreak/>
              <w:t>2012 is found on or after 1 April 2013 to be incorrect as a result of:</w:t>
            </w:r>
          </w:p>
          <w:p w14:paraId="64D0E84E" w14:textId="77777777" w:rsidR="00920899" w:rsidRPr="00BD6C5F" w:rsidRDefault="00920899" w:rsidP="00920899">
            <w:pPr>
              <w:pStyle w:val="Tableai"/>
            </w:pPr>
            <w:r w:rsidRPr="00BD6C5F">
              <w:t>a Relevant Tax Authority successfully challenging the Supplier under the General Anti- Abuse Rule or the Halifax Abuse Principle or under any tax rules or legislation that have an effect equivalent or similar to the General Anti-Abuse Rule or the Halifax Abuse Principle;</w:t>
            </w:r>
          </w:p>
          <w:p w14:paraId="3D6CDCD1" w14:textId="77777777" w:rsidR="00920899" w:rsidRPr="00BD6C5F" w:rsidRDefault="00920899" w:rsidP="00920899">
            <w:pPr>
              <w:pStyle w:val="Tableai"/>
            </w:pPr>
            <w:r w:rsidRPr="00BD6C5F">
              <w:t>the failure of an avoidance scheme which the Supplier was involved in, and which was, or should have been, notified to a Relevant Tax Authority under the DOTAS or any equivalent or similar regime; and/or</w:t>
            </w:r>
          </w:p>
          <w:p w14:paraId="146007A9" w14:textId="45528BDB" w:rsidR="00920899" w:rsidRPr="00BD6C5F" w:rsidRDefault="00920899" w:rsidP="00920899">
            <w:pPr>
              <w:pStyle w:val="Tablea"/>
            </w:pPr>
            <w:r w:rsidRPr="00BD6C5F">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920899" w:rsidRPr="00BD6C5F" w14:paraId="15C2B162" w14:textId="77777777" w:rsidTr="00A64142">
        <w:trPr>
          <w:gridBefore w:val="1"/>
          <w:gridAfter w:val="1"/>
          <w:wBefore w:w="10" w:type="dxa"/>
          <w:wAfter w:w="32" w:type="dxa"/>
          <w:trHeight w:val="20"/>
        </w:trPr>
        <w:tc>
          <w:tcPr>
            <w:tcW w:w="3532" w:type="dxa"/>
          </w:tcPr>
          <w:p w14:paraId="38EBFB46" w14:textId="0BA1FBF4" w:rsidR="00920899" w:rsidRPr="00BD6C5F" w:rsidRDefault="00920899" w:rsidP="00920899">
            <w:pPr>
              <w:pStyle w:val="Tabletext"/>
              <w:rPr>
                <w:b/>
                <w:bCs/>
              </w:rPr>
            </w:pPr>
            <w:r w:rsidRPr="00BD6C5F">
              <w:rPr>
                <w:b/>
                <w:bCs/>
              </w:rPr>
              <w:lastRenderedPageBreak/>
              <w:t>“Open Book Data”</w:t>
            </w:r>
          </w:p>
        </w:tc>
        <w:tc>
          <w:tcPr>
            <w:tcW w:w="5954" w:type="dxa"/>
          </w:tcPr>
          <w:p w14:paraId="501376D5" w14:textId="01E59A8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Schedule_19 \h </w:instrText>
            </w:r>
            <w:r>
              <w:rPr>
                <w:rFonts w:asciiTheme="minorHAnsi" w:hAnsiTheme="minorHAnsi" w:cstheme="minorHAnsi"/>
              </w:rPr>
            </w:r>
            <w:r>
              <w:rPr>
                <w:rFonts w:asciiTheme="minorHAnsi" w:hAnsiTheme="minorHAnsi" w:cstheme="minorHAnsi"/>
              </w:rPr>
              <w:fldChar w:fldCharType="separate"/>
            </w:r>
            <w:r w:rsidR="009749A0">
              <w:t>19</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Reports and Audit Rights</w:t>
            </w:r>
            <w:r w:rsidRPr="00BD6C5F">
              <w:rPr>
                <w:rFonts w:asciiTheme="minorHAnsi" w:hAnsiTheme="minorHAnsi" w:cstheme="minorHAnsi"/>
              </w:rPr>
              <w:t>);</w:t>
            </w:r>
          </w:p>
        </w:tc>
      </w:tr>
      <w:tr w:rsidR="00920899" w:rsidRPr="00BD6C5F" w14:paraId="47068E02" w14:textId="77777777" w:rsidTr="00A64142">
        <w:trPr>
          <w:gridBefore w:val="1"/>
          <w:gridAfter w:val="1"/>
          <w:wBefore w:w="10" w:type="dxa"/>
          <w:wAfter w:w="32" w:type="dxa"/>
          <w:trHeight w:val="20"/>
        </w:trPr>
        <w:tc>
          <w:tcPr>
            <w:tcW w:w="3532" w:type="dxa"/>
          </w:tcPr>
          <w:p w14:paraId="71F71526" w14:textId="02E30C91" w:rsidR="00920899" w:rsidRPr="00BD6C5F" w:rsidRDefault="00920899" w:rsidP="00920899">
            <w:pPr>
              <w:pStyle w:val="Tabletext"/>
              <w:rPr>
                <w:b/>
                <w:bCs/>
              </w:rPr>
            </w:pPr>
            <w:r w:rsidRPr="00BD6C5F">
              <w:rPr>
                <w:b/>
                <w:bCs/>
              </w:rPr>
              <w:t xml:space="preserve">“Open </w:t>
            </w:r>
            <w:r w:rsidR="00C05246">
              <w:rPr>
                <w:b/>
                <w:bCs/>
              </w:rPr>
              <w:t>Licence</w:t>
            </w:r>
            <w:r w:rsidRPr="00BD6C5F">
              <w:rPr>
                <w:b/>
                <w:bCs/>
              </w:rPr>
              <w:t>”</w:t>
            </w:r>
          </w:p>
        </w:tc>
        <w:tc>
          <w:tcPr>
            <w:tcW w:w="5954" w:type="dxa"/>
          </w:tcPr>
          <w:p w14:paraId="2EF34E10" w14:textId="1BB6DADD" w:rsidR="00920899" w:rsidRPr="00200FB5" w:rsidRDefault="00200FB5" w:rsidP="00200FB5">
            <w:pPr>
              <w:pStyle w:val="Tabletext"/>
              <w:rPr>
                <w:rFonts w:asciiTheme="minorHAnsi" w:hAnsiTheme="minorHAnsi" w:cstheme="minorHAnsi"/>
              </w:rPr>
            </w:pPr>
            <w:r w:rsidRPr="00200FB5">
              <w:rPr>
                <w:rFonts w:asciiTheme="minorHAnsi" w:hAnsiTheme="minorHAnsi" w:cstheme="minorHAnsi"/>
              </w:rPr>
              <w:t xml:space="preserve">means any material that is published for use, with rights to access, copy and modify and publish, by any person for free, under a generally recognised open licence including Open Government Licence as set out at http://www.nationalarchives.gov.uk/doc/open-government-licence/version/3/ and the Open Standards Principles documented at </w:t>
            </w:r>
            <w:hyperlink r:id="rId21" w:history="1">
              <w:r w:rsidR="00C61BA0" w:rsidRPr="00C870F6">
                <w:rPr>
                  <w:rStyle w:val="Hyperlink"/>
                  <w:rFonts w:asciiTheme="minorHAnsi" w:hAnsiTheme="minorHAnsi" w:cstheme="minorHAnsi"/>
                </w:rPr>
                <w:t>https://www.gov.uk/government/publications/open-standards-principles/open-standards-principles</w:t>
              </w:r>
            </w:hyperlink>
            <w:r w:rsidR="00C61BA0">
              <w:rPr>
                <w:rFonts w:asciiTheme="minorHAnsi" w:hAnsiTheme="minorHAnsi" w:cstheme="minorHAnsi"/>
              </w:rPr>
              <w:t xml:space="preserve"> </w:t>
            </w:r>
            <w:r w:rsidR="00920899" w:rsidRPr="00200FB5">
              <w:rPr>
                <w:rFonts w:asciiTheme="minorHAnsi" w:hAnsiTheme="minorHAnsi" w:cstheme="minorHAnsi"/>
              </w:rPr>
              <w:t>, and includes the Open Source publication of Software;</w:t>
            </w:r>
          </w:p>
        </w:tc>
      </w:tr>
      <w:tr w:rsidR="00920899" w:rsidRPr="00BD6C5F" w14:paraId="68FD6204" w14:textId="77777777" w:rsidTr="00A64142">
        <w:trPr>
          <w:gridBefore w:val="1"/>
          <w:gridAfter w:val="1"/>
          <w:wBefore w:w="10" w:type="dxa"/>
          <w:wAfter w:w="32" w:type="dxa"/>
          <w:trHeight w:val="20"/>
        </w:trPr>
        <w:tc>
          <w:tcPr>
            <w:tcW w:w="3532" w:type="dxa"/>
          </w:tcPr>
          <w:p w14:paraId="691BB492" w14:textId="6649E309" w:rsidR="00920899" w:rsidRPr="00BD6C5F" w:rsidRDefault="00920899" w:rsidP="00920899">
            <w:pPr>
              <w:pStyle w:val="Tabletext"/>
              <w:rPr>
                <w:b/>
                <w:bCs/>
              </w:rPr>
            </w:pPr>
            <w:r w:rsidRPr="00BD6C5F">
              <w:rPr>
                <w:b/>
                <w:bCs/>
              </w:rPr>
              <w:t>“Open Source”</w:t>
            </w:r>
          </w:p>
        </w:tc>
        <w:tc>
          <w:tcPr>
            <w:tcW w:w="5954" w:type="dxa"/>
          </w:tcPr>
          <w:p w14:paraId="66EB392D"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computer Software that is released on the internet for use by any person, such release usually being made under a recognised open source licence and stating that it is released as open source;</w:t>
            </w:r>
          </w:p>
        </w:tc>
      </w:tr>
      <w:tr w:rsidR="00920899" w:rsidRPr="00BD6C5F" w14:paraId="3ADC55E8" w14:textId="77777777" w:rsidTr="00A64142">
        <w:trPr>
          <w:gridBefore w:val="1"/>
          <w:gridAfter w:val="1"/>
          <w:wBefore w:w="10" w:type="dxa"/>
          <w:wAfter w:w="32" w:type="dxa"/>
          <w:trHeight w:val="20"/>
        </w:trPr>
        <w:tc>
          <w:tcPr>
            <w:tcW w:w="3532" w:type="dxa"/>
          </w:tcPr>
          <w:p w14:paraId="5BA61828" w14:textId="57872217" w:rsidR="00920899" w:rsidRPr="00BD6C5F" w:rsidRDefault="00920899" w:rsidP="00920899">
            <w:pPr>
              <w:pStyle w:val="Tabletext"/>
              <w:rPr>
                <w:b/>
                <w:bCs/>
              </w:rPr>
            </w:pPr>
            <w:r w:rsidRPr="00BD6C5F">
              <w:rPr>
                <w:b/>
                <w:bCs/>
              </w:rPr>
              <w:t>“Operating Environment”</w:t>
            </w:r>
          </w:p>
        </w:tc>
        <w:tc>
          <w:tcPr>
            <w:tcW w:w="5954" w:type="dxa"/>
          </w:tcPr>
          <w:p w14:paraId="0DF9952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Authority System and the Sites;</w:t>
            </w:r>
          </w:p>
        </w:tc>
      </w:tr>
      <w:tr w:rsidR="00920899" w:rsidRPr="00BD6C5F" w14:paraId="3640C361" w14:textId="77777777" w:rsidTr="00A64142">
        <w:trPr>
          <w:gridBefore w:val="1"/>
          <w:gridAfter w:val="1"/>
          <w:wBefore w:w="10" w:type="dxa"/>
          <w:wAfter w:w="32" w:type="dxa"/>
          <w:trHeight w:val="20"/>
        </w:trPr>
        <w:tc>
          <w:tcPr>
            <w:tcW w:w="3532" w:type="dxa"/>
          </w:tcPr>
          <w:p w14:paraId="5A38526E" w14:textId="78396BDD" w:rsidR="00920899" w:rsidRPr="00BD6C5F" w:rsidRDefault="00920899" w:rsidP="00920899">
            <w:pPr>
              <w:pStyle w:val="Tabletext"/>
              <w:rPr>
                <w:b/>
                <w:bCs/>
              </w:rPr>
            </w:pPr>
            <w:r w:rsidRPr="00BD6C5F">
              <w:rPr>
                <w:b/>
                <w:bCs/>
              </w:rPr>
              <w:t>“Operational Change”</w:t>
            </w:r>
          </w:p>
        </w:tc>
        <w:tc>
          <w:tcPr>
            <w:tcW w:w="5954" w:type="dxa"/>
          </w:tcPr>
          <w:p w14:paraId="3DBF3CDF" w14:textId="3BC3F6E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change in the Supplier’s operational procedures which in all respects, when implemented:</w:t>
            </w:r>
          </w:p>
          <w:p w14:paraId="6C8F1AF7" w14:textId="77777777" w:rsidR="00920899" w:rsidRPr="00BD6C5F" w:rsidRDefault="00920899" w:rsidP="00920899">
            <w:pPr>
              <w:pStyle w:val="Tablea"/>
            </w:pPr>
            <w:r w:rsidRPr="00BD6C5F">
              <w:t>will not affect the Charges and will not result in any other costs to the Authority;</w:t>
            </w:r>
          </w:p>
          <w:p w14:paraId="490A5B68" w14:textId="77777777" w:rsidR="00920899" w:rsidRPr="00BD6C5F" w:rsidRDefault="00920899" w:rsidP="00920899">
            <w:pPr>
              <w:pStyle w:val="Tablea"/>
            </w:pPr>
            <w:r w:rsidRPr="00BD6C5F">
              <w:lastRenderedPageBreak/>
              <w:t>may change the way in which the Services are delivered but will not adversely affect the output of the Services or increase the risks in performing or receiving the Services;</w:t>
            </w:r>
          </w:p>
          <w:p w14:paraId="2D61915B" w14:textId="3E88DEF3" w:rsidR="00920899" w:rsidRPr="00BD6C5F" w:rsidRDefault="00920899" w:rsidP="00920899">
            <w:pPr>
              <w:pStyle w:val="Tablea"/>
            </w:pPr>
            <w:r w:rsidRPr="00BD6C5F">
              <w:t>will not adversely affect the interfaces or interoperability of the Services with any of the Authority’s IT infrastructure; and</w:t>
            </w:r>
          </w:p>
          <w:p w14:paraId="13120B1B" w14:textId="7F8B9CC4" w:rsidR="00920899" w:rsidRPr="00BD6C5F" w:rsidRDefault="00920899" w:rsidP="00920899">
            <w:pPr>
              <w:pStyle w:val="Tablea"/>
            </w:pPr>
            <w:r w:rsidRPr="00BD6C5F">
              <w:t>will not require a change to this Contract;</w:t>
            </w:r>
          </w:p>
        </w:tc>
      </w:tr>
      <w:tr w:rsidR="00920899" w:rsidRPr="00BD6C5F" w14:paraId="2B1AC9FD" w14:textId="77777777" w:rsidTr="00A64142">
        <w:trPr>
          <w:gridBefore w:val="1"/>
          <w:gridAfter w:val="1"/>
          <w:wBefore w:w="10" w:type="dxa"/>
          <w:wAfter w:w="32" w:type="dxa"/>
          <w:trHeight w:val="20"/>
        </w:trPr>
        <w:tc>
          <w:tcPr>
            <w:tcW w:w="3532" w:type="dxa"/>
          </w:tcPr>
          <w:p w14:paraId="6D943F65" w14:textId="760CC931" w:rsidR="00920899" w:rsidRPr="00BD6C5F" w:rsidRDefault="00920899" w:rsidP="00920899">
            <w:pPr>
              <w:pStyle w:val="Tabletext"/>
              <w:rPr>
                <w:b/>
                <w:bCs/>
              </w:rPr>
            </w:pPr>
            <w:r w:rsidRPr="00BD6C5F">
              <w:rPr>
                <w:b/>
                <w:bCs/>
              </w:rPr>
              <w:lastRenderedPageBreak/>
              <w:t>“Operational Service Commencement Date”</w:t>
            </w:r>
          </w:p>
        </w:tc>
        <w:tc>
          <w:tcPr>
            <w:tcW w:w="5954" w:type="dxa"/>
          </w:tcPr>
          <w:p w14:paraId="6B50F9C1"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relation to an Operational Service, the later of:</w:t>
            </w:r>
          </w:p>
          <w:p w14:paraId="1C8A48E4" w14:textId="77777777" w:rsidR="00920899" w:rsidRPr="00BD6C5F" w:rsidRDefault="00920899" w:rsidP="00920899">
            <w:pPr>
              <w:pStyle w:val="Tablea"/>
            </w:pPr>
            <w:r w:rsidRPr="00BD6C5F">
              <w:t>the date identified in the Operational Services Implementation Plan upon which the Operational Service is to commence; and</w:t>
            </w:r>
          </w:p>
          <w:p w14:paraId="001B1C56" w14:textId="77777777" w:rsidR="00920899" w:rsidRPr="00BD6C5F" w:rsidRDefault="00920899" w:rsidP="00920899">
            <w:pPr>
              <w:pStyle w:val="Tablea"/>
            </w:pPr>
            <w:r w:rsidRPr="00BD6C5F">
              <w:t>where the Implementation Plan states that the Supplier must have Achieved the relevant ATP Milestone before it can commence the provision of that Operational Service, the date upon which the Supplier Achieves the relevant ATP Milestone;</w:t>
            </w:r>
          </w:p>
        </w:tc>
      </w:tr>
      <w:tr w:rsidR="00920899" w:rsidRPr="00BD6C5F" w14:paraId="758D1407" w14:textId="77777777" w:rsidTr="00A64142">
        <w:trPr>
          <w:gridBefore w:val="1"/>
          <w:gridAfter w:val="1"/>
          <w:wBefore w:w="10" w:type="dxa"/>
          <w:wAfter w:w="32" w:type="dxa"/>
          <w:trHeight w:val="20"/>
        </w:trPr>
        <w:tc>
          <w:tcPr>
            <w:tcW w:w="3532" w:type="dxa"/>
          </w:tcPr>
          <w:p w14:paraId="3DC3B1F9" w14:textId="745BD341" w:rsidR="00920899" w:rsidRPr="00BD6C5F" w:rsidRDefault="00920899" w:rsidP="00920899">
            <w:pPr>
              <w:pStyle w:val="Tabletext"/>
              <w:rPr>
                <w:b/>
                <w:bCs/>
              </w:rPr>
            </w:pPr>
            <w:r w:rsidRPr="00BD6C5F">
              <w:rPr>
                <w:b/>
                <w:bCs/>
              </w:rPr>
              <w:t>“Operational Services”</w:t>
            </w:r>
          </w:p>
        </w:tc>
        <w:tc>
          <w:tcPr>
            <w:tcW w:w="5954" w:type="dxa"/>
          </w:tcPr>
          <w:p w14:paraId="178F752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operational services described as such in the Services Description;</w:t>
            </w:r>
          </w:p>
        </w:tc>
      </w:tr>
      <w:tr w:rsidR="00920899" w:rsidRPr="00BD6C5F" w14:paraId="04BBE20C" w14:textId="77777777" w:rsidTr="00A64142">
        <w:trPr>
          <w:gridBefore w:val="1"/>
          <w:gridAfter w:val="1"/>
          <w:wBefore w:w="10" w:type="dxa"/>
          <w:wAfter w:w="32" w:type="dxa"/>
          <w:trHeight w:val="20"/>
        </w:trPr>
        <w:tc>
          <w:tcPr>
            <w:tcW w:w="3532" w:type="dxa"/>
          </w:tcPr>
          <w:p w14:paraId="404654B7" w14:textId="662E5E05" w:rsidR="00920899" w:rsidRPr="00BD6C5F" w:rsidRDefault="00920899" w:rsidP="00920899">
            <w:pPr>
              <w:pStyle w:val="Tabletext"/>
              <w:rPr>
                <w:b/>
                <w:bCs/>
              </w:rPr>
            </w:pPr>
            <w:r w:rsidRPr="00BD6C5F">
              <w:rPr>
                <w:b/>
                <w:bCs/>
              </w:rPr>
              <w:t>“Optional Services”</w:t>
            </w:r>
          </w:p>
        </w:tc>
        <w:tc>
          <w:tcPr>
            <w:tcW w:w="5954" w:type="dxa"/>
          </w:tcPr>
          <w:p w14:paraId="652CDA34" w14:textId="4364589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services described as such in Schedule </w:t>
            </w:r>
            <w:r>
              <w:rPr>
                <w:rFonts w:asciiTheme="minorHAnsi" w:hAnsiTheme="minorHAnsi" w:cstheme="minorHAnsi"/>
              </w:rPr>
              <w:fldChar w:fldCharType="begin"/>
            </w:r>
            <w:r>
              <w:rPr>
                <w:rFonts w:asciiTheme="minorHAnsi" w:hAnsiTheme="minorHAnsi" w:cstheme="minorHAnsi"/>
              </w:rPr>
              <w:instrText xml:space="preserve"> REF Schedule_2 \h </w:instrText>
            </w:r>
            <w:r>
              <w:rPr>
                <w:rFonts w:asciiTheme="minorHAnsi" w:hAnsiTheme="minorHAnsi" w:cstheme="minorHAnsi"/>
              </w:rPr>
            </w:r>
            <w:r>
              <w:rPr>
                <w:rFonts w:asciiTheme="minorHAnsi" w:hAnsiTheme="minorHAnsi" w:cstheme="minorHAnsi"/>
              </w:rPr>
              <w:fldChar w:fldCharType="separate"/>
            </w:r>
            <w:r w:rsidR="009749A0">
              <w:t>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Services Description</w:t>
            </w:r>
            <w:r w:rsidRPr="00BD6C5F">
              <w:rPr>
                <w:rFonts w:asciiTheme="minorHAnsi" w:hAnsiTheme="minorHAnsi" w:cstheme="minorHAnsi"/>
              </w:rPr>
              <w:t>) which are to be provided by the Supplier if required by the Authority in accordance with Clause 5.10 (</w:t>
            </w:r>
            <w:r w:rsidRPr="00BD6C5F">
              <w:rPr>
                <w:rFonts w:asciiTheme="minorHAnsi" w:hAnsiTheme="minorHAnsi" w:cstheme="minorHAnsi"/>
                <w:i/>
              </w:rPr>
              <w:t>Optional Services</w:t>
            </w:r>
            <w:r w:rsidRPr="00BD6C5F">
              <w:rPr>
                <w:rFonts w:asciiTheme="minorHAnsi" w:hAnsiTheme="minorHAnsi" w:cstheme="minorHAnsi"/>
              </w:rPr>
              <w:t>);</w:t>
            </w:r>
          </w:p>
        </w:tc>
      </w:tr>
      <w:tr w:rsidR="00920899" w:rsidRPr="00BD6C5F" w14:paraId="36D2E316" w14:textId="77777777" w:rsidTr="00A64142">
        <w:trPr>
          <w:gridBefore w:val="1"/>
          <w:gridAfter w:val="1"/>
          <w:wBefore w:w="10" w:type="dxa"/>
          <w:wAfter w:w="32" w:type="dxa"/>
          <w:trHeight w:val="20"/>
        </w:trPr>
        <w:tc>
          <w:tcPr>
            <w:tcW w:w="3532" w:type="dxa"/>
          </w:tcPr>
          <w:p w14:paraId="36DBA214" w14:textId="3022AE9A" w:rsidR="00920899" w:rsidRPr="00BD6C5F" w:rsidRDefault="00920899" w:rsidP="00920899">
            <w:pPr>
              <w:pStyle w:val="Tabletext"/>
              <w:rPr>
                <w:b/>
                <w:bCs/>
              </w:rPr>
            </w:pPr>
            <w:r w:rsidRPr="00BD6C5F">
              <w:rPr>
                <w:b/>
                <w:bCs/>
              </w:rPr>
              <w:t>“Optional Services Implementation Plan”</w:t>
            </w:r>
          </w:p>
        </w:tc>
        <w:tc>
          <w:tcPr>
            <w:tcW w:w="5954" w:type="dxa"/>
          </w:tcPr>
          <w:p w14:paraId="5FBED3DE" w14:textId="4282449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implementation plan to effect the Optional Services agreed between the Parties prior to the Effective Date and, if not agreed prior to the Effective Date, to be developed by the Supplier and approved by the Authority;</w:t>
            </w:r>
          </w:p>
        </w:tc>
      </w:tr>
      <w:tr w:rsidR="00920899" w:rsidRPr="00BD6C5F" w14:paraId="10292394" w14:textId="77777777" w:rsidTr="00A64142">
        <w:trPr>
          <w:gridBefore w:val="1"/>
          <w:gridAfter w:val="1"/>
          <w:wBefore w:w="10" w:type="dxa"/>
          <w:wAfter w:w="32" w:type="dxa"/>
          <w:trHeight w:val="20"/>
        </w:trPr>
        <w:tc>
          <w:tcPr>
            <w:tcW w:w="3532" w:type="dxa"/>
          </w:tcPr>
          <w:p w14:paraId="6D0747D4" w14:textId="4CDD5E32" w:rsidR="00920899" w:rsidRPr="00BD6C5F" w:rsidRDefault="00920899" w:rsidP="00920899">
            <w:pPr>
              <w:pStyle w:val="Tabletext"/>
              <w:rPr>
                <w:b/>
                <w:bCs/>
              </w:rPr>
            </w:pPr>
            <w:r w:rsidRPr="00BD6C5F">
              <w:rPr>
                <w:b/>
                <w:bCs/>
              </w:rPr>
              <w:t>“Other Supplier”</w:t>
            </w:r>
          </w:p>
        </w:tc>
        <w:tc>
          <w:tcPr>
            <w:tcW w:w="5954" w:type="dxa"/>
          </w:tcPr>
          <w:p w14:paraId="4B5B7F22" w14:textId="47718A4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supplier to the Authority (other than the Supplier) which is notified to the Supplier from time to time;</w:t>
            </w:r>
          </w:p>
        </w:tc>
      </w:tr>
      <w:tr w:rsidR="00920899" w:rsidRPr="00BD6C5F" w14:paraId="28A6D98D" w14:textId="77777777" w:rsidTr="00A64142">
        <w:trPr>
          <w:gridBefore w:val="1"/>
          <w:gridAfter w:val="1"/>
          <w:wBefore w:w="10" w:type="dxa"/>
          <w:wAfter w:w="32" w:type="dxa"/>
          <w:trHeight w:val="20"/>
        </w:trPr>
        <w:tc>
          <w:tcPr>
            <w:tcW w:w="3532" w:type="dxa"/>
          </w:tcPr>
          <w:p w14:paraId="1546B1A5" w14:textId="0B8E4360" w:rsidR="00920899" w:rsidRPr="00BD6C5F" w:rsidRDefault="00920899" w:rsidP="00920899">
            <w:pPr>
              <w:pStyle w:val="Tabletext"/>
              <w:rPr>
                <w:b/>
                <w:bCs/>
              </w:rPr>
            </w:pPr>
            <w:r w:rsidRPr="00BD6C5F">
              <w:rPr>
                <w:b/>
                <w:bCs/>
              </w:rPr>
              <w:t>“Outline Implementation Plan”</w:t>
            </w:r>
          </w:p>
        </w:tc>
        <w:tc>
          <w:tcPr>
            <w:tcW w:w="5954" w:type="dxa"/>
          </w:tcPr>
          <w:p w14:paraId="7C28147C" w14:textId="545A342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outline plan set out at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Schedule_13_Annex_1 \h </w:instrText>
            </w:r>
            <w:r>
              <w:rPr>
                <w:rFonts w:asciiTheme="minorHAnsi" w:hAnsiTheme="minorHAnsi" w:cstheme="minorHAnsi"/>
              </w:rPr>
            </w:r>
            <w:r>
              <w:rPr>
                <w:rFonts w:asciiTheme="minorHAnsi" w:hAnsiTheme="minorHAnsi" w:cstheme="minorHAnsi"/>
              </w:rPr>
              <w:fldChar w:fldCharType="separate"/>
            </w:r>
            <w:r w:rsidR="009749A0">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Schedule_13 \h </w:instrText>
            </w:r>
            <w:r>
              <w:rPr>
                <w:rFonts w:asciiTheme="minorHAnsi" w:hAnsiTheme="minorHAnsi" w:cstheme="minorHAnsi"/>
              </w:rPr>
            </w:r>
            <w:r>
              <w:rPr>
                <w:rFonts w:asciiTheme="minorHAnsi" w:hAnsiTheme="minorHAnsi" w:cstheme="minorHAnsi"/>
              </w:rPr>
              <w:fldChar w:fldCharType="separate"/>
            </w:r>
            <w:r w:rsidR="009749A0">
              <w:t>13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Implementation Plan</w:t>
            </w:r>
            <w:r w:rsidRPr="00BD6C5F">
              <w:rPr>
                <w:rFonts w:asciiTheme="minorHAnsi" w:hAnsiTheme="minorHAnsi" w:cstheme="minorHAnsi"/>
              </w:rPr>
              <w:t>);</w:t>
            </w:r>
          </w:p>
        </w:tc>
      </w:tr>
      <w:tr w:rsidR="00920899" w:rsidRPr="00BD6C5F" w14:paraId="0661248E" w14:textId="77777777" w:rsidTr="00A64142">
        <w:trPr>
          <w:gridBefore w:val="1"/>
          <w:gridAfter w:val="1"/>
          <w:wBefore w:w="10" w:type="dxa"/>
          <w:wAfter w:w="32" w:type="dxa"/>
          <w:trHeight w:val="20"/>
        </w:trPr>
        <w:tc>
          <w:tcPr>
            <w:tcW w:w="3532" w:type="dxa"/>
          </w:tcPr>
          <w:p w14:paraId="23F4BD7B" w14:textId="0FE4ABAB" w:rsidR="00920899" w:rsidRPr="00BD6C5F" w:rsidRDefault="00920899" w:rsidP="00920899">
            <w:pPr>
              <w:pStyle w:val="Tabletext"/>
              <w:rPr>
                <w:b/>
                <w:bCs/>
              </w:rPr>
            </w:pPr>
            <w:r w:rsidRPr="00BD6C5F">
              <w:rPr>
                <w:b/>
                <w:bCs/>
              </w:rPr>
              <w:t>“Parent Undertaking”</w:t>
            </w:r>
          </w:p>
        </w:tc>
        <w:tc>
          <w:tcPr>
            <w:tcW w:w="5954" w:type="dxa"/>
          </w:tcPr>
          <w:p w14:paraId="7F15E78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set out in section 1162 of the Companies Act 2006;</w:t>
            </w:r>
          </w:p>
        </w:tc>
      </w:tr>
      <w:tr w:rsidR="00920899" w:rsidRPr="00BD6C5F" w14:paraId="35E1ECE9" w14:textId="77777777" w:rsidTr="00A64142">
        <w:trPr>
          <w:gridBefore w:val="1"/>
          <w:gridAfter w:val="1"/>
          <w:wBefore w:w="10" w:type="dxa"/>
          <w:wAfter w:w="32" w:type="dxa"/>
          <w:trHeight w:val="20"/>
        </w:trPr>
        <w:tc>
          <w:tcPr>
            <w:tcW w:w="3532" w:type="dxa"/>
          </w:tcPr>
          <w:p w14:paraId="57C419B3" w14:textId="30B7F6EE" w:rsidR="00920899" w:rsidRPr="00BD6C5F" w:rsidRDefault="00920899" w:rsidP="00920899">
            <w:pPr>
              <w:pStyle w:val="Tabletext"/>
              <w:rPr>
                <w:b/>
                <w:bCs/>
              </w:rPr>
            </w:pPr>
            <w:r w:rsidRPr="00BD6C5F">
              <w:rPr>
                <w:b/>
                <w:bCs/>
              </w:rPr>
              <w:t>“Partial Termination”</w:t>
            </w:r>
          </w:p>
        </w:tc>
        <w:tc>
          <w:tcPr>
            <w:tcW w:w="5954" w:type="dxa"/>
          </w:tcPr>
          <w:p w14:paraId="191AD81F" w14:textId="67366D8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partial termination of this Contract to the extent that it relates to the provision of any part of the Services as further provided for in Clause 31.2</w:t>
            </w:r>
            <w:r w:rsidR="008E2FFE">
              <w:rPr>
                <w:rFonts w:asciiTheme="minorHAnsi" w:hAnsiTheme="minorHAnsi" w:cstheme="minorHAnsi"/>
              </w:rPr>
              <w:t xml:space="preserve">.2 </w:t>
            </w:r>
            <w:r w:rsidRPr="00BD6C5F">
              <w:rPr>
                <w:rFonts w:asciiTheme="minorHAnsi" w:hAnsiTheme="minorHAnsi" w:cstheme="minorHAnsi"/>
              </w:rPr>
              <w:t>(</w:t>
            </w:r>
            <w:r w:rsidRPr="00BD6C5F">
              <w:rPr>
                <w:rFonts w:asciiTheme="minorHAnsi" w:hAnsiTheme="minorHAnsi" w:cstheme="minorHAnsi"/>
                <w:i/>
              </w:rPr>
              <w:t>Termination by the Authority</w:t>
            </w:r>
            <w:r w:rsidRPr="00BD6C5F">
              <w:rPr>
                <w:rFonts w:asciiTheme="minorHAnsi" w:hAnsiTheme="minorHAnsi" w:cstheme="minorHAnsi"/>
              </w:rPr>
              <w:t>) or 31.3</w:t>
            </w:r>
            <w:r w:rsidR="008E2FFE">
              <w:rPr>
                <w:rFonts w:asciiTheme="minorHAnsi" w:hAnsiTheme="minorHAnsi" w:cstheme="minorHAnsi"/>
              </w:rPr>
              <w:t>.2</w:t>
            </w:r>
            <w:r w:rsidRPr="00BD6C5F">
              <w:rPr>
                <w:rFonts w:asciiTheme="minorHAnsi" w:hAnsiTheme="minorHAnsi" w:cstheme="minorHAnsi"/>
              </w:rPr>
              <w:t xml:space="preserve"> (</w:t>
            </w:r>
            <w:r w:rsidRPr="00BD6C5F">
              <w:rPr>
                <w:rFonts w:asciiTheme="minorHAnsi" w:hAnsiTheme="minorHAnsi" w:cstheme="minorHAnsi"/>
                <w:i/>
              </w:rPr>
              <w:t>Termination by the Supplier</w:t>
            </w:r>
            <w:r w:rsidRPr="00BD6C5F">
              <w:rPr>
                <w:rFonts w:asciiTheme="minorHAnsi" w:hAnsiTheme="minorHAnsi" w:cstheme="minorHAnsi"/>
              </w:rPr>
              <w:t>) or otherwise by mutual agreement by the Parties;</w:t>
            </w:r>
          </w:p>
        </w:tc>
      </w:tr>
      <w:tr w:rsidR="00920899" w:rsidRPr="00BD6C5F" w14:paraId="0E86C389" w14:textId="77777777" w:rsidTr="00A64142">
        <w:trPr>
          <w:gridBefore w:val="1"/>
          <w:gridAfter w:val="1"/>
          <w:wBefore w:w="10" w:type="dxa"/>
          <w:wAfter w:w="32" w:type="dxa"/>
          <w:trHeight w:val="20"/>
        </w:trPr>
        <w:tc>
          <w:tcPr>
            <w:tcW w:w="3532" w:type="dxa"/>
          </w:tcPr>
          <w:p w14:paraId="374A83B5" w14:textId="1B7B4F7F" w:rsidR="00920899" w:rsidRPr="00BD6C5F" w:rsidRDefault="00920899" w:rsidP="00920899">
            <w:pPr>
              <w:pStyle w:val="Tabletext"/>
              <w:rPr>
                <w:b/>
                <w:bCs/>
              </w:rPr>
            </w:pPr>
            <w:r w:rsidRPr="00BD6C5F">
              <w:rPr>
                <w:b/>
                <w:bCs/>
              </w:rPr>
              <w:lastRenderedPageBreak/>
              <w:t>“Parties” and “Party”</w:t>
            </w:r>
          </w:p>
        </w:tc>
        <w:tc>
          <w:tcPr>
            <w:tcW w:w="5954" w:type="dxa"/>
          </w:tcPr>
          <w:p w14:paraId="40AB8128" w14:textId="5DDF4BA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have the meanings respectively given on page 1 of this Contract;</w:t>
            </w:r>
          </w:p>
        </w:tc>
      </w:tr>
      <w:tr w:rsidR="00920899" w:rsidRPr="00BD6C5F" w14:paraId="3D2534C7" w14:textId="77777777" w:rsidTr="00A64142">
        <w:trPr>
          <w:gridBefore w:val="1"/>
          <w:gridAfter w:val="1"/>
          <w:wBefore w:w="10" w:type="dxa"/>
          <w:wAfter w:w="32" w:type="dxa"/>
          <w:trHeight w:val="20"/>
        </w:trPr>
        <w:tc>
          <w:tcPr>
            <w:tcW w:w="3532" w:type="dxa"/>
          </w:tcPr>
          <w:p w14:paraId="630816BD" w14:textId="0F4D848F" w:rsidR="00920899" w:rsidRPr="00BD6C5F" w:rsidRDefault="00920899" w:rsidP="00920899">
            <w:pPr>
              <w:pStyle w:val="Tabletext"/>
              <w:rPr>
                <w:b/>
                <w:bCs/>
              </w:rPr>
            </w:pPr>
            <w:r w:rsidRPr="00BD6C5F">
              <w:rPr>
                <w:b/>
                <w:bCs/>
              </w:rPr>
              <w:t>“Performance Failure”</w:t>
            </w:r>
          </w:p>
        </w:tc>
        <w:tc>
          <w:tcPr>
            <w:tcW w:w="5954" w:type="dxa"/>
          </w:tcPr>
          <w:p w14:paraId="485D44C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KPI Failure or a PI Failure;</w:t>
            </w:r>
          </w:p>
        </w:tc>
      </w:tr>
      <w:tr w:rsidR="00920899" w:rsidRPr="00BD6C5F" w14:paraId="5704CBB7" w14:textId="77777777" w:rsidTr="00A64142">
        <w:trPr>
          <w:gridBefore w:val="1"/>
          <w:gridAfter w:val="1"/>
          <w:wBefore w:w="10" w:type="dxa"/>
          <w:wAfter w:w="32" w:type="dxa"/>
          <w:trHeight w:val="20"/>
        </w:trPr>
        <w:tc>
          <w:tcPr>
            <w:tcW w:w="3532" w:type="dxa"/>
          </w:tcPr>
          <w:p w14:paraId="57669AFF" w14:textId="61B1AE5C" w:rsidR="00920899" w:rsidRPr="00BD6C5F" w:rsidRDefault="00920899" w:rsidP="00920899">
            <w:pPr>
              <w:pStyle w:val="Tabletext"/>
              <w:rPr>
                <w:b/>
                <w:bCs/>
              </w:rPr>
            </w:pPr>
            <w:r w:rsidRPr="00BD6C5F">
              <w:rPr>
                <w:b/>
                <w:bCs/>
              </w:rPr>
              <w:t>“Performance Indicators”</w:t>
            </w:r>
          </w:p>
        </w:tc>
        <w:tc>
          <w:tcPr>
            <w:tcW w:w="5954" w:type="dxa"/>
          </w:tcPr>
          <w:p w14:paraId="16550746"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Key Performance Indicators and the Subsidiary Performance Indicators;</w:t>
            </w:r>
          </w:p>
        </w:tc>
      </w:tr>
      <w:tr w:rsidR="00920899" w:rsidRPr="00BD6C5F" w14:paraId="343041EB" w14:textId="77777777" w:rsidTr="00A64142">
        <w:trPr>
          <w:gridBefore w:val="1"/>
          <w:gridAfter w:val="1"/>
          <w:wBefore w:w="10" w:type="dxa"/>
          <w:wAfter w:w="32" w:type="dxa"/>
          <w:trHeight w:val="20"/>
        </w:trPr>
        <w:tc>
          <w:tcPr>
            <w:tcW w:w="3532" w:type="dxa"/>
          </w:tcPr>
          <w:p w14:paraId="6E0809AA" w14:textId="7040B217" w:rsidR="00920899" w:rsidRPr="00BD6C5F" w:rsidRDefault="00920899" w:rsidP="00920899">
            <w:pPr>
              <w:pStyle w:val="Tabletext"/>
              <w:rPr>
                <w:b/>
                <w:bCs/>
              </w:rPr>
            </w:pPr>
            <w:r w:rsidRPr="00BD6C5F">
              <w:rPr>
                <w:b/>
                <w:bCs/>
              </w:rPr>
              <w:t>“Permitted Maintenance”</w:t>
            </w:r>
          </w:p>
        </w:tc>
        <w:tc>
          <w:tcPr>
            <w:tcW w:w="5954" w:type="dxa"/>
          </w:tcPr>
          <w:p w14:paraId="4567A4F6" w14:textId="1985605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9.4 (</w:t>
            </w:r>
            <w:r w:rsidRPr="00BD6C5F">
              <w:rPr>
                <w:rFonts w:asciiTheme="minorHAnsi" w:hAnsiTheme="minorHAnsi" w:cstheme="minorHAnsi"/>
                <w:i/>
                <w:iCs/>
              </w:rPr>
              <w:t>Maintenance</w:t>
            </w:r>
            <w:r w:rsidRPr="00BD6C5F">
              <w:rPr>
                <w:rFonts w:asciiTheme="minorHAnsi" w:hAnsiTheme="minorHAnsi" w:cstheme="minorHAnsi"/>
              </w:rPr>
              <w:t>);</w:t>
            </w:r>
          </w:p>
        </w:tc>
      </w:tr>
      <w:tr w:rsidR="00920899" w:rsidRPr="00BD6C5F" w14:paraId="7598427D" w14:textId="77777777" w:rsidTr="00A64142">
        <w:trPr>
          <w:gridBefore w:val="1"/>
          <w:gridAfter w:val="1"/>
          <w:wBefore w:w="10" w:type="dxa"/>
          <w:wAfter w:w="32" w:type="dxa"/>
          <w:trHeight w:val="20"/>
        </w:trPr>
        <w:tc>
          <w:tcPr>
            <w:tcW w:w="3532" w:type="dxa"/>
          </w:tcPr>
          <w:p w14:paraId="3A5D91F6" w14:textId="710A3093" w:rsidR="00920899" w:rsidRPr="00BD6C5F" w:rsidRDefault="00920899" w:rsidP="00920899">
            <w:pPr>
              <w:pStyle w:val="Tabletext"/>
              <w:rPr>
                <w:b/>
                <w:bCs/>
              </w:rPr>
            </w:pPr>
            <w:r w:rsidRPr="00BD6C5F">
              <w:rPr>
                <w:b/>
                <w:bCs/>
              </w:rPr>
              <w:t>“Performance Monitoring Report”</w:t>
            </w:r>
          </w:p>
        </w:tc>
        <w:tc>
          <w:tcPr>
            <w:tcW w:w="5954" w:type="dxa"/>
          </w:tcPr>
          <w:p w14:paraId="32B5700C" w14:textId="00522F2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Performance Levels</w:t>
            </w:r>
            <w:r w:rsidRPr="00BD6C5F">
              <w:rPr>
                <w:rFonts w:asciiTheme="minorHAnsi" w:hAnsiTheme="minorHAnsi" w:cstheme="minorHAnsi"/>
              </w:rPr>
              <w:t>);</w:t>
            </w:r>
          </w:p>
        </w:tc>
      </w:tr>
      <w:tr w:rsidR="00920899" w:rsidRPr="00BD6C5F" w14:paraId="32243D37" w14:textId="77777777" w:rsidTr="00A64142">
        <w:trPr>
          <w:gridBefore w:val="1"/>
          <w:gridAfter w:val="1"/>
          <w:wBefore w:w="10" w:type="dxa"/>
          <w:wAfter w:w="32" w:type="dxa"/>
          <w:trHeight w:val="20"/>
        </w:trPr>
        <w:tc>
          <w:tcPr>
            <w:tcW w:w="3532" w:type="dxa"/>
          </w:tcPr>
          <w:p w14:paraId="6D3BB636" w14:textId="3671358C" w:rsidR="00920899" w:rsidRPr="00BD6C5F" w:rsidRDefault="00920899" w:rsidP="00920899">
            <w:pPr>
              <w:pStyle w:val="Tabletext"/>
              <w:rPr>
                <w:b/>
                <w:bCs/>
              </w:rPr>
            </w:pPr>
            <w:r w:rsidRPr="00BD6C5F">
              <w:rPr>
                <w:b/>
                <w:bCs/>
              </w:rPr>
              <w:t>“Personal Data”</w:t>
            </w:r>
          </w:p>
        </w:tc>
        <w:tc>
          <w:tcPr>
            <w:tcW w:w="5954" w:type="dxa"/>
          </w:tcPr>
          <w:p w14:paraId="26CA18C0" w14:textId="4808C81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the UK GDPR or the EU GDPR as the context requires;</w:t>
            </w:r>
          </w:p>
        </w:tc>
      </w:tr>
      <w:tr w:rsidR="00920899" w:rsidRPr="00BD6C5F" w14:paraId="71D7A22C" w14:textId="77777777" w:rsidTr="00A64142">
        <w:trPr>
          <w:gridBefore w:val="1"/>
          <w:gridAfter w:val="1"/>
          <w:wBefore w:w="10" w:type="dxa"/>
          <w:wAfter w:w="32" w:type="dxa"/>
          <w:trHeight w:val="20"/>
        </w:trPr>
        <w:tc>
          <w:tcPr>
            <w:tcW w:w="3532" w:type="dxa"/>
          </w:tcPr>
          <w:p w14:paraId="334D3B0D" w14:textId="4D425381" w:rsidR="00920899" w:rsidRPr="00BD6C5F" w:rsidRDefault="00920899" w:rsidP="00920899">
            <w:pPr>
              <w:pStyle w:val="Tabletext"/>
              <w:keepNext/>
              <w:rPr>
                <w:b/>
                <w:bCs/>
              </w:rPr>
            </w:pPr>
            <w:r w:rsidRPr="00BD6C5F">
              <w:rPr>
                <w:b/>
                <w:bCs/>
              </w:rPr>
              <w:t>“Personal Data Breach”</w:t>
            </w:r>
          </w:p>
        </w:tc>
        <w:tc>
          <w:tcPr>
            <w:tcW w:w="5954" w:type="dxa"/>
          </w:tcPr>
          <w:p w14:paraId="34DF33EC" w14:textId="68E983B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the UK GDPR or the EU GDPR as the context requires;</w:t>
            </w:r>
          </w:p>
        </w:tc>
      </w:tr>
      <w:tr w:rsidR="00920899" w:rsidRPr="00BD6C5F" w14:paraId="3177EF92" w14:textId="77777777" w:rsidTr="00A64142">
        <w:trPr>
          <w:gridBefore w:val="1"/>
          <w:gridAfter w:val="1"/>
          <w:wBefore w:w="10" w:type="dxa"/>
          <w:wAfter w:w="32" w:type="dxa"/>
          <w:trHeight w:val="20"/>
        </w:trPr>
        <w:tc>
          <w:tcPr>
            <w:tcW w:w="3532" w:type="dxa"/>
          </w:tcPr>
          <w:p w14:paraId="78757016" w14:textId="6021F3EE" w:rsidR="00920899" w:rsidRPr="00BD6C5F" w:rsidRDefault="00920899" w:rsidP="00920899">
            <w:pPr>
              <w:pStyle w:val="Tabletext"/>
              <w:rPr>
                <w:b/>
                <w:bCs/>
              </w:rPr>
            </w:pPr>
            <w:r w:rsidRPr="00BD6C5F">
              <w:rPr>
                <w:b/>
                <w:bCs/>
              </w:rPr>
              <w:t>“PI Failure”</w:t>
            </w:r>
          </w:p>
        </w:tc>
        <w:tc>
          <w:tcPr>
            <w:tcW w:w="5954" w:type="dxa"/>
          </w:tcPr>
          <w:p w14:paraId="4C59F0C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failure to meet the Target Performance Level in respect of a Subsidiary Performance Indicator;</w:t>
            </w:r>
          </w:p>
        </w:tc>
      </w:tr>
      <w:tr w:rsidR="00920899" w:rsidRPr="00BD6C5F" w14:paraId="0D4FC1A3" w14:textId="77777777" w:rsidTr="00A64142">
        <w:trPr>
          <w:gridBefore w:val="1"/>
          <w:gridAfter w:val="1"/>
          <w:wBefore w:w="10" w:type="dxa"/>
          <w:wAfter w:w="32" w:type="dxa"/>
          <w:trHeight w:val="20"/>
        </w:trPr>
        <w:tc>
          <w:tcPr>
            <w:tcW w:w="3532" w:type="dxa"/>
          </w:tcPr>
          <w:p w14:paraId="612E7A9F" w14:textId="16CC057D" w:rsidR="00920899" w:rsidRPr="00BD6C5F" w:rsidRDefault="00920899" w:rsidP="00920899">
            <w:pPr>
              <w:pStyle w:val="Tabletext"/>
              <w:rPr>
                <w:b/>
                <w:bCs/>
              </w:rPr>
            </w:pPr>
            <w:r w:rsidRPr="00BD6C5F">
              <w:rPr>
                <w:b/>
                <w:bCs/>
              </w:rPr>
              <w:t>“PI Service Threshold”</w:t>
            </w:r>
          </w:p>
        </w:tc>
        <w:tc>
          <w:tcPr>
            <w:tcW w:w="5954" w:type="dxa"/>
          </w:tcPr>
          <w:p w14:paraId="4F2303A5" w14:textId="73DABCF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be as set out against the relevant Subsidiary Performance Indicator in Table 2 in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66EB5F59" w14:textId="77777777" w:rsidTr="00A64142">
        <w:trPr>
          <w:gridBefore w:val="1"/>
          <w:gridAfter w:val="1"/>
          <w:wBefore w:w="10" w:type="dxa"/>
          <w:wAfter w:w="32" w:type="dxa"/>
          <w:trHeight w:val="20"/>
        </w:trPr>
        <w:tc>
          <w:tcPr>
            <w:tcW w:w="3532" w:type="dxa"/>
          </w:tcPr>
          <w:p w14:paraId="47C444E2" w14:textId="18F4C6F7" w:rsidR="00920899" w:rsidRPr="00BD6C5F" w:rsidRDefault="00920899" w:rsidP="00920899">
            <w:pPr>
              <w:pStyle w:val="Tabletext"/>
              <w:rPr>
                <w:b/>
                <w:bCs/>
              </w:rPr>
            </w:pPr>
            <w:r w:rsidRPr="00BD6C5F">
              <w:rPr>
                <w:b/>
                <w:bCs/>
              </w:rPr>
              <w:t>“Preceding Services”</w:t>
            </w:r>
          </w:p>
        </w:tc>
        <w:tc>
          <w:tcPr>
            <w:tcW w:w="5954" w:type="dxa"/>
          </w:tcPr>
          <w:p w14:paraId="4F93748F" w14:textId="451D1D6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5.2</w:t>
            </w:r>
            <w:r w:rsidR="008E2FFE">
              <w:rPr>
                <w:rFonts w:asciiTheme="minorHAnsi" w:hAnsiTheme="minorHAnsi" w:cstheme="minorHAnsi"/>
              </w:rPr>
              <w:t>.2</w:t>
            </w:r>
            <w:r w:rsidRPr="00BD6C5F">
              <w:rPr>
                <w:rFonts w:asciiTheme="minorHAnsi" w:hAnsiTheme="minorHAnsi" w:cstheme="minorHAnsi"/>
              </w:rPr>
              <w:t xml:space="preserve"> (</w:t>
            </w:r>
            <w:r w:rsidRPr="00BD6C5F">
              <w:rPr>
                <w:rFonts w:asciiTheme="minorHAnsi" w:hAnsiTheme="minorHAnsi" w:cstheme="minorHAnsi"/>
                <w:i/>
              </w:rPr>
              <w:t>Standard of Services</w:t>
            </w:r>
            <w:r w:rsidRPr="00BD6C5F">
              <w:rPr>
                <w:rFonts w:asciiTheme="minorHAnsi" w:hAnsiTheme="minorHAnsi" w:cstheme="minorHAnsi"/>
              </w:rPr>
              <w:t>);</w:t>
            </w:r>
          </w:p>
        </w:tc>
      </w:tr>
      <w:tr w:rsidR="00920899" w:rsidRPr="00BD6C5F" w14:paraId="0ABE6654" w14:textId="77777777" w:rsidTr="00A64142">
        <w:trPr>
          <w:gridBefore w:val="1"/>
          <w:gridAfter w:val="1"/>
          <w:wBefore w:w="10" w:type="dxa"/>
          <w:wAfter w:w="32" w:type="dxa"/>
          <w:trHeight w:val="20"/>
        </w:trPr>
        <w:tc>
          <w:tcPr>
            <w:tcW w:w="3532" w:type="dxa"/>
          </w:tcPr>
          <w:p w14:paraId="1839D825" w14:textId="0446CCBC" w:rsidR="00920899" w:rsidRPr="00BD6C5F" w:rsidRDefault="00920899" w:rsidP="00920899">
            <w:pPr>
              <w:pStyle w:val="Tabletext"/>
              <w:rPr>
                <w:b/>
                <w:bCs/>
              </w:rPr>
            </w:pPr>
            <w:r w:rsidRPr="00BD6C5F">
              <w:rPr>
                <w:b/>
                <w:bCs/>
              </w:rPr>
              <w:t>“Prescribed Person”</w:t>
            </w:r>
          </w:p>
        </w:tc>
        <w:tc>
          <w:tcPr>
            <w:tcW w:w="5954" w:type="dxa"/>
          </w:tcPr>
          <w:p w14:paraId="7E25C9DF" w14:textId="78C87D1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 legal adviser, an MP, or an appropriate body which a whistle-blower may make a disclosure to as detailed in ‘Whistleblowing: list of prescribed people and bodies’, available online at: </w:t>
            </w:r>
            <w:hyperlink r:id="rId22" w:history="1">
              <w:r w:rsidRPr="00BD6C5F">
                <w:rPr>
                  <w:rStyle w:val="Hyperlink"/>
                  <w:rFonts w:asciiTheme="minorHAnsi" w:hAnsiTheme="minorHAnsi" w:cstheme="minorHAnsi"/>
                </w:rPr>
                <w:t>https://www.gov.uk/government/publications/blowing-the-whistle-list-of-prescribed-people-and-bodies--2/whistleblowing-list-of-prescribed-people-and-bodies</w:t>
              </w:r>
            </w:hyperlink>
            <w:r w:rsidRPr="00BD6C5F">
              <w:rPr>
                <w:rFonts w:asciiTheme="minorHAnsi" w:hAnsiTheme="minorHAnsi" w:cstheme="minorHAnsi"/>
              </w:rPr>
              <w:t>, as updated from time to time;</w:t>
            </w:r>
          </w:p>
        </w:tc>
      </w:tr>
      <w:tr w:rsidR="00920899" w:rsidRPr="00BD6C5F" w14:paraId="60DCCD3A" w14:textId="77777777" w:rsidTr="00A64142">
        <w:trPr>
          <w:gridBefore w:val="1"/>
          <w:gridAfter w:val="1"/>
          <w:wBefore w:w="10" w:type="dxa"/>
          <w:wAfter w:w="32" w:type="dxa"/>
          <w:trHeight w:val="20"/>
        </w:trPr>
        <w:tc>
          <w:tcPr>
            <w:tcW w:w="3532" w:type="dxa"/>
          </w:tcPr>
          <w:p w14:paraId="4F4DA6A0" w14:textId="267298E7" w:rsidR="00920899" w:rsidRPr="00BD6C5F" w:rsidRDefault="00920899" w:rsidP="00920899">
            <w:pPr>
              <w:pStyle w:val="Tabletext"/>
              <w:rPr>
                <w:b/>
                <w:bCs/>
              </w:rPr>
            </w:pPr>
            <w:r w:rsidRPr="00BD6C5F">
              <w:rPr>
                <w:b/>
                <w:bCs/>
              </w:rPr>
              <w:t>“Processor”</w:t>
            </w:r>
          </w:p>
        </w:tc>
        <w:tc>
          <w:tcPr>
            <w:tcW w:w="5954" w:type="dxa"/>
          </w:tcPr>
          <w:p w14:paraId="70FE24F5" w14:textId="3F168DC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to it under the UK GDPR or the EU GDPR as the context requires;</w:t>
            </w:r>
          </w:p>
        </w:tc>
      </w:tr>
      <w:tr w:rsidR="00920899" w:rsidRPr="00BD6C5F" w14:paraId="6786E4E4" w14:textId="77777777" w:rsidTr="00A64142">
        <w:trPr>
          <w:gridBefore w:val="1"/>
          <w:gridAfter w:val="1"/>
          <w:wBefore w:w="10" w:type="dxa"/>
          <w:wAfter w:w="32" w:type="dxa"/>
          <w:trHeight w:val="20"/>
        </w:trPr>
        <w:tc>
          <w:tcPr>
            <w:tcW w:w="3532" w:type="dxa"/>
          </w:tcPr>
          <w:p w14:paraId="11BA1E96" w14:textId="27BB09BA" w:rsidR="00920899" w:rsidRPr="00BD6C5F" w:rsidRDefault="00920899" w:rsidP="00920899">
            <w:pPr>
              <w:pStyle w:val="Tabletext"/>
              <w:rPr>
                <w:b/>
                <w:bCs/>
              </w:rPr>
            </w:pPr>
            <w:r w:rsidRPr="00BD6C5F">
              <w:rPr>
                <w:b/>
                <w:bCs/>
              </w:rPr>
              <w:t>“Processor Personnel”</w:t>
            </w:r>
          </w:p>
        </w:tc>
        <w:tc>
          <w:tcPr>
            <w:tcW w:w="5954" w:type="dxa"/>
          </w:tcPr>
          <w:p w14:paraId="2C342547" w14:textId="5A67031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all directors, officers, employees, agents, consultants and suppliers of the Processor and/or of any Sub-processor engaged in the performance of its obligations under this Contract;</w:t>
            </w:r>
          </w:p>
        </w:tc>
      </w:tr>
      <w:tr w:rsidR="00920899" w:rsidRPr="00BD6C5F" w14:paraId="6712F122" w14:textId="77777777" w:rsidTr="00A64142">
        <w:trPr>
          <w:gridBefore w:val="1"/>
          <w:gridAfter w:val="1"/>
          <w:wBefore w:w="10" w:type="dxa"/>
          <w:wAfter w:w="32" w:type="dxa"/>
          <w:trHeight w:val="20"/>
        </w:trPr>
        <w:tc>
          <w:tcPr>
            <w:tcW w:w="3532" w:type="dxa"/>
          </w:tcPr>
          <w:p w14:paraId="3D07DF56" w14:textId="056958C8" w:rsidR="00920899" w:rsidRPr="00BD6C5F" w:rsidRDefault="00920899" w:rsidP="00920899">
            <w:pPr>
              <w:pStyle w:val="Tabletext"/>
              <w:rPr>
                <w:b/>
                <w:bCs/>
              </w:rPr>
            </w:pPr>
            <w:r w:rsidRPr="00BD6C5F">
              <w:rPr>
                <w:b/>
                <w:bCs/>
              </w:rPr>
              <w:t>“Programme Board”</w:t>
            </w:r>
          </w:p>
        </w:tc>
        <w:tc>
          <w:tcPr>
            <w:tcW w:w="5954" w:type="dxa"/>
          </w:tcPr>
          <w:p w14:paraId="6103BA67" w14:textId="1E7A73A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body described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_Ref98354654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Schedule_21 \h </w:instrText>
            </w:r>
            <w:r>
              <w:rPr>
                <w:rFonts w:asciiTheme="minorHAnsi" w:hAnsiTheme="minorHAnsi" w:cstheme="minorHAnsi"/>
              </w:rPr>
            </w:r>
            <w:r>
              <w:rPr>
                <w:rFonts w:asciiTheme="minorHAnsi" w:hAnsiTheme="minorHAnsi" w:cstheme="minorHAnsi"/>
              </w:rPr>
              <w:fldChar w:fldCharType="separate"/>
            </w:r>
            <w:r w:rsidR="009749A0">
              <w:t>21</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Governance</w:t>
            </w:r>
            <w:r w:rsidRPr="00BD6C5F">
              <w:rPr>
                <w:rFonts w:asciiTheme="minorHAnsi" w:hAnsiTheme="minorHAnsi" w:cstheme="minorHAnsi"/>
              </w:rPr>
              <w:t>);</w:t>
            </w:r>
          </w:p>
        </w:tc>
      </w:tr>
      <w:tr w:rsidR="00920899" w:rsidRPr="00BD6C5F" w14:paraId="08224535" w14:textId="77777777" w:rsidTr="00A64142">
        <w:trPr>
          <w:gridBefore w:val="1"/>
          <w:gridAfter w:val="1"/>
          <w:wBefore w:w="10" w:type="dxa"/>
          <w:wAfter w:w="32" w:type="dxa"/>
          <w:trHeight w:val="20"/>
        </w:trPr>
        <w:tc>
          <w:tcPr>
            <w:tcW w:w="3532" w:type="dxa"/>
          </w:tcPr>
          <w:p w14:paraId="7A9522B0" w14:textId="224B336C" w:rsidR="00920899" w:rsidRPr="00BD6C5F" w:rsidRDefault="00920899" w:rsidP="00920899">
            <w:pPr>
              <w:pStyle w:val="Tabletext"/>
              <w:rPr>
                <w:b/>
                <w:bCs/>
              </w:rPr>
            </w:pPr>
            <w:r w:rsidRPr="00BD6C5F">
              <w:rPr>
                <w:b/>
                <w:bCs/>
              </w:rPr>
              <w:lastRenderedPageBreak/>
              <w:t>“Prohibited Act”</w:t>
            </w:r>
          </w:p>
        </w:tc>
        <w:tc>
          <w:tcPr>
            <w:tcW w:w="5954" w:type="dxa"/>
          </w:tcPr>
          <w:p w14:paraId="048A65C4" w14:textId="77777777" w:rsidR="00920899" w:rsidRPr="00BD6C5F" w:rsidRDefault="00920899" w:rsidP="00920899">
            <w:pPr>
              <w:pStyle w:val="Tablea"/>
            </w:pPr>
            <w:r w:rsidRPr="00BD6C5F">
              <w:t>to directly or indirectly offer, promise or give any person working for or engaged by the Authority a financial or other advantage to:</w:t>
            </w:r>
          </w:p>
          <w:p w14:paraId="4C6EB48B" w14:textId="77777777" w:rsidR="00920899" w:rsidRPr="00BD6C5F" w:rsidRDefault="00920899" w:rsidP="00920899">
            <w:pPr>
              <w:pStyle w:val="Tableai"/>
            </w:pPr>
            <w:r w:rsidRPr="00BD6C5F">
              <w:t>induce that person to perform improperly a relevant function or activity; or</w:t>
            </w:r>
          </w:p>
          <w:p w14:paraId="094241BA" w14:textId="77777777" w:rsidR="00920899" w:rsidRPr="00BD6C5F" w:rsidRDefault="00920899" w:rsidP="00920899">
            <w:pPr>
              <w:pStyle w:val="Tableai"/>
            </w:pPr>
            <w:r w:rsidRPr="00BD6C5F">
              <w:t>reward that person for improper performance of a relevant function or activity;</w:t>
            </w:r>
          </w:p>
          <w:p w14:paraId="46B5304C" w14:textId="77777777" w:rsidR="00920899" w:rsidRPr="00BD6C5F" w:rsidRDefault="00920899" w:rsidP="00920899">
            <w:pPr>
              <w:pStyle w:val="Tablea"/>
            </w:pPr>
            <w:r w:rsidRPr="00BD6C5F">
              <w:t>to directly or indirectly request, agree to receive or accept any financial or other advantage as an inducement or a reward for improper performance of a relevant function or activity in connection with this Contract;</w:t>
            </w:r>
          </w:p>
          <w:p w14:paraId="300ABB3D" w14:textId="77777777" w:rsidR="00920899" w:rsidRPr="00BD6C5F" w:rsidRDefault="00920899" w:rsidP="00920899">
            <w:pPr>
              <w:pStyle w:val="Tablea"/>
            </w:pPr>
            <w:r w:rsidRPr="00BD6C5F">
              <w:t>an offence:</w:t>
            </w:r>
          </w:p>
          <w:p w14:paraId="26BDCEA8" w14:textId="77777777" w:rsidR="00920899" w:rsidRPr="00BD6C5F" w:rsidRDefault="00920899" w:rsidP="00920899">
            <w:pPr>
              <w:pStyle w:val="Tableai"/>
            </w:pPr>
            <w:r w:rsidRPr="00BD6C5F">
              <w:t>under the Bribery Act 2010 (or any legislation repealed or revoked by such Act);</w:t>
            </w:r>
          </w:p>
          <w:p w14:paraId="5AADBF0C" w14:textId="77777777" w:rsidR="00920899" w:rsidRPr="00BD6C5F" w:rsidRDefault="00920899" w:rsidP="00920899">
            <w:pPr>
              <w:pStyle w:val="Tableai"/>
            </w:pPr>
            <w:r w:rsidRPr="00BD6C5F">
              <w:t>under legislation or common law concerning fraudulent acts; or</w:t>
            </w:r>
          </w:p>
          <w:p w14:paraId="56871C27" w14:textId="77777777" w:rsidR="00920899" w:rsidRPr="00BD6C5F" w:rsidRDefault="00920899" w:rsidP="00920899">
            <w:pPr>
              <w:pStyle w:val="Tableai"/>
            </w:pPr>
            <w:r w:rsidRPr="00BD6C5F">
              <w:t>defrauding, attempting to defraud or conspiring to defraud the Authority (including offences by the Supplier under Part 3 of the Criminal Finances Act 2017); or</w:t>
            </w:r>
          </w:p>
          <w:p w14:paraId="4660BC3D" w14:textId="184FFA7C" w:rsidR="00920899" w:rsidRPr="00BD6C5F" w:rsidRDefault="00920899" w:rsidP="00920899">
            <w:pPr>
              <w:pStyle w:val="Tablea"/>
            </w:pPr>
            <w:r w:rsidRPr="00BD6C5F">
              <w:t>any activity, practice or conduct which would constitute one of the offences listed under (c) above if such activity, practice or conduct had been carried out in the UK;</w:t>
            </w:r>
          </w:p>
        </w:tc>
      </w:tr>
      <w:tr w:rsidR="00920899" w:rsidRPr="00BD6C5F" w14:paraId="1C04D154" w14:textId="77777777" w:rsidTr="00A64142">
        <w:trPr>
          <w:gridBefore w:val="1"/>
          <w:gridAfter w:val="1"/>
          <w:wBefore w:w="10" w:type="dxa"/>
          <w:wAfter w:w="32" w:type="dxa"/>
          <w:trHeight w:val="20"/>
        </w:trPr>
        <w:tc>
          <w:tcPr>
            <w:tcW w:w="3532" w:type="dxa"/>
          </w:tcPr>
          <w:p w14:paraId="4B337ABB" w14:textId="438F38EE" w:rsidR="00920899" w:rsidRPr="00BD6C5F" w:rsidRDefault="00920899" w:rsidP="00920899">
            <w:pPr>
              <w:pStyle w:val="Tabletext"/>
              <w:rPr>
                <w:b/>
                <w:bCs/>
              </w:rPr>
            </w:pPr>
            <w:r w:rsidRPr="00BD6C5F">
              <w:rPr>
                <w:b/>
                <w:bCs/>
              </w:rPr>
              <w:t>“Protective Measures”</w:t>
            </w:r>
          </w:p>
        </w:tc>
        <w:tc>
          <w:tcPr>
            <w:tcW w:w="5954" w:type="dxa"/>
          </w:tcPr>
          <w:p w14:paraId="10F82DE1" w14:textId="340728C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appropriate technical and organisational measures </w:t>
            </w:r>
            <w:r w:rsidR="00FA1722" w:rsidRPr="00FA1722">
              <w:rPr>
                <w:rFonts w:asciiTheme="minorHAnsi" w:hAnsiTheme="minorHAnsi" w:cstheme="minorHAnsi"/>
              </w:rPr>
              <w:t xml:space="preserve">designed to ensure compliance with obligations of the Parties arising under Data Protection Legislation </w:t>
            </w:r>
            <w:r w:rsidRPr="00BD6C5F">
              <w:rPr>
                <w:rFonts w:asciiTheme="minorHAnsi" w:hAnsiTheme="minorHAnsi" w:cstheme="minorHAnsi"/>
              </w:rPr>
              <w:t>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sidR="00156AEA">
              <w:rPr>
                <w:rFonts w:asciiTheme="minorHAnsi" w:hAnsiTheme="minorHAnsi" w:cstheme="minorHAnsi"/>
              </w:rPr>
              <w:t xml:space="preserve"> </w:t>
            </w:r>
            <w:r w:rsidR="00156AEA" w:rsidRPr="00156AEA">
              <w:rPr>
                <w:rFonts w:asciiTheme="minorHAnsi" w:hAnsiTheme="minorHAnsi" w:cstheme="minorHAnsi"/>
              </w:rPr>
              <w:t>including those outlined in Schedule</w:t>
            </w:r>
            <w:r w:rsidR="00C64197">
              <w:rPr>
                <w:rFonts w:asciiTheme="minorHAnsi" w:hAnsiTheme="minorHAnsi" w:cstheme="minorHAnsi"/>
              </w:rPr>
              <w:t> </w:t>
            </w:r>
            <w:r w:rsidR="00C64197">
              <w:rPr>
                <w:rFonts w:asciiTheme="minorHAnsi" w:hAnsiTheme="minorHAnsi" w:cstheme="minorHAnsi"/>
              </w:rPr>
              <w:fldChar w:fldCharType="begin"/>
            </w:r>
            <w:r w:rsidR="00C64197">
              <w:rPr>
                <w:rFonts w:asciiTheme="minorHAnsi" w:hAnsiTheme="minorHAnsi" w:cstheme="minorHAnsi"/>
              </w:rPr>
              <w:instrText xml:space="preserve"> REF Schedule_5 \h </w:instrText>
            </w:r>
            <w:r w:rsidR="00C64197">
              <w:rPr>
                <w:rFonts w:asciiTheme="minorHAnsi" w:hAnsiTheme="minorHAnsi" w:cstheme="minorHAnsi"/>
              </w:rPr>
            </w:r>
            <w:r w:rsidR="00C64197">
              <w:rPr>
                <w:rFonts w:asciiTheme="minorHAnsi" w:hAnsiTheme="minorHAnsi" w:cstheme="minorHAnsi"/>
              </w:rPr>
              <w:fldChar w:fldCharType="separate"/>
            </w:r>
            <w:r w:rsidR="009749A0">
              <w:t>5</w:t>
            </w:r>
            <w:r w:rsidR="00C64197">
              <w:rPr>
                <w:rFonts w:asciiTheme="minorHAnsi" w:hAnsiTheme="minorHAnsi" w:cstheme="minorHAnsi"/>
              </w:rPr>
              <w:fldChar w:fldCharType="end"/>
            </w:r>
            <w:r w:rsidR="00156AEA" w:rsidRPr="00156AEA">
              <w:rPr>
                <w:rFonts w:asciiTheme="minorHAnsi" w:hAnsiTheme="minorHAnsi" w:cstheme="minorHAnsi"/>
              </w:rPr>
              <w:t xml:space="preserve"> (</w:t>
            </w:r>
            <w:r w:rsidR="00156AEA" w:rsidRPr="00156AEA">
              <w:rPr>
                <w:rFonts w:asciiTheme="minorHAnsi" w:hAnsiTheme="minorHAnsi" w:cstheme="minorHAnsi"/>
                <w:i/>
                <w:iCs/>
              </w:rPr>
              <w:t>Security Management</w:t>
            </w:r>
            <w:r w:rsidR="00156AEA" w:rsidRPr="00156AEA">
              <w:rPr>
                <w:rFonts w:asciiTheme="minorHAnsi" w:hAnsiTheme="minorHAnsi" w:cstheme="minorHAnsi"/>
              </w:rPr>
              <w:t>)</w:t>
            </w:r>
            <w:r w:rsidRPr="00BD6C5F">
              <w:rPr>
                <w:rFonts w:asciiTheme="minorHAnsi" w:hAnsiTheme="minorHAnsi" w:cstheme="minorHAnsi"/>
              </w:rPr>
              <w:t>;</w:t>
            </w:r>
          </w:p>
        </w:tc>
      </w:tr>
      <w:tr w:rsidR="00920899" w:rsidRPr="00BD6C5F" w14:paraId="2027BC8D" w14:textId="77777777" w:rsidTr="00A64142">
        <w:trPr>
          <w:gridBefore w:val="1"/>
          <w:gridAfter w:val="1"/>
          <w:wBefore w:w="10" w:type="dxa"/>
          <w:wAfter w:w="32" w:type="dxa"/>
          <w:trHeight w:val="20"/>
        </w:trPr>
        <w:tc>
          <w:tcPr>
            <w:tcW w:w="3532" w:type="dxa"/>
          </w:tcPr>
          <w:p w14:paraId="7FDF4D04" w14:textId="3673917E" w:rsidR="00920899" w:rsidRPr="00BD6C5F" w:rsidRDefault="00920899" w:rsidP="00920899">
            <w:pPr>
              <w:pStyle w:val="Tabletext"/>
              <w:rPr>
                <w:b/>
                <w:bCs/>
              </w:rPr>
            </w:pPr>
            <w:r w:rsidRPr="00BD6C5F">
              <w:rPr>
                <w:b/>
                <w:bCs/>
              </w:rPr>
              <w:t>“Project Specific IPRs”</w:t>
            </w:r>
          </w:p>
        </w:tc>
        <w:tc>
          <w:tcPr>
            <w:tcW w:w="5954" w:type="dxa"/>
          </w:tcPr>
          <w:p w14:paraId="349A99ED" w14:textId="7A9A79E3" w:rsidR="00920899" w:rsidRPr="00BD6C5F" w:rsidRDefault="00920899" w:rsidP="00920899">
            <w:pPr>
              <w:pStyle w:val="Tablea"/>
            </w:pPr>
            <w:r w:rsidRPr="00BD6C5F">
              <w:t xml:space="preserve">Intellectual Property Rights in items created by the Supplier (or by a third party on behalf of the Supplier) specifically for the purposes of this Contract and updates and amendments of </w:t>
            </w:r>
            <w:r w:rsidRPr="00BD6C5F">
              <w:lastRenderedPageBreak/>
              <w:t>these items including (but not limited to) database schema; and/or</w:t>
            </w:r>
          </w:p>
          <w:p w14:paraId="2A0FDC29" w14:textId="0A9BAF30" w:rsidR="00920899" w:rsidRPr="00BD6C5F" w:rsidRDefault="00920899" w:rsidP="00920899">
            <w:pPr>
              <w:pStyle w:val="Tablea"/>
            </w:pPr>
            <w:r w:rsidRPr="00BD6C5F">
              <w:t>Intellectual Property Rights arising as a result of the performance of the Supplier’s obligations under this Contract;</w:t>
            </w:r>
          </w:p>
          <w:p w14:paraId="3D7DDA2D"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but shall not include the Supplier Background IPRs or the Specially Written Software;</w:t>
            </w:r>
          </w:p>
        </w:tc>
      </w:tr>
      <w:tr w:rsidR="00920899" w:rsidRPr="00BD6C5F" w14:paraId="1A38A9A3" w14:textId="77777777" w:rsidTr="00A64142">
        <w:trPr>
          <w:gridBefore w:val="1"/>
          <w:gridAfter w:val="1"/>
          <w:wBefore w:w="10" w:type="dxa"/>
          <w:wAfter w:w="32" w:type="dxa"/>
          <w:trHeight w:val="20"/>
        </w:trPr>
        <w:tc>
          <w:tcPr>
            <w:tcW w:w="3532" w:type="dxa"/>
          </w:tcPr>
          <w:p w14:paraId="2F793CA6" w14:textId="41D9FFA5" w:rsidR="00920899" w:rsidRPr="00BD6C5F" w:rsidRDefault="00920899" w:rsidP="00920899">
            <w:pPr>
              <w:pStyle w:val="Tabletext"/>
              <w:rPr>
                <w:b/>
                <w:bCs/>
              </w:rPr>
            </w:pPr>
            <w:r w:rsidRPr="00BD6C5F">
              <w:rPr>
                <w:b/>
                <w:bCs/>
              </w:rPr>
              <w:lastRenderedPageBreak/>
              <w:t>“Public Contracts Scotland”</w:t>
            </w:r>
          </w:p>
        </w:tc>
        <w:tc>
          <w:tcPr>
            <w:tcW w:w="5954" w:type="dxa"/>
          </w:tcPr>
          <w:p w14:paraId="59187476" w14:textId="79C676F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online government portal which allows suppliers to search for information about contracts as prescribed by Part 2 of the Public Contracts (Scotland) Regulations 2015;</w:t>
            </w:r>
          </w:p>
        </w:tc>
      </w:tr>
      <w:tr w:rsidR="00920899" w:rsidRPr="00BD6C5F" w14:paraId="6E2C2AD2" w14:textId="77777777" w:rsidTr="00A64142">
        <w:trPr>
          <w:gridBefore w:val="1"/>
          <w:gridAfter w:val="1"/>
          <w:wBefore w:w="10" w:type="dxa"/>
          <w:wAfter w:w="32" w:type="dxa"/>
          <w:trHeight w:val="20"/>
        </w:trPr>
        <w:tc>
          <w:tcPr>
            <w:tcW w:w="3532" w:type="dxa"/>
          </w:tcPr>
          <w:p w14:paraId="0AD092BB" w14:textId="1F97DC0D" w:rsidR="00920899" w:rsidRPr="00BD6C5F" w:rsidRDefault="00920899" w:rsidP="00920899">
            <w:pPr>
              <w:pStyle w:val="Tabletext"/>
              <w:rPr>
                <w:b/>
                <w:bCs/>
              </w:rPr>
            </w:pPr>
            <w:r w:rsidRPr="00BD6C5F">
              <w:rPr>
                <w:b/>
                <w:bCs/>
              </w:rPr>
              <w:t>“Public Sector Dependent Supplier”</w:t>
            </w:r>
          </w:p>
        </w:tc>
        <w:tc>
          <w:tcPr>
            <w:tcW w:w="5954" w:type="dxa"/>
          </w:tcPr>
          <w:p w14:paraId="7E99D277" w14:textId="3D01430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 supplier where that supplier, or that supplier’s group has Annual Revenue of £50 million or more of which over 50% is generated from UK Public Sector Business;</w:t>
            </w:r>
          </w:p>
        </w:tc>
      </w:tr>
      <w:tr w:rsidR="00920899" w:rsidRPr="00BD6C5F" w14:paraId="12FCAE52" w14:textId="77777777" w:rsidTr="00A64142">
        <w:trPr>
          <w:gridBefore w:val="1"/>
          <w:gridAfter w:val="1"/>
          <w:wBefore w:w="10" w:type="dxa"/>
          <w:wAfter w:w="32" w:type="dxa"/>
          <w:trHeight w:val="20"/>
        </w:trPr>
        <w:tc>
          <w:tcPr>
            <w:tcW w:w="3532" w:type="dxa"/>
          </w:tcPr>
          <w:p w14:paraId="41723B81" w14:textId="37C6EF80" w:rsidR="00920899" w:rsidRPr="00BD6C5F" w:rsidRDefault="00920899" w:rsidP="00920899">
            <w:pPr>
              <w:pStyle w:val="Tabletext"/>
              <w:rPr>
                <w:b/>
                <w:bCs/>
              </w:rPr>
            </w:pPr>
            <w:r w:rsidRPr="00BD6C5F">
              <w:rPr>
                <w:b/>
                <w:bCs/>
              </w:rPr>
              <w:t>“Publishable Performance Information”</w:t>
            </w:r>
          </w:p>
        </w:tc>
        <w:tc>
          <w:tcPr>
            <w:tcW w:w="5954" w:type="dxa"/>
          </w:tcPr>
          <w:p w14:paraId="7722F422" w14:textId="5911A04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any of the information in the Performance Monitoring Report as it relates to a Performance Indicator where it is expressed as publishable in the table in Annex </w:t>
            </w:r>
            <w:r w:rsidR="00C64197">
              <w:rPr>
                <w:rFonts w:asciiTheme="minorHAnsi" w:hAnsiTheme="minorHAnsi" w:cstheme="minorHAnsi"/>
              </w:rPr>
              <w:fldChar w:fldCharType="begin"/>
            </w:r>
            <w:r w:rsidR="00C64197">
              <w:rPr>
                <w:rFonts w:asciiTheme="minorHAnsi" w:hAnsiTheme="minorHAnsi" w:cstheme="minorHAnsi"/>
              </w:rPr>
              <w:instrText xml:space="preserve"> REF Schedule_3_Annex_1 \h </w:instrText>
            </w:r>
            <w:r w:rsidR="00C64197">
              <w:rPr>
                <w:rFonts w:asciiTheme="minorHAnsi" w:hAnsiTheme="minorHAnsi" w:cstheme="minorHAnsi"/>
              </w:rPr>
            </w:r>
            <w:r w:rsidR="00C64197">
              <w:rPr>
                <w:rFonts w:asciiTheme="minorHAnsi" w:hAnsiTheme="minorHAnsi" w:cstheme="minorHAnsi"/>
              </w:rPr>
              <w:fldChar w:fldCharType="separate"/>
            </w:r>
            <w:r w:rsidR="009749A0" w:rsidRPr="00BD6C5F">
              <w:t>1</w:t>
            </w:r>
            <w:r w:rsidR="00C64197">
              <w:rPr>
                <w:rFonts w:asciiTheme="minorHAnsi" w:hAnsiTheme="minorHAnsi" w:cstheme="minorHAnsi"/>
              </w:rPr>
              <w:fldChar w:fldCharType="end"/>
            </w:r>
            <w:r w:rsidRPr="00BD6C5F">
              <w:rPr>
                <w:rFonts w:asciiTheme="minorHAnsi" w:hAnsiTheme="minorHAnsi" w:cstheme="minorHAnsi"/>
              </w:rPr>
              <w:t xml:space="preserve"> </w:t>
            </w:r>
            <w:r w:rsidR="00AD7EC3">
              <w:rPr>
                <w:rFonts w:asciiTheme="minorHAnsi" w:hAnsiTheme="minorHAnsi" w:cstheme="minorHAnsi"/>
              </w:rPr>
              <w:t xml:space="preserve"> </w:t>
            </w:r>
            <w:r w:rsidR="00AD7EC3" w:rsidRPr="00BD6C5F">
              <w:rPr>
                <w:rFonts w:asciiTheme="minorHAnsi" w:hAnsiTheme="minorHAnsi" w:cstheme="minorHAnsi"/>
              </w:rPr>
              <w:t>of Schedule </w:t>
            </w:r>
            <w:r w:rsidR="00AD7EC3">
              <w:rPr>
                <w:rFonts w:asciiTheme="minorHAnsi" w:hAnsiTheme="minorHAnsi" w:cstheme="minorHAnsi"/>
              </w:rPr>
              <w:fldChar w:fldCharType="begin"/>
            </w:r>
            <w:r w:rsidR="00AD7EC3">
              <w:rPr>
                <w:rFonts w:asciiTheme="minorHAnsi" w:hAnsiTheme="minorHAnsi" w:cstheme="minorHAnsi"/>
              </w:rPr>
              <w:instrText xml:space="preserve"> REF Schedule_3 \h </w:instrText>
            </w:r>
            <w:r w:rsidR="00AD7EC3">
              <w:rPr>
                <w:rFonts w:asciiTheme="minorHAnsi" w:hAnsiTheme="minorHAnsi" w:cstheme="minorHAnsi"/>
              </w:rPr>
            </w:r>
            <w:r w:rsidR="00AD7EC3">
              <w:rPr>
                <w:rFonts w:asciiTheme="minorHAnsi" w:hAnsiTheme="minorHAnsi" w:cstheme="minorHAnsi"/>
              </w:rPr>
              <w:fldChar w:fldCharType="separate"/>
            </w:r>
            <w:r w:rsidR="009749A0">
              <w:t>3</w:t>
            </w:r>
            <w:r w:rsidR="00AD7EC3">
              <w:rPr>
                <w:rFonts w:asciiTheme="minorHAnsi" w:hAnsiTheme="minorHAnsi" w:cstheme="minorHAnsi"/>
              </w:rPr>
              <w:fldChar w:fldCharType="end"/>
            </w:r>
            <w:r w:rsidR="00AD7EC3" w:rsidRPr="00BD6C5F">
              <w:rPr>
                <w:rFonts w:asciiTheme="minorHAnsi" w:hAnsiTheme="minorHAnsi" w:cstheme="minorHAnsi"/>
              </w:rPr>
              <w:t xml:space="preserve"> (</w:t>
            </w:r>
            <w:r w:rsidR="00AD7EC3" w:rsidRPr="00BD6C5F">
              <w:rPr>
                <w:rFonts w:asciiTheme="minorHAnsi" w:hAnsiTheme="minorHAnsi" w:cstheme="minorHAnsi"/>
                <w:i/>
              </w:rPr>
              <w:t>Performance Levels</w:t>
            </w:r>
            <w:r w:rsidR="00AD7EC3" w:rsidRPr="00BD6C5F">
              <w:rPr>
                <w:rFonts w:asciiTheme="minorHAnsi" w:hAnsiTheme="minorHAnsi" w:cstheme="minorHAnsi"/>
              </w:rPr>
              <w:t>)</w:t>
            </w:r>
            <w:r w:rsidR="00AD7EC3">
              <w:rPr>
                <w:rFonts w:asciiTheme="minorHAnsi" w:hAnsiTheme="minorHAnsi" w:cstheme="minorHAnsi"/>
              </w:rPr>
              <w:t xml:space="preserve"> </w:t>
            </w:r>
            <w:r w:rsidRPr="00BD6C5F">
              <w:rPr>
                <w:rFonts w:asciiTheme="minorHAnsi" w:hAnsiTheme="minorHAnsi" w:cstheme="minorHAnsi"/>
              </w:rPr>
              <w:t>which shall not constitute Commercially Sensitive Information;</w:t>
            </w:r>
          </w:p>
        </w:tc>
      </w:tr>
      <w:tr w:rsidR="00920899" w:rsidRPr="00BD6C5F" w14:paraId="25D20E12" w14:textId="77777777" w:rsidTr="00A64142">
        <w:trPr>
          <w:gridBefore w:val="1"/>
          <w:gridAfter w:val="1"/>
          <w:wBefore w:w="10" w:type="dxa"/>
          <w:wAfter w:w="32" w:type="dxa"/>
          <w:trHeight w:val="20"/>
        </w:trPr>
        <w:tc>
          <w:tcPr>
            <w:tcW w:w="3532" w:type="dxa"/>
          </w:tcPr>
          <w:p w14:paraId="108073E9" w14:textId="557D6CE8" w:rsidR="00920899" w:rsidRPr="00BD6C5F" w:rsidRDefault="00920899" w:rsidP="00920899">
            <w:pPr>
              <w:pStyle w:val="Tabletext"/>
              <w:rPr>
                <w:b/>
                <w:bCs/>
              </w:rPr>
            </w:pPr>
            <w:r w:rsidRPr="00BD6C5F">
              <w:rPr>
                <w:b/>
                <w:bCs/>
              </w:rPr>
              <w:t>“Quality Plans”</w:t>
            </w:r>
          </w:p>
        </w:tc>
        <w:tc>
          <w:tcPr>
            <w:tcW w:w="5954" w:type="dxa"/>
          </w:tcPr>
          <w:p w14:paraId="2AEB741C" w14:textId="2104157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6.1 (</w:t>
            </w:r>
            <w:r w:rsidRPr="00BD6C5F">
              <w:rPr>
                <w:rFonts w:asciiTheme="minorHAnsi" w:hAnsiTheme="minorHAnsi" w:cstheme="minorHAnsi"/>
                <w:i/>
              </w:rPr>
              <w:t>Quality Plans</w:t>
            </w:r>
            <w:r w:rsidRPr="00BD6C5F">
              <w:rPr>
                <w:rFonts w:asciiTheme="minorHAnsi" w:hAnsiTheme="minorHAnsi" w:cstheme="minorHAnsi"/>
              </w:rPr>
              <w:t>);</w:t>
            </w:r>
          </w:p>
        </w:tc>
      </w:tr>
      <w:tr w:rsidR="00920899" w:rsidRPr="00BD6C5F" w14:paraId="293997CF" w14:textId="77777777" w:rsidTr="00A64142">
        <w:trPr>
          <w:gridBefore w:val="1"/>
          <w:gridAfter w:val="1"/>
          <w:wBefore w:w="10" w:type="dxa"/>
          <w:wAfter w:w="32" w:type="dxa"/>
          <w:trHeight w:val="20"/>
        </w:trPr>
        <w:tc>
          <w:tcPr>
            <w:tcW w:w="3532" w:type="dxa"/>
          </w:tcPr>
          <w:p w14:paraId="06728F5A" w14:textId="79E35B83" w:rsidR="00920899" w:rsidRPr="00BD6C5F" w:rsidRDefault="00920899" w:rsidP="00920899">
            <w:pPr>
              <w:pStyle w:val="Tabletext"/>
              <w:rPr>
                <w:b/>
                <w:bCs/>
              </w:rPr>
            </w:pPr>
            <w:r w:rsidRPr="00BD6C5F">
              <w:rPr>
                <w:b/>
                <w:bCs/>
              </w:rPr>
              <w:t>“Quarter”</w:t>
            </w:r>
          </w:p>
        </w:tc>
        <w:tc>
          <w:tcPr>
            <w:tcW w:w="5954" w:type="dxa"/>
          </w:tcPr>
          <w:p w14:paraId="73F215C2" w14:textId="07BC518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first three Service Periods and each subsequent three Service Periods (save that the final Quarter shall end on the date of termination or expiry of this Contract);</w:t>
            </w:r>
          </w:p>
        </w:tc>
      </w:tr>
      <w:tr w:rsidR="00920899" w:rsidRPr="00BD6C5F" w14:paraId="1C798C76" w14:textId="77777777" w:rsidTr="00A64142">
        <w:trPr>
          <w:gridBefore w:val="1"/>
          <w:gridAfter w:val="1"/>
          <w:wBefore w:w="10" w:type="dxa"/>
          <w:wAfter w:w="32" w:type="dxa"/>
          <w:trHeight w:val="20"/>
        </w:trPr>
        <w:tc>
          <w:tcPr>
            <w:tcW w:w="3532" w:type="dxa"/>
          </w:tcPr>
          <w:p w14:paraId="21819C12" w14:textId="51AF56B1" w:rsidR="00920899" w:rsidRPr="00BD6C5F" w:rsidRDefault="00920899" w:rsidP="00920899">
            <w:pPr>
              <w:pStyle w:val="Tabletext"/>
              <w:rPr>
                <w:b/>
                <w:bCs/>
              </w:rPr>
            </w:pPr>
            <w:r w:rsidRPr="00BD6C5F">
              <w:rPr>
                <w:b/>
                <w:bCs/>
              </w:rPr>
              <w:t>“Recipient”</w:t>
            </w:r>
          </w:p>
        </w:tc>
        <w:tc>
          <w:tcPr>
            <w:tcW w:w="5954" w:type="dxa"/>
          </w:tcPr>
          <w:p w14:paraId="044D170A" w14:textId="5E91331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19.1 (</w:t>
            </w:r>
            <w:r w:rsidRPr="00BD6C5F">
              <w:rPr>
                <w:rFonts w:asciiTheme="minorHAnsi" w:hAnsiTheme="minorHAnsi" w:cstheme="minorHAnsi"/>
                <w:i/>
              </w:rPr>
              <w:t>Confidentiality</w:t>
            </w:r>
            <w:r w:rsidRPr="00BD6C5F">
              <w:rPr>
                <w:rFonts w:asciiTheme="minorHAnsi" w:hAnsiTheme="minorHAnsi" w:cstheme="minorHAnsi"/>
              </w:rPr>
              <w:t>);</w:t>
            </w:r>
          </w:p>
        </w:tc>
      </w:tr>
      <w:tr w:rsidR="00E01637" w:rsidRPr="00BD6C5F" w14:paraId="6CA0B997" w14:textId="77777777" w:rsidTr="00A64142">
        <w:trPr>
          <w:gridBefore w:val="1"/>
          <w:gridAfter w:val="1"/>
          <w:wBefore w:w="10" w:type="dxa"/>
          <w:wAfter w:w="32" w:type="dxa"/>
          <w:trHeight w:val="20"/>
        </w:trPr>
        <w:tc>
          <w:tcPr>
            <w:tcW w:w="3532" w:type="dxa"/>
          </w:tcPr>
          <w:p w14:paraId="11408814" w14:textId="5E51A029" w:rsidR="00E01637" w:rsidRPr="00BD6C5F" w:rsidRDefault="00E01637" w:rsidP="00920899">
            <w:pPr>
              <w:pStyle w:val="Tabletext"/>
              <w:rPr>
                <w:b/>
                <w:bCs/>
              </w:rPr>
            </w:pPr>
            <w:r>
              <w:rPr>
                <w:b/>
                <w:bCs/>
              </w:rPr>
              <w:t>“Recall”</w:t>
            </w:r>
          </w:p>
        </w:tc>
        <w:tc>
          <w:tcPr>
            <w:tcW w:w="5954" w:type="dxa"/>
          </w:tcPr>
          <w:p w14:paraId="73B11C89" w14:textId="50D43143" w:rsidR="00E01637" w:rsidRPr="00BD6C5F" w:rsidRDefault="00E01637" w:rsidP="00920899">
            <w:pPr>
              <w:pStyle w:val="Tabletext"/>
              <w:rPr>
                <w:rFonts w:asciiTheme="minorHAnsi" w:hAnsiTheme="minorHAnsi" w:cstheme="minorHAnsi"/>
              </w:rPr>
            </w:pPr>
            <w:r w:rsidRPr="00E01637">
              <w:rPr>
                <w:rFonts w:asciiTheme="minorHAnsi" w:hAnsiTheme="minorHAnsi" w:cstheme="minorHAnsi"/>
              </w:rPr>
              <w:t>a request by the Supplier to return Goods to the Supplier or the manufacturer after the discovery of safety issues or defects (including defects in the IPR rights) that might endanger health or hinder performance;</w:t>
            </w:r>
          </w:p>
        </w:tc>
      </w:tr>
      <w:tr w:rsidR="00920899" w:rsidRPr="00BD6C5F" w14:paraId="0417FDC4" w14:textId="77777777" w:rsidTr="00A64142">
        <w:trPr>
          <w:gridBefore w:val="1"/>
          <w:gridAfter w:val="1"/>
          <w:wBefore w:w="10" w:type="dxa"/>
          <w:wAfter w:w="32" w:type="dxa"/>
          <w:trHeight w:val="20"/>
        </w:trPr>
        <w:tc>
          <w:tcPr>
            <w:tcW w:w="3532" w:type="dxa"/>
          </w:tcPr>
          <w:p w14:paraId="7E0E5CAF" w14:textId="74CEE95C" w:rsidR="00920899" w:rsidRPr="00BD6C5F" w:rsidRDefault="00920899" w:rsidP="00920899">
            <w:pPr>
              <w:pStyle w:val="Tabletext"/>
              <w:rPr>
                <w:b/>
                <w:bCs/>
              </w:rPr>
            </w:pPr>
            <w:r w:rsidRPr="00BD6C5F">
              <w:rPr>
                <w:b/>
                <w:bCs/>
              </w:rPr>
              <w:t>“Records”</w:t>
            </w:r>
          </w:p>
        </w:tc>
        <w:tc>
          <w:tcPr>
            <w:tcW w:w="5954" w:type="dxa"/>
          </w:tcPr>
          <w:p w14:paraId="0806B344" w14:textId="6DEDE9E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w:t>
            </w:r>
          </w:p>
        </w:tc>
      </w:tr>
      <w:tr w:rsidR="00920899" w:rsidRPr="00BD6C5F" w14:paraId="4B3875C9" w14:textId="77777777" w:rsidTr="00A64142">
        <w:trPr>
          <w:gridBefore w:val="1"/>
          <w:gridAfter w:val="1"/>
          <w:wBefore w:w="10" w:type="dxa"/>
          <w:wAfter w:w="32" w:type="dxa"/>
          <w:trHeight w:val="20"/>
        </w:trPr>
        <w:tc>
          <w:tcPr>
            <w:tcW w:w="3532" w:type="dxa"/>
          </w:tcPr>
          <w:p w14:paraId="276EF550" w14:textId="36232CD1" w:rsidR="00920899" w:rsidRPr="00BD6C5F" w:rsidRDefault="00920899" w:rsidP="00920899">
            <w:pPr>
              <w:pStyle w:val="Tabletext"/>
              <w:rPr>
                <w:b/>
                <w:bCs/>
              </w:rPr>
            </w:pPr>
            <w:r w:rsidRPr="00BD6C5F">
              <w:rPr>
                <w:b/>
                <w:bCs/>
              </w:rPr>
              <w:t>“Rectification Plan”</w:t>
            </w:r>
          </w:p>
        </w:tc>
        <w:tc>
          <w:tcPr>
            <w:tcW w:w="5954" w:type="dxa"/>
          </w:tcPr>
          <w:p w14:paraId="66C5BEE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plan to address the impact of, and prevent the reoccurrence of, a Notifiable Default;</w:t>
            </w:r>
          </w:p>
        </w:tc>
      </w:tr>
      <w:tr w:rsidR="00920899" w:rsidRPr="00BD6C5F" w14:paraId="2F5221AF" w14:textId="77777777" w:rsidTr="00A64142">
        <w:trPr>
          <w:gridBefore w:val="1"/>
          <w:gridAfter w:val="1"/>
          <w:wBefore w:w="10" w:type="dxa"/>
          <w:wAfter w:w="32" w:type="dxa"/>
          <w:trHeight w:val="20"/>
        </w:trPr>
        <w:tc>
          <w:tcPr>
            <w:tcW w:w="3532" w:type="dxa"/>
          </w:tcPr>
          <w:p w14:paraId="500B74C3" w14:textId="63B32866" w:rsidR="00920899" w:rsidRPr="00BD6C5F" w:rsidRDefault="00920899" w:rsidP="00920899">
            <w:pPr>
              <w:pStyle w:val="Tabletext"/>
              <w:rPr>
                <w:b/>
                <w:bCs/>
              </w:rPr>
            </w:pPr>
            <w:r w:rsidRPr="00BD6C5F">
              <w:rPr>
                <w:b/>
                <w:bCs/>
              </w:rPr>
              <w:t>“Rectification Plan Failure”</w:t>
            </w:r>
          </w:p>
        </w:tc>
        <w:tc>
          <w:tcPr>
            <w:tcW w:w="5954" w:type="dxa"/>
          </w:tcPr>
          <w:p w14:paraId="628B4763" w14:textId="00516607" w:rsidR="00920899" w:rsidRPr="00BD6C5F" w:rsidRDefault="00920899" w:rsidP="00920899">
            <w:pPr>
              <w:pStyle w:val="Tablea"/>
            </w:pPr>
            <w:r w:rsidRPr="00BD6C5F">
              <w:t>the Supplier failing to submit or resubmit a draft Rectification Plan to the Authority within the timescales specified in Clauses</w:t>
            </w:r>
            <w:r>
              <w:t> </w:t>
            </w:r>
            <w:r w:rsidRPr="00BD6C5F">
              <w:t xml:space="preserve">25.4 </w:t>
            </w:r>
            <w:r w:rsidRPr="00BD6C5F">
              <w:lastRenderedPageBreak/>
              <w:t>(</w:t>
            </w:r>
            <w:r w:rsidRPr="00DC2DA2">
              <w:rPr>
                <w:i/>
                <w:iCs/>
              </w:rPr>
              <w:t>Submission</w:t>
            </w:r>
            <w:r w:rsidRPr="00BD6C5F">
              <w:rPr>
                <w:i/>
              </w:rPr>
              <w:t xml:space="preserve"> of the draft Rectification Plan</w:t>
            </w:r>
            <w:r w:rsidRPr="00BD6C5F">
              <w:t>) or 25.8 (</w:t>
            </w:r>
            <w:r w:rsidRPr="00BD6C5F">
              <w:rPr>
                <w:i/>
              </w:rPr>
              <w:t>Agreement of the Rectification Plan</w:t>
            </w:r>
            <w:r w:rsidRPr="00BD6C5F">
              <w:t>);</w:t>
            </w:r>
          </w:p>
          <w:p w14:paraId="57C9B152" w14:textId="77777777" w:rsidR="00920899" w:rsidRPr="00BD6C5F" w:rsidRDefault="00920899" w:rsidP="00920899">
            <w:pPr>
              <w:pStyle w:val="Tablea"/>
            </w:pPr>
            <w:r w:rsidRPr="00BD6C5F">
              <w:t>the Authority, acting reasonably, rejecting a revised draft of the Rectification Plan submitted by the Supplier pursuant to Clause 25.7 (</w:t>
            </w:r>
            <w:r w:rsidRPr="00BD6C5F">
              <w:rPr>
                <w:i/>
                <w:iCs/>
              </w:rPr>
              <w:t>Agreement of the Rectification Plan</w:t>
            </w:r>
            <w:r w:rsidRPr="00BD6C5F">
              <w:t>);</w:t>
            </w:r>
          </w:p>
          <w:p w14:paraId="6FA4695C" w14:textId="77777777" w:rsidR="00920899" w:rsidRPr="00BD6C5F" w:rsidRDefault="00920899" w:rsidP="00920899">
            <w:pPr>
              <w:pStyle w:val="Tablea"/>
            </w:pPr>
            <w:r w:rsidRPr="00BD6C5F">
              <w:t>the Supplier failing to rectify a material Default within the later of:</w:t>
            </w:r>
          </w:p>
          <w:p w14:paraId="116ACEB5" w14:textId="77777777" w:rsidR="00920899" w:rsidRPr="00BD6C5F" w:rsidRDefault="00920899" w:rsidP="00920899">
            <w:pPr>
              <w:pStyle w:val="Tableai"/>
            </w:pPr>
            <w:r w:rsidRPr="00BD6C5F">
              <w:t>30 Working Days of a notification made pursuant to Clause 25.2 (</w:t>
            </w:r>
            <w:r w:rsidRPr="00BD6C5F">
              <w:rPr>
                <w:i/>
              </w:rPr>
              <w:t>Notification</w:t>
            </w:r>
            <w:r w:rsidRPr="00BD6C5F">
              <w:t>); and</w:t>
            </w:r>
          </w:p>
          <w:p w14:paraId="4988B8F7" w14:textId="77777777" w:rsidR="00920899" w:rsidRPr="00BD6C5F" w:rsidRDefault="00920899" w:rsidP="00920899">
            <w:pPr>
              <w:pStyle w:val="Tableai"/>
            </w:pPr>
            <w:r w:rsidRPr="00BD6C5F">
              <w:t>where the Parties have agreed a Rectification Plan in respect of that material Default and the Supplier can demonstrate that it is implementing the Rectification Plan in good faith, the date specified in the Rectification Plan</w:t>
            </w:r>
          </w:p>
          <w:p w14:paraId="1015CE89" w14:textId="77777777" w:rsidR="00920899" w:rsidRPr="00BD6C5F" w:rsidRDefault="00920899" w:rsidP="00920899">
            <w:pPr>
              <w:pStyle w:val="Tabletext"/>
              <w:ind w:left="720"/>
              <w:rPr>
                <w:rFonts w:asciiTheme="minorHAnsi" w:hAnsiTheme="minorHAnsi" w:cstheme="minorHAnsi"/>
              </w:rPr>
            </w:pPr>
            <w:r w:rsidRPr="00BD6C5F">
              <w:rPr>
                <w:rFonts w:asciiTheme="minorHAnsi" w:hAnsiTheme="minorHAnsi" w:cstheme="minorHAnsi"/>
              </w:rPr>
              <w:t>by which the Supplier must rectify the material Default;</w:t>
            </w:r>
          </w:p>
          <w:p w14:paraId="2FA10DCD" w14:textId="77777777" w:rsidR="00920899" w:rsidRPr="00BD6C5F" w:rsidRDefault="00920899" w:rsidP="00920899">
            <w:pPr>
              <w:pStyle w:val="Tablea"/>
            </w:pPr>
            <w:r w:rsidRPr="00BD6C5F">
              <w:t>a Material KPI Failure re-occurring in respect of the same Key Performance Indicator for the same (or substantially the same) root cause in any of the 3 Measurement Periods subsequent to the Measurement Period in which the initial Material KPI Failure occurred;</w:t>
            </w:r>
          </w:p>
          <w:p w14:paraId="509B3582" w14:textId="77777777" w:rsidR="00920899" w:rsidRPr="00BD6C5F" w:rsidRDefault="00920899" w:rsidP="00920899">
            <w:pPr>
              <w:pStyle w:val="Tablea"/>
            </w:pPr>
            <w:r w:rsidRPr="00BD6C5F">
              <w:t>the Supplier not Achieving a Key Milestone by the expiry of the Delay Deduction Period; and/or</w:t>
            </w:r>
          </w:p>
          <w:p w14:paraId="3DBDA43A" w14:textId="6D60935E" w:rsidR="00920899" w:rsidRPr="00BD6C5F" w:rsidRDefault="00920899" w:rsidP="00920899">
            <w:pPr>
              <w:pStyle w:val="Tablea"/>
            </w:pPr>
            <w:r w:rsidRPr="00BD6C5F">
              <w:t>following the successful implementation of a Rectification Plan, the same Notifiable Default recurring within a period of 6 months for the same (or substantially the same) root cause as that of the original Notifiable Default;</w:t>
            </w:r>
          </w:p>
        </w:tc>
      </w:tr>
      <w:tr w:rsidR="00920899" w:rsidRPr="00BD6C5F" w14:paraId="6C79821F" w14:textId="77777777" w:rsidTr="00A64142">
        <w:trPr>
          <w:gridBefore w:val="1"/>
          <w:gridAfter w:val="1"/>
          <w:wBefore w:w="10" w:type="dxa"/>
          <w:wAfter w:w="32" w:type="dxa"/>
          <w:trHeight w:val="20"/>
        </w:trPr>
        <w:tc>
          <w:tcPr>
            <w:tcW w:w="3532" w:type="dxa"/>
          </w:tcPr>
          <w:p w14:paraId="3F3F2A5C" w14:textId="3F62D002" w:rsidR="00920899" w:rsidRPr="00BD6C5F" w:rsidRDefault="00920899" w:rsidP="00920899">
            <w:pPr>
              <w:pStyle w:val="Tabletext"/>
              <w:rPr>
                <w:b/>
                <w:bCs/>
              </w:rPr>
            </w:pPr>
            <w:r w:rsidRPr="00BD6C5F">
              <w:rPr>
                <w:b/>
                <w:bCs/>
              </w:rPr>
              <w:lastRenderedPageBreak/>
              <w:t>“Rectification Plan Process”</w:t>
            </w:r>
          </w:p>
        </w:tc>
        <w:tc>
          <w:tcPr>
            <w:tcW w:w="5954" w:type="dxa"/>
          </w:tcPr>
          <w:p w14:paraId="05D58C71" w14:textId="7294849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process set out in Clauses 25.4 (</w:t>
            </w:r>
            <w:r w:rsidRPr="00BD6C5F">
              <w:rPr>
                <w:rFonts w:asciiTheme="minorHAnsi" w:hAnsiTheme="minorHAnsi" w:cstheme="minorHAnsi"/>
                <w:i/>
              </w:rPr>
              <w:t>Submission of the draft Rectification Plan</w:t>
            </w:r>
            <w:r w:rsidRPr="00BD6C5F">
              <w:rPr>
                <w:rFonts w:asciiTheme="minorHAnsi" w:hAnsiTheme="minorHAnsi" w:cstheme="minorHAnsi"/>
              </w:rPr>
              <w:t>) to 25.9 (</w:t>
            </w:r>
            <w:r w:rsidRPr="00BD6C5F">
              <w:rPr>
                <w:rFonts w:asciiTheme="minorHAnsi" w:hAnsiTheme="minorHAnsi" w:cstheme="minorHAnsi"/>
                <w:i/>
              </w:rPr>
              <w:t>Agreement of the Rectification Plan</w:t>
            </w:r>
            <w:r w:rsidRPr="00BD6C5F">
              <w:rPr>
                <w:rFonts w:asciiTheme="minorHAnsi" w:hAnsiTheme="minorHAnsi" w:cstheme="minorHAnsi"/>
              </w:rPr>
              <w:t>);</w:t>
            </w:r>
          </w:p>
        </w:tc>
      </w:tr>
      <w:tr w:rsidR="00920899" w:rsidRPr="00BD6C5F" w14:paraId="1AFFF5B7" w14:textId="77777777" w:rsidTr="00A64142">
        <w:trPr>
          <w:gridBefore w:val="1"/>
          <w:gridAfter w:val="1"/>
          <w:wBefore w:w="10" w:type="dxa"/>
          <w:wAfter w:w="32" w:type="dxa"/>
          <w:trHeight w:val="20"/>
        </w:trPr>
        <w:tc>
          <w:tcPr>
            <w:tcW w:w="3532" w:type="dxa"/>
          </w:tcPr>
          <w:p w14:paraId="0C81CC83" w14:textId="25398ABD" w:rsidR="00920899" w:rsidRPr="00BD6C5F" w:rsidRDefault="00920899" w:rsidP="00920899">
            <w:pPr>
              <w:pStyle w:val="Tabletext"/>
              <w:rPr>
                <w:b/>
                <w:bCs/>
              </w:rPr>
            </w:pPr>
            <w:r w:rsidRPr="00BD6C5F">
              <w:rPr>
                <w:b/>
                <w:bCs/>
              </w:rPr>
              <w:t>“Registers”</w:t>
            </w:r>
          </w:p>
        </w:tc>
        <w:tc>
          <w:tcPr>
            <w:tcW w:w="5954" w:type="dxa"/>
          </w:tcPr>
          <w:p w14:paraId="6A8F6AC5" w14:textId="07379A8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6BC6C994" w14:textId="77777777" w:rsidTr="00A64142">
        <w:trPr>
          <w:gridBefore w:val="1"/>
          <w:gridAfter w:val="1"/>
          <w:wBefore w:w="10" w:type="dxa"/>
          <w:wAfter w:w="32" w:type="dxa"/>
          <w:trHeight w:val="20"/>
        </w:trPr>
        <w:tc>
          <w:tcPr>
            <w:tcW w:w="3532" w:type="dxa"/>
          </w:tcPr>
          <w:p w14:paraId="68822167" w14:textId="6FCC33D7" w:rsidR="00920899" w:rsidRPr="00BD6C5F" w:rsidRDefault="00920899" w:rsidP="00920899">
            <w:pPr>
              <w:pStyle w:val="Tabletext"/>
              <w:rPr>
                <w:b/>
                <w:bCs/>
              </w:rPr>
            </w:pPr>
            <w:r w:rsidRPr="00BD6C5F">
              <w:rPr>
                <w:b/>
                <w:bCs/>
              </w:rPr>
              <w:t>“Reimbursable Expenses”</w:t>
            </w:r>
          </w:p>
        </w:tc>
        <w:tc>
          <w:tcPr>
            <w:tcW w:w="5954" w:type="dxa"/>
          </w:tcPr>
          <w:p w14:paraId="634867E6" w14:textId="5190E9B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7BF9B4FF" w14:textId="77777777" w:rsidTr="00A64142">
        <w:trPr>
          <w:gridBefore w:val="1"/>
          <w:gridAfter w:val="1"/>
          <w:wBefore w:w="10" w:type="dxa"/>
          <w:wAfter w:w="32" w:type="dxa"/>
          <w:trHeight w:val="20"/>
        </w:trPr>
        <w:tc>
          <w:tcPr>
            <w:tcW w:w="3532" w:type="dxa"/>
          </w:tcPr>
          <w:p w14:paraId="4430299A" w14:textId="29C5527F" w:rsidR="00920899" w:rsidRPr="00BD6C5F" w:rsidRDefault="00920899" w:rsidP="00920899">
            <w:pPr>
              <w:pStyle w:val="Tabletext"/>
              <w:rPr>
                <w:b/>
                <w:bCs/>
              </w:rPr>
            </w:pPr>
            <w:r w:rsidRPr="00BD6C5F">
              <w:rPr>
                <w:b/>
                <w:bCs/>
              </w:rPr>
              <w:t>“Relevant Authority” or “Relevant Authorities”</w:t>
            </w:r>
          </w:p>
        </w:tc>
        <w:tc>
          <w:tcPr>
            <w:tcW w:w="5954" w:type="dxa"/>
          </w:tcPr>
          <w:p w14:paraId="06B8D616"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Authority and the Cabinet Office Markets and Suppliers Team or, where the Supplier is a Strategic Supplier, the Cabinet Office Markets and </w:t>
            </w:r>
            <w:r w:rsidRPr="00BD6C5F">
              <w:rPr>
                <w:rFonts w:asciiTheme="minorHAnsi" w:hAnsiTheme="minorHAnsi" w:cstheme="minorHAnsi"/>
              </w:rPr>
              <w:lastRenderedPageBreak/>
              <w:t>Suppliers Team;</w:t>
            </w:r>
          </w:p>
        </w:tc>
      </w:tr>
      <w:tr w:rsidR="00920899" w:rsidRPr="00BD6C5F" w14:paraId="7EBA9EDB" w14:textId="77777777" w:rsidTr="00A64142">
        <w:trPr>
          <w:gridBefore w:val="1"/>
          <w:gridAfter w:val="1"/>
          <w:wBefore w:w="10" w:type="dxa"/>
          <w:wAfter w:w="32" w:type="dxa"/>
          <w:trHeight w:val="20"/>
        </w:trPr>
        <w:tc>
          <w:tcPr>
            <w:tcW w:w="3532" w:type="dxa"/>
          </w:tcPr>
          <w:p w14:paraId="35A1A4E1" w14:textId="15FDC162" w:rsidR="00920899" w:rsidRPr="00BD6C5F" w:rsidRDefault="00920899" w:rsidP="00920899">
            <w:pPr>
              <w:pStyle w:val="Tabletext"/>
              <w:rPr>
                <w:b/>
                <w:bCs/>
              </w:rPr>
            </w:pPr>
            <w:r w:rsidRPr="00BD6C5F">
              <w:rPr>
                <w:b/>
                <w:bCs/>
              </w:rPr>
              <w:lastRenderedPageBreak/>
              <w:t>“Relevant IPRs”</w:t>
            </w:r>
          </w:p>
        </w:tc>
        <w:tc>
          <w:tcPr>
            <w:tcW w:w="5954" w:type="dxa"/>
          </w:tcPr>
          <w:p w14:paraId="334F27E7" w14:textId="50D051B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IPRs used to provide the Services or as otherwise provided and/or licensed by the Supplier (or to which the Supplier has provided access) to the Authority or a third party in the fulfilment of the Supplier’s obligations under this Contract including IPRs in the Specially Written Software, the Supplier Non-COTS Software, the Supplier Non-COTS Background IPRs, the Third Party Non-COTS Software and the Third Party Non-COTS IPRs but excluding any IPRs in the Authority Software, the Authority Background IPRs, the Supplier COTS Software, the Supplier COTS Background IPR</w:t>
            </w:r>
            <w:r>
              <w:rPr>
                <w:rFonts w:asciiTheme="minorHAnsi" w:hAnsiTheme="minorHAnsi" w:cstheme="minorHAnsi"/>
              </w:rPr>
              <w:t>s</w:t>
            </w:r>
            <w:r w:rsidRPr="00BD6C5F">
              <w:rPr>
                <w:rFonts w:asciiTheme="minorHAnsi" w:hAnsiTheme="minorHAnsi" w:cstheme="minorHAnsi"/>
              </w:rPr>
              <w:t>, the Third Party COTS Software and/or the Third Party COTS IPRs;</w:t>
            </w:r>
          </w:p>
        </w:tc>
      </w:tr>
      <w:tr w:rsidR="00920899" w:rsidRPr="00BD6C5F" w14:paraId="1B5051D4" w14:textId="77777777" w:rsidTr="00A64142">
        <w:trPr>
          <w:gridBefore w:val="1"/>
          <w:gridAfter w:val="1"/>
          <w:wBefore w:w="10" w:type="dxa"/>
          <w:wAfter w:w="32" w:type="dxa"/>
          <w:trHeight w:val="20"/>
        </w:trPr>
        <w:tc>
          <w:tcPr>
            <w:tcW w:w="3532" w:type="dxa"/>
          </w:tcPr>
          <w:p w14:paraId="72F80F07" w14:textId="3FE5CE4C" w:rsidR="00920899" w:rsidRPr="00BD6C5F" w:rsidRDefault="00920899" w:rsidP="00920899">
            <w:pPr>
              <w:pStyle w:val="Tabletext"/>
              <w:rPr>
                <w:b/>
                <w:bCs/>
              </w:rPr>
            </w:pPr>
            <w:r w:rsidRPr="00BD6C5F">
              <w:rPr>
                <w:b/>
                <w:bCs/>
              </w:rPr>
              <w:t>“Relevant Preceding Services”</w:t>
            </w:r>
          </w:p>
        </w:tc>
        <w:tc>
          <w:tcPr>
            <w:tcW w:w="5954" w:type="dxa"/>
          </w:tcPr>
          <w:p w14:paraId="31656E97" w14:textId="0F46532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5.2</w:t>
            </w:r>
            <w:r w:rsidR="008E2FFE">
              <w:rPr>
                <w:rFonts w:asciiTheme="minorHAnsi" w:hAnsiTheme="minorHAnsi" w:cstheme="minorHAnsi"/>
              </w:rPr>
              <w:t>.2</w:t>
            </w:r>
            <w:r w:rsidRPr="00BD6C5F">
              <w:rPr>
                <w:rFonts w:asciiTheme="minorHAnsi" w:hAnsiTheme="minorHAnsi" w:cstheme="minorHAnsi"/>
              </w:rPr>
              <w:t xml:space="preserve"> (</w:t>
            </w:r>
            <w:r w:rsidRPr="00BD6C5F">
              <w:rPr>
                <w:rFonts w:asciiTheme="minorHAnsi" w:hAnsiTheme="minorHAnsi" w:cstheme="minorHAnsi"/>
                <w:i/>
              </w:rPr>
              <w:t>Standard of Services</w:t>
            </w:r>
            <w:r w:rsidRPr="00BD6C5F">
              <w:rPr>
                <w:rFonts w:asciiTheme="minorHAnsi" w:hAnsiTheme="minorHAnsi" w:cstheme="minorHAnsi"/>
              </w:rPr>
              <w:t>);</w:t>
            </w:r>
          </w:p>
        </w:tc>
      </w:tr>
      <w:tr w:rsidR="00920899" w:rsidRPr="00BD6C5F" w14:paraId="22AF6B9D" w14:textId="77777777" w:rsidTr="00A64142">
        <w:trPr>
          <w:gridBefore w:val="1"/>
          <w:gridAfter w:val="1"/>
          <w:wBefore w:w="10" w:type="dxa"/>
          <w:wAfter w:w="32" w:type="dxa"/>
          <w:trHeight w:val="20"/>
        </w:trPr>
        <w:tc>
          <w:tcPr>
            <w:tcW w:w="3532" w:type="dxa"/>
          </w:tcPr>
          <w:p w14:paraId="735FE39E" w14:textId="2E399CC6" w:rsidR="00920899" w:rsidRPr="00BD6C5F" w:rsidRDefault="00920899" w:rsidP="00920899">
            <w:pPr>
              <w:pStyle w:val="Tabletext"/>
              <w:rPr>
                <w:b/>
                <w:bCs/>
              </w:rPr>
            </w:pPr>
            <w:r w:rsidRPr="00BD6C5F">
              <w:rPr>
                <w:b/>
                <w:bCs/>
              </w:rPr>
              <w:t>“Relevant Requirements”</w:t>
            </w:r>
          </w:p>
        </w:tc>
        <w:tc>
          <w:tcPr>
            <w:tcW w:w="5954" w:type="dxa"/>
          </w:tcPr>
          <w:p w14:paraId="40AC07A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all applicable Law relating to bribery, corruption and fraud, including the Bribery Act 2010 and any guidance issued by the Secretary of State for Justice pursuant to section 9 of the Bribery Act 2010;</w:t>
            </w:r>
          </w:p>
        </w:tc>
      </w:tr>
      <w:tr w:rsidR="00920899" w:rsidRPr="00BD6C5F" w14:paraId="049FBA33" w14:textId="77777777" w:rsidTr="00A64142">
        <w:trPr>
          <w:gridBefore w:val="1"/>
          <w:gridAfter w:val="1"/>
          <w:wBefore w:w="10" w:type="dxa"/>
          <w:wAfter w:w="32" w:type="dxa"/>
          <w:trHeight w:val="20"/>
        </w:trPr>
        <w:tc>
          <w:tcPr>
            <w:tcW w:w="3532" w:type="dxa"/>
          </w:tcPr>
          <w:p w14:paraId="3EC031DD" w14:textId="6B1633B5" w:rsidR="00920899" w:rsidRPr="00BD6C5F" w:rsidRDefault="00920899" w:rsidP="00920899">
            <w:pPr>
              <w:pStyle w:val="Tabletext"/>
              <w:rPr>
                <w:b/>
                <w:bCs/>
              </w:rPr>
            </w:pPr>
            <w:r w:rsidRPr="00BD6C5F">
              <w:rPr>
                <w:b/>
                <w:bCs/>
              </w:rPr>
              <w:t>“Relevant Tax Authority”</w:t>
            </w:r>
          </w:p>
        </w:tc>
        <w:tc>
          <w:tcPr>
            <w:tcW w:w="5954" w:type="dxa"/>
          </w:tcPr>
          <w:p w14:paraId="6E45BE3A"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HMRC, or, if applicable, a tax authority in the jurisdiction in which the Supplier is established;</w:t>
            </w:r>
          </w:p>
        </w:tc>
      </w:tr>
      <w:tr w:rsidR="00920899" w:rsidRPr="00BD6C5F" w14:paraId="68598BCE" w14:textId="77777777" w:rsidTr="00A64142">
        <w:trPr>
          <w:gridBefore w:val="1"/>
          <w:gridAfter w:val="1"/>
          <w:wBefore w:w="10" w:type="dxa"/>
          <w:wAfter w:w="32" w:type="dxa"/>
          <w:trHeight w:val="20"/>
        </w:trPr>
        <w:tc>
          <w:tcPr>
            <w:tcW w:w="3532" w:type="dxa"/>
          </w:tcPr>
          <w:p w14:paraId="7EB6E534" w14:textId="5CCB260F" w:rsidR="00920899" w:rsidRPr="00BD6C5F" w:rsidRDefault="00920899" w:rsidP="00920899">
            <w:pPr>
              <w:pStyle w:val="Tabletext"/>
              <w:rPr>
                <w:b/>
                <w:bCs/>
              </w:rPr>
            </w:pPr>
            <w:r w:rsidRPr="00BD6C5F">
              <w:rPr>
                <w:b/>
                <w:bCs/>
              </w:rPr>
              <w:t>“Relevant Transfer”</w:t>
            </w:r>
          </w:p>
        </w:tc>
        <w:tc>
          <w:tcPr>
            <w:tcW w:w="5954" w:type="dxa"/>
          </w:tcPr>
          <w:p w14:paraId="4984025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transfer of employment to which the Employment Regulations applies;</w:t>
            </w:r>
          </w:p>
        </w:tc>
      </w:tr>
      <w:tr w:rsidR="00920899" w:rsidRPr="00BD6C5F" w14:paraId="3B413A53" w14:textId="77777777" w:rsidTr="00A64142">
        <w:trPr>
          <w:gridBefore w:val="1"/>
          <w:gridAfter w:val="1"/>
          <w:wBefore w:w="10" w:type="dxa"/>
          <w:wAfter w:w="32" w:type="dxa"/>
          <w:trHeight w:val="20"/>
        </w:trPr>
        <w:tc>
          <w:tcPr>
            <w:tcW w:w="3532" w:type="dxa"/>
          </w:tcPr>
          <w:p w14:paraId="4E554862" w14:textId="57BA5A09" w:rsidR="00920899" w:rsidRPr="00BD6C5F" w:rsidRDefault="00920899" w:rsidP="00920899">
            <w:pPr>
              <w:pStyle w:val="Tabletext"/>
              <w:rPr>
                <w:b/>
                <w:bCs/>
              </w:rPr>
            </w:pPr>
            <w:r w:rsidRPr="00BD6C5F">
              <w:rPr>
                <w:b/>
                <w:bCs/>
              </w:rPr>
              <w:t>“Relief Notice”</w:t>
            </w:r>
          </w:p>
        </w:tc>
        <w:tc>
          <w:tcPr>
            <w:tcW w:w="5954" w:type="dxa"/>
          </w:tcPr>
          <w:p w14:paraId="38C6BCAE" w14:textId="1105C3F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19.2 (</w:t>
            </w:r>
            <w:r w:rsidRPr="00BD6C5F">
              <w:rPr>
                <w:rFonts w:asciiTheme="minorHAnsi" w:hAnsiTheme="minorHAnsi" w:cstheme="minorHAnsi"/>
                <w:i/>
              </w:rPr>
              <w:t>Authority Cause</w:t>
            </w:r>
            <w:r w:rsidRPr="00BD6C5F">
              <w:rPr>
                <w:rFonts w:asciiTheme="minorHAnsi" w:hAnsiTheme="minorHAnsi" w:cstheme="minorHAnsi"/>
              </w:rPr>
              <w:t>);</w:t>
            </w:r>
          </w:p>
        </w:tc>
      </w:tr>
      <w:tr w:rsidR="00920899" w:rsidRPr="00BD6C5F" w14:paraId="4CCDD44D" w14:textId="77777777" w:rsidTr="00A64142">
        <w:trPr>
          <w:gridBefore w:val="1"/>
          <w:gridAfter w:val="1"/>
          <w:wBefore w:w="10" w:type="dxa"/>
          <w:wAfter w:w="32" w:type="dxa"/>
          <w:trHeight w:val="20"/>
        </w:trPr>
        <w:tc>
          <w:tcPr>
            <w:tcW w:w="3532" w:type="dxa"/>
          </w:tcPr>
          <w:p w14:paraId="50675732" w14:textId="7B6DA89C" w:rsidR="00920899" w:rsidRPr="00BD6C5F" w:rsidRDefault="00920899" w:rsidP="00920899">
            <w:pPr>
              <w:pStyle w:val="Tabletext"/>
              <w:rPr>
                <w:b/>
                <w:bCs/>
              </w:rPr>
            </w:pPr>
            <w:r w:rsidRPr="00BD6C5F">
              <w:rPr>
                <w:b/>
                <w:bCs/>
              </w:rPr>
              <w:t>“Remedial Adviser”</w:t>
            </w:r>
          </w:p>
        </w:tc>
        <w:tc>
          <w:tcPr>
            <w:tcW w:w="5954" w:type="dxa"/>
          </w:tcPr>
          <w:p w14:paraId="2788F939" w14:textId="253B0A8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person appointed pursuant to Clause 27.2 (</w:t>
            </w:r>
            <w:r w:rsidRPr="00BD6C5F">
              <w:rPr>
                <w:rFonts w:asciiTheme="minorHAnsi" w:hAnsiTheme="minorHAnsi" w:cstheme="minorHAnsi"/>
                <w:i/>
              </w:rPr>
              <w:t>Remedial Adviser</w:t>
            </w:r>
            <w:r w:rsidRPr="00BD6C5F">
              <w:rPr>
                <w:rFonts w:asciiTheme="minorHAnsi" w:hAnsiTheme="minorHAnsi" w:cstheme="minorHAnsi"/>
              </w:rPr>
              <w:t>);</w:t>
            </w:r>
          </w:p>
        </w:tc>
      </w:tr>
      <w:tr w:rsidR="00920899" w:rsidRPr="00BD6C5F" w14:paraId="1FADED25" w14:textId="77777777" w:rsidTr="00A64142">
        <w:trPr>
          <w:gridBefore w:val="1"/>
          <w:gridAfter w:val="1"/>
          <w:wBefore w:w="10" w:type="dxa"/>
          <w:wAfter w:w="32" w:type="dxa"/>
          <w:trHeight w:val="20"/>
        </w:trPr>
        <w:tc>
          <w:tcPr>
            <w:tcW w:w="3532" w:type="dxa"/>
          </w:tcPr>
          <w:p w14:paraId="0F566A96" w14:textId="4429DF36" w:rsidR="00920899" w:rsidRPr="00BD6C5F" w:rsidRDefault="00920899" w:rsidP="00920899">
            <w:pPr>
              <w:pStyle w:val="Tabletext"/>
              <w:rPr>
                <w:b/>
                <w:bCs/>
              </w:rPr>
            </w:pPr>
            <w:r w:rsidRPr="00BD6C5F">
              <w:rPr>
                <w:b/>
                <w:bCs/>
              </w:rPr>
              <w:t>“Remedial Adviser Failure”</w:t>
            </w:r>
          </w:p>
        </w:tc>
        <w:tc>
          <w:tcPr>
            <w:tcW w:w="5954" w:type="dxa"/>
          </w:tcPr>
          <w:p w14:paraId="0143C374" w14:textId="6510DC2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27.6 (</w:t>
            </w:r>
            <w:r w:rsidRPr="00BD6C5F">
              <w:rPr>
                <w:rFonts w:asciiTheme="minorHAnsi" w:hAnsiTheme="minorHAnsi" w:cstheme="minorHAnsi"/>
                <w:i/>
              </w:rPr>
              <w:t>Remedial Adviser</w:t>
            </w:r>
            <w:r w:rsidRPr="00BD6C5F">
              <w:rPr>
                <w:rFonts w:asciiTheme="minorHAnsi" w:hAnsiTheme="minorHAnsi" w:cstheme="minorHAnsi"/>
              </w:rPr>
              <w:t>);</w:t>
            </w:r>
          </w:p>
        </w:tc>
      </w:tr>
      <w:tr w:rsidR="00920899" w:rsidRPr="00BD6C5F" w14:paraId="5C77B84A" w14:textId="77777777" w:rsidTr="00A64142">
        <w:trPr>
          <w:gridBefore w:val="1"/>
          <w:gridAfter w:val="1"/>
          <w:wBefore w:w="10" w:type="dxa"/>
          <w:wAfter w:w="32" w:type="dxa"/>
          <w:trHeight w:val="20"/>
        </w:trPr>
        <w:tc>
          <w:tcPr>
            <w:tcW w:w="3532" w:type="dxa"/>
          </w:tcPr>
          <w:p w14:paraId="6E6F5A2A" w14:textId="2CFA8303" w:rsidR="00920899" w:rsidRPr="00BD6C5F" w:rsidRDefault="00920899" w:rsidP="00920899">
            <w:pPr>
              <w:pStyle w:val="Tabletext"/>
              <w:rPr>
                <w:b/>
                <w:bCs/>
              </w:rPr>
            </w:pPr>
            <w:r w:rsidRPr="00BD6C5F">
              <w:rPr>
                <w:b/>
                <w:bCs/>
              </w:rPr>
              <w:t>“Replacement Services”</w:t>
            </w:r>
          </w:p>
        </w:tc>
        <w:tc>
          <w:tcPr>
            <w:tcW w:w="5954" w:type="dxa"/>
          </w:tcPr>
          <w:p w14:paraId="40E2EBAA" w14:textId="52DA939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services which are the same as or substantially similar to any of the Services and which the Authority receives in substitution for any of the Services following the expiry or termination or Partial Termination of this Contract, whether those services are provided by the Authority internally and/or by any third party;</w:t>
            </w:r>
          </w:p>
        </w:tc>
      </w:tr>
      <w:tr w:rsidR="00920899" w:rsidRPr="00BD6C5F" w14:paraId="02CE1014" w14:textId="77777777" w:rsidTr="00A64142">
        <w:trPr>
          <w:gridBefore w:val="1"/>
          <w:gridAfter w:val="1"/>
          <w:wBefore w:w="10" w:type="dxa"/>
          <w:wAfter w:w="32" w:type="dxa"/>
          <w:trHeight w:val="20"/>
        </w:trPr>
        <w:tc>
          <w:tcPr>
            <w:tcW w:w="3532" w:type="dxa"/>
          </w:tcPr>
          <w:p w14:paraId="77E5DF6C" w14:textId="6BE9BB8A" w:rsidR="00920899" w:rsidRPr="00BD6C5F" w:rsidRDefault="00920899" w:rsidP="00920899">
            <w:pPr>
              <w:pStyle w:val="Tabletext"/>
              <w:rPr>
                <w:b/>
                <w:bCs/>
              </w:rPr>
            </w:pPr>
            <w:r w:rsidRPr="00BD6C5F">
              <w:rPr>
                <w:b/>
                <w:bCs/>
              </w:rPr>
              <w:t>“Replacement Supplier”</w:t>
            </w:r>
          </w:p>
        </w:tc>
        <w:tc>
          <w:tcPr>
            <w:tcW w:w="5954" w:type="dxa"/>
          </w:tcPr>
          <w:p w14:paraId="48B92BB1"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third party service provider of Replacement Services appointed by the Authority from time to time (or where the Authority is providing replacement Services for its own account, the Authority);</w:t>
            </w:r>
          </w:p>
        </w:tc>
      </w:tr>
      <w:tr w:rsidR="00920899" w:rsidRPr="00BD6C5F" w14:paraId="37923C22" w14:textId="77777777" w:rsidTr="00A64142">
        <w:trPr>
          <w:gridBefore w:val="1"/>
          <w:gridAfter w:val="1"/>
          <w:wBefore w:w="10" w:type="dxa"/>
          <w:wAfter w:w="32" w:type="dxa"/>
          <w:trHeight w:val="20"/>
        </w:trPr>
        <w:tc>
          <w:tcPr>
            <w:tcW w:w="3532" w:type="dxa"/>
          </w:tcPr>
          <w:p w14:paraId="364B7C86" w14:textId="303C1E01" w:rsidR="00920899" w:rsidRPr="00BD6C5F" w:rsidRDefault="00920899" w:rsidP="00920899">
            <w:pPr>
              <w:pStyle w:val="Tabletext"/>
              <w:rPr>
                <w:b/>
                <w:bCs/>
              </w:rPr>
            </w:pPr>
            <w:r w:rsidRPr="00BD6C5F">
              <w:rPr>
                <w:b/>
                <w:bCs/>
              </w:rPr>
              <w:lastRenderedPageBreak/>
              <w:t>“Request For Information”</w:t>
            </w:r>
          </w:p>
        </w:tc>
        <w:tc>
          <w:tcPr>
            <w:tcW w:w="5954" w:type="dxa"/>
          </w:tcPr>
          <w:p w14:paraId="08F4EF6F" w14:textId="40C607B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Request for Information under the FOISA, FOIA or the EISRs;</w:t>
            </w:r>
          </w:p>
        </w:tc>
      </w:tr>
      <w:tr w:rsidR="00920899" w:rsidRPr="00BD6C5F" w14:paraId="2BC803EC" w14:textId="77777777" w:rsidTr="00A64142">
        <w:trPr>
          <w:gridBefore w:val="1"/>
          <w:gridAfter w:val="1"/>
          <w:wBefore w:w="10" w:type="dxa"/>
          <w:wAfter w:w="32" w:type="dxa"/>
          <w:trHeight w:val="20"/>
        </w:trPr>
        <w:tc>
          <w:tcPr>
            <w:tcW w:w="3532" w:type="dxa"/>
          </w:tcPr>
          <w:p w14:paraId="0019B0C8" w14:textId="1EB08661" w:rsidR="00920899" w:rsidRPr="00BD6C5F" w:rsidRDefault="00920899" w:rsidP="00920899">
            <w:pPr>
              <w:pStyle w:val="Tabletext"/>
              <w:rPr>
                <w:b/>
                <w:bCs/>
              </w:rPr>
            </w:pPr>
            <w:r w:rsidRPr="00BD6C5F">
              <w:rPr>
                <w:b/>
                <w:bCs/>
              </w:rPr>
              <w:t>“Required Action”</w:t>
            </w:r>
          </w:p>
        </w:tc>
        <w:tc>
          <w:tcPr>
            <w:tcW w:w="5954" w:type="dxa"/>
          </w:tcPr>
          <w:p w14:paraId="749FA69E" w14:textId="10BB812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28.1</w:t>
            </w:r>
            <w:r w:rsidR="008E2FFE">
              <w:rPr>
                <w:rFonts w:asciiTheme="minorHAnsi" w:hAnsiTheme="minorHAnsi" w:cstheme="minorHAnsi"/>
              </w:rPr>
              <w:t xml:space="preserve">.1 </w:t>
            </w:r>
            <w:r w:rsidRPr="00BD6C5F">
              <w:rPr>
                <w:rFonts w:asciiTheme="minorHAnsi" w:hAnsiTheme="minorHAnsi" w:cstheme="minorHAnsi"/>
              </w:rPr>
              <w:t>(</w:t>
            </w:r>
            <w:r w:rsidRPr="00BD6C5F">
              <w:rPr>
                <w:rFonts w:asciiTheme="minorHAnsi" w:hAnsiTheme="minorHAnsi" w:cstheme="minorHAnsi"/>
                <w:i/>
              </w:rPr>
              <w:t>Step-In Rights</w:t>
            </w:r>
            <w:r w:rsidRPr="00BD6C5F">
              <w:rPr>
                <w:rFonts w:asciiTheme="minorHAnsi" w:hAnsiTheme="minorHAnsi" w:cstheme="minorHAnsi"/>
              </w:rPr>
              <w:t>);</w:t>
            </w:r>
          </w:p>
        </w:tc>
      </w:tr>
      <w:tr w:rsidR="00920899" w:rsidRPr="00BD6C5F" w14:paraId="364657FF" w14:textId="77777777" w:rsidTr="00A64142">
        <w:trPr>
          <w:gridBefore w:val="1"/>
          <w:gridAfter w:val="1"/>
          <w:wBefore w:w="10" w:type="dxa"/>
          <w:wAfter w:w="32" w:type="dxa"/>
          <w:trHeight w:val="20"/>
        </w:trPr>
        <w:tc>
          <w:tcPr>
            <w:tcW w:w="3532" w:type="dxa"/>
          </w:tcPr>
          <w:p w14:paraId="334B340D" w14:textId="61078CC0" w:rsidR="00920899" w:rsidRPr="00BD6C5F" w:rsidRDefault="00920899" w:rsidP="00920899">
            <w:pPr>
              <w:pStyle w:val="Tabletext"/>
              <w:rPr>
                <w:b/>
                <w:bCs/>
              </w:rPr>
            </w:pPr>
            <w:r w:rsidRPr="00BD6C5F">
              <w:rPr>
                <w:b/>
                <w:bCs/>
              </w:rPr>
              <w:t>“Retained Deliverables”</w:t>
            </w:r>
          </w:p>
        </w:tc>
        <w:tc>
          <w:tcPr>
            <w:tcW w:w="5954" w:type="dxa"/>
          </w:tcPr>
          <w:p w14:paraId="67189CDA" w14:textId="2DB3FF3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32.</w:t>
            </w:r>
            <w:r w:rsidR="008E2FFE">
              <w:rPr>
                <w:rFonts w:asciiTheme="minorHAnsi" w:hAnsiTheme="minorHAnsi" w:cstheme="minorHAnsi"/>
              </w:rPr>
              <w:t>9.2</w:t>
            </w:r>
            <w:r w:rsidRPr="00BD6C5F">
              <w:rPr>
                <w:rFonts w:asciiTheme="minorHAnsi" w:hAnsiTheme="minorHAnsi" w:cstheme="minorHAnsi"/>
              </w:rPr>
              <w:t xml:space="preserve"> (</w:t>
            </w:r>
            <w:r w:rsidRPr="00BD6C5F">
              <w:rPr>
                <w:rFonts w:asciiTheme="minorHAnsi" w:hAnsiTheme="minorHAnsi" w:cstheme="minorHAnsi"/>
                <w:i/>
              </w:rPr>
              <w:t>Payments by the Supplier</w:t>
            </w:r>
            <w:r w:rsidRPr="00BD6C5F">
              <w:rPr>
                <w:rFonts w:asciiTheme="minorHAnsi" w:hAnsiTheme="minorHAnsi" w:cstheme="minorHAnsi"/>
              </w:rPr>
              <w:t>);</w:t>
            </w:r>
          </w:p>
        </w:tc>
      </w:tr>
      <w:tr w:rsidR="00920899" w:rsidRPr="00BD6C5F" w14:paraId="21B26DED" w14:textId="77777777" w:rsidTr="00A64142">
        <w:trPr>
          <w:gridBefore w:val="1"/>
          <w:gridAfter w:val="1"/>
          <w:wBefore w:w="10" w:type="dxa"/>
          <w:wAfter w:w="32" w:type="dxa"/>
          <w:trHeight w:val="20"/>
        </w:trPr>
        <w:tc>
          <w:tcPr>
            <w:tcW w:w="3532" w:type="dxa"/>
          </w:tcPr>
          <w:p w14:paraId="06E2C917" w14:textId="06862976" w:rsidR="00920899" w:rsidRPr="00BD6C5F" w:rsidRDefault="00920899" w:rsidP="00920899">
            <w:pPr>
              <w:pStyle w:val="Tabletext"/>
              <w:rPr>
                <w:b/>
                <w:bCs/>
              </w:rPr>
            </w:pPr>
            <w:r w:rsidRPr="00BD6C5F">
              <w:rPr>
                <w:b/>
                <w:bCs/>
              </w:rPr>
              <w:t>“Risk Register”</w:t>
            </w:r>
          </w:p>
        </w:tc>
        <w:tc>
          <w:tcPr>
            <w:tcW w:w="5954" w:type="dxa"/>
          </w:tcPr>
          <w:p w14:paraId="45492237" w14:textId="75AA53A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register of risks and contingencies that have been factored into any Costs due under this Contract, a copy of which is set out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Schedule_15_Part_E_Annex_4 \h </w:instrText>
            </w:r>
            <w:r>
              <w:rPr>
                <w:rFonts w:asciiTheme="minorHAnsi" w:hAnsiTheme="minorHAnsi" w:cstheme="minorHAnsi"/>
              </w:rPr>
            </w:r>
            <w:r>
              <w:rPr>
                <w:rFonts w:asciiTheme="minorHAnsi" w:hAnsiTheme="minorHAnsi" w:cstheme="minorHAnsi"/>
              </w:rPr>
              <w:fldChar w:fldCharType="separate"/>
            </w:r>
            <w:r w:rsidR="009749A0" w:rsidRPr="00BD6C5F">
              <w:t>4</w:t>
            </w:r>
            <w:r>
              <w:rPr>
                <w:rFonts w:asciiTheme="minorHAnsi" w:hAnsiTheme="minorHAnsi" w:cstheme="minorHAnsi"/>
              </w:rPr>
              <w:fldChar w:fldCharType="end"/>
            </w:r>
            <w:r w:rsidRPr="00BD6C5F">
              <w:rPr>
                <w:rFonts w:asciiTheme="minorHAnsi" w:hAnsiTheme="minorHAnsi" w:cstheme="minorHAnsi"/>
              </w:rPr>
              <w:t xml:space="preserve"> </w:t>
            </w:r>
            <w:r>
              <w:rPr>
                <w:rFonts w:asciiTheme="minorHAnsi" w:hAnsiTheme="minorHAnsi" w:cstheme="minorHAnsi"/>
              </w:rPr>
              <w:t>of Part </w:t>
            </w:r>
            <w:r>
              <w:rPr>
                <w:rFonts w:asciiTheme="minorHAnsi" w:hAnsiTheme="minorHAnsi" w:cstheme="minorHAnsi"/>
              </w:rPr>
              <w:fldChar w:fldCharType="begin"/>
            </w:r>
            <w:r>
              <w:rPr>
                <w:rFonts w:asciiTheme="minorHAnsi" w:hAnsiTheme="minorHAnsi" w:cstheme="minorHAnsi"/>
              </w:rPr>
              <w:instrText xml:space="preserve"> REF Schedule_15_Part_E \h </w:instrText>
            </w:r>
            <w:r>
              <w:rPr>
                <w:rFonts w:asciiTheme="minorHAnsi" w:hAnsiTheme="minorHAnsi" w:cstheme="minorHAnsi"/>
              </w:rPr>
            </w:r>
            <w:r>
              <w:rPr>
                <w:rFonts w:asciiTheme="minorHAnsi" w:hAnsiTheme="minorHAnsi" w:cstheme="minorHAnsi"/>
              </w:rPr>
              <w:fldChar w:fldCharType="separate"/>
            </w:r>
            <w:r w:rsidR="009749A0" w:rsidRPr="00BD6C5F">
              <w:t>E</w:t>
            </w:r>
            <w:r>
              <w:rPr>
                <w:rFonts w:asciiTheme="minorHAnsi" w:hAnsiTheme="minorHAnsi" w:cstheme="minorHAnsi"/>
              </w:rPr>
              <w:fldChar w:fldCharType="end"/>
            </w:r>
            <w:r>
              <w:rPr>
                <w:rFonts w:asciiTheme="minorHAnsi" w:hAnsiTheme="minorHAnsi" w:cstheme="minorHAnsi"/>
              </w:rPr>
              <w:t xml:space="preserve"> </w:t>
            </w:r>
            <w:r w:rsidRPr="00BD6C5F">
              <w:rPr>
                <w:rFonts w:asciiTheme="minorHAnsi" w:hAnsiTheme="minorHAnsi" w:cstheme="minorHAnsi"/>
              </w:rPr>
              <w:t>of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642B3A28" w14:textId="77777777" w:rsidTr="00A64142">
        <w:trPr>
          <w:gridBefore w:val="1"/>
          <w:gridAfter w:val="1"/>
          <w:wBefore w:w="10" w:type="dxa"/>
          <w:wAfter w:w="32" w:type="dxa"/>
          <w:trHeight w:val="20"/>
        </w:trPr>
        <w:tc>
          <w:tcPr>
            <w:tcW w:w="3532" w:type="dxa"/>
          </w:tcPr>
          <w:p w14:paraId="552FDDAF" w14:textId="260A9766" w:rsidR="00920899" w:rsidRPr="00BD6C5F" w:rsidRDefault="00920899" w:rsidP="00920899">
            <w:pPr>
              <w:pStyle w:val="Tabletext"/>
              <w:rPr>
                <w:b/>
                <w:bCs/>
              </w:rPr>
            </w:pPr>
            <w:r w:rsidRPr="00BD6C5F">
              <w:rPr>
                <w:b/>
                <w:bCs/>
              </w:rPr>
              <w:t>“Security Management Plan”</w:t>
            </w:r>
          </w:p>
        </w:tc>
        <w:tc>
          <w:tcPr>
            <w:tcW w:w="5954" w:type="dxa"/>
          </w:tcPr>
          <w:p w14:paraId="28587272" w14:textId="1BDEFA90" w:rsidR="00920899" w:rsidRPr="00BD6C5F" w:rsidRDefault="00920899" w:rsidP="00920899">
            <w:pPr>
              <w:pStyle w:val="Tabletext"/>
              <w:rPr>
                <w:rFonts w:asciiTheme="minorHAnsi" w:hAnsiTheme="minorHAnsi" w:cstheme="minorHAnsi"/>
              </w:rPr>
            </w:pPr>
            <w:r>
              <w:rPr>
                <w:rFonts w:asciiTheme="minorHAnsi" w:hAnsiTheme="minorHAnsi" w:cstheme="minorHAnsi"/>
              </w:rPr>
              <w:t>has the meaning given in</w:t>
            </w:r>
            <w:r w:rsidRPr="00BD6C5F">
              <w:rPr>
                <w:rFonts w:asciiTheme="minorHAnsi" w:hAnsiTheme="minorHAnsi" w:cstheme="minorHAnsi"/>
              </w:rPr>
              <w:t xml:space="preserve"> Schedule </w:t>
            </w:r>
            <w:r>
              <w:rPr>
                <w:rFonts w:asciiTheme="minorHAnsi" w:hAnsiTheme="minorHAnsi" w:cstheme="minorHAnsi"/>
              </w:rPr>
              <w:fldChar w:fldCharType="begin"/>
            </w:r>
            <w:r>
              <w:rPr>
                <w:rFonts w:asciiTheme="minorHAnsi" w:hAnsiTheme="minorHAnsi" w:cstheme="minorHAnsi"/>
              </w:rPr>
              <w:instrText xml:space="preserve"> REF Schedule_5 \h </w:instrText>
            </w:r>
            <w:r>
              <w:rPr>
                <w:rFonts w:asciiTheme="minorHAnsi" w:hAnsiTheme="minorHAnsi" w:cstheme="minorHAnsi"/>
              </w:rPr>
            </w:r>
            <w:r>
              <w:rPr>
                <w:rFonts w:asciiTheme="minorHAnsi" w:hAnsiTheme="minorHAnsi" w:cstheme="minorHAnsi"/>
              </w:rPr>
              <w:fldChar w:fldCharType="separate"/>
            </w:r>
            <w:r w:rsidR="009749A0">
              <w:t>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Security Management</w:t>
            </w:r>
            <w:r w:rsidRPr="00BD6C5F">
              <w:rPr>
                <w:rFonts w:asciiTheme="minorHAnsi" w:hAnsiTheme="minorHAnsi" w:cstheme="minorHAnsi"/>
              </w:rPr>
              <w:t>);</w:t>
            </w:r>
          </w:p>
        </w:tc>
      </w:tr>
      <w:tr w:rsidR="00920899" w:rsidRPr="00BD6C5F" w14:paraId="6C9DBDB8" w14:textId="77777777" w:rsidTr="00A64142">
        <w:trPr>
          <w:gridBefore w:val="1"/>
          <w:gridAfter w:val="1"/>
          <w:wBefore w:w="10" w:type="dxa"/>
          <w:wAfter w:w="32" w:type="dxa"/>
          <w:trHeight w:val="20"/>
        </w:trPr>
        <w:tc>
          <w:tcPr>
            <w:tcW w:w="3532" w:type="dxa"/>
          </w:tcPr>
          <w:p w14:paraId="6962F9F4" w14:textId="5F1336D3" w:rsidR="00920899" w:rsidRPr="00BD6C5F" w:rsidRDefault="00920899" w:rsidP="00920899">
            <w:pPr>
              <w:pStyle w:val="Tabletext"/>
              <w:rPr>
                <w:b/>
                <w:bCs/>
              </w:rPr>
            </w:pPr>
            <w:r w:rsidRPr="00BD6C5F">
              <w:rPr>
                <w:b/>
                <w:bCs/>
              </w:rPr>
              <w:t>“Serious KPI Failure”</w:t>
            </w:r>
          </w:p>
        </w:tc>
        <w:tc>
          <w:tcPr>
            <w:tcW w:w="5954" w:type="dxa"/>
          </w:tcPr>
          <w:p w14:paraId="151BF549" w14:textId="3EE1D13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be as set out against the relevant Key Performance Indicator in Table 1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50B50F91" w14:textId="77777777" w:rsidTr="00A64142">
        <w:trPr>
          <w:gridBefore w:val="1"/>
          <w:gridAfter w:val="1"/>
          <w:wBefore w:w="10" w:type="dxa"/>
          <w:wAfter w:w="32" w:type="dxa"/>
          <w:trHeight w:val="20"/>
        </w:trPr>
        <w:tc>
          <w:tcPr>
            <w:tcW w:w="3532" w:type="dxa"/>
          </w:tcPr>
          <w:p w14:paraId="7A8431A1" w14:textId="79D3974D" w:rsidR="00920899" w:rsidRPr="00BD6C5F" w:rsidRDefault="00920899" w:rsidP="00920899">
            <w:pPr>
              <w:pStyle w:val="Tabletext"/>
              <w:rPr>
                <w:b/>
                <w:bCs/>
              </w:rPr>
            </w:pPr>
            <w:r w:rsidRPr="00BD6C5F">
              <w:rPr>
                <w:b/>
                <w:bCs/>
              </w:rPr>
              <w:t>“Service Charges”</w:t>
            </w:r>
          </w:p>
        </w:tc>
        <w:tc>
          <w:tcPr>
            <w:tcW w:w="5954" w:type="dxa"/>
          </w:tcPr>
          <w:p w14:paraId="3C70DC02" w14:textId="67F3131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periodic payments made in accordance with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in respect of the supply of the Operational Services;</w:t>
            </w:r>
          </w:p>
        </w:tc>
      </w:tr>
      <w:tr w:rsidR="00920899" w:rsidRPr="00BD6C5F" w14:paraId="75CE5852" w14:textId="77777777" w:rsidTr="00A64142">
        <w:trPr>
          <w:gridBefore w:val="1"/>
          <w:gridAfter w:val="1"/>
          <w:wBefore w:w="10" w:type="dxa"/>
          <w:wAfter w:w="32" w:type="dxa"/>
          <w:trHeight w:val="20"/>
        </w:trPr>
        <w:tc>
          <w:tcPr>
            <w:tcW w:w="3532" w:type="dxa"/>
          </w:tcPr>
          <w:p w14:paraId="4D231B85" w14:textId="5028BDA3" w:rsidR="00920899" w:rsidRPr="00BD6C5F" w:rsidRDefault="00920899" w:rsidP="00920899">
            <w:pPr>
              <w:pStyle w:val="Tabletext"/>
              <w:rPr>
                <w:b/>
                <w:bCs/>
              </w:rPr>
            </w:pPr>
            <w:r w:rsidRPr="00BD6C5F">
              <w:rPr>
                <w:b/>
                <w:bCs/>
              </w:rPr>
              <w:t>“Service Continuity Plan”</w:t>
            </w:r>
          </w:p>
        </w:tc>
        <w:tc>
          <w:tcPr>
            <w:tcW w:w="5954" w:type="dxa"/>
          </w:tcPr>
          <w:p w14:paraId="56E3A218" w14:textId="67DE217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any plan prepared pursuant to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_Ref98319013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2</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 Continuity Plan and Corporate Resolution Planning</w:t>
            </w:r>
            <w:r w:rsidRPr="00BD6C5F">
              <w:rPr>
                <w:rFonts w:asciiTheme="minorHAnsi" w:hAnsiTheme="minorHAnsi" w:cstheme="minorHAnsi"/>
              </w:rPr>
              <w:t>) as may be amended from time to time;</w:t>
            </w:r>
          </w:p>
        </w:tc>
      </w:tr>
      <w:tr w:rsidR="00920899" w:rsidRPr="00BD6C5F" w14:paraId="22B1821A" w14:textId="77777777" w:rsidTr="00A64142">
        <w:trPr>
          <w:gridBefore w:val="1"/>
          <w:gridAfter w:val="1"/>
          <w:wBefore w:w="10" w:type="dxa"/>
          <w:wAfter w:w="32" w:type="dxa"/>
          <w:trHeight w:val="20"/>
        </w:trPr>
        <w:tc>
          <w:tcPr>
            <w:tcW w:w="3532" w:type="dxa"/>
          </w:tcPr>
          <w:p w14:paraId="081F2752" w14:textId="7DB5B0F0" w:rsidR="00920899" w:rsidRPr="00BD6C5F" w:rsidRDefault="00920899" w:rsidP="00920899">
            <w:pPr>
              <w:pStyle w:val="Tabletext"/>
              <w:rPr>
                <w:b/>
                <w:bCs/>
              </w:rPr>
            </w:pPr>
            <w:r w:rsidRPr="00BD6C5F">
              <w:rPr>
                <w:b/>
                <w:bCs/>
              </w:rPr>
              <w:t>“Service Continuity Services”</w:t>
            </w:r>
          </w:p>
        </w:tc>
        <w:tc>
          <w:tcPr>
            <w:tcW w:w="5954" w:type="dxa"/>
          </w:tcPr>
          <w:p w14:paraId="2E342D10" w14:textId="5A03589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business continuity, disaster recovery and insolvency continuity services set out in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 Continuity Plan and Corporate Resolution Planning</w:t>
            </w:r>
            <w:r w:rsidRPr="00BD6C5F">
              <w:rPr>
                <w:rFonts w:asciiTheme="minorHAnsi" w:hAnsiTheme="minorHAnsi" w:cstheme="minorHAnsi"/>
              </w:rPr>
              <w:t>);</w:t>
            </w:r>
          </w:p>
        </w:tc>
      </w:tr>
      <w:tr w:rsidR="00920899" w:rsidRPr="00BD6C5F" w14:paraId="2CFFE5F9" w14:textId="77777777" w:rsidTr="00A64142">
        <w:trPr>
          <w:gridBefore w:val="1"/>
          <w:gridAfter w:val="1"/>
          <w:wBefore w:w="10" w:type="dxa"/>
          <w:wAfter w:w="32" w:type="dxa"/>
          <w:trHeight w:val="20"/>
        </w:trPr>
        <w:tc>
          <w:tcPr>
            <w:tcW w:w="3532" w:type="dxa"/>
          </w:tcPr>
          <w:p w14:paraId="0ED8D745" w14:textId="2C8B13A2" w:rsidR="00920899" w:rsidRPr="00BD6C5F" w:rsidRDefault="00920899" w:rsidP="00920899">
            <w:pPr>
              <w:pStyle w:val="Tabletext"/>
              <w:rPr>
                <w:b/>
                <w:bCs/>
              </w:rPr>
            </w:pPr>
            <w:r w:rsidRPr="00BD6C5F">
              <w:rPr>
                <w:b/>
                <w:bCs/>
              </w:rPr>
              <w:t>“Service Credit Cap”</w:t>
            </w:r>
          </w:p>
        </w:tc>
        <w:tc>
          <w:tcPr>
            <w:tcW w:w="5954" w:type="dxa"/>
          </w:tcPr>
          <w:p w14:paraId="2FC731E8" w14:textId="2E614DFF" w:rsidR="00920899" w:rsidRPr="00BD6C5F" w:rsidRDefault="00920899" w:rsidP="00920899">
            <w:pPr>
              <w:pStyle w:val="Tablea"/>
            </w:pPr>
            <w:r w:rsidRPr="00BD6C5F">
              <w:t xml:space="preserve">in the period of 12 months from the first Operational Service Commencement Date to occur after the Effective Date, </w:t>
            </w:r>
            <w:r w:rsidRPr="006D1202">
              <w:rPr>
                <w:highlight w:val="yellow"/>
              </w:rPr>
              <w:t>[x]</w:t>
            </w:r>
            <w:r w:rsidRPr="006D1202">
              <w:t>%</w:t>
            </w:r>
            <w:r w:rsidRPr="00BD6C5F">
              <w:t xml:space="preserve"> of the Estimated Initial Service Charges; and</w:t>
            </w:r>
          </w:p>
          <w:p w14:paraId="07D261D5" w14:textId="72638572" w:rsidR="00920899" w:rsidRPr="00BD6C5F" w:rsidRDefault="00920899" w:rsidP="00920899">
            <w:pPr>
              <w:pStyle w:val="Tablea"/>
            </w:pPr>
            <w:r w:rsidRPr="00BD6C5F">
              <w:t>during the remainder of the Term,</w:t>
            </w:r>
            <w:r w:rsidRPr="006D1202">
              <w:t xml:space="preserve"> </w:t>
            </w:r>
            <w:r w:rsidRPr="006D1202">
              <w:rPr>
                <w:highlight w:val="yellow"/>
              </w:rPr>
              <w:t>[x]</w:t>
            </w:r>
            <w:r w:rsidRPr="006D1202">
              <w:t xml:space="preserve">% </w:t>
            </w:r>
            <w:r w:rsidRPr="00BD6C5F">
              <w:t>of the Service Charges paid and/or due to be paid to the Supplier under this Contract in the period of 12 months immediately preceding the Service Period in respect of which Service Credits are accrued;</w:t>
            </w:r>
          </w:p>
        </w:tc>
      </w:tr>
      <w:tr w:rsidR="00920899" w:rsidRPr="00BD6C5F" w14:paraId="51AEEA40" w14:textId="77777777" w:rsidTr="00A64142">
        <w:trPr>
          <w:gridBefore w:val="1"/>
          <w:gridAfter w:val="1"/>
          <w:wBefore w:w="10" w:type="dxa"/>
          <w:wAfter w:w="32" w:type="dxa"/>
          <w:trHeight w:val="20"/>
        </w:trPr>
        <w:tc>
          <w:tcPr>
            <w:tcW w:w="3532" w:type="dxa"/>
          </w:tcPr>
          <w:p w14:paraId="702640C5" w14:textId="2CAAC02E" w:rsidR="00920899" w:rsidRPr="00BD6C5F" w:rsidRDefault="00920899" w:rsidP="00920899">
            <w:pPr>
              <w:pStyle w:val="Tabletext"/>
              <w:rPr>
                <w:b/>
                <w:bCs/>
              </w:rPr>
            </w:pPr>
            <w:r w:rsidRPr="00BD6C5F">
              <w:rPr>
                <w:b/>
                <w:bCs/>
              </w:rPr>
              <w:t>“Service Credits”</w:t>
            </w:r>
          </w:p>
        </w:tc>
        <w:tc>
          <w:tcPr>
            <w:tcW w:w="5954" w:type="dxa"/>
          </w:tcPr>
          <w:p w14:paraId="068FB211" w14:textId="0849726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credits payable by the Supplier due to the occurrence of 1 or more KPI Failures, calculated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_Ref98354781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3</w:t>
            </w:r>
            <w:r w:rsidRPr="00BD6C5F">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Schedule_15_Part_C \h </w:instrText>
            </w:r>
            <w:r>
              <w:rPr>
                <w:rFonts w:asciiTheme="minorHAnsi" w:hAnsiTheme="minorHAnsi" w:cstheme="minorHAnsi"/>
              </w:rPr>
            </w:r>
            <w:r>
              <w:rPr>
                <w:rFonts w:asciiTheme="minorHAnsi" w:hAnsiTheme="minorHAnsi" w:cstheme="minorHAnsi"/>
              </w:rPr>
              <w:fldChar w:fldCharType="separate"/>
            </w:r>
            <w:r w:rsidR="009749A0" w:rsidRPr="00BD6C5F">
              <w:t>C</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008CF71A" w14:textId="77777777" w:rsidTr="00A64142">
        <w:trPr>
          <w:gridBefore w:val="1"/>
          <w:gridAfter w:val="1"/>
          <w:wBefore w:w="10" w:type="dxa"/>
          <w:wAfter w:w="32" w:type="dxa"/>
          <w:trHeight w:val="20"/>
        </w:trPr>
        <w:tc>
          <w:tcPr>
            <w:tcW w:w="3532" w:type="dxa"/>
          </w:tcPr>
          <w:p w14:paraId="6994FFDC" w14:textId="3CB0E799" w:rsidR="00920899" w:rsidRPr="00BD6C5F" w:rsidRDefault="00920899" w:rsidP="00920899">
            <w:pPr>
              <w:pStyle w:val="Tabletext"/>
              <w:rPr>
                <w:b/>
                <w:bCs/>
              </w:rPr>
            </w:pPr>
            <w:r w:rsidRPr="00BD6C5F">
              <w:rPr>
                <w:b/>
                <w:bCs/>
              </w:rPr>
              <w:lastRenderedPageBreak/>
              <w:t>“Service Period”</w:t>
            </w:r>
          </w:p>
        </w:tc>
        <w:tc>
          <w:tcPr>
            <w:tcW w:w="5954" w:type="dxa"/>
          </w:tcPr>
          <w:p w14:paraId="14288AC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calendar month, save that:</w:t>
            </w:r>
          </w:p>
          <w:p w14:paraId="7261487D" w14:textId="77777777" w:rsidR="00920899" w:rsidRPr="00BD6C5F" w:rsidRDefault="00920899" w:rsidP="00920899">
            <w:pPr>
              <w:pStyle w:val="Tablea"/>
            </w:pPr>
            <w:r w:rsidRPr="00BD6C5F">
              <w:t>the first service period shall begin on the first Operational Service Commencement Date and shall expire at the end of the calendar month in which the first Operational Service Commencement Date falls; and</w:t>
            </w:r>
          </w:p>
          <w:p w14:paraId="1926CCD6" w14:textId="77777777" w:rsidR="00920899" w:rsidRPr="00BD6C5F" w:rsidRDefault="00920899" w:rsidP="00920899">
            <w:pPr>
              <w:pStyle w:val="Tablea"/>
            </w:pPr>
            <w:r w:rsidRPr="00BD6C5F">
              <w:t>the final service period shall commence on the first day of the calendar month in which the Term expires or terminates and shall end on the expiry or termination of the Term;</w:t>
            </w:r>
          </w:p>
        </w:tc>
      </w:tr>
      <w:tr w:rsidR="00920899" w:rsidRPr="00BD6C5F" w14:paraId="6D14E85D" w14:textId="77777777" w:rsidTr="00A64142">
        <w:trPr>
          <w:gridBefore w:val="1"/>
          <w:gridAfter w:val="1"/>
          <w:wBefore w:w="10" w:type="dxa"/>
          <w:wAfter w:w="32" w:type="dxa"/>
          <w:trHeight w:val="20"/>
        </w:trPr>
        <w:tc>
          <w:tcPr>
            <w:tcW w:w="3532" w:type="dxa"/>
          </w:tcPr>
          <w:p w14:paraId="3AF04D41" w14:textId="5FA6B81D" w:rsidR="00920899" w:rsidRPr="00BD6C5F" w:rsidRDefault="00920899" w:rsidP="00920899">
            <w:pPr>
              <w:pStyle w:val="Tabletext"/>
              <w:rPr>
                <w:b/>
                <w:bCs/>
              </w:rPr>
            </w:pPr>
            <w:r w:rsidRPr="00BD6C5F">
              <w:rPr>
                <w:b/>
                <w:bCs/>
              </w:rPr>
              <w:t>“Service Points”</w:t>
            </w:r>
          </w:p>
        </w:tc>
        <w:tc>
          <w:tcPr>
            <w:tcW w:w="5954" w:type="dxa"/>
          </w:tcPr>
          <w:p w14:paraId="2FD081EB" w14:textId="30D2A86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in relation to a KPI Failure, the points that are set out against the relevant Key Performance Indicator in the fifth column of the table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2EF1A2D7" w14:textId="77777777" w:rsidTr="00A64142">
        <w:trPr>
          <w:gridBefore w:val="1"/>
          <w:gridAfter w:val="1"/>
          <w:wBefore w:w="10" w:type="dxa"/>
          <w:wAfter w:w="32" w:type="dxa"/>
          <w:trHeight w:val="20"/>
        </w:trPr>
        <w:tc>
          <w:tcPr>
            <w:tcW w:w="3532" w:type="dxa"/>
          </w:tcPr>
          <w:p w14:paraId="56232960" w14:textId="73B27E2F" w:rsidR="00920899" w:rsidRPr="00BD6C5F" w:rsidRDefault="00920899" w:rsidP="00920899">
            <w:pPr>
              <w:pStyle w:val="Tabletext"/>
              <w:rPr>
                <w:b/>
                <w:bCs/>
              </w:rPr>
            </w:pPr>
            <w:r w:rsidRPr="00BD6C5F">
              <w:rPr>
                <w:b/>
                <w:bCs/>
              </w:rPr>
              <w:t>“Services”</w:t>
            </w:r>
          </w:p>
        </w:tc>
        <w:tc>
          <w:tcPr>
            <w:tcW w:w="5954" w:type="dxa"/>
          </w:tcPr>
          <w:p w14:paraId="1DF72FCE" w14:textId="69DFD31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and all of the services to be provided by the Supplier under this Contract, including those set out in Schedule </w:t>
            </w:r>
            <w:r>
              <w:rPr>
                <w:rFonts w:asciiTheme="minorHAnsi" w:hAnsiTheme="minorHAnsi" w:cstheme="minorHAnsi"/>
              </w:rPr>
              <w:fldChar w:fldCharType="begin"/>
            </w:r>
            <w:r>
              <w:rPr>
                <w:rFonts w:asciiTheme="minorHAnsi" w:hAnsiTheme="minorHAnsi" w:cstheme="minorHAnsi"/>
              </w:rPr>
              <w:instrText xml:space="preserve"> REF Schedule_2 \h </w:instrText>
            </w:r>
            <w:r>
              <w:rPr>
                <w:rFonts w:asciiTheme="minorHAnsi" w:hAnsiTheme="minorHAnsi" w:cstheme="minorHAnsi"/>
              </w:rPr>
            </w:r>
            <w:r>
              <w:rPr>
                <w:rFonts w:asciiTheme="minorHAnsi" w:hAnsiTheme="minorHAnsi" w:cstheme="minorHAnsi"/>
              </w:rPr>
              <w:fldChar w:fldCharType="separate"/>
            </w:r>
            <w:r w:rsidR="009749A0">
              <w:t>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Services Description</w:t>
            </w:r>
            <w:r w:rsidRPr="00BD6C5F">
              <w:rPr>
                <w:rFonts w:asciiTheme="minorHAnsi" w:hAnsiTheme="minorHAnsi" w:cstheme="minorHAnsi"/>
              </w:rPr>
              <w:t>);</w:t>
            </w:r>
          </w:p>
        </w:tc>
      </w:tr>
      <w:tr w:rsidR="00920899" w:rsidRPr="00BD6C5F" w14:paraId="1E259F79" w14:textId="77777777" w:rsidTr="00A64142">
        <w:trPr>
          <w:gridBefore w:val="1"/>
          <w:gridAfter w:val="1"/>
          <w:wBefore w:w="10" w:type="dxa"/>
          <w:wAfter w:w="32" w:type="dxa"/>
          <w:trHeight w:val="20"/>
        </w:trPr>
        <w:tc>
          <w:tcPr>
            <w:tcW w:w="3532" w:type="dxa"/>
          </w:tcPr>
          <w:p w14:paraId="0700E402" w14:textId="0F41AEC0" w:rsidR="00920899" w:rsidRPr="00BD6C5F" w:rsidRDefault="00920899" w:rsidP="00920899">
            <w:pPr>
              <w:pStyle w:val="Tabletext"/>
              <w:rPr>
                <w:b/>
                <w:bCs/>
              </w:rPr>
            </w:pPr>
            <w:r w:rsidRPr="00BD6C5F">
              <w:rPr>
                <w:b/>
                <w:bCs/>
              </w:rPr>
              <w:t>“Service Transfer Date”</w:t>
            </w:r>
          </w:p>
        </w:tc>
        <w:tc>
          <w:tcPr>
            <w:tcW w:w="5954" w:type="dxa"/>
          </w:tcPr>
          <w:p w14:paraId="4837C24B" w14:textId="48A4384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5CA067F6" w14:textId="77777777" w:rsidTr="00A64142">
        <w:trPr>
          <w:gridBefore w:val="1"/>
          <w:gridAfter w:val="1"/>
          <w:wBefore w:w="10" w:type="dxa"/>
          <w:wAfter w:w="32" w:type="dxa"/>
          <w:trHeight w:val="20"/>
        </w:trPr>
        <w:tc>
          <w:tcPr>
            <w:tcW w:w="3532" w:type="dxa"/>
          </w:tcPr>
          <w:p w14:paraId="2463B1D6" w14:textId="09EC684F" w:rsidR="00920899" w:rsidRPr="00BD6C5F" w:rsidRDefault="00920899" w:rsidP="00920899">
            <w:pPr>
              <w:pStyle w:val="Tabletext"/>
              <w:rPr>
                <w:b/>
                <w:bCs/>
              </w:rPr>
            </w:pPr>
            <w:r w:rsidRPr="00BD6C5F">
              <w:rPr>
                <w:b/>
                <w:bCs/>
              </w:rPr>
              <w:t>“Services Description”</w:t>
            </w:r>
          </w:p>
        </w:tc>
        <w:tc>
          <w:tcPr>
            <w:tcW w:w="5954" w:type="dxa"/>
          </w:tcPr>
          <w:p w14:paraId="1FAA2028" w14:textId="23CE584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services description set out in Schedule </w:t>
            </w:r>
            <w:r>
              <w:rPr>
                <w:rFonts w:asciiTheme="minorHAnsi" w:hAnsiTheme="minorHAnsi" w:cstheme="minorHAnsi"/>
              </w:rPr>
              <w:fldChar w:fldCharType="begin"/>
            </w:r>
            <w:r>
              <w:rPr>
                <w:rFonts w:asciiTheme="minorHAnsi" w:hAnsiTheme="minorHAnsi" w:cstheme="minorHAnsi"/>
              </w:rPr>
              <w:instrText xml:space="preserve"> REF Schedule_2 \h </w:instrText>
            </w:r>
            <w:r>
              <w:rPr>
                <w:rFonts w:asciiTheme="minorHAnsi" w:hAnsiTheme="minorHAnsi" w:cstheme="minorHAnsi"/>
              </w:rPr>
            </w:r>
            <w:r>
              <w:rPr>
                <w:rFonts w:asciiTheme="minorHAnsi" w:hAnsiTheme="minorHAnsi" w:cstheme="minorHAnsi"/>
              </w:rPr>
              <w:fldChar w:fldCharType="separate"/>
            </w:r>
            <w:r w:rsidR="009749A0">
              <w:t>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 xml:space="preserve">Services </w:t>
            </w:r>
            <w:r w:rsidRPr="00BD6C5F">
              <w:rPr>
                <w:rFonts w:asciiTheme="minorHAnsi" w:hAnsiTheme="minorHAnsi" w:cstheme="minorHAnsi"/>
                <w:i/>
              </w:rPr>
              <w:t>Description</w:t>
            </w:r>
            <w:r w:rsidRPr="00BD6C5F">
              <w:rPr>
                <w:rFonts w:asciiTheme="minorHAnsi" w:hAnsiTheme="minorHAnsi" w:cstheme="minorHAnsi"/>
              </w:rPr>
              <w:t>);</w:t>
            </w:r>
          </w:p>
        </w:tc>
      </w:tr>
      <w:tr w:rsidR="00920899" w:rsidRPr="00BD6C5F" w14:paraId="5B5E310C" w14:textId="77777777" w:rsidTr="00A64142">
        <w:trPr>
          <w:gridBefore w:val="1"/>
          <w:gridAfter w:val="1"/>
          <w:wBefore w:w="10" w:type="dxa"/>
          <w:wAfter w:w="32" w:type="dxa"/>
          <w:trHeight w:val="20"/>
        </w:trPr>
        <w:tc>
          <w:tcPr>
            <w:tcW w:w="3532" w:type="dxa"/>
          </w:tcPr>
          <w:p w14:paraId="10C12282" w14:textId="5660C015" w:rsidR="00920899" w:rsidRPr="00BD6C5F" w:rsidRDefault="00920899" w:rsidP="00920899">
            <w:pPr>
              <w:pStyle w:val="Tabletext"/>
              <w:rPr>
                <w:b/>
                <w:bCs/>
              </w:rPr>
            </w:pPr>
            <w:r w:rsidRPr="00BD6C5F">
              <w:rPr>
                <w:b/>
                <w:bCs/>
              </w:rPr>
              <w:t>“Severe KPI Failure”</w:t>
            </w:r>
          </w:p>
        </w:tc>
        <w:tc>
          <w:tcPr>
            <w:tcW w:w="5954" w:type="dxa"/>
          </w:tcPr>
          <w:p w14:paraId="5C559C68" w14:textId="506DD1E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shall be as set out against the relevant Key Performance Indicator in Table 1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171ACA31" w14:textId="77777777" w:rsidTr="00A64142">
        <w:trPr>
          <w:gridBefore w:val="1"/>
          <w:gridAfter w:val="1"/>
          <w:wBefore w:w="10" w:type="dxa"/>
          <w:wAfter w:w="32" w:type="dxa"/>
          <w:trHeight w:val="20"/>
        </w:trPr>
        <w:tc>
          <w:tcPr>
            <w:tcW w:w="3532" w:type="dxa"/>
          </w:tcPr>
          <w:p w14:paraId="478C8F72" w14:textId="71B006CE" w:rsidR="00920899" w:rsidRPr="00BD6C5F" w:rsidRDefault="00920899" w:rsidP="00920899">
            <w:pPr>
              <w:pStyle w:val="Tabletext"/>
              <w:rPr>
                <w:b/>
                <w:bCs/>
              </w:rPr>
            </w:pPr>
            <w:r w:rsidRPr="00BD6C5F">
              <w:rPr>
                <w:b/>
                <w:bCs/>
              </w:rPr>
              <w:t>“Sites”</w:t>
            </w:r>
          </w:p>
        </w:tc>
        <w:tc>
          <w:tcPr>
            <w:tcW w:w="5954" w:type="dxa"/>
          </w:tcPr>
          <w:p w14:paraId="7667EC71" w14:textId="70FD002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premises (including the Authority Premises, the Supplier’s premises or third party premises):</w:t>
            </w:r>
          </w:p>
          <w:p w14:paraId="0BE697B3" w14:textId="77777777" w:rsidR="00920899" w:rsidRPr="00BD6C5F" w:rsidRDefault="00920899" w:rsidP="00920899">
            <w:pPr>
              <w:pStyle w:val="Tablea"/>
            </w:pPr>
            <w:r w:rsidRPr="00BD6C5F">
              <w:t>from, to or at which:</w:t>
            </w:r>
          </w:p>
          <w:p w14:paraId="1E0DD727" w14:textId="77777777" w:rsidR="00920899" w:rsidRPr="00BD6C5F" w:rsidRDefault="00920899" w:rsidP="00920899">
            <w:pPr>
              <w:pStyle w:val="Tableai"/>
            </w:pPr>
            <w:r w:rsidRPr="00BD6C5F">
              <w:t>the Services are (or are to be) provided; or</w:t>
            </w:r>
          </w:p>
          <w:p w14:paraId="775F24ED" w14:textId="1514F257" w:rsidR="00920899" w:rsidRPr="00BD6C5F" w:rsidRDefault="00920899" w:rsidP="00920899">
            <w:pPr>
              <w:pStyle w:val="Tableai"/>
            </w:pPr>
            <w:r w:rsidRPr="00BD6C5F">
              <w:t>the Supplier manages, organises or otherwise directs the provision or the use of the Services; or</w:t>
            </w:r>
          </w:p>
          <w:p w14:paraId="1818A172" w14:textId="77777777" w:rsidR="00920899" w:rsidRPr="00BD6C5F" w:rsidRDefault="00920899" w:rsidP="00920899">
            <w:pPr>
              <w:pStyle w:val="Tablea"/>
            </w:pPr>
            <w:r w:rsidRPr="00BD6C5F">
              <w:t>where:</w:t>
            </w:r>
          </w:p>
          <w:p w14:paraId="03F643F2" w14:textId="77777777" w:rsidR="00920899" w:rsidRPr="00BD6C5F" w:rsidRDefault="00920899" w:rsidP="00920899">
            <w:pPr>
              <w:pStyle w:val="Tableai"/>
            </w:pPr>
            <w:r w:rsidRPr="00BD6C5F">
              <w:t>any part of the Supplier System is situated; or</w:t>
            </w:r>
          </w:p>
          <w:p w14:paraId="28567031" w14:textId="559F56EF" w:rsidR="00920899" w:rsidRPr="00BD6C5F" w:rsidRDefault="00920899" w:rsidP="00920899">
            <w:pPr>
              <w:pStyle w:val="Tableai"/>
            </w:pPr>
            <w:r w:rsidRPr="00BD6C5F">
              <w:t>any physical interface with the Authority System takes place;</w:t>
            </w:r>
          </w:p>
        </w:tc>
      </w:tr>
      <w:tr w:rsidR="00920899" w:rsidRPr="00BD6C5F" w14:paraId="27D6126A" w14:textId="77777777" w:rsidTr="00A64142">
        <w:trPr>
          <w:gridBefore w:val="1"/>
          <w:gridAfter w:val="1"/>
          <w:wBefore w:w="10" w:type="dxa"/>
          <w:wAfter w:w="32" w:type="dxa"/>
          <w:trHeight w:val="20"/>
        </w:trPr>
        <w:tc>
          <w:tcPr>
            <w:tcW w:w="3532" w:type="dxa"/>
          </w:tcPr>
          <w:p w14:paraId="4C912AD1" w14:textId="30B8B69D" w:rsidR="00920899" w:rsidRPr="00BD6C5F" w:rsidRDefault="00920899" w:rsidP="00920899">
            <w:pPr>
              <w:pStyle w:val="Tabletext"/>
              <w:rPr>
                <w:b/>
                <w:bCs/>
              </w:rPr>
            </w:pPr>
            <w:r w:rsidRPr="00BD6C5F">
              <w:rPr>
                <w:b/>
                <w:bCs/>
              </w:rPr>
              <w:t>“SME”</w:t>
            </w:r>
          </w:p>
        </w:tc>
        <w:tc>
          <w:tcPr>
            <w:tcW w:w="5954" w:type="dxa"/>
          </w:tcPr>
          <w:p w14:paraId="782468D1" w14:textId="343912A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enterprise falling within the category of micro, small and medium-sized enterprises defined by the Commission Recommendation of 6 May 2003 concerning the definition of micro, small and medium-</w:t>
            </w:r>
            <w:r w:rsidRPr="00BD6C5F">
              <w:rPr>
                <w:rFonts w:asciiTheme="minorHAnsi" w:hAnsiTheme="minorHAnsi" w:cstheme="minorHAnsi"/>
              </w:rPr>
              <w:lastRenderedPageBreak/>
              <w:t>sized enterprises;</w:t>
            </w:r>
          </w:p>
        </w:tc>
      </w:tr>
      <w:tr w:rsidR="00920899" w:rsidRPr="00BD6C5F" w14:paraId="7C0E560F" w14:textId="77777777" w:rsidTr="00A64142">
        <w:trPr>
          <w:gridBefore w:val="1"/>
          <w:gridAfter w:val="1"/>
          <w:wBefore w:w="10" w:type="dxa"/>
          <w:wAfter w:w="32" w:type="dxa"/>
          <w:trHeight w:val="20"/>
        </w:trPr>
        <w:tc>
          <w:tcPr>
            <w:tcW w:w="3532" w:type="dxa"/>
          </w:tcPr>
          <w:p w14:paraId="2344415D" w14:textId="2BDCA1AE" w:rsidR="00920899" w:rsidRPr="00BD6C5F" w:rsidRDefault="00920899" w:rsidP="00920899">
            <w:pPr>
              <w:pStyle w:val="Tabletext"/>
              <w:rPr>
                <w:b/>
                <w:bCs/>
              </w:rPr>
            </w:pPr>
            <w:r w:rsidRPr="00BD6C5F">
              <w:rPr>
                <w:b/>
                <w:bCs/>
              </w:rPr>
              <w:lastRenderedPageBreak/>
              <w:t>“Social Value”</w:t>
            </w:r>
          </w:p>
        </w:tc>
        <w:tc>
          <w:tcPr>
            <w:tcW w:w="5954" w:type="dxa"/>
          </w:tcPr>
          <w:p w14:paraId="0C8C43B6" w14:textId="4AF0E1C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additional social benefits that can be achieved in the delivery of the Contract, set out in the Authority’s Requirements;</w:t>
            </w:r>
          </w:p>
        </w:tc>
      </w:tr>
      <w:tr w:rsidR="00920899" w:rsidRPr="00BD6C5F" w14:paraId="08B7D9B7" w14:textId="77777777" w:rsidTr="00A64142">
        <w:trPr>
          <w:gridBefore w:val="1"/>
          <w:gridAfter w:val="1"/>
          <w:wBefore w:w="10" w:type="dxa"/>
          <w:wAfter w:w="32" w:type="dxa"/>
          <w:trHeight w:val="20"/>
        </w:trPr>
        <w:tc>
          <w:tcPr>
            <w:tcW w:w="3532" w:type="dxa"/>
          </w:tcPr>
          <w:p w14:paraId="54FF951A" w14:textId="6595CC8B" w:rsidR="00920899" w:rsidRPr="00BD6C5F" w:rsidRDefault="00920899" w:rsidP="00920899">
            <w:pPr>
              <w:pStyle w:val="Tabletext"/>
              <w:rPr>
                <w:b/>
                <w:bCs/>
              </w:rPr>
            </w:pPr>
            <w:r w:rsidRPr="00BD6C5F">
              <w:rPr>
                <w:b/>
                <w:bCs/>
              </w:rPr>
              <w:t>“Social Value PI”</w:t>
            </w:r>
          </w:p>
        </w:tc>
        <w:tc>
          <w:tcPr>
            <w:tcW w:w="5954" w:type="dxa"/>
          </w:tcPr>
          <w:p w14:paraId="6C07F7BC" w14:textId="0787C9C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Social Value performance indicators set out in Table 2 of Part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(Performance Levels);</w:t>
            </w:r>
          </w:p>
        </w:tc>
      </w:tr>
      <w:tr w:rsidR="00920899" w:rsidRPr="00BD6C5F" w14:paraId="2414B7FF" w14:textId="77777777" w:rsidTr="00A64142">
        <w:trPr>
          <w:gridBefore w:val="1"/>
          <w:gridAfter w:val="1"/>
          <w:wBefore w:w="10" w:type="dxa"/>
          <w:wAfter w:w="32" w:type="dxa"/>
          <w:trHeight w:val="20"/>
        </w:trPr>
        <w:tc>
          <w:tcPr>
            <w:tcW w:w="3532" w:type="dxa"/>
          </w:tcPr>
          <w:p w14:paraId="361EB304" w14:textId="16672DF0" w:rsidR="00920899" w:rsidRPr="00BD6C5F" w:rsidRDefault="00920899" w:rsidP="00920899">
            <w:pPr>
              <w:pStyle w:val="Tabletext"/>
              <w:rPr>
                <w:b/>
                <w:bCs/>
              </w:rPr>
            </w:pPr>
            <w:r w:rsidRPr="00BD6C5F">
              <w:rPr>
                <w:b/>
                <w:bCs/>
              </w:rPr>
              <w:t>“Social Value KPI”</w:t>
            </w:r>
          </w:p>
        </w:tc>
        <w:tc>
          <w:tcPr>
            <w:tcW w:w="5954" w:type="dxa"/>
          </w:tcPr>
          <w:p w14:paraId="52C67F76" w14:textId="36A6513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Social Value key performance indicators set out in Table 1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Performance Levels</w:t>
            </w:r>
            <w:r w:rsidRPr="00BD6C5F">
              <w:rPr>
                <w:rFonts w:asciiTheme="minorHAnsi" w:hAnsiTheme="minorHAnsi" w:cstheme="minorHAnsi"/>
              </w:rPr>
              <w:t>);</w:t>
            </w:r>
          </w:p>
        </w:tc>
      </w:tr>
      <w:tr w:rsidR="00920899" w:rsidRPr="00BD6C5F" w14:paraId="2FD93910" w14:textId="77777777" w:rsidTr="00A64142">
        <w:trPr>
          <w:gridBefore w:val="1"/>
          <w:gridAfter w:val="1"/>
          <w:wBefore w:w="10" w:type="dxa"/>
          <w:wAfter w:w="32" w:type="dxa"/>
          <w:trHeight w:val="20"/>
        </w:trPr>
        <w:tc>
          <w:tcPr>
            <w:tcW w:w="3532" w:type="dxa"/>
          </w:tcPr>
          <w:p w14:paraId="777857EB" w14:textId="36C109B3" w:rsidR="00920899" w:rsidRPr="00BD6C5F" w:rsidRDefault="00920899" w:rsidP="00920899">
            <w:pPr>
              <w:pStyle w:val="Tabletext"/>
              <w:rPr>
                <w:b/>
                <w:bCs/>
              </w:rPr>
            </w:pPr>
            <w:r w:rsidRPr="00BD6C5F">
              <w:rPr>
                <w:b/>
                <w:bCs/>
              </w:rPr>
              <w:t>“Software”</w:t>
            </w:r>
          </w:p>
        </w:tc>
        <w:tc>
          <w:tcPr>
            <w:tcW w:w="5954" w:type="dxa"/>
          </w:tcPr>
          <w:p w14:paraId="5ED1C0AB" w14:textId="1ABB029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Specially Written Software, Supplier Software and Third Party Software;</w:t>
            </w:r>
          </w:p>
        </w:tc>
      </w:tr>
      <w:tr w:rsidR="00920899" w:rsidRPr="00BD6C5F" w14:paraId="274E0B3D" w14:textId="77777777" w:rsidTr="00A64142">
        <w:trPr>
          <w:gridBefore w:val="1"/>
          <w:gridAfter w:val="1"/>
          <w:wBefore w:w="10" w:type="dxa"/>
          <w:wAfter w:w="32" w:type="dxa"/>
          <w:trHeight w:val="20"/>
        </w:trPr>
        <w:tc>
          <w:tcPr>
            <w:tcW w:w="3532" w:type="dxa"/>
          </w:tcPr>
          <w:p w14:paraId="1DF8A410" w14:textId="1DD77AD2" w:rsidR="00920899" w:rsidRPr="00BD6C5F" w:rsidRDefault="00920899" w:rsidP="00920899">
            <w:pPr>
              <w:pStyle w:val="Tabletext"/>
              <w:rPr>
                <w:b/>
                <w:bCs/>
              </w:rPr>
            </w:pPr>
            <w:r w:rsidRPr="00BD6C5F">
              <w:rPr>
                <w:b/>
                <w:bCs/>
              </w:rPr>
              <w:t>“Software Supporting Materials”</w:t>
            </w:r>
          </w:p>
        </w:tc>
        <w:tc>
          <w:tcPr>
            <w:tcW w:w="5954" w:type="dxa"/>
          </w:tcPr>
          <w:p w14:paraId="66BACCC2" w14:textId="2EA6AEC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Paragraph 2.1(b) of Schedule </w:t>
            </w:r>
            <w:r w:rsidR="00C64197">
              <w:rPr>
                <w:rFonts w:asciiTheme="minorHAnsi" w:hAnsiTheme="minorHAnsi" w:cstheme="minorHAnsi"/>
              </w:rPr>
              <w:fldChar w:fldCharType="begin"/>
            </w:r>
            <w:r w:rsidR="00C64197">
              <w:rPr>
                <w:rFonts w:asciiTheme="minorHAnsi" w:hAnsiTheme="minorHAnsi" w:cstheme="minorHAnsi"/>
              </w:rPr>
              <w:instrText xml:space="preserve"> REF Schedule_32 \h </w:instrText>
            </w:r>
            <w:r w:rsidR="00C64197">
              <w:rPr>
                <w:rFonts w:asciiTheme="minorHAnsi" w:hAnsiTheme="minorHAnsi" w:cstheme="minorHAnsi"/>
              </w:rPr>
            </w:r>
            <w:r w:rsidR="00C64197">
              <w:rPr>
                <w:rFonts w:asciiTheme="minorHAnsi" w:hAnsiTheme="minorHAnsi" w:cstheme="minorHAnsi"/>
              </w:rPr>
              <w:fldChar w:fldCharType="separate"/>
            </w:r>
            <w:r w:rsidR="009749A0" w:rsidRPr="00EE4F10">
              <w:t>32</w:t>
            </w:r>
            <w:r w:rsidR="00C64197">
              <w:rPr>
                <w:rFonts w:asciiTheme="minorHAnsi" w:hAnsiTheme="minorHAnsi" w:cstheme="minorHAnsi"/>
              </w:rPr>
              <w:fldChar w:fldCharType="end"/>
            </w:r>
            <w:r w:rsidRPr="00BD6C5F">
              <w:rPr>
                <w:rFonts w:asciiTheme="minorHAnsi" w:hAnsiTheme="minorHAnsi" w:cstheme="minorHAnsi"/>
              </w:rPr>
              <w:t xml:space="preserve"> (</w:t>
            </w:r>
            <w:r w:rsidRPr="00EB1DFE">
              <w:rPr>
                <w:rFonts w:asciiTheme="minorHAnsi" w:hAnsiTheme="minorHAnsi" w:cstheme="minorHAnsi"/>
                <w:i/>
                <w:iCs/>
              </w:rPr>
              <w:t>Intellectual Property Rights</w:t>
            </w:r>
            <w:r w:rsidRPr="00BD6C5F">
              <w:rPr>
                <w:rFonts w:asciiTheme="minorHAnsi" w:hAnsiTheme="minorHAnsi" w:cstheme="minorHAnsi"/>
              </w:rPr>
              <w:t>);</w:t>
            </w:r>
          </w:p>
        </w:tc>
      </w:tr>
      <w:tr w:rsidR="00920899" w:rsidRPr="00BD6C5F" w14:paraId="611F5364" w14:textId="77777777" w:rsidTr="00A64142">
        <w:trPr>
          <w:gridBefore w:val="1"/>
          <w:gridAfter w:val="1"/>
          <w:wBefore w:w="10" w:type="dxa"/>
          <w:wAfter w:w="32" w:type="dxa"/>
          <w:trHeight w:val="20"/>
        </w:trPr>
        <w:tc>
          <w:tcPr>
            <w:tcW w:w="3532" w:type="dxa"/>
          </w:tcPr>
          <w:p w14:paraId="7D6CD539" w14:textId="4051FD42" w:rsidR="00920899" w:rsidRPr="00BD6C5F" w:rsidRDefault="00920899" w:rsidP="00920899">
            <w:pPr>
              <w:pStyle w:val="Tabletext"/>
              <w:rPr>
                <w:b/>
                <w:bCs/>
              </w:rPr>
            </w:pPr>
            <w:r w:rsidRPr="00BD6C5F">
              <w:rPr>
                <w:b/>
                <w:bCs/>
              </w:rPr>
              <w:t>“Source Code”</w:t>
            </w:r>
          </w:p>
        </w:tc>
        <w:tc>
          <w:tcPr>
            <w:tcW w:w="5954" w:type="dxa"/>
          </w:tcPr>
          <w:p w14:paraId="533CDE0C" w14:textId="7A9C829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computer programs and/or data in eye- 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920899" w:rsidRPr="00BD6C5F" w14:paraId="1AF6E7C8" w14:textId="77777777" w:rsidTr="00A64142">
        <w:trPr>
          <w:gridBefore w:val="1"/>
          <w:gridAfter w:val="1"/>
          <w:wBefore w:w="10" w:type="dxa"/>
          <w:wAfter w:w="32" w:type="dxa"/>
          <w:trHeight w:val="20"/>
        </w:trPr>
        <w:tc>
          <w:tcPr>
            <w:tcW w:w="3532" w:type="dxa"/>
          </w:tcPr>
          <w:p w14:paraId="57714100" w14:textId="5C001B8B" w:rsidR="00920899" w:rsidRPr="00BD6C5F" w:rsidRDefault="00920899" w:rsidP="00920899">
            <w:pPr>
              <w:pStyle w:val="Tabletext"/>
              <w:keepNext/>
              <w:rPr>
                <w:b/>
                <w:bCs/>
              </w:rPr>
            </w:pPr>
            <w:r w:rsidRPr="00BD6C5F">
              <w:rPr>
                <w:b/>
                <w:bCs/>
              </w:rPr>
              <w:t>“Specially Written Software”</w:t>
            </w:r>
          </w:p>
        </w:tc>
        <w:tc>
          <w:tcPr>
            <w:tcW w:w="5954" w:type="dxa"/>
          </w:tcPr>
          <w:p w14:paraId="2ED776D7" w14:textId="4606A86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created specifically for the purposes of this Contract;</w:t>
            </w:r>
          </w:p>
        </w:tc>
      </w:tr>
      <w:tr w:rsidR="00920899" w:rsidRPr="00BD6C5F" w14:paraId="49FCF5BB" w14:textId="77777777" w:rsidTr="00A64142">
        <w:trPr>
          <w:gridBefore w:val="1"/>
          <w:gridAfter w:val="1"/>
          <w:wBefore w:w="10" w:type="dxa"/>
          <w:wAfter w:w="32" w:type="dxa"/>
          <w:trHeight w:val="20"/>
        </w:trPr>
        <w:tc>
          <w:tcPr>
            <w:tcW w:w="3532" w:type="dxa"/>
          </w:tcPr>
          <w:p w14:paraId="692B17DA" w14:textId="65D99578" w:rsidR="00920899" w:rsidRPr="00BD6C5F" w:rsidRDefault="00920899" w:rsidP="00920899">
            <w:pPr>
              <w:pStyle w:val="Tabletext"/>
              <w:rPr>
                <w:b/>
                <w:bCs/>
              </w:rPr>
            </w:pPr>
            <w:r w:rsidRPr="00BD6C5F">
              <w:rPr>
                <w:b/>
                <w:bCs/>
              </w:rPr>
              <w:t>“Specific Change in Law”</w:t>
            </w:r>
          </w:p>
        </w:tc>
        <w:tc>
          <w:tcPr>
            <w:tcW w:w="5954" w:type="dxa"/>
          </w:tcPr>
          <w:p w14:paraId="353EEC53"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Change in Law that relates specifically to the business of the Authority and which would not affect a Comparable Supply;</w:t>
            </w:r>
          </w:p>
        </w:tc>
      </w:tr>
      <w:tr w:rsidR="00920899" w:rsidRPr="00BD6C5F" w14:paraId="0176CD91" w14:textId="77777777" w:rsidTr="00A64142">
        <w:trPr>
          <w:gridBefore w:val="1"/>
          <w:gridAfter w:val="1"/>
          <w:wBefore w:w="10" w:type="dxa"/>
          <w:wAfter w:w="32" w:type="dxa"/>
          <w:trHeight w:val="20"/>
        </w:trPr>
        <w:tc>
          <w:tcPr>
            <w:tcW w:w="3532" w:type="dxa"/>
          </w:tcPr>
          <w:p w14:paraId="086BEF03" w14:textId="36412844" w:rsidR="00920899" w:rsidRPr="00BD6C5F" w:rsidRDefault="00920899" w:rsidP="00920899">
            <w:pPr>
              <w:pStyle w:val="Tabletext"/>
              <w:rPr>
                <w:b/>
                <w:bCs/>
              </w:rPr>
            </w:pPr>
            <w:r w:rsidRPr="00BD6C5F">
              <w:rPr>
                <w:b/>
                <w:bCs/>
              </w:rPr>
              <w:t>“Staffing Information”</w:t>
            </w:r>
          </w:p>
        </w:tc>
        <w:tc>
          <w:tcPr>
            <w:tcW w:w="5954" w:type="dxa"/>
          </w:tcPr>
          <w:p w14:paraId="2FBD0508" w14:textId="2243E4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2AC62800" w14:textId="77777777" w:rsidTr="00A64142">
        <w:trPr>
          <w:gridBefore w:val="1"/>
          <w:gridAfter w:val="1"/>
          <w:wBefore w:w="10" w:type="dxa"/>
          <w:wAfter w:w="32" w:type="dxa"/>
          <w:trHeight w:val="20"/>
        </w:trPr>
        <w:tc>
          <w:tcPr>
            <w:tcW w:w="3532" w:type="dxa"/>
          </w:tcPr>
          <w:p w14:paraId="45B8D5FE" w14:textId="4D6EFB69" w:rsidR="00920899" w:rsidRPr="00BD6C5F" w:rsidRDefault="00920899" w:rsidP="00920899">
            <w:pPr>
              <w:pStyle w:val="Tabletext"/>
              <w:rPr>
                <w:b/>
                <w:bCs/>
              </w:rPr>
            </w:pPr>
            <w:r w:rsidRPr="00BD6C5F">
              <w:rPr>
                <w:b/>
                <w:bCs/>
              </w:rPr>
              <w:t>“Standards”</w:t>
            </w:r>
          </w:p>
        </w:tc>
        <w:tc>
          <w:tcPr>
            <w:tcW w:w="5954" w:type="dxa"/>
          </w:tcPr>
          <w:p w14:paraId="5EF65274" w14:textId="27A879B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standards, polices and/or procedures identified in Schedule </w:t>
            </w:r>
            <w:r>
              <w:rPr>
                <w:rFonts w:asciiTheme="minorHAnsi" w:hAnsiTheme="minorHAnsi" w:cstheme="minorHAnsi"/>
              </w:rPr>
              <w:fldChar w:fldCharType="begin"/>
            </w:r>
            <w:r>
              <w:rPr>
                <w:rFonts w:asciiTheme="minorHAnsi" w:hAnsiTheme="minorHAnsi" w:cstheme="minorHAnsi"/>
              </w:rPr>
              <w:instrText xml:space="preserve"> REF Schedule_4 \h </w:instrText>
            </w:r>
            <w:r>
              <w:rPr>
                <w:rFonts w:asciiTheme="minorHAnsi" w:hAnsiTheme="minorHAnsi" w:cstheme="minorHAnsi"/>
              </w:rPr>
            </w:r>
            <w:r>
              <w:rPr>
                <w:rFonts w:asciiTheme="minorHAnsi" w:hAnsiTheme="minorHAnsi" w:cstheme="minorHAnsi"/>
              </w:rPr>
              <w:fldChar w:fldCharType="separate"/>
            </w:r>
            <w:r w:rsidR="009749A0">
              <w:t>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Standards</w:t>
            </w:r>
            <w:r w:rsidRPr="00BD6C5F">
              <w:rPr>
                <w:rFonts w:asciiTheme="minorHAnsi" w:hAnsiTheme="minorHAnsi" w:cstheme="minorHAnsi"/>
              </w:rPr>
              <w:t>);</w:t>
            </w:r>
          </w:p>
        </w:tc>
      </w:tr>
      <w:tr w:rsidR="00920899" w:rsidRPr="00BD6C5F" w14:paraId="6BEEAD8E" w14:textId="77777777" w:rsidTr="00A64142">
        <w:trPr>
          <w:gridBefore w:val="1"/>
          <w:gridAfter w:val="1"/>
          <w:wBefore w:w="10" w:type="dxa"/>
          <w:wAfter w:w="32" w:type="dxa"/>
          <w:trHeight w:val="20"/>
        </w:trPr>
        <w:tc>
          <w:tcPr>
            <w:tcW w:w="3532" w:type="dxa"/>
          </w:tcPr>
          <w:p w14:paraId="0EF94525" w14:textId="34897151" w:rsidR="00920899" w:rsidRPr="00BD6C5F" w:rsidRDefault="00920899" w:rsidP="00920899">
            <w:pPr>
              <w:pStyle w:val="Tabletext"/>
              <w:rPr>
                <w:b/>
                <w:bCs/>
              </w:rPr>
            </w:pPr>
            <w:r w:rsidRPr="00BD6C5F">
              <w:rPr>
                <w:b/>
                <w:bCs/>
              </w:rPr>
              <w:t>“Step-In Notice”</w:t>
            </w:r>
          </w:p>
        </w:tc>
        <w:tc>
          <w:tcPr>
            <w:tcW w:w="5954" w:type="dxa"/>
          </w:tcPr>
          <w:p w14:paraId="0BDE5850" w14:textId="08779D8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28.1 (</w:t>
            </w:r>
            <w:r w:rsidRPr="00BD6C5F">
              <w:rPr>
                <w:rFonts w:asciiTheme="minorHAnsi" w:hAnsiTheme="minorHAnsi" w:cstheme="minorHAnsi"/>
                <w:i/>
              </w:rPr>
              <w:t>Step-In Rights</w:t>
            </w:r>
            <w:r w:rsidRPr="00BD6C5F">
              <w:rPr>
                <w:rFonts w:asciiTheme="minorHAnsi" w:hAnsiTheme="minorHAnsi" w:cstheme="minorHAnsi"/>
              </w:rPr>
              <w:t>);</w:t>
            </w:r>
          </w:p>
        </w:tc>
      </w:tr>
      <w:tr w:rsidR="00920899" w:rsidRPr="00BD6C5F" w14:paraId="4DE486F2" w14:textId="77777777" w:rsidTr="00A64142">
        <w:trPr>
          <w:gridBefore w:val="1"/>
          <w:gridAfter w:val="1"/>
          <w:wBefore w:w="10" w:type="dxa"/>
          <w:wAfter w:w="32" w:type="dxa"/>
          <w:trHeight w:val="20"/>
        </w:trPr>
        <w:tc>
          <w:tcPr>
            <w:tcW w:w="3532" w:type="dxa"/>
          </w:tcPr>
          <w:p w14:paraId="4F132A6A" w14:textId="7BD70528" w:rsidR="00920899" w:rsidRPr="00BD6C5F" w:rsidRDefault="00920899" w:rsidP="00920899">
            <w:pPr>
              <w:pStyle w:val="Tabletext"/>
              <w:rPr>
                <w:b/>
                <w:bCs/>
              </w:rPr>
            </w:pPr>
            <w:r w:rsidRPr="00BD6C5F">
              <w:rPr>
                <w:b/>
                <w:bCs/>
              </w:rPr>
              <w:t>“Step-In Trigger Event”</w:t>
            </w:r>
          </w:p>
        </w:tc>
        <w:tc>
          <w:tcPr>
            <w:tcW w:w="5954" w:type="dxa"/>
          </w:tcPr>
          <w:p w14:paraId="580BC912" w14:textId="77777777" w:rsidR="00920899" w:rsidRPr="00BD6C5F" w:rsidRDefault="00920899" w:rsidP="00920899">
            <w:pPr>
              <w:pStyle w:val="Tablea"/>
            </w:pPr>
            <w:r w:rsidRPr="00BD6C5F">
              <w:t>any event falling within the definition of a Supplier Termination Event;</w:t>
            </w:r>
          </w:p>
          <w:p w14:paraId="572D8C22" w14:textId="77777777" w:rsidR="00920899" w:rsidRPr="00BD6C5F" w:rsidRDefault="00920899" w:rsidP="00920899">
            <w:pPr>
              <w:pStyle w:val="Tablea"/>
            </w:pPr>
            <w:r w:rsidRPr="00BD6C5F">
              <w:lastRenderedPageBreak/>
              <w:t>a Default by the Supplier that is materially preventing or materially delaying the performance of the Services or any material part of the Services;</w:t>
            </w:r>
          </w:p>
          <w:p w14:paraId="634DDB84" w14:textId="77777777" w:rsidR="00920899" w:rsidRPr="00BD6C5F" w:rsidRDefault="00920899" w:rsidP="00920899">
            <w:pPr>
              <w:pStyle w:val="Tablea"/>
            </w:pPr>
            <w:r w:rsidRPr="00BD6C5F">
              <w:t>the Authority considers that the circumstances constitute an emergency despite the Supplier not being in breach of its obligations under this Contract;</w:t>
            </w:r>
          </w:p>
          <w:p w14:paraId="3CEB4DB7" w14:textId="77777777" w:rsidR="00920899" w:rsidRPr="00BD6C5F" w:rsidRDefault="00920899" w:rsidP="00920899">
            <w:pPr>
              <w:pStyle w:val="Tablea"/>
            </w:pPr>
            <w:r w:rsidRPr="00BD6C5F">
              <w:t>the Authority being advised by a regulatory body that the exercise by the Authority of its rights under Clause 28 (</w:t>
            </w:r>
            <w:r w:rsidRPr="00BD6C5F">
              <w:rPr>
                <w:i/>
              </w:rPr>
              <w:t>Step-In Rights</w:t>
            </w:r>
            <w:r w:rsidRPr="00BD6C5F">
              <w:t>) is necessary;</w:t>
            </w:r>
          </w:p>
          <w:p w14:paraId="2A113B80" w14:textId="77777777" w:rsidR="00920899" w:rsidRPr="00BD6C5F" w:rsidRDefault="00920899" w:rsidP="00920899">
            <w:pPr>
              <w:pStyle w:val="Tablea"/>
            </w:pPr>
            <w:r w:rsidRPr="00BD6C5F">
              <w:t>the existence of a serious risk to the health or safety of persons, property or the environment in connection with the Services; and/or</w:t>
            </w:r>
          </w:p>
          <w:p w14:paraId="2D4F14FA" w14:textId="7224650E" w:rsidR="00920899" w:rsidRPr="00BD6C5F" w:rsidRDefault="00920899" w:rsidP="00920899">
            <w:pPr>
              <w:pStyle w:val="Tablea"/>
            </w:pPr>
            <w:r w:rsidRPr="00BD6C5F">
              <w:t>a need by the Authority to take action to discharge a statutory duty;</w:t>
            </w:r>
          </w:p>
        </w:tc>
      </w:tr>
      <w:tr w:rsidR="00920899" w:rsidRPr="00BD6C5F" w14:paraId="02BFA208" w14:textId="77777777" w:rsidTr="00A64142">
        <w:trPr>
          <w:gridBefore w:val="1"/>
          <w:gridAfter w:val="1"/>
          <w:wBefore w:w="10" w:type="dxa"/>
          <w:wAfter w:w="32" w:type="dxa"/>
          <w:trHeight w:val="20"/>
        </w:trPr>
        <w:tc>
          <w:tcPr>
            <w:tcW w:w="3532" w:type="dxa"/>
          </w:tcPr>
          <w:p w14:paraId="22BCC0D6" w14:textId="21965BCC" w:rsidR="00920899" w:rsidRPr="00BD6C5F" w:rsidRDefault="00920899" w:rsidP="00920899">
            <w:pPr>
              <w:pStyle w:val="Tabletext"/>
              <w:rPr>
                <w:b/>
                <w:bCs/>
              </w:rPr>
            </w:pPr>
            <w:r w:rsidRPr="00BD6C5F">
              <w:rPr>
                <w:b/>
                <w:bCs/>
              </w:rPr>
              <w:lastRenderedPageBreak/>
              <w:t>“Step-Out Date”</w:t>
            </w:r>
          </w:p>
        </w:tc>
        <w:tc>
          <w:tcPr>
            <w:tcW w:w="5954" w:type="dxa"/>
          </w:tcPr>
          <w:p w14:paraId="3E3E9AA6" w14:textId="3D928C1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28.5</w:t>
            </w:r>
            <w:r w:rsidR="008E2FFE">
              <w:rPr>
                <w:rFonts w:asciiTheme="minorHAnsi" w:hAnsiTheme="minorHAnsi" w:cstheme="minorHAnsi"/>
              </w:rPr>
              <w:t>.2</w:t>
            </w:r>
            <w:r w:rsidRPr="00BD6C5F">
              <w:rPr>
                <w:rFonts w:asciiTheme="minorHAnsi" w:hAnsiTheme="minorHAnsi" w:cstheme="minorHAnsi"/>
              </w:rPr>
              <w:t xml:space="preserve"> (</w:t>
            </w:r>
            <w:r w:rsidRPr="00BD6C5F">
              <w:rPr>
                <w:rFonts w:asciiTheme="minorHAnsi" w:hAnsiTheme="minorHAnsi" w:cstheme="minorHAnsi"/>
                <w:i/>
              </w:rPr>
              <w:t>Step-In Rights</w:t>
            </w:r>
            <w:r w:rsidRPr="00BD6C5F">
              <w:rPr>
                <w:rFonts w:asciiTheme="minorHAnsi" w:hAnsiTheme="minorHAnsi" w:cstheme="minorHAnsi"/>
              </w:rPr>
              <w:t>);</w:t>
            </w:r>
          </w:p>
        </w:tc>
      </w:tr>
      <w:tr w:rsidR="00920899" w:rsidRPr="00BD6C5F" w14:paraId="03A94BF2" w14:textId="77777777" w:rsidTr="00A64142">
        <w:trPr>
          <w:gridBefore w:val="1"/>
          <w:gridAfter w:val="1"/>
          <w:wBefore w:w="10" w:type="dxa"/>
          <w:wAfter w:w="32" w:type="dxa"/>
          <w:trHeight w:val="20"/>
        </w:trPr>
        <w:tc>
          <w:tcPr>
            <w:tcW w:w="3532" w:type="dxa"/>
          </w:tcPr>
          <w:p w14:paraId="0CB7CA93" w14:textId="4CD109A0" w:rsidR="00920899" w:rsidRPr="00BD6C5F" w:rsidRDefault="00920899" w:rsidP="00920899">
            <w:pPr>
              <w:pStyle w:val="Tabletext"/>
              <w:rPr>
                <w:b/>
                <w:bCs/>
              </w:rPr>
            </w:pPr>
            <w:r w:rsidRPr="00BD6C5F">
              <w:rPr>
                <w:b/>
                <w:bCs/>
              </w:rPr>
              <w:t>“Step-Out Notice”</w:t>
            </w:r>
          </w:p>
        </w:tc>
        <w:tc>
          <w:tcPr>
            <w:tcW w:w="5954" w:type="dxa"/>
          </w:tcPr>
          <w:p w14:paraId="01E32FB1" w14:textId="604A811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28.5 (</w:t>
            </w:r>
            <w:r w:rsidRPr="00BD6C5F">
              <w:rPr>
                <w:rFonts w:asciiTheme="minorHAnsi" w:hAnsiTheme="minorHAnsi" w:cstheme="minorHAnsi"/>
                <w:i/>
              </w:rPr>
              <w:t>Step-In Rights</w:t>
            </w:r>
            <w:r w:rsidRPr="00BD6C5F">
              <w:rPr>
                <w:rFonts w:asciiTheme="minorHAnsi" w:hAnsiTheme="minorHAnsi" w:cstheme="minorHAnsi"/>
              </w:rPr>
              <w:t>);</w:t>
            </w:r>
          </w:p>
        </w:tc>
      </w:tr>
      <w:tr w:rsidR="00920899" w:rsidRPr="00BD6C5F" w14:paraId="573D538B" w14:textId="77777777" w:rsidTr="00A64142">
        <w:trPr>
          <w:gridBefore w:val="1"/>
          <w:gridAfter w:val="1"/>
          <w:wBefore w:w="10" w:type="dxa"/>
          <w:wAfter w:w="32" w:type="dxa"/>
          <w:trHeight w:val="20"/>
        </w:trPr>
        <w:tc>
          <w:tcPr>
            <w:tcW w:w="3532" w:type="dxa"/>
          </w:tcPr>
          <w:p w14:paraId="10D34569" w14:textId="22720C05" w:rsidR="00920899" w:rsidRPr="00BD6C5F" w:rsidRDefault="00920899" w:rsidP="00920899">
            <w:pPr>
              <w:pStyle w:val="Tabletext"/>
              <w:rPr>
                <w:b/>
                <w:bCs/>
              </w:rPr>
            </w:pPr>
            <w:r w:rsidRPr="00BD6C5F">
              <w:rPr>
                <w:b/>
                <w:bCs/>
              </w:rPr>
              <w:t>“Step-Out Plan”</w:t>
            </w:r>
          </w:p>
        </w:tc>
        <w:tc>
          <w:tcPr>
            <w:tcW w:w="5954" w:type="dxa"/>
          </w:tcPr>
          <w:p w14:paraId="141A7D15" w14:textId="25472B3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28.6 (</w:t>
            </w:r>
            <w:r w:rsidRPr="00BD6C5F">
              <w:rPr>
                <w:rFonts w:asciiTheme="minorHAnsi" w:hAnsiTheme="minorHAnsi" w:cstheme="minorHAnsi"/>
                <w:i/>
              </w:rPr>
              <w:t>Step-In Rights</w:t>
            </w:r>
            <w:r w:rsidRPr="00BD6C5F">
              <w:rPr>
                <w:rFonts w:asciiTheme="minorHAnsi" w:hAnsiTheme="minorHAnsi" w:cstheme="minorHAnsi"/>
              </w:rPr>
              <w:t>);</w:t>
            </w:r>
          </w:p>
        </w:tc>
      </w:tr>
      <w:tr w:rsidR="00920899" w:rsidRPr="00BD6C5F" w14:paraId="3A1D8D59" w14:textId="77777777" w:rsidTr="00A64142">
        <w:trPr>
          <w:gridBefore w:val="1"/>
          <w:gridAfter w:val="1"/>
          <w:wBefore w:w="10" w:type="dxa"/>
          <w:wAfter w:w="32" w:type="dxa"/>
          <w:trHeight w:val="20"/>
        </w:trPr>
        <w:tc>
          <w:tcPr>
            <w:tcW w:w="3532" w:type="dxa"/>
          </w:tcPr>
          <w:p w14:paraId="2A652925" w14:textId="5617AD22" w:rsidR="00920899" w:rsidRPr="00BD6C5F" w:rsidRDefault="00920899" w:rsidP="00920899">
            <w:pPr>
              <w:pStyle w:val="Tabletext"/>
              <w:rPr>
                <w:b/>
                <w:bCs/>
              </w:rPr>
            </w:pPr>
            <w:r w:rsidRPr="00BD6C5F">
              <w:rPr>
                <w:b/>
                <w:bCs/>
              </w:rPr>
              <w:t>“Strategic Supplier”</w:t>
            </w:r>
          </w:p>
        </w:tc>
        <w:tc>
          <w:tcPr>
            <w:tcW w:w="5954" w:type="dxa"/>
          </w:tcPr>
          <w:p w14:paraId="05E8414B" w14:textId="25EFA804"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those suppliers to government listed at </w:t>
            </w:r>
            <w:hyperlink r:id="rId23" w:history="1">
              <w:r w:rsidRPr="00BD6C5F">
                <w:rPr>
                  <w:rStyle w:val="Hyperlink"/>
                  <w:rFonts w:asciiTheme="minorHAnsi" w:hAnsiTheme="minorHAnsi" w:cstheme="minorHAnsi"/>
                </w:rPr>
                <w:t>https://www.gov.uk/government/publications/strategic-suppliers</w:t>
              </w:r>
            </w:hyperlink>
            <w:r w:rsidRPr="00BD6C5F">
              <w:rPr>
                <w:rFonts w:asciiTheme="minorHAnsi" w:hAnsiTheme="minorHAnsi" w:cstheme="minorHAnsi"/>
              </w:rPr>
              <w:t>;</w:t>
            </w:r>
          </w:p>
        </w:tc>
      </w:tr>
      <w:tr w:rsidR="00920899" w:rsidRPr="00BD6C5F" w14:paraId="7A76F732" w14:textId="77777777" w:rsidTr="00A64142">
        <w:trPr>
          <w:gridBefore w:val="1"/>
          <w:gridAfter w:val="1"/>
          <w:wBefore w:w="10" w:type="dxa"/>
          <w:wAfter w:w="32" w:type="dxa"/>
          <w:trHeight w:val="20"/>
        </w:trPr>
        <w:tc>
          <w:tcPr>
            <w:tcW w:w="3532" w:type="dxa"/>
          </w:tcPr>
          <w:p w14:paraId="1AC46487" w14:textId="06135F44" w:rsidR="00920899" w:rsidRPr="00BD6C5F" w:rsidRDefault="00920899" w:rsidP="00920899">
            <w:pPr>
              <w:pStyle w:val="Tabletext"/>
              <w:rPr>
                <w:b/>
                <w:bCs/>
              </w:rPr>
            </w:pPr>
            <w:r w:rsidRPr="00BD6C5F">
              <w:rPr>
                <w:b/>
                <w:bCs/>
              </w:rPr>
              <w:t>“Sub-contract”</w:t>
            </w:r>
          </w:p>
        </w:tc>
        <w:tc>
          <w:tcPr>
            <w:tcW w:w="5954" w:type="dxa"/>
          </w:tcPr>
          <w:p w14:paraId="7B5156A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920899" w:rsidRPr="00BD6C5F" w14:paraId="49245BC7" w14:textId="77777777" w:rsidTr="00A64142">
        <w:trPr>
          <w:gridBefore w:val="1"/>
          <w:gridAfter w:val="1"/>
          <w:wBefore w:w="10" w:type="dxa"/>
          <w:wAfter w:w="32" w:type="dxa"/>
          <w:trHeight w:val="20"/>
        </w:trPr>
        <w:tc>
          <w:tcPr>
            <w:tcW w:w="3532" w:type="dxa"/>
          </w:tcPr>
          <w:p w14:paraId="40F63CF7" w14:textId="161F36D2" w:rsidR="00920899" w:rsidRPr="00BD6C5F" w:rsidRDefault="00920899" w:rsidP="00920899">
            <w:pPr>
              <w:pStyle w:val="Tabletext"/>
              <w:rPr>
                <w:b/>
                <w:bCs/>
              </w:rPr>
            </w:pPr>
            <w:r w:rsidRPr="00BD6C5F">
              <w:rPr>
                <w:b/>
                <w:bCs/>
              </w:rPr>
              <w:t>“Sub-contractor”</w:t>
            </w:r>
          </w:p>
        </w:tc>
        <w:tc>
          <w:tcPr>
            <w:tcW w:w="5954" w:type="dxa"/>
          </w:tcPr>
          <w:p w14:paraId="418D96B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third party with whom:</w:t>
            </w:r>
          </w:p>
          <w:p w14:paraId="6FDAB84C" w14:textId="77777777" w:rsidR="00920899" w:rsidRPr="00BD6C5F" w:rsidRDefault="00920899" w:rsidP="00920899">
            <w:pPr>
              <w:pStyle w:val="Tablea"/>
            </w:pPr>
            <w:bookmarkStart w:id="13" w:name="_bookmark6"/>
            <w:bookmarkEnd w:id="13"/>
            <w:r w:rsidRPr="00BD6C5F">
              <w:t>the Supplier enters into a Sub-contract; or</w:t>
            </w:r>
          </w:p>
          <w:p w14:paraId="34DD3E0F" w14:textId="673B6FCD" w:rsidR="00920899" w:rsidRPr="00BD6C5F" w:rsidRDefault="00920899" w:rsidP="00920899">
            <w:pPr>
              <w:pStyle w:val="Tablea"/>
            </w:pPr>
            <w:r w:rsidRPr="00BD6C5F">
              <w:t xml:space="preserve">a third party under </w:t>
            </w:r>
            <w:r w:rsidR="008B7EE4">
              <w:t xml:space="preserve">Paragraph </w:t>
            </w:r>
            <w:r w:rsidRPr="00BD6C5F">
              <w:t>(a) above enters into a Sub</w:t>
            </w:r>
            <w:r w:rsidRPr="00BD6C5F">
              <w:noBreakHyphen/>
              <w:t>contract,</w:t>
            </w:r>
          </w:p>
          <w:p w14:paraId="26A2A86E"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or the servants or agents of that third party;</w:t>
            </w:r>
          </w:p>
        </w:tc>
      </w:tr>
      <w:tr w:rsidR="00920899" w:rsidRPr="00BD6C5F" w14:paraId="4015C321" w14:textId="77777777" w:rsidTr="00A64142">
        <w:trPr>
          <w:gridBefore w:val="1"/>
          <w:gridAfter w:val="1"/>
          <w:wBefore w:w="10" w:type="dxa"/>
          <w:wAfter w:w="32" w:type="dxa"/>
          <w:trHeight w:val="20"/>
        </w:trPr>
        <w:tc>
          <w:tcPr>
            <w:tcW w:w="3532" w:type="dxa"/>
          </w:tcPr>
          <w:p w14:paraId="12E1B6A4" w14:textId="019C8457" w:rsidR="00920899" w:rsidRPr="00BD6C5F" w:rsidRDefault="00920899" w:rsidP="00920899">
            <w:pPr>
              <w:pStyle w:val="Tabletext"/>
              <w:rPr>
                <w:b/>
                <w:bCs/>
              </w:rPr>
            </w:pPr>
            <w:r w:rsidRPr="00BD6C5F">
              <w:rPr>
                <w:b/>
                <w:bCs/>
              </w:rPr>
              <w:t>“Sub-processor”</w:t>
            </w:r>
          </w:p>
        </w:tc>
        <w:tc>
          <w:tcPr>
            <w:tcW w:w="5954" w:type="dxa"/>
          </w:tcPr>
          <w:p w14:paraId="782860C8" w14:textId="17E3945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any third party appointed to process Personal Data on behalf of the </w:t>
            </w:r>
            <w:r w:rsidR="00143C2B">
              <w:rPr>
                <w:rFonts w:asciiTheme="minorHAnsi" w:hAnsiTheme="minorHAnsi" w:cstheme="minorHAnsi"/>
              </w:rPr>
              <w:t>Processor</w:t>
            </w:r>
            <w:r w:rsidRPr="00BD6C5F">
              <w:rPr>
                <w:rFonts w:asciiTheme="minorHAnsi" w:hAnsiTheme="minorHAnsi" w:cstheme="minorHAnsi"/>
              </w:rPr>
              <w:t xml:space="preserve"> related to this Contract;</w:t>
            </w:r>
          </w:p>
        </w:tc>
      </w:tr>
      <w:tr w:rsidR="00920899" w:rsidRPr="00BD6C5F" w14:paraId="672DE6FC" w14:textId="77777777" w:rsidTr="00A64142">
        <w:trPr>
          <w:gridBefore w:val="1"/>
          <w:gridAfter w:val="1"/>
          <w:wBefore w:w="10" w:type="dxa"/>
          <w:wAfter w:w="32" w:type="dxa"/>
          <w:trHeight w:val="20"/>
        </w:trPr>
        <w:tc>
          <w:tcPr>
            <w:tcW w:w="3532" w:type="dxa"/>
          </w:tcPr>
          <w:p w14:paraId="1DEBA72D" w14:textId="72631A70" w:rsidR="00920899" w:rsidRPr="00BD6C5F" w:rsidRDefault="00920899" w:rsidP="00920899">
            <w:pPr>
              <w:pStyle w:val="Tabletext"/>
              <w:rPr>
                <w:b/>
                <w:bCs/>
              </w:rPr>
            </w:pPr>
            <w:r w:rsidRPr="00BD6C5F">
              <w:rPr>
                <w:b/>
                <w:bCs/>
              </w:rPr>
              <w:t xml:space="preserve">“Subsidiary Performance </w:t>
            </w:r>
            <w:r w:rsidRPr="00BD6C5F">
              <w:rPr>
                <w:b/>
                <w:bCs/>
              </w:rPr>
              <w:lastRenderedPageBreak/>
              <w:t>Indicator”</w:t>
            </w:r>
          </w:p>
        </w:tc>
        <w:tc>
          <w:tcPr>
            <w:tcW w:w="5954" w:type="dxa"/>
          </w:tcPr>
          <w:p w14:paraId="7479292F" w14:textId="5724E01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lastRenderedPageBreak/>
              <w:t>the performance indicators set out in Table 2 of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rPr>
              <w:lastRenderedPageBreak/>
              <w:t xml:space="preserve">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719EF5BB" w14:textId="77777777" w:rsidTr="00A64142">
        <w:trPr>
          <w:gridBefore w:val="1"/>
          <w:gridAfter w:val="1"/>
          <w:wBefore w:w="10" w:type="dxa"/>
          <w:wAfter w:w="32" w:type="dxa"/>
          <w:trHeight w:val="20"/>
        </w:trPr>
        <w:tc>
          <w:tcPr>
            <w:tcW w:w="3532" w:type="dxa"/>
          </w:tcPr>
          <w:p w14:paraId="67033593" w14:textId="118D5872" w:rsidR="00920899" w:rsidRPr="00BD6C5F" w:rsidRDefault="00920899" w:rsidP="00920899">
            <w:pPr>
              <w:pStyle w:val="Tabletext"/>
              <w:rPr>
                <w:b/>
                <w:bCs/>
              </w:rPr>
            </w:pPr>
            <w:r w:rsidRPr="00BD6C5F">
              <w:rPr>
                <w:b/>
                <w:bCs/>
              </w:rPr>
              <w:lastRenderedPageBreak/>
              <w:t>“Subsidiary Undertaking”</w:t>
            </w:r>
          </w:p>
        </w:tc>
        <w:tc>
          <w:tcPr>
            <w:tcW w:w="5954" w:type="dxa"/>
          </w:tcPr>
          <w:p w14:paraId="012B350D"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set out in section 1162 of the Companies Act 2006;</w:t>
            </w:r>
          </w:p>
        </w:tc>
      </w:tr>
      <w:tr w:rsidR="00920899" w:rsidRPr="00BD6C5F" w14:paraId="27800B18" w14:textId="77777777" w:rsidTr="00A64142">
        <w:trPr>
          <w:gridBefore w:val="1"/>
          <w:gridAfter w:val="1"/>
          <w:wBefore w:w="10" w:type="dxa"/>
          <w:wAfter w:w="32" w:type="dxa"/>
          <w:trHeight w:val="20"/>
        </w:trPr>
        <w:tc>
          <w:tcPr>
            <w:tcW w:w="3532" w:type="dxa"/>
          </w:tcPr>
          <w:p w14:paraId="7A46081C" w14:textId="542D6BAA" w:rsidR="00920899" w:rsidRPr="00BD6C5F" w:rsidRDefault="00920899" w:rsidP="00920899">
            <w:pPr>
              <w:pStyle w:val="Tabletext"/>
              <w:rPr>
                <w:b/>
                <w:bCs/>
              </w:rPr>
            </w:pPr>
            <w:r w:rsidRPr="00BD6C5F">
              <w:rPr>
                <w:b/>
                <w:bCs/>
              </w:rPr>
              <w:t>“Successor Body”</w:t>
            </w:r>
          </w:p>
        </w:tc>
        <w:tc>
          <w:tcPr>
            <w:tcW w:w="5954" w:type="dxa"/>
          </w:tcPr>
          <w:p w14:paraId="6BB2053E" w14:textId="7BD8FA2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34.4 (</w:t>
            </w:r>
            <w:r w:rsidRPr="00BD6C5F">
              <w:rPr>
                <w:rFonts w:asciiTheme="minorHAnsi" w:hAnsiTheme="minorHAnsi" w:cstheme="minorHAnsi"/>
                <w:i/>
              </w:rPr>
              <w:t>Assignation and Novation</w:t>
            </w:r>
            <w:r w:rsidRPr="00BD6C5F">
              <w:rPr>
                <w:rFonts w:asciiTheme="minorHAnsi" w:hAnsiTheme="minorHAnsi" w:cstheme="minorHAnsi"/>
              </w:rPr>
              <w:t>);</w:t>
            </w:r>
          </w:p>
        </w:tc>
      </w:tr>
      <w:tr w:rsidR="00920899" w:rsidRPr="00BD6C5F" w14:paraId="732453D5" w14:textId="77777777" w:rsidTr="00A64142">
        <w:trPr>
          <w:gridBefore w:val="1"/>
          <w:gridAfter w:val="1"/>
          <w:wBefore w:w="10" w:type="dxa"/>
          <w:wAfter w:w="32" w:type="dxa"/>
          <w:trHeight w:val="20"/>
        </w:trPr>
        <w:tc>
          <w:tcPr>
            <w:tcW w:w="3532" w:type="dxa"/>
          </w:tcPr>
          <w:p w14:paraId="76365D06" w14:textId="3EA72F5F" w:rsidR="00920899" w:rsidRPr="00BD6C5F" w:rsidRDefault="00920899" w:rsidP="00920899">
            <w:pPr>
              <w:pStyle w:val="Tabletext"/>
              <w:rPr>
                <w:b/>
                <w:bCs/>
              </w:rPr>
            </w:pPr>
            <w:r w:rsidRPr="00BD6C5F">
              <w:rPr>
                <w:b/>
                <w:bCs/>
              </w:rPr>
              <w:t>“Supplier Background IPRs”</w:t>
            </w:r>
          </w:p>
        </w:tc>
        <w:tc>
          <w:tcPr>
            <w:tcW w:w="5954" w:type="dxa"/>
          </w:tcPr>
          <w:p w14:paraId="2D42C295" w14:textId="791733DB" w:rsidR="00920899" w:rsidRPr="00BD6C5F" w:rsidRDefault="00920899" w:rsidP="00920899">
            <w:pPr>
              <w:pStyle w:val="Tablea"/>
            </w:pPr>
            <w:r w:rsidRPr="00BD6C5F">
              <w:t>Intellectual Property Rights owned by the Supplier before the Effective Date, for example those subsisting in the Supplier’s standard development tools, program components or standard code used in computer programming or in physical or electronic media containing the Supplier’s Know-How or generic business methodologies; and/or</w:t>
            </w:r>
          </w:p>
          <w:p w14:paraId="752FABDC" w14:textId="22F608AD" w:rsidR="00920899" w:rsidRPr="00BD6C5F" w:rsidRDefault="00920899" w:rsidP="00920899">
            <w:pPr>
              <w:pStyle w:val="Tablea"/>
            </w:pPr>
            <w:r w:rsidRPr="00BD6C5F">
              <w:t>Intellectual Property Rights created by the Supplier independently of this Contract,</w:t>
            </w:r>
          </w:p>
          <w:p w14:paraId="55BDF31C" w14:textId="40E1200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which in each case is or will be used before or during the Term for designing, testing implementing or providing the Services but excluding Intellectual Property Rights owned by the Supplier subsisting in the Supplier Software;</w:t>
            </w:r>
          </w:p>
        </w:tc>
      </w:tr>
      <w:tr w:rsidR="00920899" w:rsidRPr="00BD6C5F" w14:paraId="4AFB4785" w14:textId="77777777" w:rsidTr="00A64142">
        <w:trPr>
          <w:gridBefore w:val="1"/>
          <w:gridAfter w:val="1"/>
          <w:wBefore w:w="10" w:type="dxa"/>
          <w:wAfter w:w="32" w:type="dxa"/>
          <w:trHeight w:val="20"/>
        </w:trPr>
        <w:tc>
          <w:tcPr>
            <w:tcW w:w="3532" w:type="dxa"/>
          </w:tcPr>
          <w:p w14:paraId="42E5AC9B" w14:textId="423AC6EE" w:rsidR="00920899" w:rsidRPr="00BD6C5F" w:rsidRDefault="00920899" w:rsidP="00920899">
            <w:pPr>
              <w:pStyle w:val="Tabletext"/>
              <w:rPr>
                <w:b/>
                <w:bCs/>
              </w:rPr>
            </w:pPr>
            <w:r w:rsidRPr="00BD6C5F">
              <w:rPr>
                <w:b/>
                <w:bCs/>
              </w:rPr>
              <w:t>“Supplier COTS Background IPRs”</w:t>
            </w:r>
          </w:p>
        </w:tc>
        <w:tc>
          <w:tcPr>
            <w:tcW w:w="5954" w:type="dxa"/>
          </w:tcPr>
          <w:p w14:paraId="001B9AC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embodiments of Supplier Background IPRs that:</w:t>
            </w:r>
          </w:p>
          <w:p w14:paraId="3E0E011D" w14:textId="5336C58E" w:rsidR="00920899" w:rsidRPr="00BD6C5F" w:rsidRDefault="00920899" w:rsidP="00920899">
            <w:pPr>
              <w:pStyle w:val="Tablea"/>
            </w:pPr>
            <w:r w:rsidRPr="00BD6C5F">
              <w:t>the Supplier makes generally available commercially prior to the date of this Contract (whether by way of sale, lease or licence) on standard terms which are not typically negotiated by the Supplier save as to price; and</w:t>
            </w:r>
          </w:p>
          <w:p w14:paraId="3A4D8530" w14:textId="77777777" w:rsidR="00920899" w:rsidRPr="00BD6C5F" w:rsidRDefault="00920899" w:rsidP="00920899">
            <w:pPr>
              <w:pStyle w:val="Tablea"/>
            </w:pPr>
            <w:r w:rsidRPr="00BD6C5F">
              <w:t>has a Non-trivial Customer Base;</w:t>
            </w:r>
          </w:p>
        </w:tc>
      </w:tr>
      <w:tr w:rsidR="00920899" w:rsidRPr="00BD6C5F" w14:paraId="487021CD" w14:textId="77777777" w:rsidTr="00A64142">
        <w:trPr>
          <w:gridBefore w:val="1"/>
          <w:gridAfter w:val="1"/>
          <w:wBefore w:w="10" w:type="dxa"/>
          <w:wAfter w:w="32" w:type="dxa"/>
          <w:trHeight w:val="20"/>
        </w:trPr>
        <w:tc>
          <w:tcPr>
            <w:tcW w:w="3532" w:type="dxa"/>
          </w:tcPr>
          <w:p w14:paraId="24F3A54A" w14:textId="01A73906" w:rsidR="00920899" w:rsidRPr="00BD6C5F" w:rsidRDefault="00920899" w:rsidP="00920899">
            <w:pPr>
              <w:pStyle w:val="Tabletext"/>
              <w:rPr>
                <w:b/>
                <w:bCs/>
              </w:rPr>
            </w:pPr>
            <w:r w:rsidRPr="00BD6C5F">
              <w:rPr>
                <w:b/>
                <w:bCs/>
              </w:rPr>
              <w:t>“Supplier COTS Software”</w:t>
            </w:r>
          </w:p>
        </w:tc>
        <w:tc>
          <w:tcPr>
            <w:tcW w:w="5954" w:type="dxa"/>
          </w:tcPr>
          <w:p w14:paraId="3218D7E8"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Supplier Software (including open source software) that:</w:t>
            </w:r>
          </w:p>
          <w:p w14:paraId="7E1FB8D1" w14:textId="7745BEA3" w:rsidR="00920899" w:rsidRPr="00BD6C5F" w:rsidRDefault="00920899" w:rsidP="00920899">
            <w:pPr>
              <w:pStyle w:val="Tablea"/>
            </w:pPr>
            <w:r w:rsidRPr="00BD6C5F">
              <w:t>the Supplier makes generally available commercially prior to the date of this Contract (whether by way of sale, lease or licence) on standard terms which are not typically negotiated by the Supplier save as to price; and</w:t>
            </w:r>
          </w:p>
          <w:p w14:paraId="22022C74" w14:textId="77777777" w:rsidR="00920899" w:rsidRPr="00BD6C5F" w:rsidRDefault="00920899" w:rsidP="00920899">
            <w:pPr>
              <w:pStyle w:val="Tablea"/>
            </w:pPr>
            <w:r w:rsidRPr="00BD6C5F">
              <w:t>has a Non-trivial Customer Base;</w:t>
            </w:r>
          </w:p>
        </w:tc>
      </w:tr>
      <w:tr w:rsidR="00920899" w:rsidRPr="00BD6C5F" w14:paraId="03BEAF7D" w14:textId="77777777" w:rsidTr="00A64142">
        <w:trPr>
          <w:gridBefore w:val="1"/>
          <w:gridAfter w:val="1"/>
          <w:wBefore w:w="10" w:type="dxa"/>
          <w:wAfter w:w="32" w:type="dxa"/>
          <w:trHeight w:val="20"/>
        </w:trPr>
        <w:tc>
          <w:tcPr>
            <w:tcW w:w="3532" w:type="dxa"/>
          </w:tcPr>
          <w:p w14:paraId="10CD9024" w14:textId="53284937" w:rsidR="00920899" w:rsidRPr="00BD6C5F" w:rsidRDefault="00920899" w:rsidP="00920899">
            <w:pPr>
              <w:pStyle w:val="Tabletext"/>
              <w:rPr>
                <w:b/>
                <w:bCs/>
              </w:rPr>
            </w:pPr>
            <w:r w:rsidRPr="00BD6C5F">
              <w:rPr>
                <w:b/>
                <w:bCs/>
              </w:rPr>
              <w:t>“Supplier Equipment”</w:t>
            </w:r>
          </w:p>
        </w:tc>
        <w:tc>
          <w:tcPr>
            <w:tcW w:w="5954" w:type="dxa"/>
          </w:tcPr>
          <w:p w14:paraId="391F6050" w14:textId="7A03DA9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hardware, computer and telecoms devices and equipment used by the Supplier or its Sub-contractors (but not hired, leased or loaned from the Authority) for the provision of the Services;</w:t>
            </w:r>
          </w:p>
        </w:tc>
      </w:tr>
      <w:tr w:rsidR="00920899" w:rsidRPr="00BD6C5F" w14:paraId="35AD420A" w14:textId="77777777" w:rsidTr="00A64142">
        <w:trPr>
          <w:gridBefore w:val="1"/>
          <w:gridAfter w:val="1"/>
          <w:wBefore w:w="10" w:type="dxa"/>
          <w:wAfter w:w="32" w:type="dxa"/>
          <w:trHeight w:val="20"/>
        </w:trPr>
        <w:tc>
          <w:tcPr>
            <w:tcW w:w="3532" w:type="dxa"/>
          </w:tcPr>
          <w:p w14:paraId="455EFA65" w14:textId="75156230" w:rsidR="00920899" w:rsidRPr="00BD6C5F" w:rsidRDefault="00920899" w:rsidP="00920899">
            <w:pPr>
              <w:pStyle w:val="Tabletext"/>
              <w:rPr>
                <w:b/>
                <w:bCs/>
              </w:rPr>
            </w:pPr>
            <w:r w:rsidRPr="00BD6C5F">
              <w:rPr>
                <w:b/>
                <w:bCs/>
              </w:rPr>
              <w:t>“Supplier Group”</w:t>
            </w:r>
          </w:p>
        </w:tc>
        <w:tc>
          <w:tcPr>
            <w:tcW w:w="5954" w:type="dxa"/>
          </w:tcPr>
          <w:p w14:paraId="67B8C011"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Supplier, its Dependent Parent Undertakings and all Subsidiary Undertakings and </w:t>
            </w:r>
            <w:r w:rsidRPr="00BD6C5F">
              <w:rPr>
                <w:rFonts w:asciiTheme="minorHAnsi" w:hAnsiTheme="minorHAnsi" w:cstheme="minorHAnsi"/>
              </w:rPr>
              <w:lastRenderedPageBreak/>
              <w:t>Associates of such Dependent Parent Undertakings;</w:t>
            </w:r>
          </w:p>
        </w:tc>
      </w:tr>
      <w:tr w:rsidR="00920899" w:rsidRPr="00BD6C5F" w14:paraId="6E7697F7" w14:textId="77777777" w:rsidTr="00A64142">
        <w:trPr>
          <w:gridBefore w:val="1"/>
          <w:gridAfter w:val="1"/>
          <w:wBefore w:w="10" w:type="dxa"/>
          <w:wAfter w:w="32" w:type="dxa"/>
          <w:trHeight w:val="20"/>
        </w:trPr>
        <w:tc>
          <w:tcPr>
            <w:tcW w:w="3532" w:type="dxa"/>
          </w:tcPr>
          <w:p w14:paraId="52CB48C2" w14:textId="1B2EE011" w:rsidR="00920899" w:rsidRPr="00BD6C5F" w:rsidRDefault="00920899" w:rsidP="00920899">
            <w:pPr>
              <w:pStyle w:val="Tabletext"/>
              <w:rPr>
                <w:b/>
                <w:bCs/>
              </w:rPr>
            </w:pPr>
            <w:r w:rsidRPr="00BD6C5F">
              <w:rPr>
                <w:b/>
                <w:bCs/>
              </w:rPr>
              <w:lastRenderedPageBreak/>
              <w:t>“Supplier Non-COTS Background IPRs”</w:t>
            </w:r>
          </w:p>
        </w:tc>
        <w:tc>
          <w:tcPr>
            <w:tcW w:w="5954" w:type="dxa"/>
          </w:tcPr>
          <w:p w14:paraId="7F0B4582" w14:textId="0524CD2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embodiments of Supplier Background IPRs that have been delivered by the Supplier to the Authority and that are not Supplier COTS Background IPRs;</w:t>
            </w:r>
          </w:p>
        </w:tc>
      </w:tr>
      <w:tr w:rsidR="00920899" w:rsidRPr="00BD6C5F" w14:paraId="04B17F6D" w14:textId="77777777" w:rsidTr="00A64142">
        <w:trPr>
          <w:gridBefore w:val="1"/>
          <w:gridAfter w:val="1"/>
          <w:wBefore w:w="10" w:type="dxa"/>
          <w:wAfter w:w="32" w:type="dxa"/>
          <w:trHeight w:val="20"/>
        </w:trPr>
        <w:tc>
          <w:tcPr>
            <w:tcW w:w="3532" w:type="dxa"/>
          </w:tcPr>
          <w:p w14:paraId="59069859" w14:textId="6096BDE1" w:rsidR="00920899" w:rsidRPr="00BD6C5F" w:rsidRDefault="00920899" w:rsidP="00920899">
            <w:pPr>
              <w:pStyle w:val="Tabletext"/>
              <w:rPr>
                <w:b/>
                <w:bCs/>
              </w:rPr>
            </w:pPr>
            <w:r w:rsidRPr="00BD6C5F">
              <w:rPr>
                <w:b/>
                <w:bCs/>
              </w:rPr>
              <w:t>“Supplier Non-COTS Software”</w:t>
            </w:r>
          </w:p>
        </w:tc>
        <w:tc>
          <w:tcPr>
            <w:tcW w:w="5954" w:type="dxa"/>
          </w:tcPr>
          <w:p w14:paraId="6D0F72BC"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Supplier Software that is not Supplier COTS Software;</w:t>
            </w:r>
          </w:p>
        </w:tc>
      </w:tr>
      <w:tr w:rsidR="00920899" w:rsidRPr="00BD6C5F" w14:paraId="2D2F178A" w14:textId="77777777" w:rsidTr="00A64142">
        <w:trPr>
          <w:gridBefore w:val="1"/>
          <w:gridAfter w:val="1"/>
          <w:wBefore w:w="10" w:type="dxa"/>
          <w:wAfter w:w="32" w:type="dxa"/>
          <w:trHeight w:val="20"/>
        </w:trPr>
        <w:tc>
          <w:tcPr>
            <w:tcW w:w="3532" w:type="dxa"/>
          </w:tcPr>
          <w:p w14:paraId="28722615" w14:textId="150C3C7A" w:rsidR="00920899" w:rsidRPr="00BD6C5F" w:rsidRDefault="00920899" w:rsidP="00920899">
            <w:pPr>
              <w:pStyle w:val="Tabletext"/>
              <w:rPr>
                <w:b/>
                <w:bCs/>
              </w:rPr>
            </w:pPr>
            <w:r w:rsidRPr="00BD6C5F">
              <w:rPr>
                <w:b/>
                <w:bCs/>
              </w:rPr>
              <w:t>“Supplier Non- Performance”</w:t>
            </w:r>
          </w:p>
        </w:tc>
        <w:tc>
          <w:tcPr>
            <w:tcW w:w="5954" w:type="dxa"/>
          </w:tcPr>
          <w:p w14:paraId="3E2BB0EC" w14:textId="49AF5C3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29.1 (</w:t>
            </w:r>
            <w:r w:rsidRPr="00BD6C5F">
              <w:rPr>
                <w:rFonts w:asciiTheme="minorHAnsi" w:hAnsiTheme="minorHAnsi" w:cstheme="minorHAnsi"/>
                <w:i/>
              </w:rPr>
              <w:t>Authority Cause</w:t>
            </w:r>
            <w:r w:rsidRPr="00BD6C5F">
              <w:rPr>
                <w:rFonts w:asciiTheme="minorHAnsi" w:hAnsiTheme="minorHAnsi" w:cstheme="minorHAnsi"/>
              </w:rPr>
              <w:t>);</w:t>
            </w:r>
          </w:p>
        </w:tc>
      </w:tr>
      <w:tr w:rsidR="00920899" w:rsidRPr="00BD6C5F" w14:paraId="4F61CE15" w14:textId="77777777" w:rsidTr="00A64142">
        <w:trPr>
          <w:gridBefore w:val="1"/>
          <w:gridAfter w:val="1"/>
          <w:wBefore w:w="10" w:type="dxa"/>
          <w:wAfter w:w="32" w:type="dxa"/>
          <w:trHeight w:val="20"/>
        </w:trPr>
        <w:tc>
          <w:tcPr>
            <w:tcW w:w="3532" w:type="dxa"/>
          </w:tcPr>
          <w:p w14:paraId="02A6DFC1" w14:textId="11FF7F58" w:rsidR="00920899" w:rsidRPr="00BD6C5F" w:rsidRDefault="00920899" w:rsidP="00920899">
            <w:pPr>
              <w:pStyle w:val="Tabletext"/>
              <w:rPr>
                <w:b/>
                <w:bCs/>
              </w:rPr>
            </w:pPr>
            <w:r w:rsidRPr="00BD6C5F">
              <w:rPr>
                <w:b/>
                <w:bCs/>
              </w:rPr>
              <w:t>“Supplier Personnel”</w:t>
            </w:r>
          </w:p>
        </w:tc>
        <w:tc>
          <w:tcPr>
            <w:tcW w:w="5954" w:type="dxa"/>
          </w:tcPr>
          <w:p w14:paraId="56E2A1B0" w14:textId="5A4E6A04" w:rsidR="00920899" w:rsidRPr="00BD6C5F" w:rsidRDefault="00920899" w:rsidP="00920899">
            <w:pPr>
              <w:pStyle w:val="Tabletext"/>
              <w:rPr>
                <w:rFonts w:asciiTheme="minorHAnsi" w:hAnsiTheme="minorHAnsi" w:cstheme="minorHAnsi"/>
              </w:rPr>
            </w:pPr>
            <w:r w:rsidRPr="006F101F">
              <w:rPr>
                <w:rFonts w:asciiTheme="minorHAnsi" w:hAnsiTheme="minorHAnsi" w:cstheme="minorHAnsi"/>
              </w:rPr>
              <w:t>means any individual engaged, directly or indirectly, or employed by the Supplier or any Sub-contractor, in the management or performance of the Supplier’s obligations under this Contract</w:t>
            </w:r>
            <w:r w:rsidRPr="00BD6C5F">
              <w:rPr>
                <w:rFonts w:asciiTheme="minorHAnsi" w:hAnsiTheme="minorHAnsi" w:cstheme="minorHAnsi"/>
              </w:rPr>
              <w:t>;</w:t>
            </w:r>
          </w:p>
        </w:tc>
      </w:tr>
      <w:tr w:rsidR="00920899" w:rsidRPr="00BD6C5F" w14:paraId="740CB10E" w14:textId="77777777" w:rsidTr="00A64142">
        <w:trPr>
          <w:gridBefore w:val="1"/>
          <w:gridAfter w:val="1"/>
          <w:wBefore w:w="10" w:type="dxa"/>
          <w:wAfter w:w="32" w:type="dxa"/>
          <w:trHeight w:val="20"/>
        </w:trPr>
        <w:tc>
          <w:tcPr>
            <w:tcW w:w="3532" w:type="dxa"/>
          </w:tcPr>
          <w:p w14:paraId="762BD0BF" w14:textId="6F85B65E" w:rsidR="00920899" w:rsidRPr="00BD6C5F" w:rsidRDefault="00920899" w:rsidP="00920899">
            <w:pPr>
              <w:pStyle w:val="Tabletext"/>
              <w:rPr>
                <w:b/>
                <w:bCs/>
              </w:rPr>
            </w:pPr>
            <w:r w:rsidRPr="00BD6C5F">
              <w:rPr>
                <w:b/>
                <w:bCs/>
              </w:rPr>
              <w:t>“Supplier Profit”</w:t>
            </w:r>
          </w:p>
        </w:tc>
        <w:tc>
          <w:tcPr>
            <w:tcW w:w="5954" w:type="dxa"/>
          </w:tcPr>
          <w:p w14:paraId="09F4166B" w14:textId="3A28C3A8"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366C4DF0" w14:textId="77777777" w:rsidTr="00A64142">
        <w:trPr>
          <w:gridBefore w:val="1"/>
          <w:gridAfter w:val="1"/>
          <w:wBefore w:w="10" w:type="dxa"/>
          <w:wAfter w:w="32" w:type="dxa"/>
          <w:trHeight w:val="20"/>
        </w:trPr>
        <w:tc>
          <w:tcPr>
            <w:tcW w:w="3532" w:type="dxa"/>
          </w:tcPr>
          <w:p w14:paraId="25F14A0B" w14:textId="448F4C85" w:rsidR="00920899" w:rsidRPr="00BD6C5F" w:rsidRDefault="00920899" w:rsidP="00920899">
            <w:pPr>
              <w:pStyle w:val="Tabletext"/>
              <w:rPr>
                <w:b/>
                <w:bCs/>
              </w:rPr>
            </w:pPr>
            <w:r w:rsidRPr="00BD6C5F">
              <w:rPr>
                <w:b/>
                <w:bCs/>
              </w:rPr>
              <w:t>“Supplier Profit Margin”</w:t>
            </w:r>
          </w:p>
        </w:tc>
        <w:tc>
          <w:tcPr>
            <w:tcW w:w="5954" w:type="dxa"/>
          </w:tcPr>
          <w:p w14:paraId="34B24776" w14:textId="7E98614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Schedule_15 \h </w:instrText>
            </w:r>
            <w:r>
              <w:rPr>
                <w:rFonts w:asciiTheme="minorHAnsi" w:hAnsiTheme="minorHAnsi" w:cstheme="minorHAnsi"/>
              </w:rPr>
            </w:r>
            <w:r>
              <w:rPr>
                <w:rFonts w:asciiTheme="minorHAnsi" w:hAnsiTheme="minorHAnsi" w:cstheme="minorHAnsi"/>
              </w:rPr>
              <w:fldChar w:fldCharType="separate"/>
            </w:r>
            <w:r w:rsidR="009749A0">
              <w:t>15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w:t>
            </w:r>
          </w:p>
        </w:tc>
      </w:tr>
      <w:tr w:rsidR="00920899" w:rsidRPr="00BD6C5F" w14:paraId="03EB2687" w14:textId="77777777" w:rsidTr="00A64142">
        <w:trPr>
          <w:gridBefore w:val="1"/>
          <w:gridAfter w:val="1"/>
          <w:wBefore w:w="10" w:type="dxa"/>
          <w:wAfter w:w="32" w:type="dxa"/>
          <w:trHeight w:val="20"/>
        </w:trPr>
        <w:tc>
          <w:tcPr>
            <w:tcW w:w="3532" w:type="dxa"/>
          </w:tcPr>
          <w:p w14:paraId="73F6C262" w14:textId="67C89F62" w:rsidR="00920899" w:rsidRPr="00BD6C5F" w:rsidRDefault="00920899" w:rsidP="00920899">
            <w:pPr>
              <w:pStyle w:val="Tabletext"/>
              <w:rPr>
                <w:b/>
                <w:bCs/>
              </w:rPr>
            </w:pPr>
            <w:r w:rsidRPr="00BD6C5F">
              <w:rPr>
                <w:b/>
                <w:bCs/>
              </w:rPr>
              <w:t>“Supplier Representative”</w:t>
            </w:r>
          </w:p>
        </w:tc>
        <w:tc>
          <w:tcPr>
            <w:tcW w:w="5954" w:type="dxa"/>
          </w:tcPr>
          <w:p w14:paraId="5C8C0D68" w14:textId="301A8D2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representative appointed by the Supplier pursuant to Clause 11.3 (</w:t>
            </w:r>
            <w:r w:rsidRPr="00BD6C5F">
              <w:rPr>
                <w:rFonts w:asciiTheme="minorHAnsi" w:hAnsiTheme="minorHAnsi" w:cstheme="minorHAnsi"/>
                <w:i/>
              </w:rPr>
              <w:t>Representatives</w:t>
            </w:r>
            <w:r w:rsidRPr="00BD6C5F">
              <w:rPr>
                <w:rFonts w:asciiTheme="minorHAnsi" w:hAnsiTheme="minorHAnsi" w:cstheme="minorHAnsi"/>
              </w:rPr>
              <w:t>);</w:t>
            </w:r>
          </w:p>
        </w:tc>
      </w:tr>
      <w:tr w:rsidR="00920899" w:rsidRPr="00BD6C5F" w14:paraId="3435791B" w14:textId="77777777" w:rsidTr="00A64142">
        <w:trPr>
          <w:gridBefore w:val="1"/>
          <w:gridAfter w:val="1"/>
          <w:wBefore w:w="10" w:type="dxa"/>
          <w:wAfter w:w="32" w:type="dxa"/>
          <w:trHeight w:val="20"/>
        </w:trPr>
        <w:tc>
          <w:tcPr>
            <w:tcW w:w="3532" w:type="dxa"/>
          </w:tcPr>
          <w:p w14:paraId="6F31B10D" w14:textId="522BB8FF" w:rsidR="00920899" w:rsidRPr="00BD6C5F" w:rsidRDefault="00920899" w:rsidP="00920899">
            <w:pPr>
              <w:pStyle w:val="Tabletext"/>
              <w:rPr>
                <w:b/>
                <w:bCs/>
              </w:rPr>
            </w:pPr>
            <w:r w:rsidRPr="00BD6C5F">
              <w:rPr>
                <w:b/>
                <w:bCs/>
              </w:rPr>
              <w:t>“Supplier Software”</w:t>
            </w:r>
          </w:p>
        </w:tc>
        <w:tc>
          <w:tcPr>
            <w:tcW w:w="5954" w:type="dxa"/>
          </w:tcPr>
          <w:p w14:paraId="60623FC6" w14:textId="5777AA5C"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software which is proprietary to the Supplier (or an Affiliate of the Supplier) and which is or will be used by the Supplier for the purposes of providing the Services, including the software specified as such in Schedule </w:t>
            </w:r>
            <w:r>
              <w:rPr>
                <w:rFonts w:asciiTheme="minorHAnsi" w:hAnsiTheme="minorHAnsi" w:cstheme="minorHAnsi"/>
              </w:rPr>
              <w:fldChar w:fldCharType="begin"/>
            </w:r>
            <w:r>
              <w:rPr>
                <w:rFonts w:asciiTheme="minorHAnsi" w:hAnsiTheme="minorHAnsi" w:cstheme="minorHAnsi"/>
              </w:rPr>
              <w:instrText xml:space="preserve"> REF Schedule_12 \h </w:instrText>
            </w:r>
            <w:r>
              <w:rPr>
                <w:rFonts w:asciiTheme="minorHAnsi" w:hAnsiTheme="minorHAnsi" w:cstheme="minorHAnsi"/>
              </w:rPr>
            </w:r>
            <w:r>
              <w:rPr>
                <w:rFonts w:asciiTheme="minorHAnsi" w:hAnsiTheme="minorHAnsi" w:cstheme="minorHAnsi"/>
              </w:rPr>
              <w:fldChar w:fldCharType="separate"/>
            </w:r>
            <w:r w:rsidR="009749A0">
              <w:t>12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Software</w:t>
            </w:r>
            <w:r w:rsidRPr="00BD6C5F">
              <w:rPr>
                <w:rFonts w:asciiTheme="minorHAnsi" w:hAnsiTheme="minorHAnsi" w:cstheme="minorHAnsi"/>
              </w:rPr>
              <w:t>);</w:t>
            </w:r>
          </w:p>
        </w:tc>
      </w:tr>
      <w:tr w:rsidR="00920899" w:rsidRPr="00BD6C5F" w14:paraId="7A6D7BA6" w14:textId="77777777" w:rsidTr="00A64142">
        <w:trPr>
          <w:gridBefore w:val="1"/>
          <w:gridAfter w:val="1"/>
          <w:wBefore w:w="10" w:type="dxa"/>
          <w:wAfter w:w="32" w:type="dxa"/>
          <w:trHeight w:val="20"/>
        </w:trPr>
        <w:tc>
          <w:tcPr>
            <w:tcW w:w="3532" w:type="dxa"/>
          </w:tcPr>
          <w:p w14:paraId="0273C30D" w14:textId="4AC4C69C" w:rsidR="00920899" w:rsidRPr="00BD6C5F" w:rsidRDefault="00920899" w:rsidP="00920899">
            <w:pPr>
              <w:pStyle w:val="Tabletext"/>
              <w:rPr>
                <w:b/>
                <w:bCs/>
              </w:rPr>
            </w:pPr>
            <w:r w:rsidRPr="00BD6C5F">
              <w:rPr>
                <w:b/>
                <w:bCs/>
              </w:rPr>
              <w:t>“Supplier Solution”</w:t>
            </w:r>
          </w:p>
        </w:tc>
        <w:tc>
          <w:tcPr>
            <w:tcW w:w="5954" w:type="dxa"/>
          </w:tcPr>
          <w:p w14:paraId="2E0E6CB7" w14:textId="5F715FC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Supplier’s solution for the Services set out in Schedule </w:t>
            </w:r>
            <w:r>
              <w:rPr>
                <w:rFonts w:asciiTheme="minorHAnsi" w:hAnsiTheme="minorHAnsi" w:cstheme="minorHAnsi"/>
              </w:rPr>
              <w:fldChar w:fldCharType="begin"/>
            </w:r>
            <w:r>
              <w:rPr>
                <w:rFonts w:asciiTheme="minorHAnsi" w:hAnsiTheme="minorHAnsi" w:cstheme="minorHAnsi"/>
              </w:rPr>
              <w:instrText xml:space="preserve"> REF Schedule_8 \h </w:instrText>
            </w:r>
            <w:r>
              <w:rPr>
                <w:rFonts w:asciiTheme="minorHAnsi" w:hAnsiTheme="minorHAnsi" w:cstheme="minorHAnsi"/>
              </w:rPr>
            </w:r>
            <w:r>
              <w:rPr>
                <w:rFonts w:asciiTheme="minorHAnsi" w:hAnsiTheme="minorHAnsi" w:cstheme="minorHAnsi"/>
              </w:rPr>
              <w:fldChar w:fldCharType="separate"/>
            </w:r>
            <w:r w:rsidR="009749A0">
              <w:t>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Supplier Solution</w:t>
            </w:r>
            <w:r w:rsidRPr="00BD6C5F">
              <w:rPr>
                <w:rFonts w:asciiTheme="minorHAnsi" w:hAnsiTheme="minorHAnsi" w:cstheme="minorHAnsi"/>
              </w:rPr>
              <w:t>) including any Annexes of that Schedule;</w:t>
            </w:r>
          </w:p>
        </w:tc>
      </w:tr>
      <w:tr w:rsidR="00920899" w:rsidRPr="00BD6C5F" w14:paraId="229FF197" w14:textId="77777777" w:rsidTr="00A64142">
        <w:trPr>
          <w:gridBefore w:val="1"/>
          <w:gridAfter w:val="1"/>
          <w:wBefore w:w="10" w:type="dxa"/>
          <w:wAfter w:w="32" w:type="dxa"/>
          <w:trHeight w:val="20"/>
        </w:trPr>
        <w:tc>
          <w:tcPr>
            <w:tcW w:w="3532" w:type="dxa"/>
          </w:tcPr>
          <w:p w14:paraId="552D97F9" w14:textId="31FA491C" w:rsidR="00920899" w:rsidRPr="00BD6C5F" w:rsidRDefault="00920899" w:rsidP="00920899">
            <w:pPr>
              <w:pStyle w:val="Tabletext"/>
              <w:rPr>
                <w:b/>
                <w:bCs/>
              </w:rPr>
            </w:pPr>
            <w:r w:rsidRPr="00BD6C5F">
              <w:rPr>
                <w:b/>
                <w:bCs/>
              </w:rPr>
              <w:t>“Supplier System”</w:t>
            </w:r>
          </w:p>
        </w:tc>
        <w:tc>
          <w:tcPr>
            <w:tcW w:w="5954" w:type="dxa"/>
          </w:tcPr>
          <w:p w14:paraId="512C1149"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information and communications technology system used by the Supplier in implementing and performing the Services including the Software, the Supplier Equipment, configuration and management utilities, calibration and testing tools and related cabling (but excluding the Authority System);</w:t>
            </w:r>
          </w:p>
        </w:tc>
      </w:tr>
      <w:tr w:rsidR="00920899" w:rsidRPr="00BD6C5F" w14:paraId="1AE16562" w14:textId="77777777" w:rsidTr="00A64142">
        <w:trPr>
          <w:gridBefore w:val="1"/>
          <w:gridAfter w:val="1"/>
          <w:wBefore w:w="10" w:type="dxa"/>
          <w:wAfter w:w="32" w:type="dxa"/>
        </w:trPr>
        <w:tc>
          <w:tcPr>
            <w:tcW w:w="3532" w:type="dxa"/>
          </w:tcPr>
          <w:p w14:paraId="6D04000D" w14:textId="36966713" w:rsidR="00920899" w:rsidRPr="00BD6C5F" w:rsidRDefault="00920899" w:rsidP="00920899">
            <w:pPr>
              <w:pStyle w:val="Tabletext"/>
              <w:rPr>
                <w:b/>
                <w:bCs/>
              </w:rPr>
            </w:pPr>
            <w:r w:rsidRPr="00BD6C5F">
              <w:rPr>
                <w:b/>
                <w:bCs/>
              </w:rPr>
              <w:t>“Supplier Termination Event”</w:t>
            </w:r>
          </w:p>
        </w:tc>
        <w:tc>
          <w:tcPr>
            <w:tcW w:w="5954" w:type="dxa"/>
          </w:tcPr>
          <w:p w14:paraId="4D82D687" w14:textId="3F257E2F" w:rsidR="00920899" w:rsidRPr="00BD6C5F" w:rsidRDefault="00920899" w:rsidP="00920899">
            <w:pPr>
              <w:pStyle w:val="Tablea"/>
            </w:pPr>
            <w:bookmarkStart w:id="14" w:name="_bookmark7"/>
            <w:bookmarkEnd w:id="14"/>
            <w:r w:rsidRPr="00BD6C5F">
              <w:t>the Supplier’s level of performance constituting a Critical Performance Failure</w:t>
            </w:r>
            <w:r w:rsidR="00D825F4">
              <w:t xml:space="preserve"> in accordance with </w:t>
            </w:r>
            <w:r w:rsidR="008E2FFE">
              <w:t>C</w:t>
            </w:r>
            <w:r w:rsidR="00D825F4">
              <w:t>lause 7.6</w:t>
            </w:r>
            <w:r w:rsidRPr="00BD6C5F">
              <w:t>;</w:t>
            </w:r>
          </w:p>
          <w:p w14:paraId="2F6CD0C9" w14:textId="6A50A8B3" w:rsidR="00920899" w:rsidRPr="00BD6C5F" w:rsidRDefault="00920899" w:rsidP="00920899">
            <w:pPr>
              <w:pStyle w:val="Tablea"/>
            </w:pPr>
            <w:bookmarkStart w:id="15" w:name="_bookmark8"/>
            <w:bookmarkEnd w:id="15"/>
            <w:r w:rsidRPr="00BD6C5F">
              <w:t xml:space="preserve">the Supplier committing a </w:t>
            </w:r>
            <w:r>
              <w:t>M</w:t>
            </w:r>
            <w:r w:rsidRPr="00BD6C5F">
              <w:t>aterial Default which is irremediable;</w:t>
            </w:r>
          </w:p>
          <w:p w14:paraId="724D18A5" w14:textId="7E0A35BB" w:rsidR="00920899" w:rsidRPr="00BD6C5F" w:rsidRDefault="00920899" w:rsidP="00920899">
            <w:pPr>
              <w:pStyle w:val="Tablea"/>
            </w:pPr>
            <w:bookmarkStart w:id="16" w:name="_bookmark9"/>
            <w:bookmarkEnd w:id="16"/>
            <w:r w:rsidRPr="00BD6C5F">
              <w:t xml:space="preserve">as a result of the Supplier’s Default, the Authority incurring Losses in any Contract Year which exceed 80% of the value of the </w:t>
            </w:r>
            <w:r w:rsidRPr="00BD6C5F">
              <w:lastRenderedPageBreak/>
              <w:t>aggregate annual liability cap for that Contract Year as set out in Clause 23.6</w:t>
            </w:r>
            <w:r w:rsidR="008E2FFE">
              <w:t>.1</w:t>
            </w:r>
            <w:r w:rsidRPr="00BD6C5F">
              <w:t xml:space="preserve"> (</w:t>
            </w:r>
            <w:r w:rsidRPr="00BD6C5F">
              <w:rPr>
                <w:i/>
              </w:rPr>
              <w:t>Financial and other Limits</w:t>
            </w:r>
            <w:r w:rsidRPr="00BD6C5F">
              <w:t>);</w:t>
            </w:r>
          </w:p>
          <w:p w14:paraId="00C0D6C1" w14:textId="77777777" w:rsidR="00920899" w:rsidRPr="00BD6C5F" w:rsidRDefault="00920899" w:rsidP="00920899">
            <w:pPr>
              <w:pStyle w:val="Tablea"/>
            </w:pPr>
            <w:r w:rsidRPr="00BD6C5F">
              <w:t>a Remedial Adviser Failure;</w:t>
            </w:r>
          </w:p>
          <w:p w14:paraId="0D6B1F0D" w14:textId="77777777" w:rsidR="00920899" w:rsidRPr="00BD6C5F" w:rsidRDefault="00920899" w:rsidP="00920899">
            <w:pPr>
              <w:pStyle w:val="Tablea"/>
            </w:pPr>
            <w:r w:rsidRPr="00BD6C5F">
              <w:t>a Rectification Plan Failure;</w:t>
            </w:r>
          </w:p>
          <w:p w14:paraId="240A0A15" w14:textId="6DD45FB8" w:rsidR="00920899" w:rsidRPr="00BD6C5F" w:rsidRDefault="00920899" w:rsidP="00920899">
            <w:pPr>
              <w:pStyle w:val="Tablea"/>
            </w:pPr>
            <w:r w:rsidRPr="00BD6C5F">
              <w:t>where a right of termination is expressly reserved in this Contract, including pursuant to:</w:t>
            </w:r>
          </w:p>
          <w:p w14:paraId="006DCA0A" w14:textId="076919DF" w:rsidR="00920899" w:rsidRPr="00BD6C5F" w:rsidRDefault="00920899" w:rsidP="00920899">
            <w:pPr>
              <w:pStyle w:val="Tableai"/>
            </w:pPr>
            <w:r w:rsidRPr="00BD6C5F">
              <w:t>Clause 17 (IPRs Indemnity);</w:t>
            </w:r>
          </w:p>
          <w:p w14:paraId="49B1019D" w14:textId="77777777" w:rsidR="00920899" w:rsidRPr="00BD6C5F" w:rsidRDefault="00920899" w:rsidP="00920899">
            <w:pPr>
              <w:pStyle w:val="Tableai"/>
            </w:pPr>
            <w:r w:rsidRPr="00BD6C5F">
              <w:t>Clause 33 (</w:t>
            </w:r>
            <w:r w:rsidRPr="00BD6C5F">
              <w:rPr>
                <w:i/>
                <w:iCs/>
              </w:rPr>
              <w:t>Compliance</w:t>
            </w:r>
            <w:r w:rsidRPr="00BD6C5F">
              <w:t>);</w:t>
            </w:r>
          </w:p>
          <w:p w14:paraId="2697C718" w14:textId="7B931A37" w:rsidR="00920899" w:rsidRPr="00BD6C5F" w:rsidRDefault="00920899" w:rsidP="00920899">
            <w:pPr>
              <w:pStyle w:val="Tableai"/>
            </w:pPr>
            <w:r w:rsidRPr="00BD6C5F">
              <w:t>Clause 37.6</w:t>
            </w:r>
            <w:r w:rsidR="00826C3C">
              <w:t>.2</w:t>
            </w:r>
            <w:r w:rsidRPr="00BD6C5F">
              <w:t xml:space="preserve"> (</w:t>
            </w:r>
            <w:r w:rsidRPr="00BD6C5F">
              <w:rPr>
                <w:i/>
              </w:rPr>
              <w:t>Prevention of Fraud and Bribery</w:t>
            </w:r>
            <w:r w:rsidRPr="00BD6C5F">
              <w:t xml:space="preserve">); </w:t>
            </w:r>
          </w:p>
          <w:p w14:paraId="27BD9C24" w14:textId="0ABA0555" w:rsidR="00920899" w:rsidRPr="00BD6C5F" w:rsidRDefault="00920899" w:rsidP="00920899">
            <w:pPr>
              <w:pStyle w:val="Tableai"/>
            </w:pPr>
            <w:r w:rsidRPr="00BD6C5F">
              <w:t xml:space="preserve">Paragraph </w:t>
            </w:r>
            <w:r w:rsidRPr="00BD6C5F">
              <w:fldChar w:fldCharType="begin"/>
            </w:r>
            <w:r w:rsidRPr="00BD6C5F">
              <w:instrText xml:space="preserve"> REF _Ref98354902 \w \h  \* MERGEFORMAT </w:instrText>
            </w:r>
            <w:r w:rsidRPr="00BD6C5F">
              <w:fldChar w:fldCharType="separate"/>
            </w:r>
            <w:r w:rsidR="009749A0">
              <w:t>6</w:t>
            </w:r>
            <w:r w:rsidRPr="00BD6C5F">
              <w:fldChar w:fldCharType="end"/>
            </w:r>
            <w:r w:rsidRPr="00BD6C5F">
              <w:t xml:space="preserve"> of Schedule </w:t>
            </w:r>
            <w:r>
              <w:fldChar w:fldCharType="begin"/>
            </w:r>
            <w:r>
              <w:instrText xml:space="preserve"> REF Schedule_18 \h </w:instrText>
            </w:r>
            <w:r>
              <w:fldChar w:fldCharType="separate"/>
            </w:r>
            <w:r w:rsidR="009749A0">
              <w:t>18</w:t>
            </w:r>
            <w:r>
              <w:fldChar w:fldCharType="end"/>
            </w:r>
            <w:r w:rsidRPr="00BD6C5F">
              <w:t xml:space="preserve"> (</w:t>
            </w:r>
            <w:r w:rsidRPr="00BD6C5F">
              <w:rPr>
                <w:i/>
              </w:rPr>
              <w:t>Financial Distress</w:t>
            </w:r>
            <w:r w:rsidRPr="00BD6C5F">
              <w:t>);</w:t>
            </w:r>
            <w:r>
              <w:t xml:space="preserve"> and/or</w:t>
            </w:r>
          </w:p>
          <w:p w14:paraId="46950EC3" w14:textId="456A6843" w:rsidR="00920899" w:rsidRPr="00BD6C5F" w:rsidRDefault="00920899" w:rsidP="00920899">
            <w:pPr>
              <w:pStyle w:val="Tableai"/>
            </w:pPr>
            <w:r w:rsidRPr="00BD6C5F">
              <w:t xml:space="preserve">Paragraph </w:t>
            </w:r>
            <w:r w:rsidR="00D02F86">
              <w:fldChar w:fldCharType="begin"/>
            </w:r>
            <w:r w:rsidR="00D02F86">
              <w:instrText xml:space="preserve"> REF _Ref98423200 \w \h </w:instrText>
            </w:r>
            <w:r w:rsidR="00D02F86">
              <w:fldChar w:fldCharType="separate"/>
            </w:r>
            <w:r w:rsidR="009749A0">
              <w:t>3</w:t>
            </w:r>
            <w:r w:rsidR="00D02F86">
              <w:fldChar w:fldCharType="end"/>
            </w:r>
            <w:r>
              <w:t xml:space="preserve"> to Part </w:t>
            </w:r>
            <w:r w:rsidR="00D02F86">
              <w:fldChar w:fldCharType="begin"/>
            </w:r>
            <w:r w:rsidR="00D02F86">
              <w:instrText xml:space="preserve"> REF Schedule_26_Part_B \h </w:instrText>
            </w:r>
            <w:r w:rsidR="00D02F86">
              <w:fldChar w:fldCharType="separate"/>
            </w:r>
            <w:r w:rsidR="009749A0" w:rsidRPr="00BD6C5F">
              <w:t>B</w:t>
            </w:r>
            <w:r w:rsidR="00D02F86">
              <w:fldChar w:fldCharType="end"/>
            </w:r>
            <w:r w:rsidRPr="00BD6C5F">
              <w:t xml:space="preserve">  to Schedule </w:t>
            </w:r>
            <w:r>
              <w:fldChar w:fldCharType="begin"/>
            </w:r>
            <w:r>
              <w:instrText xml:space="preserve"> REF Schedule_26 \h </w:instrText>
            </w:r>
            <w:r>
              <w:fldChar w:fldCharType="separate"/>
            </w:r>
            <w:r w:rsidR="009749A0">
              <w:t>26</w:t>
            </w:r>
            <w:r>
              <w:fldChar w:fldCharType="end"/>
            </w:r>
            <w:r w:rsidRPr="00BD6C5F">
              <w:t xml:space="preserve"> (</w:t>
            </w:r>
            <w:r w:rsidRPr="00BD6C5F">
              <w:rPr>
                <w:i/>
              </w:rPr>
              <w:t>Service Continuity Plan and Corporate Resolution Planning</w:t>
            </w:r>
            <w:r w:rsidRPr="00BD6C5F">
              <w:t>);</w:t>
            </w:r>
          </w:p>
          <w:p w14:paraId="5F642B99" w14:textId="24C58F64" w:rsidR="00920899" w:rsidRPr="00BD6C5F" w:rsidRDefault="00920899" w:rsidP="00920899">
            <w:pPr>
              <w:pStyle w:val="Tablea"/>
            </w:pPr>
            <w:r w:rsidRPr="00BD6C5F">
              <w:t xml:space="preserve">the representation and warranty given by the Supplier pursuant to </w:t>
            </w:r>
            <w:r w:rsidR="00B72DCC">
              <w:t>3.2</w:t>
            </w:r>
            <w:r w:rsidR="00826C3C">
              <w:t>.8</w:t>
            </w:r>
            <w:r w:rsidR="00B72DCC">
              <w:t xml:space="preserve"> or </w:t>
            </w:r>
            <w:r w:rsidRPr="00BD6C5F">
              <w:t>Clause 3.2</w:t>
            </w:r>
            <w:r w:rsidR="00826C3C">
              <w:t>.9</w:t>
            </w:r>
            <w:r w:rsidRPr="00BD6C5F">
              <w:t xml:space="preserve"> (</w:t>
            </w:r>
            <w:r w:rsidRPr="00BD6C5F">
              <w:rPr>
                <w:i/>
              </w:rPr>
              <w:t>Warranties</w:t>
            </w:r>
            <w:r w:rsidRPr="00BD6C5F">
              <w:t>) being materially untrue or misleading;</w:t>
            </w:r>
          </w:p>
          <w:p w14:paraId="20E987D7" w14:textId="0997C447" w:rsidR="00920899" w:rsidRPr="00BD6C5F" w:rsidRDefault="00920899" w:rsidP="00920899">
            <w:pPr>
              <w:pStyle w:val="Tablea"/>
            </w:pPr>
            <w:r w:rsidRPr="00BD6C5F">
              <w:t xml:space="preserve">the Supplier committing a </w:t>
            </w:r>
            <w:r>
              <w:t>M</w:t>
            </w:r>
            <w:r w:rsidRPr="00BD6C5F">
              <w:t>aterial Default under Clause 10.1</w:t>
            </w:r>
            <w:r>
              <w:t>1</w:t>
            </w:r>
            <w:r w:rsidRPr="00BD6C5F">
              <w:t xml:space="preserve"> (</w:t>
            </w:r>
            <w:r w:rsidRPr="00BD6C5F">
              <w:rPr>
                <w:i/>
              </w:rPr>
              <w:t>Promoting Tax Compliance</w:t>
            </w:r>
            <w:r w:rsidRPr="00BD6C5F">
              <w:t>) or failing to provide details of steps being taken and mitigating factors pursuant to Clause 10.1</w:t>
            </w:r>
            <w:r>
              <w:t>1</w:t>
            </w:r>
            <w:r w:rsidRPr="00BD6C5F">
              <w:t xml:space="preserve"> (</w:t>
            </w:r>
            <w:r w:rsidRPr="00BD6C5F">
              <w:rPr>
                <w:i/>
              </w:rPr>
              <w:t>Promoting Tax Compliance</w:t>
            </w:r>
            <w:r w:rsidRPr="00BD6C5F">
              <w:t>) which in the reasonable opinion of the Authority are acceptable;</w:t>
            </w:r>
          </w:p>
          <w:p w14:paraId="3A0D153A" w14:textId="37C639D8" w:rsidR="00920899" w:rsidRPr="00BD6C5F" w:rsidRDefault="00920899" w:rsidP="00920899">
            <w:pPr>
              <w:pStyle w:val="Tablea"/>
            </w:pPr>
            <w:r w:rsidRPr="00BD6C5F">
              <w:t xml:space="preserve">the Supplier committing a </w:t>
            </w:r>
            <w:r>
              <w:t>M</w:t>
            </w:r>
            <w:r w:rsidRPr="00BD6C5F">
              <w:t>aterial Default under any of the following Clauses:</w:t>
            </w:r>
          </w:p>
          <w:p w14:paraId="22F42EE9" w14:textId="4154C1D8" w:rsidR="00920899" w:rsidRDefault="00920899" w:rsidP="00920899">
            <w:pPr>
              <w:pStyle w:val="Tableai"/>
            </w:pPr>
            <w:r w:rsidRPr="00BD6C5F">
              <w:t>Clause 5.5</w:t>
            </w:r>
            <w:r w:rsidR="00826C3C">
              <w:t>.10</w:t>
            </w:r>
            <w:r w:rsidRPr="00BD6C5F">
              <w:t xml:space="preserve"> (</w:t>
            </w:r>
            <w:r w:rsidRPr="00BD6C5F">
              <w:rPr>
                <w:i/>
              </w:rPr>
              <w:t>Services</w:t>
            </w:r>
            <w:r w:rsidRPr="00BD6C5F">
              <w:t>);</w:t>
            </w:r>
          </w:p>
          <w:p w14:paraId="5AB5FF8F" w14:textId="2F8F3E23" w:rsidR="00920899" w:rsidRDefault="00920899" w:rsidP="00920899">
            <w:pPr>
              <w:pStyle w:val="Tableai"/>
            </w:pPr>
            <w:r>
              <w:t>Clause 19 (</w:t>
            </w:r>
            <w:r w:rsidRPr="00FA50A0">
              <w:rPr>
                <w:i/>
                <w:iCs/>
              </w:rPr>
              <w:t>Confidentiality</w:t>
            </w:r>
            <w:r>
              <w:t>)</w:t>
            </w:r>
          </w:p>
          <w:p w14:paraId="7A0F846D" w14:textId="11DC95C6" w:rsidR="00920899" w:rsidRPr="00BD6C5F" w:rsidRDefault="00920899" w:rsidP="00920899">
            <w:pPr>
              <w:pStyle w:val="Tableai"/>
            </w:pPr>
            <w:r>
              <w:t>Clause 21 (</w:t>
            </w:r>
            <w:r w:rsidRPr="00FA50A0">
              <w:rPr>
                <w:i/>
                <w:iCs/>
              </w:rPr>
              <w:t>Protection of Personal Data</w:t>
            </w:r>
            <w:r>
              <w:t>)</w:t>
            </w:r>
          </w:p>
          <w:p w14:paraId="16CD9772" w14:textId="77777777" w:rsidR="00920899" w:rsidRPr="00BD6C5F" w:rsidRDefault="00920899" w:rsidP="00920899">
            <w:pPr>
              <w:pStyle w:val="Tableai"/>
            </w:pPr>
            <w:r w:rsidRPr="00BD6C5F">
              <w:t>Clause 20 (</w:t>
            </w:r>
            <w:r w:rsidRPr="00BD6C5F">
              <w:rPr>
                <w:i/>
              </w:rPr>
              <w:t>Transparency and Freedom of Information</w:t>
            </w:r>
            <w:r w:rsidRPr="00BD6C5F">
              <w:t>);</w:t>
            </w:r>
          </w:p>
          <w:p w14:paraId="5232F50A" w14:textId="77777777" w:rsidR="00920899" w:rsidRDefault="00920899" w:rsidP="00920899">
            <w:pPr>
              <w:pStyle w:val="Tableai"/>
              <w:spacing w:after="100"/>
            </w:pPr>
            <w:r w:rsidRPr="00BD6C5F">
              <w:t>Clause 33 (</w:t>
            </w:r>
            <w:r w:rsidRPr="00BD6C5F">
              <w:rPr>
                <w:i/>
              </w:rPr>
              <w:t>Compliance</w:t>
            </w:r>
            <w:r w:rsidRPr="00BD6C5F">
              <w:t>);</w:t>
            </w:r>
          </w:p>
          <w:p w14:paraId="47A13B54" w14:textId="0E52EC1B" w:rsidR="00920899" w:rsidRDefault="00920899" w:rsidP="00920899">
            <w:pPr>
              <w:pStyle w:val="Tableai"/>
              <w:spacing w:after="100"/>
            </w:pPr>
            <w:r w:rsidRPr="001C0FDA">
              <w:t>in respect of any security requirements or Cyber Essentials obligations set out in Schedule </w:t>
            </w:r>
            <w:r w:rsidRPr="001C0FDA">
              <w:fldChar w:fldCharType="begin"/>
            </w:r>
            <w:r w:rsidRPr="001C0FDA">
              <w:instrText xml:space="preserve"> REF Schedule_2 \h </w:instrText>
            </w:r>
            <w:r w:rsidRPr="001C0FDA">
              <w:fldChar w:fldCharType="separate"/>
            </w:r>
            <w:r w:rsidR="009749A0">
              <w:t>2</w:t>
            </w:r>
            <w:r w:rsidRPr="001C0FDA">
              <w:fldChar w:fldCharType="end"/>
            </w:r>
            <w:r w:rsidRPr="001C0FDA">
              <w:t xml:space="preserve"> (</w:t>
            </w:r>
            <w:r w:rsidRPr="001C0FDA">
              <w:rPr>
                <w:i/>
              </w:rPr>
              <w:t>Services Description</w:t>
            </w:r>
            <w:r w:rsidRPr="001C0FDA">
              <w:t>), or Schedule </w:t>
            </w:r>
            <w:r w:rsidRPr="001C0FDA">
              <w:fldChar w:fldCharType="begin"/>
            </w:r>
            <w:r w:rsidRPr="001C0FDA">
              <w:instrText xml:space="preserve"> REF Schedule_5 \h </w:instrText>
            </w:r>
            <w:r w:rsidRPr="001C0FDA">
              <w:fldChar w:fldCharType="separate"/>
            </w:r>
            <w:r w:rsidR="009749A0">
              <w:t>5</w:t>
            </w:r>
            <w:r w:rsidRPr="001C0FDA">
              <w:fldChar w:fldCharType="end"/>
            </w:r>
            <w:r w:rsidRPr="001C0FDA">
              <w:t xml:space="preserve"> (</w:t>
            </w:r>
            <w:r w:rsidRPr="001C0FDA">
              <w:rPr>
                <w:i/>
              </w:rPr>
              <w:t>Security Management</w:t>
            </w:r>
            <w:r w:rsidRPr="001C0FDA">
              <w:t>);</w:t>
            </w:r>
          </w:p>
          <w:p w14:paraId="30A3A82E" w14:textId="1965839C" w:rsidR="00920899" w:rsidRDefault="00920899" w:rsidP="00920899">
            <w:pPr>
              <w:pStyle w:val="Tableai"/>
              <w:spacing w:after="100"/>
            </w:pPr>
            <w:r w:rsidRPr="001C0FDA">
              <w:t>in respect of any requirements set out in Schedule </w:t>
            </w:r>
            <w:r w:rsidRPr="001C0FDA">
              <w:fldChar w:fldCharType="begin"/>
            </w:r>
            <w:r w:rsidRPr="001C0FDA">
              <w:instrText xml:space="preserve"> REF Schedule_28 \h </w:instrText>
            </w:r>
            <w:r w:rsidRPr="001C0FDA">
              <w:fldChar w:fldCharType="separate"/>
            </w:r>
            <w:r w:rsidR="009749A0">
              <w:t>28</w:t>
            </w:r>
            <w:r w:rsidRPr="001C0FDA">
              <w:fldChar w:fldCharType="end"/>
            </w:r>
            <w:r w:rsidRPr="001C0FDA">
              <w:t xml:space="preserve"> (</w:t>
            </w:r>
            <w:r w:rsidRPr="001C0FDA">
              <w:rPr>
                <w:i/>
                <w:iCs/>
              </w:rPr>
              <w:t>Staff Transfer</w:t>
            </w:r>
            <w:r w:rsidRPr="001C0FDA">
              <w:t>);</w:t>
            </w:r>
            <w:r>
              <w:t xml:space="preserve"> and/or </w:t>
            </w:r>
          </w:p>
          <w:p w14:paraId="6EA5F6A9" w14:textId="2058E63D" w:rsidR="00920899" w:rsidRPr="001C0FDA" w:rsidRDefault="00920899" w:rsidP="00920899">
            <w:pPr>
              <w:pStyle w:val="Tableai"/>
            </w:pPr>
            <w:r w:rsidRPr="00B80BD8">
              <w:t xml:space="preserve">in respect of any requirements set out in </w:t>
            </w:r>
            <w:r w:rsidRPr="00B80BD8">
              <w:lastRenderedPageBreak/>
              <w:t>Schedule</w:t>
            </w:r>
            <w:r w:rsidR="00D02F86">
              <w:t> </w:t>
            </w:r>
            <w:r w:rsidR="00D02F86">
              <w:fldChar w:fldCharType="begin"/>
            </w:r>
            <w:r w:rsidR="00D02F86">
              <w:instrText xml:space="preserve"> REF Schedule_32 \h </w:instrText>
            </w:r>
            <w:r w:rsidR="00D02F86">
              <w:fldChar w:fldCharType="separate"/>
            </w:r>
            <w:r w:rsidR="009749A0" w:rsidRPr="00EE4F10">
              <w:t>32</w:t>
            </w:r>
            <w:r w:rsidR="00D02F86">
              <w:fldChar w:fldCharType="end"/>
            </w:r>
            <w:r w:rsidRPr="00B80BD8">
              <w:t xml:space="preserve"> (</w:t>
            </w:r>
            <w:r w:rsidRPr="00B80BD8">
              <w:rPr>
                <w:i/>
                <w:iCs/>
              </w:rPr>
              <w:t>Intellectual Property Rights</w:t>
            </w:r>
            <w:r w:rsidRPr="00B80BD8">
              <w:t xml:space="preserve">); and/or </w:t>
            </w:r>
          </w:p>
          <w:p w14:paraId="1177B372" w14:textId="1E979B8C" w:rsidR="00920899" w:rsidRPr="00BD6C5F" w:rsidRDefault="00920899" w:rsidP="00920899">
            <w:pPr>
              <w:pStyle w:val="Tablea"/>
            </w:pPr>
            <w:r w:rsidRPr="00BD6C5F">
              <w:t xml:space="preserve">any failure by the Supplier to implement the changes set out in a Benchmark Report as referred to in Paragraph </w:t>
            </w:r>
            <w:r w:rsidRPr="00BD6C5F">
              <w:fldChar w:fldCharType="begin"/>
            </w:r>
            <w:r w:rsidRPr="00BD6C5F">
              <w:instrText xml:space="preserve"> REF _Ref98320845 \w \h  \* MERGEFORMAT </w:instrText>
            </w:r>
            <w:r w:rsidRPr="00BD6C5F">
              <w:fldChar w:fldCharType="separate"/>
            </w:r>
            <w:r w:rsidR="009749A0">
              <w:t>5.9</w:t>
            </w:r>
            <w:r w:rsidRPr="00BD6C5F">
              <w:fldChar w:fldCharType="end"/>
            </w:r>
            <w:r w:rsidRPr="00BD6C5F">
              <w:t xml:space="preserve"> of Schedule </w:t>
            </w:r>
            <w:r>
              <w:fldChar w:fldCharType="begin"/>
            </w:r>
            <w:r>
              <w:instrText xml:space="preserve"> REF Schedule_17 \h </w:instrText>
            </w:r>
            <w:r>
              <w:fldChar w:fldCharType="separate"/>
            </w:r>
            <w:r w:rsidR="009749A0">
              <w:t>17</w:t>
            </w:r>
            <w:r>
              <w:fldChar w:fldCharType="end"/>
            </w:r>
            <w:r w:rsidRPr="00BD6C5F">
              <w:t xml:space="preserve"> (</w:t>
            </w:r>
            <w:r w:rsidRPr="00BD6C5F">
              <w:rPr>
                <w:i/>
              </w:rPr>
              <w:t>Benchmarking</w:t>
            </w:r>
            <w:r w:rsidRPr="00BD6C5F">
              <w:t>);</w:t>
            </w:r>
          </w:p>
          <w:p w14:paraId="382BE1E0" w14:textId="77777777" w:rsidR="00920899" w:rsidRPr="00BD6C5F" w:rsidRDefault="00920899" w:rsidP="00920899">
            <w:pPr>
              <w:pStyle w:val="Tablea"/>
            </w:pPr>
            <w:r w:rsidRPr="00BD6C5F">
              <w:t>an Insolvency Event occurring in respect of the Supplier or the Guarantor;</w:t>
            </w:r>
          </w:p>
          <w:p w14:paraId="06851077" w14:textId="77777777" w:rsidR="00920899" w:rsidRPr="00BD6C5F" w:rsidRDefault="00920899" w:rsidP="00920899">
            <w:pPr>
              <w:pStyle w:val="Tablea"/>
            </w:pPr>
            <w:r w:rsidRPr="00BD6C5F">
              <w:t>the Guarantee ceasing to be valid or enforceable for any reason (without the Guarantee being replaced with a comparable guarantee to the satisfaction of the Authority with the Guarantor or with another guarantor which is acceptable to the Authority);</w:t>
            </w:r>
          </w:p>
          <w:p w14:paraId="39D560A6" w14:textId="77777777" w:rsidR="00920899" w:rsidRPr="00BD6C5F" w:rsidRDefault="00920899" w:rsidP="00920899">
            <w:pPr>
              <w:pStyle w:val="Tablea"/>
            </w:pPr>
            <w:r w:rsidRPr="00BD6C5F">
              <w:t>a change of Control of the Supplier or a Guarantor unless:</w:t>
            </w:r>
          </w:p>
          <w:p w14:paraId="49E99BB8" w14:textId="016B3195" w:rsidR="00920899" w:rsidRPr="00BD6C5F" w:rsidRDefault="00920899" w:rsidP="00920899">
            <w:pPr>
              <w:pStyle w:val="Tableai"/>
            </w:pPr>
            <w:r w:rsidRPr="00BD6C5F">
              <w:t xml:space="preserve">the Authority has given its prior written consent to the particular </w:t>
            </w:r>
            <w:r>
              <w:t>c</w:t>
            </w:r>
            <w:r w:rsidRPr="00BD6C5F">
              <w:t>hange of Control, which subsequently takes place as proposed; or</w:t>
            </w:r>
          </w:p>
          <w:p w14:paraId="2207AC66" w14:textId="7D940499" w:rsidR="00920899" w:rsidRPr="00BD6C5F" w:rsidRDefault="00920899" w:rsidP="00920899">
            <w:pPr>
              <w:pStyle w:val="Tableai"/>
            </w:pPr>
            <w:r w:rsidRPr="00BD6C5F">
              <w:t xml:space="preserve">the Authority has not served its notice of objection within 6 months of the later of the date on which the </w:t>
            </w:r>
            <w:r>
              <w:t>c</w:t>
            </w:r>
            <w:r w:rsidRPr="00BD6C5F">
              <w:t xml:space="preserve">hange of Control took place or the date on which the Authority was given notice of the </w:t>
            </w:r>
            <w:r>
              <w:t>c</w:t>
            </w:r>
            <w:r w:rsidRPr="00BD6C5F">
              <w:t>hange of Control;</w:t>
            </w:r>
          </w:p>
          <w:p w14:paraId="1B6D94A2" w14:textId="634D2B86" w:rsidR="00920899" w:rsidRPr="00BD6C5F" w:rsidRDefault="00920899" w:rsidP="00920899">
            <w:pPr>
              <w:pStyle w:val="Tablea"/>
            </w:pPr>
            <w:r w:rsidRPr="00BD6C5F">
              <w:t>a change of Control of a Key Sub-contractor unless, within 6 months of being notified by the Authority that it objects to such change of Control, the Supplier terminates the relevant Key Sub-contract and replaces it with a comparable Key Sub-contract which is approved by the Authority pursuant to Clause 15.10 (</w:t>
            </w:r>
            <w:r w:rsidRPr="00BD6C5F">
              <w:rPr>
                <w:i/>
              </w:rPr>
              <w:t>Appointment of Key Sub-contractors</w:t>
            </w:r>
            <w:r w:rsidRPr="00BD6C5F">
              <w:t>);</w:t>
            </w:r>
          </w:p>
          <w:p w14:paraId="55EBBA94" w14:textId="35717674" w:rsidR="00920899" w:rsidRPr="00BD6C5F" w:rsidRDefault="00920899" w:rsidP="00920899">
            <w:pPr>
              <w:pStyle w:val="Tablea"/>
            </w:pPr>
            <w:r w:rsidRPr="00BD6C5F">
              <w:t xml:space="preserve">any failure by the Supplier to enter into or to comply with an Admission Agreement under </w:t>
            </w:r>
            <w:r w:rsidR="00EA459B">
              <w:t>Part</w:t>
            </w:r>
            <w:r w:rsidR="00D02F86">
              <w:t> </w:t>
            </w:r>
            <w:r w:rsidR="00D02F86">
              <w:fldChar w:fldCharType="begin"/>
            </w:r>
            <w:r w:rsidR="00D02F86">
              <w:instrText xml:space="preserve"> REF Schedule_28_Part_D \h </w:instrText>
            </w:r>
            <w:r w:rsidR="00D02F86">
              <w:fldChar w:fldCharType="separate"/>
            </w:r>
            <w:r w:rsidR="009749A0" w:rsidRPr="00BD6C5F">
              <w:t>D</w:t>
            </w:r>
            <w:r w:rsidR="00D02F86">
              <w:fldChar w:fldCharType="end"/>
            </w:r>
            <w:r w:rsidR="00EA459B">
              <w:t xml:space="preserve"> </w:t>
            </w:r>
            <w:r w:rsidR="00F17309">
              <w:t>p</w:t>
            </w:r>
            <w:r w:rsidR="00EA459B">
              <w:t>o</w:t>
            </w:r>
            <w:r w:rsidRPr="00BD6C5F">
              <w:t xml:space="preserve">f </w:t>
            </w:r>
            <w:r>
              <w:t>Schedule </w:t>
            </w:r>
            <w:r>
              <w:fldChar w:fldCharType="begin"/>
            </w:r>
            <w:r>
              <w:instrText xml:space="preserve"> REF Schedule_28 \h </w:instrText>
            </w:r>
            <w:r>
              <w:fldChar w:fldCharType="separate"/>
            </w:r>
            <w:r w:rsidR="009749A0">
              <w:t>28</w:t>
            </w:r>
            <w:r>
              <w:fldChar w:fldCharType="end"/>
            </w:r>
            <w:r w:rsidRPr="00BD6C5F">
              <w:t xml:space="preserve"> (</w:t>
            </w:r>
            <w:r w:rsidRPr="00BD6C5F">
              <w:rPr>
                <w:i/>
              </w:rPr>
              <w:t>Staff Transfer</w:t>
            </w:r>
            <w:r w:rsidRPr="00BD6C5F">
              <w:t>);</w:t>
            </w:r>
          </w:p>
          <w:p w14:paraId="4F61B4A7" w14:textId="77777777" w:rsidR="00920899" w:rsidRPr="00BD6C5F" w:rsidRDefault="00920899" w:rsidP="00920899">
            <w:pPr>
              <w:pStyle w:val="Tablea"/>
            </w:pPr>
            <w:r w:rsidRPr="00BD6C5F">
              <w:t>the Authority has become aware that the Supplier should have been excluded under Regulation 58 of the Public Contracts (Scotland) Regulations 2015 from the procurement procedure leading to the award of this Contract;</w:t>
            </w:r>
          </w:p>
          <w:p w14:paraId="725C524B" w14:textId="2F7C465F" w:rsidR="00920899" w:rsidRPr="00BD6C5F" w:rsidRDefault="00920899" w:rsidP="00920899">
            <w:pPr>
              <w:pStyle w:val="Tablea"/>
            </w:pPr>
            <w:r w:rsidRPr="00BD6C5F">
              <w:lastRenderedPageBreak/>
              <w:t>a failure by the Supplier to comply in the performance of the Services with legal obligations in the fields of environmental, social or labour law;</w:t>
            </w:r>
          </w:p>
          <w:p w14:paraId="5ACDE91A" w14:textId="0FCAD89E" w:rsidR="00920899" w:rsidRPr="00BD6C5F" w:rsidRDefault="00920899" w:rsidP="00920899">
            <w:pPr>
              <w:pStyle w:val="Tablea"/>
            </w:pPr>
            <w:r w:rsidRPr="00BD6C5F">
              <w:t>in relation to Schedule </w:t>
            </w:r>
            <w:r>
              <w:fldChar w:fldCharType="begin"/>
            </w:r>
            <w:r>
              <w:instrText xml:space="preserve"> REF Schedule_5 \h </w:instrText>
            </w:r>
            <w:r>
              <w:fldChar w:fldCharType="separate"/>
            </w:r>
            <w:r w:rsidR="009749A0">
              <w:t>5</w:t>
            </w:r>
            <w:r>
              <w:fldChar w:fldCharType="end"/>
            </w:r>
            <w:r w:rsidRPr="00BD6C5F">
              <w:t xml:space="preserve"> (</w:t>
            </w:r>
            <w:r w:rsidRPr="00BD6C5F">
              <w:rPr>
                <w:i/>
              </w:rPr>
              <w:t>Security Requirements</w:t>
            </w:r>
            <w:r w:rsidRPr="00BD6C5F">
              <w:t>):</w:t>
            </w:r>
          </w:p>
          <w:p w14:paraId="28746CFA" w14:textId="328168C1" w:rsidR="00920899" w:rsidRPr="006D1202" w:rsidRDefault="00920899" w:rsidP="00920899">
            <w:pPr>
              <w:pStyle w:val="Tableai"/>
            </w:pPr>
            <w:r w:rsidRPr="00BD6C5F">
              <w:t>the Authority has issued two rejection notices in respect of the Security Management Plan</w:t>
            </w:r>
            <w:r w:rsidRPr="006D1202">
              <w:t>;</w:t>
            </w:r>
          </w:p>
          <w:p w14:paraId="15858731" w14:textId="77777777" w:rsidR="00920899" w:rsidRPr="00BD6C5F" w:rsidRDefault="00920899" w:rsidP="00920899">
            <w:pPr>
              <w:pStyle w:val="Tableai"/>
            </w:pPr>
            <w:r w:rsidRPr="00BD6C5F">
              <w:t>the Supplier fails to implement a change required by the Required Changes Register in accordance with the timescales set out in the Required Changes Register;</w:t>
            </w:r>
          </w:p>
          <w:p w14:paraId="3EA02A82" w14:textId="3D708DF6" w:rsidR="00920899" w:rsidRPr="00BD6C5F" w:rsidRDefault="00920899" w:rsidP="00920899">
            <w:pPr>
              <w:pStyle w:val="Tableai"/>
            </w:pPr>
            <w:r w:rsidRPr="00BD6C5F">
              <w:t>Supplier COTS Software and Third Party COTS Software is not within mainstream support unless the Authority has agreed in writing</w:t>
            </w:r>
            <w:r w:rsidR="00FA6ECE">
              <w:t>;</w:t>
            </w:r>
          </w:p>
          <w:p w14:paraId="218B908D" w14:textId="3B6AE14E" w:rsidR="00920899" w:rsidRPr="00BD6C5F" w:rsidRDefault="00920899" w:rsidP="00920899">
            <w:pPr>
              <w:pStyle w:val="Tableai"/>
            </w:pPr>
            <w:r w:rsidRPr="00BD6C5F">
              <w:t>the Supplier fails to patch vulnerabilities in accordance with the Security Requirements</w:t>
            </w:r>
            <w:r>
              <w:t xml:space="preserve"> set out in</w:t>
            </w:r>
            <w:r w:rsidR="00FA6ECE">
              <w:t xml:space="preserve"> the Annexe</w:t>
            </w:r>
            <w:r w:rsidR="00B62ADA">
              <w:t>s to</w:t>
            </w:r>
            <w:r>
              <w:t xml:space="preserve"> Schedule</w:t>
            </w:r>
            <w:r w:rsidR="00D02F86">
              <w:t> </w:t>
            </w:r>
            <w:r w:rsidR="00D02F86">
              <w:fldChar w:fldCharType="begin"/>
            </w:r>
            <w:r w:rsidR="00D02F86">
              <w:instrText xml:space="preserve"> REF Schedule_5 \h </w:instrText>
            </w:r>
            <w:r w:rsidR="00D02F86">
              <w:fldChar w:fldCharType="separate"/>
            </w:r>
            <w:r w:rsidR="009749A0">
              <w:t>5</w:t>
            </w:r>
            <w:r w:rsidR="00D02F86">
              <w:fldChar w:fldCharType="end"/>
            </w:r>
            <w:r>
              <w:t xml:space="preserve"> (</w:t>
            </w:r>
            <w:r w:rsidRPr="00BE1360">
              <w:rPr>
                <w:i/>
                <w:iCs/>
              </w:rPr>
              <w:t>Security Management</w:t>
            </w:r>
            <w:r>
              <w:t>)</w:t>
            </w:r>
            <w:r w:rsidRPr="00BD6C5F">
              <w:t>; and/or,</w:t>
            </w:r>
          </w:p>
          <w:p w14:paraId="5207EEFA" w14:textId="77777777" w:rsidR="00920899" w:rsidRDefault="00920899" w:rsidP="00920899">
            <w:pPr>
              <w:pStyle w:val="Tableai"/>
            </w:pPr>
            <w:r w:rsidRPr="00BD6C5F">
              <w:t>the Supplier fails to comply with the Incident Management Process.</w:t>
            </w:r>
          </w:p>
          <w:p w14:paraId="341155E7" w14:textId="77777777" w:rsidR="00920899" w:rsidRPr="00040722" w:rsidRDefault="00920899" w:rsidP="00920899">
            <w:pPr>
              <w:pStyle w:val="Tablea"/>
            </w:pPr>
            <w:r w:rsidRPr="00040722">
              <w:t xml:space="preserve">the Supplier is in Material Default of any Joint Controller Agreement relating to the Contract; </w:t>
            </w:r>
          </w:p>
          <w:p w14:paraId="0B65E9FD" w14:textId="77777777" w:rsidR="00920899" w:rsidRDefault="00920899" w:rsidP="00920899">
            <w:pPr>
              <w:pStyle w:val="Tablea"/>
            </w:pPr>
            <w:r>
              <w:t>a Default that occurs and continues to occur on one or more occasions within 6 Months following the Authority serving a warning notice on the Supplier that it may terminate for persistent breach of the Contract; or</w:t>
            </w:r>
          </w:p>
          <w:p w14:paraId="7C927D64" w14:textId="5ED22209" w:rsidR="00920899" w:rsidRPr="00BD6C5F" w:rsidRDefault="00920899" w:rsidP="00920899">
            <w:pPr>
              <w:pStyle w:val="Tablea"/>
            </w:pPr>
            <w:r>
              <w:t>the Supplier or its Affiliates embarrass or bring the Authority into disrepute or diminish the public trust in them;</w:t>
            </w:r>
          </w:p>
        </w:tc>
      </w:tr>
      <w:tr w:rsidR="00920899" w:rsidRPr="00BD6C5F" w14:paraId="4BF521C0" w14:textId="77777777" w:rsidTr="00A64142">
        <w:trPr>
          <w:gridBefore w:val="1"/>
          <w:gridAfter w:val="1"/>
          <w:wBefore w:w="10" w:type="dxa"/>
          <w:wAfter w:w="32" w:type="dxa"/>
          <w:trHeight w:val="20"/>
        </w:trPr>
        <w:tc>
          <w:tcPr>
            <w:tcW w:w="3532" w:type="dxa"/>
          </w:tcPr>
          <w:p w14:paraId="0F02620F" w14:textId="2901B5CA" w:rsidR="00920899" w:rsidRPr="00BD6C5F" w:rsidRDefault="00920899" w:rsidP="00920899">
            <w:pPr>
              <w:pStyle w:val="Tabletext"/>
              <w:rPr>
                <w:b/>
                <w:bCs/>
              </w:rPr>
            </w:pPr>
            <w:bookmarkStart w:id="17" w:name="_bookmark12"/>
            <w:bookmarkEnd w:id="17"/>
            <w:r w:rsidRPr="00BD6C5F">
              <w:rPr>
                <w:b/>
                <w:bCs/>
                <w:highlight w:val="yellow"/>
              </w:rPr>
              <w:lastRenderedPageBreak/>
              <w:t>[Optional: “Supply Chain Map”</w:t>
            </w:r>
          </w:p>
          <w:p w14:paraId="72D69A56" w14:textId="29A70822" w:rsidR="00920899" w:rsidRPr="00BD6C5F" w:rsidRDefault="00920899" w:rsidP="00920899">
            <w:pPr>
              <w:pStyle w:val="Tabletext"/>
              <w:rPr>
                <w:b/>
                <w:bCs/>
                <w:iCs/>
              </w:rPr>
            </w:pPr>
            <w:r w:rsidRPr="00BD6C5F">
              <w:rPr>
                <w:iCs/>
                <w:highlight w:val="yellow"/>
              </w:rPr>
              <w:t>[</w:t>
            </w:r>
            <w:r w:rsidRPr="00B13C04">
              <w:rPr>
                <w:b/>
                <w:bCs/>
                <w:i/>
                <w:highlight w:val="yellow"/>
              </w:rPr>
              <w:t>Guidance: Include this definition if Optional Clause 33.8</w:t>
            </w:r>
            <w:r w:rsidR="00826C3C">
              <w:rPr>
                <w:b/>
                <w:bCs/>
                <w:i/>
                <w:highlight w:val="yellow"/>
              </w:rPr>
              <w:t>.14</w:t>
            </w:r>
            <w:r w:rsidRPr="00B13C04">
              <w:rPr>
                <w:b/>
                <w:bCs/>
                <w:i/>
                <w:highlight w:val="yellow"/>
              </w:rPr>
              <w:t xml:space="preserve"> is included in the Core Terms</w:t>
            </w:r>
            <w:r w:rsidRPr="00BD6C5F">
              <w:rPr>
                <w:iCs/>
                <w:highlight w:val="yellow"/>
              </w:rPr>
              <w:t>]</w:t>
            </w:r>
          </w:p>
        </w:tc>
        <w:tc>
          <w:tcPr>
            <w:tcW w:w="5954" w:type="dxa"/>
          </w:tcPr>
          <w:p w14:paraId="54246AD7"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details of (i) the Supplier, (ii) all Subcontractors and (iii) any other entity that the Supplier is aware is in its supply chain that is not a Subcontractor, setting out at least:</w:t>
            </w:r>
          </w:p>
          <w:p w14:paraId="1423AD0C" w14:textId="77777777" w:rsidR="00920899" w:rsidRPr="00BD6C5F" w:rsidRDefault="00920899" w:rsidP="00920899">
            <w:pPr>
              <w:pStyle w:val="Tablea"/>
            </w:pPr>
            <w:r w:rsidRPr="00BD6C5F">
              <w:t>the name, registered office and company registration number of each entity in the supply chain;</w:t>
            </w:r>
          </w:p>
          <w:p w14:paraId="37B27143" w14:textId="77777777" w:rsidR="00920899" w:rsidRPr="00BD6C5F" w:rsidRDefault="00920899" w:rsidP="00920899">
            <w:pPr>
              <w:pStyle w:val="Tablea"/>
            </w:pPr>
            <w:r w:rsidRPr="00BD6C5F">
              <w:t>the function of each entity in the supply chain; and</w:t>
            </w:r>
          </w:p>
          <w:p w14:paraId="2DEBD91E" w14:textId="53AFF14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lastRenderedPageBreak/>
              <w:t>the location of any premises at which an entity in the supply chain carries out a function in the supply chain;]</w:t>
            </w:r>
          </w:p>
        </w:tc>
      </w:tr>
      <w:tr w:rsidR="00920899" w:rsidRPr="00BD6C5F" w14:paraId="7DB13D9B" w14:textId="77777777" w:rsidTr="00A64142">
        <w:trPr>
          <w:gridBefore w:val="1"/>
          <w:gridAfter w:val="1"/>
          <w:wBefore w:w="10" w:type="dxa"/>
          <w:wAfter w:w="32" w:type="dxa"/>
          <w:trHeight w:val="20"/>
        </w:trPr>
        <w:tc>
          <w:tcPr>
            <w:tcW w:w="3532" w:type="dxa"/>
          </w:tcPr>
          <w:p w14:paraId="6F47383F" w14:textId="2C887CEB" w:rsidR="00920899" w:rsidRPr="00BD6C5F" w:rsidRDefault="00920899" w:rsidP="00920899">
            <w:pPr>
              <w:pStyle w:val="Tabletext"/>
              <w:rPr>
                <w:b/>
                <w:bCs/>
              </w:rPr>
            </w:pPr>
            <w:r w:rsidRPr="00BD6C5F">
              <w:rPr>
                <w:b/>
                <w:bCs/>
              </w:rPr>
              <w:lastRenderedPageBreak/>
              <w:t>“Supply Chain Transparency Report”</w:t>
            </w:r>
          </w:p>
        </w:tc>
        <w:tc>
          <w:tcPr>
            <w:tcW w:w="5954" w:type="dxa"/>
          </w:tcPr>
          <w:p w14:paraId="1A45AAAC" w14:textId="1E2D16B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report provided by the Supplier to the Authority in the form set out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Schedule_24_Annex_4 \h </w:instrText>
            </w:r>
            <w:r>
              <w:rPr>
                <w:rFonts w:asciiTheme="minorHAnsi" w:hAnsiTheme="minorHAnsi" w:cstheme="minorHAnsi"/>
              </w:rPr>
            </w:r>
            <w:r>
              <w:rPr>
                <w:rFonts w:asciiTheme="minorHAnsi" w:hAnsiTheme="minorHAnsi" w:cstheme="minorHAnsi"/>
              </w:rPr>
              <w:fldChar w:fldCharType="separate"/>
            </w:r>
            <w:r w:rsidR="009749A0" w:rsidRPr="00BD6C5F">
              <w:t>4</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w:t>
            </w:r>
          </w:p>
        </w:tc>
      </w:tr>
      <w:tr w:rsidR="00920899" w:rsidRPr="00BD6C5F" w14:paraId="7DCC7BDD" w14:textId="77777777" w:rsidTr="00A64142">
        <w:trPr>
          <w:gridBefore w:val="1"/>
          <w:gridAfter w:val="1"/>
          <w:wBefore w:w="10" w:type="dxa"/>
          <w:wAfter w:w="32" w:type="dxa"/>
          <w:trHeight w:val="20"/>
        </w:trPr>
        <w:tc>
          <w:tcPr>
            <w:tcW w:w="3532" w:type="dxa"/>
          </w:tcPr>
          <w:p w14:paraId="13955B32" w14:textId="52E3AD61" w:rsidR="00920899" w:rsidRPr="00BD6C5F" w:rsidRDefault="00920899" w:rsidP="00920899">
            <w:pPr>
              <w:pStyle w:val="Tabletext"/>
              <w:rPr>
                <w:b/>
                <w:bCs/>
              </w:rPr>
            </w:pPr>
            <w:r w:rsidRPr="00BD6C5F">
              <w:rPr>
                <w:b/>
                <w:bCs/>
              </w:rPr>
              <w:t>“Target Performance Level”</w:t>
            </w:r>
          </w:p>
        </w:tc>
        <w:tc>
          <w:tcPr>
            <w:tcW w:w="5954" w:type="dxa"/>
          </w:tcPr>
          <w:p w14:paraId="63D8589D" w14:textId="6429549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minimum level of performance for a Performance Indicator which is required by the Authority, as set out against the relevant Performance Indicator in the tables in Part</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Schedule_3_Annex_1_Part_A \h </w:instrText>
            </w:r>
            <w:r>
              <w:rPr>
                <w:rFonts w:asciiTheme="minorHAnsi" w:hAnsiTheme="minorHAnsi" w:cstheme="minorHAnsi"/>
              </w:rPr>
            </w:r>
            <w:r>
              <w:rPr>
                <w:rFonts w:asciiTheme="minorHAnsi" w:hAnsiTheme="minorHAnsi" w:cstheme="minorHAnsi"/>
              </w:rPr>
              <w:fldChar w:fldCharType="separate"/>
            </w:r>
            <w:r w:rsidR="009749A0" w:rsidRPr="00BD6C5F">
              <w:t>A</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Schedule_3_Annex_1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Schedule_3 \h </w:instrText>
            </w:r>
            <w:r>
              <w:rPr>
                <w:rFonts w:asciiTheme="minorHAnsi" w:hAnsiTheme="minorHAnsi" w:cstheme="minorHAnsi"/>
              </w:rPr>
            </w:r>
            <w:r>
              <w:rPr>
                <w:rFonts w:asciiTheme="minorHAnsi" w:hAnsiTheme="minorHAnsi" w:cstheme="minorHAnsi"/>
              </w:rPr>
              <w:fldChar w:fldCharType="separate"/>
            </w:r>
            <w:r w:rsidR="009749A0">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Performance Levels</w:t>
            </w:r>
            <w:r w:rsidRPr="00BD6C5F">
              <w:rPr>
                <w:rFonts w:asciiTheme="minorHAnsi" w:hAnsiTheme="minorHAnsi" w:cstheme="minorHAnsi"/>
              </w:rPr>
              <w:t>);</w:t>
            </w:r>
          </w:p>
        </w:tc>
      </w:tr>
      <w:tr w:rsidR="00920899" w:rsidRPr="00BD6C5F" w14:paraId="3573268A" w14:textId="77777777" w:rsidTr="00A64142">
        <w:trPr>
          <w:gridBefore w:val="1"/>
          <w:gridAfter w:val="1"/>
          <w:wBefore w:w="10" w:type="dxa"/>
          <w:wAfter w:w="32" w:type="dxa"/>
          <w:trHeight w:val="20"/>
        </w:trPr>
        <w:tc>
          <w:tcPr>
            <w:tcW w:w="3532" w:type="dxa"/>
          </w:tcPr>
          <w:p w14:paraId="28B8BEA7" w14:textId="7F3E1C35" w:rsidR="00920899" w:rsidRPr="00BD6C5F" w:rsidRDefault="00920899" w:rsidP="00920899">
            <w:pPr>
              <w:pStyle w:val="Tabletext"/>
              <w:rPr>
                <w:b/>
                <w:bCs/>
              </w:rPr>
            </w:pPr>
            <w:r w:rsidRPr="00BD6C5F">
              <w:rPr>
                <w:b/>
                <w:bCs/>
              </w:rPr>
              <w:t>“Term”</w:t>
            </w:r>
          </w:p>
        </w:tc>
        <w:tc>
          <w:tcPr>
            <w:tcW w:w="5954" w:type="dxa"/>
          </w:tcPr>
          <w:p w14:paraId="5276DFC3" w14:textId="2E8CC06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period commencing on the Effective Date and ending on the expiry of the Initial Term or any Extension Period or on earlier termination of this Contract;</w:t>
            </w:r>
          </w:p>
        </w:tc>
      </w:tr>
      <w:tr w:rsidR="00920899" w:rsidRPr="00BD6C5F" w14:paraId="36D9159F" w14:textId="77777777" w:rsidTr="00A64142">
        <w:trPr>
          <w:gridBefore w:val="1"/>
          <w:gridAfter w:val="1"/>
          <w:wBefore w:w="10" w:type="dxa"/>
          <w:wAfter w:w="32" w:type="dxa"/>
          <w:trHeight w:val="20"/>
        </w:trPr>
        <w:tc>
          <w:tcPr>
            <w:tcW w:w="3532" w:type="dxa"/>
          </w:tcPr>
          <w:p w14:paraId="1D9A48C9" w14:textId="5613905D" w:rsidR="00920899" w:rsidRPr="00BD6C5F" w:rsidRDefault="00920899" w:rsidP="00920899">
            <w:pPr>
              <w:pStyle w:val="Tabletext"/>
              <w:rPr>
                <w:b/>
                <w:bCs/>
              </w:rPr>
            </w:pPr>
            <w:r w:rsidRPr="00BD6C5F">
              <w:rPr>
                <w:b/>
                <w:bCs/>
              </w:rPr>
              <w:t>“Termination Assistance Notice”</w:t>
            </w:r>
          </w:p>
        </w:tc>
        <w:tc>
          <w:tcPr>
            <w:tcW w:w="5954" w:type="dxa"/>
          </w:tcPr>
          <w:p w14:paraId="42E719E4" w14:textId="30B8669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_Ref98355221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7E5068FD" w14:textId="77777777" w:rsidTr="00A64142">
        <w:trPr>
          <w:gridBefore w:val="1"/>
          <w:gridAfter w:val="1"/>
          <w:wBefore w:w="10" w:type="dxa"/>
          <w:wAfter w:w="32" w:type="dxa"/>
          <w:trHeight w:val="20"/>
        </w:trPr>
        <w:tc>
          <w:tcPr>
            <w:tcW w:w="3532" w:type="dxa"/>
          </w:tcPr>
          <w:p w14:paraId="411F4DC7" w14:textId="00117A17" w:rsidR="00920899" w:rsidRPr="00BD6C5F" w:rsidRDefault="00920899" w:rsidP="00920899">
            <w:pPr>
              <w:pStyle w:val="Tabletext"/>
              <w:rPr>
                <w:b/>
                <w:bCs/>
              </w:rPr>
            </w:pPr>
            <w:r w:rsidRPr="00BD6C5F">
              <w:rPr>
                <w:b/>
                <w:bCs/>
              </w:rPr>
              <w:t>“Termination Assistance Period”</w:t>
            </w:r>
          </w:p>
        </w:tc>
        <w:tc>
          <w:tcPr>
            <w:tcW w:w="5954" w:type="dxa"/>
          </w:tcPr>
          <w:p w14:paraId="68F79D0A" w14:textId="76993AD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in relation to a Termination Assistance Notice, the period specified in the Termination Assistance Notice for which the Supplier is required to provide the Termination Services as such period may be extended pursuant to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_Ref98321079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5.2</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0F5AD18E" w14:textId="77777777" w:rsidTr="00A64142">
        <w:trPr>
          <w:gridBefore w:val="1"/>
          <w:gridAfter w:val="1"/>
          <w:wBefore w:w="10" w:type="dxa"/>
          <w:wAfter w:w="32" w:type="dxa"/>
          <w:trHeight w:val="20"/>
        </w:trPr>
        <w:tc>
          <w:tcPr>
            <w:tcW w:w="3532" w:type="dxa"/>
          </w:tcPr>
          <w:p w14:paraId="6DD8A260" w14:textId="7AE00BAE" w:rsidR="00920899" w:rsidRPr="00BD6C5F" w:rsidRDefault="00920899" w:rsidP="00920899">
            <w:pPr>
              <w:pStyle w:val="Tabletext"/>
              <w:rPr>
                <w:b/>
                <w:bCs/>
              </w:rPr>
            </w:pPr>
            <w:r w:rsidRPr="00BD6C5F">
              <w:rPr>
                <w:b/>
                <w:bCs/>
              </w:rPr>
              <w:t>“Termination Date”</w:t>
            </w:r>
          </w:p>
        </w:tc>
        <w:tc>
          <w:tcPr>
            <w:tcW w:w="5954" w:type="dxa"/>
          </w:tcPr>
          <w:p w14:paraId="2ADA2F71" w14:textId="68BD0E0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date set out in a Termination Notice on which this Contract (or a part of it as the case may be) is to terminate;</w:t>
            </w:r>
          </w:p>
        </w:tc>
      </w:tr>
      <w:tr w:rsidR="00920899" w:rsidRPr="00BD6C5F" w14:paraId="44866B12" w14:textId="77777777" w:rsidTr="00A64142">
        <w:trPr>
          <w:gridBefore w:val="1"/>
          <w:gridAfter w:val="1"/>
          <w:wBefore w:w="10" w:type="dxa"/>
          <w:wAfter w:w="32" w:type="dxa"/>
          <w:trHeight w:val="20"/>
        </w:trPr>
        <w:tc>
          <w:tcPr>
            <w:tcW w:w="3532" w:type="dxa"/>
          </w:tcPr>
          <w:p w14:paraId="2A25DD59" w14:textId="71AD7803" w:rsidR="00920899" w:rsidRPr="00BD6C5F" w:rsidRDefault="00920899" w:rsidP="00920899">
            <w:pPr>
              <w:pStyle w:val="Tabletext"/>
              <w:rPr>
                <w:b/>
                <w:bCs/>
              </w:rPr>
            </w:pPr>
            <w:r w:rsidRPr="00BD6C5F">
              <w:rPr>
                <w:b/>
                <w:bCs/>
              </w:rPr>
              <w:t>“Termination Notice”</w:t>
            </w:r>
          </w:p>
        </w:tc>
        <w:tc>
          <w:tcPr>
            <w:tcW w:w="5954" w:type="dxa"/>
          </w:tcPr>
          <w:p w14:paraId="09A971FB" w14:textId="37CFCC4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 written notice of termination given by one Party to the other, notifying the Party receiving the notice of the intention of the Party giving the notice to terminate this Contract (or any part thereof) on a specified date and setting out the grounds for termination;</w:t>
            </w:r>
          </w:p>
        </w:tc>
      </w:tr>
      <w:tr w:rsidR="00920899" w:rsidRPr="00BD6C5F" w14:paraId="12A02C33" w14:textId="77777777" w:rsidTr="00A64142">
        <w:trPr>
          <w:gridBefore w:val="1"/>
          <w:gridAfter w:val="1"/>
          <w:wBefore w:w="10" w:type="dxa"/>
          <w:wAfter w:w="32" w:type="dxa"/>
          <w:trHeight w:val="20"/>
        </w:trPr>
        <w:tc>
          <w:tcPr>
            <w:tcW w:w="3532" w:type="dxa"/>
          </w:tcPr>
          <w:p w14:paraId="73C676EA" w14:textId="408F58F3" w:rsidR="00920899" w:rsidRPr="00BD6C5F" w:rsidRDefault="00920899" w:rsidP="00920899">
            <w:pPr>
              <w:pStyle w:val="Tabletext"/>
              <w:rPr>
                <w:b/>
                <w:bCs/>
              </w:rPr>
            </w:pPr>
            <w:r w:rsidRPr="00BD6C5F">
              <w:rPr>
                <w:b/>
                <w:bCs/>
              </w:rPr>
              <w:t>“Termination Payment”</w:t>
            </w:r>
          </w:p>
        </w:tc>
        <w:tc>
          <w:tcPr>
            <w:tcW w:w="5954" w:type="dxa"/>
          </w:tcPr>
          <w:p w14:paraId="1FCCE5FF" w14:textId="67CA8FF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payment determined in accordance with Schedule </w:t>
            </w:r>
            <w:r>
              <w:rPr>
                <w:rFonts w:asciiTheme="minorHAnsi" w:hAnsiTheme="minorHAnsi" w:cstheme="minorHAnsi"/>
              </w:rPr>
              <w:fldChar w:fldCharType="begin"/>
            </w:r>
            <w:r>
              <w:rPr>
                <w:rFonts w:asciiTheme="minorHAnsi" w:hAnsiTheme="minorHAnsi" w:cstheme="minorHAnsi"/>
              </w:rPr>
              <w:instrText xml:space="preserve"> REF Schedule_16 \h </w:instrText>
            </w:r>
            <w:r>
              <w:rPr>
                <w:rFonts w:asciiTheme="minorHAnsi" w:hAnsiTheme="minorHAnsi" w:cstheme="minorHAnsi"/>
              </w:rPr>
            </w:r>
            <w:r>
              <w:rPr>
                <w:rFonts w:asciiTheme="minorHAnsi" w:hAnsiTheme="minorHAnsi" w:cstheme="minorHAnsi"/>
              </w:rPr>
              <w:fldChar w:fldCharType="separate"/>
            </w:r>
            <w:r w:rsidR="009749A0">
              <w:t>16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Payments on Termination</w:t>
            </w:r>
            <w:r w:rsidRPr="00BD6C5F">
              <w:rPr>
                <w:rFonts w:asciiTheme="minorHAnsi" w:hAnsiTheme="minorHAnsi" w:cstheme="minorHAnsi"/>
              </w:rPr>
              <w:t>);</w:t>
            </w:r>
          </w:p>
        </w:tc>
      </w:tr>
      <w:tr w:rsidR="00920899" w:rsidRPr="00BD6C5F" w14:paraId="5152EC81" w14:textId="77777777" w:rsidTr="00A64142">
        <w:trPr>
          <w:gridBefore w:val="1"/>
          <w:gridAfter w:val="1"/>
          <w:wBefore w:w="10" w:type="dxa"/>
          <w:wAfter w:w="32" w:type="dxa"/>
          <w:trHeight w:val="20"/>
        </w:trPr>
        <w:tc>
          <w:tcPr>
            <w:tcW w:w="3532" w:type="dxa"/>
          </w:tcPr>
          <w:p w14:paraId="25CC5BB9" w14:textId="6732AA29" w:rsidR="00920899" w:rsidRPr="00BD6C5F" w:rsidRDefault="00920899" w:rsidP="00920899">
            <w:pPr>
              <w:pStyle w:val="Tabletext"/>
              <w:rPr>
                <w:b/>
                <w:bCs/>
              </w:rPr>
            </w:pPr>
            <w:r w:rsidRPr="00BD6C5F">
              <w:rPr>
                <w:b/>
                <w:bCs/>
              </w:rPr>
              <w:t>“Termination Services”</w:t>
            </w:r>
          </w:p>
        </w:tc>
        <w:tc>
          <w:tcPr>
            <w:tcW w:w="5954" w:type="dxa"/>
          </w:tcPr>
          <w:p w14:paraId="6D5AD965" w14:textId="76AB060E"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the services and activities to be performed by the Supplier pursuant to the Exit Plan, including those activities listed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Schedule_25_Annex_1 \h </w:instrText>
            </w:r>
            <w:r>
              <w:rPr>
                <w:rFonts w:asciiTheme="minorHAnsi" w:hAnsiTheme="minorHAnsi" w:cstheme="minorHAnsi"/>
              </w:rPr>
            </w:r>
            <w:r>
              <w:rPr>
                <w:rFonts w:asciiTheme="minorHAnsi" w:hAnsiTheme="minorHAnsi" w:cstheme="minorHAnsi"/>
              </w:rPr>
              <w:fldChar w:fldCharType="separate"/>
            </w:r>
            <w:r w:rsidR="009749A0" w:rsidRPr="00BD6C5F">
              <w:t>1</w:t>
            </w:r>
            <w:r>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 and any other services required pursuant to the Termination Assistance Notice;</w:t>
            </w:r>
          </w:p>
        </w:tc>
      </w:tr>
      <w:tr w:rsidR="00920899" w:rsidRPr="00BD6C5F" w14:paraId="61C00383" w14:textId="77777777" w:rsidTr="00A64142">
        <w:trPr>
          <w:gridBefore w:val="1"/>
          <w:gridAfter w:val="1"/>
          <w:wBefore w:w="10" w:type="dxa"/>
          <w:wAfter w:w="32" w:type="dxa"/>
          <w:trHeight w:val="20"/>
        </w:trPr>
        <w:tc>
          <w:tcPr>
            <w:tcW w:w="3532" w:type="dxa"/>
          </w:tcPr>
          <w:p w14:paraId="640C412A" w14:textId="7B3520E9" w:rsidR="00920899" w:rsidRPr="00BD6C5F" w:rsidRDefault="00920899" w:rsidP="00920899">
            <w:pPr>
              <w:pStyle w:val="Tabletext"/>
              <w:rPr>
                <w:b/>
                <w:bCs/>
              </w:rPr>
            </w:pPr>
            <w:r w:rsidRPr="00BD6C5F">
              <w:rPr>
                <w:b/>
                <w:bCs/>
              </w:rPr>
              <w:t>“Test Issues”</w:t>
            </w:r>
          </w:p>
        </w:tc>
        <w:tc>
          <w:tcPr>
            <w:tcW w:w="5954" w:type="dxa"/>
          </w:tcPr>
          <w:p w14:paraId="452CC64B" w14:textId="50B4346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Schedule_14 \h </w:instrText>
            </w:r>
            <w:r>
              <w:rPr>
                <w:rFonts w:asciiTheme="minorHAnsi" w:hAnsiTheme="minorHAnsi" w:cstheme="minorHAnsi"/>
              </w:rPr>
            </w:r>
            <w:r>
              <w:rPr>
                <w:rFonts w:asciiTheme="minorHAnsi" w:hAnsiTheme="minorHAnsi" w:cstheme="minorHAnsi"/>
              </w:rPr>
              <w:fldChar w:fldCharType="separate"/>
            </w:r>
            <w:r w:rsidR="009749A0">
              <w:t>14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Procedures</w:t>
            </w:r>
            <w:r w:rsidRPr="00BD6C5F">
              <w:rPr>
                <w:rFonts w:asciiTheme="minorHAnsi" w:hAnsiTheme="minorHAnsi" w:cstheme="minorHAnsi"/>
              </w:rPr>
              <w:t>);</w:t>
            </w:r>
          </w:p>
        </w:tc>
      </w:tr>
      <w:tr w:rsidR="00920899" w:rsidRPr="00BD6C5F" w14:paraId="62B2A4E8" w14:textId="77777777" w:rsidTr="00A64142">
        <w:trPr>
          <w:gridBefore w:val="1"/>
          <w:gridAfter w:val="1"/>
          <w:wBefore w:w="10" w:type="dxa"/>
          <w:wAfter w:w="32" w:type="dxa"/>
          <w:trHeight w:val="20"/>
        </w:trPr>
        <w:tc>
          <w:tcPr>
            <w:tcW w:w="3532" w:type="dxa"/>
          </w:tcPr>
          <w:p w14:paraId="1E539162" w14:textId="6C96742B" w:rsidR="00920899" w:rsidRPr="00BD6C5F" w:rsidRDefault="00920899" w:rsidP="00920899">
            <w:pPr>
              <w:pStyle w:val="Tabletext"/>
              <w:rPr>
                <w:b/>
                <w:bCs/>
              </w:rPr>
            </w:pPr>
            <w:r w:rsidRPr="00BD6C5F">
              <w:rPr>
                <w:b/>
                <w:bCs/>
              </w:rPr>
              <w:t>“Tests” and “Testing”</w:t>
            </w:r>
          </w:p>
        </w:tc>
        <w:tc>
          <w:tcPr>
            <w:tcW w:w="5954" w:type="dxa"/>
          </w:tcPr>
          <w:p w14:paraId="36C5F0C6" w14:textId="15F2638F"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any tests required to be carried out under this </w:t>
            </w:r>
            <w:r w:rsidRPr="00BD6C5F">
              <w:rPr>
                <w:rFonts w:asciiTheme="minorHAnsi" w:hAnsiTheme="minorHAnsi" w:cstheme="minorHAnsi"/>
              </w:rPr>
              <w:lastRenderedPageBreak/>
              <w:t>Contract, as further described in Schedule </w:t>
            </w:r>
            <w:r>
              <w:rPr>
                <w:rFonts w:asciiTheme="minorHAnsi" w:hAnsiTheme="minorHAnsi" w:cstheme="minorHAnsi"/>
              </w:rPr>
              <w:fldChar w:fldCharType="begin"/>
            </w:r>
            <w:r>
              <w:rPr>
                <w:rFonts w:asciiTheme="minorHAnsi" w:hAnsiTheme="minorHAnsi" w:cstheme="minorHAnsi"/>
              </w:rPr>
              <w:instrText xml:space="preserve"> REF Schedule_14 \h </w:instrText>
            </w:r>
            <w:r>
              <w:rPr>
                <w:rFonts w:asciiTheme="minorHAnsi" w:hAnsiTheme="minorHAnsi" w:cstheme="minorHAnsi"/>
              </w:rPr>
            </w:r>
            <w:r>
              <w:rPr>
                <w:rFonts w:asciiTheme="minorHAnsi" w:hAnsiTheme="minorHAnsi" w:cstheme="minorHAnsi"/>
              </w:rPr>
              <w:fldChar w:fldCharType="separate"/>
            </w:r>
            <w:r w:rsidR="009749A0">
              <w:t>14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w:t>
            </w:r>
            <w:r w:rsidRPr="00BD6C5F">
              <w:rPr>
                <w:rFonts w:asciiTheme="minorHAnsi" w:hAnsiTheme="minorHAnsi" w:cstheme="minorHAnsi"/>
              </w:rPr>
              <w:t>) and “</w:t>
            </w:r>
            <w:r w:rsidRPr="00BD6C5F">
              <w:rPr>
                <w:rFonts w:asciiTheme="minorHAnsi" w:hAnsiTheme="minorHAnsi" w:cstheme="minorHAnsi"/>
                <w:b/>
              </w:rPr>
              <w:t>Tested</w:t>
            </w:r>
            <w:r w:rsidRPr="00BD6C5F">
              <w:rPr>
                <w:rFonts w:asciiTheme="minorHAnsi" w:hAnsiTheme="minorHAnsi" w:cstheme="minorHAnsi"/>
              </w:rPr>
              <w:t>” shall be construed accordingly;</w:t>
            </w:r>
          </w:p>
        </w:tc>
      </w:tr>
      <w:tr w:rsidR="00920899" w:rsidRPr="00BD6C5F" w14:paraId="08F932D4" w14:textId="77777777" w:rsidTr="00A64142">
        <w:trPr>
          <w:gridBefore w:val="1"/>
          <w:gridAfter w:val="1"/>
          <w:wBefore w:w="10" w:type="dxa"/>
          <w:wAfter w:w="32" w:type="dxa"/>
          <w:trHeight w:val="20"/>
        </w:trPr>
        <w:tc>
          <w:tcPr>
            <w:tcW w:w="3532" w:type="dxa"/>
          </w:tcPr>
          <w:p w14:paraId="7A6D5555" w14:textId="2A4400B8" w:rsidR="00920899" w:rsidRPr="00BD6C5F" w:rsidRDefault="00920899" w:rsidP="00920899">
            <w:pPr>
              <w:pStyle w:val="Tabletext"/>
              <w:rPr>
                <w:b/>
                <w:bCs/>
              </w:rPr>
            </w:pPr>
            <w:r w:rsidRPr="00BD6C5F">
              <w:rPr>
                <w:b/>
                <w:bCs/>
              </w:rPr>
              <w:lastRenderedPageBreak/>
              <w:t>“Test Success Criteria”</w:t>
            </w:r>
          </w:p>
        </w:tc>
        <w:tc>
          <w:tcPr>
            <w:tcW w:w="5954" w:type="dxa"/>
          </w:tcPr>
          <w:p w14:paraId="4F6FA426" w14:textId="73B2650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Schedule_14 \h </w:instrText>
            </w:r>
            <w:r>
              <w:rPr>
                <w:rFonts w:asciiTheme="minorHAnsi" w:hAnsiTheme="minorHAnsi" w:cstheme="minorHAnsi"/>
              </w:rPr>
            </w:r>
            <w:r>
              <w:rPr>
                <w:rFonts w:asciiTheme="minorHAnsi" w:hAnsiTheme="minorHAnsi" w:cstheme="minorHAnsi"/>
              </w:rPr>
              <w:fldChar w:fldCharType="separate"/>
            </w:r>
            <w:r w:rsidR="009749A0">
              <w:t>14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 xml:space="preserve">Testing </w:t>
            </w:r>
            <w:r w:rsidRPr="00BD6C5F">
              <w:rPr>
                <w:rFonts w:asciiTheme="minorHAnsi" w:hAnsiTheme="minorHAnsi" w:cstheme="minorHAnsi"/>
                <w:i/>
              </w:rPr>
              <w:t>Procedures</w:t>
            </w:r>
            <w:r w:rsidRPr="00BD6C5F">
              <w:rPr>
                <w:rFonts w:asciiTheme="minorHAnsi" w:hAnsiTheme="minorHAnsi" w:cstheme="minorHAnsi"/>
              </w:rPr>
              <w:t>);</w:t>
            </w:r>
          </w:p>
        </w:tc>
      </w:tr>
      <w:tr w:rsidR="00920899" w:rsidRPr="00BD6C5F" w14:paraId="4112F5BB" w14:textId="77777777" w:rsidTr="00A64142">
        <w:trPr>
          <w:gridBefore w:val="1"/>
          <w:gridAfter w:val="1"/>
          <w:wBefore w:w="10" w:type="dxa"/>
          <w:wAfter w:w="32" w:type="dxa"/>
          <w:trHeight w:val="20"/>
        </w:trPr>
        <w:tc>
          <w:tcPr>
            <w:tcW w:w="3532" w:type="dxa"/>
          </w:tcPr>
          <w:p w14:paraId="5B1FAD81" w14:textId="740FDA34" w:rsidR="00920899" w:rsidRPr="00BD6C5F" w:rsidRDefault="00920899" w:rsidP="00920899">
            <w:pPr>
              <w:pStyle w:val="Tabletext"/>
              <w:rPr>
                <w:b/>
                <w:bCs/>
              </w:rPr>
            </w:pPr>
            <w:r w:rsidRPr="00BD6C5F">
              <w:rPr>
                <w:b/>
                <w:bCs/>
              </w:rPr>
              <w:t>“Third Party Auditor”</w:t>
            </w:r>
          </w:p>
        </w:tc>
        <w:tc>
          <w:tcPr>
            <w:tcW w:w="5954" w:type="dxa"/>
          </w:tcPr>
          <w:p w14:paraId="69501A6F" w14:textId="67E3C5A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 independent third party auditor as appointed by the Authority from time to time to confirm the completeness and accuracy of information uploaded to the Virtual Library in accordance with the requirements outlined in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w:t>
            </w:r>
          </w:p>
        </w:tc>
      </w:tr>
      <w:tr w:rsidR="00920899" w:rsidRPr="00BD6C5F" w14:paraId="775656E6" w14:textId="77777777" w:rsidTr="00A64142">
        <w:trPr>
          <w:gridBefore w:val="1"/>
          <w:gridAfter w:val="1"/>
          <w:wBefore w:w="10" w:type="dxa"/>
          <w:wAfter w:w="32" w:type="dxa"/>
          <w:trHeight w:val="20"/>
        </w:trPr>
        <w:tc>
          <w:tcPr>
            <w:tcW w:w="3532" w:type="dxa"/>
          </w:tcPr>
          <w:p w14:paraId="0F69E5DF" w14:textId="6283A655" w:rsidR="00920899" w:rsidRPr="00BD6C5F" w:rsidRDefault="00920899" w:rsidP="00920899">
            <w:pPr>
              <w:pStyle w:val="Tabletext"/>
              <w:rPr>
                <w:b/>
                <w:bCs/>
              </w:rPr>
            </w:pPr>
            <w:r w:rsidRPr="00BD6C5F">
              <w:rPr>
                <w:b/>
                <w:bCs/>
              </w:rPr>
              <w:t>“Third Party Beneficiary”</w:t>
            </w:r>
          </w:p>
        </w:tc>
        <w:tc>
          <w:tcPr>
            <w:tcW w:w="5954" w:type="dxa"/>
          </w:tcPr>
          <w:p w14:paraId="6CA454CE" w14:textId="5FFE8203"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41.1 (</w:t>
            </w:r>
            <w:r w:rsidRPr="00BD6C5F">
              <w:rPr>
                <w:rFonts w:asciiTheme="minorHAnsi" w:hAnsiTheme="minorHAnsi" w:cstheme="minorHAnsi"/>
                <w:i/>
              </w:rPr>
              <w:t>Third</w:t>
            </w:r>
            <w:r w:rsidRPr="00BD6C5F">
              <w:rPr>
                <w:rFonts w:asciiTheme="minorHAnsi" w:hAnsiTheme="minorHAnsi" w:cstheme="minorHAnsi"/>
                <w:i/>
                <w:iCs/>
              </w:rPr>
              <w:t xml:space="preserve"> Party</w:t>
            </w:r>
            <w:r w:rsidRPr="00BD6C5F">
              <w:rPr>
                <w:rFonts w:asciiTheme="minorHAnsi" w:hAnsiTheme="minorHAnsi" w:cstheme="minorHAnsi"/>
                <w:i/>
              </w:rPr>
              <w:t xml:space="preserve"> Rights</w:t>
            </w:r>
            <w:r w:rsidRPr="00BD6C5F">
              <w:rPr>
                <w:rFonts w:asciiTheme="minorHAnsi" w:hAnsiTheme="minorHAnsi" w:cstheme="minorHAnsi"/>
              </w:rPr>
              <w:t>);</w:t>
            </w:r>
          </w:p>
        </w:tc>
      </w:tr>
      <w:tr w:rsidR="00920899" w:rsidRPr="00BD6C5F" w14:paraId="5D13CDFD" w14:textId="77777777" w:rsidTr="00A64142">
        <w:trPr>
          <w:gridBefore w:val="1"/>
          <w:gridAfter w:val="1"/>
          <w:wBefore w:w="10" w:type="dxa"/>
          <w:wAfter w:w="32" w:type="dxa"/>
          <w:trHeight w:val="20"/>
        </w:trPr>
        <w:tc>
          <w:tcPr>
            <w:tcW w:w="3532" w:type="dxa"/>
          </w:tcPr>
          <w:p w14:paraId="46509D55" w14:textId="787D4443" w:rsidR="00920899" w:rsidRPr="00BD6C5F" w:rsidRDefault="00920899" w:rsidP="00920899">
            <w:pPr>
              <w:pStyle w:val="Tabletext"/>
              <w:rPr>
                <w:b/>
                <w:bCs/>
              </w:rPr>
            </w:pPr>
            <w:r w:rsidRPr="00BD6C5F">
              <w:rPr>
                <w:b/>
                <w:bCs/>
              </w:rPr>
              <w:t>“Third Party COTS IPRs”</w:t>
            </w:r>
          </w:p>
        </w:tc>
        <w:tc>
          <w:tcPr>
            <w:tcW w:w="5954" w:type="dxa"/>
          </w:tcPr>
          <w:p w14:paraId="1DB08F63"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Third Party IPRs that:</w:t>
            </w:r>
          </w:p>
          <w:p w14:paraId="197983B6" w14:textId="41CE9757" w:rsidR="00920899" w:rsidRPr="00BD6C5F" w:rsidRDefault="00920899" w:rsidP="00920899">
            <w:pPr>
              <w:pStyle w:val="Tablea"/>
            </w:pPr>
            <w:r w:rsidRPr="00BD6C5F">
              <w:t>the supplier makes generally available commercially prior to the date of this Contract (whether by way of sale, lease or licence) on standard terms which are not typically negotiated by the supplier save as to price; and</w:t>
            </w:r>
          </w:p>
          <w:p w14:paraId="65BEA02D" w14:textId="77777777" w:rsidR="00920899" w:rsidRPr="00BD6C5F" w:rsidRDefault="00920899" w:rsidP="00920899">
            <w:pPr>
              <w:pStyle w:val="Tablea"/>
            </w:pPr>
            <w:r w:rsidRPr="00BD6C5F">
              <w:t>has a Non-trivial Customer Base;</w:t>
            </w:r>
          </w:p>
        </w:tc>
      </w:tr>
      <w:tr w:rsidR="00920899" w:rsidRPr="00BD6C5F" w14:paraId="30BEC738" w14:textId="77777777" w:rsidTr="00A64142">
        <w:trPr>
          <w:gridBefore w:val="1"/>
          <w:gridAfter w:val="1"/>
          <w:wBefore w:w="10" w:type="dxa"/>
          <w:wAfter w:w="32" w:type="dxa"/>
          <w:trHeight w:val="20"/>
        </w:trPr>
        <w:tc>
          <w:tcPr>
            <w:tcW w:w="3532" w:type="dxa"/>
          </w:tcPr>
          <w:p w14:paraId="5BD25579" w14:textId="6E8279A6" w:rsidR="00920899" w:rsidRPr="00BD6C5F" w:rsidRDefault="00920899" w:rsidP="00920899">
            <w:pPr>
              <w:pStyle w:val="Tabletext"/>
              <w:rPr>
                <w:b/>
                <w:bCs/>
              </w:rPr>
            </w:pPr>
            <w:r w:rsidRPr="00BD6C5F">
              <w:rPr>
                <w:b/>
                <w:bCs/>
              </w:rPr>
              <w:t>“Third Party COTS Software”</w:t>
            </w:r>
          </w:p>
        </w:tc>
        <w:tc>
          <w:tcPr>
            <w:tcW w:w="5954" w:type="dxa"/>
          </w:tcPr>
          <w:p w14:paraId="2F25F8B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Third Party Software (including open source software) that:</w:t>
            </w:r>
          </w:p>
          <w:p w14:paraId="5EC47F8B" w14:textId="29126AA8" w:rsidR="00920899" w:rsidRPr="00BD6C5F" w:rsidRDefault="00920899" w:rsidP="00920899">
            <w:pPr>
              <w:pStyle w:val="Tablea"/>
            </w:pPr>
            <w:r w:rsidRPr="00BD6C5F">
              <w:t>the Supplier makes generally available commercially prior to the date of this Contract (whether by way of sale, lease or licence) on standard terms which are not typically negotiated by the Supplier save as to price; and</w:t>
            </w:r>
          </w:p>
          <w:p w14:paraId="335DCE44" w14:textId="77777777" w:rsidR="00920899" w:rsidRPr="00BD6C5F" w:rsidRDefault="00920899" w:rsidP="00920899">
            <w:pPr>
              <w:pStyle w:val="Tablea"/>
            </w:pPr>
            <w:r w:rsidRPr="00BD6C5F">
              <w:t>has a Non-trivial Customer base;</w:t>
            </w:r>
          </w:p>
        </w:tc>
      </w:tr>
      <w:tr w:rsidR="00920899" w:rsidRPr="00BD6C5F" w14:paraId="57053275" w14:textId="77777777" w:rsidTr="00A64142">
        <w:trPr>
          <w:gridBefore w:val="1"/>
          <w:gridAfter w:val="1"/>
          <w:wBefore w:w="10" w:type="dxa"/>
          <w:wAfter w:w="32" w:type="dxa"/>
          <w:trHeight w:val="20"/>
        </w:trPr>
        <w:tc>
          <w:tcPr>
            <w:tcW w:w="3532" w:type="dxa"/>
          </w:tcPr>
          <w:p w14:paraId="21ED71E2" w14:textId="253ED5D4" w:rsidR="00920899" w:rsidRPr="00BD6C5F" w:rsidRDefault="00920899" w:rsidP="00920899">
            <w:pPr>
              <w:pStyle w:val="Tabletext"/>
              <w:rPr>
                <w:b/>
                <w:bCs/>
              </w:rPr>
            </w:pPr>
            <w:r w:rsidRPr="00BD6C5F">
              <w:rPr>
                <w:b/>
                <w:bCs/>
              </w:rPr>
              <w:t>“Third Party IPRs”</w:t>
            </w:r>
          </w:p>
        </w:tc>
        <w:tc>
          <w:tcPr>
            <w:tcW w:w="5954" w:type="dxa"/>
          </w:tcPr>
          <w:p w14:paraId="252351C8" w14:textId="2AA1B38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Intellectual Property Rights owned by a third party but excluding Intellectual Property Rights owned by the third party subsisting in any Third Party Software, which in any case is, will be or is proposed to be used by the Supplier for the purposes of providing the Services;</w:t>
            </w:r>
          </w:p>
        </w:tc>
      </w:tr>
      <w:tr w:rsidR="00920899" w:rsidRPr="00BD6C5F" w14:paraId="5E39BC1F" w14:textId="77777777" w:rsidTr="00A64142">
        <w:trPr>
          <w:gridBefore w:val="1"/>
          <w:wBefore w:w="10" w:type="dxa"/>
          <w:trHeight w:val="20"/>
        </w:trPr>
        <w:tc>
          <w:tcPr>
            <w:tcW w:w="3532" w:type="dxa"/>
          </w:tcPr>
          <w:p w14:paraId="6FB9319C" w14:textId="1B654A24" w:rsidR="00920899" w:rsidRPr="00BD6C5F" w:rsidRDefault="00920899" w:rsidP="00920899">
            <w:pPr>
              <w:pStyle w:val="Tabletext"/>
              <w:rPr>
                <w:b/>
                <w:bCs/>
              </w:rPr>
            </w:pPr>
            <w:r w:rsidRPr="00BD6C5F">
              <w:rPr>
                <w:b/>
                <w:bCs/>
              </w:rPr>
              <w:t>“Third Party Non-COTS IPRs”</w:t>
            </w:r>
          </w:p>
        </w:tc>
        <w:tc>
          <w:tcPr>
            <w:tcW w:w="5986" w:type="dxa"/>
            <w:gridSpan w:val="2"/>
          </w:tcPr>
          <w:p w14:paraId="2EB12DE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Third Party IPRs that are not Third Party COTS IPRs;</w:t>
            </w:r>
          </w:p>
        </w:tc>
      </w:tr>
      <w:tr w:rsidR="00920899" w:rsidRPr="00BD6C5F" w14:paraId="37BC32C7" w14:textId="77777777" w:rsidTr="00A64142">
        <w:trPr>
          <w:gridBefore w:val="1"/>
          <w:wBefore w:w="10" w:type="dxa"/>
          <w:trHeight w:val="20"/>
        </w:trPr>
        <w:tc>
          <w:tcPr>
            <w:tcW w:w="3532" w:type="dxa"/>
          </w:tcPr>
          <w:p w14:paraId="67F2D19E" w14:textId="7DFED2E1" w:rsidR="00920899" w:rsidRPr="00BD6C5F" w:rsidRDefault="00920899" w:rsidP="00920899">
            <w:pPr>
              <w:pStyle w:val="Tabletext"/>
              <w:keepNext/>
              <w:rPr>
                <w:b/>
                <w:bCs/>
              </w:rPr>
            </w:pPr>
            <w:r w:rsidRPr="00BD6C5F">
              <w:rPr>
                <w:b/>
                <w:bCs/>
              </w:rPr>
              <w:t>“Third Party Non-COTS Software”</w:t>
            </w:r>
          </w:p>
        </w:tc>
        <w:tc>
          <w:tcPr>
            <w:tcW w:w="5986" w:type="dxa"/>
            <w:gridSpan w:val="2"/>
          </w:tcPr>
          <w:p w14:paraId="69608ADD"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Third Party Software that is not Third Party COTS Software;</w:t>
            </w:r>
          </w:p>
        </w:tc>
      </w:tr>
      <w:tr w:rsidR="00920899" w:rsidRPr="00BD6C5F" w14:paraId="26B5D0F0" w14:textId="77777777" w:rsidTr="00A64142">
        <w:trPr>
          <w:gridBefore w:val="1"/>
          <w:wBefore w:w="10" w:type="dxa"/>
          <w:trHeight w:val="20"/>
        </w:trPr>
        <w:tc>
          <w:tcPr>
            <w:tcW w:w="3532" w:type="dxa"/>
          </w:tcPr>
          <w:p w14:paraId="49F4C4C0" w14:textId="327F85B9" w:rsidR="00920899" w:rsidRPr="00BD6C5F" w:rsidRDefault="00920899" w:rsidP="00920899">
            <w:pPr>
              <w:pStyle w:val="Tabletext"/>
              <w:rPr>
                <w:b/>
                <w:bCs/>
              </w:rPr>
            </w:pPr>
            <w:r w:rsidRPr="00BD6C5F">
              <w:rPr>
                <w:b/>
                <w:bCs/>
              </w:rPr>
              <w:t>“Third Party Provisions”</w:t>
            </w:r>
          </w:p>
        </w:tc>
        <w:tc>
          <w:tcPr>
            <w:tcW w:w="5986" w:type="dxa"/>
            <w:gridSpan w:val="2"/>
          </w:tcPr>
          <w:p w14:paraId="4E2CC607" w14:textId="429276D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41.1 (</w:t>
            </w:r>
            <w:r w:rsidRPr="00BD6C5F">
              <w:rPr>
                <w:rFonts w:asciiTheme="minorHAnsi" w:hAnsiTheme="minorHAnsi" w:cstheme="minorHAnsi"/>
                <w:i/>
              </w:rPr>
              <w:t>Third Party Rights</w:t>
            </w:r>
            <w:r w:rsidRPr="00BD6C5F">
              <w:rPr>
                <w:rFonts w:asciiTheme="minorHAnsi" w:hAnsiTheme="minorHAnsi" w:cstheme="minorHAnsi"/>
              </w:rPr>
              <w:t>);</w:t>
            </w:r>
          </w:p>
        </w:tc>
      </w:tr>
      <w:tr w:rsidR="00920899" w:rsidRPr="00BD6C5F" w14:paraId="32B68830" w14:textId="77777777" w:rsidTr="00A64142">
        <w:trPr>
          <w:gridBefore w:val="1"/>
          <w:wBefore w:w="10" w:type="dxa"/>
          <w:trHeight w:val="20"/>
        </w:trPr>
        <w:tc>
          <w:tcPr>
            <w:tcW w:w="3532" w:type="dxa"/>
          </w:tcPr>
          <w:p w14:paraId="281D4B39" w14:textId="419EA418" w:rsidR="00920899" w:rsidRPr="00BD6C5F" w:rsidRDefault="00920899" w:rsidP="00920899">
            <w:pPr>
              <w:pStyle w:val="Tabletext"/>
              <w:rPr>
                <w:b/>
                <w:bCs/>
              </w:rPr>
            </w:pPr>
            <w:r w:rsidRPr="00BD6C5F">
              <w:rPr>
                <w:b/>
                <w:bCs/>
              </w:rPr>
              <w:lastRenderedPageBreak/>
              <w:t>“Third Party Software”</w:t>
            </w:r>
          </w:p>
        </w:tc>
        <w:tc>
          <w:tcPr>
            <w:tcW w:w="5986" w:type="dxa"/>
            <w:gridSpan w:val="2"/>
          </w:tcPr>
          <w:p w14:paraId="06DBA0DA" w14:textId="1D0439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Software which is proprietary to any third party (other than an Affiliate of the Supplier) or any Open Source Software which in any case is, will be or is proposed to be used by the Supplier for the purposes of providing the Services, including the software specified as such in Schedule </w:t>
            </w:r>
            <w:r>
              <w:rPr>
                <w:rFonts w:asciiTheme="minorHAnsi" w:hAnsiTheme="minorHAnsi" w:cstheme="minorHAnsi"/>
              </w:rPr>
              <w:fldChar w:fldCharType="begin"/>
            </w:r>
            <w:r>
              <w:rPr>
                <w:rFonts w:asciiTheme="minorHAnsi" w:hAnsiTheme="minorHAnsi" w:cstheme="minorHAnsi"/>
              </w:rPr>
              <w:instrText xml:space="preserve"> REF Schedule_12 \h </w:instrText>
            </w:r>
            <w:r>
              <w:rPr>
                <w:rFonts w:asciiTheme="minorHAnsi" w:hAnsiTheme="minorHAnsi" w:cstheme="minorHAnsi"/>
              </w:rPr>
            </w:r>
            <w:r>
              <w:rPr>
                <w:rFonts w:asciiTheme="minorHAnsi" w:hAnsiTheme="minorHAnsi" w:cstheme="minorHAnsi"/>
              </w:rPr>
              <w:fldChar w:fldCharType="separate"/>
            </w:r>
            <w:r w:rsidR="009749A0">
              <w:t>12</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Software</w:t>
            </w:r>
            <w:r w:rsidRPr="00BD6C5F">
              <w:rPr>
                <w:rFonts w:asciiTheme="minorHAnsi" w:hAnsiTheme="minorHAnsi" w:cstheme="minorHAnsi"/>
              </w:rPr>
              <w:t>);</w:t>
            </w:r>
          </w:p>
        </w:tc>
      </w:tr>
      <w:tr w:rsidR="00920899" w:rsidRPr="00BD6C5F" w14:paraId="0153DEB7" w14:textId="77777777" w:rsidTr="00A64142">
        <w:trPr>
          <w:gridBefore w:val="1"/>
          <w:wBefore w:w="10" w:type="dxa"/>
          <w:trHeight w:val="20"/>
        </w:trPr>
        <w:tc>
          <w:tcPr>
            <w:tcW w:w="3532" w:type="dxa"/>
          </w:tcPr>
          <w:p w14:paraId="1F936DBC" w14:textId="4B5BA5A5" w:rsidR="00920899" w:rsidRPr="00BD6C5F" w:rsidRDefault="00920899" w:rsidP="00920899">
            <w:pPr>
              <w:pStyle w:val="Tabletext"/>
              <w:rPr>
                <w:b/>
                <w:bCs/>
              </w:rPr>
            </w:pPr>
            <w:r w:rsidRPr="00BD6C5F">
              <w:rPr>
                <w:b/>
                <w:bCs/>
              </w:rPr>
              <w:t>“Transferring Assets”</w:t>
            </w:r>
          </w:p>
        </w:tc>
        <w:tc>
          <w:tcPr>
            <w:tcW w:w="5986" w:type="dxa"/>
            <w:gridSpan w:val="2"/>
          </w:tcPr>
          <w:p w14:paraId="75E58608" w14:textId="043DD1C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_Ref98346589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6.1.2(a)</w:t>
            </w:r>
            <w:r w:rsidRPr="00BD6C5F">
              <w:rPr>
                <w:rFonts w:asciiTheme="minorHAnsi" w:hAnsiTheme="minorHAnsi" w:cstheme="minorHAnsi"/>
              </w:rPr>
              <w:fldChar w:fldCharType="end"/>
            </w:r>
            <w:r w:rsidRPr="00BD6C5F">
              <w:rPr>
                <w:rFonts w:asciiTheme="minorHAnsi" w:hAnsiTheme="minorHAnsi" w:cstheme="minorHAnsi"/>
              </w:rPr>
              <w:t xml:space="preserve"> of Schedule </w:t>
            </w:r>
            <w:r>
              <w:rPr>
                <w:rFonts w:asciiTheme="minorHAnsi" w:hAnsiTheme="minorHAnsi" w:cstheme="minorHAnsi"/>
              </w:rPr>
              <w:fldChar w:fldCharType="begin"/>
            </w:r>
            <w:r>
              <w:rPr>
                <w:rFonts w:asciiTheme="minorHAnsi" w:hAnsiTheme="minorHAnsi" w:cstheme="minorHAnsi"/>
              </w:rPr>
              <w:instrText xml:space="preserve"> REF Schedule_25 \h </w:instrText>
            </w:r>
            <w:r>
              <w:rPr>
                <w:rFonts w:asciiTheme="minorHAnsi" w:hAnsiTheme="minorHAnsi" w:cstheme="minorHAnsi"/>
              </w:rPr>
            </w:r>
            <w:r>
              <w:rPr>
                <w:rFonts w:asciiTheme="minorHAnsi" w:hAnsiTheme="minorHAnsi" w:cstheme="minorHAnsi"/>
              </w:rPr>
              <w:fldChar w:fldCharType="separate"/>
            </w:r>
            <w:r w:rsidR="009749A0">
              <w:t>25</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Exit Management</w:t>
            </w:r>
            <w:r w:rsidRPr="00BD6C5F">
              <w:rPr>
                <w:rFonts w:asciiTheme="minorHAnsi" w:hAnsiTheme="minorHAnsi" w:cstheme="minorHAnsi"/>
              </w:rPr>
              <w:t>);</w:t>
            </w:r>
          </w:p>
        </w:tc>
      </w:tr>
      <w:tr w:rsidR="00920899" w:rsidRPr="00BD6C5F" w14:paraId="437EF00D" w14:textId="77777777" w:rsidTr="00A64142">
        <w:trPr>
          <w:gridBefore w:val="1"/>
          <w:wBefore w:w="10" w:type="dxa"/>
          <w:trHeight w:val="20"/>
        </w:trPr>
        <w:tc>
          <w:tcPr>
            <w:tcW w:w="3532" w:type="dxa"/>
          </w:tcPr>
          <w:p w14:paraId="0993C510" w14:textId="79701BBA" w:rsidR="00920899" w:rsidRPr="00BD6C5F" w:rsidRDefault="00920899" w:rsidP="00920899">
            <w:pPr>
              <w:pStyle w:val="Tabletext"/>
              <w:rPr>
                <w:b/>
                <w:bCs/>
              </w:rPr>
            </w:pPr>
            <w:r w:rsidRPr="00BD6C5F">
              <w:rPr>
                <w:b/>
                <w:bCs/>
              </w:rPr>
              <w:t>“Transferring Authority Employees”</w:t>
            </w:r>
          </w:p>
        </w:tc>
        <w:tc>
          <w:tcPr>
            <w:tcW w:w="5986" w:type="dxa"/>
            <w:gridSpan w:val="2"/>
          </w:tcPr>
          <w:p w14:paraId="04FB9B3C" w14:textId="3B1A8595"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5785A922" w14:textId="77777777" w:rsidTr="00A64142">
        <w:trPr>
          <w:gridBefore w:val="1"/>
          <w:wBefore w:w="10" w:type="dxa"/>
          <w:trHeight w:val="20"/>
        </w:trPr>
        <w:tc>
          <w:tcPr>
            <w:tcW w:w="3532" w:type="dxa"/>
          </w:tcPr>
          <w:p w14:paraId="77CBFB19" w14:textId="1EC833BD" w:rsidR="00920899" w:rsidRPr="00BD6C5F" w:rsidRDefault="00920899" w:rsidP="00920899">
            <w:pPr>
              <w:pStyle w:val="Tabletext"/>
              <w:rPr>
                <w:b/>
                <w:bCs/>
              </w:rPr>
            </w:pPr>
            <w:r w:rsidRPr="00BD6C5F">
              <w:rPr>
                <w:b/>
                <w:bCs/>
              </w:rPr>
              <w:t>“Transferring Former Supplier Employees”</w:t>
            </w:r>
          </w:p>
        </w:tc>
        <w:tc>
          <w:tcPr>
            <w:tcW w:w="5986" w:type="dxa"/>
            <w:gridSpan w:val="2"/>
          </w:tcPr>
          <w:p w14:paraId="676CE477" w14:textId="264CFB3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457401F5" w14:textId="77777777" w:rsidTr="00A64142">
        <w:trPr>
          <w:gridBefore w:val="1"/>
          <w:wBefore w:w="10" w:type="dxa"/>
          <w:trHeight w:val="20"/>
        </w:trPr>
        <w:tc>
          <w:tcPr>
            <w:tcW w:w="3532" w:type="dxa"/>
          </w:tcPr>
          <w:p w14:paraId="3DB65984" w14:textId="5B7732AF" w:rsidR="00920899" w:rsidRPr="00BD6C5F" w:rsidRDefault="00920899" w:rsidP="00920899">
            <w:pPr>
              <w:pStyle w:val="Tabletext"/>
              <w:rPr>
                <w:b/>
                <w:bCs/>
              </w:rPr>
            </w:pPr>
            <w:r w:rsidRPr="00BD6C5F">
              <w:rPr>
                <w:b/>
                <w:bCs/>
              </w:rPr>
              <w:t>“Transferring Supplier Employees”</w:t>
            </w:r>
          </w:p>
        </w:tc>
        <w:tc>
          <w:tcPr>
            <w:tcW w:w="5986" w:type="dxa"/>
            <w:gridSpan w:val="2"/>
          </w:tcPr>
          <w:p w14:paraId="1794E077" w14:textId="4E0CA1F2"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has the meaning given in </w:t>
            </w:r>
            <w:r>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Schedule_28 \h </w:instrText>
            </w:r>
            <w:r>
              <w:rPr>
                <w:rFonts w:asciiTheme="minorHAnsi" w:hAnsiTheme="minorHAnsi" w:cstheme="minorHAnsi"/>
              </w:rPr>
            </w:r>
            <w:r>
              <w:rPr>
                <w:rFonts w:asciiTheme="minorHAnsi" w:hAnsiTheme="minorHAnsi" w:cstheme="minorHAnsi"/>
              </w:rPr>
              <w:fldChar w:fldCharType="separate"/>
            </w:r>
            <w:r w:rsidR="009749A0">
              <w:t>28</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Staff Transfer</w:t>
            </w:r>
            <w:r w:rsidRPr="00BD6C5F">
              <w:rPr>
                <w:rFonts w:asciiTheme="minorHAnsi" w:hAnsiTheme="minorHAnsi" w:cstheme="minorHAnsi"/>
              </w:rPr>
              <w:t>);</w:t>
            </w:r>
          </w:p>
        </w:tc>
      </w:tr>
      <w:tr w:rsidR="00920899" w:rsidRPr="00BD6C5F" w14:paraId="5FE2C377" w14:textId="77777777" w:rsidTr="00A64142">
        <w:trPr>
          <w:gridBefore w:val="1"/>
          <w:wBefore w:w="10" w:type="dxa"/>
          <w:trHeight w:val="20"/>
        </w:trPr>
        <w:tc>
          <w:tcPr>
            <w:tcW w:w="3532" w:type="dxa"/>
          </w:tcPr>
          <w:p w14:paraId="0E7BEDD9" w14:textId="71A06186" w:rsidR="00920899" w:rsidRPr="00BD6C5F" w:rsidRDefault="00920899" w:rsidP="00920899">
            <w:pPr>
              <w:pStyle w:val="Tabletext"/>
              <w:rPr>
                <w:b/>
                <w:bCs/>
              </w:rPr>
            </w:pPr>
            <w:r w:rsidRPr="00BD6C5F">
              <w:rPr>
                <w:b/>
                <w:bCs/>
              </w:rPr>
              <w:t>“Transparency Information”</w:t>
            </w:r>
          </w:p>
        </w:tc>
        <w:tc>
          <w:tcPr>
            <w:tcW w:w="5986" w:type="dxa"/>
            <w:gridSpan w:val="2"/>
          </w:tcPr>
          <w:p w14:paraId="43604924" w14:textId="7305F75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Clause 20.1 (</w:t>
            </w:r>
            <w:r w:rsidRPr="00BD6C5F">
              <w:rPr>
                <w:rFonts w:asciiTheme="minorHAnsi" w:hAnsiTheme="minorHAnsi" w:cstheme="minorHAnsi"/>
                <w:i/>
              </w:rPr>
              <w:t>Transparency and Freedom of Information</w:t>
            </w:r>
            <w:r w:rsidRPr="00BD6C5F">
              <w:rPr>
                <w:rFonts w:asciiTheme="minorHAnsi" w:hAnsiTheme="minorHAnsi" w:cstheme="minorHAnsi"/>
              </w:rPr>
              <w:t>);</w:t>
            </w:r>
          </w:p>
        </w:tc>
      </w:tr>
      <w:tr w:rsidR="00920899" w:rsidRPr="00BD6C5F" w14:paraId="4991C5F9" w14:textId="77777777" w:rsidTr="00A64142">
        <w:trPr>
          <w:gridBefore w:val="1"/>
          <w:wBefore w:w="10" w:type="dxa"/>
          <w:trHeight w:val="20"/>
        </w:trPr>
        <w:tc>
          <w:tcPr>
            <w:tcW w:w="3532" w:type="dxa"/>
          </w:tcPr>
          <w:p w14:paraId="1971A0D2" w14:textId="10FABEF4" w:rsidR="00920899" w:rsidRPr="00BD6C5F" w:rsidRDefault="00920899" w:rsidP="00920899">
            <w:pPr>
              <w:pStyle w:val="Tabletext"/>
              <w:rPr>
                <w:b/>
                <w:bCs/>
              </w:rPr>
            </w:pPr>
            <w:r w:rsidRPr="00BD6C5F">
              <w:rPr>
                <w:b/>
                <w:bCs/>
              </w:rPr>
              <w:t>“Transparency Reports”</w:t>
            </w:r>
          </w:p>
        </w:tc>
        <w:tc>
          <w:tcPr>
            <w:tcW w:w="5986" w:type="dxa"/>
            <w:gridSpan w:val="2"/>
          </w:tcPr>
          <w:p w14:paraId="3733640B" w14:textId="487BDA71"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w:t>
            </w:r>
          </w:p>
        </w:tc>
      </w:tr>
      <w:tr w:rsidR="00920899" w:rsidRPr="00BD6C5F" w14:paraId="72C19944" w14:textId="77777777" w:rsidTr="00A64142">
        <w:trPr>
          <w:gridBefore w:val="1"/>
          <w:wBefore w:w="10" w:type="dxa"/>
          <w:trHeight w:val="20"/>
        </w:trPr>
        <w:tc>
          <w:tcPr>
            <w:tcW w:w="3532" w:type="dxa"/>
          </w:tcPr>
          <w:p w14:paraId="7864C256" w14:textId="4AD09C0D" w:rsidR="00920899" w:rsidRPr="00BD6C5F" w:rsidRDefault="00920899" w:rsidP="00920899">
            <w:pPr>
              <w:pStyle w:val="Tabletext"/>
              <w:rPr>
                <w:b/>
                <w:bCs/>
              </w:rPr>
            </w:pPr>
            <w:r w:rsidRPr="00BD6C5F">
              <w:rPr>
                <w:b/>
                <w:bCs/>
              </w:rPr>
              <w:t>“UK”</w:t>
            </w:r>
          </w:p>
        </w:tc>
        <w:tc>
          <w:tcPr>
            <w:tcW w:w="5986" w:type="dxa"/>
            <w:gridSpan w:val="2"/>
          </w:tcPr>
          <w:p w14:paraId="4C805820"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United Kingdom;</w:t>
            </w:r>
          </w:p>
        </w:tc>
      </w:tr>
      <w:tr w:rsidR="00920899" w:rsidRPr="00BD6C5F" w14:paraId="1C38EEB3" w14:textId="77777777" w:rsidTr="00A64142">
        <w:trPr>
          <w:gridBefore w:val="1"/>
          <w:wBefore w:w="10" w:type="dxa"/>
          <w:trHeight w:val="20"/>
        </w:trPr>
        <w:tc>
          <w:tcPr>
            <w:tcW w:w="3532" w:type="dxa"/>
          </w:tcPr>
          <w:p w14:paraId="239DB631" w14:textId="70619EFB" w:rsidR="00920899" w:rsidRPr="00BD6C5F" w:rsidRDefault="00920899" w:rsidP="00920899">
            <w:pPr>
              <w:pStyle w:val="Tabletext"/>
              <w:rPr>
                <w:b/>
                <w:bCs/>
              </w:rPr>
            </w:pPr>
            <w:r w:rsidRPr="00BD6C5F">
              <w:rPr>
                <w:b/>
                <w:bCs/>
              </w:rPr>
              <w:t>“UK GDPR”</w:t>
            </w:r>
          </w:p>
        </w:tc>
        <w:tc>
          <w:tcPr>
            <w:tcW w:w="5986" w:type="dxa"/>
            <w:gridSpan w:val="2"/>
          </w:tcPr>
          <w:p w14:paraId="74633018" w14:textId="53A8A39B" w:rsidR="00920899" w:rsidRPr="00BD6C5F" w:rsidRDefault="00D91830" w:rsidP="00920899">
            <w:pPr>
              <w:pStyle w:val="Tabletext"/>
              <w:rPr>
                <w:rFonts w:asciiTheme="minorHAnsi" w:hAnsiTheme="minorHAnsi" w:cstheme="minorHAnsi"/>
              </w:rPr>
            </w:pPr>
            <w:r>
              <w:rPr>
                <w:rFonts w:asciiTheme="minorHAnsi" w:hAnsiTheme="minorHAnsi" w:cstheme="minorHAnsi"/>
              </w:rPr>
              <w:t xml:space="preserve">has the meaning as set out in section 3(10) of the DPA 2018, supplemented </w:t>
            </w:r>
            <w:r w:rsidR="00AF0511">
              <w:rPr>
                <w:rFonts w:asciiTheme="minorHAnsi" w:hAnsiTheme="minorHAnsi" w:cstheme="minorHAnsi"/>
              </w:rPr>
              <w:t>by section 205(4) of the DPA 2018;</w:t>
            </w:r>
          </w:p>
        </w:tc>
      </w:tr>
      <w:tr w:rsidR="00920899" w:rsidRPr="00BD6C5F" w14:paraId="7B637B4F" w14:textId="77777777" w:rsidTr="00A64142">
        <w:trPr>
          <w:gridBefore w:val="1"/>
          <w:wBefore w:w="10" w:type="dxa"/>
          <w:trHeight w:val="20"/>
        </w:trPr>
        <w:tc>
          <w:tcPr>
            <w:tcW w:w="3532" w:type="dxa"/>
          </w:tcPr>
          <w:p w14:paraId="0821B726" w14:textId="01055CA6" w:rsidR="00920899" w:rsidRPr="00BD6C5F" w:rsidRDefault="00920899" w:rsidP="00920899">
            <w:pPr>
              <w:pStyle w:val="Tabletext"/>
              <w:rPr>
                <w:b/>
                <w:bCs/>
              </w:rPr>
            </w:pPr>
            <w:r w:rsidRPr="00BD6C5F">
              <w:rPr>
                <w:b/>
                <w:bCs/>
              </w:rPr>
              <w:t>“UK Public Sector Business”</w:t>
            </w:r>
          </w:p>
        </w:tc>
        <w:tc>
          <w:tcPr>
            <w:tcW w:w="5986" w:type="dxa"/>
            <w:gridSpan w:val="2"/>
          </w:tcPr>
          <w:p w14:paraId="107BE095" w14:textId="486B9B46"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any goods, service or works provision to UK public sector bodies, including </w:t>
            </w:r>
            <w:r w:rsidR="008B7EE4">
              <w:rPr>
                <w:rFonts w:asciiTheme="minorHAnsi" w:hAnsiTheme="minorHAnsi" w:cstheme="minorHAnsi"/>
              </w:rPr>
              <w:t>Crown Bodies</w:t>
            </w:r>
            <w:r w:rsidRPr="00BD6C5F">
              <w:rPr>
                <w:rFonts w:asciiTheme="minorHAnsi" w:hAnsiTheme="minorHAnsi" w:cstheme="minorHAnsi"/>
              </w:rPr>
              <w:t xml:space="preserve"> and their arm’s length bodies and agencies, non-departmental public bodies, NHS bodies, local authorities, health bodies, police, fire and rescue, education bodies and devolved administrations;</w:t>
            </w:r>
          </w:p>
        </w:tc>
      </w:tr>
      <w:tr w:rsidR="00920899" w:rsidRPr="00BD6C5F" w14:paraId="516674D3" w14:textId="77777777" w:rsidTr="00A64142">
        <w:trPr>
          <w:gridBefore w:val="1"/>
          <w:gridAfter w:val="1"/>
          <w:wBefore w:w="10" w:type="dxa"/>
          <w:wAfter w:w="32" w:type="dxa"/>
          <w:trHeight w:val="20"/>
        </w:trPr>
        <w:tc>
          <w:tcPr>
            <w:tcW w:w="3532" w:type="dxa"/>
          </w:tcPr>
          <w:p w14:paraId="469488AF" w14:textId="61244ECB" w:rsidR="00920899" w:rsidRPr="00BD6C5F" w:rsidRDefault="00920899" w:rsidP="00920899">
            <w:pPr>
              <w:pStyle w:val="Tabletext"/>
              <w:rPr>
                <w:b/>
                <w:bCs/>
              </w:rPr>
            </w:pPr>
            <w:r w:rsidRPr="00BD6C5F">
              <w:rPr>
                <w:b/>
                <w:bCs/>
              </w:rPr>
              <w:t>“Unacceptable KPI Failure”</w:t>
            </w:r>
          </w:p>
        </w:tc>
        <w:tc>
          <w:tcPr>
            <w:tcW w:w="5954" w:type="dxa"/>
          </w:tcPr>
          <w:p w14:paraId="4B4C83BB"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the Supplier failing to achieve the KPI Service Threshold in respect of more than 50% of the Key Performance Indicators that are measured in that Service Period;</w:t>
            </w:r>
          </w:p>
        </w:tc>
      </w:tr>
      <w:tr w:rsidR="00920899" w:rsidRPr="00BD6C5F" w14:paraId="516A1832" w14:textId="77777777" w:rsidTr="00A64142">
        <w:trPr>
          <w:gridBefore w:val="1"/>
          <w:gridAfter w:val="1"/>
          <w:wBefore w:w="10" w:type="dxa"/>
          <w:wAfter w:w="32" w:type="dxa"/>
          <w:trHeight w:val="20"/>
        </w:trPr>
        <w:tc>
          <w:tcPr>
            <w:tcW w:w="3532" w:type="dxa"/>
          </w:tcPr>
          <w:p w14:paraId="629C9EF6" w14:textId="228B9F6E" w:rsidR="00920899" w:rsidRPr="00BD6C5F" w:rsidRDefault="00920899" w:rsidP="00920899">
            <w:pPr>
              <w:pStyle w:val="Tabletext"/>
              <w:rPr>
                <w:b/>
                <w:bCs/>
              </w:rPr>
            </w:pPr>
            <w:r w:rsidRPr="00BD6C5F">
              <w:rPr>
                <w:b/>
                <w:bCs/>
              </w:rPr>
              <w:t>“Unconnected Sub-contract”</w:t>
            </w:r>
          </w:p>
        </w:tc>
        <w:tc>
          <w:tcPr>
            <w:tcW w:w="5954" w:type="dxa"/>
          </w:tcPr>
          <w:p w14:paraId="2D8B3B2E" w14:textId="6170058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contract or agreement which is not a Sub-contract and is between the Supplier and a third party (which is not an Affiliate of the Supplier) and is a qualifying contract under regulation 6 of The Reporting on Payment Practices and Performance Regulations 2017;</w:t>
            </w:r>
          </w:p>
        </w:tc>
      </w:tr>
      <w:tr w:rsidR="00920899" w:rsidRPr="00BD6C5F" w14:paraId="5C17FD90" w14:textId="77777777" w:rsidTr="00A64142">
        <w:trPr>
          <w:gridBefore w:val="1"/>
          <w:gridAfter w:val="1"/>
          <w:wBefore w:w="10" w:type="dxa"/>
          <w:wAfter w:w="32" w:type="dxa"/>
          <w:trHeight w:val="20"/>
        </w:trPr>
        <w:tc>
          <w:tcPr>
            <w:tcW w:w="3532" w:type="dxa"/>
          </w:tcPr>
          <w:p w14:paraId="6E2F10C0" w14:textId="21918362" w:rsidR="00920899" w:rsidRPr="00BD6C5F" w:rsidRDefault="00920899" w:rsidP="00920899">
            <w:pPr>
              <w:pStyle w:val="Tabletext"/>
              <w:rPr>
                <w:b/>
                <w:bCs/>
              </w:rPr>
            </w:pPr>
            <w:r w:rsidRPr="00BD6C5F">
              <w:rPr>
                <w:b/>
                <w:bCs/>
              </w:rPr>
              <w:t>“Unconnected Sub-</w:t>
            </w:r>
            <w:r w:rsidRPr="00BD6C5F">
              <w:rPr>
                <w:b/>
                <w:bCs/>
              </w:rPr>
              <w:lastRenderedPageBreak/>
              <w:t>contractor”</w:t>
            </w:r>
          </w:p>
        </w:tc>
        <w:tc>
          <w:tcPr>
            <w:tcW w:w="5954" w:type="dxa"/>
          </w:tcPr>
          <w:p w14:paraId="1EA286BF"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lastRenderedPageBreak/>
              <w:t xml:space="preserve">any third party with whom the Supplier enters into an </w:t>
            </w:r>
            <w:r w:rsidRPr="00BD6C5F">
              <w:rPr>
                <w:rFonts w:asciiTheme="minorHAnsi" w:hAnsiTheme="minorHAnsi" w:cstheme="minorHAnsi"/>
              </w:rPr>
              <w:lastRenderedPageBreak/>
              <w:t>Unconnected Sub-contract;</w:t>
            </w:r>
          </w:p>
        </w:tc>
      </w:tr>
      <w:tr w:rsidR="00920899" w:rsidRPr="00BD6C5F" w14:paraId="645B1EFE" w14:textId="77777777" w:rsidTr="00A64142">
        <w:trPr>
          <w:gridBefore w:val="1"/>
          <w:gridAfter w:val="1"/>
          <w:wBefore w:w="10" w:type="dxa"/>
          <w:wAfter w:w="32" w:type="dxa"/>
          <w:trHeight w:val="20"/>
        </w:trPr>
        <w:tc>
          <w:tcPr>
            <w:tcW w:w="3532" w:type="dxa"/>
          </w:tcPr>
          <w:p w14:paraId="1F6775A6" w14:textId="12ECA670" w:rsidR="00920899" w:rsidRPr="00BD6C5F" w:rsidRDefault="00920899" w:rsidP="00920899">
            <w:pPr>
              <w:pStyle w:val="Tabletext"/>
              <w:rPr>
                <w:b/>
                <w:bCs/>
              </w:rPr>
            </w:pPr>
            <w:r w:rsidRPr="00BD6C5F">
              <w:rPr>
                <w:b/>
                <w:bCs/>
              </w:rPr>
              <w:lastRenderedPageBreak/>
              <w:t>“Unrecovered Payment”</w:t>
            </w:r>
          </w:p>
        </w:tc>
        <w:tc>
          <w:tcPr>
            <w:tcW w:w="5954" w:type="dxa"/>
          </w:tcPr>
          <w:p w14:paraId="5F193034" w14:textId="1188494D"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has the meaning given in Schedule </w:t>
            </w:r>
            <w:r>
              <w:rPr>
                <w:rFonts w:asciiTheme="minorHAnsi" w:hAnsiTheme="minorHAnsi" w:cstheme="minorHAnsi"/>
              </w:rPr>
              <w:fldChar w:fldCharType="begin"/>
            </w:r>
            <w:r>
              <w:rPr>
                <w:rFonts w:asciiTheme="minorHAnsi" w:hAnsiTheme="minorHAnsi" w:cstheme="minorHAnsi"/>
              </w:rPr>
              <w:instrText xml:space="preserve"> REF Schedule_16 \h </w:instrText>
            </w:r>
            <w:r>
              <w:rPr>
                <w:rFonts w:asciiTheme="minorHAnsi" w:hAnsiTheme="minorHAnsi" w:cstheme="minorHAnsi"/>
              </w:rPr>
            </w:r>
            <w:r>
              <w:rPr>
                <w:rFonts w:asciiTheme="minorHAnsi" w:hAnsiTheme="minorHAnsi" w:cstheme="minorHAnsi"/>
              </w:rPr>
              <w:fldChar w:fldCharType="separate"/>
            </w:r>
            <w:r w:rsidR="009749A0">
              <w:t>16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Payments on Termination</w:t>
            </w:r>
            <w:r w:rsidRPr="00BD6C5F">
              <w:rPr>
                <w:rFonts w:asciiTheme="minorHAnsi" w:hAnsiTheme="minorHAnsi" w:cstheme="minorHAnsi"/>
              </w:rPr>
              <w:t>);</w:t>
            </w:r>
          </w:p>
        </w:tc>
      </w:tr>
      <w:tr w:rsidR="00920899" w:rsidRPr="00BD6C5F" w14:paraId="121EA709" w14:textId="77777777" w:rsidTr="00A64142">
        <w:trPr>
          <w:gridBefore w:val="1"/>
          <w:gridAfter w:val="1"/>
          <w:wBefore w:w="10" w:type="dxa"/>
          <w:wAfter w:w="32" w:type="dxa"/>
          <w:trHeight w:val="20"/>
        </w:trPr>
        <w:tc>
          <w:tcPr>
            <w:tcW w:w="3532" w:type="dxa"/>
          </w:tcPr>
          <w:p w14:paraId="16C0E9E4" w14:textId="6C53BFA5" w:rsidR="00920899" w:rsidRPr="00BD6C5F" w:rsidRDefault="00920899" w:rsidP="00920899">
            <w:pPr>
              <w:pStyle w:val="Tabletext"/>
              <w:rPr>
                <w:b/>
                <w:bCs/>
              </w:rPr>
            </w:pPr>
            <w:r w:rsidRPr="00BD6C5F">
              <w:rPr>
                <w:b/>
                <w:bCs/>
              </w:rPr>
              <w:t>“Updates”</w:t>
            </w:r>
          </w:p>
        </w:tc>
        <w:tc>
          <w:tcPr>
            <w:tcW w:w="5954" w:type="dxa"/>
          </w:tcPr>
          <w:p w14:paraId="01D98DB9"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relation to any Software and/or any Deliverable means a version of such item which has been produced primarily to overcome Defects in, or to improve the operation of, that item;</w:t>
            </w:r>
          </w:p>
        </w:tc>
      </w:tr>
      <w:tr w:rsidR="00920899" w:rsidRPr="00BD6C5F" w14:paraId="24444BF8" w14:textId="77777777" w:rsidTr="00A64142">
        <w:trPr>
          <w:gridBefore w:val="1"/>
          <w:gridAfter w:val="1"/>
          <w:wBefore w:w="10" w:type="dxa"/>
          <w:wAfter w:w="32" w:type="dxa"/>
          <w:trHeight w:val="20"/>
        </w:trPr>
        <w:tc>
          <w:tcPr>
            <w:tcW w:w="3532" w:type="dxa"/>
          </w:tcPr>
          <w:p w14:paraId="3CFAB9EC" w14:textId="005CB123" w:rsidR="00920899" w:rsidRPr="00BD6C5F" w:rsidRDefault="00920899" w:rsidP="00920899">
            <w:pPr>
              <w:pStyle w:val="Tabletext"/>
              <w:rPr>
                <w:b/>
                <w:bCs/>
              </w:rPr>
            </w:pPr>
            <w:r w:rsidRPr="00BD6C5F">
              <w:rPr>
                <w:b/>
                <w:bCs/>
              </w:rPr>
              <w:t>“Update Requirement”</w:t>
            </w:r>
          </w:p>
        </w:tc>
        <w:tc>
          <w:tcPr>
            <w:tcW w:w="5954" w:type="dxa"/>
          </w:tcPr>
          <w:p w14:paraId="79BB5F4F" w14:textId="3353A989"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 xml:space="preserve">means the occurrence of an event detailed in </w:t>
            </w:r>
            <w:r>
              <w:rPr>
                <w:rFonts w:asciiTheme="minorHAnsi" w:hAnsiTheme="minorHAnsi" w:cstheme="minorHAnsi"/>
              </w:rPr>
              <w:t>Annex </w:t>
            </w:r>
            <w:r>
              <w:rPr>
                <w:rFonts w:asciiTheme="minorHAnsi" w:hAnsiTheme="minorHAnsi" w:cstheme="minorHAnsi"/>
              </w:rPr>
              <w:fldChar w:fldCharType="begin"/>
            </w:r>
            <w:r>
              <w:rPr>
                <w:rFonts w:asciiTheme="minorHAnsi" w:hAnsiTheme="minorHAnsi" w:cstheme="minorHAnsi"/>
              </w:rPr>
              <w:instrText xml:space="preserve"> REF Schedule_24_Annex_3 \h </w:instrText>
            </w:r>
            <w:r>
              <w:rPr>
                <w:rFonts w:asciiTheme="minorHAnsi" w:hAnsiTheme="minorHAnsi" w:cstheme="minorHAnsi"/>
              </w:rPr>
            </w:r>
            <w:r>
              <w:rPr>
                <w:rFonts w:asciiTheme="minorHAnsi" w:hAnsiTheme="minorHAnsi" w:cstheme="minorHAnsi"/>
              </w:rPr>
              <w:fldChar w:fldCharType="separate"/>
            </w:r>
            <w:r w:rsidR="009749A0" w:rsidRPr="00BD6C5F">
              <w:t>3</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iCs/>
              </w:rPr>
              <w:t>Records to Upload to Virtual Library</w:t>
            </w:r>
            <w:r w:rsidRPr="00BD6C5F">
              <w:rPr>
                <w:rFonts w:asciiTheme="minorHAnsi" w:hAnsiTheme="minorHAnsi" w:cstheme="minorHAnsi"/>
              </w:rPr>
              <w:t>)</w:t>
            </w:r>
            <w:r>
              <w:rPr>
                <w:rFonts w:asciiTheme="minorHAnsi" w:hAnsiTheme="minorHAnsi" w:cstheme="minorHAnsi"/>
              </w:rPr>
              <w:t xml:space="preserve"> of </w:t>
            </w:r>
            <w:r w:rsidRPr="00BD6C5F">
              <w:rPr>
                <w:rFonts w:asciiTheme="minorHAnsi" w:hAnsiTheme="minorHAnsi" w:cstheme="minorHAnsi"/>
              </w:rPr>
              <w:t>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 which requires the Supplier to update the relevant information hosted on the Virtual Library;</w:t>
            </w:r>
          </w:p>
        </w:tc>
      </w:tr>
      <w:tr w:rsidR="00920899" w:rsidRPr="00BD6C5F" w14:paraId="67F89949" w14:textId="77777777" w:rsidTr="00A64142">
        <w:trPr>
          <w:gridBefore w:val="1"/>
          <w:gridAfter w:val="1"/>
          <w:wBefore w:w="10" w:type="dxa"/>
          <w:wAfter w:w="32" w:type="dxa"/>
          <w:trHeight w:val="20"/>
        </w:trPr>
        <w:tc>
          <w:tcPr>
            <w:tcW w:w="3532" w:type="dxa"/>
          </w:tcPr>
          <w:p w14:paraId="6B231CB8" w14:textId="19582FE9" w:rsidR="00920899" w:rsidRPr="00BD6C5F" w:rsidRDefault="00920899" w:rsidP="00920899">
            <w:pPr>
              <w:pStyle w:val="Tabletext"/>
              <w:rPr>
                <w:b/>
                <w:bCs/>
              </w:rPr>
            </w:pPr>
            <w:r w:rsidRPr="00BD6C5F">
              <w:rPr>
                <w:b/>
                <w:bCs/>
              </w:rPr>
              <w:t>“Upgrades”</w:t>
            </w:r>
          </w:p>
        </w:tc>
        <w:tc>
          <w:tcPr>
            <w:tcW w:w="5954" w:type="dxa"/>
          </w:tcPr>
          <w:p w14:paraId="3D119E74"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920899" w:rsidRPr="00BD6C5F" w14:paraId="4F7AF2D0" w14:textId="77777777" w:rsidTr="00A64142">
        <w:trPr>
          <w:gridBefore w:val="1"/>
          <w:gridAfter w:val="1"/>
          <w:wBefore w:w="10" w:type="dxa"/>
          <w:wAfter w:w="32" w:type="dxa"/>
          <w:trHeight w:val="20"/>
        </w:trPr>
        <w:tc>
          <w:tcPr>
            <w:tcW w:w="3532" w:type="dxa"/>
          </w:tcPr>
          <w:p w14:paraId="471D7ADB" w14:textId="6E5CA1E7" w:rsidR="00920899" w:rsidRPr="00BD6C5F" w:rsidRDefault="00920899" w:rsidP="00920899">
            <w:pPr>
              <w:pStyle w:val="Tabletext"/>
              <w:rPr>
                <w:b/>
                <w:bCs/>
              </w:rPr>
            </w:pPr>
            <w:r w:rsidRPr="00BD6C5F">
              <w:rPr>
                <w:b/>
                <w:bCs/>
              </w:rPr>
              <w:t>“Valid”</w:t>
            </w:r>
          </w:p>
        </w:tc>
        <w:tc>
          <w:tcPr>
            <w:tcW w:w="5954" w:type="dxa"/>
          </w:tcPr>
          <w:p w14:paraId="63E125FB" w14:textId="578A1D1A"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in respect of an Assurance, has the meaning given to it in Paragraph</w:t>
            </w:r>
            <w:r>
              <w:rPr>
                <w:rFonts w:asciiTheme="minorHAnsi" w:hAnsiTheme="minorHAnsi" w:cstheme="minorHAnsi"/>
              </w:rPr>
              <w:t> </w:t>
            </w:r>
            <w:r>
              <w:rPr>
                <w:rFonts w:asciiTheme="minorHAnsi" w:hAnsiTheme="minorHAnsi" w:cstheme="minorHAnsi"/>
              </w:rPr>
              <w:fldChar w:fldCharType="begin"/>
            </w:r>
            <w:r>
              <w:rPr>
                <w:rFonts w:asciiTheme="minorHAnsi" w:hAnsiTheme="minorHAnsi" w:cstheme="minorHAnsi"/>
              </w:rPr>
              <w:instrText xml:space="preserve"> REF _Ref141213645 \w \h </w:instrText>
            </w:r>
            <w:r>
              <w:rPr>
                <w:rFonts w:asciiTheme="minorHAnsi" w:hAnsiTheme="minorHAnsi" w:cstheme="minorHAnsi"/>
              </w:rPr>
            </w:r>
            <w:r>
              <w:rPr>
                <w:rFonts w:asciiTheme="minorHAnsi" w:hAnsiTheme="minorHAnsi" w:cstheme="minorHAnsi"/>
              </w:rPr>
              <w:fldChar w:fldCharType="separate"/>
            </w:r>
            <w:r w:rsidR="009749A0">
              <w:rPr>
                <w:rFonts w:asciiTheme="minorHAnsi" w:hAnsiTheme="minorHAnsi" w:cstheme="minorHAnsi"/>
              </w:rPr>
              <w:t>2.7</w:t>
            </w:r>
            <w:r>
              <w:rPr>
                <w:rFonts w:asciiTheme="minorHAnsi" w:hAnsiTheme="minorHAnsi" w:cstheme="minorHAnsi"/>
              </w:rPr>
              <w:fldChar w:fldCharType="end"/>
            </w:r>
            <w:r w:rsidRPr="00BD6C5F">
              <w:rPr>
                <w:rFonts w:asciiTheme="minorHAnsi" w:hAnsiTheme="minorHAnsi" w:cstheme="minorHAnsi"/>
              </w:rPr>
              <w:t xml:space="preserve"> of </w:t>
            </w:r>
            <w:r>
              <w:rPr>
                <w:rFonts w:asciiTheme="minorHAnsi" w:hAnsiTheme="minorHAnsi" w:cstheme="minorHAnsi"/>
              </w:rPr>
              <w:t>Part </w:t>
            </w:r>
            <w:r>
              <w:rPr>
                <w:rFonts w:asciiTheme="minorHAnsi" w:hAnsiTheme="minorHAnsi" w:cstheme="minorHAnsi"/>
              </w:rPr>
              <w:fldChar w:fldCharType="begin"/>
            </w:r>
            <w:r>
              <w:rPr>
                <w:rFonts w:asciiTheme="minorHAnsi" w:hAnsiTheme="minorHAnsi" w:cstheme="minorHAnsi"/>
              </w:rPr>
              <w:instrText xml:space="preserve"> REF Schedule_26_Part_B \h </w:instrText>
            </w:r>
            <w:r>
              <w:rPr>
                <w:rFonts w:asciiTheme="minorHAnsi" w:hAnsiTheme="minorHAnsi" w:cstheme="minorHAnsi"/>
              </w:rPr>
            </w:r>
            <w:r>
              <w:rPr>
                <w:rFonts w:asciiTheme="minorHAnsi" w:hAnsiTheme="minorHAnsi" w:cstheme="minorHAnsi"/>
              </w:rPr>
              <w:fldChar w:fldCharType="separate"/>
            </w:r>
            <w:r w:rsidR="009749A0" w:rsidRPr="00BD6C5F">
              <w:t>B</w:t>
            </w:r>
            <w:r>
              <w:rPr>
                <w:rFonts w:asciiTheme="minorHAnsi" w:hAnsiTheme="minorHAnsi" w:cstheme="minorHAnsi"/>
              </w:rPr>
              <w:fldChar w:fldCharType="end"/>
            </w:r>
            <w:r w:rsidRPr="00BD6C5F">
              <w:rPr>
                <w:rFonts w:asciiTheme="minorHAnsi" w:hAnsiTheme="minorHAnsi" w:cstheme="minorHAnsi"/>
              </w:rPr>
              <w:t xml:space="preserve"> to Schedule </w:t>
            </w:r>
            <w:r>
              <w:rPr>
                <w:rFonts w:asciiTheme="minorHAnsi" w:hAnsiTheme="minorHAnsi" w:cstheme="minorHAnsi"/>
              </w:rPr>
              <w:fldChar w:fldCharType="begin"/>
            </w:r>
            <w:r>
              <w:rPr>
                <w:rFonts w:asciiTheme="minorHAnsi" w:hAnsiTheme="minorHAnsi" w:cstheme="minorHAnsi"/>
              </w:rPr>
              <w:instrText xml:space="preserve"> REF Schedule_26 \h </w:instrText>
            </w:r>
            <w:r>
              <w:rPr>
                <w:rFonts w:asciiTheme="minorHAnsi" w:hAnsiTheme="minorHAnsi" w:cstheme="minorHAnsi"/>
              </w:rPr>
            </w:r>
            <w:r>
              <w:rPr>
                <w:rFonts w:asciiTheme="minorHAnsi" w:hAnsiTheme="minorHAnsi" w:cstheme="minorHAnsi"/>
              </w:rPr>
              <w:fldChar w:fldCharType="separate"/>
            </w:r>
            <w:r w:rsidR="009749A0">
              <w:t>26</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 Continuity Plan and Corporate Resolution Planning</w:t>
            </w:r>
            <w:r w:rsidRPr="00BD6C5F">
              <w:rPr>
                <w:rFonts w:asciiTheme="minorHAnsi" w:hAnsiTheme="minorHAnsi" w:cstheme="minorHAnsi"/>
              </w:rPr>
              <w:t>);</w:t>
            </w:r>
          </w:p>
        </w:tc>
      </w:tr>
      <w:tr w:rsidR="00920899" w:rsidRPr="00BD6C5F" w14:paraId="453F4ABB" w14:textId="77777777" w:rsidTr="00A64142">
        <w:trPr>
          <w:gridBefore w:val="1"/>
          <w:wBefore w:w="10" w:type="dxa"/>
          <w:trHeight w:val="20"/>
        </w:trPr>
        <w:tc>
          <w:tcPr>
            <w:tcW w:w="3532" w:type="dxa"/>
          </w:tcPr>
          <w:p w14:paraId="3CB6B7D7" w14:textId="5C563E7A" w:rsidR="00920899" w:rsidRPr="00BD6C5F" w:rsidRDefault="00920899" w:rsidP="00920899">
            <w:pPr>
              <w:pStyle w:val="Tabletext"/>
              <w:rPr>
                <w:b/>
                <w:bCs/>
              </w:rPr>
            </w:pPr>
            <w:r w:rsidRPr="00BD6C5F">
              <w:rPr>
                <w:b/>
                <w:bCs/>
              </w:rPr>
              <w:t>“VAT”</w:t>
            </w:r>
          </w:p>
        </w:tc>
        <w:tc>
          <w:tcPr>
            <w:tcW w:w="5986" w:type="dxa"/>
            <w:gridSpan w:val="2"/>
          </w:tcPr>
          <w:p w14:paraId="48B790EA"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value added tax as provided for in the Value Added Tax Act 1994;</w:t>
            </w:r>
          </w:p>
        </w:tc>
      </w:tr>
      <w:tr w:rsidR="00920899" w:rsidRPr="00BD6C5F" w14:paraId="7E7054D2" w14:textId="77777777" w:rsidTr="00A64142">
        <w:trPr>
          <w:gridBefore w:val="1"/>
          <w:wBefore w:w="10" w:type="dxa"/>
          <w:trHeight w:val="20"/>
        </w:trPr>
        <w:tc>
          <w:tcPr>
            <w:tcW w:w="3532" w:type="dxa"/>
          </w:tcPr>
          <w:p w14:paraId="2822CD17" w14:textId="37C25D79" w:rsidR="00920899" w:rsidRPr="00BD6C5F" w:rsidRDefault="00920899" w:rsidP="00920899">
            <w:pPr>
              <w:pStyle w:val="Tabletext"/>
              <w:rPr>
                <w:b/>
                <w:bCs/>
              </w:rPr>
            </w:pPr>
            <w:r w:rsidRPr="00BD6C5F">
              <w:rPr>
                <w:b/>
                <w:bCs/>
              </w:rPr>
              <w:t>“VCSE”</w:t>
            </w:r>
          </w:p>
        </w:tc>
        <w:tc>
          <w:tcPr>
            <w:tcW w:w="5986" w:type="dxa"/>
            <w:gridSpan w:val="2"/>
          </w:tcPr>
          <w:p w14:paraId="5A22A712" w14:textId="77777777"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a non-governmental organisation that is value-driven and which principally reinvests its surpluses to further social, environmental or cultural objectives;</w:t>
            </w:r>
          </w:p>
        </w:tc>
      </w:tr>
      <w:tr w:rsidR="00920899" w:rsidRPr="00BD6C5F" w14:paraId="3ABF180E" w14:textId="77777777" w:rsidTr="00A64142">
        <w:trPr>
          <w:gridBefore w:val="1"/>
          <w:wBefore w:w="10" w:type="dxa"/>
          <w:trHeight w:val="20"/>
        </w:trPr>
        <w:tc>
          <w:tcPr>
            <w:tcW w:w="3532" w:type="dxa"/>
          </w:tcPr>
          <w:p w14:paraId="36730316" w14:textId="347FB791" w:rsidR="00920899" w:rsidRPr="00BD6C5F" w:rsidRDefault="00920899" w:rsidP="00920899">
            <w:pPr>
              <w:pStyle w:val="Tabletext"/>
              <w:rPr>
                <w:b/>
                <w:bCs/>
              </w:rPr>
            </w:pPr>
            <w:r w:rsidRPr="00BD6C5F">
              <w:rPr>
                <w:b/>
                <w:bCs/>
              </w:rPr>
              <w:t>“Virtual Library”</w:t>
            </w:r>
          </w:p>
        </w:tc>
        <w:tc>
          <w:tcPr>
            <w:tcW w:w="5986" w:type="dxa"/>
            <w:gridSpan w:val="2"/>
          </w:tcPr>
          <w:p w14:paraId="754A3423" w14:textId="3C0ED58B"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means the data repository hosted by the Supplier containing the information about this Contract and the Services provided under it in accordance with Schedule </w:t>
            </w:r>
            <w:r>
              <w:rPr>
                <w:rFonts w:asciiTheme="minorHAnsi" w:hAnsiTheme="minorHAnsi" w:cstheme="minorHAnsi"/>
              </w:rPr>
              <w:fldChar w:fldCharType="begin"/>
            </w:r>
            <w:r>
              <w:rPr>
                <w:rFonts w:asciiTheme="minorHAnsi" w:hAnsiTheme="minorHAnsi" w:cstheme="minorHAnsi"/>
              </w:rPr>
              <w:instrText xml:space="preserve"> REF Schedule_24 \h </w:instrText>
            </w:r>
            <w:r>
              <w:rPr>
                <w:rFonts w:asciiTheme="minorHAnsi" w:hAnsiTheme="minorHAnsi" w:cstheme="minorHAnsi"/>
              </w:rPr>
            </w:r>
            <w:r>
              <w:rPr>
                <w:rFonts w:asciiTheme="minorHAnsi" w:hAnsiTheme="minorHAnsi" w:cstheme="minorHAnsi"/>
              </w:rPr>
              <w:fldChar w:fldCharType="separate"/>
            </w:r>
            <w:r w:rsidR="009749A0">
              <w:t>24</w:t>
            </w:r>
            <w:r>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Reports and Records Provisions</w:t>
            </w:r>
            <w:r w:rsidRPr="00BD6C5F">
              <w:rPr>
                <w:rFonts w:asciiTheme="minorHAnsi" w:hAnsiTheme="minorHAnsi" w:cstheme="minorHAnsi"/>
              </w:rPr>
              <w:t>); and</w:t>
            </w:r>
          </w:p>
        </w:tc>
      </w:tr>
      <w:tr w:rsidR="00920899" w:rsidRPr="00BD6C5F" w14:paraId="1934E893" w14:textId="77777777" w:rsidTr="00A64142">
        <w:trPr>
          <w:gridBefore w:val="1"/>
          <w:wBefore w:w="10" w:type="dxa"/>
          <w:trHeight w:val="20"/>
        </w:trPr>
        <w:tc>
          <w:tcPr>
            <w:tcW w:w="3532" w:type="dxa"/>
          </w:tcPr>
          <w:p w14:paraId="500A95F2" w14:textId="4FC354E7" w:rsidR="00920899" w:rsidRPr="00BD6C5F" w:rsidRDefault="00920899" w:rsidP="00920899">
            <w:pPr>
              <w:pStyle w:val="Tabletext"/>
              <w:rPr>
                <w:b/>
                <w:bCs/>
              </w:rPr>
            </w:pPr>
            <w:r w:rsidRPr="00BD6C5F">
              <w:rPr>
                <w:b/>
                <w:bCs/>
              </w:rPr>
              <w:t>“Working Day”</w:t>
            </w:r>
          </w:p>
        </w:tc>
        <w:tc>
          <w:tcPr>
            <w:tcW w:w="5986" w:type="dxa"/>
            <w:gridSpan w:val="2"/>
          </w:tcPr>
          <w:p w14:paraId="41273BFB" w14:textId="19D852E0" w:rsidR="00920899" w:rsidRPr="00BD6C5F" w:rsidRDefault="00920899" w:rsidP="00920899">
            <w:pPr>
              <w:pStyle w:val="Tabletext"/>
              <w:rPr>
                <w:rFonts w:asciiTheme="minorHAnsi" w:hAnsiTheme="minorHAnsi" w:cstheme="minorHAnsi"/>
              </w:rPr>
            </w:pPr>
            <w:r w:rsidRPr="00BD6C5F">
              <w:rPr>
                <w:rFonts w:asciiTheme="minorHAnsi" w:hAnsiTheme="minorHAnsi" w:cstheme="minorHAnsi"/>
              </w:rPr>
              <w:t>any day other than a Saturday or Sunday when banks are open for business in Scotland.</w:t>
            </w:r>
          </w:p>
        </w:tc>
      </w:tr>
    </w:tbl>
    <w:p w14:paraId="3A7EA182" w14:textId="77777777" w:rsidR="00D07531" w:rsidRPr="00BD6C5F" w:rsidRDefault="00D07531" w:rsidP="00D07531"/>
    <w:p w14:paraId="7873C356" w14:textId="6E23AFA6" w:rsidR="00D07531" w:rsidRPr="00BD6C5F" w:rsidRDefault="00D07531" w:rsidP="00D07531">
      <w:pPr>
        <w:sectPr w:rsidR="00D07531" w:rsidRPr="00BD6C5F" w:rsidSect="00EA65BF">
          <w:headerReference w:type="default" r:id="rId24"/>
          <w:footerReference w:type="default" r:id="rId25"/>
          <w:pgSz w:w="11910" w:h="16840"/>
          <w:pgMar w:top="1701" w:right="851" w:bottom="1134" w:left="851" w:header="567" w:footer="567" w:gutter="0"/>
          <w:cols w:space="720"/>
        </w:sectPr>
      </w:pPr>
    </w:p>
    <w:p w14:paraId="1D53F0EB" w14:textId="301BD4D6" w:rsidR="00175B22" w:rsidRDefault="00175B22" w:rsidP="00175B22">
      <w:pPr>
        <w:pStyle w:val="Dividername"/>
      </w:pPr>
      <w:bookmarkStart w:id="18" w:name="_Ref98252978"/>
      <w:bookmarkStart w:id="19" w:name="_Toc98332702"/>
      <w:bookmarkStart w:id="20" w:name="_Toc98852877"/>
      <w:r>
        <w:lastRenderedPageBreak/>
        <w:t xml:space="preserve">Schedule </w:t>
      </w:r>
      <w:bookmarkStart w:id="21" w:name="Schedule_2"/>
      <w:r>
        <w:t>2</w:t>
      </w:r>
      <w:bookmarkEnd w:id="21"/>
    </w:p>
    <w:p w14:paraId="384E26C3" w14:textId="68C92B97" w:rsidR="00175B22" w:rsidRDefault="00175B22" w:rsidP="00175B22">
      <w:pPr>
        <w:pStyle w:val="Dividername"/>
      </w:pPr>
      <w:r w:rsidRPr="00175B22">
        <w:t>Services Description</w:t>
      </w:r>
    </w:p>
    <w:p w14:paraId="2931D3F1" w14:textId="77777777" w:rsidR="00175B22" w:rsidRDefault="00175B22" w:rsidP="00175B22"/>
    <w:p w14:paraId="5C1D5386" w14:textId="1D656D83" w:rsidR="00BC7DDA" w:rsidRPr="00BD6C5F" w:rsidRDefault="00D07531" w:rsidP="00175B22">
      <w:pPr>
        <w:pStyle w:val="Heading1"/>
        <w:pageBreakBefore/>
      </w:pPr>
      <w:bookmarkStart w:id="22" w:name="_Toc141720970"/>
      <w:r w:rsidRPr="00BD6C5F">
        <w:lastRenderedPageBreak/>
        <w:t>Schedule 2</w:t>
      </w:r>
      <w:r w:rsidR="00DA04BE" w:rsidRPr="00BD6C5F">
        <w:t>:</w:t>
      </w:r>
      <w:r w:rsidRPr="00BD6C5F">
        <w:t xml:space="preserve"> Services Description</w:t>
      </w:r>
      <w:bookmarkEnd w:id="18"/>
      <w:bookmarkEnd w:id="19"/>
      <w:bookmarkEnd w:id="20"/>
      <w:bookmarkEnd w:id="22"/>
    </w:p>
    <w:p w14:paraId="67803128" w14:textId="2A556FBF" w:rsidR="00BC7DDA" w:rsidRPr="00BD6C5F" w:rsidRDefault="00F92113" w:rsidP="00B71FC0">
      <w:pPr>
        <w:pStyle w:val="Numbered1"/>
        <w:numPr>
          <w:ilvl w:val="0"/>
          <w:numId w:val="78"/>
        </w:numPr>
      </w:pPr>
      <w:r w:rsidRPr="00BD6C5F">
        <w:t>Definitions</w:t>
      </w:r>
    </w:p>
    <w:p w14:paraId="388B68FF" w14:textId="77777777" w:rsidR="00BC7DDA" w:rsidRPr="00BD6C5F" w:rsidRDefault="009B03E9" w:rsidP="00C5057A">
      <w:pPr>
        <w:pStyle w:val="Numbered11"/>
      </w:pPr>
      <w:r w:rsidRPr="00BD6C5F">
        <w:t>In this Schedule, the following definitions shall apply:</w:t>
      </w:r>
    </w:p>
    <w:p w14:paraId="7A28F369" w14:textId="77777777" w:rsidR="00BC7DDA" w:rsidRPr="00BD6C5F" w:rsidRDefault="009B03E9" w:rsidP="0067240A">
      <w:pPr>
        <w:pStyle w:val="BodyText"/>
        <w:spacing w:after="240"/>
        <w:ind w:left="720"/>
        <w:rPr>
          <w:rFonts w:asciiTheme="minorHAnsi" w:hAnsiTheme="minorHAnsi" w:cstheme="minorHAnsi"/>
        </w:rPr>
      </w:pPr>
      <w:r w:rsidRPr="00BD6C5F">
        <w:rPr>
          <w:rFonts w:asciiTheme="minorHAnsi" w:hAnsiTheme="minorHAnsi" w:cstheme="minorHAnsi"/>
          <w:shd w:val="clear" w:color="auto" w:fill="FFFF00"/>
        </w:rPr>
        <w:t>[</w:t>
      </w:r>
      <w:r w:rsidRPr="00D852B2">
        <w:rPr>
          <w:rFonts w:asciiTheme="minorHAnsi" w:hAnsiTheme="minorHAnsi" w:cstheme="minorHAnsi"/>
          <w:b/>
          <w:bCs/>
          <w:shd w:val="clear" w:color="auto" w:fill="FFFF00"/>
        </w:rPr>
        <w:t>insert</w:t>
      </w:r>
      <w:r w:rsidRPr="00BD6C5F">
        <w:rPr>
          <w:rFonts w:asciiTheme="minorHAnsi" w:hAnsiTheme="minorHAnsi" w:cstheme="minorHAnsi"/>
          <w:shd w:val="clear" w:color="auto" w:fill="FFFF00"/>
        </w:rPr>
        <w:t xml:space="preserve"> definitions as required]</w:t>
      </w:r>
    </w:p>
    <w:p w14:paraId="2BFA53E7" w14:textId="3F10022E" w:rsidR="00BC7DDA" w:rsidRPr="00BD6C5F" w:rsidRDefault="00F92113" w:rsidP="00C5057A">
      <w:pPr>
        <w:pStyle w:val="Numbered1"/>
      </w:pPr>
      <w:r w:rsidRPr="00BD6C5F">
        <w:t>Introduction</w:t>
      </w:r>
    </w:p>
    <w:p w14:paraId="3D719EFB" w14:textId="77777777" w:rsidR="00BC7DDA" w:rsidRPr="00BD6C5F" w:rsidRDefault="009B03E9" w:rsidP="00C5057A">
      <w:pPr>
        <w:pStyle w:val="Numbered11"/>
      </w:pPr>
      <w:r w:rsidRPr="00BD6C5F">
        <w:rPr>
          <w:highlight w:val="yellow"/>
        </w:rPr>
        <w:t>[</w:t>
      </w:r>
      <w:r w:rsidRPr="00D852B2">
        <w:rPr>
          <w:b/>
          <w:bCs/>
          <w:highlight w:val="yellow"/>
        </w:rPr>
        <w:t>Outline</w:t>
      </w:r>
      <w:r w:rsidRPr="00BD6C5F">
        <w:rPr>
          <w:highlight w:val="yellow"/>
        </w:rPr>
        <w:t xml:space="preserve"> why the Authority has identified that it needs the Supplier to provide the Services.]</w:t>
      </w:r>
    </w:p>
    <w:p w14:paraId="4AECE9C3" w14:textId="77777777" w:rsidR="00BC7DDA" w:rsidRPr="00BD6C5F" w:rsidRDefault="009B03E9" w:rsidP="00C5057A">
      <w:pPr>
        <w:pStyle w:val="Numbered11"/>
      </w:pPr>
      <w:r w:rsidRPr="00BD6C5F">
        <w:t>This Schedule sets out the intended scope of the Services to be provided by the Supplier and to provide a description of what each Service entails.</w:t>
      </w:r>
    </w:p>
    <w:p w14:paraId="7DD0AADD" w14:textId="2F3AB12D" w:rsidR="00BC7DDA" w:rsidRPr="00BD6C5F" w:rsidRDefault="00F92113" w:rsidP="00C5057A">
      <w:pPr>
        <w:pStyle w:val="Numbered1"/>
      </w:pPr>
      <w:r w:rsidRPr="00BD6C5F">
        <w:t>Services Description</w:t>
      </w:r>
    </w:p>
    <w:p w14:paraId="4937D5FF" w14:textId="77777777" w:rsidR="00BC7DDA" w:rsidRPr="00BD6C5F" w:rsidRDefault="009B03E9" w:rsidP="00C5057A">
      <w:pPr>
        <w:pStyle w:val="Numbered11"/>
      </w:pPr>
      <w:r w:rsidRPr="00BD6C5F">
        <w:rPr>
          <w:b/>
        </w:rPr>
        <w:t xml:space="preserve">Implementation Services </w:t>
      </w:r>
      <w:r w:rsidRPr="00BD6C5F">
        <w:t xml:space="preserve">- </w:t>
      </w:r>
      <w:r w:rsidRPr="00BD6C5F">
        <w:rPr>
          <w:highlight w:val="yellow"/>
        </w:rPr>
        <w:t>[Description of the services to be provided by the Supplier for the design, build, test, implementation and roll out of the Operational Services]</w:t>
      </w:r>
    </w:p>
    <w:p w14:paraId="7E197F42" w14:textId="77777777" w:rsidR="00BC7DDA" w:rsidRPr="00BD6C5F" w:rsidRDefault="009B03E9" w:rsidP="00C5057A">
      <w:pPr>
        <w:pStyle w:val="Numbered11"/>
      </w:pPr>
      <w:r w:rsidRPr="00BD6C5F">
        <w:rPr>
          <w:b/>
        </w:rPr>
        <w:t xml:space="preserve">Operational Services </w:t>
      </w:r>
      <w:r w:rsidRPr="00BD6C5F">
        <w:t xml:space="preserve">- </w:t>
      </w:r>
      <w:r w:rsidRPr="00BD6C5F">
        <w:rPr>
          <w:highlight w:val="yellow"/>
        </w:rPr>
        <w:t>[Description of the business as usual services including Operational Hours]</w:t>
      </w:r>
    </w:p>
    <w:p w14:paraId="33340F33" w14:textId="30719960" w:rsidR="00BC7DDA" w:rsidRPr="00BD6C5F" w:rsidRDefault="009B03E9" w:rsidP="00C5057A">
      <w:pPr>
        <w:pStyle w:val="Numbered11"/>
      </w:pPr>
      <w:r w:rsidRPr="00BD6C5F">
        <w:t>Interface Requirements</w:t>
      </w:r>
      <w:r w:rsidR="007B09DA">
        <w:t xml:space="preserve">- </w:t>
      </w:r>
      <w:r w:rsidR="007B09DA" w:rsidRPr="003535B2">
        <w:rPr>
          <w:bCs/>
          <w:iCs/>
          <w:highlight w:val="yellow"/>
        </w:rPr>
        <w:t>[</w:t>
      </w:r>
      <w:r w:rsidR="007B09DA">
        <w:rPr>
          <w:b/>
          <w:bCs/>
          <w:iCs/>
          <w:highlight w:val="yellow"/>
        </w:rPr>
        <w:t>I</w:t>
      </w:r>
      <w:r w:rsidR="007B09DA" w:rsidRPr="0082057C">
        <w:rPr>
          <w:b/>
          <w:bCs/>
          <w:iCs/>
          <w:highlight w:val="yellow"/>
        </w:rPr>
        <w:t>nsert</w:t>
      </w:r>
      <w:r w:rsidR="007B09DA" w:rsidRPr="003535B2">
        <w:rPr>
          <w:bCs/>
          <w:iCs/>
          <w:highlight w:val="yellow"/>
        </w:rPr>
        <w:t xml:space="preserve"> as required]</w:t>
      </w:r>
    </w:p>
    <w:p w14:paraId="6F37D3B1" w14:textId="77777777" w:rsidR="00BC7DDA" w:rsidRPr="00BD6C5F" w:rsidRDefault="009B03E9" w:rsidP="00B225A5">
      <w:pPr>
        <w:pStyle w:val="Numbered111"/>
      </w:pPr>
      <w:r w:rsidRPr="00BD6C5F">
        <w:t>technical interface and</w:t>
      </w:r>
    </w:p>
    <w:p w14:paraId="4BC12808" w14:textId="77777777" w:rsidR="00BC7DDA" w:rsidRPr="00BD6C5F" w:rsidRDefault="009B03E9" w:rsidP="00B225A5">
      <w:pPr>
        <w:pStyle w:val="Numbered111"/>
      </w:pPr>
      <w:r w:rsidRPr="00BD6C5F">
        <w:t>management obligations/responsibilities</w:t>
      </w:r>
    </w:p>
    <w:p w14:paraId="4C29A920" w14:textId="5C0B398D" w:rsidR="00BC7DDA" w:rsidRPr="00BD6C5F" w:rsidRDefault="009B03E9" w:rsidP="00C5057A">
      <w:pPr>
        <w:pStyle w:val="Numbered11"/>
      </w:pPr>
      <w:r w:rsidRPr="00BD6C5F">
        <w:t>Security Requirements</w:t>
      </w:r>
      <w:r w:rsidR="007B09DA">
        <w:t xml:space="preserve">- </w:t>
      </w:r>
      <w:r w:rsidR="007B09DA" w:rsidRPr="003535B2">
        <w:rPr>
          <w:bCs/>
          <w:iCs/>
          <w:highlight w:val="yellow"/>
        </w:rPr>
        <w:t>[</w:t>
      </w:r>
      <w:r w:rsidR="007B09DA">
        <w:rPr>
          <w:b/>
          <w:bCs/>
          <w:iCs/>
          <w:highlight w:val="yellow"/>
        </w:rPr>
        <w:t>I</w:t>
      </w:r>
      <w:r w:rsidR="007B09DA" w:rsidRPr="0082057C">
        <w:rPr>
          <w:b/>
          <w:bCs/>
          <w:iCs/>
          <w:highlight w:val="yellow"/>
        </w:rPr>
        <w:t>nsert</w:t>
      </w:r>
      <w:r w:rsidR="007B09DA" w:rsidRPr="003535B2">
        <w:rPr>
          <w:bCs/>
          <w:iCs/>
          <w:highlight w:val="yellow"/>
        </w:rPr>
        <w:t xml:space="preserve"> as required]</w:t>
      </w:r>
    </w:p>
    <w:p w14:paraId="0C112B76" w14:textId="0EBE013E" w:rsidR="00ED2F9A" w:rsidRPr="00BD6C5F" w:rsidRDefault="00ED2F9A" w:rsidP="00C5057A">
      <w:pPr>
        <w:pStyle w:val="Numbered11"/>
      </w:pPr>
      <w:r w:rsidRPr="00BD6C5F">
        <w:rPr>
          <w:b/>
          <w:bCs/>
        </w:rPr>
        <w:t>Social Value Requirements</w:t>
      </w:r>
      <w:r w:rsidRPr="00BD6C5F">
        <w:t xml:space="preserve"> - [</w:t>
      </w:r>
      <w:r w:rsidRPr="00BD6C5F">
        <w:rPr>
          <w:highlight w:val="yellow"/>
        </w:rPr>
        <w:t xml:space="preserve">Description of the additional social, environmental and economic benefits to be delivered in line with </w:t>
      </w:r>
      <w:r w:rsidR="007B09DA" w:rsidRPr="00F97284">
        <w:rPr>
          <w:iCs/>
          <w:shd w:val="clear" w:color="auto" w:fill="FFFF00"/>
        </w:rPr>
        <w:t xml:space="preserve">the </w:t>
      </w:r>
      <w:hyperlink r:id="rId26" w:history="1">
        <w:r w:rsidR="007B09DA" w:rsidRPr="00F97284">
          <w:rPr>
            <w:rStyle w:val="Hyperlink"/>
            <w:rFonts w:cs="Arial"/>
            <w:b/>
            <w:iCs/>
            <w:color w:val="1155CC"/>
            <w:shd w:val="clear" w:color="auto" w:fill="FFFF00"/>
          </w:rPr>
          <w:t>Public Services (Social Value) Act 2012</w:t>
        </w:r>
      </w:hyperlink>
      <w:r w:rsidR="007B09DA" w:rsidRPr="00F97284">
        <w:rPr>
          <w:iCs/>
          <w:shd w:val="clear" w:color="auto" w:fill="FFFF00"/>
        </w:rPr>
        <w:t xml:space="preserve">, </w:t>
      </w:r>
      <w:hyperlink r:id="rId27" w:history="1">
        <w:r w:rsidR="007B09DA" w:rsidRPr="00F97284">
          <w:rPr>
            <w:rStyle w:val="Hyperlink"/>
            <w:rFonts w:cs="Arial"/>
            <w:b/>
            <w:iCs/>
            <w:color w:val="1155CC"/>
            <w:shd w:val="clear" w:color="auto" w:fill="FFFF00"/>
          </w:rPr>
          <w:t>PPN 06/20</w:t>
        </w:r>
      </w:hyperlink>
      <w:r w:rsidR="007B09DA" w:rsidRPr="00F97284">
        <w:rPr>
          <w:iCs/>
          <w:shd w:val="clear" w:color="auto" w:fill="FFFF00"/>
        </w:rPr>
        <w:t xml:space="preserve">, and </w:t>
      </w:r>
      <w:r w:rsidRPr="00BD6C5F">
        <w:rPr>
          <w:highlight w:val="yellow"/>
        </w:rPr>
        <w:t>Authority policies and practices</w:t>
      </w:r>
      <w:r w:rsidRPr="00BD6C5F">
        <w:t>]</w:t>
      </w:r>
    </w:p>
    <w:p w14:paraId="754A11E1" w14:textId="10ADD2EC" w:rsidR="00BC7DDA" w:rsidRPr="00BD6C5F" w:rsidRDefault="009B03E9" w:rsidP="00C5057A">
      <w:pPr>
        <w:pStyle w:val="Numbered11"/>
      </w:pPr>
      <w:r w:rsidRPr="00BD6C5F">
        <w:rPr>
          <w:b/>
          <w:bCs/>
        </w:rPr>
        <w:t>Other Authority Requirements</w:t>
      </w:r>
      <w:r w:rsidR="00ED2F9A" w:rsidRPr="00BD6C5F">
        <w:t xml:space="preserve"> – [</w:t>
      </w:r>
      <w:r w:rsidR="00ED2F9A" w:rsidRPr="00BD6C5F">
        <w:rPr>
          <w:highlight w:val="yellow"/>
        </w:rPr>
        <w:t>Description of any other requirements of the Authority e.g. wider sustainability requirements and other Authority commitments</w:t>
      </w:r>
      <w:r w:rsidR="00ED2F9A" w:rsidRPr="00BD6C5F">
        <w:t>]</w:t>
      </w:r>
    </w:p>
    <w:p w14:paraId="359CDC1A" w14:textId="3710712F" w:rsidR="00BC7DDA" w:rsidRPr="00BD6C5F" w:rsidRDefault="009B03E9" w:rsidP="00C5057A">
      <w:pPr>
        <w:pStyle w:val="Numbered11"/>
      </w:pPr>
      <w:bookmarkStart w:id="23" w:name="_Ref98319451"/>
      <w:r w:rsidRPr="00BD6C5F">
        <w:t>Optional Services</w:t>
      </w:r>
      <w:bookmarkEnd w:id="23"/>
      <w:r w:rsidR="007B09DA" w:rsidRPr="001C4B30">
        <w:rPr>
          <w:bCs/>
        </w:rPr>
        <w:t>–</w:t>
      </w:r>
      <w:r w:rsidR="007B09DA">
        <w:rPr>
          <w:rStyle w:val="StdBodyTextBoldChar"/>
          <w:rFonts w:eastAsiaTheme="majorEastAsia"/>
        </w:rPr>
        <w:t xml:space="preserve"> </w:t>
      </w:r>
      <w:r w:rsidR="007B09DA" w:rsidRPr="003535B2">
        <w:rPr>
          <w:bCs/>
          <w:iCs/>
          <w:highlight w:val="yellow"/>
        </w:rPr>
        <w:t>[</w:t>
      </w:r>
      <w:r w:rsidR="007B09DA">
        <w:rPr>
          <w:b/>
          <w:bCs/>
          <w:iCs/>
          <w:highlight w:val="yellow"/>
        </w:rPr>
        <w:t>I</w:t>
      </w:r>
      <w:r w:rsidR="007B09DA" w:rsidRPr="0082057C">
        <w:rPr>
          <w:b/>
          <w:bCs/>
          <w:iCs/>
          <w:highlight w:val="yellow"/>
        </w:rPr>
        <w:t>nsert</w:t>
      </w:r>
      <w:r w:rsidR="007B09DA" w:rsidRPr="003535B2">
        <w:rPr>
          <w:bCs/>
          <w:iCs/>
          <w:highlight w:val="yellow"/>
        </w:rPr>
        <w:t xml:space="preserve"> as required]</w:t>
      </w:r>
    </w:p>
    <w:p w14:paraId="50CEF6CC" w14:textId="5CCE7F52" w:rsidR="00E43546" w:rsidRPr="00BD6C5F" w:rsidRDefault="00E43546" w:rsidP="00B24C98">
      <w:pPr>
        <w:rPr>
          <w:rFonts w:asciiTheme="minorHAnsi" w:hAnsiTheme="minorHAnsi" w:cstheme="minorHAnsi"/>
        </w:rPr>
      </w:pPr>
    </w:p>
    <w:p w14:paraId="114794D3" w14:textId="77777777" w:rsidR="00B24C98" w:rsidRPr="00BD6C5F" w:rsidRDefault="00B24C98" w:rsidP="00B24C98">
      <w:pPr>
        <w:rPr>
          <w:rFonts w:asciiTheme="minorHAnsi" w:hAnsiTheme="minorHAnsi" w:cstheme="minorHAnsi"/>
        </w:rPr>
        <w:sectPr w:rsidR="00B24C98" w:rsidRPr="00BD6C5F" w:rsidSect="00EA65BF">
          <w:headerReference w:type="default" r:id="rId28"/>
          <w:footerReference w:type="default" r:id="rId29"/>
          <w:pgSz w:w="11910" w:h="16840"/>
          <w:pgMar w:top="1701" w:right="851" w:bottom="1134" w:left="851" w:header="567" w:footer="567" w:gutter="0"/>
          <w:cols w:space="720"/>
        </w:sectPr>
      </w:pPr>
    </w:p>
    <w:p w14:paraId="1C9C9EF0" w14:textId="40051873" w:rsidR="00175B22" w:rsidRDefault="00175B22" w:rsidP="00175B22">
      <w:pPr>
        <w:pStyle w:val="Dividername"/>
      </w:pPr>
      <w:bookmarkStart w:id="24" w:name="_bookmark16"/>
      <w:bookmarkStart w:id="25" w:name="_bookmark17"/>
      <w:bookmarkStart w:id="26" w:name="_Ref98252626"/>
      <w:bookmarkStart w:id="27" w:name="_Toc98332703"/>
      <w:bookmarkStart w:id="28" w:name="_Toc98852878"/>
      <w:bookmarkEnd w:id="24"/>
      <w:bookmarkEnd w:id="25"/>
      <w:r>
        <w:lastRenderedPageBreak/>
        <w:t xml:space="preserve">Schedule </w:t>
      </w:r>
      <w:bookmarkStart w:id="29" w:name="Schedule_3"/>
      <w:r>
        <w:t>3</w:t>
      </w:r>
      <w:bookmarkEnd w:id="29"/>
    </w:p>
    <w:p w14:paraId="3F8A142F" w14:textId="6016282D" w:rsidR="00175B22" w:rsidRDefault="00175B22" w:rsidP="00175B22">
      <w:pPr>
        <w:pStyle w:val="Dividername"/>
      </w:pPr>
      <w:r w:rsidRPr="00175B22">
        <w:t>Performance Levels</w:t>
      </w:r>
    </w:p>
    <w:p w14:paraId="2F35355A" w14:textId="77777777" w:rsidR="00175B22" w:rsidRDefault="00175B22" w:rsidP="00175B22"/>
    <w:p w14:paraId="6489B023" w14:textId="5DB8E480" w:rsidR="00BC7DDA" w:rsidRPr="00BD6C5F" w:rsidRDefault="0067240A" w:rsidP="00175B22">
      <w:pPr>
        <w:pStyle w:val="Heading1"/>
        <w:pageBreakBefore/>
      </w:pPr>
      <w:bookmarkStart w:id="30" w:name="_Toc141720971"/>
      <w:r w:rsidRPr="00BD6C5F">
        <w:lastRenderedPageBreak/>
        <w:t>Schedule 3</w:t>
      </w:r>
      <w:r w:rsidR="00DA04BE" w:rsidRPr="00BD6C5F">
        <w:t>:</w:t>
      </w:r>
      <w:r w:rsidRPr="00BD6C5F">
        <w:t xml:space="preserve"> Performance Levels</w:t>
      </w:r>
      <w:bookmarkEnd w:id="26"/>
      <w:bookmarkEnd w:id="27"/>
      <w:bookmarkEnd w:id="28"/>
      <w:bookmarkEnd w:id="30"/>
    </w:p>
    <w:p w14:paraId="7E39F997" w14:textId="15EEC2B8" w:rsidR="00B800B0" w:rsidRPr="00BD6C5F" w:rsidRDefault="00B800B0" w:rsidP="00583A8A">
      <w:pPr>
        <w:pStyle w:val="ListParagraph"/>
        <w:keepNext/>
        <w:tabs>
          <w:tab w:val="left" w:pos="860"/>
          <w:tab w:val="left" w:pos="861"/>
        </w:tabs>
        <w:spacing w:before="100" w:after="200"/>
        <w:ind w:left="0" w:firstLine="0"/>
        <w:jc w:val="center"/>
        <w:rPr>
          <w:rFonts w:asciiTheme="minorHAnsi" w:hAnsiTheme="minorHAnsi" w:cstheme="minorHAnsi"/>
          <w:bCs/>
          <w:szCs w:val="24"/>
        </w:rPr>
      </w:pPr>
      <w:r w:rsidRPr="00BD6C5F">
        <w:rPr>
          <w:rFonts w:asciiTheme="minorHAnsi" w:hAnsiTheme="minorHAnsi" w:cstheme="minorHAnsi"/>
        </w:rPr>
        <w:t>This is the schedule referred to in the foregoing agreement betwee</w:t>
      </w:r>
      <w:r w:rsidR="00EE06F9" w:rsidRPr="00BD6C5F">
        <w:rPr>
          <w:rFonts w:asciiTheme="minorHAnsi" w:hAnsiTheme="minorHAnsi" w:cstheme="minorHAnsi"/>
        </w:rPr>
        <w:t>n [</w:t>
      </w:r>
      <w:r w:rsidR="00EE06F9" w:rsidRPr="00BD6C5F">
        <w:rPr>
          <w:rFonts w:asciiTheme="minorHAnsi" w:hAnsiTheme="minorHAnsi" w:cstheme="minorHAnsi"/>
          <w:highlight w:val="yellow"/>
        </w:rPr>
        <w:t>name of party</w:t>
      </w:r>
      <w:r w:rsidR="00EE06F9" w:rsidRPr="00BD6C5F">
        <w:rPr>
          <w:rFonts w:asciiTheme="minorHAnsi" w:hAnsiTheme="minorHAnsi" w:cstheme="minorHAnsi"/>
        </w:rPr>
        <w:t>] and [</w:t>
      </w:r>
      <w:r w:rsidR="00EE06F9" w:rsidRPr="00BD6C5F">
        <w:rPr>
          <w:rFonts w:asciiTheme="minorHAnsi" w:hAnsiTheme="minorHAnsi" w:cstheme="minorHAnsi"/>
          <w:highlight w:val="yellow"/>
        </w:rPr>
        <w:t>name of party</w:t>
      </w:r>
      <w:r w:rsidR="00EE06F9" w:rsidRPr="00BD6C5F">
        <w:rPr>
          <w:rFonts w:asciiTheme="minorHAnsi" w:hAnsiTheme="minorHAnsi" w:cstheme="minorHAnsi"/>
        </w:rPr>
        <w:t>] dated [</w:t>
      </w:r>
      <w:r w:rsidR="00EE06F9" w:rsidRPr="00BD6C5F">
        <w:rPr>
          <w:rFonts w:asciiTheme="minorHAnsi" w:hAnsiTheme="minorHAnsi" w:cstheme="minorHAnsi"/>
          <w:highlight w:val="yellow"/>
        </w:rPr>
        <w:t>date</w:t>
      </w:r>
      <w:r w:rsidR="00EE06F9" w:rsidRPr="00BD6C5F">
        <w:rPr>
          <w:rFonts w:asciiTheme="minorHAnsi" w:hAnsiTheme="minorHAnsi" w:cstheme="minorHAnsi"/>
        </w:rPr>
        <w:t>]</w:t>
      </w:r>
    </w:p>
    <w:p w14:paraId="6F8AC7AC" w14:textId="710388F1" w:rsidR="00BC7DDA" w:rsidRPr="00BD6C5F" w:rsidRDefault="00F92113" w:rsidP="00B71FC0">
      <w:pPr>
        <w:pStyle w:val="Numbered1"/>
        <w:numPr>
          <w:ilvl w:val="0"/>
          <w:numId w:val="79"/>
        </w:numPr>
      </w:pPr>
      <w:r w:rsidRPr="00BD6C5F">
        <w:t>Definitions</w:t>
      </w:r>
    </w:p>
    <w:p w14:paraId="394EF808" w14:textId="77777777" w:rsidR="00BC7DDA" w:rsidRPr="00BD6C5F" w:rsidRDefault="009B03E9" w:rsidP="00C5057A">
      <w:pPr>
        <w:pStyle w:val="Numbered11"/>
      </w:pPr>
      <w:r w:rsidRPr="00BD6C5F">
        <w:t>In this Schedule, the following definitions shall apply:</w:t>
      </w:r>
    </w:p>
    <w:tbl>
      <w:tblPr>
        <w:tblW w:w="0" w:type="auto"/>
        <w:tblInd w:w="720" w:type="dxa"/>
        <w:tblLayout w:type="fixed"/>
        <w:tblCellMar>
          <w:top w:w="58" w:type="dxa"/>
          <w:left w:w="58" w:type="dxa"/>
          <w:bottom w:w="58" w:type="dxa"/>
          <w:right w:w="58" w:type="dxa"/>
        </w:tblCellMar>
        <w:tblLook w:val="01E0" w:firstRow="1" w:lastRow="1" w:firstColumn="1" w:lastColumn="1" w:noHBand="0" w:noVBand="0"/>
      </w:tblPr>
      <w:tblGrid>
        <w:gridCol w:w="3515"/>
        <w:gridCol w:w="5953"/>
      </w:tblGrid>
      <w:tr w:rsidR="00BC7DDA" w:rsidRPr="00BD6C5F" w14:paraId="575E32A6" w14:textId="77777777" w:rsidTr="007A12DA">
        <w:trPr>
          <w:trHeight w:val="20"/>
        </w:trPr>
        <w:tc>
          <w:tcPr>
            <w:tcW w:w="3515" w:type="dxa"/>
          </w:tcPr>
          <w:p w14:paraId="5A6F162F" w14:textId="3935A2ED" w:rsidR="00BC7DDA" w:rsidRPr="00BD6C5F" w:rsidRDefault="00A4555C" w:rsidP="0067240A">
            <w:pPr>
              <w:pStyle w:val="Tabletext"/>
              <w:rPr>
                <w:b/>
                <w:bCs/>
              </w:rPr>
            </w:pPr>
            <w:r w:rsidRPr="00BD6C5F">
              <w:rPr>
                <w:b/>
                <w:bCs/>
              </w:rPr>
              <w:t>“</w:t>
            </w:r>
            <w:r w:rsidR="009B03E9" w:rsidRPr="00BD6C5F">
              <w:rPr>
                <w:b/>
                <w:bCs/>
              </w:rPr>
              <w:t>Available</w:t>
            </w:r>
            <w:r w:rsidRPr="00BD6C5F">
              <w:rPr>
                <w:b/>
                <w:bCs/>
              </w:rPr>
              <w:t>”</w:t>
            </w:r>
          </w:p>
        </w:tc>
        <w:tc>
          <w:tcPr>
            <w:tcW w:w="5953" w:type="dxa"/>
          </w:tcPr>
          <w:p w14:paraId="72B2FB43" w14:textId="11C8688B" w:rsidR="00BC7DDA" w:rsidRPr="00BD6C5F" w:rsidRDefault="009B03E9" w:rsidP="0067240A">
            <w:pPr>
              <w:pStyle w:val="Tabletext"/>
            </w:pPr>
            <w:r w:rsidRPr="00BD6C5F">
              <w:t xml:space="preserve">has the meaning given in Paragraph </w:t>
            </w:r>
            <w:r w:rsidR="000B589F" w:rsidRPr="00BD6C5F">
              <w:fldChar w:fldCharType="begin"/>
            </w:r>
            <w:r w:rsidR="000B589F" w:rsidRPr="00BD6C5F">
              <w:instrText xml:space="preserve"> REF _Ref98355832 \n \h </w:instrText>
            </w:r>
            <w:r w:rsidR="00AD7DD0" w:rsidRPr="00BD6C5F">
              <w:instrText xml:space="preserve"> \* MERGEFORMAT </w:instrText>
            </w:r>
            <w:r w:rsidR="000B589F" w:rsidRPr="00BD6C5F">
              <w:fldChar w:fldCharType="separate"/>
            </w:r>
            <w:r w:rsidR="009749A0">
              <w:t>1.1</w:t>
            </w:r>
            <w:r w:rsidR="000B589F"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8B19D8" w:rsidRPr="00BD6C5F">
              <w:t xml:space="preserve"> </w:t>
            </w:r>
            <w:r w:rsidRPr="00BD6C5F">
              <w:t xml:space="preserve">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r w:rsidR="00BC7DDA" w:rsidRPr="00BD6C5F" w14:paraId="58638A8D" w14:textId="77777777" w:rsidTr="007A12DA">
        <w:trPr>
          <w:trHeight w:val="20"/>
        </w:trPr>
        <w:tc>
          <w:tcPr>
            <w:tcW w:w="3515" w:type="dxa"/>
          </w:tcPr>
          <w:p w14:paraId="53C9E724" w14:textId="34A0D9B4" w:rsidR="00BC7DDA" w:rsidRPr="00BD6C5F" w:rsidRDefault="00A4555C" w:rsidP="0067240A">
            <w:pPr>
              <w:pStyle w:val="Tabletext"/>
              <w:rPr>
                <w:b/>
                <w:bCs/>
              </w:rPr>
            </w:pPr>
            <w:r w:rsidRPr="00BD6C5F">
              <w:rPr>
                <w:b/>
                <w:bCs/>
              </w:rPr>
              <w:t>“</w:t>
            </w:r>
            <w:r w:rsidR="009B03E9" w:rsidRPr="00BD6C5F">
              <w:rPr>
                <w:b/>
                <w:bCs/>
              </w:rPr>
              <w:t>End User</w:t>
            </w:r>
            <w:r w:rsidRPr="00BD6C5F">
              <w:rPr>
                <w:b/>
                <w:bCs/>
              </w:rPr>
              <w:t>”</w:t>
            </w:r>
          </w:p>
        </w:tc>
        <w:tc>
          <w:tcPr>
            <w:tcW w:w="5953" w:type="dxa"/>
          </w:tcPr>
          <w:p w14:paraId="03B52BF2" w14:textId="77777777" w:rsidR="00BC7DDA" w:rsidRPr="00BD6C5F" w:rsidRDefault="009B03E9" w:rsidP="0067240A">
            <w:pPr>
              <w:pStyle w:val="Tabletext"/>
            </w:pPr>
            <w:r w:rsidRPr="00BD6C5F">
              <w:t>any person authorised by the Authority to use the IT Environment and/or the Services;</w:t>
            </w:r>
          </w:p>
        </w:tc>
      </w:tr>
      <w:tr w:rsidR="00BC7DDA" w:rsidRPr="00BD6C5F" w14:paraId="78EFCB97" w14:textId="77777777" w:rsidTr="007A12DA">
        <w:trPr>
          <w:trHeight w:val="20"/>
        </w:trPr>
        <w:tc>
          <w:tcPr>
            <w:tcW w:w="3515" w:type="dxa"/>
          </w:tcPr>
          <w:p w14:paraId="7DC7206E" w14:textId="31EBFDEF" w:rsidR="00BC7DDA" w:rsidRPr="00BD6C5F" w:rsidRDefault="00A4555C" w:rsidP="0067240A">
            <w:pPr>
              <w:pStyle w:val="Tabletext"/>
              <w:rPr>
                <w:b/>
                <w:bCs/>
              </w:rPr>
            </w:pPr>
            <w:r w:rsidRPr="00BD6C5F">
              <w:rPr>
                <w:b/>
                <w:bCs/>
              </w:rPr>
              <w:t>“</w:t>
            </w:r>
            <w:r w:rsidR="009B03E9" w:rsidRPr="00BD6C5F">
              <w:rPr>
                <w:b/>
                <w:bCs/>
              </w:rPr>
              <w:t>Help Desk</w:t>
            </w:r>
            <w:r w:rsidRPr="00BD6C5F">
              <w:rPr>
                <w:b/>
                <w:bCs/>
              </w:rPr>
              <w:t>”</w:t>
            </w:r>
          </w:p>
        </w:tc>
        <w:tc>
          <w:tcPr>
            <w:tcW w:w="5953" w:type="dxa"/>
          </w:tcPr>
          <w:p w14:paraId="5B341AAA" w14:textId="27A62B4D" w:rsidR="00BC7DDA" w:rsidRPr="00BD6C5F" w:rsidRDefault="009B03E9" w:rsidP="0067240A">
            <w:pPr>
              <w:pStyle w:val="Tabletext"/>
            </w:pPr>
            <w:r w:rsidRPr="00BD6C5F">
              <w:t xml:space="preserve">the single point of contact help desk set up and operated by the Supplier for the purposes of this </w:t>
            </w:r>
            <w:r w:rsidR="00ED2F9A" w:rsidRPr="00BD6C5F">
              <w:t>Contract</w:t>
            </w:r>
            <w:r w:rsidRPr="00BD6C5F">
              <w:t>;</w:t>
            </w:r>
          </w:p>
        </w:tc>
      </w:tr>
      <w:tr w:rsidR="00BC7DDA" w:rsidRPr="00BD6C5F" w14:paraId="16356F8E" w14:textId="77777777" w:rsidTr="007A12DA">
        <w:trPr>
          <w:trHeight w:val="20"/>
        </w:trPr>
        <w:tc>
          <w:tcPr>
            <w:tcW w:w="3515" w:type="dxa"/>
          </w:tcPr>
          <w:p w14:paraId="226245E9" w14:textId="1ED582F0" w:rsidR="00BC7DDA" w:rsidRPr="00BD6C5F" w:rsidRDefault="00A4555C" w:rsidP="0067240A">
            <w:pPr>
              <w:pStyle w:val="Tabletext"/>
              <w:rPr>
                <w:b/>
                <w:bCs/>
              </w:rPr>
            </w:pPr>
            <w:r w:rsidRPr="00BD6C5F">
              <w:rPr>
                <w:b/>
                <w:bCs/>
              </w:rPr>
              <w:t>“</w:t>
            </w:r>
            <w:r w:rsidR="009B03E9" w:rsidRPr="00BD6C5F">
              <w:rPr>
                <w:b/>
                <w:bCs/>
              </w:rPr>
              <w:t>Non-Available</w:t>
            </w:r>
            <w:r w:rsidRPr="00BD6C5F">
              <w:rPr>
                <w:b/>
                <w:bCs/>
              </w:rPr>
              <w:t>”</w:t>
            </w:r>
          </w:p>
        </w:tc>
        <w:tc>
          <w:tcPr>
            <w:tcW w:w="5953" w:type="dxa"/>
          </w:tcPr>
          <w:p w14:paraId="2F20BE68" w14:textId="77777777" w:rsidR="00BC7DDA" w:rsidRPr="00BD6C5F" w:rsidRDefault="009B03E9" w:rsidP="0067240A">
            <w:pPr>
              <w:pStyle w:val="Tabletext"/>
            </w:pPr>
            <w:r w:rsidRPr="00BD6C5F">
              <w:t>in relation to the IT Environment or the Services, that the IT Environment or the Services are not Available;</w:t>
            </w:r>
          </w:p>
        </w:tc>
      </w:tr>
      <w:tr w:rsidR="00BC7DDA" w:rsidRPr="00BD6C5F" w14:paraId="64045F48" w14:textId="77777777" w:rsidTr="007A12DA">
        <w:trPr>
          <w:trHeight w:val="20"/>
        </w:trPr>
        <w:tc>
          <w:tcPr>
            <w:tcW w:w="3515" w:type="dxa"/>
          </w:tcPr>
          <w:p w14:paraId="1B0550E9" w14:textId="777F9A4E" w:rsidR="00BC7DDA" w:rsidRPr="00BD6C5F" w:rsidRDefault="00A4555C" w:rsidP="0067240A">
            <w:pPr>
              <w:pStyle w:val="Tabletext"/>
              <w:rPr>
                <w:b/>
                <w:bCs/>
              </w:rPr>
            </w:pPr>
            <w:r w:rsidRPr="00BD6C5F">
              <w:rPr>
                <w:b/>
                <w:bCs/>
              </w:rPr>
              <w:t>“</w:t>
            </w:r>
            <w:r w:rsidR="009B03E9" w:rsidRPr="00BD6C5F">
              <w:rPr>
                <w:b/>
                <w:bCs/>
              </w:rPr>
              <w:t>Performance Monitoring Report</w:t>
            </w:r>
            <w:r w:rsidRPr="00BD6C5F">
              <w:rPr>
                <w:b/>
                <w:bCs/>
              </w:rPr>
              <w:t>”</w:t>
            </w:r>
          </w:p>
        </w:tc>
        <w:tc>
          <w:tcPr>
            <w:tcW w:w="5953" w:type="dxa"/>
          </w:tcPr>
          <w:p w14:paraId="35FDC892" w14:textId="113A9EDC" w:rsidR="00BC7DDA" w:rsidRPr="00BD6C5F" w:rsidRDefault="009B03E9" w:rsidP="0067240A">
            <w:pPr>
              <w:pStyle w:val="Tabletext"/>
            </w:pPr>
            <w:r w:rsidRPr="00BD6C5F">
              <w:t xml:space="preserve">has the meaning given in Paragraph </w:t>
            </w:r>
            <w:r w:rsidR="000B589F" w:rsidRPr="00BD6C5F">
              <w:fldChar w:fldCharType="begin"/>
            </w:r>
            <w:r w:rsidR="000B589F" w:rsidRPr="00BD6C5F">
              <w:instrText xml:space="preserve"> REF _Ref98355905 \w \h </w:instrText>
            </w:r>
            <w:r w:rsidR="00AD7DD0" w:rsidRPr="00BD6C5F">
              <w:instrText xml:space="preserve"> \* MERGEFORMAT </w:instrText>
            </w:r>
            <w:r w:rsidR="000B589F" w:rsidRPr="00BD6C5F">
              <w:fldChar w:fldCharType="separate"/>
            </w:r>
            <w:r w:rsidR="009749A0">
              <w:t>1.1.1</w:t>
            </w:r>
            <w:r w:rsidR="000B589F"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rsidRPr="00BD6C5F">
              <w:t xml:space="preserve"> 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r w:rsidR="00BC7DDA" w:rsidRPr="00BD6C5F" w14:paraId="24A6E844" w14:textId="77777777" w:rsidTr="007A12DA">
        <w:trPr>
          <w:trHeight w:val="20"/>
        </w:trPr>
        <w:tc>
          <w:tcPr>
            <w:tcW w:w="3515" w:type="dxa"/>
          </w:tcPr>
          <w:p w14:paraId="16C8299F" w14:textId="4043AA93" w:rsidR="00BC7DDA" w:rsidRPr="00BD6C5F" w:rsidRDefault="00A4555C" w:rsidP="0067240A">
            <w:pPr>
              <w:pStyle w:val="Tabletext"/>
              <w:rPr>
                <w:b/>
                <w:bCs/>
              </w:rPr>
            </w:pPr>
            <w:r w:rsidRPr="00BD6C5F">
              <w:rPr>
                <w:b/>
                <w:bCs/>
              </w:rPr>
              <w:t>“</w:t>
            </w:r>
            <w:r w:rsidR="009B03E9" w:rsidRPr="00BD6C5F">
              <w:rPr>
                <w:b/>
                <w:bCs/>
              </w:rPr>
              <w:t>Performance Review Meeting</w:t>
            </w:r>
            <w:r w:rsidRPr="00BD6C5F">
              <w:rPr>
                <w:b/>
                <w:bCs/>
              </w:rPr>
              <w:t>”</w:t>
            </w:r>
          </w:p>
        </w:tc>
        <w:tc>
          <w:tcPr>
            <w:tcW w:w="5953" w:type="dxa"/>
          </w:tcPr>
          <w:p w14:paraId="17F171C9" w14:textId="6B033969" w:rsidR="00BC7DDA" w:rsidRPr="00BD6C5F" w:rsidRDefault="009B03E9" w:rsidP="0067240A">
            <w:pPr>
              <w:pStyle w:val="Tabletext"/>
            </w:pPr>
            <w:r w:rsidRPr="00BD6C5F">
              <w:t>the regular meetings between the Supplier and the Authority to manage and review the Supplier</w:t>
            </w:r>
            <w:r w:rsidR="00A4555C" w:rsidRPr="00BD6C5F">
              <w:t>’</w:t>
            </w:r>
            <w:r w:rsidRPr="00BD6C5F">
              <w:t xml:space="preserve">s performance under this </w:t>
            </w:r>
            <w:r w:rsidR="00672A91" w:rsidRPr="00BD6C5F">
              <w:t>Contract</w:t>
            </w:r>
            <w:r w:rsidRPr="00BD6C5F">
              <w:t>, as further described in Paragraph</w:t>
            </w:r>
            <w:r w:rsidR="000B589F" w:rsidRPr="00BD6C5F">
              <w:t> </w:t>
            </w:r>
            <w:r w:rsidR="00162C61" w:rsidRPr="00BD6C5F">
              <w:fldChar w:fldCharType="begin"/>
            </w:r>
            <w:r w:rsidR="00162C61" w:rsidRPr="00BD6C5F">
              <w:instrText xml:space="preserve"> REF _Ref98356460 \r \h </w:instrText>
            </w:r>
            <w:r w:rsidR="00AD7DD0" w:rsidRPr="00BD6C5F">
              <w:instrText xml:space="preserve"> \* MERGEFORMAT </w:instrText>
            </w:r>
            <w:r w:rsidR="00162C61" w:rsidRPr="00BD6C5F">
              <w:fldChar w:fldCharType="separate"/>
            </w:r>
            <w:r w:rsidR="009749A0">
              <w:t>1.5</w:t>
            </w:r>
            <w:r w:rsidR="00162C61"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rsidRPr="00BD6C5F">
              <w:t xml:space="preserve"> 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r w:rsidR="00BC7DDA" w:rsidRPr="00BD6C5F" w14:paraId="179878CF" w14:textId="77777777" w:rsidTr="007A12DA">
        <w:trPr>
          <w:trHeight w:val="20"/>
        </w:trPr>
        <w:tc>
          <w:tcPr>
            <w:tcW w:w="3515" w:type="dxa"/>
          </w:tcPr>
          <w:p w14:paraId="32292DAE" w14:textId="7FB43A4C" w:rsidR="00BC7DDA" w:rsidRPr="00BD6C5F" w:rsidRDefault="00A4555C" w:rsidP="0067240A">
            <w:pPr>
              <w:pStyle w:val="Tabletext"/>
              <w:rPr>
                <w:b/>
                <w:bCs/>
              </w:rPr>
            </w:pPr>
            <w:r w:rsidRPr="00BD6C5F">
              <w:rPr>
                <w:b/>
                <w:bCs/>
              </w:rPr>
              <w:t>“</w:t>
            </w:r>
            <w:r w:rsidR="009B03E9" w:rsidRPr="00BD6C5F">
              <w:rPr>
                <w:b/>
                <w:bCs/>
              </w:rPr>
              <w:t>Repeat KPI Failure</w:t>
            </w:r>
            <w:r w:rsidRPr="00BD6C5F">
              <w:rPr>
                <w:b/>
                <w:bCs/>
              </w:rPr>
              <w:t>”</w:t>
            </w:r>
          </w:p>
        </w:tc>
        <w:tc>
          <w:tcPr>
            <w:tcW w:w="5953" w:type="dxa"/>
          </w:tcPr>
          <w:p w14:paraId="70CA2FCB" w14:textId="45E6BA49" w:rsidR="00BC7DDA" w:rsidRPr="00BD6C5F" w:rsidRDefault="009B03E9" w:rsidP="0067240A">
            <w:pPr>
              <w:pStyle w:val="Tabletext"/>
            </w:pPr>
            <w:r w:rsidRPr="00BD6C5F">
              <w:t>has the meaning given in Paragraph</w:t>
            </w:r>
            <w:r w:rsidR="000B589F" w:rsidRPr="00BD6C5F">
              <w:t> </w:t>
            </w:r>
            <w:r w:rsidR="00694254">
              <w:fldChar w:fldCharType="begin"/>
            </w:r>
            <w:r w:rsidR="00694254">
              <w:instrText xml:space="preserve"> REF _Ref141213849 \w \h </w:instrText>
            </w:r>
            <w:r w:rsidR="00694254">
              <w:fldChar w:fldCharType="separate"/>
            </w:r>
            <w:r w:rsidR="009749A0">
              <w:t>3.1</w:t>
            </w:r>
            <w:r w:rsidR="00694254">
              <w:fldChar w:fldCharType="end"/>
            </w:r>
            <w:r w:rsidRPr="00BD6C5F">
              <w:t xml:space="preserve"> of Part</w:t>
            </w:r>
            <w:r w:rsidR="00E43546" w:rsidRPr="00BD6C5F">
              <w:t> </w:t>
            </w:r>
            <w:r w:rsidR="00E15746">
              <w:fldChar w:fldCharType="begin"/>
            </w:r>
            <w:r w:rsidR="00E15746">
              <w:instrText xml:space="preserve"> REF Schedule_3_Annex_1_Part_A \h </w:instrText>
            </w:r>
            <w:r w:rsidR="00E15746">
              <w:fldChar w:fldCharType="separate"/>
            </w:r>
            <w:r w:rsidR="009749A0" w:rsidRPr="00BD6C5F">
              <w:t>A</w:t>
            </w:r>
            <w:r w:rsidR="00E15746">
              <w:fldChar w:fldCharType="end"/>
            </w:r>
            <w:r w:rsidR="00E15746">
              <w:t xml:space="preserve"> of </w:t>
            </w:r>
            <w:r w:rsidR="00694254">
              <w:t>this Schedule</w:t>
            </w:r>
            <w:r w:rsidRPr="00BD6C5F">
              <w:t>;</w:t>
            </w:r>
          </w:p>
        </w:tc>
      </w:tr>
      <w:tr w:rsidR="00BC7DDA" w:rsidRPr="00BD6C5F" w14:paraId="5573479C" w14:textId="77777777" w:rsidTr="007A12DA">
        <w:trPr>
          <w:trHeight w:val="20"/>
        </w:trPr>
        <w:tc>
          <w:tcPr>
            <w:tcW w:w="3515" w:type="dxa"/>
          </w:tcPr>
          <w:p w14:paraId="4F5F4CA1" w14:textId="6954DBCE" w:rsidR="00BC7DDA" w:rsidRPr="00BD6C5F" w:rsidRDefault="00A4555C" w:rsidP="0067240A">
            <w:pPr>
              <w:pStyle w:val="Tabletext"/>
              <w:rPr>
                <w:b/>
                <w:bCs/>
              </w:rPr>
            </w:pPr>
            <w:r w:rsidRPr="00BD6C5F">
              <w:rPr>
                <w:b/>
                <w:bCs/>
              </w:rPr>
              <w:t>“</w:t>
            </w:r>
            <w:r w:rsidR="009B03E9" w:rsidRPr="00BD6C5F">
              <w:rPr>
                <w:b/>
                <w:bCs/>
              </w:rPr>
              <w:t>Satisfaction Survey</w:t>
            </w:r>
            <w:r w:rsidRPr="00BD6C5F">
              <w:rPr>
                <w:b/>
                <w:bCs/>
              </w:rPr>
              <w:t>”</w:t>
            </w:r>
          </w:p>
        </w:tc>
        <w:tc>
          <w:tcPr>
            <w:tcW w:w="5953" w:type="dxa"/>
          </w:tcPr>
          <w:p w14:paraId="160B9582" w14:textId="0BA37D4D" w:rsidR="00BC7DDA" w:rsidRPr="00BD6C5F" w:rsidRDefault="009B03E9" w:rsidP="0067240A">
            <w:pPr>
              <w:pStyle w:val="Tabletext"/>
            </w:pPr>
            <w:r w:rsidRPr="00BD6C5F">
              <w:t>has the meaning given in Paragraph</w:t>
            </w:r>
            <w:r w:rsidR="000B589F" w:rsidRPr="00BD6C5F">
              <w:t> </w:t>
            </w:r>
            <w:r w:rsidR="000B589F" w:rsidRPr="00BD6C5F">
              <w:fldChar w:fldCharType="begin"/>
            </w:r>
            <w:r w:rsidR="000B589F" w:rsidRPr="00BD6C5F">
              <w:instrText xml:space="preserve"> REF _Ref98356017 \n \h </w:instrText>
            </w:r>
            <w:r w:rsidR="00AD7DD0" w:rsidRPr="00BD6C5F">
              <w:instrText xml:space="preserve"> \* MERGEFORMAT </w:instrText>
            </w:r>
            <w:r w:rsidR="000B589F" w:rsidRPr="00BD6C5F">
              <w:fldChar w:fldCharType="separate"/>
            </w:r>
            <w:r w:rsidR="009749A0">
              <w:t>6.1</w:t>
            </w:r>
            <w:r w:rsidR="000B589F"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rsidRPr="00BD6C5F">
              <w:t xml:space="preserve"> 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r w:rsidR="00BC7DDA" w:rsidRPr="00BD6C5F" w14:paraId="54DC9437" w14:textId="77777777" w:rsidTr="007A12DA">
        <w:trPr>
          <w:trHeight w:val="20"/>
        </w:trPr>
        <w:tc>
          <w:tcPr>
            <w:tcW w:w="3515" w:type="dxa"/>
          </w:tcPr>
          <w:p w14:paraId="428F0C08" w14:textId="30E47655" w:rsidR="00BC7DDA" w:rsidRPr="00BD6C5F" w:rsidRDefault="00A4555C" w:rsidP="0067240A">
            <w:pPr>
              <w:pStyle w:val="Tabletext"/>
              <w:rPr>
                <w:b/>
                <w:bCs/>
              </w:rPr>
            </w:pPr>
            <w:r w:rsidRPr="00BD6C5F">
              <w:rPr>
                <w:b/>
                <w:bCs/>
              </w:rPr>
              <w:t>“</w:t>
            </w:r>
            <w:r w:rsidR="009B03E9" w:rsidRPr="00BD6C5F">
              <w:rPr>
                <w:b/>
                <w:bCs/>
              </w:rPr>
              <w:t>Service Availability</w:t>
            </w:r>
            <w:r w:rsidRPr="00BD6C5F">
              <w:rPr>
                <w:b/>
                <w:bCs/>
              </w:rPr>
              <w:t>”</w:t>
            </w:r>
          </w:p>
        </w:tc>
        <w:tc>
          <w:tcPr>
            <w:tcW w:w="5953" w:type="dxa"/>
          </w:tcPr>
          <w:p w14:paraId="04CD5904" w14:textId="318FD310" w:rsidR="00BC7DDA" w:rsidRPr="00BD6C5F" w:rsidRDefault="009B03E9" w:rsidP="0067240A">
            <w:pPr>
              <w:pStyle w:val="Tabletext"/>
            </w:pPr>
            <w:r w:rsidRPr="00BD6C5F">
              <w:t xml:space="preserve">has the meaning given in Paragraph </w:t>
            </w:r>
            <w:r w:rsidR="000B589F" w:rsidRPr="00BD6C5F">
              <w:fldChar w:fldCharType="begin"/>
            </w:r>
            <w:r w:rsidR="000B589F" w:rsidRPr="00BD6C5F">
              <w:instrText xml:space="preserve"> REF _Ref98356087 \n \h </w:instrText>
            </w:r>
            <w:r w:rsidR="00AD7DD0" w:rsidRPr="00BD6C5F">
              <w:instrText xml:space="preserve"> \* MERGEFORMAT </w:instrText>
            </w:r>
            <w:r w:rsidR="000B589F" w:rsidRPr="00BD6C5F">
              <w:fldChar w:fldCharType="separate"/>
            </w:r>
            <w:r w:rsidR="009749A0">
              <w:t>2</w:t>
            </w:r>
            <w:r w:rsidR="000B589F"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rsidRPr="00BD6C5F">
              <w:t xml:space="preserve"> 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r w:rsidR="00BC7DDA" w:rsidRPr="00BD6C5F" w14:paraId="209B0025" w14:textId="77777777" w:rsidTr="007A12DA">
        <w:trPr>
          <w:trHeight w:val="20"/>
        </w:trPr>
        <w:tc>
          <w:tcPr>
            <w:tcW w:w="3515" w:type="dxa"/>
          </w:tcPr>
          <w:p w14:paraId="2D2EF0CD" w14:textId="2A6E927F" w:rsidR="00BC7DDA" w:rsidRPr="00BD6C5F" w:rsidRDefault="00A4555C" w:rsidP="0067240A">
            <w:pPr>
              <w:pStyle w:val="Tabletext"/>
              <w:rPr>
                <w:b/>
                <w:bCs/>
              </w:rPr>
            </w:pPr>
            <w:r w:rsidRPr="00BD6C5F">
              <w:rPr>
                <w:b/>
                <w:bCs/>
              </w:rPr>
              <w:t>“</w:t>
            </w:r>
            <w:r w:rsidR="009B03E9" w:rsidRPr="00BD6C5F">
              <w:rPr>
                <w:b/>
                <w:bCs/>
              </w:rPr>
              <w:t>Service Downtime</w:t>
            </w:r>
            <w:r w:rsidRPr="00BD6C5F">
              <w:rPr>
                <w:b/>
                <w:bCs/>
              </w:rPr>
              <w:t>”</w:t>
            </w:r>
          </w:p>
        </w:tc>
        <w:tc>
          <w:tcPr>
            <w:tcW w:w="5953" w:type="dxa"/>
          </w:tcPr>
          <w:p w14:paraId="7CD8B4BF" w14:textId="77777777" w:rsidR="00BC7DDA" w:rsidRPr="00BD6C5F" w:rsidRDefault="009B03E9" w:rsidP="0067240A">
            <w:pPr>
              <w:pStyle w:val="Tabletext"/>
            </w:pPr>
            <w:r w:rsidRPr="00BD6C5F">
              <w:t>any period of time during which any of the Services are not Available; and</w:t>
            </w:r>
          </w:p>
        </w:tc>
      </w:tr>
      <w:tr w:rsidR="00BC7DDA" w:rsidRPr="00BD6C5F" w14:paraId="7407461C" w14:textId="77777777" w:rsidTr="007A12DA">
        <w:trPr>
          <w:trHeight w:val="20"/>
        </w:trPr>
        <w:tc>
          <w:tcPr>
            <w:tcW w:w="3515" w:type="dxa"/>
          </w:tcPr>
          <w:p w14:paraId="75614F8C" w14:textId="236BB11B" w:rsidR="00BC7DDA" w:rsidRPr="00BD6C5F" w:rsidRDefault="00A4555C" w:rsidP="0067240A">
            <w:pPr>
              <w:pStyle w:val="Tabletext"/>
              <w:rPr>
                <w:b/>
                <w:bCs/>
              </w:rPr>
            </w:pPr>
            <w:r w:rsidRPr="00BD6C5F">
              <w:rPr>
                <w:b/>
                <w:bCs/>
              </w:rPr>
              <w:t>“</w:t>
            </w:r>
            <w:r w:rsidR="009B03E9" w:rsidRPr="00BD6C5F">
              <w:rPr>
                <w:b/>
                <w:bCs/>
              </w:rPr>
              <w:t>System Response Time</w:t>
            </w:r>
            <w:r w:rsidRPr="00BD6C5F">
              <w:rPr>
                <w:b/>
                <w:bCs/>
              </w:rPr>
              <w:t>”</w:t>
            </w:r>
          </w:p>
        </w:tc>
        <w:tc>
          <w:tcPr>
            <w:tcW w:w="5953" w:type="dxa"/>
          </w:tcPr>
          <w:p w14:paraId="3135B255" w14:textId="5A33E98B" w:rsidR="00BC7DDA" w:rsidRPr="00BD6C5F" w:rsidRDefault="009B03E9" w:rsidP="0067240A">
            <w:pPr>
              <w:pStyle w:val="Tabletext"/>
            </w:pPr>
            <w:r w:rsidRPr="00BD6C5F">
              <w:t xml:space="preserve">has the meaning given in Paragraph </w:t>
            </w:r>
            <w:r w:rsidR="000B589F" w:rsidRPr="00BD6C5F">
              <w:fldChar w:fldCharType="begin"/>
            </w:r>
            <w:r w:rsidR="000B589F" w:rsidRPr="00BD6C5F">
              <w:instrText xml:space="preserve"> REF _Ref98356073 \n \h </w:instrText>
            </w:r>
            <w:r w:rsidR="00AD7DD0" w:rsidRPr="00BD6C5F">
              <w:instrText xml:space="preserve"> \* MERGEFORMAT </w:instrText>
            </w:r>
            <w:r w:rsidR="000B589F" w:rsidRPr="00BD6C5F">
              <w:fldChar w:fldCharType="separate"/>
            </w:r>
            <w:r w:rsidR="009749A0">
              <w:t>3.1</w:t>
            </w:r>
            <w:r w:rsidR="000B589F" w:rsidRPr="00BD6C5F">
              <w:fldChar w:fldCharType="end"/>
            </w:r>
            <w:r w:rsidRPr="00BD6C5F">
              <w:t xml:space="preserve"> of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rsidRPr="00BD6C5F">
              <w:t xml:space="preserve"> of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w:t>
            </w:r>
          </w:p>
        </w:tc>
      </w:tr>
    </w:tbl>
    <w:p w14:paraId="332A2A22" w14:textId="739F256D" w:rsidR="00AF7327" w:rsidRPr="00BD6C5F" w:rsidRDefault="00AF7327" w:rsidP="00B24C98">
      <w:pPr>
        <w:rPr>
          <w:rFonts w:asciiTheme="minorHAnsi" w:hAnsiTheme="minorHAnsi" w:cstheme="minorHAnsi"/>
          <w:highlight w:val="lightGray"/>
          <w:lang w:eastAsia="zh-CN" w:bidi="ar-SA"/>
        </w:rPr>
      </w:pPr>
    </w:p>
    <w:p w14:paraId="2F63FD9F" w14:textId="1A070B94" w:rsidR="00BC7DDA" w:rsidRPr="00BD6C5F" w:rsidRDefault="00F92113" w:rsidP="00CF008E">
      <w:pPr>
        <w:pStyle w:val="Heading2"/>
        <w:pageBreakBefore/>
        <w:widowControl/>
      </w:pPr>
      <w:bookmarkStart w:id="31" w:name="_Toc141720972"/>
      <w:r w:rsidRPr="00BD6C5F">
        <w:lastRenderedPageBreak/>
        <w:t xml:space="preserve">Part </w:t>
      </w:r>
      <w:bookmarkStart w:id="32" w:name="Schedule_3_Part_A"/>
      <w:r w:rsidRPr="00BD6C5F">
        <w:t>A</w:t>
      </w:r>
      <w:bookmarkEnd w:id="32"/>
      <w:r w:rsidRPr="00BD6C5F">
        <w:t xml:space="preserve">: </w:t>
      </w:r>
      <w:bookmarkStart w:id="33" w:name="_bookmark18"/>
      <w:bookmarkStart w:id="34" w:name="_Toc98332704"/>
      <w:bookmarkStart w:id="35" w:name="_Ref98332806"/>
      <w:bookmarkStart w:id="36" w:name="_Ref98347208"/>
      <w:bookmarkStart w:id="37" w:name="_Ref98448174"/>
      <w:bookmarkStart w:id="38" w:name="_Ref98448287"/>
      <w:bookmarkStart w:id="39" w:name="_Ref98450361"/>
      <w:bookmarkStart w:id="40" w:name="_Ref98450385"/>
      <w:bookmarkStart w:id="41" w:name="_Toc98852879"/>
      <w:bookmarkEnd w:id="33"/>
      <w:r w:rsidRPr="00BD6C5F">
        <w:t>Performance Indicators and Service Credits</w:t>
      </w:r>
      <w:bookmarkEnd w:id="34"/>
      <w:bookmarkEnd w:id="35"/>
      <w:bookmarkEnd w:id="36"/>
      <w:bookmarkEnd w:id="37"/>
      <w:bookmarkEnd w:id="38"/>
      <w:bookmarkEnd w:id="39"/>
      <w:bookmarkEnd w:id="40"/>
      <w:bookmarkEnd w:id="41"/>
      <w:bookmarkEnd w:id="31"/>
    </w:p>
    <w:p w14:paraId="2A058D89" w14:textId="1B20745D" w:rsidR="00BC7DDA" w:rsidRPr="00BD6C5F" w:rsidRDefault="00EE06F9" w:rsidP="00B71FC0">
      <w:pPr>
        <w:pStyle w:val="Numbered1"/>
        <w:numPr>
          <w:ilvl w:val="0"/>
          <w:numId w:val="80"/>
        </w:numPr>
      </w:pPr>
      <w:r w:rsidRPr="00BD6C5F">
        <w:t>Performance Indicators</w:t>
      </w:r>
    </w:p>
    <w:p w14:paraId="32139344" w14:textId="6BA441D8" w:rsidR="00BC7DDA" w:rsidRPr="00BD6C5F" w:rsidRDefault="00E15746" w:rsidP="00C5057A">
      <w:pPr>
        <w:pStyle w:val="Numbered11"/>
      </w:pPr>
      <w:r>
        <w:t>Annex </w:t>
      </w:r>
      <w:r>
        <w:fldChar w:fldCharType="begin"/>
      </w:r>
      <w:r>
        <w:instrText xml:space="preserve"> REF Schedule_3_Annex_1 \h </w:instrText>
      </w:r>
      <w:r>
        <w:fldChar w:fldCharType="separate"/>
      </w:r>
      <w:r w:rsidR="009749A0" w:rsidRPr="00BD6C5F">
        <w:t>1</w:t>
      </w:r>
      <w:r>
        <w:fldChar w:fldCharType="end"/>
      </w:r>
      <w:r w:rsidR="009B03E9" w:rsidRPr="00BD6C5F">
        <w:t xml:space="preserve"> sets out the Key Performance Indicators and Subsidiary Performance Indicators which the Parties have agreed shall be used to measure the performance of the Services </w:t>
      </w:r>
      <w:r w:rsidR="00672A91" w:rsidRPr="00BD6C5F">
        <w:t xml:space="preserve">and Social Value </w:t>
      </w:r>
      <w:r w:rsidR="009B03E9" w:rsidRPr="00BD6C5F">
        <w:t>by the Supplier.</w:t>
      </w:r>
    </w:p>
    <w:p w14:paraId="34057105" w14:textId="78150120" w:rsidR="00BC7DDA" w:rsidRPr="00BD6C5F" w:rsidRDefault="009B03E9" w:rsidP="00C5057A">
      <w:pPr>
        <w:pStyle w:val="Numbered11"/>
      </w:pPr>
      <w:r w:rsidRPr="00BD6C5F">
        <w:t xml:space="preserve">The Supplier shall monitor its performance against each Performance Indicator and shall send the Authority a report detailing the level of service actually achieved in accordance with </w:t>
      </w:r>
      <w:r w:rsidR="00E15746">
        <w:t>Part </w:t>
      </w:r>
      <w:r w:rsidR="00E15746">
        <w:fldChar w:fldCharType="begin"/>
      </w:r>
      <w:r w:rsidR="00E15746">
        <w:instrText xml:space="preserve"> REF Schedule_3_Annex_1_Part_B \h </w:instrText>
      </w:r>
      <w:r w:rsidR="00E15746">
        <w:fldChar w:fldCharType="separate"/>
      </w:r>
      <w:r w:rsidR="009749A0" w:rsidRPr="00BD6C5F">
        <w:t>B</w:t>
      </w:r>
      <w:r w:rsidR="00E15746">
        <w:fldChar w:fldCharType="end"/>
      </w:r>
      <w:r w:rsidR="00E15746">
        <w:t xml:space="preserve"> of 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00E15746">
        <w:t>.</w:t>
      </w:r>
    </w:p>
    <w:p w14:paraId="4FCD9413" w14:textId="267F4993" w:rsidR="00BC7DDA" w:rsidRPr="00BD6C5F" w:rsidRDefault="009B03E9" w:rsidP="00C5057A">
      <w:pPr>
        <w:pStyle w:val="Numbered11"/>
      </w:pPr>
      <w:r w:rsidRPr="00BD6C5F">
        <w:t xml:space="preserve">Service Points, and therefore Service Credits, shall accrue for any KPI Failure and shall be calculated in accordance with Paragraphs </w:t>
      </w:r>
      <w:r w:rsidR="004A0075" w:rsidRPr="00BD6C5F">
        <w:fldChar w:fldCharType="begin"/>
      </w:r>
      <w:r w:rsidR="004A0075" w:rsidRPr="00BD6C5F">
        <w:instrText xml:space="preserve"> REF _Ref98356339 \n \h </w:instrText>
      </w:r>
      <w:r w:rsidR="00AD7DD0" w:rsidRPr="00BD6C5F">
        <w:instrText xml:space="preserve"> \* MERGEFORMAT </w:instrText>
      </w:r>
      <w:r w:rsidR="004A0075" w:rsidRPr="00BD6C5F">
        <w:fldChar w:fldCharType="separate"/>
      </w:r>
      <w:r w:rsidR="009749A0">
        <w:t>2</w:t>
      </w:r>
      <w:r w:rsidR="004A0075" w:rsidRPr="00BD6C5F">
        <w:fldChar w:fldCharType="end"/>
      </w:r>
      <w:r w:rsidRPr="00BD6C5F">
        <w:t xml:space="preserve">, </w:t>
      </w:r>
      <w:r w:rsidR="004A0075" w:rsidRPr="00BD6C5F">
        <w:fldChar w:fldCharType="begin"/>
      </w:r>
      <w:r w:rsidR="004A0075" w:rsidRPr="00BD6C5F">
        <w:instrText xml:space="preserve"> REF _Ref98356347 \n \h </w:instrText>
      </w:r>
      <w:r w:rsidR="00AD7DD0" w:rsidRPr="00BD6C5F">
        <w:instrText xml:space="preserve"> \* MERGEFORMAT </w:instrText>
      </w:r>
      <w:r w:rsidR="004A0075" w:rsidRPr="00BD6C5F">
        <w:fldChar w:fldCharType="separate"/>
      </w:r>
      <w:r w:rsidR="009749A0">
        <w:t>3</w:t>
      </w:r>
      <w:r w:rsidR="004A0075" w:rsidRPr="00BD6C5F">
        <w:fldChar w:fldCharType="end"/>
      </w:r>
      <w:r w:rsidRPr="00BD6C5F">
        <w:t xml:space="preserve"> and </w:t>
      </w:r>
      <w:r w:rsidR="004A0075" w:rsidRPr="00BD6C5F">
        <w:fldChar w:fldCharType="begin"/>
      </w:r>
      <w:r w:rsidR="004A0075" w:rsidRPr="00BD6C5F">
        <w:instrText xml:space="preserve"> REF _Ref98356360 \n \h </w:instrText>
      </w:r>
      <w:r w:rsidR="00AD7DD0" w:rsidRPr="00BD6C5F">
        <w:instrText xml:space="preserve"> \* MERGEFORMAT </w:instrText>
      </w:r>
      <w:r w:rsidR="004A0075" w:rsidRPr="00BD6C5F">
        <w:fldChar w:fldCharType="separate"/>
      </w:r>
      <w:r w:rsidR="009749A0">
        <w:t>5</w:t>
      </w:r>
      <w:r w:rsidR="004A0075" w:rsidRPr="00BD6C5F">
        <w:fldChar w:fldCharType="end"/>
      </w:r>
      <w:r w:rsidRPr="00BD6C5F">
        <w:t>.</w:t>
      </w:r>
    </w:p>
    <w:p w14:paraId="1CB66CC7" w14:textId="38BB887E" w:rsidR="00BC7DDA" w:rsidRPr="00BD6C5F" w:rsidRDefault="00EE06F9" w:rsidP="00C5057A">
      <w:pPr>
        <w:pStyle w:val="Numbered1"/>
      </w:pPr>
      <w:bookmarkStart w:id="42" w:name="_bookmark19"/>
      <w:bookmarkStart w:id="43" w:name="_Ref98356339"/>
      <w:bookmarkEnd w:id="42"/>
      <w:r w:rsidRPr="00BD6C5F">
        <w:t>Service Points</w:t>
      </w:r>
      <w:bookmarkEnd w:id="43"/>
    </w:p>
    <w:p w14:paraId="1D77D9E6" w14:textId="77777777" w:rsidR="00BC7DDA" w:rsidRPr="00BD6C5F" w:rsidRDefault="009B03E9" w:rsidP="00C5057A">
      <w:pPr>
        <w:pStyle w:val="Numbered11"/>
      </w:pPr>
      <w:r w:rsidRPr="00BD6C5F">
        <w:t>If the level of performance of the Supplier during a Service Period achieves the Target Performance Level in respect of a Key Performance Indicator, no Service Points shall accrue to the Supplier in respect of that Key Performance Indicator.</w:t>
      </w:r>
    </w:p>
    <w:p w14:paraId="19EF0A99" w14:textId="7163D9B2" w:rsidR="00BC7DDA" w:rsidRPr="00BD6C5F" w:rsidRDefault="009B03E9" w:rsidP="00C5057A">
      <w:pPr>
        <w:pStyle w:val="Numbered11"/>
      </w:pPr>
      <w:r w:rsidRPr="00BD6C5F">
        <w:t xml:space="preserve">If the level of performance of the Supplier during a Service Period is below the Target Performance Level in respect of a Key Performance Indicator, Service Points shall accrue to the Supplier in respect of that Key Performance Indicator as set out in Paragraph </w:t>
      </w:r>
      <w:r w:rsidR="004A0075" w:rsidRPr="00BD6C5F">
        <w:fldChar w:fldCharType="begin"/>
      </w:r>
      <w:r w:rsidR="004A0075" w:rsidRPr="00BD6C5F">
        <w:instrText xml:space="preserve"> REF _Ref98356375 \n \h </w:instrText>
      </w:r>
      <w:r w:rsidR="00AD7DD0" w:rsidRPr="00BD6C5F">
        <w:instrText xml:space="preserve"> \* MERGEFORMAT </w:instrText>
      </w:r>
      <w:r w:rsidR="004A0075" w:rsidRPr="00BD6C5F">
        <w:fldChar w:fldCharType="separate"/>
      </w:r>
      <w:r w:rsidR="009749A0">
        <w:t>2.3</w:t>
      </w:r>
      <w:r w:rsidR="004A0075" w:rsidRPr="00BD6C5F">
        <w:fldChar w:fldCharType="end"/>
      </w:r>
      <w:r w:rsidRPr="00BD6C5F">
        <w:t>.</w:t>
      </w:r>
    </w:p>
    <w:p w14:paraId="02765259" w14:textId="37980F86" w:rsidR="00BC7DDA" w:rsidRPr="00BD6C5F" w:rsidRDefault="009B03E9" w:rsidP="00C5057A">
      <w:pPr>
        <w:pStyle w:val="Numbered11"/>
      </w:pPr>
      <w:bookmarkStart w:id="44" w:name="_bookmark20"/>
      <w:bookmarkStart w:id="45" w:name="_Ref98356375"/>
      <w:bookmarkEnd w:id="44"/>
      <w:r w:rsidRPr="00BD6C5F">
        <w:t xml:space="preserve">The number of Service Points that shall accrue to the Supplier in respect of a KPI Failure shall be the applicable number as set out in </w:t>
      </w:r>
      <w:r w:rsidR="00E15746">
        <w:t>Annex </w:t>
      </w:r>
      <w:r w:rsidR="00E15746">
        <w:fldChar w:fldCharType="begin"/>
      </w:r>
      <w:r w:rsidR="00E15746">
        <w:instrText xml:space="preserve"> REF Schedule_3_Annex_1 \h </w:instrText>
      </w:r>
      <w:r w:rsidR="00E15746">
        <w:fldChar w:fldCharType="separate"/>
      </w:r>
      <w:r w:rsidR="009749A0" w:rsidRPr="00BD6C5F">
        <w:t>1</w:t>
      </w:r>
      <w:r w:rsidR="00E15746">
        <w:fldChar w:fldCharType="end"/>
      </w:r>
      <w:r w:rsidRPr="00BD6C5F">
        <w:t xml:space="preserve"> depending on whether the KPI Failure is a Minor KPI Failure, a Serious KPI Failure or a Severe KPI Failure, unless the KPI Failure is a Repeat KPI Failure when the provisions of Paragraph </w:t>
      </w:r>
      <w:r w:rsidR="004A0075" w:rsidRPr="00BD6C5F">
        <w:fldChar w:fldCharType="begin"/>
      </w:r>
      <w:r w:rsidR="004A0075" w:rsidRPr="00BD6C5F">
        <w:instrText xml:space="preserve"> REF _Ref98356388 \n \h </w:instrText>
      </w:r>
      <w:r w:rsidR="00AD7DD0" w:rsidRPr="00BD6C5F">
        <w:instrText xml:space="preserve"> \* MERGEFORMAT </w:instrText>
      </w:r>
      <w:r w:rsidR="004A0075" w:rsidRPr="00BD6C5F">
        <w:fldChar w:fldCharType="separate"/>
      </w:r>
      <w:r w:rsidR="009749A0">
        <w:t>3.2</w:t>
      </w:r>
      <w:r w:rsidR="004A0075" w:rsidRPr="00BD6C5F">
        <w:fldChar w:fldCharType="end"/>
      </w:r>
      <w:r w:rsidRPr="00BD6C5F">
        <w:t xml:space="preserve"> shall apply.</w:t>
      </w:r>
      <w:bookmarkEnd w:id="45"/>
    </w:p>
    <w:p w14:paraId="1041CDBE" w14:textId="25456529" w:rsidR="00BC7DDA" w:rsidRPr="00BD6C5F" w:rsidRDefault="00EE06F9" w:rsidP="00C5057A">
      <w:pPr>
        <w:pStyle w:val="Numbered1"/>
      </w:pPr>
      <w:bookmarkStart w:id="46" w:name="_bookmark21"/>
      <w:bookmarkStart w:id="47" w:name="_Ref98356347"/>
      <w:bookmarkEnd w:id="46"/>
      <w:r w:rsidRPr="00BD6C5F">
        <w:t>Repeat KPI Failures and Related KPI Failures Repeat KPI Failures</w:t>
      </w:r>
      <w:bookmarkEnd w:id="47"/>
    </w:p>
    <w:p w14:paraId="477EA859" w14:textId="45EDEDAC" w:rsidR="00BC7DDA" w:rsidRPr="00BD6C5F" w:rsidRDefault="009B03E9" w:rsidP="00C5057A">
      <w:pPr>
        <w:pStyle w:val="Numbered11"/>
      </w:pPr>
      <w:bookmarkStart w:id="48" w:name="_bookmark22"/>
      <w:bookmarkStart w:id="49" w:name="_Ref141213849"/>
      <w:bookmarkEnd w:id="48"/>
      <w:r w:rsidRPr="00BD6C5F">
        <w:t xml:space="preserve">If a KPI Failure occurs in respect of the same Key Performance Indicator in any two consecutive Measurement Periods, the second and any subsequent such KPI Failure shall be a </w:t>
      </w:r>
      <w:r w:rsidR="00A4555C" w:rsidRPr="00BD6C5F">
        <w:t>“</w:t>
      </w:r>
      <w:r w:rsidRPr="00BD6C5F">
        <w:rPr>
          <w:b/>
        </w:rPr>
        <w:t>Repeat KPI Failure</w:t>
      </w:r>
      <w:r w:rsidR="00A4555C" w:rsidRPr="00BD6C5F">
        <w:t>”</w:t>
      </w:r>
      <w:r w:rsidRPr="00BD6C5F">
        <w:t>.</w:t>
      </w:r>
      <w:bookmarkEnd w:id="49"/>
    </w:p>
    <w:p w14:paraId="610D4342" w14:textId="77777777" w:rsidR="00BC7DDA" w:rsidRPr="00BD6C5F" w:rsidRDefault="009B03E9" w:rsidP="003E785F">
      <w:pPr>
        <w:pStyle w:val="Numbered11"/>
        <w:keepNext/>
      </w:pPr>
      <w:bookmarkStart w:id="50" w:name="_bookmark23"/>
      <w:bookmarkStart w:id="51" w:name="_Ref98356388"/>
      <w:bookmarkEnd w:id="50"/>
      <w:r w:rsidRPr="00BD6C5F">
        <w:t>The number of Service Points that shall accrue to the Supplier in respect of a KPI Failure that is a Repeat KPI Failure shall be calculated as follows:</w:t>
      </w:r>
      <w:bookmarkEnd w:id="51"/>
    </w:p>
    <w:p w14:paraId="54DA2E84" w14:textId="77777777" w:rsidR="00BC7DDA" w:rsidRPr="00BD6C5F" w:rsidRDefault="009B03E9" w:rsidP="00583A8A">
      <w:pPr>
        <w:pStyle w:val="BodyText"/>
        <w:spacing w:before="100" w:after="200"/>
        <w:ind w:left="720"/>
        <w:rPr>
          <w:rFonts w:asciiTheme="minorHAnsi" w:hAnsiTheme="minorHAnsi" w:cstheme="minorHAnsi"/>
        </w:rPr>
      </w:pPr>
      <w:r w:rsidRPr="00BD6C5F">
        <w:rPr>
          <w:rFonts w:asciiTheme="minorHAnsi" w:hAnsiTheme="minorHAnsi" w:cstheme="minorHAnsi"/>
        </w:rPr>
        <w:t>SP = P x 2</w:t>
      </w:r>
    </w:p>
    <w:p w14:paraId="51375B3D" w14:textId="77777777" w:rsidR="00BC7DDA" w:rsidRPr="00BD6C5F" w:rsidRDefault="009B03E9" w:rsidP="003E785F">
      <w:pPr>
        <w:pStyle w:val="BodyText"/>
        <w:keepNext/>
        <w:spacing w:before="100" w:after="200"/>
        <w:ind w:left="720"/>
        <w:rPr>
          <w:rFonts w:asciiTheme="minorHAnsi" w:hAnsiTheme="minorHAnsi" w:cstheme="minorHAnsi"/>
        </w:rPr>
      </w:pPr>
      <w:r w:rsidRPr="00BD6C5F">
        <w:rPr>
          <w:rFonts w:asciiTheme="minorHAnsi" w:hAnsiTheme="minorHAnsi" w:cstheme="minorHAnsi"/>
        </w:rPr>
        <w:t>where:</w:t>
      </w:r>
    </w:p>
    <w:p w14:paraId="53B41278" w14:textId="500EFB2E" w:rsidR="00BC7DDA" w:rsidRPr="00BD6C5F" w:rsidRDefault="009B03E9" w:rsidP="00583A8A">
      <w:pPr>
        <w:pStyle w:val="BodyText"/>
        <w:spacing w:before="100" w:after="200"/>
        <w:ind w:left="720"/>
        <w:rPr>
          <w:rFonts w:asciiTheme="minorHAnsi" w:hAnsiTheme="minorHAnsi" w:cstheme="minorHAnsi"/>
        </w:rPr>
      </w:pPr>
      <w:r w:rsidRPr="00BD6C5F">
        <w:rPr>
          <w:rFonts w:asciiTheme="minorHAnsi" w:hAnsiTheme="minorHAnsi" w:cstheme="minorHAnsi"/>
          <w:b/>
        </w:rPr>
        <w:t>SP =</w:t>
      </w:r>
      <w:r w:rsidR="00583A8A" w:rsidRPr="00BD6C5F">
        <w:rPr>
          <w:rFonts w:asciiTheme="minorHAnsi" w:hAnsiTheme="minorHAnsi" w:cstheme="minorHAnsi"/>
          <w:b/>
        </w:rPr>
        <w:tab/>
      </w:r>
      <w:r w:rsidRPr="00BD6C5F">
        <w:rPr>
          <w:rFonts w:asciiTheme="minorHAnsi" w:hAnsiTheme="minorHAnsi" w:cstheme="minorHAnsi"/>
        </w:rPr>
        <w:t>the number of Service Points that shall accrue for the Repeat KPI Failure; and</w:t>
      </w:r>
    </w:p>
    <w:p w14:paraId="4A9C5B67" w14:textId="780A4DCB" w:rsidR="00BC7DDA" w:rsidRPr="00BD6C5F" w:rsidRDefault="009B03E9" w:rsidP="00583A8A">
      <w:pPr>
        <w:pStyle w:val="BodyText"/>
        <w:spacing w:before="100" w:after="200"/>
        <w:ind w:left="1440" w:hanging="720"/>
        <w:rPr>
          <w:rFonts w:asciiTheme="minorHAnsi" w:hAnsiTheme="minorHAnsi" w:cstheme="minorHAnsi"/>
        </w:rPr>
      </w:pPr>
      <w:r w:rsidRPr="00BD6C5F">
        <w:rPr>
          <w:rFonts w:asciiTheme="minorHAnsi" w:hAnsiTheme="minorHAnsi" w:cstheme="minorHAnsi"/>
          <w:b/>
        </w:rPr>
        <w:t>P =</w:t>
      </w:r>
      <w:r w:rsidRPr="00BD6C5F">
        <w:rPr>
          <w:rFonts w:asciiTheme="minorHAnsi" w:hAnsiTheme="minorHAnsi" w:cstheme="minorHAnsi"/>
          <w:b/>
        </w:rPr>
        <w:tab/>
      </w:r>
      <w:r w:rsidRPr="00BD6C5F">
        <w:rPr>
          <w:rFonts w:asciiTheme="minorHAnsi" w:hAnsiTheme="minorHAnsi" w:cstheme="minorHAnsi"/>
        </w:rPr>
        <w:t xml:space="preserve">the applicable number of Service Points for that KPI Failure as set out in </w:t>
      </w:r>
      <w:r w:rsidR="00E15746">
        <w:rPr>
          <w:rFonts w:asciiTheme="minorHAnsi" w:hAnsiTheme="minorHAnsi" w:cstheme="minorHAnsi"/>
        </w:rPr>
        <w:t>Annex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1</w:t>
      </w:r>
      <w:r w:rsidR="00E15746">
        <w:rPr>
          <w:rFonts w:asciiTheme="minorHAnsi" w:hAnsiTheme="minorHAnsi" w:cstheme="minorHAnsi"/>
        </w:rPr>
        <w:fldChar w:fldCharType="end"/>
      </w:r>
      <w:r w:rsidRPr="00BD6C5F">
        <w:rPr>
          <w:rFonts w:asciiTheme="minorHAnsi" w:hAnsiTheme="minorHAnsi" w:cstheme="minorHAnsi"/>
        </w:rPr>
        <w:t xml:space="preserve"> depending on whether the Repeat KPI Failure is a Minor KPI</w:t>
      </w:r>
      <w:r w:rsidR="00AF7327" w:rsidRPr="00BD6C5F">
        <w:rPr>
          <w:rFonts w:asciiTheme="minorHAnsi" w:hAnsiTheme="minorHAnsi" w:cstheme="minorHAnsi"/>
        </w:rPr>
        <w:t xml:space="preserve"> </w:t>
      </w:r>
      <w:r w:rsidRPr="00BD6C5F">
        <w:rPr>
          <w:rFonts w:asciiTheme="minorHAnsi" w:hAnsiTheme="minorHAnsi" w:cstheme="minorHAnsi"/>
        </w:rPr>
        <w:t>Failure, a Serious KPI Failure, a Severe KPI Failure or a failure to meet the KPI Service Threshold.</w:t>
      </w:r>
    </w:p>
    <w:p w14:paraId="6B6B55A2" w14:textId="082DAF5D" w:rsidR="00BC7DDA" w:rsidRPr="00BD6C5F" w:rsidRDefault="009B03E9" w:rsidP="006D1202">
      <w:pPr>
        <w:keepNext/>
        <w:spacing w:before="100" w:after="200"/>
        <w:rPr>
          <w:b/>
          <w:bCs/>
        </w:rPr>
      </w:pPr>
      <w:r w:rsidRPr="00BD6C5F">
        <w:rPr>
          <w:b/>
          <w:bCs/>
          <w:highlight w:val="yellow"/>
        </w:rPr>
        <w:lastRenderedPageBreak/>
        <w:t>[Worked example based on the following Service Points regime for Service Availability:</w:t>
      </w:r>
    </w:p>
    <w:tbl>
      <w:tblPr>
        <w:tblStyle w:val="MSATable-header"/>
        <w:tblW w:w="0" w:type="auto"/>
        <w:tblLook w:val="04A0" w:firstRow="1" w:lastRow="0" w:firstColumn="1" w:lastColumn="0" w:noHBand="0" w:noVBand="1"/>
      </w:tblPr>
      <w:tblGrid>
        <w:gridCol w:w="5181"/>
        <w:gridCol w:w="5017"/>
      </w:tblGrid>
      <w:tr w:rsidR="00AD7DD0" w:rsidRPr="00BD6C5F" w14:paraId="489923FA" w14:textId="77777777" w:rsidTr="00AD7DD0">
        <w:trPr>
          <w:cnfStyle w:val="100000000000" w:firstRow="1" w:lastRow="0" w:firstColumn="0" w:lastColumn="0" w:oddVBand="0" w:evenVBand="0" w:oddHBand="0" w:evenHBand="0" w:firstRowFirstColumn="0" w:firstRowLastColumn="0" w:lastRowFirstColumn="0" w:lastRowLastColumn="0"/>
          <w:tblHeader/>
        </w:trPr>
        <w:tc>
          <w:tcPr>
            <w:tcW w:w="5181" w:type="dxa"/>
          </w:tcPr>
          <w:p w14:paraId="5A68BE26"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Service Availability Severity Levels</w:t>
            </w:r>
          </w:p>
        </w:tc>
        <w:tc>
          <w:tcPr>
            <w:tcW w:w="5017" w:type="dxa"/>
          </w:tcPr>
          <w:p w14:paraId="7F53B023"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Service Points</w:t>
            </w:r>
          </w:p>
        </w:tc>
      </w:tr>
      <w:tr w:rsidR="00AD7DD0" w:rsidRPr="00BD6C5F" w14:paraId="2A446A7A" w14:textId="77777777" w:rsidTr="00AD7DD0">
        <w:tc>
          <w:tcPr>
            <w:tcW w:w="5181" w:type="dxa"/>
          </w:tcPr>
          <w:p w14:paraId="36061200"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Target Performance Level: 99%</w:t>
            </w:r>
          </w:p>
        </w:tc>
        <w:tc>
          <w:tcPr>
            <w:tcW w:w="5017" w:type="dxa"/>
          </w:tcPr>
          <w:p w14:paraId="21ED5E39" w14:textId="77777777" w:rsidR="00AD7DD0" w:rsidRPr="00BD6C5F" w:rsidRDefault="00AD7DD0" w:rsidP="00D07531">
            <w:pPr>
              <w:pStyle w:val="Tabletext"/>
              <w:rPr>
                <w:rFonts w:asciiTheme="minorHAnsi" w:hAnsiTheme="minorHAnsi" w:cstheme="minorHAnsi"/>
                <w:w w:val="99"/>
                <w:highlight w:val="yellow"/>
              </w:rPr>
            </w:pPr>
            <w:r w:rsidRPr="00BD6C5F">
              <w:rPr>
                <w:rFonts w:asciiTheme="minorHAnsi" w:hAnsiTheme="minorHAnsi" w:cstheme="minorHAnsi"/>
                <w:w w:val="99"/>
                <w:highlight w:val="yellow"/>
              </w:rPr>
              <w:t>0</w:t>
            </w:r>
          </w:p>
        </w:tc>
      </w:tr>
      <w:tr w:rsidR="00AD7DD0" w:rsidRPr="00BD6C5F" w14:paraId="738F398C" w14:textId="77777777" w:rsidTr="00AD7DD0">
        <w:tc>
          <w:tcPr>
            <w:tcW w:w="5181" w:type="dxa"/>
          </w:tcPr>
          <w:p w14:paraId="1DB5A5E3"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Minor KPI Failure: 98.0% - 98.9%</w:t>
            </w:r>
          </w:p>
        </w:tc>
        <w:tc>
          <w:tcPr>
            <w:tcW w:w="5017" w:type="dxa"/>
          </w:tcPr>
          <w:p w14:paraId="5CA9A797"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w w:val="99"/>
                <w:highlight w:val="yellow"/>
              </w:rPr>
              <w:t>1</w:t>
            </w:r>
          </w:p>
        </w:tc>
      </w:tr>
      <w:tr w:rsidR="00AD7DD0" w:rsidRPr="00BD6C5F" w14:paraId="4123EDAE" w14:textId="77777777" w:rsidTr="00AD7DD0">
        <w:tc>
          <w:tcPr>
            <w:tcW w:w="5181" w:type="dxa"/>
          </w:tcPr>
          <w:p w14:paraId="589FAD10"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Serious KPI Failure: 97.0% - 97.9%</w:t>
            </w:r>
          </w:p>
        </w:tc>
        <w:tc>
          <w:tcPr>
            <w:tcW w:w="5017" w:type="dxa"/>
          </w:tcPr>
          <w:p w14:paraId="00BF2CBD" w14:textId="77777777" w:rsidR="00AD7DD0" w:rsidRPr="00BD6C5F" w:rsidRDefault="00AD7DD0" w:rsidP="00D07531">
            <w:pPr>
              <w:pStyle w:val="Tabletext"/>
              <w:rPr>
                <w:rFonts w:asciiTheme="minorHAnsi" w:hAnsiTheme="minorHAnsi" w:cstheme="minorHAnsi"/>
                <w:w w:val="99"/>
                <w:highlight w:val="yellow"/>
              </w:rPr>
            </w:pPr>
            <w:r w:rsidRPr="00BD6C5F">
              <w:rPr>
                <w:rFonts w:asciiTheme="minorHAnsi" w:hAnsiTheme="minorHAnsi" w:cstheme="minorHAnsi"/>
                <w:w w:val="99"/>
                <w:highlight w:val="yellow"/>
              </w:rPr>
              <w:t>2</w:t>
            </w:r>
          </w:p>
        </w:tc>
      </w:tr>
      <w:tr w:rsidR="00AD7DD0" w:rsidRPr="00BD6C5F" w14:paraId="21BBE325" w14:textId="77777777" w:rsidTr="00AD7DD0">
        <w:tc>
          <w:tcPr>
            <w:tcW w:w="5181" w:type="dxa"/>
          </w:tcPr>
          <w:p w14:paraId="1A620DB2"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Severe KPI Failure: 96.0% - 96.9%</w:t>
            </w:r>
          </w:p>
        </w:tc>
        <w:tc>
          <w:tcPr>
            <w:tcW w:w="5017" w:type="dxa"/>
          </w:tcPr>
          <w:p w14:paraId="3EB430AB" w14:textId="77777777" w:rsidR="00AD7DD0" w:rsidRPr="00BD6C5F" w:rsidRDefault="00AD7DD0" w:rsidP="00D07531">
            <w:pPr>
              <w:pStyle w:val="Tabletext"/>
              <w:rPr>
                <w:rFonts w:asciiTheme="minorHAnsi" w:hAnsiTheme="minorHAnsi" w:cstheme="minorHAnsi"/>
                <w:w w:val="99"/>
                <w:highlight w:val="yellow"/>
              </w:rPr>
            </w:pPr>
            <w:r w:rsidRPr="00BD6C5F">
              <w:rPr>
                <w:rFonts w:asciiTheme="minorHAnsi" w:hAnsiTheme="minorHAnsi" w:cstheme="minorHAnsi"/>
                <w:w w:val="99"/>
                <w:highlight w:val="yellow"/>
              </w:rPr>
              <w:t>3</w:t>
            </w:r>
          </w:p>
        </w:tc>
      </w:tr>
      <w:tr w:rsidR="00AD7DD0" w:rsidRPr="00BD6C5F" w14:paraId="7F427AF3" w14:textId="77777777" w:rsidTr="00AD7DD0">
        <w:tc>
          <w:tcPr>
            <w:tcW w:w="5181" w:type="dxa"/>
          </w:tcPr>
          <w:p w14:paraId="4005BFCF"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highlight w:val="yellow"/>
              </w:rPr>
              <w:t>KPI Service Threshold: below 96%</w:t>
            </w:r>
          </w:p>
        </w:tc>
        <w:tc>
          <w:tcPr>
            <w:tcW w:w="5017" w:type="dxa"/>
          </w:tcPr>
          <w:p w14:paraId="379C38F9" w14:textId="77777777" w:rsidR="00AD7DD0" w:rsidRPr="00BD6C5F" w:rsidRDefault="00AD7DD0" w:rsidP="00D07531">
            <w:pPr>
              <w:pStyle w:val="Tabletext"/>
              <w:rPr>
                <w:rFonts w:asciiTheme="minorHAnsi" w:hAnsiTheme="minorHAnsi" w:cstheme="minorHAnsi"/>
                <w:highlight w:val="yellow"/>
              </w:rPr>
            </w:pPr>
            <w:r w:rsidRPr="00BD6C5F">
              <w:rPr>
                <w:rFonts w:asciiTheme="minorHAnsi" w:hAnsiTheme="minorHAnsi" w:cstheme="minorHAnsi"/>
                <w:w w:val="99"/>
                <w:highlight w:val="yellow"/>
              </w:rPr>
              <w:t>4</w:t>
            </w:r>
          </w:p>
        </w:tc>
      </w:tr>
    </w:tbl>
    <w:p w14:paraId="59D20096" w14:textId="1DD94D66" w:rsidR="00BC7DDA" w:rsidRPr="006D1202" w:rsidRDefault="009B03E9" w:rsidP="00583A8A">
      <w:pPr>
        <w:keepNext/>
        <w:spacing w:before="100" w:after="200"/>
        <w:rPr>
          <w:rFonts w:asciiTheme="minorHAnsi" w:hAnsiTheme="minorHAnsi" w:cstheme="minorHAnsi"/>
          <w:b/>
          <w:iCs/>
          <w:szCs w:val="24"/>
        </w:rPr>
      </w:pPr>
      <w:r w:rsidRPr="006D1202">
        <w:rPr>
          <w:rFonts w:asciiTheme="minorHAnsi" w:hAnsiTheme="minorHAnsi" w:cstheme="minorHAnsi"/>
          <w:b/>
          <w:iCs/>
          <w:szCs w:val="24"/>
          <w:shd w:val="clear" w:color="auto" w:fill="FFFF00"/>
        </w:rPr>
        <w:t>Example 1:</w:t>
      </w:r>
    </w:p>
    <w:p w14:paraId="47F253E6" w14:textId="156EFCCF" w:rsidR="00BC7DDA" w:rsidRPr="00BD6C5F" w:rsidRDefault="00583A8A" w:rsidP="00583A8A">
      <w:pPr>
        <w:spacing w:before="100" w:after="200"/>
        <w:rPr>
          <w:rFonts w:asciiTheme="minorHAnsi" w:hAnsiTheme="minorHAnsi" w:cstheme="minorHAnsi"/>
          <w:iCs/>
          <w:szCs w:val="24"/>
        </w:rPr>
      </w:pPr>
      <w:r w:rsidRPr="00BD6C5F">
        <w:rPr>
          <w:rFonts w:asciiTheme="minorHAnsi" w:hAnsiTheme="minorHAnsi" w:cstheme="minorHAnsi"/>
          <w:iCs/>
          <w:szCs w:val="24"/>
          <w:highlight w:val="yellow"/>
        </w:rPr>
        <w:t>If the Supplier achieves Service Availability of 98.5% in a given Measurement Period, it will incur a Minor KPI Failure for Service Availability in that Measurement Period and accordingly accrue 1 Service Point. If, in the next Measurement Period, it achieves Service Availability of 96.5%, it will incur a Severe KPI Failure and accordingly accrue 3 Service Points, but as the failure is a Repeat Failure, this amount is doubled and so the Supplier will incur 6 Service Points for the failure (i.e. SP = 3 x 2). If in the next Measurement Period it achieves Service Availability of 96.5%, the Supplier will again incur 6 Service Points.</w:t>
      </w:r>
    </w:p>
    <w:p w14:paraId="36898CB3" w14:textId="77777777" w:rsidR="00BC7DDA" w:rsidRPr="006D1202" w:rsidRDefault="009B03E9" w:rsidP="00583A8A">
      <w:pPr>
        <w:keepNext/>
        <w:spacing w:before="100" w:after="200"/>
        <w:rPr>
          <w:rFonts w:asciiTheme="minorHAnsi" w:hAnsiTheme="minorHAnsi" w:cstheme="minorHAnsi"/>
          <w:b/>
          <w:iCs/>
          <w:szCs w:val="24"/>
        </w:rPr>
      </w:pPr>
      <w:r w:rsidRPr="006D1202">
        <w:rPr>
          <w:rFonts w:asciiTheme="minorHAnsi" w:hAnsiTheme="minorHAnsi" w:cstheme="minorHAnsi"/>
          <w:b/>
          <w:iCs/>
          <w:szCs w:val="24"/>
          <w:shd w:val="clear" w:color="auto" w:fill="FFFF00"/>
        </w:rPr>
        <w:t>Example 2:</w:t>
      </w:r>
    </w:p>
    <w:p w14:paraId="55E78951" w14:textId="178DB664" w:rsidR="00BC7DDA" w:rsidRPr="00BD6C5F" w:rsidRDefault="00583A8A" w:rsidP="00583A8A">
      <w:pPr>
        <w:spacing w:before="100" w:after="200"/>
        <w:rPr>
          <w:rFonts w:asciiTheme="minorHAnsi" w:hAnsiTheme="minorHAnsi" w:cstheme="minorHAnsi"/>
          <w:iCs/>
          <w:szCs w:val="24"/>
        </w:rPr>
      </w:pPr>
      <w:r w:rsidRPr="00BD6C5F">
        <w:rPr>
          <w:rFonts w:asciiTheme="minorHAnsi" w:hAnsiTheme="minorHAnsi" w:cstheme="minorHAnsi"/>
          <w:iCs/>
          <w:szCs w:val="24"/>
          <w:highlight w:val="yellow"/>
        </w:rPr>
        <w:t>If the Supplier achieves Service Availability of 96.5% in a given Measurement Period, it will incur a Severe KPI Failure for Service Availability in that Measurement Period and accordingly accrue 3 Service Points. If, in the next Measurement Period, it achieves Service Availability of 98.5%, it will incur a Minor KPI Failure and accordingly accrue 1 Service Point, but as the failure is a Repeat Failure, this amount is doubled and so the Supplier will incur 2 Service Points for the failure (i.e. SP = 1 x 2). If in the next Measurement Period it achieves Service Availability of 96.5%, the Supplier will incur 6 Service Points.]</w:t>
      </w:r>
    </w:p>
    <w:p w14:paraId="2E8BBD8C" w14:textId="77777777" w:rsidR="00BC7DDA" w:rsidRPr="00BD6C5F" w:rsidRDefault="009B03E9" w:rsidP="00CF008E">
      <w:pPr>
        <w:pStyle w:val="Heading3"/>
      </w:pPr>
      <w:r w:rsidRPr="00BD6C5F">
        <w:t>Related KPI Failures</w:t>
      </w:r>
    </w:p>
    <w:p w14:paraId="41F36486" w14:textId="295BE5EC" w:rsidR="00BC7DDA" w:rsidRPr="00BD6C5F" w:rsidRDefault="009B03E9" w:rsidP="00C5057A">
      <w:pPr>
        <w:pStyle w:val="Numbered11"/>
      </w:pPr>
      <w:r w:rsidRPr="00BD6C5F">
        <w:t>If any specific Key Performance Indicators refer to both Service Availability and System Response Times, the System Response Times achieved by the Supplier for any period of time during a Service Period during which the relevant Service or element of a Service is determined to be Non-Available shall not be taken into account in calculating the average System Response Times over the course of that Service Period. Accordingly, the Supplier shall not incur any Service Points for failure to meet System Response Times in circumstances where such failure is a result of, and the Supplier has already incurred Service Points for, the Service being Non-Available.</w:t>
      </w:r>
    </w:p>
    <w:p w14:paraId="6CF16A27" w14:textId="58C739B7" w:rsidR="00BC7DDA" w:rsidRPr="00BD6C5F" w:rsidRDefault="00EE06F9" w:rsidP="00C5057A">
      <w:pPr>
        <w:pStyle w:val="Numbered1"/>
      </w:pPr>
      <w:r w:rsidRPr="00BD6C5F">
        <w:t>Permitted Maintenance</w:t>
      </w:r>
    </w:p>
    <w:p w14:paraId="048243F8" w14:textId="77777777" w:rsidR="00BC7DDA" w:rsidRPr="00BD6C5F" w:rsidRDefault="009B03E9" w:rsidP="00C5057A">
      <w:pPr>
        <w:pStyle w:val="Numbered11"/>
      </w:pPr>
      <w:r w:rsidRPr="00BD6C5F">
        <w:t xml:space="preserve">The Supplier shall be allowed to book a maximum of </w:t>
      </w:r>
      <w:r w:rsidRPr="006D1202">
        <w:t>[</w:t>
      </w:r>
      <w:r w:rsidRPr="00D852B2">
        <w:rPr>
          <w:b/>
          <w:bCs/>
          <w:iCs/>
          <w:highlight w:val="yellow"/>
        </w:rPr>
        <w:t>insert</w:t>
      </w:r>
      <w:r w:rsidRPr="006D1202">
        <w:rPr>
          <w:iCs/>
          <w:highlight w:val="yellow"/>
        </w:rPr>
        <w:t xml:space="preserve"> number</w:t>
      </w:r>
      <w:r w:rsidRPr="006D1202">
        <w:rPr>
          <w:iCs/>
        </w:rPr>
        <w:t>]</w:t>
      </w:r>
      <w:r w:rsidRPr="00BD6C5F">
        <w:t xml:space="preserve"> hours Service Downtime for Permitted Maintenance in any one Service Period which shall take place between the hours and on the day specified in the Maintenance Schedule unless otherwise agreed in writing with the Authority.</w:t>
      </w:r>
    </w:p>
    <w:p w14:paraId="147646DB" w14:textId="4811973F" w:rsidR="00BC7DDA" w:rsidRPr="00BD6C5F" w:rsidRDefault="00EE06F9" w:rsidP="00C5057A">
      <w:pPr>
        <w:pStyle w:val="Numbered1"/>
      </w:pPr>
      <w:bookmarkStart w:id="52" w:name="_bookmark24"/>
      <w:bookmarkStart w:id="53" w:name="_Ref98356360"/>
      <w:bookmarkEnd w:id="52"/>
      <w:r w:rsidRPr="00BD6C5F">
        <w:lastRenderedPageBreak/>
        <w:t>Service Credits</w:t>
      </w:r>
      <w:bookmarkEnd w:id="53"/>
    </w:p>
    <w:p w14:paraId="1888F728" w14:textId="1AC2A54E" w:rsidR="00BC7DDA" w:rsidRPr="00BD6C5F" w:rsidRDefault="00346653" w:rsidP="00C5057A">
      <w:pPr>
        <w:pStyle w:val="Numbered11"/>
      </w:pPr>
      <w:r w:rsidRPr="00BD6C5F">
        <w:t>Schedule </w:t>
      </w:r>
      <w:r>
        <w:fldChar w:fldCharType="begin"/>
      </w:r>
      <w:r>
        <w:instrText xml:space="preserve"> REF Schedule_15 \h </w:instrText>
      </w:r>
      <w:r>
        <w:fldChar w:fldCharType="separate"/>
      </w:r>
      <w:r w:rsidR="009749A0">
        <w:t>15</w:t>
      </w:r>
      <w:r>
        <w:fldChar w:fldCharType="end"/>
      </w:r>
      <w:r w:rsidR="009B03E9" w:rsidRPr="00BD6C5F">
        <w:t xml:space="preserve"> (</w:t>
      </w:r>
      <w:r w:rsidR="009B03E9" w:rsidRPr="00BD6C5F">
        <w:rPr>
          <w:i/>
        </w:rPr>
        <w:t>Charges and Invoicing</w:t>
      </w:r>
      <w:r w:rsidR="009B03E9" w:rsidRPr="00BD6C5F">
        <w:t>) sets out the mechanism by which Service Points shall be converted into Service Credits.</w:t>
      </w:r>
    </w:p>
    <w:p w14:paraId="597E8AD4" w14:textId="45EE6C91" w:rsidR="00BC7DDA" w:rsidRPr="00BD6C5F" w:rsidRDefault="009B03E9" w:rsidP="00C5057A">
      <w:pPr>
        <w:pStyle w:val="Numbered11"/>
      </w:pPr>
      <w:r w:rsidRPr="00BD6C5F">
        <w:t xml:space="preserve">The Authority shall use the Performance Monitoring Reports provided pursuant to </w:t>
      </w:r>
      <w:r w:rsidR="00C101F7">
        <w:t>Part </w:t>
      </w:r>
      <w:r w:rsidR="00C101F7">
        <w:fldChar w:fldCharType="begin"/>
      </w:r>
      <w:r w:rsidR="00C101F7">
        <w:instrText xml:space="preserve"> REF Schedule_3_Part_B \h </w:instrText>
      </w:r>
      <w:r w:rsidR="00C101F7">
        <w:fldChar w:fldCharType="separate"/>
      </w:r>
      <w:r w:rsidR="009749A0" w:rsidRPr="00BD6C5F">
        <w:t>B</w:t>
      </w:r>
      <w:r w:rsidR="00C101F7">
        <w:fldChar w:fldCharType="end"/>
      </w:r>
      <w:r w:rsidRPr="00BD6C5F">
        <w:t>, among other things, to verify the calculation and accuracy of the Service Credits (if any) applicable to each Service Period.</w:t>
      </w:r>
    </w:p>
    <w:p w14:paraId="0A73581C" w14:textId="65E4371B" w:rsidR="00AF7327" w:rsidRPr="00BD6C5F" w:rsidRDefault="00AF7327" w:rsidP="00CF008E">
      <w:r w:rsidRPr="00BD6C5F">
        <w:br w:type="page"/>
      </w:r>
    </w:p>
    <w:p w14:paraId="40893DEE" w14:textId="01243BA1" w:rsidR="00BC7DDA" w:rsidRPr="00BD6C5F" w:rsidRDefault="00EE06F9" w:rsidP="00922004">
      <w:pPr>
        <w:pStyle w:val="Heading2"/>
      </w:pPr>
      <w:bookmarkStart w:id="54" w:name="_bookmark25"/>
      <w:bookmarkStart w:id="55" w:name="_Ref98326253"/>
      <w:bookmarkStart w:id="56" w:name="_Ref98328284"/>
      <w:bookmarkStart w:id="57" w:name="_Ref98328307"/>
      <w:bookmarkStart w:id="58" w:name="_Ref98328361"/>
      <w:bookmarkStart w:id="59" w:name="_Toc98332705"/>
      <w:bookmarkStart w:id="60" w:name="_Toc98852880"/>
      <w:bookmarkStart w:id="61" w:name="_Toc141720973"/>
      <w:bookmarkEnd w:id="54"/>
      <w:r w:rsidRPr="00BD6C5F">
        <w:lastRenderedPageBreak/>
        <w:t xml:space="preserve">Part </w:t>
      </w:r>
      <w:bookmarkStart w:id="62" w:name="Schedule_3_Part_B"/>
      <w:r w:rsidRPr="00BD6C5F">
        <w:t>B</w:t>
      </w:r>
      <w:bookmarkEnd w:id="62"/>
      <w:r w:rsidRPr="00BD6C5F">
        <w:t>: Performance Monitoring</w:t>
      </w:r>
      <w:bookmarkEnd w:id="55"/>
      <w:bookmarkEnd w:id="56"/>
      <w:bookmarkEnd w:id="57"/>
      <w:bookmarkEnd w:id="58"/>
      <w:bookmarkEnd w:id="59"/>
      <w:bookmarkEnd w:id="60"/>
      <w:bookmarkEnd w:id="61"/>
    </w:p>
    <w:p w14:paraId="6C199D56" w14:textId="2DC64F22" w:rsidR="00BC7DDA" w:rsidRPr="00BD6C5F" w:rsidRDefault="00EE06F9" w:rsidP="00B71FC0">
      <w:pPr>
        <w:pStyle w:val="Numbered1"/>
        <w:numPr>
          <w:ilvl w:val="0"/>
          <w:numId w:val="81"/>
        </w:numPr>
      </w:pPr>
      <w:r w:rsidRPr="00BD6C5F">
        <w:t>Performance Monitoring and Performance Review</w:t>
      </w:r>
    </w:p>
    <w:p w14:paraId="2DB5F031" w14:textId="36D81FDB" w:rsidR="00BC7DDA" w:rsidRPr="00BD6C5F" w:rsidRDefault="009B03E9" w:rsidP="003E785F">
      <w:pPr>
        <w:pStyle w:val="Numbered11"/>
        <w:keepNext/>
      </w:pPr>
      <w:r w:rsidRPr="00BD6C5F">
        <w:t>Within 10</w:t>
      </w:r>
      <w:r w:rsidR="00162C61" w:rsidRPr="00BD6C5F">
        <w:t> </w:t>
      </w:r>
      <w:r w:rsidRPr="00BD6C5F">
        <w:t>Working Days of the end of each Service Period, the Supplier shall provide:</w:t>
      </w:r>
    </w:p>
    <w:p w14:paraId="37CC5CB2" w14:textId="19B413D8" w:rsidR="00BC7DDA" w:rsidRPr="00BD6C5F" w:rsidRDefault="009B03E9" w:rsidP="00C5057A">
      <w:pPr>
        <w:pStyle w:val="Numbered111"/>
      </w:pPr>
      <w:bookmarkStart w:id="63" w:name="_bookmark26"/>
      <w:bookmarkEnd w:id="63"/>
      <w:r w:rsidRPr="00BD6C5F">
        <w:t xml:space="preserve">a report to the Authority Representative which summarises the performance by the Supplier against each of the Performance Indicators as more particularly described in Paragraph </w:t>
      </w:r>
      <w:r w:rsidR="004A0075" w:rsidRPr="00BD6C5F">
        <w:fldChar w:fldCharType="begin"/>
      </w:r>
      <w:r w:rsidR="004A0075" w:rsidRPr="00BD6C5F">
        <w:instrText xml:space="preserve"> REF _Ref98356426 \n \h </w:instrText>
      </w:r>
      <w:r w:rsidR="00AD7DD0" w:rsidRPr="00BD6C5F">
        <w:instrText xml:space="preserve"> \* MERGEFORMAT </w:instrText>
      </w:r>
      <w:r w:rsidR="004A0075" w:rsidRPr="00BD6C5F">
        <w:fldChar w:fldCharType="separate"/>
      </w:r>
      <w:r w:rsidR="009749A0">
        <w:t>1.2</w:t>
      </w:r>
      <w:r w:rsidR="004A0075" w:rsidRPr="00BD6C5F">
        <w:fldChar w:fldCharType="end"/>
      </w:r>
      <w:r w:rsidRPr="00BD6C5F">
        <w:t xml:space="preserve"> (the </w:t>
      </w:r>
      <w:r w:rsidR="00A4555C" w:rsidRPr="00BD6C5F">
        <w:t>“</w:t>
      </w:r>
      <w:r w:rsidRPr="00BD6C5F">
        <w:rPr>
          <w:b/>
        </w:rPr>
        <w:t>Performance Monitoring Report</w:t>
      </w:r>
      <w:r w:rsidR="00A4555C" w:rsidRPr="00BD6C5F">
        <w:t>”</w:t>
      </w:r>
      <w:r w:rsidRPr="00BD6C5F">
        <w:t>); and</w:t>
      </w:r>
    </w:p>
    <w:p w14:paraId="65DA816F" w14:textId="6CAAC08A" w:rsidR="00E2313A" w:rsidRPr="00BD6C5F" w:rsidRDefault="00E2313A" w:rsidP="00C5057A">
      <w:pPr>
        <w:pStyle w:val="Numbered111"/>
      </w:pPr>
      <w:bookmarkStart w:id="64" w:name="_Ref98351196"/>
      <w:r w:rsidRPr="00BD6C5F">
        <w:t>a report created by the Supplier to the Authority</w:t>
      </w:r>
      <w:r w:rsidR="00A4555C" w:rsidRPr="00BD6C5F">
        <w:t>’</w:t>
      </w:r>
      <w:r w:rsidRPr="00BD6C5F">
        <w:t>s senior responsible officer which summarises the Supplier</w:t>
      </w:r>
      <w:r w:rsidR="00A4555C" w:rsidRPr="00BD6C5F">
        <w:t>’</w:t>
      </w:r>
      <w:r w:rsidRPr="00BD6C5F">
        <w:t>s performance over the relevant Service Period as more particularly described in Paragraph</w:t>
      </w:r>
      <w:r w:rsidR="00355625" w:rsidRPr="00BD6C5F">
        <w:t> </w:t>
      </w:r>
      <w:r w:rsidR="004A0075" w:rsidRPr="00BD6C5F">
        <w:fldChar w:fldCharType="begin"/>
      </w:r>
      <w:r w:rsidR="004A0075" w:rsidRPr="00BD6C5F">
        <w:instrText xml:space="preserve"> REF _Ref98356438 \n \h </w:instrText>
      </w:r>
      <w:r w:rsidR="00AD7DD0" w:rsidRPr="00BD6C5F">
        <w:instrText xml:space="preserve"> \* MERGEFORMAT </w:instrText>
      </w:r>
      <w:r w:rsidR="004A0075" w:rsidRPr="00BD6C5F">
        <w:fldChar w:fldCharType="separate"/>
      </w:r>
      <w:r w:rsidR="009749A0">
        <w:t>1.3</w:t>
      </w:r>
      <w:r w:rsidR="004A0075" w:rsidRPr="00BD6C5F">
        <w:fldChar w:fldCharType="end"/>
      </w:r>
      <w:r w:rsidRPr="00BD6C5F">
        <w:t xml:space="preserve"> (the </w:t>
      </w:r>
      <w:r w:rsidR="00A4555C" w:rsidRPr="00BD6C5F">
        <w:t>“</w:t>
      </w:r>
      <w:r w:rsidRPr="00BD6C5F">
        <w:rPr>
          <w:b/>
        </w:rPr>
        <w:t>Balanced Scorecard Report</w:t>
      </w:r>
      <w:r w:rsidR="00A4555C" w:rsidRPr="00BD6C5F">
        <w:t>”</w:t>
      </w:r>
      <w:r w:rsidRPr="00BD6C5F">
        <w:t xml:space="preserve">). </w:t>
      </w:r>
      <w:r w:rsidRPr="00BD6C5F">
        <w:rPr>
          <w:b/>
        </w:rPr>
        <w:t>Performance Monitoring Report</w:t>
      </w:r>
      <w:bookmarkEnd w:id="64"/>
    </w:p>
    <w:p w14:paraId="69F2966B" w14:textId="77777777" w:rsidR="00BC7DDA" w:rsidRPr="00BD6C5F" w:rsidRDefault="009B03E9" w:rsidP="003E785F">
      <w:pPr>
        <w:pStyle w:val="Numbered11"/>
        <w:keepNext/>
      </w:pPr>
      <w:bookmarkStart w:id="65" w:name="_bookmark27"/>
      <w:bookmarkStart w:id="66" w:name="_bookmark28"/>
      <w:bookmarkStart w:id="67" w:name="_Ref98356426"/>
      <w:bookmarkEnd w:id="65"/>
      <w:bookmarkEnd w:id="66"/>
      <w:r w:rsidRPr="00BD6C5F">
        <w:t>The Performance Monitoring Report shall be in such format as agreed between the Parties from time to time and contain, as a minimum, the following information:</w:t>
      </w:r>
      <w:bookmarkEnd w:id="67"/>
    </w:p>
    <w:p w14:paraId="1A817B3D" w14:textId="77777777" w:rsidR="00BC7DDA" w:rsidRPr="00BD6C5F" w:rsidRDefault="009B03E9" w:rsidP="00DA04BE">
      <w:pPr>
        <w:keepNext/>
        <w:keepLines/>
        <w:widowControl/>
        <w:spacing w:before="240" w:after="120"/>
        <w:ind w:left="720"/>
        <w:rPr>
          <w:b/>
          <w:bCs/>
        </w:rPr>
      </w:pPr>
      <w:r w:rsidRPr="00BD6C5F">
        <w:rPr>
          <w:b/>
          <w:bCs/>
        </w:rPr>
        <w:t>Information in respect of the Service Period just ended</w:t>
      </w:r>
    </w:p>
    <w:p w14:paraId="74618A01" w14:textId="77777777" w:rsidR="00BC7DDA" w:rsidRPr="00BD6C5F" w:rsidRDefault="009B03E9" w:rsidP="00C5057A">
      <w:pPr>
        <w:pStyle w:val="Numbered111"/>
      </w:pPr>
      <w:r w:rsidRPr="00BD6C5F">
        <w:t>for each Key Performance Indicator and Subsidiary Performance Indicator, the actual performance achieved over the Service Period, and that achieved over the previous 3 Measurement Periods;</w:t>
      </w:r>
    </w:p>
    <w:p w14:paraId="5CF84711" w14:textId="77777777" w:rsidR="00BC7DDA" w:rsidRPr="00BD6C5F" w:rsidRDefault="009B03E9" w:rsidP="00C5057A">
      <w:pPr>
        <w:pStyle w:val="Numbered111"/>
      </w:pPr>
      <w:r w:rsidRPr="00BD6C5F">
        <w:t>a summary of all Performance Failures that occurred during the Service Period;</w:t>
      </w:r>
    </w:p>
    <w:p w14:paraId="3BCB3702" w14:textId="77777777" w:rsidR="00BC7DDA" w:rsidRPr="00BD6C5F" w:rsidRDefault="009B03E9" w:rsidP="00C5057A">
      <w:pPr>
        <w:pStyle w:val="Numbered111"/>
      </w:pPr>
      <w:r w:rsidRPr="00BD6C5F">
        <w:t>the severity level of each KPI Failure which occurred during the Service Period and whether each PI Failure which occurred during the Service Period fell below the PI Service Threshold;</w:t>
      </w:r>
    </w:p>
    <w:p w14:paraId="7E0A2DC7" w14:textId="77777777" w:rsidR="00BC7DDA" w:rsidRPr="00BD6C5F" w:rsidRDefault="009B03E9" w:rsidP="00C5057A">
      <w:pPr>
        <w:pStyle w:val="Numbered111"/>
      </w:pPr>
      <w:r w:rsidRPr="00BD6C5F">
        <w:t>which Performance Failures remain outstanding and progress in resolving them;</w:t>
      </w:r>
    </w:p>
    <w:p w14:paraId="678B1444" w14:textId="77777777" w:rsidR="00BC7DDA" w:rsidRPr="00BD6C5F" w:rsidRDefault="009B03E9" w:rsidP="00C5057A">
      <w:pPr>
        <w:pStyle w:val="Numbered111"/>
      </w:pPr>
      <w:r w:rsidRPr="00BD6C5F">
        <w:t>for any Material KPI Failures or Material PI Failures occurring during the Service Period, the cause of the relevant KPI Failure or PI Failure and the action being taken to reduce the likelihood of recurrence;</w:t>
      </w:r>
    </w:p>
    <w:p w14:paraId="5D9560F9" w14:textId="77777777" w:rsidR="00BC7DDA" w:rsidRPr="00BD6C5F" w:rsidRDefault="009B03E9" w:rsidP="003E785F">
      <w:pPr>
        <w:pStyle w:val="Numbered111"/>
        <w:keepNext/>
      </w:pPr>
      <w:r w:rsidRPr="00BD6C5F">
        <w:t>the status of any outstanding Rectification Plan processes, including:</w:t>
      </w:r>
    </w:p>
    <w:p w14:paraId="46B61C5B" w14:textId="77777777" w:rsidR="00BC7DDA" w:rsidRPr="00BD6C5F" w:rsidRDefault="009B03E9" w:rsidP="007A12DA">
      <w:pPr>
        <w:pStyle w:val="Numbered111a"/>
        <w:rPr>
          <w:lang w:val="en-GB"/>
        </w:rPr>
      </w:pPr>
      <w:r w:rsidRPr="00BD6C5F">
        <w:rPr>
          <w:lang w:val="en-GB"/>
        </w:rPr>
        <w:t>whether or not a Rectification Plan has been agreed; and</w:t>
      </w:r>
    </w:p>
    <w:p w14:paraId="536A981D" w14:textId="056D34F2" w:rsidR="00BC7DDA" w:rsidRPr="00BD6C5F" w:rsidRDefault="009B03E9" w:rsidP="00CE51D0">
      <w:pPr>
        <w:pStyle w:val="Numbered111a"/>
        <w:rPr>
          <w:lang w:val="en-GB"/>
        </w:rPr>
      </w:pPr>
      <w:r w:rsidRPr="00BD6C5F">
        <w:rPr>
          <w:lang w:val="en-GB"/>
        </w:rPr>
        <w:t>where a Rectification Plan has been agreed, a summary of the Supplier</w:t>
      </w:r>
      <w:r w:rsidR="00A4555C" w:rsidRPr="00BD6C5F">
        <w:rPr>
          <w:lang w:val="en-GB"/>
        </w:rPr>
        <w:t>’</w:t>
      </w:r>
      <w:r w:rsidRPr="00BD6C5F">
        <w:rPr>
          <w:lang w:val="en-GB"/>
        </w:rPr>
        <w:t>s progress in implementing that Rectification Plan;</w:t>
      </w:r>
    </w:p>
    <w:p w14:paraId="17424FF4" w14:textId="4A2B3272" w:rsidR="00BC7DDA" w:rsidRPr="00BD6C5F" w:rsidRDefault="009B03E9" w:rsidP="00B225A5">
      <w:pPr>
        <w:pStyle w:val="Numbered111"/>
      </w:pPr>
      <w:r w:rsidRPr="00BD6C5F">
        <w:t>for any Repeat Failures, actions taken to resolve the underlying cause and prevent recurrence;</w:t>
      </w:r>
    </w:p>
    <w:p w14:paraId="66020AAC" w14:textId="77777777" w:rsidR="00BC7DDA" w:rsidRPr="00BD6C5F" w:rsidRDefault="009B03E9" w:rsidP="00C5057A">
      <w:pPr>
        <w:pStyle w:val="Numbered111"/>
      </w:pPr>
      <w:r w:rsidRPr="00BD6C5F">
        <w:t>the number of Service Points awarded in respect of each KPI Failure;</w:t>
      </w:r>
    </w:p>
    <w:p w14:paraId="776049D0" w14:textId="77777777" w:rsidR="00BC7DDA" w:rsidRPr="00BD6C5F" w:rsidRDefault="009B03E9" w:rsidP="00C5057A">
      <w:pPr>
        <w:pStyle w:val="Numbered111"/>
      </w:pPr>
      <w:r w:rsidRPr="00BD6C5F">
        <w:t>the Service Credits to be applied, indicating the KPI Failure(s) to which the Service Credits relate;</w:t>
      </w:r>
    </w:p>
    <w:p w14:paraId="43FCAEE4" w14:textId="77777777" w:rsidR="00BC7DDA" w:rsidRPr="00BD6C5F" w:rsidRDefault="009B03E9" w:rsidP="00C5057A">
      <w:pPr>
        <w:pStyle w:val="Numbered111"/>
      </w:pPr>
      <w:r w:rsidRPr="00BD6C5F">
        <w:t>the conduct and performance of any agreed periodic tests that have occurred, such as the annual failover test of the Service Continuity Plan;</w:t>
      </w:r>
    </w:p>
    <w:p w14:paraId="4FCE4442" w14:textId="6FCDF032" w:rsidR="00BC7DDA" w:rsidRPr="00BD6C5F" w:rsidRDefault="009B03E9" w:rsidP="00C5057A">
      <w:pPr>
        <w:pStyle w:val="Numbered111"/>
      </w:pPr>
      <w:r w:rsidRPr="00BD6C5F">
        <w:lastRenderedPageBreak/>
        <w:t>relevant particulars of any aspects of the Supplier</w:t>
      </w:r>
      <w:r w:rsidR="00A4555C" w:rsidRPr="00BD6C5F">
        <w:t>’</w:t>
      </w:r>
      <w:r w:rsidRPr="00BD6C5F">
        <w:t xml:space="preserve">s performance which fail to meet the requirements of this </w:t>
      </w:r>
      <w:r w:rsidR="00672A91" w:rsidRPr="00BD6C5F">
        <w:t>Contract</w:t>
      </w:r>
      <w:r w:rsidRPr="00BD6C5F">
        <w:t>;</w:t>
      </w:r>
    </w:p>
    <w:p w14:paraId="371D733D" w14:textId="77777777" w:rsidR="00BC7DDA" w:rsidRPr="00BD6C5F" w:rsidRDefault="009B03E9" w:rsidP="00C5057A">
      <w:pPr>
        <w:pStyle w:val="Numbered111"/>
      </w:pPr>
      <w:r w:rsidRPr="00BD6C5F">
        <w:t>such other details as the Authority may reasonably require from time to time; and</w:t>
      </w:r>
    </w:p>
    <w:p w14:paraId="7FDACE23" w14:textId="77777777" w:rsidR="00BC7DDA" w:rsidRPr="00BD6C5F" w:rsidRDefault="009B03E9" w:rsidP="00DA04BE">
      <w:pPr>
        <w:keepNext/>
        <w:keepLines/>
        <w:widowControl/>
        <w:spacing w:before="240" w:after="120"/>
        <w:ind w:left="720"/>
        <w:rPr>
          <w:b/>
          <w:bCs/>
        </w:rPr>
      </w:pPr>
      <w:r w:rsidRPr="00BD6C5F">
        <w:rPr>
          <w:b/>
          <w:bCs/>
        </w:rPr>
        <w:t>Information in respect of previous Service Periods</w:t>
      </w:r>
    </w:p>
    <w:p w14:paraId="082312E6" w14:textId="77777777" w:rsidR="00BC7DDA" w:rsidRPr="00BD6C5F" w:rsidRDefault="009B03E9" w:rsidP="00C5057A">
      <w:pPr>
        <w:pStyle w:val="Numbered111"/>
      </w:pPr>
      <w:r w:rsidRPr="00BD6C5F">
        <w:t>a rolling total of the number of Performance Failures that have occurred over the past six Service Periods;</w:t>
      </w:r>
    </w:p>
    <w:p w14:paraId="4498B089" w14:textId="77777777" w:rsidR="00BC7DDA" w:rsidRPr="00BD6C5F" w:rsidRDefault="009B03E9" w:rsidP="00C5057A">
      <w:pPr>
        <w:pStyle w:val="Numbered111"/>
      </w:pPr>
      <w:r w:rsidRPr="00BD6C5F">
        <w:t>the amount of Service Credits that have been incurred by the Supplier over the past six Service Periods;</w:t>
      </w:r>
    </w:p>
    <w:p w14:paraId="30B94D57" w14:textId="77777777" w:rsidR="00BC7DDA" w:rsidRPr="00BD6C5F" w:rsidRDefault="009B03E9" w:rsidP="00C5057A">
      <w:pPr>
        <w:pStyle w:val="Numbered111"/>
      </w:pPr>
      <w:r w:rsidRPr="00BD6C5F">
        <w:t>the conduct and performance of any agreed periodic tests that have occurred in such Service Period such as the annual failover test of the Service Continuity Plan; and</w:t>
      </w:r>
    </w:p>
    <w:p w14:paraId="4FD8C6B7" w14:textId="77777777" w:rsidR="00BC7DDA" w:rsidRPr="00BD6C5F" w:rsidRDefault="009B03E9" w:rsidP="00DA04BE">
      <w:pPr>
        <w:keepNext/>
        <w:keepLines/>
        <w:widowControl/>
        <w:spacing w:before="240" w:after="120"/>
        <w:ind w:left="720"/>
        <w:rPr>
          <w:b/>
          <w:bCs/>
        </w:rPr>
      </w:pPr>
      <w:r w:rsidRPr="00BD6C5F">
        <w:rPr>
          <w:b/>
          <w:bCs/>
        </w:rPr>
        <w:t>Information in respect of the next Quarter</w:t>
      </w:r>
    </w:p>
    <w:p w14:paraId="4A4C3897" w14:textId="77777777" w:rsidR="00BC7DDA" w:rsidRPr="00BD6C5F" w:rsidRDefault="009B03E9" w:rsidP="00C5057A">
      <w:pPr>
        <w:pStyle w:val="Numbered111"/>
      </w:pPr>
      <w:r w:rsidRPr="00BD6C5F">
        <w:t>any scheduled Service Downtime for Permitted Maintenance and Updates that has been agreed between the Authority and the Supplier for the next Quarter.</w:t>
      </w:r>
    </w:p>
    <w:p w14:paraId="6923D816" w14:textId="77777777" w:rsidR="00BC7DDA" w:rsidRPr="00BD6C5F" w:rsidRDefault="009B03E9" w:rsidP="00DA04BE">
      <w:pPr>
        <w:keepNext/>
        <w:keepLines/>
        <w:widowControl/>
        <w:spacing w:before="240" w:after="120"/>
        <w:ind w:left="720"/>
        <w:rPr>
          <w:b/>
          <w:bCs/>
        </w:rPr>
      </w:pPr>
      <w:r w:rsidRPr="00BD6C5F">
        <w:rPr>
          <w:b/>
          <w:bCs/>
        </w:rPr>
        <w:t>Balanced Scorecard Report</w:t>
      </w:r>
    </w:p>
    <w:p w14:paraId="1F25BF07" w14:textId="5B6AA8A0" w:rsidR="00BC7DDA" w:rsidRPr="00BD6C5F" w:rsidRDefault="009B03E9" w:rsidP="003E785F">
      <w:pPr>
        <w:pStyle w:val="Numbered11"/>
        <w:keepNext/>
      </w:pPr>
      <w:bookmarkStart w:id="68" w:name="_bookmark29"/>
      <w:bookmarkStart w:id="69" w:name="_Ref98356438"/>
      <w:bookmarkEnd w:id="68"/>
      <w:r w:rsidRPr="00BD6C5F">
        <w:t>The Balanced Scorecard Report shall be presented in the form of an online accessible dashboard and, as a minimum, shall contain a high level summary of the Supplier</w:t>
      </w:r>
      <w:r w:rsidR="00A4555C" w:rsidRPr="00BD6C5F">
        <w:t>’</w:t>
      </w:r>
      <w:r w:rsidRPr="00BD6C5F">
        <w:t>s performance over the relevant Service Period, including details of the following:</w:t>
      </w:r>
      <w:bookmarkEnd w:id="69"/>
    </w:p>
    <w:p w14:paraId="061E2CC3" w14:textId="77777777" w:rsidR="00BC7DDA" w:rsidRPr="00BD6C5F" w:rsidRDefault="009B03E9" w:rsidP="00C5057A">
      <w:pPr>
        <w:pStyle w:val="Numbered111"/>
      </w:pPr>
      <w:r w:rsidRPr="00BD6C5F">
        <w:t>financial indicators;</w:t>
      </w:r>
    </w:p>
    <w:p w14:paraId="4EA7F7AD" w14:textId="77777777" w:rsidR="00BC7DDA" w:rsidRPr="00BD6C5F" w:rsidRDefault="009B03E9" w:rsidP="00C5057A">
      <w:pPr>
        <w:pStyle w:val="Numbered111"/>
      </w:pPr>
      <w:r w:rsidRPr="00BD6C5F">
        <w:t>the Target Performance Levels achieved;</w:t>
      </w:r>
    </w:p>
    <w:p w14:paraId="1CD58297" w14:textId="77777777" w:rsidR="00BC7DDA" w:rsidRPr="00BD6C5F" w:rsidRDefault="009B03E9" w:rsidP="00C5057A">
      <w:pPr>
        <w:pStyle w:val="Numbered111"/>
      </w:pPr>
      <w:r w:rsidRPr="00BD6C5F">
        <w:t>behavioural indicators;</w:t>
      </w:r>
    </w:p>
    <w:p w14:paraId="45FF8D0F" w14:textId="77777777" w:rsidR="00BC7DDA" w:rsidRPr="00BD6C5F" w:rsidRDefault="009B03E9" w:rsidP="00C5057A">
      <w:pPr>
        <w:pStyle w:val="Numbered111"/>
      </w:pPr>
      <w:r w:rsidRPr="00BD6C5F">
        <w:t>performance against its obligation to pay its Sub-contractors within 30 days of receipt of an undisputed invoice;</w:t>
      </w:r>
    </w:p>
    <w:p w14:paraId="77D346BF" w14:textId="666A10EE" w:rsidR="00BC7DDA" w:rsidRPr="00BD6C5F" w:rsidRDefault="009B03E9" w:rsidP="00C5057A">
      <w:pPr>
        <w:pStyle w:val="Numbered111"/>
      </w:pPr>
      <w:r w:rsidRPr="00BD6C5F">
        <w:t>performance against its obligation to pay its Unconnected Sub-contractors within 60 days of receipt of an invoice;</w:t>
      </w:r>
    </w:p>
    <w:p w14:paraId="6F5B17D0" w14:textId="4C3C8B5D" w:rsidR="00BC7DDA" w:rsidRPr="00BD6C5F" w:rsidRDefault="008B7A29" w:rsidP="00C5057A">
      <w:pPr>
        <w:pStyle w:val="Numbered111"/>
      </w:pPr>
      <w:r w:rsidRPr="00BD6C5F">
        <w:t xml:space="preserve">a </w:t>
      </w:r>
      <w:r w:rsidR="009B03E9" w:rsidRPr="00BD6C5F">
        <w:t>Milestone trend chart, showing performance of the overall programme;</w:t>
      </w:r>
    </w:p>
    <w:p w14:paraId="14AD67E6" w14:textId="5F68D0EF" w:rsidR="00BC7DDA" w:rsidRPr="00BD6C5F" w:rsidRDefault="009B03E9" w:rsidP="00C5057A">
      <w:pPr>
        <w:pStyle w:val="Numbered111"/>
      </w:pPr>
      <w:r w:rsidRPr="00BD6C5F">
        <w:t xml:space="preserve">sustainability indicators, for example </w:t>
      </w:r>
      <w:r w:rsidR="00672A91" w:rsidRPr="00BD6C5F">
        <w:t xml:space="preserve">net zero carbon, waste minimization or performance to support a circular economy; </w:t>
      </w:r>
      <w:r w:rsidRPr="00BD6C5F">
        <w:t>and</w:t>
      </w:r>
    </w:p>
    <w:p w14:paraId="5B77943B" w14:textId="77777777" w:rsidR="00BC7DDA" w:rsidRPr="00BD6C5F" w:rsidRDefault="009B03E9" w:rsidP="00C5057A">
      <w:pPr>
        <w:pStyle w:val="Numbered111"/>
      </w:pPr>
      <w:r w:rsidRPr="00BD6C5F">
        <w:t>Social Value (as applicable).</w:t>
      </w:r>
    </w:p>
    <w:p w14:paraId="157E85AF" w14:textId="7B3AAE28" w:rsidR="00BC7DDA" w:rsidRPr="00BD6C5F" w:rsidRDefault="009B03E9" w:rsidP="00C5057A">
      <w:pPr>
        <w:pStyle w:val="Numbered11"/>
      </w:pPr>
      <w:r w:rsidRPr="00BD6C5F">
        <w:t xml:space="preserve">The Performance Monitoring Report and the Balanced Scorecard Report shall be reviewed and their contents agreed by the Parties at the next Performance Review Meeting held in accordance with Paragraph </w:t>
      </w:r>
      <w:r w:rsidR="004A0075" w:rsidRPr="00BD6C5F">
        <w:fldChar w:fldCharType="begin"/>
      </w:r>
      <w:r w:rsidR="004A0075" w:rsidRPr="00BD6C5F">
        <w:instrText xml:space="preserve"> REF _Ref98356460 \n \h </w:instrText>
      </w:r>
      <w:r w:rsidR="00AD7DD0" w:rsidRPr="00BD6C5F">
        <w:instrText xml:space="preserve"> \* MERGEFORMAT </w:instrText>
      </w:r>
      <w:r w:rsidR="004A0075" w:rsidRPr="00BD6C5F">
        <w:fldChar w:fldCharType="separate"/>
      </w:r>
      <w:r w:rsidR="009749A0">
        <w:t>1.5</w:t>
      </w:r>
      <w:r w:rsidR="004A0075" w:rsidRPr="00BD6C5F">
        <w:fldChar w:fldCharType="end"/>
      </w:r>
      <w:r w:rsidRPr="00BD6C5F">
        <w:t>.</w:t>
      </w:r>
    </w:p>
    <w:p w14:paraId="31DB53C8" w14:textId="77777777" w:rsidR="00BC7DDA" w:rsidRPr="00BD6C5F" w:rsidRDefault="009B03E9" w:rsidP="003E785F">
      <w:pPr>
        <w:pStyle w:val="Numbered11"/>
        <w:keepNext/>
      </w:pPr>
      <w:bookmarkStart w:id="70" w:name="_bookmark30"/>
      <w:bookmarkStart w:id="71" w:name="_Ref98356460"/>
      <w:bookmarkEnd w:id="70"/>
      <w:r w:rsidRPr="00BD6C5F">
        <w:t xml:space="preserve">The Parties shall attend meetings on a monthly basis (unless otherwise agreed) to review the Performance Monitoring Reports and the Balanced Scorecard Reports. The </w:t>
      </w:r>
      <w:r w:rsidRPr="00BD6C5F">
        <w:lastRenderedPageBreak/>
        <w:t>Performance Review Meetings shall (unless otherwise agreed):</w:t>
      </w:r>
      <w:bookmarkEnd w:id="71"/>
    </w:p>
    <w:p w14:paraId="4629E4E4" w14:textId="77777777" w:rsidR="00BC7DDA" w:rsidRPr="00BD6C5F" w:rsidRDefault="009B03E9" w:rsidP="00C5057A">
      <w:pPr>
        <w:pStyle w:val="Numbered111"/>
      </w:pPr>
      <w:r w:rsidRPr="00BD6C5F">
        <w:t>take place within 5 Working Days of the Performance Monitoring Report being issued by the Supplier;</w:t>
      </w:r>
    </w:p>
    <w:p w14:paraId="503ED25F" w14:textId="77777777" w:rsidR="00BC7DDA" w:rsidRPr="00BD6C5F" w:rsidRDefault="009B03E9" w:rsidP="00C5057A">
      <w:pPr>
        <w:pStyle w:val="Numbered111"/>
      </w:pPr>
      <w:r w:rsidRPr="00BD6C5F">
        <w:t>take place at such location and time (within normal business hours) as the Authority shall reasonably require (unless otherwise agreed in advance); and</w:t>
      </w:r>
    </w:p>
    <w:p w14:paraId="151974A9" w14:textId="77777777" w:rsidR="00BC7DDA" w:rsidRPr="00BD6C5F" w:rsidRDefault="009B03E9" w:rsidP="00C5057A">
      <w:pPr>
        <w:pStyle w:val="Numbered111"/>
      </w:pPr>
      <w:r w:rsidRPr="00BD6C5F">
        <w:t>be attended by the Supplier Representative and the Authority Representative.</w:t>
      </w:r>
    </w:p>
    <w:p w14:paraId="0C9D2B53" w14:textId="77777777" w:rsidR="00BC7DDA" w:rsidRPr="00BD6C5F" w:rsidRDefault="009B03E9" w:rsidP="00C5057A">
      <w:pPr>
        <w:pStyle w:val="Numbered11"/>
      </w:pPr>
      <w:r w:rsidRPr="00BD6C5F">
        <w:t>The Authority shall be entitled to raise any additional questions and/or request any further information from the Supplier regarding any KPI Failure and/or PI Failure.</w:t>
      </w:r>
    </w:p>
    <w:p w14:paraId="0493BDE9" w14:textId="4C57F31E" w:rsidR="00BC7DDA" w:rsidRPr="00BD6C5F" w:rsidRDefault="00B225A5" w:rsidP="00C5057A">
      <w:pPr>
        <w:pStyle w:val="Numbered1"/>
      </w:pPr>
      <w:r w:rsidRPr="00BD6C5F">
        <w:t>Performance Records</w:t>
      </w:r>
    </w:p>
    <w:p w14:paraId="32E9544F" w14:textId="3F2C9E76" w:rsidR="00BC7DDA" w:rsidRPr="00BD6C5F" w:rsidRDefault="009B03E9" w:rsidP="00C5057A">
      <w:pPr>
        <w:pStyle w:val="Numbered11"/>
      </w:pPr>
      <w:bookmarkStart w:id="72" w:name="_bookmark31"/>
      <w:bookmarkStart w:id="73" w:name="_Ref98356482"/>
      <w:bookmarkEnd w:id="72"/>
      <w:r w:rsidRPr="00BD6C5F">
        <w:t>The Supplier shall keep appropriate documents and records (including Help Desk records, staff records, timesheets, training programmes, staff training records, goods received documentation, supplier accreditation records, complaints received etc) in relation to the Services being delivered. Without prejudice to the generality of the foregoing, the Supplier shall maintain accurate records of call histories for a minimum of 12</w:t>
      </w:r>
      <w:r w:rsidR="006A0CD9" w:rsidRPr="00BD6C5F">
        <w:t> </w:t>
      </w:r>
      <w:r w:rsidRPr="00BD6C5F">
        <w:t>months and provide prompt access to such records to the Authority upon the Authority</w:t>
      </w:r>
      <w:r w:rsidR="00A4555C" w:rsidRPr="00BD6C5F">
        <w:t>’</w:t>
      </w:r>
      <w:r w:rsidRPr="00BD6C5F">
        <w:t>s request. The records and documents of the Supplier shall be available for inspection by the Authority and/or its nominee at any time and the Authority and/or its nominee may make copies of any such records and documents.</w:t>
      </w:r>
      <w:bookmarkEnd w:id="73"/>
    </w:p>
    <w:p w14:paraId="3C542B2C" w14:textId="27A2499A" w:rsidR="00BC7DDA" w:rsidRPr="00BD6C5F" w:rsidRDefault="009B03E9" w:rsidP="00C5057A">
      <w:pPr>
        <w:pStyle w:val="Numbered11"/>
      </w:pPr>
      <w:r w:rsidRPr="00BD6C5F">
        <w:t xml:space="preserve">In addition to the requirement in Paragraph </w:t>
      </w:r>
      <w:r w:rsidR="004A0075" w:rsidRPr="00BD6C5F">
        <w:fldChar w:fldCharType="begin"/>
      </w:r>
      <w:r w:rsidR="004A0075" w:rsidRPr="00BD6C5F">
        <w:instrText xml:space="preserve"> REF _Ref98356482 \n \h </w:instrText>
      </w:r>
      <w:r w:rsidR="00AD7DD0" w:rsidRPr="00BD6C5F">
        <w:instrText xml:space="preserve"> \* MERGEFORMAT </w:instrText>
      </w:r>
      <w:r w:rsidR="004A0075" w:rsidRPr="00BD6C5F">
        <w:fldChar w:fldCharType="separate"/>
      </w:r>
      <w:r w:rsidR="009749A0">
        <w:t>2.1</w:t>
      </w:r>
      <w:r w:rsidR="004A0075" w:rsidRPr="00BD6C5F">
        <w:fldChar w:fldCharType="end"/>
      </w:r>
      <w:r w:rsidRPr="00BD6C5F">
        <w:t xml:space="preserve"> to maintain appropriate documents and records, the Supplier shall provide to the Authority such supporting documentation as the Authority may reasonably require in order to verify the level of the performance of the Supplier both before and after each Operational Service Commencement Date and the calculations of the amount of Service Credits for any specified period.</w:t>
      </w:r>
    </w:p>
    <w:p w14:paraId="040913F9" w14:textId="24D28CBA" w:rsidR="00BC7DDA" w:rsidRPr="00BD6C5F" w:rsidRDefault="009B03E9" w:rsidP="00C5057A">
      <w:pPr>
        <w:pStyle w:val="Numbered11"/>
      </w:pPr>
      <w:bookmarkStart w:id="74" w:name="_bookmark32"/>
      <w:bookmarkStart w:id="75" w:name="_Ref141214951"/>
      <w:bookmarkEnd w:id="74"/>
      <w:r w:rsidRPr="00BD6C5F">
        <w:t>The Supplier shall ensure that the Performance Monitoring Report, the Balanced Scorecard Report (as well as historic Performance Monitoring Reports and historic Balance Scorecard Reports) and any variations or</w:t>
      </w:r>
      <w:r w:rsidR="00500126" w:rsidRPr="00BD6C5F">
        <w:t xml:space="preserve"> amendments thereto, any reports and summaries produced in accordance with this Schedule and any other document or record reasonably required by the Authority are available to the Authority on-line and are capable of being printed.</w:t>
      </w:r>
      <w:bookmarkEnd w:id="75"/>
    </w:p>
    <w:p w14:paraId="4BED9050" w14:textId="240CCC0B" w:rsidR="00BC7DDA" w:rsidRPr="00BD6C5F" w:rsidRDefault="00B225A5" w:rsidP="00C5057A">
      <w:pPr>
        <w:pStyle w:val="Numbered1"/>
      </w:pPr>
      <w:bookmarkStart w:id="76" w:name="_Ref98357027"/>
      <w:r w:rsidRPr="00BD6C5F">
        <w:t>Performance Verification</w:t>
      </w:r>
      <w:bookmarkEnd w:id="76"/>
    </w:p>
    <w:p w14:paraId="73C62566" w14:textId="25D0A352" w:rsidR="00BC7DDA" w:rsidRPr="00BD6C5F" w:rsidRDefault="009B03E9" w:rsidP="00C5057A">
      <w:pPr>
        <w:pStyle w:val="Numbered11"/>
      </w:pPr>
      <w:r w:rsidRPr="00BD6C5F">
        <w:t>The Authority reserves the right to verify the Availability of the IT Environment and/or the Services and the Supplier</w:t>
      </w:r>
      <w:r w:rsidR="00A4555C" w:rsidRPr="00BD6C5F">
        <w:t>’</w:t>
      </w:r>
      <w:r w:rsidRPr="00BD6C5F">
        <w:t xml:space="preserve">s performance under this </w:t>
      </w:r>
      <w:r w:rsidR="00672A91" w:rsidRPr="00BD6C5F">
        <w:t>Contract</w:t>
      </w:r>
      <w:r w:rsidR="00F566C6" w:rsidRPr="00BD6C5F">
        <w:t xml:space="preserve"> </w:t>
      </w:r>
      <w:r w:rsidRPr="00BD6C5F">
        <w:t>against the Performance Indicators including by sending test transactions through the IT Environment or otherwise.</w:t>
      </w:r>
    </w:p>
    <w:p w14:paraId="50163A2F" w14:textId="77777777" w:rsidR="00CF008E" w:rsidRPr="00BD6C5F" w:rsidRDefault="00CF008E" w:rsidP="00CF008E"/>
    <w:p w14:paraId="66084153" w14:textId="77777777" w:rsidR="00831D61" w:rsidRPr="00BD6C5F" w:rsidRDefault="00831D61" w:rsidP="00DD0D11">
      <w:pPr>
        <w:pStyle w:val="BodyText"/>
        <w:spacing w:after="240"/>
        <w:ind w:right="10"/>
        <w:rPr>
          <w:rFonts w:asciiTheme="minorHAnsi" w:hAnsiTheme="minorHAnsi" w:cstheme="minorHAnsi"/>
        </w:rPr>
        <w:sectPr w:rsidR="00831D61" w:rsidRPr="00BD6C5F" w:rsidSect="00EA65BF">
          <w:headerReference w:type="default" r:id="rId30"/>
          <w:footerReference w:type="default" r:id="rId31"/>
          <w:pgSz w:w="11910" w:h="16840"/>
          <w:pgMar w:top="1701" w:right="851" w:bottom="1134" w:left="851" w:header="567" w:footer="567" w:gutter="0"/>
          <w:cols w:space="720"/>
        </w:sectPr>
      </w:pPr>
    </w:p>
    <w:p w14:paraId="09E4F1CD" w14:textId="3B71B61F" w:rsidR="00BC7DDA" w:rsidRPr="00BD6C5F" w:rsidRDefault="006647C3" w:rsidP="00F56251">
      <w:pPr>
        <w:pStyle w:val="Heading2"/>
      </w:pPr>
      <w:bookmarkStart w:id="77" w:name="_bookmark33"/>
      <w:bookmarkStart w:id="78" w:name="_bookmark34"/>
      <w:bookmarkStart w:id="79" w:name="_Toc98332706"/>
      <w:bookmarkStart w:id="80" w:name="_Ref98332805"/>
      <w:bookmarkStart w:id="81" w:name="_Ref98333439"/>
      <w:bookmarkStart w:id="82" w:name="_Ref98333479"/>
      <w:bookmarkStart w:id="83" w:name="_Ref98334904"/>
      <w:bookmarkStart w:id="84" w:name="_Ref98334908"/>
      <w:bookmarkStart w:id="85" w:name="_Ref98335489"/>
      <w:bookmarkStart w:id="86" w:name="_Ref98335646"/>
      <w:bookmarkStart w:id="87" w:name="_Ref98336115"/>
      <w:bookmarkStart w:id="88" w:name="_Ref98336182"/>
      <w:bookmarkStart w:id="89" w:name="_Ref98336214"/>
      <w:bookmarkStart w:id="90" w:name="_Ref98336237"/>
      <w:bookmarkStart w:id="91" w:name="_Ref98336279"/>
      <w:bookmarkStart w:id="92" w:name="_Ref98346849"/>
      <w:bookmarkStart w:id="93" w:name="_Ref98346865"/>
      <w:bookmarkStart w:id="94" w:name="_Toc98852881"/>
      <w:bookmarkStart w:id="95" w:name="_Toc141720974"/>
      <w:bookmarkEnd w:id="77"/>
      <w:bookmarkEnd w:id="78"/>
      <w:r w:rsidRPr="00BD6C5F">
        <w:lastRenderedPageBreak/>
        <w:t xml:space="preserve">Annex </w:t>
      </w:r>
      <w:bookmarkStart w:id="96" w:name="Schedule_3_Annex_1"/>
      <w:r w:rsidRPr="00BD6C5F">
        <w:t>1</w:t>
      </w:r>
      <w:bookmarkEnd w:id="96"/>
      <w:r w:rsidRPr="00BD6C5F">
        <w:t>: Key Performance Indicators and Subsidiary Performance Indicators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702C2E2" w14:textId="2F3CC2D3" w:rsidR="00BC7DDA" w:rsidRPr="00BD6C5F" w:rsidRDefault="006647C3" w:rsidP="006D411A">
      <w:pPr>
        <w:pStyle w:val="Heading2"/>
      </w:pPr>
      <w:bookmarkStart w:id="97" w:name="_Ref98346856"/>
      <w:bookmarkStart w:id="98" w:name="_Toc98852882"/>
      <w:bookmarkStart w:id="99" w:name="_Toc141720975"/>
      <w:r w:rsidRPr="00BD6C5F">
        <w:t xml:space="preserve">Part </w:t>
      </w:r>
      <w:bookmarkStart w:id="100" w:name="Schedule_3_Annex_1_Part_A"/>
      <w:r w:rsidRPr="00BD6C5F">
        <w:t>A</w:t>
      </w:r>
      <w:bookmarkEnd w:id="100"/>
      <w:r w:rsidRPr="00BD6C5F">
        <w:t>: Key Performance Indicators and Subsidiary Performance Indicators Tables</w:t>
      </w:r>
      <w:bookmarkEnd w:id="97"/>
      <w:bookmarkEnd w:id="98"/>
      <w:bookmarkEnd w:id="99"/>
    </w:p>
    <w:p w14:paraId="559BB25B" w14:textId="49527AD2" w:rsidR="00672A91" w:rsidRPr="00BD6C5F" w:rsidRDefault="00672A91" w:rsidP="00DD0D11">
      <w:pPr>
        <w:pBdr>
          <w:top w:val="nil"/>
          <w:left w:val="nil"/>
          <w:bottom w:val="nil"/>
          <w:right w:val="nil"/>
          <w:between w:val="nil"/>
        </w:pBdr>
        <w:spacing w:after="240"/>
        <w:rPr>
          <w:rFonts w:asciiTheme="minorHAnsi" w:hAnsiTheme="minorHAnsi" w:cstheme="minorHAnsi"/>
          <w:bCs/>
          <w:iCs/>
          <w:color w:val="000000"/>
          <w:szCs w:val="24"/>
        </w:rPr>
      </w:pPr>
      <w:bookmarkStart w:id="101" w:name="_Hlk83890608"/>
      <w:r w:rsidRPr="00BD6C5F">
        <w:rPr>
          <w:rFonts w:asciiTheme="minorHAnsi" w:hAnsiTheme="minorHAnsi" w:cstheme="minorHAnsi"/>
          <w:bCs/>
          <w:iCs/>
          <w:szCs w:val="24"/>
          <w:highlight w:val="yellow"/>
        </w:rPr>
        <w:t>[</w:t>
      </w:r>
      <w:r w:rsidRPr="00B13C04">
        <w:rPr>
          <w:rFonts w:asciiTheme="minorHAnsi" w:hAnsiTheme="minorHAnsi" w:cstheme="minorHAnsi"/>
          <w:b/>
          <w:i/>
          <w:szCs w:val="24"/>
          <w:highlight w:val="yellow"/>
        </w:rPr>
        <w:t>Guidance – th</w:t>
      </w:r>
      <w:r w:rsidR="000774DB" w:rsidRPr="00B13C04">
        <w:rPr>
          <w:rFonts w:asciiTheme="minorHAnsi" w:hAnsiTheme="minorHAnsi" w:cstheme="minorHAnsi"/>
          <w:b/>
          <w:i/>
          <w:szCs w:val="24"/>
          <w:highlight w:val="yellow"/>
        </w:rPr>
        <w:t>ese</w:t>
      </w:r>
      <w:r w:rsidRPr="00B13C04">
        <w:rPr>
          <w:rFonts w:asciiTheme="minorHAnsi" w:hAnsiTheme="minorHAnsi" w:cstheme="minorHAnsi"/>
          <w:b/>
          <w:i/>
          <w:szCs w:val="24"/>
          <w:highlight w:val="yellow"/>
        </w:rPr>
        <w:t xml:space="preserve"> table</w:t>
      </w:r>
      <w:r w:rsidR="000774DB" w:rsidRPr="00B13C04">
        <w:rPr>
          <w:rFonts w:asciiTheme="minorHAnsi" w:hAnsiTheme="minorHAnsi" w:cstheme="minorHAnsi"/>
          <w:b/>
          <w:i/>
          <w:szCs w:val="24"/>
          <w:highlight w:val="yellow"/>
        </w:rPr>
        <w:t>s</w:t>
      </w:r>
      <w:r w:rsidRPr="00B13C04">
        <w:rPr>
          <w:rFonts w:asciiTheme="minorHAnsi" w:hAnsiTheme="minorHAnsi" w:cstheme="minorHAnsi"/>
          <w:b/>
          <w:i/>
          <w:szCs w:val="24"/>
          <w:highlight w:val="yellow"/>
        </w:rPr>
        <w:t xml:space="preserve"> now contain space to insert Key Performance Indicators</w:t>
      </w:r>
      <w:r w:rsidR="000774DB" w:rsidRPr="00B13C04">
        <w:rPr>
          <w:rFonts w:asciiTheme="minorHAnsi" w:hAnsiTheme="minorHAnsi" w:cstheme="minorHAnsi"/>
          <w:b/>
          <w:i/>
          <w:szCs w:val="24"/>
          <w:highlight w:val="yellow"/>
        </w:rPr>
        <w:t xml:space="preserve"> and/or Subsidiary Performance Indicators</w:t>
      </w:r>
      <w:r w:rsidRPr="00B13C04">
        <w:rPr>
          <w:rFonts w:asciiTheme="minorHAnsi" w:hAnsiTheme="minorHAnsi" w:cstheme="minorHAnsi"/>
          <w:b/>
          <w:i/>
          <w:szCs w:val="24"/>
          <w:highlight w:val="yellow"/>
        </w:rPr>
        <w:t xml:space="preserve"> relating to Social Value. You should use the Model Award Criteria and Reporting Metrics set out in the procurement documentation and in the tenderer</w:t>
      </w:r>
      <w:r w:rsidR="00A4555C" w:rsidRPr="00B13C04">
        <w:rPr>
          <w:rFonts w:asciiTheme="minorHAnsi" w:hAnsiTheme="minorHAnsi" w:cstheme="minorHAnsi"/>
          <w:b/>
          <w:i/>
          <w:szCs w:val="24"/>
          <w:highlight w:val="yellow"/>
        </w:rPr>
        <w:t>’</w:t>
      </w:r>
      <w:r w:rsidRPr="00B13C04">
        <w:rPr>
          <w:rFonts w:asciiTheme="minorHAnsi" w:hAnsiTheme="minorHAnsi" w:cstheme="minorHAnsi"/>
          <w:b/>
          <w:i/>
          <w:szCs w:val="24"/>
          <w:highlight w:val="yellow"/>
        </w:rPr>
        <w:t>s proposals to establish Social Value KPIs</w:t>
      </w:r>
      <w:r w:rsidR="000774DB" w:rsidRPr="00B13C04">
        <w:rPr>
          <w:rFonts w:asciiTheme="minorHAnsi" w:hAnsiTheme="minorHAnsi" w:cstheme="minorHAnsi"/>
          <w:b/>
          <w:i/>
          <w:szCs w:val="24"/>
          <w:highlight w:val="yellow"/>
        </w:rPr>
        <w:t xml:space="preserve"> and/or PIs</w:t>
      </w:r>
      <w:r w:rsidRPr="00B13C04">
        <w:rPr>
          <w:rFonts w:asciiTheme="minorHAnsi" w:hAnsiTheme="minorHAnsi" w:cstheme="minorHAnsi"/>
          <w:b/>
          <w:i/>
          <w:szCs w:val="24"/>
          <w:highlight w:val="yellow"/>
        </w:rPr>
        <w:t>, and include these below</w:t>
      </w:r>
      <w:r w:rsidRPr="00BD6C5F">
        <w:rPr>
          <w:rFonts w:asciiTheme="minorHAnsi" w:hAnsiTheme="minorHAnsi" w:cstheme="minorHAnsi"/>
          <w:bCs/>
          <w:iCs/>
          <w:szCs w:val="24"/>
          <w:highlight w:val="yellow"/>
        </w:rPr>
        <w:t>]</w:t>
      </w:r>
    </w:p>
    <w:p w14:paraId="47B4073E" w14:textId="20D05312" w:rsidR="000774DB" w:rsidRPr="00BD6C5F" w:rsidRDefault="000774DB" w:rsidP="000774DB">
      <w:pPr>
        <w:pBdr>
          <w:top w:val="nil"/>
          <w:left w:val="nil"/>
          <w:bottom w:val="nil"/>
          <w:right w:val="nil"/>
          <w:between w:val="nil"/>
        </w:pBdr>
        <w:spacing w:before="100" w:after="200"/>
        <w:rPr>
          <w:rFonts w:asciiTheme="minorHAnsi" w:hAnsiTheme="minorHAnsi" w:cstheme="minorHAnsi"/>
          <w:bCs/>
          <w:iCs/>
          <w:color w:val="000000"/>
          <w:szCs w:val="24"/>
        </w:rPr>
      </w:pPr>
      <w:r w:rsidRPr="00BD6C5F">
        <w:rPr>
          <w:rFonts w:asciiTheme="minorHAnsi" w:hAnsiTheme="minorHAnsi" w:cstheme="minorHAnsi"/>
          <w:bCs/>
          <w:iCs/>
          <w:highlight w:val="yellow"/>
        </w:rPr>
        <w:t>Contracting Authorities should use pre-market engagement to inform the selection of relevant, proportionate and non-discriminatory questions and criteria from the Social Value Model in order to inform the choice of relevant Social Value KPIs and/or PIs.]</w:t>
      </w:r>
    </w:p>
    <w:bookmarkEnd w:id="101"/>
    <w:p w14:paraId="0B114D51" w14:textId="37AC2BED" w:rsidR="00F56251" w:rsidRPr="00BD6C5F" w:rsidRDefault="009B03E9" w:rsidP="003E785F">
      <w:pPr>
        <w:keepNext/>
        <w:rPr>
          <w:rFonts w:asciiTheme="minorHAnsi" w:hAnsiTheme="minorHAnsi" w:cstheme="minorHAnsi"/>
        </w:rPr>
      </w:pPr>
      <w:r w:rsidRPr="00BD6C5F">
        <w:t>The Key Performance Indicators and Subsidiary Performance Indicators that shall apply to the Operational Services</w:t>
      </w:r>
      <w:r w:rsidR="00672A91" w:rsidRPr="00BD6C5F">
        <w:t xml:space="preserve"> and the Key Performance Indicators relating to Social Value</w:t>
      </w:r>
      <w:r w:rsidRPr="00BD6C5F">
        <w:t xml:space="preserve"> are set out below:</w:t>
      </w:r>
    </w:p>
    <w:p w14:paraId="2BDE4B1D" w14:textId="265790E7" w:rsidR="00BC7DDA" w:rsidRPr="00BD6C5F" w:rsidRDefault="009B03E9" w:rsidP="006220B3">
      <w:pPr>
        <w:pStyle w:val="AppendixText1"/>
      </w:pPr>
      <w:r w:rsidRPr="00BD6C5F">
        <w:t>Key Performance Indicators</w:t>
      </w:r>
    </w:p>
    <w:tbl>
      <w:tblPr>
        <w:tblStyle w:val="MSATable-header"/>
        <w:tblpPr w:leftFromText="180" w:rightFromText="180" w:vertAnchor="text" w:tblpY="1"/>
        <w:tblOverlap w:val="never"/>
        <w:tblW w:w="15137" w:type="dxa"/>
        <w:tblLayout w:type="fixed"/>
        <w:tblLook w:val="0620" w:firstRow="1" w:lastRow="0" w:firstColumn="0" w:lastColumn="0" w:noHBand="1" w:noVBand="1"/>
      </w:tblPr>
      <w:tblGrid>
        <w:gridCol w:w="737"/>
        <w:gridCol w:w="2551"/>
        <w:gridCol w:w="1701"/>
        <w:gridCol w:w="1701"/>
        <w:gridCol w:w="2665"/>
        <w:gridCol w:w="1020"/>
        <w:gridCol w:w="4762"/>
      </w:tblGrid>
      <w:tr w:rsidR="00BC7DDA" w:rsidRPr="00BD6C5F" w14:paraId="33143AC0" w14:textId="77777777" w:rsidTr="00B13C04">
        <w:trPr>
          <w:cnfStyle w:val="100000000000" w:firstRow="1" w:lastRow="0" w:firstColumn="0" w:lastColumn="0" w:oddVBand="0" w:evenVBand="0" w:oddHBand="0" w:evenHBand="0" w:firstRowFirstColumn="0" w:firstRowLastColumn="0" w:lastRowFirstColumn="0" w:lastRowLastColumn="0"/>
          <w:trHeight w:val="20"/>
          <w:tblHeader/>
        </w:trPr>
        <w:tc>
          <w:tcPr>
            <w:tcW w:w="737" w:type="dxa"/>
          </w:tcPr>
          <w:p w14:paraId="7EE5619E"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No.</w:t>
            </w:r>
          </w:p>
        </w:tc>
        <w:tc>
          <w:tcPr>
            <w:tcW w:w="2551" w:type="dxa"/>
          </w:tcPr>
          <w:p w14:paraId="40DEDC5D"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Key Performance Indicator Title</w:t>
            </w:r>
          </w:p>
        </w:tc>
        <w:tc>
          <w:tcPr>
            <w:tcW w:w="1701" w:type="dxa"/>
          </w:tcPr>
          <w:p w14:paraId="40B8C044"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Definition</w:t>
            </w:r>
          </w:p>
        </w:tc>
        <w:tc>
          <w:tcPr>
            <w:tcW w:w="1701" w:type="dxa"/>
          </w:tcPr>
          <w:p w14:paraId="0AB4BA70"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Frequency of Measurement</w:t>
            </w:r>
          </w:p>
        </w:tc>
        <w:tc>
          <w:tcPr>
            <w:tcW w:w="2665" w:type="dxa"/>
          </w:tcPr>
          <w:p w14:paraId="526103F9"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Severity Levels</w:t>
            </w:r>
          </w:p>
        </w:tc>
        <w:tc>
          <w:tcPr>
            <w:tcW w:w="1020" w:type="dxa"/>
          </w:tcPr>
          <w:p w14:paraId="6EE24484"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Service Points</w:t>
            </w:r>
          </w:p>
        </w:tc>
        <w:tc>
          <w:tcPr>
            <w:tcW w:w="4762" w:type="dxa"/>
          </w:tcPr>
          <w:p w14:paraId="796B6CB8" w14:textId="77777777" w:rsidR="00BC7DDA" w:rsidRPr="00BD6C5F" w:rsidRDefault="009B03E9" w:rsidP="00B13C04">
            <w:pPr>
              <w:pStyle w:val="Tabletext"/>
              <w:rPr>
                <w:rFonts w:asciiTheme="minorHAnsi" w:hAnsiTheme="minorHAnsi" w:cstheme="minorHAnsi"/>
              </w:rPr>
            </w:pPr>
            <w:r w:rsidRPr="00BD6C5F">
              <w:rPr>
                <w:rFonts w:asciiTheme="minorHAnsi" w:hAnsiTheme="minorHAnsi" w:cstheme="minorHAnsi"/>
              </w:rPr>
              <w:t>Publishable Performance Information</w:t>
            </w:r>
          </w:p>
          <w:p w14:paraId="2936B6EC" w14:textId="08019127" w:rsidR="00BC7DDA" w:rsidRPr="00BD6C5F" w:rsidRDefault="009B03E9" w:rsidP="00B13C04">
            <w:pPr>
              <w:pStyle w:val="Tabletext"/>
              <w:rPr>
                <w:rFonts w:asciiTheme="minorHAnsi" w:hAnsiTheme="minorHAnsi" w:cstheme="minorHAnsi"/>
                <w:iCs/>
              </w:rPr>
            </w:pPr>
            <w:r w:rsidRPr="00BD6C5F">
              <w:rPr>
                <w:rFonts w:asciiTheme="minorHAnsi" w:hAnsiTheme="minorHAnsi" w:cstheme="minorHAnsi"/>
                <w:b w:val="0"/>
                <w:bCs/>
                <w:iCs/>
                <w:sz w:val="20"/>
                <w:szCs w:val="20"/>
                <w:highlight w:val="yellow"/>
                <w:shd w:val="clear" w:color="auto" w:fill="FFFF00"/>
              </w:rPr>
              <w:t>[</w:t>
            </w:r>
            <w:r w:rsidRPr="00B13C04">
              <w:rPr>
                <w:rFonts w:asciiTheme="minorHAnsi" w:hAnsiTheme="minorHAnsi" w:cstheme="minorHAnsi"/>
                <w:i/>
                <w:sz w:val="20"/>
                <w:szCs w:val="20"/>
                <w:highlight w:val="yellow"/>
                <w:shd w:val="clear" w:color="auto" w:fill="FFFF00"/>
              </w:rPr>
              <w:t>Guidance: It is HMG</w:t>
            </w:r>
            <w:r w:rsidR="00A4555C" w:rsidRPr="00B13C04">
              <w:rPr>
                <w:rFonts w:asciiTheme="minorHAnsi" w:hAnsiTheme="minorHAnsi" w:cstheme="minorHAnsi"/>
                <w:i/>
                <w:sz w:val="20"/>
                <w:szCs w:val="20"/>
                <w:highlight w:val="yellow"/>
                <w:shd w:val="clear" w:color="auto" w:fill="FFFF00"/>
              </w:rPr>
              <w:t>’</w:t>
            </w:r>
            <w:r w:rsidRPr="00B13C04">
              <w:rPr>
                <w:rFonts w:asciiTheme="minorHAnsi" w:hAnsiTheme="minorHAnsi" w:cstheme="minorHAnsi"/>
                <w:i/>
                <w:sz w:val="20"/>
                <w:szCs w:val="20"/>
                <w:highlight w:val="yellow"/>
                <w:shd w:val="clear" w:color="auto" w:fill="FFFF00"/>
              </w:rPr>
              <w:t>s</w:t>
            </w:r>
            <w:r w:rsidRPr="00B13C04">
              <w:rPr>
                <w:rFonts w:asciiTheme="minorHAnsi" w:hAnsiTheme="minorHAnsi" w:cstheme="minorHAnsi"/>
                <w:i/>
                <w:sz w:val="20"/>
                <w:szCs w:val="20"/>
                <w:highlight w:val="yellow"/>
              </w:rPr>
              <w:t xml:space="preserve"> </w:t>
            </w:r>
            <w:r w:rsidRPr="00B13C04">
              <w:rPr>
                <w:rFonts w:asciiTheme="minorHAnsi" w:hAnsiTheme="minorHAnsi" w:cstheme="minorHAnsi"/>
                <w:i/>
                <w:sz w:val="20"/>
                <w:szCs w:val="20"/>
                <w:highlight w:val="yellow"/>
                <w:shd w:val="clear" w:color="auto" w:fill="FFFF00"/>
              </w:rPr>
              <w:t>intention to publish the</w:t>
            </w:r>
            <w:r w:rsidRPr="00B13C04">
              <w:rPr>
                <w:rFonts w:asciiTheme="minorHAnsi" w:hAnsiTheme="minorHAnsi" w:cstheme="minorHAnsi"/>
                <w:i/>
                <w:sz w:val="20"/>
                <w:szCs w:val="20"/>
                <w:highlight w:val="yellow"/>
              </w:rPr>
              <w:t xml:space="preserve"> </w:t>
            </w:r>
            <w:r w:rsidRPr="00B13C04">
              <w:rPr>
                <w:rFonts w:asciiTheme="minorHAnsi" w:hAnsiTheme="minorHAnsi" w:cstheme="minorHAnsi"/>
                <w:i/>
                <w:sz w:val="20"/>
                <w:szCs w:val="20"/>
                <w:highlight w:val="yellow"/>
                <w:shd w:val="clear" w:color="auto" w:fill="FFFF00"/>
              </w:rPr>
              <w:t>top KPIs in the vast</w:t>
            </w:r>
            <w:r w:rsidRPr="00B13C04">
              <w:rPr>
                <w:rFonts w:asciiTheme="minorHAnsi" w:hAnsiTheme="minorHAnsi" w:cstheme="minorHAnsi"/>
                <w:i/>
                <w:sz w:val="20"/>
                <w:szCs w:val="20"/>
                <w:highlight w:val="yellow"/>
              </w:rPr>
              <w:t xml:space="preserve"> </w:t>
            </w:r>
            <w:r w:rsidRPr="00B13C04">
              <w:rPr>
                <w:rFonts w:asciiTheme="minorHAnsi" w:hAnsiTheme="minorHAnsi" w:cstheme="minorHAnsi"/>
                <w:i/>
                <w:sz w:val="20"/>
                <w:szCs w:val="20"/>
                <w:highlight w:val="yellow"/>
                <w:shd w:val="clear" w:color="auto" w:fill="FFFF00"/>
              </w:rPr>
              <w:t>majority of contracts.</w:t>
            </w:r>
            <w:r w:rsidRPr="00B13C04">
              <w:rPr>
                <w:rFonts w:asciiTheme="minorHAnsi" w:hAnsiTheme="minorHAnsi" w:cstheme="minorHAnsi"/>
                <w:i/>
                <w:sz w:val="20"/>
                <w:szCs w:val="20"/>
                <w:highlight w:val="yellow"/>
              </w:rPr>
              <w:t xml:space="preserve"> </w:t>
            </w:r>
            <w:r w:rsidRPr="00B13C04">
              <w:rPr>
                <w:rFonts w:asciiTheme="minorHAnsi" w:hAnsiTheme="minorHAnsi" w:cstheme="minorHAnsi"/>
                <w:i/>
                <w:sz w:val="20"/>
                <w:szCs w:val="20"/>
                <w:highlight w:val="yellow"/>
                <w:shd w:val="clear" w:color="auto" w:fill="FFFF00"/>
              </w:rPr>
              <w:t xml:space="preserve">The </w:t>
            </w:r>
            <w:r w:rsidRPr="00B13C04">
              <w:rPr>
                <w:rFonts w:asciiTheme="minorHAnsi" w:hAnsiTheme="minorHAnsi" w:cstheme="minorHAnsi"/>
                <w:i/>
                <w:spacing w:val="-2"/>
                <w:sz w:val="20"/>
                <w:szCs w:val="20"/>
                <w:highlight w:val="yellow"/>
                <w:shd w:val="clear" w:color="auto" w:fill="FFFF00"/>
              </w:rPr>
              <w:t>Authority must</w:t>
            </w:r>
            <w:r w:rsidRPr="00B13C04">
              <w:rPr>
                <w:rFonts w:asciiTheme="minorHAnsi" w:hAnsiTheme="minorHAnsi" w:cstheme="minorHAnsi"/>
                <w:i/>
                <w:spacing w:val="-2"/>
                <w:sz w:val="20"/>
                <w:szCs w:val="20"/>
                <w:highlight w:val="yellow"/>
              </w:rPr>
              <w:t xml:space="preserve"> </w:t>
            </w:r>
            <w:r w:rsidRPr="00B13C04">
              <w:rPr>
                <w:rFonts w:asciiTheme="minorHAnsi" w:hAnsiTheme="minorHAnsi" w:cstheme="minorHAnsi"/>
                <w:i/>
                <w:spacing w:val="-2"/>
                <w:sz w:val="20"/>
                <w:szCs w:val="20"/>
                <w:highlight w:val="yellow"/>
                <w:shd w:val="clear" w:color="auto" w:fill="FFFF00"/>
              </w:rPr>
              <w:t>select at least three</w:t>
            </w:r>
            <w:r w:rsidRPr="00B13C04">
              <w:rPr>
                <w:rFonts w:asciiTheme="minorHAnsi" w:hAnsiTheme="minorHAnsi" w:cstheme="minorHAnsi"/>
                <w:i/>
                <w:spacing w:val="-2"/>
                <w:sz w:val="20"/>
                <w:szCs w:val="20"/>
                <w:highlight w:val="yellow"/>
              </w:rPr>
              <w:t xml:space="preserve"> </w:t>
            </w:r>
            <w:r w:rsidRPr="00B13C04">
              <w:rPr>
                <w:rFonts w:asciiTheme="minorHAnsi" w:hAnsiTheme="minorHAnsi" w:cstheme="minorHAnsi"/>
                <w:i/>
                <w:spacing w:val="-2"/>
                <w:sz w:val="20"/>
                <w:szCs w:val="20"/>
                <w:highlight w:val="yellow"/>
                <w:shd w:val="clear" w:color="auto" w:fill="FFFF00"/>
              </w:rPr>
              <w:t>KPI/PIs which</w:t>
            </w:r>
            <w:r w:rsidRPr="00B13C04">
              <w:rPr>
                <w:rFonts w:asciiTheme="minorHAnsi" w:hAnsiTheme="minorHAnsi" w:cstheme="minorHAnsi"/>
                <w:i/>
                <w:sz w:val="20"/>
                <w:szCs w:val="20"/>
                <w:highlight w:val="yellow"/>
                <w:shd w:val="clear" w:color="auto" w:fill="FFFF00"/>
              </w:rPr>
              <w:t xml:space="preserve"> shall be</w:t>
            </w:r>
            <w:r w:rsidRPr="00B13C04">
              <w:rPr>
                <w:rFonts w:asciiTheme="minorHAnsi" w:hAnsiTheme="minorHAnsi" w:cstheme="minorHAnsi"/>
                <w:i/>
                <w:sz w:val="20"/>
                <w:szCs w:val="20"/>
                <w:highlight w:val="yellow"/>
              </w:rPr>
              <w:t xml:space="preserve"> </w:t>
            </w:r>
            <w:r w:rsidRPr="00B13C04">
              <w:rPr>
                <w:rFonts w:asciiTheme="minorHAnsi" w:hAnsiTheme="minorHAnsi" w:cstheme="minorHAnsi"/>
                <w:i/>
                <w:sz w:val="20"/>
                <w:szCs w:val="20"/>
                <w:highlight w:val="yellow"/>
                <w:shd w:val="clear" w:color="auto" w:fill="FFFF00"/>
              </w:rPr>
              <w:t>publishable</w:t>
            </w:r>
            <w:r w:rsidR="00672A91" w:rsidRPr="00B13C04">
              <w:rPr>
                <w:rFonts w:asciiTheme="minorHAnsi" w:hAnsiTheme="minorHAnsi" w:cstheme="minorHAnsi"/>
                <w:i/>
                <w:sz w:val="20"/>
                <w:szCs w:val="20"/>
                <w:highlight w:val="yellow"/>
                <w:shd w:val="clear" w:color="auto" w:fill="FFFF00"/>
              </w:rPr>
              <w:t xml:space="preserve"> and also must select the single most important Social Value KPI</w:t>
            </w:r>
            <w:r w:rsidR="000774DB" w:rsidRPr="00B13C04">
              <w:rPr>
                <w:rFonts w:asciiTheme="minorHAnsi" w:hAnsiTheme="minorHAnsi" w:cstheme="minorHAnsi"/>
                <w:i/>
                <w:sz w:val="20"/>
                <w:szCs w:val="20"/>
                <w:highlight w:val="yellow"/>
                <w:shd w:val="clear" w:color="auto" w:fill="FFFF00"/>
              </w:rPr>
              <w:t>/PI</w:t>
            </w:r>
            <w:r w:rsidR="00672A91" w:rsidRPr="00B13C04">
              <w:rPr>
                <w:rFonts w:asciiTheme="minorHAnsi" w:hAnsiTheme="minorHAnsi" w:cstheme="minorHAnsi"/>
                <w:i/>
                <w:sz w:val="20"/>
                <w:szCs w:val="20"/>
                <w:highlight w:val="yellow"/>
                <w:shd w:val="clear" w:color="auto" w:fill="FFFF00"/>
              </w:rPr>
              <w:t>, which shall be publishable (four KPIs</w:t>
            </w:r>
            <w:r w:rsidR="000774DB" w:rsidRPr="00B13C04">
              <w:rPr>
                <w:rFonts w:asciiTheme="minorHAnsi" w:hAnsiTheme="minorHAnsi" w:cstheme="minorHAnsi"/>
                <w:i/>
                <w:sz w:val="20"/>
                <w:szCs w:val="20"/>
                <w:highlight w:val="yellow"/>
                <w:shd w:val="clear" w:color="auto" w:fill="FFFF00"/>
              </w:rPr>
              <w:t>/PIs</w:t>
            </w:r>
            <w:r w:rsidR="00672A91" w:rsidRPr="00B13C04">
              <w:rPr>
                <w:rFonts w:asciiTheme="minorHAnsi" w:hAnsiTheme="minorHAnsi" w:cstheme="minorHAnsi"/>
                <w:i/>
                <w:sz w:val="20"/>
                <w:szCs w:val="20"/>
                <w:highlight w:val="yellow"/>
                <w:shd w:val="clear" w:color="auto" w:fill="FFFF00"/>
              </w:rPr>
              <w:t xml:space="preserve"> in total)</w:t>
            </w:r>
            <w:r w:rsidRPr="00BD6C5F">
              <w:rPr>
                <w:rFonts w:asciiTheme="minorHAnsi" w:hAnsiTheme="minorHAnsi" w:cstheme="minorHAnsi"/>
                <w:b w:val="0"/>
                <w:bCs/>
                <w:iCs/>
                <w:sz w:val="20"/>
                <w:szCs w:val="20"/>
                <w:highlight w:val="yellow"/>
                <w:shd w:val="clear" w:color="auto" w:fill="FFFF00"/>
              </w:rPr>
              <w:t>]</w:t>
            </w:r>
          </w:p>
        </w:tc>
      </w:tr>
      <w:tr w:rsidR="00F56251" w:rsidRPr="00BD6C5F" w14:paraId="4033BD34" w14:textId="77777777" w:rsidTr="00B13C04">
        <w:trPr>
          <w:trHeight w:val="20"/>
        </w:trPr>
        <w:tc>
          <w:tcPr>
            <w:tcW w:w="737" w:type="dxa"/>
          </w:tcPr>
          <w:p w14:paraId="2A1EA860" w14:textId="49F4E2E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KPI1</w:t>
            </w:r>
            <w:r w:rsidRPr="00BD6C5F">
              <w:rPr>
                <w:rFonts w:asciiTheme="minorHAnsi" w:hAnsiTheme="minorHAnsi" w:cstheme="minorHAnsi"/>
                <w:noProof/>
              </w:rPr>
              <mc:AlternateContent>
                <mc:Choice Requires="wps">
                  <w:drawing>
                    <wp:anchor distT="0" distB="0" distL="114300" distR="114300" simplePos="0" relativeHeight="257324032" behindDoc="1" locked="0" layoutInCell="1" allowOverlap="1" wp14:anchorId="01C7BA55" wp14:editId="66440340">
                      <wp:simplePos x="0" y="0"/>
                      <wp:positionH relativeFrom="page">
                        <wp:posOffset>5472430</wp:posOffset>
                      </wp:positionH>
                      <wp:positionV relativeFrom="page">
                        <wp:posOffset>5679440</wp:posOffset>
                      </wp:positionV>
                      <wp:extent cx="184150" cy="177800"/>
                      <wp:effectExtent l="0" t="0" r="0" b="0"/>
                      <wp:wrapNone/>
                      <wp:docPr id="39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3320" id="Rectangle 169" o:spid="_x0000_s1026" style="position:absolute;margin-left:430.9pt;margin-top:447.2pt;width:14.5pt;height:14pt;z-index:-2459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325056" behindDoc="1" locked="0" layoutInCell="1" allowOverlap="1" wp14:anchorId="5A3DAD2E" wp14:editId="0B29A304">
                      <wp:simplePos x="0" y="0"/>
                      <wp:positionH relativeFrom="page">
                        <wp:posOffset>5472430</wp:posOffset>
                      </wp:positionH>
                      <wp:positionV relativeFrom="page">
                        <wp:posOffset>6228715</wp:posOffset>
                      </wp:positionV>
                      <wp:extent cx="184150" cy="175260"/>
                      <wp:effectExtent l="0" t="0" r="0" b="0"/>
                      <wp:wrapNone/>
                      <wp:docPr id="39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DB12" id="Rectangle 168" o:spid="_x0000_s1026" style="position:absolute;margin-left:430.9pt;margin-top:490.45pt;width:14.5pt;height:13.8pt;z-index:-2459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326080" behindDoc="1" locked="0" layoutInCell="1" allowOverlap="1" wp14:anchorId="575F9A1B" wp14:editId="09A7ECDB">
                      <wp:simplePos x="0" y="0"/>
                      <wp:positionH relativeFrom="page">
                        <wp:posOffset>7002780</wp:posOffset>
                      </wp:positionH>
                      <wp:positionV relativeFrom="page">
                        <wp:posOffset>6054090</wp:posOffset>
                      </wp:positionV>
                      <wp:extent cx="168910" cy="174625"/>
                      <wp:effectExtent l="0" t="0" r="0" b="0"/>
                      <wp:wrapNone/>
                      <wp:docPr id="39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3C4F6" id="Rectangle 167" o:spid="_x0000_s1026" style="position:absolute;margin-left:551.4pt;margin-top:476.7pt;width:13.3pt;height:13.75pt;z-index:-2459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" fillcolor="yellow" stroked="f">
                      <w10:wrap anchorx="page" anchory="page"/>
                    </v:rect>
                  </w:pict>
                </mc:Fallback>
              </mc:AlternateContent>
            </w:r>
          </w:p>
        </w:tc>
        <w:tc>
          <w:tcPr>
            <w:tcW w:w="2551" w:type="dxa"/>
          </w:tcPr>
          <w:p w14:paraId="752E2F6E" w14:textId="3BC06CA5" w:rsidR="00F56251" w:rsidRPr="00BD6C5F" w:rsidRDefault="00D90FA5" w:rsidP="00B13C04">
            <w:pPr>
              <w:pStyle w:val="Tabletext"/>
              <w:rPr>
                <w:rFonts w:asciiTheme="minorHAnsi" w:hAnsiTheme="minorHAnsi" w:cstheme="minorHAnsi"/>
              </w:rPr>
            </w:pPr>
            <w:r w:rsidRPr="00BD6C5F">
              <w:rPr>
                <w:rFonts w:asciiTheme="minorHAnsi" w:hAnsiTheme="minorHAnsi" w:cstheme="minorHAnsi"/>
                <w:highlight w:val="yellow"/>
              </w:rPr>
              <w:t>[Service Availability]</w:t>
            </w:r>
          </w:p>
        </w:tc>
        <w:tc>
          <w:tcPr>
            <w:tcW w:w="1701" w:type="dxa"/>
          </w:tcPr>
          <w:p w14:paraId="07DE96E2" w14:textId="1D35AA5E"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See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_Ref98356972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1</w:t>
            </w:r>
            <w:r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Pr="00BD6C5F">
              <w:rPr>
                <w:rFonts w:asciiTheme="minorHAnsi" w:hAnsiTheme="minorHAnsi" w:cstheme="minorHAnsi"/>
              </w:rPr>
              <w:t xml:space="preserve"> of this Annex</w:t>
            </w:r>
          </w:p>
        </w:tc>
        <w:tc>
          <w:tcPr>
            <w:tcW w:w="1701" w:type="dxa"/>
          </w:tcPr>
          <w:p w14:paraId="014F22C3" w14:textId="77777777" w:rsidR="00F56251" w:rsidRPr="00BD6C5F" w:rsidRDefault="00F56251" w:rsidP="00B13C04">
            <w:pPr>
              <w:pStyle w:val="Tabletext"/>
              <w:rPr>
                <w:rFonts w:asciiTheme="minorHAnsi" w:hAnsiTheme="minorHAnsi" w:cstheme="minorHAnsi"/>
              </w:rPr>
            </w:pPr>
          </w:p>
        </w:tc>
        <w:tc>
          <w:tcPr>
            <w:tcW w:w="2665" w:type="dxa"/>
            <w:tcBorders>
              <w:bottom w:val="single" w:sz="4" w:space="0" w:color="auto"/>
            </w:tcBorders>
          </w:tcPr>
          <w:p w14:paraId="4374DD71"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shd w:val="clear" w:color="auto" w:fill="FFFF00"/>
              </w:rPr>
              <w:t>[99%]</w:t>
            </w:r>
          </w:p>
          <w:p w14:paraId="75601123"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Minor KPI Failure: </w:t>
            </w:r>
            <w:r w:rsidRPr="00BD6C5F">
              <w:rPr>
                <w:rFonts w:asciiTheme="minorHAnsi" w:hAnsiTheme="minorHAnsi" w:cstheme="minorHAnsi"/>
              </w:rPr>
              <w:br/>
            </w:r>
            <w:r w:rsidRPr="00BD6C5F">
              <w:rPr>
                <w:rFonts w:asciiTheme="minorHAnsi" w:hAnsiTheme="minorHAnsi" w:cstheme="minorHAnsi"/>
                <w:shd w:val="clear" w:color="auto" w:fill="FFFF00"/>
              </w:rPr>
              <w:t>[98.0% - 98.9%]</w:t>
            </w:r>
          </w:p>
          <w:p w14:paraId="017E6ACC"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Serious KPI Failure:</w:t>
            </w:r>
            <w:r w:rsidRPr="00BD6C5F">
              <w:rPr>
                <w:rFonts w:asciiTheme="minorHAnsi" w:hAnsiTheme="minorHAnsi" w:cstheme="minorHAnsi"/>
              </w:rPr>
              <w:br/>
            </w:r>
            <w:r w:rsidRPr="00BD6C5F">
              <w:rPr>
                <w:rFonts w:asciiTheme="minorHAnsi" w:hAnsiTheme="minorHAnsi" w:cstheme="minorHAnsi"/>
                <w:shd w:val="clear" w:color="auto" w:fill="FFFF00"/>
              </w:rPr>
              <w:t>[97.0% - 97.9%]</w:t>
            </w:r>
          </w:p>
          <w:p w14:paraId="69D3C9FB"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lastRenderedPageBreak/>
              <w:t xml:space="preserve">Severe KPI Failure: </w:t>
            </w:r>
            <w:r w:rsidRPr="00BD6C5F">
              <w:rPr>
                <w:rFonts w:asciiTheme="minorHAnsi" w:hAnsiTheme="minorHAnsi" w:cstheme="minorHAnsi"/>
              </w:rPr>
              <w:br/>
            </w:r>
            <w:r w:rsidRPr="00BD6C5F">
              <w:rPr>
                <w:rFonts w:asciiTheme="minorHAnsi" w:hAnsiTheme="minorHAnsi" w:cstheme="minorHAnsi"/>
                <w:shd w:val="clear" w:color="auto" w:fill="FFFF00"/>
              </w:rPr>
              <w:t>[96.0% - 96.9%]</w:t>
            </w:r>
          </w:p>
          <w:p w14:paraId="53F55154" w14:textId="7CF89306"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KPI Service Threshold: </w:t>
            </w:r>
            <w:r w:rsidRPr="00BD6C5F">
              <w:rPr>
                <w:rFonts w:asciiTheme="minorHAnsi" w:hAnsiTheme="minorHAnsi" w:cstheme="minorHAnsi"/>
              </w:rPr>
              <w:br/>
            </w:r>
            <w:r w:rsidRPr="00BD6C5F">
              <w:rPr>
                <w:rFonts w:asciiTheme="minorHAnsi" w:hAnsiTheme="minorHAnsi" w:cstheme="minorHAnsi"/>
                <w:shd w:val="clear" w:color="auto" w:fill="FFFF00"/>
              </w:rPr>
              <w:t>[below 96%]</w:t>
            </w:r>
          </w:p>
        </w:tc>
        <w:tc>
          <w:tcPr>
            <w:tcW w:w="1020" w:type="dxa"/>
            <w:tcBorders>
              <w:bottom w:val="single" w:sz="4" w:space="0" w:color="auto"/>
            </w:tcBorders>
          </w:tcPr>
          <w:p w14:paraId="771DE627"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w w:val="99"/>
              </w:rPr>
              <w:lastRenderedPageBreak/>
              <w:t>0</w:t>
            </w:r>
            <w:r w:rsidRPr="00BD6C5F">
              <w:rPr>
                <w:rFonts w:asciiTheme="minorHAnsi" w:hAnsiTheme="minorHAnsi" w:cstheme="minorHAnsi"/>
                <w:w w:val="99"/>
              </w:rPr>
              <w:br/>
            </w:r>
          </w:p>
          <w:p w14:paraId="51136C4A"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t>[1]</w:t>
            </w:r>
            <w:r w:rsidRPr="00BD6C5F">
              <w:rPr>
                <w:rFonts w:asciiTheme="minorHAnsi" w:hAnsiTheme="minorHAnsi" w:cstheme="minorHAnsi"/>
                <w:shd w:val="clear" w:color="auto" w:fill="FFFF00"/>
              </w:rPr>
              <w:br/>
            </w:r>
          </w:p>
          <w:p w14:paraId="712E321D"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t>[2]</w:t>
            </w:r>
            <w:r w:rsidRPr="00BD6C5F">
              <w:rPr>
                <w:rFonts w:asciiTheme="minorHAnsi" w:hAnsiTheme="minorHAnsi" w:cstheme="minorHAnsi"/>
                <w:shd w:val="clear" w:color="auto" w:fill="FFFF00"/>
              </w:rPr>
              <w:br/>
            </w:r>
          </w:p>
          <w:p w14:paraId="14457D92"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lastRenderedPageBreak/>
              <w:t>[3]</w:t>
            </w:r>
            <w:r w:rsidRPr="00BD6C5F">
              <w:rPr>
                <w:rFonts w:asciiTheme="minorHAnsi" w:hAnsiTheme="minorHAnsi" w:cstheme="minorHAnsi"/>
              </w:rPr>
              <w:br/>
            </w:r>
          </w:p>
          <w:p w14:paraId="053DF018" w14:textId="1603F2C5"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343068DD"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lastRenderedPageBreak/>
              <w:t>[YES/NO]</w:t>
            </w:r>
          </w:p>
        </w:tc>
      </w:tr>
      <w:tr w:rsidR="00F56251" w:rsidRPr="00BD6C5F" w14:paraId="7393C33E" w14:textId="77777777" w:rsidTr="00B13C04">
        <w:trPr>
          <w:trHeight w:val="20"/>
        </w:trPr>
        <w:tc>
          <w:tcPr>
            <w:tcW w:w="737" w:type="dxa"/>
          </w:tcPr>
          <w:p w14:paraId="0409B9CC"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KPI2</w:t>
            </w:r>
          </w:p>
        </w:tc>
        <w:tc>
          <w:tcPr>
            <w:tcW w:w="2551" w:type="dxa"/>
          </w:tcPr>
          <w:p w14:paraId="0429714C" w14:textId="5285C18C" w:rsidR="00F56251" w:rsidRPr="00BD6C5F" w:rsidRDefault="00D90FA5" w:rsidP="00B13C04">
            <w:pPr>
              <w:pStyle w:val="Tabletext"/>
              <w:rPr>
                <w:rFonts w:asciiTheme="minorHAnsi" w:hAnsiTheme="minorHAnsi" w:cstheme="minorHAnsi"/>
              </w:rPr>
            </w:pPr>
            <w:r w:rsidRPr="00BD6C5F">
              <w:rPr>
                <w:rFonts w:asciiTheme="minorHAnsi" w:hAnsiTheme="minorHAnsi" w:cstheme="minorHAnsi"/>
                <w:highlight w:val="yellow"/>
              </w:rPr>
              <w:t>[Supplier System Response Times]</w:t>
            </w:r>
          </w:p>
        </w:tc>
        <w:tc>
          <w:tcPr>
            <w:tcW w:w="1701" w:type="dxa"/>
          </w:tcPr>
          <w:p w14:paraId="44EC2E33" w14:textId="7F72EEF1"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See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_Ref98357027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3</w:t>
            </w:r>
            <w:r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Pr="00BD6C5F">
              <w:rPr>
                <w:rFonts w:asciiTheme="minorHAnsi" w:hAnsiTheme="minorHAnsi" w:cstheme="minorHAnsi"/>
              </w:rPr>
              <w:t xml:space="preserve"> of this Annex</w:t>
            </w:r>
          </w:p>
        </w:tc>
        <w:tc>
          <w:tcPr>
            <w:tcW w:w="1701" w:type="dxa"/>
          </w:tcPr>
          <w:p w14:paraId="33B54035" w14:textId="77777777" w:rsidR="00F56251" w:rsidRPr="00BD6C5F" w:rsidRDefault="00F56251" w:rsidP="00B13C04">
            <w:pPr>
              <w:pStyle w:val="Tabletext"/>
              <w:rPr>
                <w:rFonts w:asciiTheme="minorHAnsi" w:hAnsiTheme="minorHAnsi" w:cstheme="minorHAnsi"/>
              </w:rPr>
            </w:pPr>
          </w:p>
        </w:tc>
        <w:tc>
          <w:tcPr>
            <w:tcW w:w="2665" w:type="dxa"/>
          </w:tcPr>
          <w:p w14:paraId="4D53B13A"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Target Performance Level:</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1EC2EAB8"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Minor KPI Failure:</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36B356DB"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Serious KPI Failure:</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1917EA60"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Severe KPI Failure:</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2E5B6B68" w14:textId="45871E0C"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 Service Threshold:</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tc>
        <w:tc>
          <w:tcPr>
            <w:tcW w:w="1020" w:type="dxa"/>
          </w:tcPr>
          <w:p w14:paraId="69A47110"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w w:val="99"/>
              </w:rPr>
              <w:t>0</w:t>
            </w:r>
            <w:r w:rsidRPr="00BD6C5F">
              <w:rPr>
                <w:rFonts w:asciiTheme="minorHAnsi" w:hAnsiTheme="minorHAnsi" w:cstheme="minorHAnsi"/>
                <w:w w:val="99"/>
              </w:rPr>
              <w:br/>
            </w:r>
            <w:r w:rsidRPr="00BD6C5F">
              <w:rPr>
                <w:rFonts w:asciiTheme="minorHAnsi" w:hAnsiTheme="minorHAnsi" w:cstheme="minorHAnsi"/>
                <w:w w:val="99"/>
              </w:rPr>
              <w:br/>
            </w:r>
          </w:p>
          <w:p w14:paraId="649271D0"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[1]</w:t>
            </w:r>
            <w:r w:rsidRPr="00BD6C5F">
              <w:rPr>
                <w:rFonts w:asciiTheme="minorHAnsi" w:hAnsiTheme="minorHAnsi" w:cstheme="minorHAnsi"/>
                <w:highlight w:val="yellow"/>
              </w:rPr>
              <w:br/>
            </w:r>
          </w:p>
          <w:p w14:paraId="61253431"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r w:rsidRPr="00BD6C5F">
              <w:rPr>
                <w:rFonts w:asciiTheme="minorHAnsi" w:hAnsiTheme="minorHAnsi" w:cstheme="minorHAnsi"/>
                <w:highlight w:val="yellow"/>
              </w:rPr>
              <w:br/>
            </w:r>
          </w:p>
          <w:p w14:paraId="6B5030C3"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[3]</w:t>
            </w:r>
            <w:r w:rsidRPr="00BD6C5F">
              <w:rPr>
                <w:rFonts w:asciiTheme="minorHAnsi" w:hAnsiTheme="minorHAnsi" w:cstheme="minorHAnsi"/>
                <w:highlight w:val="yellow"/>
              </w:rPr>
              <w:br/>
            </w:r>
          </w:p>
          <w:p w14:paraId="0434317A" w14:textId="7E6B976E"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615ACDBD"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t>[YES/NO]</w:t>
            </w:r>
          </w:p>
        </w:tc>
      </w:tr>
      <w:tr w:rsidR="007235E1" w:rsidRPr="00BD6C5F" w14:paraId="2F196C6E" w14:textId="77777777" w:rsidTr="00B13C04">
        <w:trPr>
          <w:trHeight w:val="3036"/>
        </w:trPr>
        <w:tc>
          <w:tcPr>
            <w:tcW w:w="737" w:type="dxa"/>
          </w:tcPr>
          <w:p w14:paraId="7442CC0B" w14:textId="264D4658"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lastRenderedPageBreak/>
              <w:t>KPI3</w:t>
            </w:r>
            <w:r w:rsidRPr="00BD6C5F">
              <w:rPr>
                <w:rFonts w:asciiTheme="minorHAnsi" w:hAnsiTheme="minorHAnsi" w:cstheme="minorHAnsi"/>
                <w:noProof/>
              </w:rPr>
              <mc:AlternateContent>
                <mc:Choice Requires="wps">
                  <w:drawing>
                    <wp:anchor distT="0" distB="0" distL="114300" distR="114300" simplePos="0" relativeHeight="257447936" behindDoc="1" locked="0" layoutInCell="1" allowOverlap="1" wp14:anchorId="5CFE38C6" wp14:editId="1FD4F021">
                      <wp:simplePos x="0" y="0"/>
                      <wp:positionH relativeFrom="page">
                        <wp:posOffset>5472430</wp:posOffset>
                      </wp:positionH>
                      <wp:positionV relativeFrom="page">
                        <wp:posOffset>4783455</wp:posOffset>
                      </wp:positionV>
                      <wp:extent cx="184150" cy="175260"/>
                      <wp:effectExtent l="0" t="0" r="0" b="0"/>
                      <wp:wrapNone/>
                      <wp:docPr id="38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7E87" id="Rectangle 155" o:spid="_x0000_s1026" style="position:absolute;margin-left:430.9pt;margin-top:376.65pt;width:14.5pt;height:13.8pt;z-index:-2458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48960" behindDoc="1" locked="0" layoutInCell="1" allowOverlap="1" wp14:anchorId="470CE08E" wp14:editId="540F74C3">
                      <wp:simplePos x="0" y="0"/>
                      <wp:positionH relativeFrom="page">
                        <wp:posOffset>7002780</wp:posOffset>
                      </wp:positionH>
                      <wp:positionV relativeFrom="page">
                        <wp:posOffset>4605655</wp:posOffset>
                      </wp:positionV>
                      <wp:extent cx="168910" cy="177800"/>
                      <wp:effectExtent l="0" t="0" r="0" b="0"/>
                      <wp:wrapNone/>
                      <wp:docPr id="38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7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9E04" id="Rectangle 154" o:spid="_x0000_s1026" style="position:absolute;margin-left:551.4pt;margin-top:362.65pt;width:13.3pt;height:14pt;z-index:-2458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49984" behindDoc="1" locked="0" layoutInCell="1" allowOverlap="1" wp14:anchorId="6FFF3A1F" wp14:editId="2D65BCEF">
                      <wp:simplePos x="0" y="0"/>
                      <wp:positionH relativeFrom="page">
                        <wp:posOffset>5472430</wp:posOffset>
                      </wp:positionH>
                      <wp:positionV relativeFrom="page">
                        <wp:posOffset>5504180</wp:posOffset>
                      </wp:positionV>
                      <wp:extent cx="184150" cy="175260"/>
                      <wp:effectExtent l="0" t="0" r="0" b="0"/>
                      <wp:wrapNone/>
                      <wp:docPr id="38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EBB7" id="Rectangle 153" o:spid="_x0000_s1026" style="position:absolute;margin-left:430.9pt;margin-top:433.4pt;width:14.5pt;height:13.8pt;z-index:-2458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51008" behindDoc="1" locked="0" layoutInCell="1" allowOverlap="1" wp14:anchorId="330DF876" wp14:editId="3A01A654">
                      <wp:simplePos x="0" y="0"/>
                      <wp:positionH relativeFrom="page">
                        <wp:posOffset>7002780</wp:posOffset>
                      </wp:positionH>
                      <wp:positionV relativeFrom="page">
                        <wp:posOffset>5155565</wp:posOffset>
                      </wp:positionV>
                      <wp:extent cx="168910" cy="174625"/>
                      <wp:effectExtent l="0" t="0" r="0" b="0"/>
                      <wp:wrapNone/>
                      <wp:docPr id="37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B387" id="Rectangle 152" o:spid="_x0000_s1026" style="position:absolute;margin-left:551.4pt;margin-top:405.95pt;width:13.3pt;height:13.75pt;z-index:-2458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" fillcolor="yellow" stroked="f">
                      <w10:wrap anchorx="page" anchory="page"/>
                    </v:rect>
                  </w:pict>
                </mc:Fallback>
              </mc:AlternateContent>
            </w:r>
          </w:p>
        </w:tc>
        <w:tc>
          <w:tcPr>
            <w:tcW w:w="2551" w:type="dxa"/>
          </w:tcPr>
          <w:p w14:paraId="419AA739" w14:textId="1FCE55A1"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[Help Desk Response Times]</w:t>
            </w:r>
          </w:p>
        </w:tc>
        <w:tc>
          <w:tcPr>
            <w:tcW w:w="1701" w:type="dxa"/>
          </w:tcPr>
          <w:p w14:paraId="650E1ED4" w14:textId="6C89D40B"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 xml:space="preserve">See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_Ref98845357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Pr="00BD6C5F">
              <w:rPr>
                <w:rFonts w:asciiTheme="minorHAnsi" w:hAnsiTheme="minorHAnsi" w:cstheme="minorHAnsi"/>
              </w:rPr>
              <w:t xml:space="preserve"> of this Annex</w:t>
            </w:r>
          </w:p>
        </w:tc>
        <w:tc>
          <w:tcPr>
            <w:tcW w:w="1701" w:type="dxa"/>
          </w:tcPr>
          <w:p w14:paraId="69C1A526" w14:textId="77777777" w:rsidR="007235E1" w:rsidRPr="00BD6C5F" w:rsidRDefault="007235E1" w:rsidP="00B13C04">
            <w:pPr>
              <w:pStyle w:val="Tabletext"/>
              <w:rPr>
                <w:rFonts w:asciiTheme="minorHAnsi" w:hAnsiTheme="minorHAnsi" w:cstheme="minorHAnsi"/>
              </w:rPr>
            </w:pPr>
          </w:p>
        </w:tc>
        <w:tc>
          <w:tcPr>
            <w:tcW w:w="2665" w:type="dxa"/>
          </w:tcPr>
          <w:p w14:paraId="05DDC030"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Target Performance Level:</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44F8F296"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Minor KPI Failure:</w:t>
            </w:r>
            <w:r w:rsidRPr="00BD6C5F">
              <w:rPr>
                <w:rFonts w:asciiTheme="minorHAnsi" w:hAnsiTheme="minorHAnsi" w:cstheme="minorHAnsi"/>
              </w:rPr>
              <w:br/>
            </w: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1D7F3558"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Serious KPI Failure:</w:t>
            </w:r>
          </w:p>
          <w:p w14:paraId="342E2412"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692A9BBB"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Severe KPI Failure:</w:t>
            </w:r>
          </w:p>
          <w:p w14:paraId="22A542EE"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seconds</w:t>
            </w:r>
          </w:p>
          <w:p w14:paraId="390570D0"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rPr>
              <w:t>KPI Service Threshold:</w:t>
            </w:r>
          </w:p>
          <w:p w14:paraId="4CCCD2B3" w14:textId="20C5B8ED"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seconds</w:t>
            </w:r>
          </w:p>
        </w:tc>
        <w:tc>
          <w:tcPr>
            <w:tcW w:w="1020" w:type="dxa"/>
          </w:tcPr>
          <w:p w14:paraId="136CB8BA" w14:textId="5CDEE928"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w w:val="99"/>
              </w:rPr>
              <w:t>0</w:t>
            </w:r>
            <w:r w:rsidRPr="00BD6C5F">
              <w:rPr>
                <w:rFonts w:asciiTheme="minorHAnsi" w:hAnsiTheme="minorHAnsi" w:cstheme="minorHAnsi"/>
                <w:w w:val="99"/>
              </w:rPr>
              <w:br/>
            </w:r>
            <w:r w:rsidRPr="00BD6C5F">
              <w:rPr>
                <w:rFonts w:asciiTheme="minorHAnsi" w:hAnsiTheme="minorHAnsi" w:cstheme="minorHAnsi"/>
                <w:w w:val="99"/>
              </w:rPr>
              <w:br/>
            </w:r>
          </w:p>
          <w:p w14:paraId="6FC73842" w14:textId="03477F8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[1]</w:t>
            </w:r>
            <w:r w:rsidRPr="00BD6C5F">
              <w:rPr>
                <w:rFonts w:asciiTheme="minorHAnsi" w:hAnsiTheme="minorHAnsi" w:cstheme="minorHAnsi"/>
              </w:rPr>
              <w:br/>
            </w:r>
          </w:p>
          <w:p w14:paraId="48C63E6D" w14:textId="77777777" w:rsidR="007235E1" w:rsidRPr="00BD6C5F" w:rsidRDefault="007235E1"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r w:rsidRPr="00BD6C5F">
              <w:rPr>
                <w:rFonts w:asciiTheme="minorHAnsi" w:hAnsiTheme="minorHAnsi" w:cstheme="minorHAnsi"/>
                <w:highlight w:val="yellow"/>
              </w:rPr>
              <w:br/>
            </w:r>
          </w:p>
          <w:p w14:paraId="7855BE93" w14:textId="77777777" w:rsidR="007235E1" w:rsidRPr="00BD6C5F" w:rsidRDefault="007235E1" w:rsidP="00B13C04">
            <w:pPr>
              <w:pStyle w:val="Tabletext"/>
              <w:rPr>
                <w:rFonts w:asciiTheme="minorHAnsi" w:hAnsiTheme="minorHAnsi" w:cstheme="minorHAnsi"/>
                <w:highlight w:val="yellow"/>
              </w:rPr>
            </w:pPr>
            <w:r w:rsidRPr="00BD6C5F">
              <w:rPr>
                <w:rFonts w:asciiTheme="minorHAnsi" w:hAnsiTheme="minorHAnsi" w:cstheme="minorHAnsi"/>
                <w:highlight w:val="yellow"/>
              </w:rPr>
              <w:t>[3]</w:t>
            </w:r>
            <w:r w:rsidRPr="00BD6C5F">
              <w:rPr>
                <w:rFonts w:asciiTheme="minorHAnsi" w:hAnsiTheme="minorHAnsi" w:cstheme="minorHAnsi"/>
                <w:highlight w:val="yellow"/>
              </w:rPr>
              <w:br/>
            </w:r>
          </w:p>
          <w:p w14:paraId="68BBF345" w14:textId="0C7D0B96"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0D707A88" w14:textId="77777777" w:rsidR="007235E1" w:rsidRPr="00BD6C5F" w:rsidRDefault="007235E1" w:rsidP="00B13C04">
            <w:pPr>
              <w:pStyle w:val="Tabletext"/>
              <w:rPr>
                <w:rFonts w:asciiTheme="minorHAnsi" w:hAnsiTheme="minorHAnsi" w:cstheme="minorHAnsi"/>
              </w:rPr>
            </w:pPr>
            <w:r w:rsidRPr="00BD6C5F">
              <w:rPr>
                <w:rFonts w:asciiTheme="minorHAnsi" w:hAnsiTheme="minorHAnsi" w:cstheme="minorHAnsi"/>
                <w:shd w:val="clear" w:color="auto" w:fill="FFFF00"/>
              </w:rPr>
              <w:t>[YES/NO]</w:t>
            </w:r>
          </w:p>
        </w:tc>
      </w:tr>
      <w:tr w:rsidR="00F56251" w:rsidRPr="00BD6C5F" w14:paraId="5C7C0955" w14:textId="77777777" w:rsidTr="00B13C04">
        <w:trPr>
          <w:trHeight w:val="20"/>
        </w:trPr>
        <w:tc>
          <w:tcPr>
            <w:tcW w:w="737" w:type="dxa"/>
          </w:tcPr>
          <w:p w14:paraId="4D4E4FA4"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KPI4</w:t>
            </w:r>
          </w:p>
        </w:tc>
        <w:tc>
          <w:tcPr>
            <w:tcW w:w="2551" w:type="dxa"/>
          </w:tcPr>
          <w:p w14:paraId="50521973"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t>[Fix Times]</w:t>
            </w:r>
          </w:p>
        </w:tc>
        <w:tc>
          <w:tcPr>
            <w:tcW w:w="1701" w:type="dxa"/>
          </w:tcPr>
          <w:p w14:paraId="78A72691" w14:textId="42FDAE00"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See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_Ref98356232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w:t>
            </w:r>
            <w:r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Pr="00BD6C5F">
              <w:rPr>
                <w:rFonts w:asciiTheme="minorHAnsi" w:hAnsiTheme="minorHAnsi" w:cstheme="minorHAnsi"/>
              </w:rPr>
              <w:t xml:space="preserve"> of this Annex</w:t>
            </w:r>
          </w:p>
        </w:tc>
        <w:tc>
          <w:tcPr>
            <w:tcW w:w="1701" w:type="dxa"/>
          </w:tcPr>
          <w:p w14:paraId="3F7F880E" w14:textId="77777777" w:rsidR="00F56251" w:rsidRPr="00BD6C5F" w:rsidRDefault="00F56251" w:rsidP="00B13C04">
            <w:pPr>
              <w:pStyle w:val="Tabletext"/>
              <w:rPr>
                <w:rFonts w:asciiTheme="minorHAnsi" w:hAnsiTheme="minorHAnsi" w:cstheme="minorHAnsi"/>
              </w:rPr>
            </w:pPr>
          </w:p>
        </w:tc>
        <w:tc>
          <w:tcPr>
            <w:tcW w:w="2665" w:type="dxa"/>
          </w:tcPr>
          <w:p w14:paraId="205D9DF3" w14:textId="254992E5"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highlight w:val="yellow"/>
              </w:rPr>
              <w:t>[X]</w:t>
            </w:r>
            <w:r w:rsidRPr="00BD6C5F">
              <w:rPr>
                <w:rFonts w:asciiTheme="minorHAnsi" w:hAnsiTheme="minorHAnsi" w:cstheme="minorHAnsi"/>
              </w:rPr>
              <w:t xml:space="preserve"> minutes</w:t>
            </w:r>
          </w:p>
          <w:p w14:paraId="428133CA"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Minor KPI Failure:</w:t>
            </w:r>
          </w:p>
          <w:p w14:paraId="71ACB548"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minutes</w:t>
            </w:r>
          </w:p>
          <w:p w14:paraId="09B37063"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Serious KPI Failure:</w:t>
            </w:r>
          </w:p>
          <w:p w14:paraId="43EB48BA"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minutes</w:t>
            </w:r>
          </w:p>
          <w:p w14:paraId="3451DB57"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Severe KPI Failure:</w:t>
            </w:r>
          </w:p>
          <w:p w14:paraId="4358754B"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lastRenderedPageBreak/>
              <w:t>[X]</w:t>
            </w:r>
            <w:r w:rsidRPr="00BD6C5F">
              <w:rPr>
                <w:rFonts w:asciiTheme="minorHAnsi" w:hAnsiTheme="minorHAnsi" w:cstheme="minorHAnsi"/>
              </w:rPr>
              <w:t xml:space="preserve"> minutes</w:t>
            </w:r>
          </w:p>
          <w:p w14:paraId="33988C2C"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 Service Threshold:</w:t>
            </w:r>
          </w:p>
          <w:p w14:paraId="20DD95BD" w14:textId="7E464A39"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[X]</w:t>
            </w:r>
            <w:r w:rsidRPr="00BD6C5F">
              <w:rPr>
                <w:rFonts w:asciiTheme="minorHAnsi" w:hAnsiTheme="minorHAnsi" w:cstheme="minorHAnsi"/>
              </w:rPr>
              <w:t xml:space="preserve"> minutes</w:t>
            </w:r>
          </w:p>
        </w:tc>
        <w:tc>
          <w:tcPr>
            <w:tcW w:w="1020" w:type="dxa"/>
          </w:tcPr>
          <w:p w14:paraId="0CC6929E" w14:textId="1295339C"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w w:val="99"/>
              </w:rPr>
              <w:lastRenderedPageBreak/>
              <w:t>0</w:t>
            </w:r>
            <w:r w:rsidRPr="00BD6C5F">
              <w:rPr>
                <w:rFonts w:asciiTheme="minorHAnsi" w:hAnsiTheme="minorHAnsi" w:cstheme="minorHAnsi"/>
                <w:w w:val="99"/>
              </w:rPr>
              <w:br/>
            </w:r>
          </w:p>
          <w:p w14:paraId="38F37A16"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[1]</w:t>
            </w:r>
            <w:r w:rsidRPr="00BD6C5F">
              <w:rPr>
                <w:rFonts w:asciiTheme="minorHAnsi" w:hAnsiTheme="minorHAnsi" w:cstheme="minorHAnsi"/>
                <w:highlight w:val="yellow"/>
              </w:rPr>
              <w:br/>
            </w:r>
          </w:p>
          <w:p w14:paraId="6F9F6ACB"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r w:rsidRPr="00BD6C5F">
              <w:rPr>
                <w:rFonts w:asciiTheme="minorHAnsi" w:hAnsiTheme="minorHAnsi" w:cstheme="minorHAnsi"/>
                <w:highlight w:val="yellow"/>
              </w:rPr>
              <w:br/>
            </w:r>
          </w:p>
          <w:p w14:paraId="51D0CE8D" w14:textId="77777777" w:rsidR="00F56251" w:rsidRPr="00BD6C5F" w:rsidRDefault="00F56251" w:rsidP="00B13C04">
            <w:pPr>
              <w:pStyle w:val="Tabletext"/>
              <w:rPr>
                <w:rFonts w:asciiTheme="minorHAnsi" w:hAnsiTheme="minorHAnsi" w:cstheme="minorHAnsi"/>
                <w:highlight w:val="yellow"/>
              </w:rPr>
            </w:pPr>
            <w:r w:rsidRPr="00BD6C5F">
              <w:rPr>
                <w:rFonts w:asciiTheme="minorHAnsi" w:hAnsiTheme="minorHAnsi" w:cstheme="minorHAnsi"/>
                <w:highlight w:val="yellow"/>
              </w:rPr>
              <w:t>[3]</w:t>
            </w:r>
            <w:r w:rsidRPr="00BD6C5F">
              <w:rPr>
                <w:rFonts w:asciiTheme="minorHAnsi" w:hAnsiTheme="minorHAnsi" w:cstheme="minorHAnsi"/>
                <w:highlight w:val="yellow"/>
              </w:rPr>
              <w:br/>
            </w:r>
          </w:p>
          <w:p w14:paraId="6FC63DC3" w14:textId="5290EB23"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lastRenderedPageBreak/>
              <w:t>[4]</w:t>
            </w:r>
          </w:p>
        </w:tc>
        <w:tc>
          <w:tcPr>
            <w:tcW w:w="4762" w:type="dxa"/>
          </w:tcPr>
          <w:p w14:paraId="233C5455"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lastRenderedPageBreak/>
              <w:t>[YES/NO]</w:t>
            </w:r>
          </w:p>
        </w:tc>
      </w:tr>
      <w:tr w:rsidR="00F56251" w:rsidRPr="00BD6C5F" w14:paraId="6A9B4909" w14:textId="77777777" w:rsidTr="00B13C04">
        <w:trPr>
          <w:trHeight w:val="2760"/>
        </w:trPr>
        <w:tc>
          <w:tcPr>
            <w:tcW w:w="737" w:type="dxa"/>
          </w:tcPr>
          <w:p w14:paraId="298512FA" w14:textId="1ADD5D6D"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KPI5</w:t>
            </w:r>
            <w:r w:rsidRPr="00BD6C5F">
              <w:rPr>
                <w:rFonts w:asciiTheme="minorHAnsi" w:hAnsiTheme="minorHAnsi" w:cstheme="minorHAnsi"/>
                <w:noProof/>
              </w:rPr>
              <mc:AlternateContent>
                <mc:Choice Requires="wps">
                  <w:drawing>
                    <wp:anchor distT="0" distB="0" distL="114300" distR="114300" simplePos="0" relativeHeight="257405952" behindDoc="1" locked="0" layoutInCell="1" allowOverlap="1" wp14:anchorId="230C4D45" wp14:editId="29FD1454">
                      <wp:simplePos x="0" y="0"/>
                      <wp:positionH relativeFrom="page">
                        <wp:posOffset>5472430</wp:posOffset>
                      </wp:positionH>
                      <wp:positionV relativeFrom="page">
                        <wp:posOffset>4059555</wp:posOffset>
                      </wp:positionV>
                      <wp:extent cx="158750" cy="175260"/>
                      <wp:effectExtent l="0" t="0" r="0" b="0"/>
                      <wp:wrapNone/>
                      <wp:docPr id="36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E7A6C" id="Rectangle 141" o:spid="_x0000_s1026" style="position:absolute;margin-left:430.9pt;margin-top:319.65pt;width:12.5pt;height:13.8pt;z-index:-2459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06976" behindDoc="1" locked="0" layoutInCell="1" allowOverlap="1" wp14:anchorId="6D01A032" wp14:editId="726B9B84">
                      <wp:simplePos x="0" y="0"/>
                      <wp:positionH relativeFrom="page">
                        <wp:posOffset>5818505</wp:posOffset>
                      </wp:positionH>
                      <wp:positionV relativeFrom="page">
                        <wp:posOffset>4059555</wp:posOffset>
                      </wp:positionV>
                      <wp:extent cx="159385" cy="175260"/>
                      <wp:effectExtent l="0" t="0" r="0" b="0"/>
                      <wp:wrapNone/>
                      <wp:docPr id="36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647E" id="Rectangle 140" o:spid="_x0000_s1026" style="position:absolute;margin-left:458.15pt;margin-top:319.65pt;width:12.55pt;height:13.8pt;z-index:-2459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08000" behindDoc="1" locked="0" layoutInCell="1" allowOverlap="1" wp14:anchorId="253A12D0" wp14:editId="3FF072C7">
                      <wp:simplePos x="0" y="0"/>
                      <wp:positionH relativeFrom="page">
                        <wp:posOffset>7002780</wp:posOffset>
                      </wp:positionH>
                      <wp:positionV relativeFrom="page">
                        <wp:posOffset>3884295</wp:posOffset>
                      </wp:positionV>
                      <wp:extent cx="168910" cy="174625"/>
                      <wp:effectExtent l="0" t="0" r="0" b="0"/>
                      <wp:wrapNone/>
                      <wp:docPr id="36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D74B" id="Rectangle 139" o:spid="_x0000_s1026" style="position:absolute;margin-left:551.4pt;margin-top:305.85pt;width:13.3pt;height:13.75pt;z-index:-2459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09024" behindDoc="1" locked="0" layoutInCell="1" allowOverlap="1" wp14:anchorId="0670257F" wp14:editId="175B2D84">
                      <wp:simplePos x="0" y="0"/>
                      <wp:positionH relativeFrom="page">
                        <wp:posOffset>5472430</wp:posOffset>
                      </wp:positionH>
                      <wp:positionV relativeFrom="page">
                        <wp:posOffset>4605655</wp:posOffset>
                      </wp:positionV>
                      <wp:extent cx="158750" cy="177800"/>
                      <wp:effectExtent l="0" t="0" r="0" b="0"/>
                      <wp:wrapNone/>
                      <wp:docPr id="36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77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AF19" id="Rectangle 138" o:spid="_x0000_s1026" style="position:absolute;margin-left:430.9pt;margin-top:362.65pt;width:12.5pt;height:14pt;z-index:-2459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0048" behindDoc="1" locked="0" layoutInCell="1" allowOverlap="1" wp14:anchorId="1FEDD328" wp14:editId="01CA73D6">
                      <wp:simplePos x="0" y="0"/>
                      <wp:positionH relativeFrom="page">
                        <wp:posOffset>5818505</wp:posOffset>
                      </wp:positionH>
                      <wp:positionV relativeFrom="page">
                        <wp:posOffset>4605655</wp:posOffset>
                      </wp:positionV>
                      <wp:extent cx="159385" cy="177800"/>
                      <wp:effectExtent l="0" t="0" r="0" b="0"/>
                      <wp:wrapNone/>
                      <wp:docPr id="36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7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95B4" id="Rectangle 137" o:spid="_x0000_s1026" style="position:absolute;margin-left:458.15pt;margin-top:362.65pt;width:12.55pt;height:14pt;z-index:-2459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1072" behindDoc="1" locked="0" layoutInCell="1" allowOverlap="1" wp14:anchorId="4ECA8519" wp14:editId="4A60FE4E">
                      <wp:simplePos x="0" y="0"/>
                      <wp:positionH relativeFrom="page">
                        <wp:posOffset>7002780</wp:posOffset>
                      </wp:positionH>
                      <wp:positionV relativeFrom="page">
                        <wp:posOffset>4431030</wp:posOffset>
                      </wp:positionV>
                      <wp:extent cx="168910" cy="174625"/>
                      <wp:effectExtent l="0" t="0" r="0" b="0"/>
                      <wp:wrapNone/>
                      <wp:docPr id="36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D83F" id="Rectangle 136" o:spid="_x0000_s1026" style="position:absolute;margin-left:551.4pt;margin-top:348.9pt;width:13.3pt;height:13.75pt;z-index:-2459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2096" behindDoc="1" locked="0" layoutInCell="1" allowOverlap="1" wp14:anchorId="0608C83D" wp14:editId="19F66DBB">
                      <wp:simplePos x="0" y="0"/>
                      <wp:positionH relativeFrom="page">
                        <wp:posOffset>5472430</wp:posOffset>
                      </wp:positionH>
                      <wp:positionV relativeFrom="page">
                        <wp:posOffset>5155565</wp:posOffset>
                      </wp:positionV>
                      <wp:extent cx="158750" cy="174625"/>
                      <wp:effectExtent l="0" t="0" r="0" b="0"/>
                      <wp:wrapNone/>
                      <wp:docPr id="36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6F39" id="Rectangle 135" o:spid="_x0000_s1026" style="position:absolute;margin-left:430.9pt;margin-top:405.95pt;width:12.5pt;height:13.75pt;z-index:-2459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3120" behindDoc="1" locked="0" layoutInCell="1" allowOverlap="1" wp14:anchorId="1DDC60CC" wp14:editId="2A7A3EFD">
                      <wp:simplePos x="0" y="0"/>
                      <wp:positionH relativeFrom="page">
                        <wp:posOffset>5818505</wp:posOffset>
                      </wp:positionH>
                      <wp:positionV relativeFrom="page">
                        <wp:posOffset>5155565</wp:posOffset>
                      </wp:positionV>
                      <wp:extent cx="159385" cy="174625"/>
                      <wp:effectExtent l="0" t="0" r="0" b="0"/>
                      <wp:wrapNone/>
                      <wp:docPr id="36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0878" id="Rectangle 134" o:spid="_x0000_s1026" style="position:absolute;margin-left:458.15pt;margin-top:405.95pt;width:12.55pt;height:13.75pt;z-index:-2459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4144" behindDoc="1" locked="0" layoutInCell="1" allowOverlap="1" wp14:anchorId="2ECF3153" wp14:editId="5DA40695">
                      <wp:simplePos x="0" y="0"/>
                      <wp:positionH relativeFrom="page">
                        <wp:posOffset>7002780</wp:posOffset>
                      </wp:positionH>
                      <wp:positionV relativeFrom="page">
                        <wp:posOffset>4980940</wp:posOffset>
                      </wp:positionV>
                      <wp:extent cx="168910" cy="174625"/>
                      <wp:effectExtent l="0" t="0" r="0" b="0"/>
                      <wp:wrapNone/>
                      <wp:docPr id="36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BF64" id="Rectangle 133" o:spid="_x0000_s1026" style="position:absolute;margin-left:551.4pt;margin-top:392.2pt;width:13.3pt;height:13.75pt;z-index:-2459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" fillcolor="yellow" stroked="f">
                      <w10:wrap anchorx="page" anchory="page"/>
                    </v:rect>
                  </w:pict>
                </mc:Fallback>
              </mc:AlternateContent>
            </w:r>
            <w:r w:rsidRPr="00BD6C5F">
              <w:rPr>
                <w:rFonts w:asciiTheme="minorHAnsi" w:hAnsiTheme="minorHAnsi" w:cstheme="minorHAnsi"/>
                <w:noProof/>
              </w:rPr>
              <mc:AlternateContent>
                <mc:Choice Requires="wps">
                  <w:drawing>
                    <wp:anchor distT="0" distB="0" distL="114300" distR="114300" simplePos="0" relativeHeight="257415168" behindDoc="1" locked="0" layoutInCell="1" allowOverlap="1" wp14:anchorId="789D5C44" wp14:editId="47E98A40">
                      <wp:simplePos x="0" y="0"/>
                      <wp:positionH relativeFrom="page">
                        <wp:posOffset>7002780</wp:posOffset>
                      </wp:positionH>
                      <wp:positionV relativeFrom="page">
                        <wp:posOffset>5526405</wp:posOffset>
                      </wp:positionV>
                      <wp:extent cx="168910" cy="175260"/>
                      <wp:effectExtent l="0" t="0" r="0" b="0"/>
                      <wp:wrapNone/>
                      <wp:docPr id="35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5BEF8" id="Rectangle 132" o:spid="_x0000_s1026" style="position:absolute;margin-left:551.4pt;margin-top:435.15pt;width:13.3pt;height:13.8pt;z-index:-2459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" fillcolor="yellow" stroked="f">
                      <w10:wrap anchorx="page" anchory="page"/>
                    </v:rect>
                  </w:pict>
                </mc:Fallback>
              </mc:AlternateContent>
            </w:r>
          </w:p>
        </w:tc>
        <w:tc>
          <w:tcPr>
            <w:tcW w:w="2551" w:type="dxa"/>
          </w:tcPr>
          <w:p w14:paraId="7135DA22" w14:textId="2DF6FDD0" w:rsidR="00F56251" w:rsidRPr="00BD6C5F" w:rsidRDefault="00D90FA5" w:rsidP="00B13C04">
            <w:pPr>
              <w:pStyle w:val="Tabletext"/>
              <w:rPr>
                <w:rFonts w:asciiTheme="minorHAnsi" w:hAnsiTheme="minorHAnsi" w:cstheme="minorHAnsi"/>
              </w:rPr>
            </w:pPr>
            <w:r w:rsidRPr="00BD6C5F">
              <w:rPr>
                <w:rFonts w:asciiTheme="minorHAnsi" w:hAnsiTheme="minorHAnsi" w:cstheme="minorHAnsi"/>
                <w:highlight w:val="yellow"/>
              </w:rPr>
              <w:t>[Satisfaction Surveys]</w:t>
            </w:r>
          </w:p>
        </w:tc>
        <w:tc>
          <w:tcPr>
            <w:tcW w:w="1701" w:type="dxa"/>
          </w:tcPr>
          <w:p w14:paraId="39FE37F9" w14:textId="2F1C8EAD"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See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_Ref98357169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6</w:t>
            </w:r>
            <w:r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Pr="00BD6C5F">
              <w:rPr>
                <w:rFonts w:asciiTheme="minorHAnsi" w:hAnsiTheme="minorHAnsi" w:cstheme="minorHAnsi"/>
              </w:rPr>
              <w:t xml:space="preserve"> of this Annex</w:t>
            </w:r>
          </w:p>
        </w:tc>
        <w:tc>
          <w:tcPr>
            <w:tcW w:w="1701" w:type="dxa"/>
          </w:tcPr>
          <w:p w14:paraId="68B61B67" w14:textId="77777777" w:rsidR="00F56251" w:rsidRPr="00BD6C5F" w:rsidRDefault="00F56251" w:rsidP="00B13C04">
            <w:pPr>
              <w:pStyle w:val="Tabletext"/>
              <w:rPr>
                <w:rFonts w:asciiTheme="minorHAnsi" w:hAnsiTheme="minorHAnsi" w:cstheme="minorHAnsi"/>
              </w:rPr>
            </w:pPr>
          </w:p>
        </w:tc>
        <w:tc>
          <w:tcPr>
            <w:tcW w:w="2665" w:type="dxa"/>
          </w:tcPr>
          <w:p w14:paraId="28169546"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Target Performance </w:t>
            </w:r>
            <w:r w:rsidRPr="00BD6C5F">
              <w:rPr>
                <w:rFonts w:asciiTheme="minorHAnsi" w:hAnsiTheme="minorHAnsi" w:cstheme="minorHAnsi"/>
              </w:rPr>
              <w:br/>
              <w:t xml:space="preserve">Level: </w:t>
            </w:r>
            <w:r w:rsidRPr="00BD6C5F">
              <w:rPr>
                <w:rFonts w:asciiTheme="minorHAnsi" w:hAnsiTheme="minorHAnsi" w:cstheme="minorHAnsi"/>
                <w:shd w:val="clear" w:color="auto" w:fill="FFFF00"/>
              </w:rPr>
              <w:t>[x]</w:t>
            </w:r>
            <w:r w:rsidRPr="00BD6C5F">
              <w:rPr>
                <w:rFonts w:asciiTheme="minorHAnsi" w:hAnsiTheme="minorHAnsi" w:cstheme="minorHAnsi"/>
              </w:rPr>
              <w:t>%</w:t>
            </w:r>
          </w:p>
          <w:p w14:paraId="056975E0"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Minor KPI Failure: </w:t>
            </w:r>
            <w:r w:rsidRPr="00BD6C5F">
              <w:rPr>
                <w:rFonts w:asciiTheme="minorHAnsi" w:hAnsiTheme="minorHAnsi" w:cstheme="minorHAnsi"/>
              </w:rPr>
              <w:br/>
              <w:t>[</w:t>
            </w:r>
            <w:r w:rsidRPr="00BD6C5F">
              <w:rPr>
                <w:rFonts w:asciiTheme="minorHAnsi" w:hAnsiTheme="minorHAnsi" w:cstheme="minorHAnsi"/>
                <w:highlight w:val="yellow"/>
              </w:rPr>
              <w:t>x</w:t>
            </w:r>
            <w:r w:rsidRPr="00BD6C5F">
              <w:rPr>
                <w:rFonts w:asciiTheme="minorHAnsi" w:hAnsiTheme="minorHAnsi" w:cstheme="minorHAnsi"/>
              </w:rPr>
              <w:t>]%-[</w:t>
            </w:r>
            <w:r w:rsidRPr="00BD6C5F">
              <w:rPr>
                <w:rFonts w:asciiTheme="minorHAnsi" w:hAnsiTheme="minorHAnsi" w:cstheme="minorHAnsi"/>
                <w:highlight w:val="yellow"/>
              </w:rPr>
              <w:t>x</w:t>
            </w:r>
            <w:r w:rsidRPr="00BD6C5F">
              <w:rPr>
                <w:rFonts w:asciiTheme="minorHAnsi" w:hAnsiTheme="minorHAnsi" w:cstheme="minorHAnsi"/>
              </w:rPr>
              <w:t>]%</w:t>
            </w:r>
          </w:p>
          <w:p w14:paraId="39DBC4E1"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Serious KPI Failure: </w:t>
            </w:r>
            <w:r w:rsidRPr="00BD6C5F">
              <w:rPr>
                <w:rFonts w:asciiTheme="minorHAnsi" w:hAnsiTheme="minorHAnsi" w:cstheme="minorHAnsi"/>
              </w:rPr>
              <w:br/>
              <w:t>[</w:t>
            </w:r>
            <w:r w:rsidRPr="00BD6C5F">
              <w:rPr>
                <w:rFonts w:asciiTheme="minorHAnsi" w:hAnsiTheme="minorHAnsi" w:cstheme="minorHAnsi"/>
                <w:highlight w:val="yellow"/>
              </w:rPr>
              <w:t>x</w:t>
            </w:r>
            <w:r w:rsidRPr="00BD6C5F">
              <w:rPr>
                <w:rFonts w:asciiTheme="minorHAnsi" w:hAnsiTheme="minorHAnsi" w:cstheme="minorHAnsi"/>
              </w:rPr>
              <w:t>]%-[</w:t>
            </w:r>
            <w:r w:rsidRPr="00BD6C5F">
              <w:rPr>
                <w:rFonts w:asciiTheme="minorHAnsi" w:hAnsiTheme="minorHAnsi" w:cstheme="minorHAnsi"/>
                <w:highlight w:val="yellow"/>
              </w:rPr>
              <w:t>x</w:t>
            </w:r>
            <w:r w:rsidRPr="00BD6C5F">
              <w:rPr>
                <w:rFonts w:asciiTheme="minorHAnsi" w:hAnsiTheme="minorHAnsi" w:cstheme="minorHAnsi"/>
              </w:rPr>
              <w:t>]%</w:t>
            </w:r>
          </w:p>
          <w:p w14:paraId="3F1CAF8C"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Severe KPI Failure: </w:t>
            </w:r>
            <w:r w:rsidRPr="00BD6C5F">
              <w:rPr>
                <w:rFonts w:asciiTheme="minorHAnsi" w:hAnsiTheme="minorHAnsi" w:cstheme="minorHAnsi"/>
              </w:rPr>
              <w:br/>
              <w:t>[</w:t>
            </w:r>
            <w:r w:rsidRPr="00BD6C5F">
              <w:rPr>
                <w:rFonts w:asciiTheme="minorHAnsi" w:hAnsiTheme="minorHAnsi" w:cstheme="minorHAnsi"/>
                <w:highlight w:val="yellow"/>
              </w:rPr>
              <w:t>x</w:t>
            </w:r>
            <w:r w:rsidRPr="00BD6C5F">
              <w:rPr>
                <w:rFonts w:asciiTheme="minorHAnsi" w:hAnsiTheme="minorHAnsi" w:cstheme="minorHAnsi"/>
              </w:rPr>
              <w:t>]%-[</w:t>
            </w:r>
            <w:r w:rsidRPr="00BD6C5F">
              <w:rPr>
                <w:rFonts w:asciiTheme="minorHAnsi" w:hAnsiTheme="minorHAnsi" w:cstheme="minorHAnsi"/>
                <w:highlight w:val="yellow"/>
              </w:rPr>
              <w:t>x</w:t>
            </w:r>
            <w:r w:rsidRPr="00BD6C5F">
              <w:rPr>
                <w:rFonts w:asciiTheme="minorHAnsi" w:hAnsiTheme="minorHAnsi" w:cstheme="minorHAnsi"/>
              </w:rPr>
              <w:t>]%</w:t>
            </w:r>
          </w:p>
          <w:p w14:paraId="2D46375B" w14:textId="4A877675"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 xml:space="preserve">KPI Service Threshold: </w:t>
            </w:r>
            <w:r w:rsidRPr="00BD6C5F">
              <w:rPr>
                <w:rFonts w:asciiTheme="minorHAnsi" w:hAnsiTheme="minorHAnsi" w:cstheme="minorHAnsi"/>
              </w:rPr>
              <w:br/>
              <w:t xml:space="preserve">below </w:t>
            </w:r>
            <w:r w:rsidRPr="00BD6C5F">
              <w:rPr>
                <w:rFonts w:asciiTheme="minorHAnsi" w:hAnsiTheme="minorHAnsi" w:cstheme="minorHAnsi"/>
                <w:shd w:val="clear" w:color="auto" w:fill="FFFF00"/>
              </w:rPr>
              <w:t>[x]</w:t>
            </w:r>
            <w:r w:rsidRPr="00BD6C5F">
              <w:rPr>
                <w:rFonts w:asciiTheme="minorHAnsi" w:hAnsiTheme="minorHAnsi" w:cstheme="minorHAnsi"/>
              </w:rPr>
              <w:t>%</w:t>
            </w:r>
          </w:p>
        </w:tc>
        <w:tc>
          <w:tcPr>
            <w:tcW w:w="1020" w:type="dxa"/>
          </w:tcPr>
          <w:p w14:paraId="064FF49F"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rPr>
              <w:t>0</w:t>
            </w:r>
            <w:r w:rsidRPr="00BD6C5F">
              <w:rPr>
                <w:rFonts w:asciiTheme="minorHAnsi" w:hAnsiTheme="minorHAnsi" w:cstheme="minorHAnsi"/>
              </w:rPr>
              <w:br/>
            </w:r>
          </w:p>
          <w:p w14:paraId="446836ED"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[1]</w:t>
            </w:r>
            <w:r w:rsidRPr="00BD6C5F">
              <w:rPr>
                <w:rFonts w:asciiTheme="minorHAnsi" w:hAnsiTheme="minorHAnsi" w:cstheme="minorHAnsi"/>
              </w:rPr>
              <w:br/>
            </w:r>
          </w:p>
          <w:p w14:paraId="6D1000A8" w14:textId="1E99F7C6"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[2]</w:t>
            </w:r>
            <w:r w:rsidRPr="00BD6C5F">
              <w:rPr>
                <w:rFonts w:asciiTheme="minorHAnsi" w:hAnsiTheme="minorHAnsi" w:cstheme="minorHAnsi"/>
              </w:rPr>
              <w:br/>
            </w:r>
          </w:p>
          <w:p w14:paraId="19F60FB7" w14:textId="13C33981"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[3]</w:t>
            </w:r>
            <w:r w:rsidRPr="00BD6C5F">
              <w:rPr>
                <w:rFonts w:asciiTheme="minorHAnsi" w:hAnsiTheme="minorHAnsi" w:cstheme="minorHAnsi"/>
              </w:rPr>
              <w:br/>
            </w:r>
          </w:p>
          <w:p w14:paraId="79C657FA" w14:textId="0FC59B80"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4929FB52" w14:textId="77777777" w:rsidR="00F56251" w:rsidRPr="00BD6C5F" w:rsidRDefault="00F56251" w:rsidP="00B13C04">
            <w:pPr>
              <w:pStyle w:val="Tabletext"/>
              <w:rPr>
                <w:rFonts w:asciiTheme="minorHAnsi" w:hAnsiTheme="minorHAnsi" w:cstheme="minorHAnsi"/>
              </w:rPr>
            </w:pPr>
            <w:r w:rsidRPr="00BD6C5F">
              <w:rPr>
                <w:rFonts w:asciiTheme="minorHAnsi" w:hAnsiTheme="minorHAnsi" w:cstheme="minorHAnsi"/>
                <w:shd w:val="clear" w:color="auto" w:fill="FFFF00"/>
              </w:rPr>
              <w:t>[YES/NO]</w:t>
            </w:r>
          </w:p>
        </w:tc>
      </w:tr>
      <w:tr w:rsidR="00754E9B" w:rsidRPr="00BD6C5F" w14:paraId="1381B380" w14:textId="77777777" w:rsidTr="00B13C04">
        <w:trPr>
          <w:trHeight w:val="20"/>
        </w:trPr>
        <w:tc>
          <w:tcPr>
            <w:tcW w:w="737" w:type="dxa"/>
          </w:tcPr>
          <w:p w14:paraId="2BDB218C" w14:textId="1ECA2BB2" w:rsidR="00754E9B" w:rsidRPr="00BD6C5F" w:rsidRDefault="00754E9B" w:rsidP="00B13C04">
            <w:pPr>
              <w:pStyle w:val="Tabletext"/>
              <w:rPr>
                <w:rFonts w:asciiTheme="minorHAnsi" w:hAnsiTheme="minorHAnsi" w:cstheme="minorHAnsi"/>
                <w:highlight w:val="yellow"/>
              </w:rPr>
            </w:pPr>
            <w:r w:rsidRPr="00BD6C5F">
              <w:rPr>
                <w:rFonts w:asciiTheme="minorHAnsi" w:hAnsiTheme="minorHAnsi" w:cstheme="minorHAnsi"/>
              </w:rPr>
              <w:t>KPI6</w:t>
            </w:r>
          </w:p>
        </w:tc>
        <w:tc>
          <w:tcPr>
            <w:tcW w:w="2551" w:type="dxa"/>
          </w:tcPr>
          <w:p w14:paraId="10A2D214" w14:textId="425F8EF6" w:rsidR="00754E9B" w:rsidRPr="00BD6C5F" w:rsidRDefault="00754E9B" w:rsidP="00B13C04">
            <w:pPr>
              <w:pStyle w:val="Tabletext"/>
              <w:rPr>
                <w:rFonts w:asciiTheme="minorHAnsi" w:hAnsiTheme="minorHAnsi" w:cstheme="minorHAnsi"/>
                <w:highlight w:val="yellow"/>
              </w:rPr>
            </w:pPr>
            <w:r w:rsidRPr="00BD6C5F">
              <w:rPr>
                <w:rFonts w:asciiTheme="minorHAnsi" w:hAnsiTheme="minorHAnsi" w:cstheme="minorHAnsi"/>
                <w:shd w:val="clear" w:color="auto" w:fill="FFFF00"/>
              </w:rPr>
              <w:t>[Virtual Librar</w:t>
            </w:r>
            <w:r w:rsidR="00D90FA5" w:rsidRPr="00BD6C5F">
              <w:rPr>
                <w:rFonts w:asciiTheme="minorHAnsi" w:hAnsiTheme="minorHAnsi" w:cstheme="minorHAnsi"/>
                <w:shd w:val="clear" w:color="auto" w:fill="FFFF00"/>
              </w:rPr>
              <w:t xml:space="preserve">y </w:t>
            </w:r>
            <w:r w:rsidRPr="00BD6C5F">
              <w:rPr>
                <w:rFonts w:asciiTheme="minorHAnsi" w:hAnsiTheme="minorHAnsi" w:cstheme="minorHAnsi"/>
                <w:shd w:val="clear" w:color="auto" w:fill="FFFF00"/>
              </w:rPr>
              <w:t>Completeness]</w:t>
            </w:r>
          </w:p>
        </w:tc>
        <w:tc>
          <w:tcPr>
            <w:tcW w:w="1701" w:type="dxa"/>
          </w:tcPr>
          <w:p w14:paraId="5161F10D" w14:textId="59EDE7B1" w:rsidR="00754E9B" w:rsidRPr="00BD6C5F" w:rsidRDefault="00754E9B" w:rsidP="00B13C04">
            <w:pPr>
              <w:pStyle w:val="Tabletext"/>
              <w:rPr>
                <w:rFonts w:asciiTheme="minorHAnsi" w:hAnsiTheme="minorHAnsi" w:cstheme="minorHAnsi"/>
              </w:rPr>
            </w:pPr>
            <w:r w:rsidRPr="00BD6C5F">
              <w:rPr>
                <w:rFonts w:asciiTheme="minorHAnsi" w:hAnsiTheme="minorHAnsi" w:cstheme="minorHAnsi"/>
              </w:rPr>
              <w:t xml:space="preserve">See Paragraph </w:t>
            </w:r>
            <w:r w:rsidR="004A0075" w:rsidRPr="00BD6C5F">
              <w:rPr>
                <w:rFonts w:asciiTheme="minorHAnsi" w:hAnsiTheme="minorHAnsi" w:cstheme="minorHAnsi"/>
              </w:rPr>
              <w:fldChar w:fldCharType="begin"/>
            </w:r>
            <w:r w:rsidR="004A0075" w:rsidRPr="00BD6C5F">
              <w:rPr>
                <w:rFonts w:asciiTheme="minorHAnsi" w:hAnsiTheme="minorHAnsi" w:cstheme="minorHAnsi"/>
              </w:rPr>
              <w:instrText xml:space="preserve"> REF _Ref98357239 \w \h </w:instrText>
            </w:r>
            <w:r w:rsidR="00AD7DD0" w:rsidRPr="00BD6C5F">
              <w:rPr>
                <w:rFonts w:asciiTheme="minorHAnsi" w:hAnsiTheme="minorHAnsi" w:cstheme="minorHAnsi"/>
              </w:rPr>
              <w:instrText xml:space="preserve"> \* MERGEFORMAT </w:instrText>
            </w:r>
            <w:r w:rsidR="004A0075" w:rsidRPr="00BD6C5F">
              <w:rPr>
                <w:rFonts w:asciiTheme="minorHAnsi" w:hAnsiTheme="minorHAnsi" w:cstheme="minorHAnsi"/>
              </w:rPr>
            </w:r>
            <w:r w:rsidR="004A0075" w:rsidRPr="00BD6C5F">
              <w:rPr>
                <w:rFonts w:asciiTheme="minorHAnsi" w:hAnsiTheme="minorHAnsi" w:cstheme="minorHAnsi"/>
              </w:rPr>
              <w:fldChar w:fldCharType="separate"/>
            </w:r>
            <w:r w:rsidR="009749A0">
              <w:rPr>
                <w:rFonts w:asciiTheme="minorHAnsi" w:hAnsiTheme="minorHAnsi" w:cstheme="minorHAnsi"/>
              </w:rPr>
              <w:t>7</w:t>
            </w:r>
            <w:r w:rsidR="004A0075" w:rsidRPr="00BD6C5F">
              <w:rPr>
                <w:rFonts w:asciiTheme="minorHAnsi" w:hAnsiTheme="minorHAnsi" w:cstheme="minorHAnsi"/>
              </w:rPr>
              <w:fldChar w:fldCharType="end"/>
            </w:r>
            <w:r w:rsidRPr="00BD6C5F">
              <w:rPr>
                <w:rFonts w:asciiTheme="minorHAnsi" w:hAnsiTheme="minorHAnsi" w:cstheme="minorHAnsi"/>
              </w:rPr>
              <w:t xml:space="preserve"> of </w:t>
            </w:r>
            <w:r w:rsidR="00E15746">
              <w:rPr>
                <w:rFonts w:asciiTheme="minorHAnsi" w:hAnsiTheme="minorHAnsi" w:cstheme="minorHAnsi"/>
              </w:rPr>
              <w:t>Part </w:t>
            </w:r>
            <w:r w:rsidR="00E15746">
              <w:rPr>
                <w:rFonts w:asciiTheme="minorHAnsi" w:hAnsiTheme="minorHAnsi" w:cstheme="minorHAnsi"/>
              </w:rPr>
              <w:fldChar w:fldCharType="begin"/>
            </w:r>
            <w:r w:rsidR="00E15746">
              <w:rPr>
                <w:rFonts w:asciiTheme="minorHAnsi" w:hAnsiTheme="minorHAnsi" w:cstheme="minorHAnsi"/>
              </w:rPr>
              <w:instrText xml:space="preserve"> REF Schedule_3_Annex_1_Part_B \h </w:instrText>
            </w:r>
            <w:r w:rsidR="00E15746">
              <w:rPr>
                <w:rFonts w:asciiTheme="minorHAnsi" w:hAnsiTheme="minorHAnsi" w:cstheme="minorHAnsi"/>
              </w:rPr>
            </w:r>
            <w:r w:rsidR="00E15746">
              <w:rPr>
                <w:rFonts w:asciiTheme="minorHAnsi" w:hAnsiTheme="minorHAnsi" w:cstheme="minorHAnsi"/>
              </w:rPr>
              <w:fldChar w:fldCharType="separate"/>
            </w:r>
            <w:r w:rsidR="009749A0" w:rsidRPr="00BD6C5F">
              <w:t>B</w:t>
            </w:r>
            <w:r w:rsidR="00E15746">
              <w:rPr>
                <w:rFonts w:asciiTheme="minorHAnsi" w:hAnsiTheme="minorHAnsi" w:cstheme="minorHAnsi"/>
              </w:rPr>
              <w:fldChar w:fldCharType="end"/>
            </w:r>
            <w:r w:rsidR="00F566C6" w:rsidRPr="00BD6C5F">
              <w:rPr>
                <w:rFonts w:asciiTheme="minorHAnsi" w:hAnsiTheme="minorHAnsi" w:cstheme="minorHAnsi"/>
              </w:rPr>
              <w:t xml:space="preserve"> </w:t>
            </w:r>
            <w:r w:rsidRPr="00BD6C5F">
              <w:rPr>
                <w:rFonts w:asciiTheme="minorHAnsi" w:hAnsiTheme="minorHAnsi" w:cstheme="minorHAnsi"/>
              </w:rPr>
              <w:t>of this Annex</w:t>
            </w:r>
          </w:p>
        </w:tc>
        <w:tc>
          <w:tcPr>
            <w:tcW w:w="1701" w:type="dxa"/>
          </w:tcPr>
          <w:p w14:paraId="35696ADF" w14:textId="77777777" w:rsidR="00754E9B" w:rsidRPr="00BD6C5F" w:rsidRDefault="00754E9B" w:rsidP="00B13C04">
            <w:pPr>
              <w:pStyle w:val="Tabletext"/>
              <w:rPr>
                <w:rFonts w:asciiTheme="minorHAnsi" w:hAnsiTheme="minorHAnsi" w:cstheme="minorHAnsi"/>
              </w:rPr>
            </w:pPr>
          </w:p>
        </w:tc>
        <w:tc>
          <w:tcPr>
            <w:tcW w:w="2665" w:type="dxa"/>
          </w:tcPr>
          <w:p w14:paraId="2835BD1D" w14:textId="156CDF34" w:rsidR="00754E9B" w:rsidRPr="00BD6C5F" w:rsidRDefault="00754E9B" w:rsidP="00B13C04">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shd w:val="clear" w:color="auto" w:fill="FFFF00"/>
              </w:rPr>
              <w:t>[x]</w:t>
            </w:r>
            <w:r w:rsidRPr="00BD6C5F">
              <w:rPr>
                <w:rFonts w:asciiTheme="minorHAnsi" w:hAnsiTheme="minorHAnsi" w:cstheme="minorHAnsi"/>
              </w:rPr>
              <w:t>%</w:t>
            </w:r>
          </w:p>
        </w:tc>
        <w:tc>
          <w:tcPr>
            <w:tcW w:w="1020" w:type="dxa"/>
          </w:tcPr>
          <w:p w14:paraId="30A4BBAE" w14:textId="0CBB91A1" w:rsidR="00754E9B" w:rsidRPr="00BD6C5F" w:rsidRDefault="00754E9B" w:rsidP="00B13C04">
            <w:pPr>
              <w:pStyle w:val="Tabletext"/>
              <w:rPr>
                <w:rFonts w:asciiTheme="minorHAnsi" w:hAnsiTheme="minorHAnsi" w:cstheme="minorHAnsi"/>
              </w:rPr>
            </w:pPr>
            <w:r w:rsidRPr="00BD6C5F">
              <w:rPr>
                <w:rFonts w:asciiTheme="minorHAnsi" w:hAnsiTheme="minorHAnsi" w:cstheme="minorHAnsi"/>
                <w:w w:val="99"/>
              </w:rPr>
              <w:t>0</w:t>
            </w:r>
          </w:p>
        </w:tc>
        <w:tc>
          <w:tcPr>
            <w:tcW w:w="4762" w:type="dxa"/>
          </w:tcPr>
          <w:p w14:paraId="3AC0DA41" w14:textId="66FC45DC" w:rsidR="00754E9B" w:rsidRPr="00BD6C5F" w:rsidRDefault="00754E9B" w:rsidP="00B13C04">
            <w:pPr>
              <w:pStyle w:val="Tabletext"/>
              <w:rPr>
                <w:rFonts w:asciiTheme="minorHAnsi" w:hAnsiTheme="minorHAnsi" w:cstheme="minorHAnsi"/>
                <w:shd w:val="clear" w:color="auto" w:fill="FFFF00"/>
              </w:rPr>
            </w:pPr>
            <w:r w:rsidRPr="00BD6C5F">
              <w:rPr>
                <w:rFonts w:asciiTheme="minorHAnsi" w:hAnsiTheme="minorHAnsi" w:cstheme="minorHAnsi"/>
                <w:shd w:val="clear" w:color="auto" w:fill="FFFF00"/>
              </w:rPr>
              <w:t>[YES/NO]</w:t>
            </w:r>
          </w:p>
        </w:tc>
      </w:tr>
      <w:tr w:rsidR="000774DB" w:rsidRPr="00BD6C5F" w14:paraId="3344D8FE" w14:textId="77777777" w:rsidTr="00B13C04">
        <w:trPr>
          <w:trHeight w:val="20"/>
        </w:trPr>
        <w:tc>
          <w:tcPr>
            <w:tcW w:w="737" w:type="dxa"/>
          </w:tcPr>
          <w:p w14:paraId="0641C9D3" w14:textId="31ADF6E2"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t>KPI7</w:t>
            </w:r>
          </w:p>
        </w:tc>
        <w:tc>
          <w:tcPr>
            <w:tcW w:w="2551" w:type="dxa"/>
          </w:tcPr>
          <w:p w14:paraId="27A37E7B" w14:textId="1389966B" w:rsidR="000774DB" w:rsidRPr="00B13C04" w:rsidRDefault="000774DB" w:rsidP="00B13C04">
            <w:pPr>
              <w:pStyle w:val="Tabletext"/>
              <w:pBdr>
                <w:top w:val="nil"/>
                <w:left w:val="nil"/>
                <w:bottom w:val="nil"/>
                <w:right w:val="nil"/>
                <w:between w:val="nil"/>
              </w:pBdr>
              <w:rPr>
                <w:rFonts w:asciiTheme="minorHAnsi" w:hAnsiTheme="minorHAnsi" w:cstheme="minorHAnsi"/>
                <w:b/>
                <w:bCs/>
                <w:i/>
                <w:iCs/>
                <w:highlight w:val="yellow"/>
              </w:rPr>
            </w:pPr>
            <w:r w:rsidRPr="00B13C04">
              <w:rPr>
                <w:rFonts w:asciiTheme="minorHAnsi" w:hAnsiTheme="minorHAnsi" w:cstheme="minorHAnsi"/>
                <w:b/>
                <w:bCs/>
                <w:i/>
                <w:iCs/>
                <w:highlight w:val="yellow"/>
              </w:rPr>
              <w:t>[Social Value KPI 1]</w:t>
            </w:r>
          </w:p>
          <w:p w14:paraId="24E85F13" w14:textId="02247935" w:rsidR="000774DB" w:rsidRPr="00B13C04" w:rsidRDefault="000774DB" w:rsidP="00B13C04">
            <w:pPr>
              <w:pStyle w:val="Tabletext"/>
              <w:rPr>
                <w:rFonts w:asciiTheme="minorHAnsi" w:hAnsiTheme="minorHAnsi" w:cstheme="minorHAnsi"/>
                <w:b/>
                <w:bCs/>
                <w:i/>
                <w:iCs/>
                <w:shd w:val="clear" w:color="auto" w:fill="FFFF00"/>
              </w:rPr>
            </w:pPr>
            <w:r w:rsidRPr="00B13C04">
              <w:rPr>
                <w:rFonts w:asciiTheme="minorHAnsi" w:hAnsiTheme="minorHAnsi" w:cstheme="minorHAnsi"/>
                <w:b/>
                <w:bCs/>
                <w:i/>
                <w:iCs/>
                <w:highlight w:val="yellow"/>
              </w:rPr>
              <w:lastRenderedPageBreak/>
              <w:t xml:space="preserve">[Guidance: Contracting authorities should consider carefully whether the Social Value targets chosen should be KPIs or PIs. In a market with a mature understanding and offerings around Social Value, designating them as KPIs will be appropriate (i.e. allowing for Service Credits to be used as a remedy). In a less mature market, they should be PIs (i.e. making plans for rectification the main remedy and with the ability to withhold a proportionate </w:t>
            </w:r>
            <w:r w:rsidRPr="00B13C04">
              <w:rPr>
                <w:rFonts w:asciiTheme="minorHAnsi" w:hAnsiTheme="minorHAnsi" w:cstheme="minorHAnsi"/>
                <w:b/>
                <w:bCs/>
                <w:i/>
                <w:iCs/>
                <w:highlight w:val="yellow"/>
              </w:rPr>
              <w:lastRenderedPageBreak/>
              <w:t>amount of Service Charges until the PI failure is rectified in the case of material failure</w:t>
            </w:r>
            <w:r w:rsidRPr="00B13C04">
              <w:rPr>
                <w:rFonts w:asciiTheme="minorHAnsi" w:hAnsiTheme="minorHAnsi" w:cstheme="minorHAnsi"/>
                <w:b/>
                <w:bCs/>
                <w:i/>
                <w:iCs/>
              </w:rPr>
              <w:t>]</w:t>
            </w:r>
          </w:p>
        </w:tc>
        <w:tc>
          <w:tcPr>
            <w:tcW w:w="1701" w:type="dxa"/>
          </w:tcPr>
          <w:p w14:paraId="019410F5" w14:textId="4C3402F2"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lastRenderedPageBreak/>
              <w:t>[</w:t>
            </w:r>
            <w:r w:rsidRPr="00D852B2">
              <w:rPr>
                <w:rFonts w:asciiTheme="minorHAnsi" w:hAnsiTheme="minorHAnsi" w:cstheme="minorHAnsi"/>
                <w:b/>
                <w:bCs/>
                <w:highlight w:val="yellow"/>
              </w:rPr>
              <w:t>Insert</w:t>
            </w:r>
            <w:r w:rsidRPr="00BD6C5F">
              <w:rPr>
                <w:rFonts w:asciiTheme="minorHAnsi" w:hAnsiTheme="minorHAnsi" w:cstheme="minorHAnsi"/>
                <w:highlight w:val="yellow"/>
              </w:rPr>
              <w:t xml:space="preserve"> definition]</w:t>
            </w:r>
          </w:p>
        </w:tc>
        <w:tc>
          <w:tcPr>
            <w:tcW w:w="1701" w:type="dxa"/>
          </w:tcPr>
          <w:p w14:paraId="285B2B32" w14:textId="59F577FF" w:rsidR="000774DB" w:rsidRPr="00BD6C5F" w:rsidRDefault="000774DB" w:rsidP="00B13C04">
            <w:pPr>
              <w:pStyle w:val="Tabletext"/>
              <w:rPr>
                <w:rFonts w:asciiTheme="minorHAnsi" w:hAnsiTheme="minorHAnsi" w:cstheme="minorHAnsi"/>
              </w:rPr>
            </w:pPr>
          </w:p>
        </w:tc>
        <w:tc>
          <w:tcPr>
            <w:tcW w:w="2665" w:type="dxa"/>
          </w:tcPr>
          <w:p w14:paraId="5FEADBF8" w14:textId="755BC1C9"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Target Performance Level: </w:t>
            </w:r>
            <w:r w:rsidRPr="00BD6C5F">
              <w:rPr>
                <w:rFonts w:asciiTheme="minorHAnsi" w:hAnsiTheme="minorHAnsi" w:cstheme="minorHAnsi"/>
                <w:highlight w:val="yellow"/>
              </w:rPr>
              <w:t>[ ]</w:t>
            </w:r>
          </w:p>
          <w:p w14:paraId="02D11642"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lastRenderedPageBreak/>
              <w:t xml:space="preserve">Minor KPI Failure: </w:t>
            </w:r>
            <w:r w:rsidRPr="00BD6C5F">
              <w:rPr>
                <w:rFonts w:asciiTheme="minorHAnsi" w:hAnsiTheme="minorHAnsi" w:cstheme="minorHAnsi"/>
                <w:highlight w:val="yellow"/>
              </w:rPr>
              <w:t>[ ]</w:t>
            </w:r>
          </w:p>
          <w:p w14:paraId="2A4F82B9"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Serious KPI Failure: </w:t>
            </w:r>
            <w:r w:rsidRPr="00BD6C5F">
              <w:rPr>
                <w:rFonts w:asciiTheme="minorHAnsi" w:hAnsiTheme="minorHAnsi" w:cstheme="minorHAnsi"/>
                <w:highlight w:val="yellow"/>
              </w:rPr>
              <w:t>[ ]</w:t>
            </w:r>
          </w:p>
          <w:p w14:paraId="4756B525" w14:textId="77777777"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rPr>
              <w:t xml:space="preserve">Severe KPI Failure: </w:t>
            </w:r>
            <w:r w:rsidRPr="00BD6C5F">
              <w:rPr>
                <w:rFonts w:asciiTheme="minorHAnsi" w:hAnsiTheme="minorHAnsi" w:cstheme="minorHAnsi"/>
                <w:highlight w:val="yellow"/>
              </w:rPr>
              <w:t>[ ]</w:t>
            </w:r>
          </w:p>
          <w:p w14:paraId="4C94ECBD" w14:textId="6470374A"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rPr>
              <w:t xml:space="preserve">Service Threshold: </w:t>
            </w:r>
            <w:r w:rsidRPr="00BD6C5F">
              <w:rPr>
                <w:rFonts w:asciiTheme="minorHAnsi" w:hAnsiTheme="minorHAnsi" w:cstheme="minorHAnsi"/>
                <w:highlight w:val="yellow"/>
              </w:rPr>
              <w:t>[ ]</w:t>
            </w:r>
          </w:p>
        </w:tc>
        <w:tc>
          <w:tcPr>
            <w:tcW w:w="1020" w:type="dxa"/>
          </w:tcPr>
          <w:p w14:paraId="4005EC79" w14:textId="6BB49F5F"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rPr>
              <w:lastRenderedPageBreak/>
              <w:t>0</w:t>
            </w:r>
            <w:r w:rsidR="007235E1" w:rsidRPr="00BD6C5F">
              <w:rPr>
                <w:rFonts w:asciiTheme="minorHAnsi" w:hAnsiTheme="minorHAnsi" w:cstheme="minorHAnsi"/>
              </w:rPr>
              <w:br/>
            </w:r>
          </w:p>
          <w:p w14:paraId="44495909" w14:textId="4E8CC96E"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lastRenderedPageBreak/>
              <w:t>[1]</w:t>
            </w:r>
          </w:p>
          <w:p w14:paraId="34E9996D"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p>
          <w:p w14:paraId="6DD9DEDB"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t>[3]</w:t>
            </w:r>
          </w:p>
          <w:p w14:paraId="084AF042" w14:textId="7E9A2149" w:rsidR="000774DB" w:rsidRPr="00BD6C5F" w:rsidRDefault="000774DB" w:rsidP="00B13C04">
            <w:pPr>
              <w:pStyle w:val="Tabletext"/>
              <w:rPr>
                <w:rFonts w:asciiTheme="minorHAnsi" w:hAnsiTheme="minorHAnsi" w:cstheme="minorHAnsi"/>
                <w:w w:val="99"/>
              </w:rPr>
            </w:pPr>
            <w:r w:rsidRPr="00BD6C5F">
              <w:rPr>
                <w:rFonts w:asciiTheme="minorHAnsi" w:hAnsiTheme="minorHAnsi" w:cstheme="minorHAnsi"/>
                <w:highlight w:val="yellow"/>
              </w:rPr>
              <w:t>[4]</w:t>
            </w:r>
          </w:p>
        </w:tc>
        <w:tc>
          <w:tcPr>
            <w:tcW w:w="4762" w:type="dxa"/>
          </w:tcPr>
          <w:p w14:paraId="3DEFCAD3" w14:textId="059F67F6" w:rsidR="000774DB" w:rsidRPr="00BD6C5F" w:rsidRDefault="000774DB" w:rsidP="00B13C04">
            <w:pPr>
              <w:pStyle w:val="Tabletext"/>
              <w:rPr>
                <w:rFonts w:asciiTheme="minorHAnsi" w:hAnsiTheme="minorHAnsi" w:cstheme="minorHAnsi"/>
                <w:shd w:val="clear" w:color="auto" w:fill="FFFF00"/>
              </w:rPr>
            </w:pPr>
            <w:r w:rsidRPr="00BD6C5F">
              <w:rPr>
                <w:rFonts w:asciiTheme="minorHAnsi" w:hAnsiTheme="minorHAnsi" w:cstheme="minorHAnsi"/>
                <w:highlight w:val="yellow"/>
              </w:rPr>
              <w:lastRenderedPageBreak/>
              <w:t>[YES/NO]</w:t>
            </w:r>
          </w:p>
        </w:tc>
      </w:tr>
      <w:tr w:rsidR="000774DB" w:rsidRPr="00BD6C5F" w14:paraId="48739CFF" w14:textId="77777777" w:rsidTr="00B13C04">
        <w:trPr>
          <w:trHeight w:val="20"/>
        </w:trPr>
        <w:tc>
          <w:tcPr>
            <w:tcW w:w="737" w:type="dxa"/>
          </w:tcPr>
          <w:p w14:paraId="474C267A" w14:textId="15EF5262" w:rsidR="000774DB" w:rsidRPr="00BD6C5F" w:rsidRDefault="000774DB" w:rsidP="00B13C04">
            <w:pPr>
              <w:pStyle w:val="Tabletext"/>
              <w:rPr>
                <w:rFonts w:asciiTheme="minorHAnsi" w:hAnsiTheme="minorHAnsi" w:cstheme="minorHAnsi"/>
              </w:rPr>
            </w:pPr>
            <w:bookmarkStart w:id="102" w:name="_Hlk97308369"/>
            <w:r w:rsidRPr="00BD6C5F">
              <w:rPr>
                <w:rFonts w:asciiTheme="minorHAnsi" w:hAnsiTheme="minorHAnsi" w:cstheme="minorHAnsi"/>
                <w:highlight w:val="yellow"/>
              </w:rPr>
              <w:lastRenderedPageBreak/>
              <w:t>KPI8</w:t>
            </w:r>
          </w:p>
        </w:tc>
        <w:tc>
          <w:tcPr>
            <w:tcW w:w="2551" w:type="dxa"/>
          </w:tcPr>
          <w:p w14:paraId="4F6CEDE9" w14:textId="6C56E0CC"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t>[Social Value KPI 2]</w:t>
            </w:r>
          </w:p>
        </w:tc>
        <w:tc>
          <w:tcPr>
            <w:tcW w:w="1701" w:type="dxa"/>
          </w:tcPr>
          <w:p w14:paraId="28399293" w14:textId="4A1E5CF8"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t>[</w:t>
            </w:r>
            <w:r w:rsidRPr="00D852B2">
              <w:rPr>
                <w:rFonts w:asciiTheme="minorHAnsi" w:hAnsiTheme="minorHAnsi" w:cstheme="minorHAnsi"/>
                <w:b/>
                <w:bCs/>
                <w:highlight w:val="yellow"/>
              </w:rPr>
              <w:t>Insert</w:t>
            </w:r>
            <w:r w:rsidRPr="00BD6C5F">
              <w:rPr>
                <w:rFonts w:asciiTheme="minorHAnsi" w:hAnsiTheme="minorHAnsi" w:cstheme="minorHAnsi"/>
                <w:highlight w:val="yellow"/>
              </w:rPr>
              <w:t xml:space="preserve"> definition]</w:t>
            </w:r>
          </w:p>
        </w:tc>
        <w:tc>
          <w:tcPr>
            <w:tcW w:w="1701" w:type="dxa"/>
          </w:tcPr>
          <w:p w14:paraId="20EFEA73" w14:textId="65AACD78" w:rsidR="000774DB" w:rsidRPr="00BD6C5F" w:rsidRDefault="000774DB" w:rsidP="00B13C04">
            <w:pPr>
              <w:pStyle w:val="Tabletext"/>
              <w:rPr>
                <w:rFonts w:asciiTheme="minorHAnsi" w:hAnsiTheme="minorHAnsi" w:cstheme="minorHAnsi"/>
              </w:rPr>
            </w:pPr>
          </w:p>
        </w:tc>
        <w:tc>
          <w:tcPr>
            <w:tcW w:w="2665" w:type="dxa"/>
          </w:tcPr>
          <w:p w14:paraId="0ACB8601"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Target Performance Level: </w:t>
            </w:r>
            <w:r w:rsidRPr="00BD6C5F">
              <w:rPr>
                <w:rFonts w:asciiTheme="minorHAnsi" w:hAnsiTheme="minorHAnsi" w:cstheme="minorHAnsi"/>
                <w:highlight w:val="yellow"/>
              </w:rPr>
              <w:t>[ ]</w:t>
            </w:r>
          </w:p>
          <w:p w14:paraId="0CD67422"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Minor KPI Failure: </w:t>
            </w:r>
            <w:r w:rsidRPr="00BD6C5F">
              <w:rPr>
                <w:rFonts w:asciiTheme="minorHAnsi" w:hAnsiTheme="minorHAnsi" w:cstheme="minorHAnsi"/>
                <w:highlight w:val="yellow"/>
              </w:rPr>
              <w:t>[ ]</w:t>
            </w:r>
          </w:p>
          <w:p w14:paraId="1A320123"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Serious KPI Failure: </w:t>
            </w:r>
            <w:r w:rsidRPr="00BD6C5F">
              <w:rPr>
                <w:rFonts w:asciiTheme="minorHAnsi" w:hAnsiTheme="minorHAnsi" w:cstheme="minorHAnsi"/>
                <w:highlight w:val="yellow"/>
              </w:rPr>
              <w:t>[ ]</w:t>
            </w:r>
          </w:p>
          <w:p w14:paraId="0B626BD1" w14:textId="77777777"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rPr>
              <w:t xml:space="preserve">Severe KPI Failure: </w:t>
            </w:r>
            <w:r w:rsidRPr="00BD6C5F">
              <w:rPr>
                <w:rFonts w:asciiTheme="minorHAnsi" w:hAnsiTheme="minorHAnsi" w:cstheme="minorHAnsi"/>
                <w:highlight w:val="yellow"/>
              </w:rPr>
              <w:t>[ ]</w:t>
            </w:r>
          </w:p>
          <w:p w14:paraId="27568482" w14:textId="59CEEB12"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rPr>
              <w:t xml:space="preserve">Service Threshold: </w:t>
            </w:r>
            <w:r w:rsidRPr="00BD6C5F">
              <w:rPr>
                <w:rFonts w:asciiTheme="minorHAnsi" w:hAnsiTheme="minorHAnsi" w:cstheme="minorHAnsi"/>
                <w:highlight w:val="yellow"/>
              </w:rPr>
              <w:t>[ ]</w:t>
            </w:r>
          </w:p>
        </w:tc>
        <w:tc>
          <w:tcPr>
            <w:tcW w:w="1020" w:type="dxa"/>
          </w:tcPr>
          <w:p w14:paraId="67434853" w14:textId="4381C3C8"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rPr>
              <w:t>0</w:t>
            </w:r>
            <w:r w:rsidR="00F56251" w:rsidRPr="00BD6C5F">
              <w:rPr>
                <w:rFonts w:asciiTheme="minorHAnsi" w:hAnsiTheme="minorHAnsi" w:cstheme="minorHAnsi"/>
              </w:rPr>
              <w:br/>
            </w:r>
          </w:p>
          <w:p w14:paraId="3097DC61" w14:textId="74628430"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t>[1]</w:t>
            </w:r>
          </w:p>
          <w:p w14:paraId="6D4864D7"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p>
          <w:p w14:paraId="0B0235BA" w14:textId="77777777" w:rsidR="000774DB" w:rsidRPr="00BD6C5F" w:rsidRDefault="000774DB" w:rsidP="00B13C04">
            <w:pPr>
              <w:pStyle w:val="Tabletext"/>
              <w:rPr>
                <w:rFonts w:asciiTheme="minorHAnsi" w:hAnsiTheme="minorHAnsi" w:cstheme="minorHAnsi"/>
                <w:highlight w:val="yellow"/>
              </w:rPr>
            </w:pPr>
            <w:r w:rsidRPr="00BD6C5F">
              <w:rPr>
                <w:rFonts w:asciiTheme="minorHAnsi" w:hAnsiTheme="minorHAnsi" w:cstheme="minorHAnsi"/>
                <w:highlight w:val="yellow"/>
              </w:rPr>
              <w:t>[3]</w:t>
            </w:r>
          </w:p>
          <w:p w14:paraId="3D263E6D" w14:textId="3C5C8B91"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2F01F959" w14:textId="39872916" w:rsidR="000774DB" w:rsidRPr="00BD6C5F" w:rsidRDefault="000774DB" w:rsidP="00B13C04">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rPr>
              <w:t>YES</w:t>
            </w:r>
            <w:r w:rsidRPr="00BD6C5F">
              <w:rPr>
                <w:rFonts w:asciiTheme="minorHAnsi" w:hAnsiTheme="minorHAnsi" w:cstheme="minorHAnsi"/>
                <w:highlight w:val="yellow"/>
              </w:rPr>
              <w:t>/NO]</w:t>
            </w:r>
          </w:p>
        </w:tc>
      </w:tr>
      <w:bookmarkEnd w:id="102"/>
      <w:tr w:rsidR="00D5651E" w:rsidRPr="00BD6C5F" w14:paraId="36E7B001" w14:textId="77777777" w:rsidTr="00B13C04">
        <w:trPr>
          <w:trHeight w:val="20"/>
        </w:trPr>
        <w:tc>
          <w:tcPr>
            <w:tcW w:w="737" w:type="dxa"/>
          </w:tcPr>
          <w:p w14:paraId="7F3745AF" w14:textId="32BD4E21"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rPr>
              <w:t>KPI9</w:t>
            </w:r>
          </w:p>
        </w:tc>
        <w:tc>
          <w:tcPr>
            <w:tcW w:w="2551" w:type="dxa"/>
          </w:tcPr>
          <w:p w14:paraId="06793B45" w14:textId="3D7E18E6"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highlight w:val="yellow"/>
              </w:rPr>
              <w:t>[Social Value KPI 3]</w:t>
            </w:r>
          </w:p>
        </w:tc>
        <w:tc>
          <w:tcPr>
            <w:tcW w:w="1701" w:type="dxa"/>
          </w:tcPr>
          <w:p w14:paraId="73E380BB" w14:textId="04660FD4"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highlight w:val="yellow"/>
              </w:rPr>
              <w:t>[</w:t>
            </w:r>
            <w:r w:rsidRPr="00012747">
              <w:rPr>
                <w:rFonts w:asciiTheme="minorHAnsi" w:hAnsiTheme="minorHAnsi" w:cstheme="minorHAnsi"/>
                <w:b/>
                <w:bCs/>
                <w:highlight w:val="yellow"/>
              </w:rPr>
              <w:t>Insert</w:t>
            </w:r>
            <w:r w:rsidRPr="00BD6C5F">
              <w:rPr>
                <w:rFonts w:asciiTheme="minorHAnsi" w:hAnsiTheme="minorHAnsi" w:cstheme="minorHAnsi"/>
                <w:highlight w:val="yellow"/>
              </w:rPr>
              <w:t xml:space="preserve"> definition]</w:t>
            </w:r>
          </w:p>
        </w:tc>
        <w:tc>
          <w:tcPr>
            <w:tcW w:w="1701" w:type="dxa"/>
          </w:tcPr>
          <w:p w14:paraId="79CE8EC0" w14:textId="28A57088" w:rsidR="00D5651E" w:rsidRPr="00BD6C5F" w:rsidRDefault="00D5651E" w:rsidP="00B13C04">
            <w:pPr>
              <w:pStyle w:val="Tabletext"/>
              <w:rPr>
                <w:rFonts w:asciiTheme="minorHAnsi" w:hAnsiTheme="minorHAnsi" w:cstheme="minorHAnsi"/>
              </w:rPr>
            </w:pPr>
          </w:p>
        </w:tc>
        <w:tc>
          <w:tcPr>
            <w:tcW w:w="2665" w:type="dxa"/>
          </w:tcPr>
          <w:p w14:paraId="1C0634BE" w14:textId="77777777"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rPr>
              <w:t xml:space="preserve">Target Performance </w:t>
            </w:r>
            <w:r w:rsidRPr="00BD6C5F">
              <w:rPr>
                <w:rFonts w:asciiTheme="minorHAnsi" w:hAnsiTheme="minorHAnsi" w:cstheme="minorHAnsi"/>
              </w:rPr>
              <w:br/>
              <w:t xml:space="preserve">Level: </w:t>
            </w:r>
            <w:r w:rsidRPr="00BD6C5F">
              <w:rPr>
                <w:rFonts w:asciiTheme="minorHAnsi" w:hAnsiTheme="minorHAnsi" w:cstheme="minorHAnsi"/>
                <w:highlight w:val="yellow"/>
              </w:rPr>
              <w:t>[ ]</w:t>
            </w:r>
          </w:p>
          <w:p w14:paraId="35221A51" w14:textId="77777777"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rPr>
              <w:t xml:space="preserve">Minor KPI Failure: </w:t>
            </w:r>
            <w:r w:rsidRPr="00BD6C5F">
              <w:rPr>
                <w:rFonts w:asciiTheme="minorHAnsi" w:hAnsiTheme="minorHAnsi" w:cstheme="minorHAnsi"/>
                <w:highlight w:val="yellow"/>
              </w:rPr>
              <w:t>[ ]</w:t>
            </w:r>
          </w:p>
          <w:p w14:paraId="78585F3A" w14:textId="77777777"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rPr>
              <w:t xml:space="preserve">Serious KPI Failure: </w:t>
            </w:r>
            <w:r w:rsidRPr="00BD6C5F">
              <w:rPr>
                <w:rFonts w:asciiTheme="minorHAnsi" w:hAnsiTheme="minorHAnsi" w:cstheme="minorHAnsi"/>
                <w:highlight w:val="yellow"/>
              </w:rPr>
              <w:t>[ ]</w:t>
            </w:r>
          </w:p>
          <w:p w14:paraId="714A310C" w14:textId="77777777"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rPr>
              <w:t xml:space="preserve">Severe KPI Failure: </w:t>
            </w:r>
            <w:r w:rsidRPr="00BD6C5F">
              <w:rPr>
                <w:rFonts w:asciiTheme="minorHAnsi" w:hAnsiTheme="minorHAnsi" w:cstheme="minorHAnsi"/>
                <w:highlight w:val="yellow"/>
              </w:rPr>
              <w:t>[ ]</w:t>
            </w:r>
          </w:p>
          <w:p w14:paraId="04474FAB" w14:textId="464898AA"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rPr>
              <w:t xml:space="preserve">Service Threshold: </w:t>
            </w:r>
            <w:r w:rsidRPr="00BD6C5F">
              <w:rPr>
                <w:rFonts w:asciiTheme="minorHAnsi" w:hAnsiTheme="minorHAnsi" w:cstheme="minorHAnsi"/>
                <w:highlight w:val="yellow"/>
              </w:rPr>
              <w:t>[ ]</w:t>
            </w:r>
          </w:p>
        </w:tc>
        <w:tc>
          <w:tcPr>
            <w:tcW w:w="1020" w:type="dxa"/>
          </w:tcPr>
          <w:p w14:paraId="7029A7F3" w14:textId="77777777"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rPr>
              <w:t>0</w:t>
            </w:r>
            <w:r w:rsidRPr="00BD6C5F">
              <w:rPr>
                <w:rFonts w:asciiTheme="minorHAnsi" w:hAnsiTheme="minorHAnsi" w:cstheme="minorHAnsi"/>
              </w:rPr>
              <w:br/>
            </w:r>
          </w:p>
          <w:p w14:paraId="091D0DB1" w14:textId="77777777"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highlight w:val="yellow"/>
              </w:rPr>
              <w:t>[1]</w:t>
            </w:r>
          </w:p>
          <w:p w14:paraId="3AA2EEE2" w14:textId="77777777" w:rsidR="00D5651E" w:rsidRPr="00BD6C5F" w:rsidRDefault="00D5651E" w:rsidP="00B13C04">
            <w:pPr>
              <w:pStyle w:val="Tabletext"/>
              <w:rPr>
                <w:rFonts w:asciiTheme="minorHAnsi" w:hAnsiTheme="minorHAnsi" w:cstheme="minorHAnsi"/>
                <w:highlight w:val="yellow"/>
              </w:rPr>
            </w:pPr>
            <w:r w:rsidRPr="00BD6C5F">
              <w:rPr>
                <w:rFonts w:asciiTheme="minorHAnsi" w:hAnsiTheme="minorHAnsi" w:cstheme="minorHAnsi"/>
                <w:highlight w:val="yellow"/>
              </w:rPr>
              <w:t>[2]</w:t>
            </w:r>
          </w:p>
          <w:p w14:paraId="17B314B1" w14:textId="77777777"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highlight w:val="yellow"/>
              </w:rPr>
              <w:t>[3]</w:t>
            </w:r>
          </w:p>
          <w:p w14:paraId="3EC80699" w14:textId="4C2D93CE"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highlight w:val="yellow"/>
              </w:rPr>
              <w:t>[4]</w:t>
            </w:r>
          </w:p>
        </w:tc>
        <w:tc>
          <w:tcPr>
            <w:tcW w:w="4762" w:type="dxa"/>
          </w:tcPr>
          <w:p w14:paraId="1AB1ED42" w14:textId="35AC1B9D" w:rsidR="00D5651E" w:rsidRPr="00BD6C5F" w:rsidRDefault="00D5651E" w:rsidP="00B13C04">
            <w:pPr>
              <w:pStyle w:val="Tabletext"/>
              <w:rPr>
                <w:rFonts w:asciiTheme="minorHAnsi" w:hAnsiTheme="minorHAnsi" w:cstheme="minorHAnsi"/>
              </w:rPr>
            </w:pPr>
            <w:r w:rsidRPr="00BD6C5F">
              <w:rPr>
                <w:rFonts w:asciiTheme="minorHAnsi" w:hAnsiTheme="minorHAnsi" w:cstheme="minorHAnsi"/>
                <w:highlight w:val="yellow"/>
              </w:rPr>
              <w:t>[YES/NO]</w:t>
            </w:r>
          </w:p>
        </w:tc>
      </w:tr>
    </w:tbl>
    <w:p w14:paraId="77589038" w14:textId="2032B077" w:rsidR="00BC7DDA" w:rsidRPr="00BD6C5F" w:rsidRDefault="00B13C04" w:rsidP="00F56251">
      <w:pPr>
        <w:rPr>
          <w:rFonts w:asciiTheme="minorHAnsi" w:hAnsiTheme="minorHAnsi" w:cstheme="minorHAnsi"/>
        </w:rPr>
      </w:pPr>
      <w:r>
        <w:rPr>
          <w:rFonts w:asciiTheme="minorHAnsi" w:hAnsiTheme="minorHAnsi" w:cstheme="minorHAnsi"/>
        </w:rPr>
        <w:br w:type="textWrapping" w:clear="all"/>
      </w:r>
    </w:p>
    <w:p w14:paraId="1BA1BA51" w14:textId="64652513" w:rsidR="00BC7DDA" w:rsidRPr="00BD6C5F" w:rsidRDefault="009B03E9" w:rsidP="006220B3">
      <w:pPr>
        <w:pStyle w:val="AppendixText1"/>
      </w:pPr>
      <w:r w:rsidRPr="00BD6C5F">
        <w:lastRenderedPageBreak/>
        <w:t>Subsidiary Performance Indicators</w:t>
      </w:r>
    </w:p>
    <w:tbl>
      <w:tblPr>
        <w:tblStyle w:val="MSATable-header"/>
        <w:tblW w:w="15138" w:type="dxa"/>
        <w:tblLayout w:type="fixed"/>
        <w:tblLook w:val="01E0" w:firstRow="1" w:lastRow="1" w:firstColumn="1" w:lastColumn="1" w:noHBand="0" w:noVBand="0"/>
      </w:tblPr>
      <w:tblGrid>
        <w:gridCol w:w="737"/>
        <w:gridCol w:w="3572"/>
        <w:gridCol w:w="1701"/>
        <w:gridCol w:w="1701"/>
        <w:gridCol w:w="2665"/>
        <w:gridCol w:w="4762"/>
      </w:tblGrid>
      <w:tr w:rsidR="00BC7DDA" w:rsidRPr="00BD6C5F" w14:paraId="4F671DA4" w14:textId="77777777" w:rsidTr="00D5651E">
        <w:trPr>
          <w:cnfStyle w:val="100000000000" w:firstRow="1" w:lastRow="0" w:firstColumn="0" w:lastColumn="0" w:oddVBand="0" w:evenVBand="0" w:oddHBand="0" w:evenHBand="0" w:firstRowFirstColumn="0" w:firstRowLastColumn="0" w:lastRowFirstColumn="0" w:lastRowLastColumn="0"/>
          <w:trHeight w:val="20"/>
          <w:tblHeader/>
        </w:trPr>
        <w:tc>
          <w:tcPr>
            <w:tcW w:w="737" w:type="dxa"/>
          </w:tcPr>
          <w:p w14:paraId="05B88461"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No.</w:t>
            </w:r>
          </w:p>
        </w:tc>
        <w:tc>
          <w:tcPr>
            <w:tcW w:w="3572" w:type="dxa"/>
          </w:tcPr>
          <w:p w14:paraId="12BB41F3"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Subsidiary Performance Indicator Title</w:t>
            </w:r>
          </w:p>
        </w:tc>
        <w:tc>
          <w:tcPr>
            <w:tcW w:w="1701" w:type="dxa"/>
          </w:tcPr>
          <w:p w14:paraId="34DDD069"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Definition</w:t>
            </w:r>
          </w:p>
        </w:tc>
        <w:tc>
          <w:tcPr>
            <w:tcW w:w="1701" w:type="dxa"/>
          </w:tcPr>
          <w:p w14:paraId="3C910A69"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Frequency of Measurement</w:t>
            </w:r>
          </w:p>
        </w:tc>
        <w:tc>
          <w:tcPr>
            <w:tcW w:w="2665" w:type="dxa"/>
          </w:tcPr>
          <w:p w14:paraId="234935D0"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Severity Levels</w:t>
            </w:r>
          </w:p>
        </w:tc>
        <w:tc>
          <w:tcPr>
            <w:tcW w:w="4762" w:type="dxa"/>
          </w:tcPr>
          <w:p w14:paraId="4AA233F8"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Publishable Performance Information</w:t>
            </w:r>
          </w:p>
          <w:p w14:paraId="4BB08EE7" w14:textId="42FAEEE7" w:rsidR="00BC7DDA" w:rsidRPr="00BD6C5F" w:rsidRDefault="00D90FA5" w:rsidP="00D5651E">
            <w:pPr>
              <w:pStyle w:val="Tabletext"/>
              <w:rPr>
                <w:rFonts w:asciiTheme="minorHAnsi" w:hAnsiTheme="minorHAnsi" w:cstheme="minorHAnsi"/>
                <w:bCs/>
                <w:iCs/>
                <w:sz w:val="20"/>
                <w:szCs w:val="20"/>
              </w:rPr>
            </w:pPr>
            <w:r w:rsidRPr="00BD6C5F">
              <w:rPr>
                <w:rFonts w:asciiTheme="minorHAnsi" w:hAnsiTheme="minorHAnsi" w:cstheme="minorHAnsi"/>
                <w:b w:val="0"/>
                <w:iCs/>
                <w:sz w:val="20"/>
                <w:szCs w:val="20"/>
                <w:highlight w:val="yellow"/>
              </w:rPr>
              <w:t>[</w:t>
            </w:r>
            <w:r w:rsidRPr="00B13C04">
              <w:rPr>
                <w:rFonts w:asciiTheme="minorHAnsi" w:hAnsiTheme="minorHAnsi" w:cstheme="minorHAnsi"/>
                <w:bCs/>
                <w:i/>
                <w:sz w:val="20"/>
                <w:szCs w:val="20"/>
                <w:highlight w:val="yellow"/>
              </w:rPr>
              <w:t xml:space="preserve">Guidance: It is HMG’s intention to publish the top KPIs in the vast majority of contracts. The </w:t>
            </w:r>
            <w:r w:rsidRPr="00B13C04">
              <w:rPr>
                <w:rFonts w:asciiTheme="minorHAnsi" w:hAnsiTheme="minorHAnsi" w:cstheme="minorHAnsi"/>
                <w:bCs/>
                <w:i/>
                <w:spacing w:val="-2"/>
                <w:sz w:val="20"/>
                <w:szCs w:val="20"/>
                <w:highlight w:val="yellow"/>
              </w:rPr>
              <w:t>Authority must select at least three KPI/PIs which</w:t>
            </w:r>
            <w:r w:rsidRPr="00B13C04">
              <w:rPr>
                <w:rFonts w:asciiTheme="minorHAnsi" w:hAnsiTheme="minorHAnsi" w:cstheme="minorHAnsi"/>
                <w:bCs/>
                <w:i/>
                <w:sz w:val="20"/>
                <w:szCs w:val="20"/>
                <w:highlight w:val="yellow"/>
              </w:rPr>
              <w:t xml:space="preserve"> shall be publishable and also must select the single most important Social Value KPI/PI, which shall be publishable (four KPIs/PIs in total)]]</w:t>
            </w:r>
          </w:p>
        </w:tc>
      </w:tr>
      <w:tr w:rsidR="00BC7DDA" w:rsidRPr="00BD6C5F" w14:paraId="70769130" w14:textId="77777777" w:rsidTr="00D5651E">
        <w:trPr>
          <w:trHeight w:val="20"/>
        </w:trPr>
        <w:tc>
          <w:tcPr>
            <w:tcW w:w="737" w:type="dxa"/>
          </w:tcPr>
          <w:p w14:paraId="41E901BB"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PI1</w:t>
            </w:r>
          </w:p>
        </w:tc>
        <w:tc>
          <w:tcPr>
            <w:tcW w:w="3572" w:type="dxa"/>
          </w:tcPr>
          <w:p w14:paraId="22F44504" w14:textId="3D74F294"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shd w:val="clear" w:color="auto" w:fill="FFFF00"/>
              </w:rPr>
              <w:t>[Sustainability/Efficiency indicators]</w:t>
            </w:r>
          </w:p>
        </w:tc>
        <w:tc>
          <w:tcPr>
            <w:tcW w:w="1701" w:type="dxa"/>
          </w:tcPr>
          <w:p w14:paraId="10087B61" w14:textId="4CDDA3E4"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shd w:val="clear" w:color="auto" w:fill="FFFF00"/>
              </w:rPr>
              <w:t xml:space="preserve">[See </w:t>
            </w:r>
            <w:r w:rsidR="00484523" w:rsidRPr="00484523">
              <w:rPr>
                <w:rFonts w:asciiTheme="minorHAnsi" w:hAnsiTheme="minorHAnsi" w:cstheme="minorHAnsi"/>
                <w:highlight w:val="yellow"/>
              </w:rPr>
              <w:t>Schedule </w:t>
            </w:r>
            <w:r w:rsidR="00484523" w:rsidRPr="00484523">
              <w:rPr>
                <w:rFonts w:asciiTheme="minorHAnsi" w:hAnsiTheme="minorHAnsi" w:cstheme="minorHAnsi"/>
                <w:highlight w:val="yellow"/>
              </w:rPr>
              <w:fldChar w:fldCharType="begin"/>
            </w:r>
            <w:r w:rsidR="00484523" w:rsidRPr="00484523">
              <w:rPr>
                <w:rFonts w:asciiTheme="minorHAnsi" w:hAnsiTheme="minorHAnsi" w:cstheme="minorHAnsi"/>
                <w:highlight w:val="yellow"/>
              </w:rPr>
              <w:instrText xml:space="preserve"> REF Schedule_2 \h </w:instrText>
            </w:r>
            <w:r w:rsidR="00484523">
              <w:rPr>
                <w:rFonts w:asciiTheme="minorHAnsi" w:hAnsiTheme="minorHAnsi" w:cstheme="minorHAnsi"/>
                <w:highlight w:val="yellow"/>
              </w:rPr>
              <w:instrText xml:space="preserve"> \* MERGEFORMAT </w:instrText>
            </w:r>
            <w:r w:rsidR="00484523" w:rsidRPr="00484523">
              <w:rPr>
                <w:rFonts w:asciiTheme="minorHAnsi" w:hAnsiTheme="minorHAnsi" w:cstheme="minorHAnsi"/>
                <w:highlight w:val="yellow"/>
              </w:rPr>
            </w:r>
            <w:r w:rsidR="00484523" w:rsidRPr="00484523">
              <w:rPr>
                <w:rFonts w:asciiTheme="minorHAnsi" w:hAnsiTheme="minorHAnsi" w:cstheme="minorHAnsi"/>
                <w:highlight w:val="yellow"/>
              </w:rPr>
              <w:fldChar w:fldCharType="separate"/>
            </w:r>
            <w:r w:rsidR="009749A0" w:rsidRPr="00B664D1">
              <w:rPr>
                <w:highlight w:val="yellow"/>
              </w:rPr>
              <w:t>2</w:t>
            </w:r>
            <w:r w:rsidR="00484523" w:rsidRPr="00484523">
              <w:rPr>
                <w:rFonts w:asciiTheme="minorHAnsi" w:hAnsiTheme="minorHAnsi" w:cstheme="minorHAnsi"/>
                <w:highlight w:val="yellow"/>
              </w:rPr>
              <w:fldChar w:fldCharType="end"/>
            </w:r>
            <w:r w:rsidRPr="00BD6C5F">
              <w:rPr>
                <w:rFonts w:asciiTheme="minorHAnsi" w:hAnsiTheme="minorHAnsi" w:cstheme="minorHAnsi"/>
              </w:rPr>
              <w:t xml:space="preserve"> </w:t>
            </w:r>
            <w:r w:rsidRPr="00BD6C5F">
              <w:rPr>
                <w:rFonts w:asciiTheme="minorHAnsi" w:hAnsiTheme="minorHAnsi" w:cstheme="minorHAnsi"/>
                <w:shd w:val="clear" w:color="auto" w:fill="FFFF00"/>
              </w:rPr>
              <w:t>(</w:t>
            </w:r>
            <w:r w:rsidRPr="00BD6C5F">
              <w:rPr>
                <w:rFonts w:asciiTheme="minorHAnsi" w:hAnsiTheme="minorHAnsi" w:cstheme="minorHAnsi"/>
                <w:i/>
                <w:shd w:val="clear" w:color="auto" w:fill="FFFF00"/>
              </w:rPr>
              <w:t>Services</w:t>
            </w:r>
            <w:r w:rsidRPr="00BD6C5F">
              <w:rPr>
                <w:rFonts w:asciiTheme="minorHAnsi" w:hAnsiTheme="minorHAnsi" w:cstheme="minorHAnsi"/>
                <w:i/>
              </w:rPr>
              <w:t xml:space="preserve"> </w:t>
            </w:r>
            <w:r w:rsidRPr="00BD6C5F">
              <w:rPr>
                <w:rFonts w:asciiTheme="minorHAnsi" w:hAnsiTheme="minorHAnsi" w:cstheme="minorHAnsi"/>
                <w:i/>
                <w:shd w:val="clear" w:color="auto" w:fill="FFFF00"/>
              </w:rPr>
              <w:t>Description</w:t>
            </w:r>
            <w:r w:rsidRPr="00BD6C5F">
              <w:rPr>
                <w:rFonts w:asciiTheme="minorHAnsi" w:hAnsiTheme="minorHAnsi" w:cstheme="minorHAnsi"/>
                <w:shd w:val="clear" w:color="auto" w:fill="FFFF00"/>
              </w:rPr>
              <w:t>)]</w:t>
            </w:r>
          </w:p>
        </w:tc>
        <w:tc>
          <w:tcPr>
            <w:tcW w:w="1701" w:type="dxa"/>
          </w:tcPr>
          <w:p w14:paraId="3071F24F" w14:textId="77777777" w:rsidR="00BC7DDA" w:rsidRPr="00BD6C5F" w:rsidRDefault="00BC7DDA" w:rsidP="00AD7DD0">
            <w:pPr>
              <w:pStyle w:val="Tabletext"/>
              <w:rPr>
                <w:rFonts w:asciiTheme="minorHAnsi" w:hAnsiTheme="minorHAnsi" w:cstheme="minorHAnsi"/>
              </w:rPr>
            </w:pPr>
          </w:p>
        </w:tc>
        <w:tc>
          <w:tcPr>
            <w:tcW w:w="2665" w:type="dxa"/>
          </w:tcPr>
          <w:p w14:paraId="1E6991C6"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shd w:val="clear" w:color="auto" w:fill="FFFF00"/>
              </w:rPr>
              <w:t>[xx%]</w:t>
            </w:r>
          </w:p>
          <w:p w14:paraId="469E6005"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 xml:space="preserve">Service Threshold: </w:t>
            </w:r>
            <w:r w:rsidRPr="00BD6C5F">
              <w:rPr>
                <w:rFonts w:asciiTheme="minorHAnsi" w:hAnsiTheme="minorHAnsi" w:cstheme="minorHAnsi"/>
                <w:shd w:val="clear" w:color="auto" w:fill="FFFF00"/>
              </w:rPr>
              <w:t>[xx%]</w:t>
            </w:r>
          </w:p>
        </w:tc>
        <w:tc>
          <w:tcPr>
            <w:tcW w:w="4762" w:type="dxa"/>
          </w:tcPr>
          <w:p w14:paraId="44D66892"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shd w:val="clear" w:color="auto" w:fill="FFFF00"/>
              </w:rPr>
              <w:t>[YES/NO]</w:t>
            </w:r>
          </w:p>
        </w:tc>
      </w:tr>
      <w:tr w:rsidR="00BC7DDA" w:rsidRPr="00BD6C5F" w14:paraId="5C663745" w14:textId="77777777" w:rsidTr="00D5651E">
        <w:trPr>
          <w:trHeight w:val="20"/>
        </w:trPr>
        <w:tc>
          <w:tcPr>
            <w:tcW w:w="737" w:type="dxa"/>
          </w:tcPr>
          <w:p w14:paraId="0FACCAB6"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PI2</w:t>
            </w:r>
          </w:p>
        </w:tc>
        <w:tc>
          <w:tcPr>
            <w:tcW w:w="3572" w:type="dxa"/>
          </w:tcPr>
          <w:p w14:paraId="72E96DB9" w14:textId="4EBBFB6B" w:rsidR="00BC7DDA" w:rsidRPr="00BD6C5F" w:rsidRDefault="00D90FA5" w:rsidP="00AD7DD0">
            <w:pPr>
              <w:pStyle w:val="Tabletext"/>
              <w:rPr>
                <w:rFonts w:asciiTheme="minorHAnsi" w:hAnsiTheme="minorHAnsi" w:cstheme="minorHAnsi"/>
              </w:rPr>
            </w:pPr>
            <w:r w:rsidRPr="00BD6C5F">
              <w:rPr>
                <w:rFonts w:asciiTheme="minorHAnsi" w:hAnsiTheme="minorHAnsi" w:cstheme="minorHAnsi"/>
                <w:highlight w:val="yellow"/>
              </w:rPr>
              <w:t>[Vulnerability Patching Performance]</w:t>
            </w:r>
          </w:p>
        </w:tc>
        <w:tc>
          <w:tcPr>
            <w:tcW w:w="1701" w:type="dxa"/>
          </w:tcPr>
          <w:p w14:paraId="00234899" w14:textId="41437623"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shd w:val="clear" w:color="auto" w:fill="FFFF00"/>
              </w:rPr>
              <w:t xml:space="preserve">[See </w:t>
            </w:r>
            <w:r w:rsidR="00484523" w:rsidRPr="00484523">
              <w:rPr>
                <w:rFonts w:asciiTheme="minorHAnsi" w:hAnsiTheme="minorHAnsi" w:cstheme="minorHAnsi"/>
                <w:highlight w:val="yellow"/>
              </w:rPr>
              <w:t>Schedule </w:t>
            </w:r>
            <w:r w:rsidR="00484523" w:rsidRPr="00484523">
              <w:rPr>
                <w:rFonts w:asciiTheme="minorHAnsi" w:hAnsiTheme="minorHAnsi" w:cstheme="minorHAnsi"/>
                <w:highlight w:val="yellow"/>
              </w:rPr>
              <w:fldChar w:fldCharType="begin"/>
            </w:r>
            <w:r w:rsidR="00484523" w:rsidRPr="00484523">
              <w:rPr>
                <w:rFonts w:asciiTheme="minorHAnsi" w:hAnsiTheme="minorHAnsi" w:cstheme="minorHAnsi"/>
                <w:highlight w:val="yellow"/>
              </w:rPr>
              <w:instrText xml:space="preserve"> REF Schedule_2 \h </w:instrText>
            </w:r>
            <w:r w:rsidR="00484523">
              <w:rPr>
                <w:rFonts w:asciiTheme="minorHAnsi" w:hAnsiTheme="minorHAnsi" w:cstheme="minorHAnsi"/>
                <w:highlight w:val="yellow"/>
              </w:rPr>
              <w:instrText xml:space="preserve"> \* MERGEFORMAT </w:instrText>
            </w:r>
            <w:r w:rsidR="00484523" w:rsidRPr="00484523">
              <w:rPr>
                <w:rFonts w:asciiTheme="minorHAnsi" w:hAnsiTheme="minorHAnsi" w:cstheme="minorHAnsi"/>
                <w:highlight w:val="yellow"/>
              </w:rPr>
            </w:r>
            <w:r w:rsidR="00484523" w:rsidRPr="00484523">
              <w:rPr>
                <w:rFonts w:asciiTheme="minorHAnsi" w:hAnsiTheme="minorHAnsi" w:cstheme="minorHAnsi"/>
                <w:highlight w:val="yellow"/>
              </w:rPr>
              <w:fldChar w:fldCharType="separate"/>
            </w:r>
            <w:r w:rsidR="009749A0" w:rsidRPr="00B664D1">
              <w:rPr>
                <w:highlight w:val="yellow"/>
              </w:rPr>
              <w:t>2</w:t>
            </w:r>
            <w:r w:rsidR="00484523" w:rsidRPr="00484523">
              <w:rPr>
                <w:rFonts w:asciiTheme="minorHAnsi" w:hAnsiTheme="minorHAnsi" w:cstheme="minorHAnsi"/>
                <w:highlight w:val="yellow"/>
              </w:rPr>
              <w:fldChar w:fldCharType="end"/>
            </w:r>
            <w:r w:rsidR="00DD0D11" w:rsidRPr="00BD6C5F">
              <w:rPr>
                <w:rFonts w:asciiTheme="minorHAnsi" w:hAnsiTheme="minorHAnsi" w:cstheme="minorHAnsi"/>
                <w:shd w:val="clear" w:color="auto" w:fill="FFFF00"/>
              </w:rPr>
              <w:t xml:space="preserve"> </w:t>
            </w:r>
            <w:r w:rsidRPr="00BD6C5F">
              <w:rPr>
                <w:rFonts w:asciiTheme="minorHAnsi" w:hAnsiTheme="minorHAnsi" w:cstheme="minorHAnsi"/>
                <w:shd w:val="clear" w:color="auto" w:fill="FFFF00"/>
              </w:rPr>
              <w:t>(</w:t>
            </w:r>
            <w:r w:rsidRPr="00BD6C5F">
              <w:rPr>
                <w:rFonts w:asciiTheme="minorHAnsi" w:hAnsiTheme="minorHAnsi" w:cstheme="minorHAnsi"/>
                <w:i/>
                <w:shd w:val="clear" w:color="auto" w:fill="FFFF00"/>
              </w:rPr>
              <w:t>Services</w:t>
            </w:r>
            <w:r w:rsidRPr="00BD6C5F">
              <w:rPr>
                <w:rFonts w:asciiTheme="minorHAnsi" w:hAnsiTheme="minorHAnsi" w:cstheme="minorHAnsi"/>
                <w:i/>
              </w:rPr>
              <w:t xml:space="preserve"> </w:t>
            </w:r>
            <w:r w:rsidRPr="00BD6C5F">
              <w:rPr>
                <w:rFonts w:asciiTheme="minorHAnsi" w:hAnsiTheme="minorHAnsi" w:cstheme="minorHAnsi"/>
                <w:i/>
                <w:shd w:val="clear" w:color="auto" w:fill="FFFF00"/>
              </w:rPr>
              <w:t>Description</w:t>
            </w:r>
            <w:r w:rsidRPr="00BD6C5F">
              <w:rPr>
                <w:rFonts w:asciiTheme="minorHAnsi" w:hAnsiTheme="minorHAnsi" w:cstheme="minorHAnsi"/>
                <w:shd w:val="clear" w:color="auto" w:fill="FFFF00"/>
              </w:rPr>
              <w:t>)]</w:t>
            </w:r>
          </w:p>
        </w:tc>
        <w:tc>
          <w:tcPr>
            <w:tcW w:w="1701" w:type="dxa"/>
          </w:tcPr>
          <w:p w14:paraId="64A4C8C2" w14:textId="77777777" w:rsidR="00BC7DDA" w:rsidRPr="00BD6C5F" w:rsidRDefault="00BC7DDA" w:rsidP="00AD7DD0">
            <w:pPr>
              <w:pStyle w:val="Tabletext"/>
              <w:rPr>
                <w:rFonts w:asciiTheme="minorHAnsi" w:hAnsiTheme="minorHAnsi" w:cstheme="minorHAnsi"/>
              </w:rPr>
            </w:pPr>
          </w:p>
        </w:tc>
        <w:tc>
          <w:tcPr>
            <w:tcW w:w="2665" w:type="dxa"/>
          </w:tcPr>
          <w:p w14:paraId="20B696A4"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Target Performance Level: [</w:t>
            </w:r>
            <w:r w:rsidRPr="00BD6C5F">
              <w:rPr>
                <w:rFonts w:asciiTheme="minorHAnsi" w:hAnsiTheme="minorHAnsi" w:cstheme="minorHAnsi"/>
                <w:highlight w:val="yellow"/>
              </w:rPr>
              <w:t>xx%</w:t>
            </w:r>
            <w:r w:rsidRPr="00BD6C5F">
              <w:rPr>
                <w:rFonts w:asciiTheme="minorHAnsi" w:hAnsiTheme="minorHAnsi" w:cstheme="minorHAnsi"/>
              </w:rPr>
              <w:t>]</w:t>
            </w:r>
          </w:p>
          <w:p w14:paraId="6ACC8740"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rPr>
              <w:t>Service Threshold: [</w:t>
            </w:r>
            <w:r w:rsidRPr="00BD6C5F">
              <w:rPr>
                <w:rFonts w:asciiTheme="minorHAnsi" w:hAnsiTheme="minorHAnsi" w:cstheme="minorHAnsi"/>
                <w:highlight w:val="yellow"/>
              </w:rPr>
              <w:t>xx%</w:t>
            </w:r>
            <w:r w:rsidRPr="00BD6C5F">
              <w:rPr>
                <w:rFonts w:asciiTheme="minorHAnsi" w:hAnsiTheme="minorHAnsi" w:cstheme="minorHAnsi"/>
              </w:rPr>
              <w:t>]</w:t>
            </w:r>
          </w:p>
        </w:tc>
        <w:tc>
          <w:tcPr>
            <w:tcW w:w="4762" w:type="dxa"/>
          </w:tcPr>
          <w:p w14:paraId="436D8A7A" w14:textId="77777777" w:rsidR="00BC7DDA" w:rsidRPr="00BD6C5F" w:rsidRDefault="009B03E9" w:rsidP="00AD7DD0">
            <w:pPr>
              <w:pStyle w:val="Tabletext"/>
              <w:rPr>
                <w:rFonts w:asciiTheme="minorHAnsi" w:hAnsiTheme="minorHAnsi" w:cstheme="minorHAnsi"/>
              </w:rPr>
            </w:pPr>
            <w:r w:rsidRPr="00BD6C5F">
              <w:rPr>
                <w:rFonts w:asciiTheme="minorHAnsi" w:hAnsiTheme="minorHAnsi" w:cstheme="minorHAnsi"/>
                <w:shd w:val="clear" w:color="auto" w:fill="FFFF00"/>
              </w:rPr>
              <w:t>[YES/NO]</w:t>
            </w:r>
          </w:p>
        </w:tc>
      </w:tr>
      <w:tr w:rsidR="000774DB" w:rsidRPr="00BD6C5F" w14:paraId="6E92F45B" w14:textId="77777777" w:rsidTr="00D5651E">
        <w:trPr>
          <w:trHeight w:val="20"/>
        </w:trPr>
        <w:tc>
          <w:tcPr>
            <w:tcW w:w="737" w:type="dxa"/>
          </w:tcPr>
          <w:p w14:paraId="3D64E7DD" w14:textId="5CDA5268" w:rsidR="000774DB" w:rsidRPr="00BD6C5F" w:rsidRDefault="000774DB" w:rsidP="00AD7DD0">
            <w:pPr>
              <w:pStyle w:val="Tabletext"/>
              <w:rPr>
                <w:rFonts w:asciiTheme="minorHAnsi" w:hAnsiTheme="minorHAnsi" w:cstheme="minorHAnsi"/>
              </w:rPr>
            </w:pPr>
            <w:r w:rsidRPr="00BD6C5F">
              <w:rPr>
                <w:rFonts w:asciiTheme="minorHAnsi" w:hAnsiTheme="minorHAnsi" w:cstheme="minorHAnsi"/>
              </w:rPr>
              <w:t>PI3</w:t>
            </w:r>
          </w:p>
        </w:tc>
        <w:tc>
          <w:tcPr>
            <w:tcW w:w="3572" w:type="dxa"/>
          </w:tcPr>
          <w:p w14:paraId="39F80F28" w14:textId="77777777" w:rsidR="000774DB" w:rsidRPr="00BD6C5F" w:rsidRDefault="000774DB" w:rsidP="00AD7DD0">
            <w:pPr>
              <w:pStyle w:val="Tabletext"/>
              <w:pBdr>
                <w:top w:val="nil"/>
                <w:left w:val="nil"/>
                <w:bottom w:val="nil"/>
                <w:right w:val="nil"/>
                <w:between w:val="nil"/>
              </w:pBdr>
              <w:rPr>
                <w:rFonts w:asciiTheme="minorHAnsi" w:hAnsiTheme="minorHAnsi" w:cstheme="minorHAnsi"/>
              </w:rPr>
            </w:pPr>
            <w:r w:rsidRPr="00BD6C5F">
              <w:rPr>
                <w:rFonts w:asciiTheme="minorHAnsi" w:hAnsiTheme="minorHAnsi" w:cstheme="minorHAnsi"/>
                <w:highlight w:val="yellow"/>
              </w:rPr>
              <w:t>[Social Value PI]</w:t>
            </w:r>
          </w:p>
          <w:p w14:paraId="7C6A3FAE" w14:textId="77777777" w:rsidR="000774DB" w:rsidRPr="00BD6C5F" w:rsidRDefault="000774DB" w:rsidP="00AD7DD0">
            <w:pPr>
              <w:pStyle w:val="Tabletext"/>
              <w:pBdr>
                <w:top w:val="nil"/>
                <w:left w:val="nil"/>
                <w:bottom w:val="nil"/>
                <w:right w:val="nil"/>
                <w:between w:val="nil"/>
              </w:pBdr>
              <w:rPr>
                <w:rFonts w:asciiTheme="minorHAnsi" w:hAnsiTheme="minorHAnsi" w:cstheme="minorHAnsi"/>
              </w:rPr>
            </w:pPr>
          </w:p>
          <w:p w14:paraId="631FD004" w14:textId="62AE06FD" w:rsidR="000774DB" w:rsidRPr="00BD6C5F" w:rsidRDefault="000774DB" w:rsidP="00AD7DD0">
            <w:pPr>
              <w:pStyle w:val="Tabletext"/>
              <w:rPr>
                <w:rFonts w:asciiTheme="minorHAnsi" w:hAnsiTheme="minorHAnsi" w:cstheme="minorHAnsi"/>
                <w:shd w:val="clear" w:color="auto" w:fill="FFFF00"/>
              </w:rPr>
            </w:pPr>
            <w:r w:rsidRPr="00BD6C5F">
              <w:rPr>
                <w:rFonts w:asciiTheme="minorHAnsi" w:hAnsiTheme="minorHAnsi" w:cstheme="minorHAnsi"/>
                <w:highlight w:val="yellow"/>
              </w:rPr>
              <w:t>[</w:t>
            </w:r>
            <w:r w:rsidRPr="00B13C04">
              <w:rPr>
                <w:rFonts w:asciiTheme="minorHAnsi" w:hAnsiTheme="minorHAnsi" w:cstheme="minorHAnsi"/>
                <w:b/>
                <w:bCs/>
                <w:i/>
                <w:iCs/>
                <w:highlight w:val="yellow"/>
              </w:rPr>
              <w:t xml:space="preserve">Guidance: Contracting authorities should consider carefully whether the Social Value targets chosen should be KPIs or PIs. In a market with a mature understanding and offerings around Social Value, designating them as KPIs will be appropriate (i.e. </w:t>
            </w:r>
            <w:r w:rsidRPr="00B13C04">
              <w:rPr>
                <w:rFonts w:asciiTheme="minorHAnsi" w:hAnsiTheme="minorHAnsi" w:cstheme="minorHAnsi"/>
                <w:b/>
                <w:bCs/>
                <w:i/>
                <w:iCs/>
                <w:highlight w:val="yellow"/>
              </w:rPr>
              <w:lastRenderedPageBreak/>
              <w:t>allowing for Service Credits to be used as a remedy). In a less mature market, they should be PIs (i.e. making plans for rectification the main remedy and with the ability to withhold a proportionate amount of Service Charges until the PI failure is rectified in the case of material failure</w:t>
            </w:r>
            <w:r w:rsidRPr="00BD6C5F">
              <w:rPr>
                <w:rFonts w:asciiTheme="minorHAnsi" w:hAnsiTheme="minorHAnsi" w:cstheme="minorHAnsi"/>
              </w:rPr>
              <w:t>]</w:t>
            </w:r>
          </w:p>
        </w:tc>
        <w:tc>
          <w:tcPr>
            <w:tcW w:w="1701" w:type="dxa"/>
          </w:tcPr>
          <w:p w14:paraId="567C1546" w14:textId="3F357FD3" w:rsidR="000774DB" w:rsidRPr="00BD6C5F" w:rsidRDefault="000774DB" w:rsidP="00AD7DD0">
            <w:pPr>
              <w:pStyle w:val="Tabletext"/>
              <w:rPr>
                <w:rFonts w:asciiTheme="minorHAnsi" w:hAnsiTheme="minorHAnsi" w:cstheme="minorHAnsi"/>
                <w:shd w:val="clear" w:color="auto" w:fill="FFFF00"/>
              </w:rPr>
            </w:pPr>
            <w:r w:rsidRPr="00BD6C5F">
              <w:rPr>
                <w:rFonts w:asciiTheme="minorHAnsi" w:hAnsiTheme="minorHAnsi" w:cstheme="minorHAnsi"/>
                <w:highlight w:val="yellow"/>
              </w:rPr>
              <w:lastRenderedPageBreak/>
              <w:t xml:space="preserve">[See </w:t>
            </w:r>
            <w:r w:rsidR="00484523" w:rsidRPr="00484523">
              <w:rPr>
                <w:rFonts w:asciiTheme="minorHAnsi" w:hAnsiTheme="minorHAnsi" w:cstheme="minorHAnsi"/>
                <w:highlight w:val="yellow"/>
              </w:rPr>
              <w:t>Schedule </w:t>
            </w:r>
            <w:r w:rsidR="00484523" w:rsidRPr="00484523">
              <w:rPr>
                <w:rFonts w:asciiTheme="minorHAnsi" w:hAnsiTheme="minorHAnsi" w:cstheme="minorHAnsi"/>
                <w:highlight w:val="yellow"/>
              </w:rPr>
              <w:fldChar w:fldCharType="begin"/>
            </w:r>
            <w:r w:rsidR="00484523" w:rsidRPr="00484523">
              <w:rPr>
                <w:rFonts w:asciiTheme="minorHAnsi" w:hAnsiTheme="minorHAnsi" w:cstheme="minorHAnsi"/>
                <w:highlight w:val="yellow"/>
              </w:rPr>
              <w:instrText xml:space="preserve"> REF Schedule_2 \h </w:instrText>
            </w:r>
            <w:r w:rsidR="00484523">
              <w:rPr>
                <w:rFonts w:asciiTheme="minorHAnsi" w:hAnsiTheme="minorHAnsi" w:cstheme="minorHAnsi"/>
                <w:highlight w:val="yellow"/>
              </w:rPr>
              <w:instrText xml:space="preserve"> \* MERGEFORMAT </w:instrText>
            </w:r>
            <w:r w:rsidR="00484523" w:rsidRPr="00484523">
              <w:rPr>
                <w:rFonts w:asciiTheme="minorHAnsi" w:hAnsiTheme="minorHAnsi" w:cstheme="minorHAnsi"/>
                <w:highlight w:val="yellow"/>
              </w:rPr>
            </w:r>
            <w:r w:rsidR="00484523" w:rsidRPr="00484523">
              <w:rPr>
                <w:rFonts w:asciiTheme="minorHAnsi" w:hAnsiTheme="minorHAnsi" w:cstheme="minorHAnsi"/>
                <w:highlight w:val="yellow"/>
              </w:rPr>
              <w:fldChar w:fldCharType="separate"/>
            </w:r>
            <w:r w:rsidR="009749A0" w:rsidRPr="00B664D1">
              <w:rPr>
                <w:highlight w:val="yellow"/>
              </w:rPr>
              <w:t>2</w:t>
            </w:r>
            <w:r w:rsidR="00484523" w:rsidRPr="00484523">
              <w:rPr>
                <w:rFonts w:asciiTheme="minorHAnsi" w:hAnsiTheme="minorHAnsi" w:cstheme="minorHAnsi"/>
                <w:highlight w:val="yellow"/>
              </w:rPr>
              <w:fldChar w:fldCharType="end"/>
            </w:r>
            <w:r w:rsidRPr="00BD6C5F">
              <w:rPr>
                <w:rFonts w:asciiTheme="minorHAnsi" w:hAnsiTheme="minorHAnsi" w:cstheme="minorHAnsi"/>
                <w:highlight w:val="yellow"/>
              </w:rPr>
              <w:t xml:space="preserve"> (</w:t>
            </w:r>
            <w:r w:rsidRPr="00BD6C5F">
              <w:rPr>
                <w:rFonts w:asciiTheme="minorHAnsi" w:hAnsiTheme="minorHAnsi" w:cstheme="minorHAnsi"/>
                <w:i/>
                <w:highlight w:val="yellow"/>
              </w:rPr>
              <w:t>Services Description</w:t>
            </w:r>
            <w:r w:rsidRPr="00BD6C5F">
              <w:rPr>
                <w:rFonts w:asciiTheme="minorHAnsi" w:hAnsiTheme="minorHAnsi" w:cstheme="minorHAnsi"/>
                <w:highlight w:val="yellow"/>
              </w:rPr>
              <w:t>)]</w:t>
            </w:r>
          </w:p>
        </w:tc>
        <w:tc>
          <w:tcPr>
            <w:tcW w:w="1701" w:type="dxa"/>
          </w:tcPr>
          <w:p w14:paraId="714906E1" w14:textId="77777777" w:rsidR="000774DB" w:rsidRPr="00BD6C5F" w:rsidRDefault="000774DB" w:rsidP="00AD7DD0">
            <w:pPr>
              <w:pStyle w:val="Tabletext"/>
              <w:rPr>
                <w:rFonts w:asciiTheme="minorHAnsi" w:hAnsiTheme="minorHAnsi" w:cstheme="minorHAnsi"/>
              </w:rPr>
            </w:pPr>
          </w:p>
        </w:tc>
        <w:tc>
          <w:tcPr>
            <w:tcW w:w="2665" w:type="dxa"/>
          </w:tcPr>
          <w:p w14:paraId="5FF4CC90" w14:textId="196D7981" w:rsidR="000774DB" w:rsidRPr="00BD6C5F" w:rsidRDefault="000774DB" w:rsidP="00AD7DD0">
            <w:pPr>
              <w:pStyle w:val="Tabletext"/>
              <w:pBdr>
                <w:top w:val="nil"/>
                <w:left w:val="nil"/>
                <w:bottom w:val="nil"/>
                <w:right w:val="nil"/>
                <w:between w:val="nil"/>
              </w:pBdr>
              <w:rPr>
                <w:rFonts w:asciiTheme="minorHAnsi" w:hAnsiTheme="minorHAnsi" w:cstheme="minorHAnsi"/>
              </w:rPr>
            </w:pPr>
            <w:r w:rsidRPr="00BD6C5F">
              <w:rPr>
                <w:rFonts w:asciiTheme="minorHAnsi" w:hAnsiTheme="minorHAnsi" w:cstheme="minorHAnsi"/>
              </w:rPr>
              <w:t>Target Performance Level:</w:t>
            </w:r>
            <w:r w:rsidR="00D5651E" w:rsidRPr="00BD6C5F">
              <w:rPr>
                <w:rFonts w:asciiTheme="minorHAnsi" w:hAnsiTheme="minorHAnsi" w:cstheme="minorHAnsi"/>
              </w:rPr>
              <w:t xml:space="preserve"> </w:t>
            </w:r>
            <w:r w:rsidRPr="00BD6C5F">
              <w:rPr>
                <w:rFonts w:asciiTheme="minorHAnsi" w:hAnsiTheme="minorHAnsi" w:cstheme="minorHAnsi"/>
                <w:highlight w:val="yellow"/>
              </w:rPr>
              <w:t>[xx%]</w:t>
            </w:r>
          </w:p>
          <w:p w14:paraId="1999C786" w14:textId="5CF75AF4" w:rsidR="000774DB" w:rsidRPr="00BD6C5F" w:rsidRDefault="000774DB" w:rsidP="00AD7DD0">
            <w:pPr>
              <w:pStyle w:val="Tabletext"/>
              <w:rPr>
                <w:rFonts w:asciiTheme="minorHAnsi" w:hAnsiTheme="minorHAnsi" w:cstheme="minorHAnsi"/>
              </w:rPr>
            </w:pPr>
            <w:r w:rsidRPr="00BD6C5F">
              <w:rPr>
                <w:rFonts w:asciiTheme="minorHAnsi" w:hAnsiTheme="minorHAnsi" w:cstheme="minorHAnsi"/>
              </w:rPr>
              <w:t xml:space="preserve">Service Threshold: </w:t>
            </w:r>
            <w:r w:rsidRPr="00BD6C5F">
              <w:rPr>
                <w:rFonts w:asciiTheme="minorHAnsi" w:hAnsiTheme="minorHAnsi" w:cstheme="minorHAnsi"/>
                <w:highlight w:val="yellow"/>
              </w:rPr>
              <w:t>[xx%]</w:t>
            </w:r>
          </w:p>
        </w:tc>
        <w:tc>
          <w:tcPr>
            <w:tcW w:w="4762" w:type="dxa"/>
          </w:tcPr>
          <w:p w14:paraId="3B8814CE" w14:textId="18692B2B" w:rsidR="000774DB" w:rsidRPr="00BD6C5F" w:rsidRDefault="000774DB" w:rsidP="00AD7DD0">
            <w:pPr>
              <w:pStyle w:val="Tabletext"/>
              <w:rPr>
                <w:rFonts w:asciiTheme="minorHAnsi" w:hAnsiTheme="minorHAnsi" w:cstheme="minorHAnsi"/>
                <w:shd w:val="clear" w:color="auto" w:fill="FFFF00"/>
              </w:rPr>
            </w:pPr>
            <w:r w:rsidRPr="00BD6C5F">
              <w:rPr>
                <w:rFonts w:asciiTheme="minorHAnsi" w:hAnsiTheme="minorHAnsi" w:cstheme="minorHAnsi"/>
                <w:highlight w:val="yellow"/>
              </w:rPr>
              <w:t>[YES/NO]</w:t>
            </w:r>
          </w:p>
        </w:tc>
      </w:tr>
    </w:tbl>
    <w:p w14:paraId="72BA30DE" w14:textId="1E748C4E" w:rsidR="00BC7DDA" w:rsidRPr="00BD6C5F" w:rsidRDefault="00BC7DDA" w:rsidP="00F56251">
      <w:pPr>
        <w:rPr>
          <w:rFonts w:asciiTheme="minorHAnsi" w:hAnsiTheme="minorHAnsi" w:cstheme="minorHAnsi"/>
        </w:rPr>
      </w:pPr>
    </w:p>
    <w:p w14:paraId="6BF1B586" w14:textId="46710FEB" w:rsidR="00BC7DDA" w:rsidRPr="00544A20" w:rsidRDefault="006647C3" w:rsidP="00544A20">
      <w:pPr>
        <w:pStyle w:val="Heading3"/>
      </w:pPr>
      <w:bookmarkStart w:id="103" w:name="_bookmark36"/>
      <w:bookmarkEnd w:id="103"/>
      <w:r w:rsidRPr="00BD6C5F">
        <w:lastRenderedPageBreak/>
        <w:t>Optional Services</w:t>
      </w:r>
    </w:p>
    <w:p w14:paraId="32CDBFB4" w14:textId="77777777" w:rsidR="00BC7DDA" w:rsidRPr="00BD6C5F" w:rsidRDefault="009B03E9" w:rsidP="00D5651E">
      <w:pPr>
        <w:keepNext/>
        <w:keepLines/>
        <w:rPr>
          <w:rFonts w:asciiTheme="minorHAnsi" w:hAnsiTheme="minorHAnsi" w:cstheme="minorHAnsi"/>
        </w:rPr>
      </w:pPr>
      <w:r w:rsidRPr="00BD6C5F">
        <w:rPr>
          <w:rFonts w:asciiTheme="minorHAnsi" w:hAnsiTheme="minorHAnsi" w:cstheme="minorHAnsi"/>
        </w:rPr>
        <w:t>The Key Performance Indicators and Subsidiary Performance Indicators that shall apply to the Optional Services are set out below:</w:t>
      </w:r>
    </w:p>
    <w:p w14:paraId="1A403722" w14:textId="104515FB" w:rsidR="00BC7DDA" w:rsidRPr="00BD6C5F" w:rsidRDefault="009B03E9" w:rsidP="006220B3">
      <w:pPr>
        <w:pStyle w:val="AppendixText1"/>
      </w:pPr>
      <w:r w:rsidRPr="00BD6C5F">
        <w:t>Key Performance Indicators</w:t>
      </w:r>
    </w:p>
    <w:tbl>
      <w:tblPr>
        <w:tblStyle w:val="MSATable-header"/>
        <w:tblW w:w="15273" w:type="dxa"/>
        <w:tblLayout w:type="fixed"/>
        <w:tblLook w:val="01E0" w:firstRow="1" w:lastRow="1" w:firstColumn="1" w:lastColumn="1" w:noHBand="0" w:noVBand="0"/>
      </w:tblPr>
      <w:tblGrid>
        <w:gridCol w:w="794"/>
        <w:gridCol w:w="2268"/>
        <w:gridCol w:w="1701"/>
        <w:gridCol w:w="1701"/>
        <w:gridCol w:w="3402"/>
        <w:gridCol w:w="985"/>
        <w:gridCol w:w="4422"/>
      </w:tblGrid>
      <w:tr w:rsidR="00BC7DDA" w:rsidRPr="00BD6C5F" w14:paraId="4AE3B61C" w14:textId="77777777" w:rsidTr="00583A8A">
        <w:trPr>
          <w:cnfStyle w:val="100000000000" w:firstRow="1" w:lastRow="0" w:firstColumn="0" w:lastColumn="0" w:oddVBand="0" w:evenVBand="0" w:oddHBand="0" w:evenHBand="0" w:firstRowFirstColumn="0" w:firstRowLastColumn="0" w:lastRowFirstColumn="0" w:lastRowLastColumn="0"/>
          <w:trHeight w:val="20"/>
          <w:tblHeader/>
        </w:trPr>
        <w:tc>
          <w:tcPr>
            <w:tcW w:w="794" w:type="dxa"/>
          </w:tcPr>
          <w:p w14:paraId="229AA6E3"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No.</w:t>
            </w:r>
          </w:p>
        </w:tc>
        <w:tc>
          <w:tcPr>
            <w:tcW w:w="2268" w:type="dxa"/>
          </w:tcPr>
          <w:p w14:paraId="22012530"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Key Performance Indicator Title</w:t>
            </w:r>
          </w:p>
        </w:tc>
        <w:tc>
          <w:tcPr>
            <w:tcW w:w="1701" w:type="dxa"/>
          </w:tcPr>
          <w:p w14:paraId="20FC6A4C"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Definition</w:t>
            </w:r>
          </w:p>
        </w:tc>
        <w:tc>
          <w:tcPr>
            <w:tcW w:w="1701" w:type="dxa"/>
          </w:tcPr>
          <w:p w14:paraId="0E86A082"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Frequency of Measurement</w:t>
            </w:r>
          </w:p>
        </w:tc>
        <w:tc>
          <w:tcPr>
            <w:tcW w:w="3402" w:type="dxa"/>
          </w:tcPr>
          <w:p w14:paraId="5DC845DC"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Severity Levels</w:t>
            </w:r>
          </w:p>
        </w:tc>
        <w:tc>
          <w:tcPr>
            <w:tcW w:w="985" w:type="dxa"/>
          </w:tcPr>
          <w:p w14:paraId="672CF052"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Service Points</w:t>
            </w:r>
          </w:p>
        </w:tc>
        <w:tc>
          <w:tcPr>
            <w:tcW w:w="4422" w:type="dxa"/>
          </w:tcPr>
          <w:p w14:paraId="420C6D1B" w14:textId="77777777" w:rsidR="00BC7DDA" w:rsidRPr="00BD6C5F" w:rsidRDefault="009B03E9" w:rsidP="00D5651E">
            <w:pPr>
              <w:pStyle w:val="Tabletext"/>
              <w:rPr>
                <w:rFonts w:asciiTheme="minorHAnsi" w:hAnsiTheme="minorHAnsi" w:cstheme="minorHAnsi"/>
              </w:rPr>
            </w:pPr>
            <w:r w:rsidRPr="00BD6C5F">
              <w:rPr>
                <w:rFonts w:asciiTheme="minorHAnsi" w:hAnsiTheme="minorHAnsi" w:cstheme="minorHAnsi"/>
              </w:rPr>
              <w:t>Publishable Performance Information</w:t>
            </w:r>
          </w:p>
          <w:p w14:paraId="71C26D30" w14:textId="3E053AA5" w:rsidR="00BC7DDA" w:rsidRPr="00BD6C5F" w:rsidRDefault="00D90FA5" w:rsidP="00D5651E">
            <w:pPr>
              <w:pStyle w:val="Tabletext"/>
              <w:rPr>
                <w:rFonts w:asciiTheme="minorHAnsi" w:hAnsiTheme="minorHAnsi" w:cstheme="minorHAnsi"/>
                <w:b w:val="0"/>
                <w:i/>
              </w:rPr>
            </w:pPr>
            <w:r w:rsidRPr="00BD6C5F">
              <w:rPr>
                <w:rFonts w:asciiTheme="minorHAnsi" w:hAnsiTheme="minorHAnsi" w:cstheme="minorHAnsi"/>
                <w:b w:val="0"/>
                <w:iCs/>
                <w:sz w:val="20"/>
                <w:szCs w:val="20"/>
                <w:highlight w:val="yellow"/>
              </w:rPr>
              <w:t>[</w:t>
            </w:r>
            <w:r w:rsidRPr="00B13C04">
              <w:rPr>
                <w:rFonts w:asciiTheme="minorHAnsi" w:hAnsiTheme="minorHAnsi" w:cstheme="minorHAnsi"/>
                <w:bCs/>
                <w:i/>
                <w:sz w:val="20"/>
                <w:szCs w:val="20"/>
                <w:highlight w:val="yellow"/>
              </w:rPr>
              <w:t xml:space="preserve">Guidance: It is HMG’s intention to publish the top KPIs in the vast majority of contracts. The </w:t>
            </w:r>
            <w:r w:rsidRPr="00B13C04">
              <w:rPr>
                <w:rFonts w:asciiTheme="minorHAnsi" w:hAnsiTheme="minorHAnsi" w:cstheme="minorHAnsi"/>
                <w:bCs/>
                <w:i/>
                <w:spacing w:val="-2"/>
                <w:sz w:val="20"/>
                <w:szCs w:val="20"/>
                <w:highlight w:val="yellow"/>
              </w:rPr>
              <w:t>Authority must select at least three KPI/PIs which</w:t>
            </w:r>
            <w:r w:rsidRPr="00B13C04">
              <w:rPr>
                <w:rFonts w:asciiTheme="minorHAnsi" w:hAnsiTheme="minorHAnsi" w:cstheme="minorHAnsi"/>
                <w:bCs/>
                <w:i/>
                <w:sz w:val="20"/>
                <w:szCs w:val="20"/>
                <w:highlight w:val="yellow"/>
              </w:rPr>
              <w:t xml:space="preserve"> shall be publishable and also must select the single most important Social Value KPI/PI, which shall be publishable (four KPIs/PIs in total)]</w:t>
            </w:r>
            <w:r w:rsidRPr="00BD6C5F">
              <w:rPr>
                <w:rFonts w:asciiTheme="minorHAnsi" w:hAnsiTheme="minorHAnsi" w:cstheme="minorHAnsi"/>
                <w:b w:val="0"/>
                <w:iCs/>
                <w:sz w:val="20"/>
                <w:szCs w:val="20"/>
                <w:highlight w:val="yellow"/>
              </w:rPr>
              <w:t>]</w:t>
            </w:r>
          </w:p>
        </w:tc>
      </w:tr>
      <w:tr w:rsidR="00D5651E" w:rsidRPr="00BD6C5F" w14:paraId="40ED4DE2" w14:textId="77777777" w:rsidTr="00583A8A">
        <w:trPr>
          <w:trHeight w:val="20"/>
        </w:trPr>
        <w:tc>
          <w:tcPr>
            <w:tcW w:w="794" w:type="dxa"/>
          </w:tcPr>
          <w:p w14:paraId="1CCE2AC3"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KPI1</w:t>
            </w:r>
          </w:p>
        </w:tc>
        <w:tc>
          <w:tcPr>
            <w:tcW w:w="2268" w:type="dxa"/>
          </w:tcPr>
          <w:p w14:paraId="2C4B4578"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 ]</w:t>
            </w:r>
          </w:p>
        </w:tc>
        <w:tc>
          <w:tcPr>
            <w:tcW w:w="1701" w:type="dxa"/>
          </w:tcPr>
          <w:p w14:paraId="5EB4E322"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 ]</w:t>
            </w:r>
          </w:p>
        </w:tc>
        <w:tc>
          <w:tcPr>
            <w:tcW w:w="1701" w:type="dxa"/>
          </w:tcPr>
          <w:p w14:paraId="5C7A87AF" w14:textId="77777777" w:rsidR="00D5651E" w:rsidRPr="00BD6C5F" w:rsidRDefault="00D5651E" w:rsidP="00D5651E">
            <w:pPr>
              <w:pStyle w:val="Tabletext"/>
              <w:rPr>
                <w:rFonts w:asciiTheme="minorHAnsi" w:hAnsiTheme="minorHAnsi" w:cstheme="minorHAnsi"/>
              </w:rPr>
            </w:pPr>
          </w:p>
        </w:tc>
        <w:tc>
          <w:tcPr>
            <w:tcW w:w="3402" w:type="dxa"/>
          </w:tcPr>
          <w:p w14:paraId="37FC18AA"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shd w:val="clear" w:color="auto" w:fill="FFFF00"/>
              </w:rPr>
              <w:t>[ ]</w:t>
            </w:r>
          </w:p>
          <w:p w14:paraId="5D4B0E84"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 xml:space="preserve">Minor KPI Failure: </w:t>
            </w:r>
            <w:r w:rsidRPr="00BD6C5F">
              <w:rPr>
                <w:rFonts w:asciiTheme="minorHAnsi" w:hAnsiTheme="minorHAnsi" w:cstheme="minorHAnsi"/>
                <w:shd w:val="clear" w:color="auto" w:fill="FFFF00"/>
              </w:rPr>
              <w:t>[ ]</w:t>
            </w:r>
          </w:p>
          <w:p w14:paraId="2378D936"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 xml:space="preserve">Serious KPI Failure: </w:t>
            </w:r>
            <w:r w:rsidRPr="00BD6C5F">
              <w:rPr>
                <w:rFonts w:asciiTheme="minorHAnsi" w:hAnsiTheme="minorHAnsi" w:cstheme="minorHAnsi"/>
                <w:shd w:val="clear" w:color="auto" w:fill="FFFF00"/>
              </w:rPr>
              <w:t>[ ]</w:t>
            </w:r>
          </w:p>
          <w:p w14:paraId="6E31BEBC"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 xml:space="preserve">Severe KPI Failure: </w:t>
            </w:r>
            <w:r w:rsidRPr="00BD6C5F">
              <w:rPr>
                <w:rFonts w:asciiTheme="minorHAnsi" w:hAnsiTheme="minorHAnsi" w:cstheme="minorHAnsi"/>
                <w:shd w:val="clear" w:color="auto" w:fill="FFFF00"/>
              </w:rPr>
              <w:t>[ ]</w:t>
            </w:r>
          </w:p>
          <w:p w14:paraId="63B439D6" w14:textId="056F3580"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rPr>
              <w:t xml:space="preserve">Service Threshold: </w:t>
            </w:r>
            <w:r w:rsidRPr="00BD6C5F">
              <w:rPr>
                <w:rFonts w:asciiTheme="minorHAnsi" w:hAnsiTheme="minorHAnsi" w:cstheme="minorHAnsi"/>
                <w:shd w:val="clear" w:color="auto" w:fill="FFFF00"/>
              </w:rPr>
              <w:t>[ ]</w:t>
            </w:r>
          </w:p>
        </w:tc>
        <w:tc>
          <w:tcPr>
            <w:tcW w:w="985" w:type="dxa"/>
          </w:tcPr>
          <w:p w14:paraId="7FF2AC43"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w w:val="99"/>
              </w:rPr>
              <w:t>0</w:t>
            </w:r>
          </w:p>
          <w:p w14:paraId="1BC78FD6"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[1]</w:t>
            </w:r>
          </w:p>
          <w:p w14:paraId="51E5C435"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[2]</w:t>
            </w:r>
          </w:p>
          <w:p w14:paraId="76A4F952"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[3]</w:t>
            </w:r>
          </w:p>
          <w:p w14:paraId="141BAAD9" w14:textId="31FDB75A"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[4]</w:t>
            </w:r>
          </w:p>
        </w:tc>
        <w:tc>
          <w:tcPr>
            <w:tcW w:w="4422" w:type="dxa"/>
          </w:tcPr>
          <w:p w14:paraId="04761416" w14:textId="77777777" w:rsidR="00D5651E" w:rsidRPr="00BD6C5F" w:rsidRDefault="00D5651E" w:rsidP="00D5651E">
            <w:pPr>
              <w:pStyle w:val="Tabletext"/>
              <w:rPr>
                <w:rFonts w:asciiTheme="minorHAnsi" w:hAnsiTheme="minorHAnsi" w:cstheme="minorHAnsi"/>
              </w:rPr>
            </w:pPr>
            <w:r w:rsidRPr="00BD6C5F">
              <w:rPr>
                <w:rFonts w:asciiTheme="minorHAnsi" w:hAnsiTheme="minorHAnsi" w:cstheme="minorHAnsi"/>
                <w:shd w:val="clear" w:color="auto" w:fill="FFFF00"/>
              </w:rPr>
              <w:t>[YES/NO]</w:t>
            </w:r>
          </w:p>
        </w:tc>
      </w:tr>
    </w:tbl>
    <w:p w14:paraId="0B4711F5" w14:textId="1AEF1EE0" w:rsidR="00BC7DDA" w:rsidRPr="00BD6C5F" w:rsidRDefault="00BC7DDA" w:rsidP="00F56251">
      <w:pPr>
        <w:rPr>
          <w:rFonts w:asciiTheme="minorHAnsi" w:hAnsiTheme="minorHAnsi" w:cstheme="minorHAnsi"/>
        </w:rPr>
      </w:pPr>
    </w:p>
    <w:p w14:paraId="408896E1" w14:textId="182809DD" w:rsidR="00BC7DDA" w:rsidRPr="00BD6C5F" w:rsidRDefault="009B03E9" w:rsidP="006220B3">
      <w:pPr>
        <w:pStyle w:val="AppendixText1"/>
      </w:pPr>
      <w:bookmarkStart w:id="104" w:name="_Ref98845357"/>
      <w:r w:rsidRPr="00BD6C5F">
        <w:t>Subsidiary Performance Indicators</w:t>
      </w:r>
      <w:bookmarkEnd w:id="104"/>
    </w:p>
    <w:tbl>
      <w:tblPr>
        <w:tblStyle w:val="MSATable-header"/>
        <w:tblW w:w="15252" w:type="dxa"/>
        <w:tblLayout w:type="fixed"/>
        <w:tblLook w:val="01E0" w:firstRow="1" w:lastRow="1" w:firstColumn="1" w:lastColumn="1" w:noHBand="0" w:noVBand="0"/>
      </w:tblPr>
      <w:tblGrid>
        <w:gridCol w:w="794"/>
        <w:gridCol w:w="2268"/>
        <w:gridCol w:w="1701"/>
        <w:gridCol w:w="1701"/>
        <w:gridCol w:w="3402"/>
        <w:gridCol w:w="5386"/>
      </w:tblGrid>
      <w:tr w:rsidR="007323D5" w:rsidRPr="00BD6C5F" w14:paraId="2D6BEFEF" w14:textId="77777777" w:rsidTr="007323D5">
        <w:trPr>
          <w:cnfStyle w:val="100000000000" w:firstRow="1" w:lastRow="0" w:firstColumn="0" w:lastColumn="0" w:oddVBand="0" w:evenVBand="0" w:oddHBand="0" w:evenHBand="0" w:firstRowFirstColumn="0" w:firstRowLastColumn="0" w:lastRowFirstColumn="0" w:lastRowLastColumn="0"/>
          <w:trHeight w:val="20"/>
          <w:tblHeader/>
        </w:trPr>
        <w:tc>
          <w:tcPr>
            <w:tcW w:w="794" w:type="dxa"/>
          </w:tcPr>
          <w:p w14:paraId="527AFC52"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No.</w:t>
            </w:r>
          </w:p>
        </w:tc>
        <w:tc>
          <w:tcPr>
            <w:tcW w:w="2268" w:type="dxa"/>
          </w:tcPr>
          <w:p w14:paraId="532EC761"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Subsidiary Performance Indicator Title</w:t>
            </w:r>
          </w:p>
        </w:tc>
        <w:tc>
          <w:tcPr>
            <w:tcW w:w="1701" w:type="dxa"/>
          </w:tcPr>
          <w:p w14:paraId="44A3BC2A"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Definition</w:t>
            </w:r>
          </w:p>
        </w:tc>
        <w:tc>
          <w:tcPr>
            <w:tcW w:w="1701" w:type="dxa"/>
          </w:tcPr>
          <w:p w14:paraId="58766E9F"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Frequency of Measurement</w:t>
            </w:r>
          </w:p>
        </w:tc>
        <w:tc>
          <w:tcPr>
            <w:tcW w:w="3402" w:type="dxa"/>
          </w:tcPr>
          <w:p w14:paraId="527EC205"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Severity Levels</w:t>
            </w:r>
          </w:p>
        </w:tc>
        <w:tc>
          <w:tcPr>
            <w:tcW w:w="5386" w:type="dxa"/>
          </w:tcPr>
          <w:p w14:paraId="63E6281C"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Publishable Performance Information</w:t>
            </w:r>
          </w:p>
          <w:p w14:paraId="0F9DA267" w14:textId="5CF4D955" w:rsidR="00BC7DDA" w:rsidRPr="00BD6C5F" w:rsidRDefault="00D90FA5" w:rsidP="007323D5">
            <w:pPr>
              <w:pStyle w:val="Tabletext"/>
              <w:rPr>
                <w:rFonts w:asciiTheme="minorHAnsi" w:hAnsiTheme="minorHAnsi" w:cstheme="minorHAnsi"/>
                <w:b w:val="0"/>
                <w:i/>
              </w:rPr>
            </w:pPr>
            <w:r w:rsidRPr="00BD6C5F">
              <w:rPr>
                <w:rFonts w:asciiTheme="minorHAnsi" w:hAnsiTheme="minorHAnsi" w:cstheme="minorHAnsi"/>
                <w:b w:val="0"/>
                <w:iCs/>
                <w:sz w:val="20"/>
                <w:szCs w:val="20"/>
                <w:highlight w:val="yellow"/>
              </w:rPr>
              <w:t>[</w:t>
            </w:r>
            <w:r w:rsidRPr="00B27A56">
              <w:rPr>
                <w:rFonts w:asciiTheme="minorHAnsi" w:hAnsiTheme="minorHAnsi" w:cstheme="minorHAnsi"/>
                <w:bCs/>
                <w:i/>
                <w:sz w:val="20"/>
                <w:szCs w:val="20"/>
                <w:highlight w:val="yellow"/>
              </w:rPr>
              <w:t xml:space="preserve">Guidance: It is HMG’s intention to publish the top KPIs in the vast majority of contracts. The </w:t>
            </w:r>
            <w:r w:rsidRPr="00B27A56">
              <w:rPr>
                <w:rFonts w:asciiTheme="minorHAnsi" w:hAnsiTheme="minorHAnsi" w:cstheme="minorHAnsi"/>
                <w:bCs/>
                <w:i/>
                <w:spacing w:val="-2"/>
                <w:sz w:val="20"/>
                <w:szCs w:val="20"/>
                <w:highlight w:val="yellow"/>
              </w:rPr>
              <w:t>Authority must select at least three KPI/PIs which</w:t>
            </w:r>
            <w:r w:rsidRPr="00B27A56">
              <w:rPr>
                <w:rFonts w:asciiTheme="minorHAnsi" w:hAnsiTheme="minorHAnsi" w:cstheme="minorHAnsi"/>
                <w:bCs/>
                <w:i/>
                <w:sz w:val="20"/>
                <w:szCs w:val="20"/>
                <w:highlight w:val="yellow"/>
              </w:rPr>
              <w:t xml:space="preserve"> shall be publishable and also must select the single most important Social Value KPI/PI, which shall be publishable (four KPIs/PIs in total)]</w:t>
            </w:r>
            <w:r w:rsidRPr="00BD6C5F">
              <w:rPr>
                <w:rFonts w:asciiTheme="minorHAnsi" w:hAnsiTheme="minorHAnsi" w:cstheme="minorHAnsi"/>
                <w:b w:val="0"/>
                <w:iCs/>
                <w:sz w:val="20"/>
                <w:szCs w:val="20"/>
                <w:highlight w:val="yellow"/>
              </w:rPr>
              <w:t>]</w:t>
            </w:r>
          </w:p>
        </w:tc>
      </w:tr>
      <w:tr w:rsidR="00BC7DDA" w:rsidRPr="00BD6C5F" w14:paraId="450E9A3F" w14:textId="77777777" w:rsidTr="007323D5">
        <w:trPr>
          <w:trHeight w:val="20"/>
        </w:trPr>
        <w:tc>
          <w:tcPr>
            <w:tcW w:w="794" w:type="dxa"/>
          </w:tcPr>
          <w:p w14:paraId="20E0653D"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PI1</w:t>
            </w:r>
          </w:p>
        </w:tc>
        <w:tc>
          <w:tcPr>
            <w:tcW w:w="2268" w:type="dxa"/>
          </w:tcPr>
          <w:p w14:paraId="5B989E97"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shd w:val="clear" w:color="auto" w:fill="FFFF00"/>
              </w:rPr>
              <w:t>[ ]</w:t>
            </w:r>
          </w:p>
        </w:tc>
        <w:tc>
          <w:tcPr>
            <w:tcW w:w="1701" w:type="dxa"/>
          </w:tcPr>
          <w:p w14:paraId="0908E0FF"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shd w:val="clear" w:color="auto" w:fill="FFFF00"/>
              </w:rPr>
              <w:t>[ ]</w:t>
            </w:r>
          </w:p>
        </w:tc>
        <w:tc>
          <w:tcPr>
            <w:tcW w:w="1701" w:type="dxa"/>
          </w:tcPr>
          <w:p w14:paraId="34AC5DD2" w14:textId="77777777" w:rsidR="00BC7DDA" w:rsidRPr="00BD6C5F" w:rsidRDefault="00BC7DDA" w:rsidP="007323D5">
            <w:pPr>
              <w:pStyle w:val="Tabletext"/>
              <w:rPr>
                <w:rFonts w:asciiTheme="minorHAnsi" w:hAnsiTheme="minorHAnsi" w:cstheme="minorHAnsi"/>
              </w:rPr>
            </w:pPr>
          </w:p>
        </w:tc>
        <w:tc>
          <w:tcPr>
            <w:tcW w:w="3402" w:type="dxa"/>
          </w:tcPr>
          <w:p w14:paraId="53980A32"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t xml:space="preserve">Target Performance Level: </w:t>
            </w:r>
            <w:r w:rsidRPr="00BD6C5F">
              <w:rPr>
                <w:rFonts w:asciiTheme="minorHAnsi" w:hAnsiTheme="minorHAnsi" w:cstheme="minorHAnsi"/>
                <w:highlight w:val="yellow"/>
              </w:rPr>
              <w:t>[ ]</w:t>
            </w:r>
          </w:p>
          <w:p w14:paraId="4CBEBB7E"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rPr>
              <w:lastRenderedPageBreak/>
              <w:t xml:space="preserve">Service Threshold: </w:t>
            </w:r>
            <w:r w:rsidRPr="00BD6C5F">
              <w:rPr>
                <w:rFonts w:asciiTheme="minorHAnsi" w:hAnsiTheme="minorHAnsi" w:cstheme="minorHAnsi"/>
                <w:highlight w:val="yellow"/>
              </w:rPr>
              <w:t>[ ]</w:t>
            </w:r>
          </w:p>
        </w:tc>
        <w:tc>
          <w:tcPr>
            <w:tcW w:w="5386" w:type="dxa"/>
          </w:tcPr>
          <w:p w14:paraId="4C2BBD6B" w14:textId="77777777" w:rsidR="00BC7DDA" w:rsidRPr="00BD6C5F" w:rsidRDefault="009B03E9" w:rsidP="007323D5">
            <w:pPr>
              <w:pStyle w:val="Tabletext"/>
              <w:rPr>
                <w:rFonts w:asciiTheme="minorHAnsi" w:hAnsiTheme="minorHAnsi" w:cstheme="minorHAnsi"/>
              </w:rPr>
            </w:pPr>
            <w:r w:rsidRPr="00BD6C5F">
              <w:rPr>
                <w:rFonts w:asciiTheme="minorHAnsi" w:hAnsiTheme="minorHAnsi" w:cstheme="minorHAnsi"/>
                <w:shd w:val="clear" w:color="auto" w:fill="FFFF00"/>
              </w:rPr>
              <w:lastRenderedPageBreak/>
              <w:t>[YES/NO]</w:t>
            </w:r>
          </w:p>
        </w:tc>
      </w:tr>
    </w:tbl>
    <w:p w14:paraId="59DF1503" w14:textId="570988B7" w:rsidR="00B24C98" w:rsidRPr="00BD6C5F" w:rsidRDefault="00B24C98" w:rsidP="00B24C98">
      <w:pPr>
        <w:rPr>
          <w:rFonts w:asciiTheme="minorHAnsi" w:hAnsiTheme="minorHAnsi" w:cstheme="minorHAnsi"/>
        </w:rPr>
      </w:pPr>
      <w:bookmarkStart w:id="105" w:name="_bookmark37"/>
      <w:bookmarkEnd w:id="105"/>
    </w:p>
    <w:p w14:paraId="23CEC83F" w14:textId="77777777" w:rsidR="00D90FA5" w:rsidRPr="00BD6C5F" w:rsidRDefault="00D90FA5" w:rsidP="00B24C98">
      <w:pPr>
        <w:rPr>
          <w:rFonts w:asciiTheme="minorHAnsi" w:hAnsiTheme="minorHAnsi" w:cstheme="minorHAnsi"/>
        </w:rPr>
      </w:pPr>
    </w:p>
    <w:p w14:paraId="65BEEAF6" w14:textId="0A898C7C" w:rsidR="00D90FA5" w:rsidRPr="00BD6C5F" w:rsidRDefault="00D90FA5" w:rsidP="00B24C98">
      <w:pPr>
        <w:rPr>
          <w:rFonts w:asciiTheme="minorHAnsi" w:hAnsiTheme="minorHAnsi" w:cstheme="minorHAnsi"/>
        </w:rPr>
        <w:sectPr w:rsidR="00D90FA5" w:rsidRPr="00BD6C5F" w:rsidSect="00EA65BF">
          <w:footerReference w:type="default" r:id="rId32"/>
          <w:pgSz w:w="16840" w:h="11910" w:orient="landscape"/>
          <w:pgMar w:top="1701" w:right="851" w:bottom="1134" w:left="851" w:header="567" w:footer="567" w:gutter="0"/>
          <w:cols w:space="720"/>
          <w:docGrid w:linePitch="299"/>
        </w:sectPr>
      </w:pPr>
    </w:p>
    <w:p w14:paraId="278BDB90" w14:textId="1313AA35" w:rsidR="00BC7DDA" w:rsidRPr="00BD6C5F" w:rsidRDefault="006647C3" w:rsidP="007323D5">
      <w:pPr>
        <w:pStyle w:val="Heading2"/>
      </w:pPr>
      <w:bookmarkStart w:id="106" w:name="_Ref98355858"/>
      <w:bookmarkStart w:id="107" w:name="_Ref98355931"/>
      <w:bookmarkStart w:id="108" w:name="_Ref98356036"/>
      <w:bookmarkStart w:id="109" w:name="_Ref98356982"/>
      <w:bookmarkStart w:id="110" w:name="_Toc98852883"/>
      <w:bookmarkStart w:id="111" w:name="_Toc141720976"/>
      <w:r w:rsidRPr="00BD6C5F">
        <w:lastRenderedPageBreak/>
        <w:t xml:space="preserve">Part </w:t>
      </w:r>
      <w:bookmarkStart w:id="112" w:name="Schedule_3_Annex_1_Part_B"/>
      <w:r w:rsidRPr="00BD6C5F">
        <w:t>B</w:t>
      </w:r>
      <w:bookmarkEnd w:id="112"/>
      <w:r w:rsidRPr="00BD6C5F">
        <w:t>: Definitions</w:t>
      </w:r>
      <w:bookmarkEnd w:id="106"/>
      <w:bookmarkEnd w:id="107"/>
      <w:bookmarkEnd w:id="108"/>
      <w:bookmarkEnd w:id="109"/>
      <w:bookmarkEnd w:id="110"/>
      <w:bookmarkEnd w:id="111"/>
    </w:p>
    <w:p w14:paraId="3B72ED7E" w14:textId="563AEDE2" w:rsidR="00BC7DDA" w:rsidRPr="00BD6C5F" w:rsidRDefault="006647C3" w:rsidP="00B71FC0">
      <w:pPr>
        <w:pStyle w:val="AppendixText1"/>
        <w:numPr>
          <w:ilvl w:val="0"/>
          <w:numId w:val="149"/>
        </w:numPr>
      </w:pPr>
      <w:bookmarkStart w:id="113" w:name="_bookmark38"/>
      <w:bookmarkStart w:id="114" w:name="_Ref98356972"/>
      <w:bookmarkEnd w:id="113"/>
      <w:r w:rsidRPr="00BD6C5F">
        <w:t>Available</w:t>
      </w:r>
      <w:bookmarkEnd w:id="114"/>
    </w:p>
    <w:p w14:paraId="039FA85A" w14:textId="77777777" w:rsidR="00BC7DDA" w:rsidRPr="00BD6C5F" w:rsidRDefault="009B03E9" w:rsidP="003E785F">
      <w:pPr>
        <w:pStyle w:val="AppendixText2"/>
        <w:keepNext/>
      </w:pPr>
      <w:bookmarkStart w:id="115" w:name="_bookmark39"/>
      <w:bookmarkStart w:id="116" w:name="_Ref98355832"/>
      <w:bookmarkEnd w:id="115"/>
      <w:r w:rsidRPr="00BD6C5F">
        <w:t>The IT Environment and/or the Services shall be Available when:</w:t>
      </w:r>
      <w:bookmarkEnd w:id="116"/>
    </w:p>
    <w:p w14:paraId="1F0A2AFC" w14:textId="77777777" w:rsidR="00BC7DDA" w:rsidRPr="00BD6C5F" w:rsidRDefault="009B03E9" w:rsidP="001F3D29">
      <w:pPr>
        <w:pStyle w:val="AppendixText3"/>
      </w:pPr>
      <w:bookmarkStart w:id="117" w:name="_Ref98355905"/>
      <w:r w:rsidRPr="00BD6C5F">
        <w:t>End Users are able to access and utilise all the functions of the Supplier System and/or the Services; and</w:t>
      </w:r>
      <w:bookmarkEnd w:id="117"/>
    </w:p>
    <w:p w14:paraId="641FD86A" w14:textId="77777777" w:rsidR="00BC7DDA" w:rsidRPr="00BD6C5F" w:rsidRDefault="009B03E9" w:rsidP="001F3D29">
      <w:pPr>
        <w:pStyle w:val="AppendixText3"/>
      </w:pPr>
      <w:r w:rsidRPr="00BD6C5F">
        <w:t>the Supplier System is able to process the Authority Data and to provide any required reports within the timescales set out in the Services Description (as measured on a 24 x 7 basis); and</w:t>
      </w:r>
    </w:p>
    <w:p w14:paraId="34BE56AA" w14:textId="77777777" w:rsidR="00BC7DDA" w:rsidRPr="00BD6C5F" w:rsidRDefault="009B03E9" w:rsidP="001F3D29">
      <w:pPr>
        <w:pStyle w:val="AppendixText3"/>
      </w:pPr>
      <w:r w:rsidRPr="00BD6C5F">
        <w:t>all Performance Indicators other than Service Availability are above the KPI Service Threshold.</w:t>
      </w:r>
    </w:p>
    <w:p w14:paraId="050F90C7" w14:textId="70E41DBF" w:rsidR="00BC7DDA" w:rsidRPr="00BD6C5F" w:rsidRDefault="006647C3" w:rsidP="001F3D29">
      <w:pPr>
        <w:pStyle w:val="AppendixText1"/>
      </w:pPr>
      <w:bookmarkStart w:id="118" w:name="_bookmark40"/>
      <w:bookmarkStart w:id="119" w:name="_Ref98356087"/>
      <w:bookmarkEnd w:id="118"/>
      <w:r w:rsidRPr="00BD6C5F">
        <w:t>Service Availability</w:t>
      </w:r>
      <w:bookmarkEnd w:id="119"/>
    </w:p>
    <w:p w14:paraId="4131CDAD" w14:textId="77777777" w:rsidR="00BC7DDA" w:rsidRPr="00BD6C5F" w:rsidRDefault="009B03E9" w:rsidP="003E785F">
      <w:pPr>
        <w:pStyle w:val="AppendixText2"/>
        <w:keepNext/>
      </w:pPr>
      <w:r w:rsidRPr="00BD6C5F">
        <w:t>Service Availability shall be measured as a percentage of the total time in a Service Period, in accordance with the following formula:</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430"/>
        <w:gridCol w:w="2610"/>
      </w:tblGrid>
      <w:tr w:rsidR="00997A0B" w:rsidRPr="00BD6C5F" w14:paraId="79684EE1" w14:textId="77777777" w:rsidTr="00547C96">
        <w:tc>
          <w:tcPr>
            <w:tcW w:w="2430" w:type="dxa"/>
            <w:vAlign w:val="center"/>
          </w:tcPr>
          <w:p w14:paraId="7164B2AF" w14:textId="16A76970" w:rsidR="00997A0B" w:rsidRPr="00BD6C5F" w:rsidRDefault="00997A0B" w:rsidP="00997A0B">
            <w:pPr>
              <w:pStyle w:val="BodyText"/>
              <w:spacing w:after="240"/>
              <w:rPr>
                <w:rFonts w:asciiTheme="minorHAnsi" w:hAnsiTheme="minorHAnsi" w:cstheme="minorHAnsi"/>
              </w:rPr>
            </w:pPr>
            <w:r w:rsidRPr="00BD6C5F">
              <w:rPr>
                <w:rFonts w:asciiTheme="minorHAnsi" w:hAnsiTheme="minorHAnsi" w:cstheme="minorHAnsi"/>
              </w:rPr>
              <w:t>Service Availability</w:t>
            </w:r>
          </w:p>
        </w:tc>
        <w:tc>
          <w:tcPr>
            <w:tcW w:w="2610" w:type="dxa"/>
          </w:tcPr>
          <w:p w14:paraId="3F27EAD2" w14:textId="0258C91A" w:rsidR="00997A0B" w:rsidRPr="00BD6C5F" w:rsidRDefault="00997A0B" w:rsidP="00997A0B">
            <w:pPr>
              <w:pStyle w:val="BodyText"/>
              <w:spacing w:after="240"/>
              <w:rPr>
                <w:rFonts w:asciiTheme="minorHAnsi" w:hAnsiTheme="minorHAnsi" w:cstheme="minorHAnsi"/>
              </w:rPr>
            </w:pPr>
            <m:oMathPara>
              <m:oMathParaPr>
                <m:jc m:val="left"/>
              </m:oMathParaPr>
              <m:oMath>
                <m:r>
                  <m:rPr>
                    <m:sty m:val="p"/>
                  </m:rPr>
                  <w:rPr>
                    <w:rFonts w:ascii="Cambria Math" w:hAnsi="Cambria Math" w:cstheme="minorHAnsi"/>
                  </w:rPr>
                  <m:t>%=</m:t>
                </m:r>
                <m:f>
                  <m:fPr>
                    <m:ctrlPr>
                      <w:rPr>
                        <w:rFonts w:ascii="Cambria Math" w:hAnsi="Cambria Math" w:cstheme="minorHAnsi"/>
                      </w:rPr>
                    </m:ctrlPr>
                  </m:fPr>
                  <m:num>
                    <m:d>
                      <m:dPr>
                        <m:ctrlPr>
                          <w:rPr>
                            <w:rFonts w:ascii="Cambria Math" w:hAnsi="Cambria Math" w:cstheme="minorHAnsi"/>
                          </w:rPr>
                        </m:ctrlPr>
                      </m:dPr>
                      <m:e>
                        <m:r>
                          <m:rPr>
                            <m:sty m:val="p"/>
                          </m:rPr>
                          <w:rPr>
                            <w:rFonts w:ascii="Cambria Math" w:hAnsi="Cambria Math" w:cstheme="minorHAnsi"/>
                          </w:rPr>
                          <m:t>MP-SD</m:t>
                        </m:r>
                      </m:e>
                    </m:d>
                    <m:r>
                      <w:rPr>
                        <w:rFonts w:ascii="Cambria Math" w:hAnsi="Cambria Math" w:cstheme="minorHAnsi"/>
                      </w:rPr>
                      <m:t>x 100</m:t>
                    </m:r>
                  </m:num>
                  <m:den>
                    <m:r>
                      <m:rPr>
                        <m:sty m:val="p"/>
                      </m:rPr>
                      <w:rPr>
                        <w:rFonts w:ascii="Cambria Math" w:hAnsi="Cambria Math" w:cstheme="minorHAnsi"/>
                      </w:rPr>
                      <m:t>MP</m:t>
                    </m:r>
                  </m:den>
                </m:f>
              </m:oMath>
            </m:oMathPara>
          </w:p>
        </w:tc>
      </w:tr>
    </w:tbl>
    <w:p w14:paraId="173D4E7E" w14:textId="77777777" w:rsidR="00BC7DDA" w:rsidRPr="00BD6C5F" w:rsidRDefault="009B03E9" w:rsidP="003E785F">
      <w:pPr>
        <w:pStyle w:val="BodyText"/>
        <w:keepNext/>
        <w:spacing w:after="240"/>
        <w:ind w:left="720"/>
        <w:rPr>
          <w:rFonts w:asciiTheme="minorHAnsi" w:hAnsiTheme="minorHAnsi" w:cstheme="minorHAnsi"/>
        </w:rPr>
      </w:pPr>
      <w:r w:rsidRPr="00BD6C5F">
        <w:rPr>
          <w:rFonts w:asciiTheme="minorHAnsi" w:hAnsiTheme="minorHAnsi" w:cstheme="minorHAnsi"/>
        </w:rPr>
        <w:t>where:</w:t>
      </w:r>
    </w:p>
    <w:p w14:paraId="74B0B98E" w14:textId="77777777" w:rsidR="00BC7DDA" w:rsidRPr="00BD6C5F" w:rsidRDefault="009B03E9" w:rsidP="007323D5">
      <w:pPr>
        <w:pStyle w:val="BodyText"/>
        <w:tabs>
          <w:tab w:val="left" w:pos="2986"/>
        </w:tabs>
        <w:spacing w:after="240"/>
        <w:ind w:left="1803" w:hanging="1083"/>
        <w:rPr>
          <w:rFonts w:asciiTheme="minorHAnsi" w:hAnsiTheme="minorHAnsi" w:cstheme="minorHAnsi"/>
        </w:rPr>
      </w:pPr>
      <w:r w:rsidRPr="00BD6C5F">
        <w:rPr>
          <w:rFonts w:asciiTheme="minorHAnsi" w:hAnsiTheme="minorHAnsi" w:cstheme="minorHAnsi"/>
        </w:rPr>
        <w:t>MP =</w:t>
      </w:r>
      <w:r w:rsidRPr="00BD6C5F">
        <w:rPr>
          <w:rFonts w:asciiTheme="minorHAnsi" w:hAnsiTheme="minorHAnsi" w:cstheme="minorHAnsi"/>
        </w:rPr>
        <w:tab/>
        <w:t>total number of minutes, excluding Permitted Maintenance, within the relevant Service Period; and</w:t>
      </w:r>
    </w:p>
    <w:p w14:paraId="3ACB7A64" w14:textId="77777777" w:rsidR="00BC7DDA" w:rsidRPr="00BD6C5F" w:rsidRDefault="009B03E9" w:rsidP="007323D5">
      <w:pPr>
        <w:pStyle w:val="BodyText"/>
        <w:tabs>
          <w:tab w:val="left" w:pos="2986"/>
        </w:tabs>
        <w:spacing w:after="240"/>
        <w:ind w:left="1803" w:hanging="1083"/>
        <w:rPr>
          <w:rFonts w:asciiTheme="minorHAnsi" w:hAnsiTheme="minorHAnsi" w:cstheme="minorHAnsi"/>
        </w:rPr>
      </w:pPr>
      <w:r w:rsidRPr="00BD6C5F">
        <w:rPr>
          <w:rFonts w:asciiTheme="minorHAnsi" w:hAnsiTheme="minorHAnsi" w:cstheme="minorHAnsi"/>
        </w:rPr>
        <w:t>SD =</w:t>
      </w:r>
      <w:r w:rsidRPr="00BD6C5F">
        <w:rPr>
          <w:rFonts w:asciiTheme="minorHAnsi" w:hAnsiTheme="minorHAnsi" w:cstheme="minorHAnsi"/>
        </w:rPr>
        <w:tab/>
        <w:t>total number of minutes of Service Downtime, excluding Permitted Maintenance, in the relevant Service Period.</w:t>
      </w:r>
    </w:p>
    <w:p w14:paraId="2B232745" w14:textId="5D9067FE" w:rsidR="00BC7DDA" w:rsidRPr="00BD6C5F" w:rsidRDefault="009B03E9" w:rsidP="003E785F">
      <w:pPr>
        <w:pStyle w:val="AppendixText2"/>
        <w:keepNext/>
      </w:pPr>
      <w:r w:rsidRPr="00BD6C5F">
        <w:t xml:space="preserve">When calculating Service Availability in accordance with this Paragraph </w:t>
      </w:r>
      <w:r w:rsidR="004A0075" w:rsidRPr="00BD6C5F">
        <w:fldChar w:fldCharType="begin"/>
      </w:r>
      <w:r w:rsidR="004A0075" w:rsidRPr="00BD6C5F">
        <w:instrText xml:space="preserve"> REF _Ref98356087 \w \h </w:instrText>
      </w:r>
      <w:r w:rsidR="00AD7DD0" w:rsidRPr="00BD6C5F">
        <w:instrText xml:space="preserve"> \* MERGEFORMAT </w:instrText>
      </w:r>
      <w:r w:rsidR="004A0075" w:rsidRPr="00BD6C5F">
        <w:fldChar w:fldCharType="separate"/>
      </w:r>
      <w:r w:rsidR="009749A0">
        <w:t>2</w:t>
      </w:r>
      <w:r w:rsidR="004A0075" w:rsidRPr="00BD6C5F">
        <w:fldChar w:fldCharType="end"/>
      </w:r>
      <w:r w:rsidRPr="00BD6C5F">
        <w:t>:</w:t>
      </w:r>
    </w:p>
    <w:p w14:paraId="7EA64CD7" w14:textId="0EA36B24" w:rsidR="00BC7DDA" w:rsidRPr="00BD6C5F" w:rsidRDefault="009B03E9" w:rsidP="001F3D29">
      <w:pPr>
        <w:pStyle w:val="AppendixText3"/>
      </w:pPr>
      <w:r w:rsidRPr="00BD6C5F">
        <w:t xml:space="preserve">Service Downtime arising due to Permitted Maintenance that is carried out by the Supplier in accordance with </w:t>
      </w:r>
      <w:r w:rsidR="005E736B" w:rsidRPr="00BD6C5F">
        <w:t>Clause </w:t>
      </w:r>
      <w:r w:rsidRPr="00BD6C5F">
        <w:t>9.4 (</w:t>
      </w:r>
      <w:r w:rsidRPr="00BD6C5F">
        <w:rPr>
          <w:i/>
        </w:rPr>
        <w:t>Maintenance</w:t>
      </w:r>
      <w:r w:rsidRPr="00BD6C5F">
        <w:t>) shall be subtracted from the total number of hours in the relevant Service Period; and</w:t>
      </w:r>
    </w:p>
    <w:p w14:paraId="4CDEDEF2" w14:textId="77777777" w:rsidR="00BC7DDA" w:rsidRPr="00BD6C5F" w:rsidRDefault="009B03E9" w:rsidP="003E785F">
      <w:pPr>
        <w:pStyle w:val="AppendixText3"/>
        <w:keepNext/>
      </w:pPr>
      <w:r w:rsidRPr="00BD6C5F">
        <w:t>Service Points shall accrue if:</w:t>
      </w:r>
    </w:p>
    <w:p w14:paraId="1D1BDA16" w14:textId="77777777" w:rsidR="00BC7DDA" w:rsidRPr="00BD6C5F" w:rsidRDefault="009B03E9" w:rsidP="001F3D29">
      <w:pPr>
        <w:pStyle w:val="AppendixText4"/>
      </w:pPr>
      <w:r w:rsidRPr="00BD6C5F">
        <w:t>any Service Downtime occurs as a result of Emergency Maintenance undertaken by the Supplier; or</w:t>
      </w:r>
    </w:p>
    <w:p w14:paraId="508A2E3F" w14:textId="15DD1185" w:rsidR="00BC7DDA" w:rsidRPr="00BD6C5F" w:rsidRDefault="009B03E9" w:rsidP="001F3D29">
      <w:pPr>
        <w:pStyle w:val="AppendixText4"/>
      </w:pPr>
      <w:r w:rsidRPr="00BD6C5F">
        <w:t>where maintenance undertaken by the Supplier exceed</w:t>
      </w:r>
      <w:r w:rsidR="00DF0E4F" w:rsidRPr="00BD6C5F">
        <w:t xml:space="preserve">s </w:t>
      </w:r>
      <w:r w:rsidRPr="006D1202">
        <w:rPr>
          <w:shd w:val="clear" w:color="auto" w:fill="FFFF00"/>
        </w:rPr>
        <w:t>[</w:t>
      </w:r>
      <w:r w:rsidRPr="00201BC3">
        <w:rPr>
          <w:b/>
          <w:bCs/>
          <w:shd w:val="clear" w:color="auto" w:fill="FFFF00"/>
        </w:rPr>
        <w:t>insert</w:t>
      </w:r>
      <w:r w:rsidRPr="006D1202">
        <w:rPr>
          <w:shd w:val="clear" w:color="auto" w:fill="FFFF00"/>
        </w:rPr>
        <w:t xml:space="preserve"> number]</w:t>
      </w:r>
      <w:r w:rsidRPr="00BD6C5F">
        <w:t xml:space="preserve"> hours in any Service Period.</w:t>
      </w:r>
    </w:p>
    <w:p w14:paraId="601CFFD3" w14:textId="45E7211D" w:rsidR="00BC7DDA" w:rsidRPr="00BD6C5F" w:rsidRDefault="006647C3" w:rsidP="001F3D29">
      <w:pPr>
        <w:pStyle w:val="AppendixText1"/>
      </w:pPr>
      <w:bookmarkStart w:id="120" w:name="_bookmark41"/>
      <w:bookmarkStart w:id="121" w:name="_Ref98356220"/>
      <w:bookmarkEnd w:id="120"/>
      <w:r w:rsidRPr="00BD6C5F">
        <w:t>Response Times</w:t>
      </w:r>
      <w:bookmarkEnd w:id="121"/>
    </w:p>
    <w:p w14:paraId="0909CCCE" w14:textId="65B88F62" w:rsidR="00BC7DDA" w:rsidRPr="00BD6C5F" w:rsidRDefault="009B03E9" w:rsidP="001F3D29">
      <w:pPr>
        <w:pStyle w:val="AppendixText2"/>
      </w:pPr>
      <w:bookmarkStart w:id="122" w:name="_bookmark42"/>
      <w:bookmarkStart w:id="123" w:name="_Ref98356073"/>
      <w:bookmarkEnd w:id="122"/>
      <w:r w:rsidRPr="00BD6C5F">
        <w:t xml:space="preserve">The </w:t>
      </w:r>
      <w:r w:rsidR="00A4555C" w:rsidRPr="00BD6C5F">
        <w:t>“</w:t>
      </w:r>
      <w:r w:rsidRPr="00BD6C5F">
        <w:rPr>
          <w:b/>
        </w:rPr>
        <w:t>System Response Time</w:t>
      </w:r>
      <w:r w:rsidR="00A4555C" w:rsidRPr="00BD6C5F">
        <w:t>”</w:t>
      </w:r>
      <w:r w:rsidRPr="00BD6C5F">
        <w:t xml:space="preserve"> is the round trip time taken to process a message or request of the IT Environment and/or the Services, and shall be measured from the moment the last packet of data which relates to a particular message is received at the external interface of the </w:t>
      </w:r>
      <w:r w:rsidRPr="00BD6C5F">
        <w:lastRenderedPageBreak/>
        <w:t>IT Environment until a response is generated and the first block of data leaves the external interface</w:t>
      </w:r>
      <w:bookmarkEnd w:id="123"/>
      <w:r w:rsidR="00997A0B" w:rsidRPr="00BD6C5F">
        <w:t xml:space="preserve"> </w:t>
      </w:r>
      <w:r w:rsidRPr="00BD6C5F">
        <w:t>(including, for the avoidance of doubt, the time taken for any necessary processing).</w:t>
      </w:r>
    </w:p>
    <w:p w14:paraId="5802A41F" w14:textId="77777777" w:rsidR="00BC7DDA" w:rsidRPr="00BD6C5F" w:rsidRDefault="009B03E9" w:rsidP="001F3D29">
      <w:pPr>
        <w:pStyle w:val="AppendixText2"/>
      </w:pPr>
      <w:r w:rsidRPr="00BD6C5F">
        <w:t>The Supplier System Response Time shall be the average System Response Time measured over the course of a Service Period.</w:t>
      </w:r>
    </w:p>
    <w:p w14:paraId="785F1652" w14:textId="660D6687" w:rsidR="00BC7DDA" w:rsidRPr="00BD6C5F" w:rsidRDefault="006647C3" w:rsidP="001F3D29">
      <w:pPr>
        <w:pStyle w:val="AppendixText1"/>
      </w:pPr>
      <w:bookmarkStart w:id="124" w:name="_bookmark43"/>
      <w:bookmarkEnd w:id="124"/>
      <w:r w:rsidRPr="00BD6C5F">
        <w:t>Help Desk Response Times</w:t>
      </w:r>
    </w:p>
    <w:p w14:paraId="72E8388E" w14:textId="77777777" w:rsidR="00BC7DDA" w:rsidRPr="00BD6C5F" w:rsidRDefault="009B03E9" w:rsidP="001F3D29">
      <w:pPr>
        <w:pStyle w:val="AppendixText2"/>
      </w:pPr>
      <w:r w:rsidRPr="00BD6C5F">
        <w:t>Measurement of Help Desk response times will be based on the time taken for a Help Desk operative to answer a call. Calls receiving an automated response or placed into a queuing system shall be deemed not to have been answered.</w:t>
      </w:r>
    </w:p>
    <w:p w14:paraId="51CE87A9" w14:textId="0928C7A4" w:rsidR="00BC7DDA" w:rsidRPr="00BD6C5F" w:rsidRDefault="009B03E9" w:rsidP="001F3D29">
      <w:pPr>
        <w:pStyle w:val="AppendixText2"/>
      </w:pPr>
      <w:r w:rsidRPr="00BD6C5F">
        <w:t xml:space="preserve">The Supplier shall monitor the Help Desk response times and shall provide the results of such monitoring to the Authority in accordance with the provisions of </w:t>
      </w:r>
      <w:r w:rsidR="00095858">
        <w:t>Part </w:t>
      </w:r>
      <w:r w:rsidR="00095858">
        <w:fldChar w:fldCharType="begin"/>
      </w:r>
      <w:r w:rsidR="00095858">
        <w:instrText xml:space="preserve"> REF Schedule_3_Part_B \h </w:instrText>
      </w:r>
      <w:r w:rsidR="00095858">
        <w:fldChar w:fldCharType="separate"/>
      </w:r>
      <w:r w:rsidR="009749A0" w:rsidRPr="00BD6C5F">
        <w:t>B</w:t>
      </w:r>
      <w:r w:rsidR="00095858">
        <w:fldChar w:fldCharType="end"/>
      </w:r>
      <w:r w:rsidRPr="00BD6C5F">
        <w:t xml:space="preserve"> of this Schedule.</w:t>
      </w:r>
    </w:p>
    <w:p w14:paraId="7B3743C5" w14:textId="215F2861" w:rsidR="00BC7DDA" w:rsidRPr="00BD6C5F" w:rsidRDefault="006647C3" w:rsidP="001F3D29">
      <w:pPr>
        <w:pStyle w:val="AppendixText1"/>
      </w:pPr>
      <w:bookmarkStart w:id="125" w:name="_bookmark44"/>
      <w:bookmarkStart w:id="126" w:name="_Ref98356232"/>
      <w:bookmarkEnd w:id="125"/>
      <w:r w:rsidRPr="00BD6C5F">
        <w:t>Fix Times</w:t>
      </w:r>
      <w:bookmarkEnd w:id="126"/>
    </w:p>
    <w:p w14:paraId="122FD38E" w14:textId="669CA1D8" w:rsidR="00BC7DDA" w:rsidRPr="00BD6C5F" w:rsidRDefault="009B03E9" w:rsidP="003E785F">
      <w:pPr>
        <w:pStyle w:val="AppendixText2"/>
        <w:keepNext/>
      </w:pPr>
      <w:r w:rsidRPr="00BD6C5F">
        <w:t xml:space="preserve">The </w:t>
      </w:r>
      <w:r w:rsidR="00A4555C" w:rsidRPr="00BD6C5F">
        <w:t>“</w:t>
      </w:r>
      <w:r w:rsidRPr="00BD6C5F">
        <w:rPr>
          <w:b/>
        </w:rPr>
        <w:t>Fix Time</w:t>
      </w:r>
      <w:r w:rsidR="00A4555C" w:rsidRPr="00BD6C5F">
        <w:t>”</w:t>
      </w:r>
      <w:r w:rsidRPr="00BD6C5F">
        <w:t xml:space="preserve"> of a Service Incident is the period from the time that the Service Incident has been reported to the Supplier to the point of its Resolution and </w:t>
      </w:r>
      <w:r w:rsidR="00A4555C" w:rsidRPr="00BD6C5F">
        <w:t>“</w:t>
      </w:r>
      <w:r w:rsidRPr="00BD6C5F">
        <w:rPr>
          <w:b/>
        </w:rPr>
        <w:t>Resolution</w:t>
      </w:r>
      <w:r w:rsidR="00A4555C" w:rsidRPr="00BD6C5F">
        <w:t>”</w:t>
      </w:r>
      <w:r w:rsidRPr="00BD6C5F">
        <w:t xml:space="preserve"> means in relation to a Service Incident either:</w:t>
      </w:r>
    </w:p>
    <w:p w14:paraId="4FD3B325" w14:textId="77777777" w:rsidR="00BC7DDA" w:rsidRPr="00BD6C5F" w:rsidRDefault="009B03E9" w:rsidP="001F3D29">
      <w:pPr>
        <w:pStyle w:val="AppendixText3"/>
      </w:pPr>
      <w:r w:rsidRPr="00BD6C5F">
        <w:t>the root cause of the Service Incident has been removed and the Services are being provided in accordance with the Services Description and Service Levels; or</w:t>
      </w:r>
    </w:p>
    <w:p w14:paraId="078C7400" w14:textId="77777777" w:rsidR="00BC7DDA" w:rsidRPr="00BD6C5F" w:rsidRDefault="009B03E9" w:rsidP="001F3D29">
      <w:pPr>
        <w:pStyle w:val="AppendixText3"/>
      </w:pPr>
      <w:r w:rsidRPr="00BD6C5F">
        <w:t>the Authority has been provided with a workaround in relation to the Service Incident deemed acceptable by the Authority.</w:t>
      </w:r>
    </w:p>
    <w:p w14:paraId="324AEA82" w14:textId="77777777" w:rsidR="00BC7DDA" w:rsidRPr="00BD6C5F" w:rsidRDefault="009B03E9" w:rsidP="001F3D29">
      <w:pPr>
        <w:pStyle w:val="AppendixText2"/>
      </w:pPr>
      <w:r w:rsidRPr="00BD6C5F">
        <w:t>Fix Times for Severity 3 Service Incidents, Severity 4 Service Incidents and Severity 5 Service Incidents shall be measured in Operational Hours.</w:t>
      </w:r>
    </w:p>
    <w:p w14:paraId="7F135424" w14:textId="223143F7" w:rsidR="00BC7DDA" w:rsidRPr="00BD6C5F" w:rsidRDefault="00D90FA5" w:rsidP="007323D5">
      <w:pPr>
        <w:pStyle w:val="BodyText"/>
        <w:spacing w:after="240"/>
        <w:ind w:left="720"/>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b/>
          <w:bCs/>
          <w:highlight w:val="yellow"/>
        </w:rPr>
        <w:t>Worked example:</w:t>
      </w:r>
      <w:r w:rsidRPr="00BD6C5F">
        <w:rPr>
          <w:rFonts w:asciiTheme="minorHAnsi" w:hAnsiTheme="minorHAnsi" w:cstheme="minorHAnsi"/>
          <w:highlight w:val="yellow"/>
        </w:rPr>
        <w:t xml:space="preserve"> if the Operational Hours for a fault are 0800-1800, then the clock stops measuring Fix Time at 1800 in the evening and restarts at 0800 the following day).]</w:t>
      </w:r>
    </w:p>
    <w:p w14:paraId="238FDDE5" w14:textId="77777777" w:rsidR="00BC7DDA" w:rsidRPr="00BD6C5F" w:rsidRDefault="009B03E9" w:rsidP="001F3D29">
      <w:pPr>
        <w:pStyle w:val="AppendixText2"/>
      </w:pPr>
      <w:r w:rsidRPr="00BD6C5F">
        <w:t>Fix times for Severity 1 Service Incidents and Severity 2 Service Incidents shall be measured 24x7.</w:t>
      </w:r>
    </w:p>
    <w:p w14:paraId="6140548F" w14:textId="77777777" w:rsidR="00BC7DDA" w:rsidRPr="00BD6C5F" w:rsidRDefault="009B03E9" w:rsidP="001F3D29">
      <w:pPr>
        <w:pStyle w:val="AppendixText2"/>
      </w:pPr>
      <w:r w:rsidRPr="00BD6C5F">
        <w:t>The Supplier shall measure Fix Times as part of its service management responsibilities and report periodically to the Authority on Fix Times as part of the Performance Monitoring Report.</w:t>
      </w:r>
    </w:p>
    <w:p w14:paraId="7BF8DEE4" w14:textId="473DBBCC" w:rsidR="00BC7DDA" w:rsidRPr="00BD6C5F" w:rsidRDefault="009B03E9" w:rsidP="003E785F">
      <w:pPr>
        <w:pStyle w:val="AppendixText2"/>
        <w:keepNext/>
      </w:pPr>
      <w:r w:rsidRPr="00BD6C5F">
        <w:t xml:space="preserve">For the purposes of this Paragraph </w:t>
      </w:r>
      <w:r w:rsidR="00694254">
        <w:fldChar w:fldCharType="begin"/>
      </w:r>
      <w:r w:rsidR="00694254">
        <w:instrText xml:space="preserve"> REF _Ref98356232 \w \h </w:instrText>
      </w:r>
      <w:r w:rsidR="00694254">
        <w:fldChar w:fldCharType="separate"/>
      </w:r>
      <w:r w:rsidR="009749A0">
        <w:t>5</w:t>
      </w:r>
      <w:r w:rsidR="00694254">
        <w:fldChar w:fldCharType="end"/>
      </w:r>
      <w:r w:rsidRPr="00BD6C5F">
        <w:t>, the following expressions shall have the meanings set opposite them below:</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472DE599" w14:textId="77777777" w:rsidTr="001F3D29">
        <w:trPr>
          <w:trHeight w:val="20"/>
        </w:trPr>
        <w:tc>
          <w:tcPr>
            <w:tcW w:w="3572" w:type="dxa"/>
          </w:tcPr>
          <w:p w14:paraId="307A2AAC" w14:textId="4CCEEECA" w:rsidR="00BC7DDA" w:rsidRPr="00BD6C5F" w:rsidRDefault="00A4555C" w:rsidP="001F3D29">
            <w:pPr>
              <w:pStyle w:val="Tabletext"/>
              <w:rPr>
                <w:b/>
                <w:bCs/>
              </w:rPr>
            </w:pPr>
            <w:r w:rsidRPr="00BD6C5F">
              <w:rPr>
                <w:b/>
                <w:bCs/>
              </w:rPr>
              <w:t>“</w:t>
            </w:r>
            <w:r w:rsidR="009B03E9" w:rsidRPr="00BD6C5F">
              <w:rPr>
                <w:b/>
                <w:bCs/>
              </w:rPr>
              <w:t>Operational Hours</w:t>
            </w:r>
            <w:r w:rsidRPr="00BD6C5F">
              <w:rPr>
                <w:b/>
                <w:bCs/>
              </w:rPr>
              <w:t>”</w:t>
            </w:r>
          </w:p>
        </w:tc>
        <w:tc>
          <w:tcPr>
            <w:tcW w:w="5953" w:type="dxa"/>
          </w:tcPr>
          <w:p w14:paraId="59C3CA1F" w14:textId="3AA13530" w:rsidR="00BC7DDA" w:rsidRPr="00BD6C5F" w:rsidRDefault="009B03E9" w:rsidP="001F3D29">
            <w:pPr>
              <w:pStyle w:val="Tabletext"/>
            </w:pPr>
            <w:r w:rsidRPr="00BD6C5F">
              <w:t xml:space="preserve">In relation to any Service, the hours for which that Service is to be operational as set out in </w:t>
            </w:r>
            <w:r w:rsidR="00484523" w:rsidRPr="00484523">
              <w:rPr>
                <w:rFonts w:asciiTheme="minorHAnsi" w:hAnsiTheme="minorHAnsi" w:cstheme="minorHAnsi"/>
              </w:rPr>
              <w:t>Schedule </w:t>
            </w:r>
            <w:r w:rsidR="00484523" w:rsidRPr="00484523">
              <w:rPr>
                <w:rFonts w:asciiTheme="minorHAnsi" w:hAnsiTheme="minorHAnsi" w:cstheme="minorHAnsi"/>
              </w:rPr>
              <w:fldChar w:fldCharType="begin"/>
            </w:r>
            <w:r w:rsidR="00484523" w:rsidRPr="00484523">
              <w:rPr>
                <w:rFonts w:asciiTheme="minorHAnsi" w:hAnsiTheme="minorHAnsi" w:cstheme="minorHAnsi"/>
              </w:rPr>
              <w:instrText xml:space="preserve"> REF Schedule_2 \h  \* MERGEFORMAT </w:instrText>
            </w:r>
            <w:r w:rsidR="00484523" w:rsidRPr="00484523">
              <w:rPr>
                <w:rFonts w:asciiTheme="minorHAnsi" w:hAnsiTheme="minorHAnsi" w:cstheme="minorHAnsi"/>
              </w:rPr>
            </w:r>
            <w:r w:rsidR="00484523" w:rsidRPr="00484523">
              <w:rPr>
                <w:rFonts w:asciiTheme="minorHAnsi" w:hAnsiTheme="minorHAnsi" w:cstheme="minorHAnsi"/>
              </w:rPr>
              <w:fldChar w:fldCharType="separate"/>
            </w:r>
            <w:r w:rsidR="009749A0">
              <w:t>2</w:t>
            </w:r>
            <w:r w:rsidR="00484523" w:rsidRPr="00484523">
              <w:rPr>
                <w:rFonts w:asciiTheme="minorHAnsi" w:hAnsiTheme="minorHAnsi" w:cstheme="minorHAnsi"/>
              </w:rPr>
              <w:fldChar w:fldCharType="end"/>
            </w:r>
            <w:r w:rsidRPr="00BD6C5F">
              <w:t xml:space="preserve"> (</w:t>
            </w:r>
            <w:r w:rsidRPr="00BD6C5F">
              <w:rPr>
                <w:i/>
              </w:rPr>
              <w:t>Services Description</w:t>
            </w:r>
            <w:r w:rsidRPr="00BD6C5F">
              <w:t>);</w:t>
            </w:r>
          </w:p>
        </w:tc>
      </w:tr>
      <w:tr w:rsidR="00BC7DDA" w:rsidRPr="00BD6C5F" w14:paraId="183FBD47" w14:textId="77777777" w:rsidTr="001F3D29">
        <w:trPr>
          <w:trHeight w:val="20"/>
        </w:trPr>
        <w:tc>
          <w:tcPr>
            <w:tcW w:w="3572" w:type="dxa"/>
          </w:tcPr>
          <w:p w14:paraId="46CDEC5C" w14:textId="35BB2E82" w:rsidR="00BC7DDA" w:rsidRPr="00BD6C5F" w:rsidRDefault="00A4555C" w:rsidP="001F3D29">
            <w:pPr>
              <w:pStyle w:val="Tabletext"/>
              <w:rPr>
                <w:b/>
                <w:bCs/>
              </w:rPr>
            </w:pPr>
            <w:r w:rsidRPr="00BD6C5F">
              <w:rPr>
                <w:b/>
                <w:bCs/>
              </w:rPr>
              <w:t>“</w:t>
            </w:r>
            <w:r w:rsidR="009B03E9" w:rsidRPr="00BD6C5F">
              <w:rPr>
                <w:b/>
                <w:bCs/>
              </w:rPr>
              <w:t>Service Incident</w:t>
            </w:r>
            <w:r w:rsidRPr="00BD6C5F">
              <w:rPr>
                <w:b/>
                <w:bCs/>
              </w:rPr>
              <w:t>”</w:t>
            </w:r>
          </w:p>
        </w:tc>
        <w:tc>
          <w:tcPr>
            <w:tcW w:w="5953" w:type="dxa"/>
          </w:tcPr>
          <w:p w14:paraId="64F14DBA" w14:textId="3184E822"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a reported occurrence of a failure to deliver any part of the Services in accordance with the</w:t>
            </w:r>
            <w:r w:rsidR="009D6352" w:rsidRPr="00BD6C5F">
              <w:rPr>
                <w:rFonts w:asciiTheme="minorHAnsi" w:hAnsiTheme="minorHAnsi" w:cstheme="minorHAnsi"/>
              </w:rPr>
              <w:t xml:space="preserve"> </w:t>
            </w:r>
            <w:r w:rsidR="009D6352" w:rsidRPr="00BD6C5F">
              <w:t>Authority</w:t>
            </w:r>
            <w:r w:rsidR="009D6352" w:rsidRPr="00BD6C5F">
              <w:rPr>
                <w:rFonts w:asciiTheme="minorHAnsi" w:hAnsiTheme="minorHAnsi" w:cstheme="minorHAnsi"/>
              </w:rPr>
              <w:t xml:space="preserve"> Requirements or the Performance Indicators;</w:t>
            </w:r>
          </w:p>
        </w:tc>
      </w:tr>
      <w:tr w:rsidR="00BC7DDA" w:rsidRPr="00BD6C5F" w14:paraId="4B1E4B71" w14:textId="77777777" w:rsidTr="001F3D29">
        <w:trPr>
          <w:trHeight w:val="20"/>
        </w:trPr>
        <w:tc>
          <w:tcPr>
            <w:tcW w:w="3572" w:type="dxa"/>
          </w:tcPr>
          <w:p w14:paraId="05A321A6" w14:textId="4B44A920" w:rsidR="00BC7DDA" w:rsidRPr="00BD6C5F" w:rsidRDefault="00A4555C" w:rsidP="001F3D29">
            <w:pPr>
              <w:pStyle w:val="Tabletext"/>
              <w:rPr>
                <w:b/>
                <w:bCs/>
              </w:rPr>
            </w:pPr>
            <w:r w:rsidRPr="00BD6C5F">
              <w:rPr>
                <w:b/>
                <w:bCs/>
              </w:rPr>
              <w:t>“</w:t>
            </w:r>
            <w:r w:rsidR="009B03E9" w:rsidRPr="00BD6C5F">
              <w:rPr>
                <w:b/>
                <w:bCs/>
              </w:rPr>
              <w:t>Severity 1 Service Incident</w:t>
            </w:r>
            <w:r w:rsidRPr="00BD6C5F">
              <w:rPr>
                <w:b/>
                <w:bCs/>
              </w:rPr>
              <w:t>”</w:t>
            </w:r>
          </w:p>
        </w:tc>
        <w:tc>
          <w:tcPr>
            <w:tcW w:w="5953" w:type="dxa"/>
          </w:tcPr>
          <w:p w14:paraId="5E4E9AE5" w14:textId="77777777"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 xml:space="preserve">a Service Incident which, in the reasonable opinion </w:t>
            </w:r>
            <w:r w:rsidRPr="00BD6C5F">
              <w:t>of</w:t>
            </w:r>
            <w:r w:rsidRPr="00BD6C5F">
              <w:rPr>
                <w:rFonts w:asciiTheme="minorHAnsi" w:hAnsiTheme="minorHAnsi" w:cstheme="minorHAnsi"/>
              </w:rPr>
              <w:t xml:space="preserve"> the Authority:</w:t>
            </w:r>
          </w:p>
          <w:p w14:paraId="089928DF" w14:textId="77777777" w:rsidR="00BC7DDA" w:rsidRPr="00BD6C5F" w:rsidRDefault="009B03E9" w:rsidP="001F3D29">
            <w:pPr>
              <w:pStyle w:val="Tablea"/>
            </w:pPr>
            <w:r w:rsidRPr="00BD6C5F">
              <w:lastRenderedPageBreak/>
              <w:t>constitutes a loss of the Service which prevents a large group of End Users from working;</w:t>
            </w:r>
          </w:p>
          <w:p w14:paraId="76C1B924" w14:textId="77777777" w:rsidR="00BC7DDA" w:rsidRPr="00BD6C5F" w:rsidRDefault="009B03E9" w:rsidP="001F3D29">
            <w:pPr>
              <w:pStyle w:val="Tablea"/>
            </w:pPr>
            <w:r w:rsidRPr="00BD6C5F">
              <w:t>has a critical impact on the activities of the Authority;</w:t>
            </w:r>
          </w:p>
          <w:p w14:paraId="00E89AE2" w14:textId="77777777" w:rsidR="00BC7DDA" w:rsidRPr="00BD6C5F" w:rsidRDefault="009B03E9" w:rsidP="001F3D29">
            <w:pPr>
              <w:pStyle w:val="Tablea"/>
            </w:pPr>
            <w:r w:rsidRPr="00BD6C5F">
              <w:t>causes significant financial loss and/or disruption to the Authority; or</w:t>
            </w:r>
          </w:p>
          <w:p w14:paraId="768A8CDE" w14:textId="77777777" w:rsidR="00BC7DDA" w:rsidRPr="00BD6C5F" w:rsidRDefault="009B03E9" w:rsidP="001F3D29">
            <w:pPr>
              <w:pStyle w:val="Tablea"/>
            </w:pPr>
            <w:r w:rsidRPr="00BD6C5F">
              <w:t>results in any material loss or corruption of Authority Data;</w:t>
            </w:r>
          </w:p>
          <w:p w14:paraId="3C4B0667" w14:textId="77777777" w:rsidR="00BC7DDA" w:rsidRPr="00BD6C5F" w:rsidRDefault="009B03E9" w:rsidP="001F3D29">
            <w:pPr>
              <w:pStyle w:val="Tabletext"/>
              <w:rPr>
                <w:rFonts w:asciiTheme="minorHAnsi" w:hAnsiTheme="minorHAnsi" w:cstheme="minorHAnsi"/>
                <w:b/>
                <w:iCs/>
              </w:rPr>
            </w:pPr>
            <w:r w:rsidRPr="00BD6C5F">
              <w:rPr>
                <w:rFonts w:asciiTheme="minorHAnsi" w:hAnsiTheme="minorHAnsi" w:cstheme="minorHAnsi"/>
                <w:b/>
                <w:iCs/>
              </w:rPr>
              <w:t>Non-exhaustive examples:</w:t>
            </w:r>
          </w:p>
          <w:p w14:paraId="2541760F" w14:textId="77777777" w:rsidR="00BC7DDA" w:rsidRPr="00BD6C5F" w:rsidRDefault="009B03E9" w:rsidP="001F3D29">
            <w:pPr>
              <w:pStyle w:val="Tablea"/>
            </w:pPr>
            <w:r w:rsidRPr="00BD6C5F">
              <w:t>a loss of power to a data centre causing failure of Services; or</w:t>
            </w:r>
          </w:p>
          <w:p w14:paraId="5B5AF2B7" w14:textId="77777777" w:rsidR="00BC7DDA" w:rsidRPr="00BD6C5F" w:rsidRDefault="009B03E9" w:rsidP="001F3D29">
            <w:pPr>
              <w:pStyle w:val="Tablea"/>
            </w:pPr>
            <w:r w:rsidRPr="00BD6C5F">
              <w:t>a failure of the Services to provide user authentication service;</w:t>
            </w:r>
          </w:p>
        </w:tc>
      </w:tr>
      <w:tr w:rsidR="00BC7DDA" w:rsidRPr="00BD6C5F" w14:paraId="1061C0D1" w14:textId="77777777" w:rsidTr="001F3D29">
        <w:trPr>
          <w:trHeight w:val="20"/>
        </w:trPr>
        <w:tc>
          <w:tcPr>
            <w:tcW w:w="3572" w:type="dxa"/>
          </w:tcPr>
          <w:p w14:paraId="64411CA5" w14:textId="6C700115" w:rsidR="00BC7DDA" w:rsidRPr="00BD6C5F" w:rsidRDefault="00A4555C" w:rsidP="001F3D29">
            <w:pPr>
              <w:pStyle w:val="Tabletext"/>
              <w:rPr>
                <w:b/>
                <w:bCs/>
              </w:rPr>
            </w:pPr>
            <w:r w:rsidRPr="00BD6C5F">
              <w:rPr>
                <w:b/>
                <w:bCs/>
              </w:rPr>
              <w:lastRenderedPageBreak/>
              <w:t>“</w:t>
            </w:r>
            <w:r w:rsidR="009B03E9" w:rsidRPr="00BD6C5F">
              <w:rPr>
                <w:b/>
                <w:bCs/>
              </w:rPr>
              <w:t>Severity 2 Service Incident</w:t>
            </w:r>
            <w:r w:rsidRPr="00BD6C5F">
              <w:rPr>
                <w:b/>
                <w:bCs/>
              </w:rPr>
              <w:t>”</w:t>
            </w:r>
          </w:p>
        </w:tc>
        <w:tc>
          <w:tcPr>
            <w:tcW w:w="5953" w:type="dxa"/>
          </w:tcPr>
          <w:p w14:paraId="30F4C3AE" w14:textId="77777777"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a Service Incident which, in the reasonable opinion of the Authority has the potential to:</w:t>
            </w:r>
          </w:p>
          <w:p w14:paraId="3903A69B" w14:textId="77777777" w:rsidR="00BC7DDA" w:rsidRPr="00BD6C5F" w:rsidRDefault="009B03E9" w:rsidP="00B71FC0">
            <w:pPr>
              <w:pStyle w:val="Tablea"/>
              <w:numPr>
                <w:ilvl w:val="0"/>
                <w:numId w:val="57"/>
              </w:numPr>
            </w:pPr>
            <w:r w:rsidRPr="00BD6C5F">
              <w:t>have a major (but not critical) adverse impact on the activities of the Authority and no workaround acceptable to the Authority is available;</w:t>
            </w:r>
          </w:p>
          <w:p w14:paraId="5C1B4B38" w14:textId="77777777" w:rsidR="00BC7DDA" w:rsidRPr="00BD6C5F" w:rsidRDefault="009B03E9" w:rsidP="001F3D29">
            <w:pPr>
              <w:pStyle w:val="Tablea"/>
            </w:pPr>
            <w:r w:rsidRPr="00BD6C5F">
              <w:t>have a major (but not critical) adverse impact on the activities of the Authority and no workaround acceptable to the Authority is available; or</w:t>
            </w:r>
          </w:p>
          <w:p w14:paraId="1E21850D" w14:textId="77777777" w:rsidR="00BC7DDA" w:rsidRPr="00BD6C5F" w:rsidRDefault="009B03E9" w:rsidP="001F3D29">
            <w:pPr>
              <w:pStyle w:val="Tablea"/>
            </w:pPr>
            <w:r w:rsidRPr="00BD6C5F">
              <w:t>cause a financial loss and/or disruption to the Authority which is more than trivial but less severe than the significant financial loss described in the definition of a Severity 1 Service Failure;</w:t>
            </w:r>
          </w:p>
          <w:p w14:paraId="06FA182C" w14:textId="77777777" w:rsidR="00BC7DDA" w:rsidRPr="00BD6C5F" w:rsidRDefault="009B03E9" w:rsidP="001F3D29">
            <w:pPr>
              <w:pStyle w:val="Tabletext"/>
              <w:rPr>
                <w:rFonts w:asciiTheme="minorHAnsi" w:hAnsiTheme="minorHAnsi" w:cstheme="minorHAnsi"/>
                <w:b/>
                <w:iCs/>
              </w:rPr>
            </w:pPr>
            <w:r w:rsidRPr="00BD6C5F">
              <w:rPr>
                <w:rFonts w:asciiTheme="minorHAnsi" w:hAnsiTheme="minorHAnsi" w:cstheme="minorHAnsi"/>
                <w:b/>
                <w:iCs/>
              </w:rPr>
              <w:t>Non-exhaustive examples:</w:t>
            </w:r>
          </w:p>
          <w:p w14:paraId="437DF84C" w14:textId="77777777" w:rsidR="00BC7DDA" w:rsidRPr="00BD6C5F" w:rsidRDefault="009B03E9" w:rsidP="001F3D29">
            <w:pPr>
              <w:pStyle w:val="Tablea"/>
            </w:pPr>
            <w:r w:rsidRPr="00BD6C5F">
              <w:t>corruption of organisational database tables; or</w:t>
            </w:r>
          </w:p>
          <w:p w14:paraId="52AB4ACF" w14:textId="77777777" w:rsidR="00BC7DDA" w:rsidRPr="00BD6C5F" w:rsidRDefault="009B03E9" w:rsidP="001F3D29">
            <w:pPr>
              <w:pStyle w:val="Tablea"/>
            </w:pPr>
            <w:r w:rsidRPr="00BD6C5F">
              <w:t>loss of ability to update Authority Data.</w:t>
            </w:r>
          </w:p>
        </w:tc>
      </w:tr>
      <w:tr w:rsidR="00BC7DDA" w:rsidRPr="00BD6C5F" w14:paraId="3FC8EA53" w14:textId="77777777" w:rsidTr="001F3D29">
        <w:trPr>
          <w:trHeight w:val="20"/>
        </w:trPr>
        <w:tc>
          <w:tcPr>
            <w:tcW w:w="3572" w:type="dxa"/>
          </w:tcPr>
          <w:p w14:paraId="4BBC420E" w14:textId="36B3B557" w:rsidR="00BC7DDA" w:rsidRPr="00BD6C5F" w:rsidRDefault="00A4555C" w:rsidP="001F3D29">
            <w:pPr>
              <w:pStyle w:val="Tabletext"/>
              <w:rPr>
                <w:b/>
                <w:bCs/>
              </w:rPr>
            </w:pPr>
            <w:r w:rsidRPr="00BD6C5F">
              <w:rPr>
                <w:b/>
                <w:bCs/>
              </w:rPr>
              <w:t>“</w:t>
            </w:r>
            <w:r w:rsidR="009B03E9" w:rsidRPr="00BD6C5F">
              <w:rPr>
                <w:b/>
                <w:bCs/>
              </w:rPr>
              <w:t>Severity 3 Service Incident</w:t>
            </w:r>
            <w:r w:rsidRPr="00BD6C5F">
              <w:rPr>
                <w:b/>
                <w:bCs/>
              </w:rPr>
              <w:t>”</w:t>
            </w:r>
          </w:p>
        </w:tc>
        <w:tc>
          <w:tcPr>
            <w:tcW w:w="5953" w:type="dxa"/>
          </w:tcPr>
          <w:p w14:paraId="103EE031" w14:textId="77777777"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 xml:space="preserve">a Service Incident which, in the reasonable </w:t>
            </w:r>
            <w:r w:rsidRPr="00BD6C5F">
              <w:t>opinion</w:t>
            </w:r>
            <w:r w:rsidRPr="00BD6C5F">
              <w:rPr>
                <w:rFonts w:asciiTheme="minorHAnsi" w:hAnsiTheme="minorHAnsi" w:cstheme="minorHAnsi"/>
              </w:rPr>
              <w:t xml:space="preserve"> of the Authority has the potential to:</w:t>
            </w:r>
          </w:p>
          <w:p w14:paraId="572B67C1" w14:textId="77777777" w:rsidR="00BC7DDA" w:rsidRPr="00BD6C5F" w:rsidRDefault="009B03E9" w:rsidP="001F3D29">
            <w:pPr>
              <w:pStyle w:val="Tablea"/>
            </w:pPr>
            <w:r w:rsidRPr="00BD6C5F">
              <w:t>have a major adverse impact on the activities of the Authority which can be reduced to a moderate adverse impact due to the availability of a workaround acceptable to the Authority; or</w:t>
            </w:r>
          </w:p>
          <w:p w14:paraId="37383A8B" w14:textId="77777777" w:rsidR="00BC7DDA" w:rsidRPr="00BD6C5F" w:rsidRDefault="009B03E9" w:rsidP="001F3D29">
            <w:pPr>
              <w:pStyle w:val="Tablea"/>
            </w:pPr>
            <w:r w:rsidRPr="00BD6C5F">
              <w:t>have a moderate adverse impact on the activities of the Authority;</w:t>
            </w:r>
          </w:p>
          <w:p w14:paraId="032AC1C3" w14:textId="77777777" w:rsidR="00BC7DDA" w:rsidRPr="00BD6C5F" w:rsidRDefault="009B03E9" w:rsidP="001F3D29">
            <w:pPr>
              <w:pStyle w:val="Tabletext"/>
              <w:rPr>
                <w:rFonts w:asciiTheme="minorHAnsi" w:hAnsiTheme="minorHAnsi" w:cstheme="minorHAnsi"/>
                <w:b/>
                <w:iCs/>
              </w:rPr>
            </w:pPr>
            <w:r w:rsidRPr="00BD6C5F">
              <w:rPr>
                <w:rFonts w:asciiTheme="minorHAnsi" w:hAnsiTheme="minorHAnsi" w:cstheme="minorHAnsi"/>
                <w:b/>
                <w:iCs/>
              </w:rPr>
              <w:t>Non-exhaustive example:</w:t>
            </w:r>
          </w:p>
          <w:p w14:paraId="1A581276" w14:textId="77777777" w:rsidR="00BC7DDA" w:rsidRPr="00BD6C5F" w:rsidRDefault="009B03E9" w:rsidP="001F3D29">
            <w:pPr>
              <w:pStyle w:val="Tablea"/>
            </w:pPr>
            <w:r w:rsidRPr="00BD6C5F">
              <w:t>inability to access data for a class of customers;</w:t>
            </w:r>
          </w:p>
        </w:tc>
      </w:tr>
      <w:tr w:rsidR="00BC7DDA" w:rsidRPr="00BD6C5F" w14:paraId="43D89A48" w14:textId="77777777" w:rsidTr="001F3D29">
        <w:trPr>
          <w:trHeight w:val="20"/>
        </w:trPr>
        <w:tc>
          <w:tcPr>
            <w:tcW w:w="3572" w:type="dxa"/>
          </w:tcPr>
          <w:p w14:paraId="19D23823" w14:textId="4CD2776A" w:rsidR="00BC7DDA" w:rsidRPr="00BD6C5F" w:rsidRDefault="00A4555C" w:rsidP="001F3D29">
            <w:pPr>
              <w:pStyle w:val="Tabletext"/>
              <w:rPr>
                <w:b/>
                <w:bCs/>
              </w:rPr>
            </w:pPr>
            <w:r w:rsidRPr="00BD6C5F">
              <w:rPr>
                <w:b/>
                <w:bCs/>
              </w:rPr>
              <w:lastRenderedPageBreak/>
              <w:t>“</w:t>
            </w:r>
            <w:r w:rsidR="009B03E9" w:rsidRPr="00BD6C5F">
              <w:rPr>
                <w:b/>
                <w:bCs/>
              </w:rPr>
              <w:t>Severity 4 Service Incident</w:t>
            </w:r>
            <w:r w:rsidRPr="00BD6C5F">
              <w:rPr>
                <w:b/>
                <w:bCs/>
              </w:rPr>
              <w:t>”</w:t>
            </w:r>
          </w:p>
        </w:tc>
        <w:tc>
          <w:tcPr>
            <w:tcW w:w="5953" w:type="dxa"/>
          </w:tcPr>
          <w:p w14:paraId="30C06338" w14:textId="77777777"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 xml:space="preserve">a Service Incident which, in the reasonable opinion of </w:t>
            </w:r>
            <w:r w:rsidRPr="00BD6C5F">
              <w:t>the</w:t>
            </w:r>
            <w:r w:rsidRPr="00BD6C5F">
              <w:rPr>
                <w:rFonts w:asciiTheme="minorHAnsi" w:hAnsiTheme="minorHAnsi" w:cstheme="minorHAnsi"/>
              </w:rPr>
              <w:t xml:space="preserve"> Authority has the potential to have a minor adverse impact on the provision of the Services to End Users</w:t>
            </w:r>
          </w:p>
          <w:p w14:paraId="5FAB2047" w14:textId="77777777" w:rsidR="00BC7DDA" w:rsidRPr="00BD6C5F" w:rsidRDefault="009B03E9" w:rsidP="001F3D29">
            <w:pPr>
              <w:pStyle w:val="Tabletext"/>
              <w:rPr>
                <w:rFonts w:asciiTheme="minorHAnsi" w:hAnsiTheme="minorHAnsi" w:cstheme="minorHAnsi"/>
                <w:b/>
                <w:iCs/>
              </w:rPr>
            </w:pPr>
            <w:r w:rsidRPr="00BD6C5F">
              <w:rPr>
                <w:rFonts w:asciiTheme="minorHAnsi" w:hAnsiTheme="minorHAnsi" w:cstheme="minorHAnsi"/>
                <w:b/>
                <w:iCs/>
              </w:rPr>
              <w:t>Non-exhaustive example:</w:t>
            </w:r>
          </w:p>
          <w:p w14:paraId="430221D4" w14:textId="77777777" w:rsidR="00BC7DDA" w:rsidRPr="00BD6C5F" w:rsidRDefault="009B03E9" w:rsidP="001F3D29">
            <w:pPr>
              <w:pStyle w:val="Tablea"/>
            </w:pPr>
            <w:r w:rsidRPr="00BD6C5F">
              <w:t>inability to access data for a single customer; and</w:t>
            </w:r>
          </w:p>
        </w:tc>
      </w:tr>
      <w:tr w:rsidR="00BC7DDA" w:rsidRPr="00BD6C5F" w14:paraId="2EAF6D64" w14:textId="77777777" w:rsidTr="001F3D29">
        <w:trPr>
          <w:trHeight w:val="20"/>
        </w:trPr>
        <w:tc>
          <w:tcPr>
            <w:tcW w:w="3572" w:type="dxa"/>
          </w:tcPr>
          <w:p w14:paraId="67A394F2" w14:textId="24390A92" w:rsidR="00BC7DDA" w:rsidRPr="00BD6C5F" w:rsidRDefault="00A4555C" w:rsidP="001F3D29">
            <w:pPr>
              <w:pStyle w:val="Tabletext"/>
              <w:rPr>
                <w:b/>
                <w:bCs/>
              </w:rPr>
            </w:pPr>
            <w:r w:rsidRPr="00BD6C5F">
              <w:rPr>
                <w:b/>
                <w:bCs/>
              </w:rPr>
              <w:t>“</w:t>
            </w:r>
            <w:r w:rsidR="009B03E9" w:rsidRPr="00BD6C5F">
              <w:rPr>
                <w:b/>
                <w:bCs/>
              </w:rPr>
              <w:t>Severity 5 Service Incident</w:t>
            </w:r>
            <w:r w:rsidRPr="00BD6C5F">
              <w:rPr>
                <w:b/>
                <w:bCs/>
              </w:rPr>
              <w:t>”</w:t>
            </w:r>
          </w:p>
        </w:tc>
        <w:tc>
          <w:tcPr>
            <w:tcW w:w="5953" w:type="dxa"/>
          </w:tcPr>
          <w:p w14:paraId="0995EB1F" w14:textId="5215DFFA" w:rsidR="00BC7DDA" w:rsidRPr="00BD6C5F" w:rsidRDefault="009B03E9" w:rsidP="001F3D29">
            <w:pPr>
              <w:pStyle w:val="Tabletext"/>
              <w:rPr>
                <w:rFonts w:asciiTheme="minorHAnsi" w:hAnsiTheme="minorHAnsi" w:cstheme="minorHAnsi"/>
              </w:rPr>
            </w:pPr>
            <w:r w:rsidRPr="00BD6C5F">
              <w:rPr>
                <w:rFonts w:asciiTheme="minorHAnsi" w:hAnsiTheme="minorHAnsi" w:cstheme="minorHAnsi"/>
              </w:rPr>
              <w:t xml:space="preserve">a Service Incident comprising a flaw which is </w:t>
            </w:r>
            <w:r w:rsidRPr="00BD6C5F">
              <w:t>cosmetic</w:t>
            </w:r>
            <w:r w:rsidRPr="00BD6C5F">
              <w:rPr>
                <w:rFonts w:asciiTheme="minorHAnsi" w:hAnsiTheme="minorHAnsi" w:cstheme="minorHAnsi"/>
              </w:rPr>
              <w:t xml:space="preserve"> and, as such, does not undermine the End User</w:t>
            </w:r>
            <w:r w:rsidR="00A4555C" w:rsidRPr="00BD6C5F">
              <w:rPr>
                <w:rFonts w:asciiTheme="minorHAnsi" w:hAnsiTheme="minorHAnsi" w:cstheme="minorHAnsi"/>
              </w:rPr>
              <w:t>’</w:t>
            </w:r>
            <w:r w:rsidRPr="00BD6C5F">
              <w:rPr>
                <w:rFonts w:asciiTheme="minorHAnsi" w:hAnsiTheme="minorHAnsi" w:cstheme="minorHAnsi"/>
              </w:rPr>
              <w:t>s confidence in the information being displayed;</w:t>
            </w:r>
          </w:p>
          <w:p w14:paraId="5769CA9E" w14:textId="77777777" w:rsidR="00BC7DDA" w:rsidRPr="00BD6C5F" w:rsidRDefault="009B03E9" w:rsidP="001F3D29">
            <w:pPr>
              <w:pStyle w:val="Tabletext"/>
              <w:rPr>
                <w:rFonts w:asciiTheme="minorHAnsi" w:hAnsiTheme="minorHAnsi" w:cstheme="minorHAnsi"/>
                <w:b/>
                <w:iCs/>
              </w:rPr>
            </w:pPr>
            <w:r w:rsidRPr="00BD6C5F">
              <w:rPr>
                <w:rFonts w:asciiTheme="minorHAnsi" w:hAnsiTheme="minorHAnsi" w:cstheme="minorHAnsi"/>
                <w:b/>
                <w:iCs/>
              </w:rPr>
              <w:t>Non-exhaustive examples:</w:t>
            </w:r>
          </w:p>
          <w:p w14:paraId="108EFEBF" w14:textId="77777777" w:rsidR="00BC7DDA" w:rsidRPr="00BD6C5F" w:rsidRDefault="009B03E9" w:rsidP="001F3D29">
            <w:pPr>
              <w:pStyle w:val="Tablea"/>
            </w:pPr>
            <w:r w:rsidRPr="00BD6C5F">
              <w:t>spelling error; or</w:t>
            </w:r>
          </w:p>
          <w:p w14:paraId="58CF95B7" w14:textId="77777777" w:rsidR="00BC7DDA" w:rsidRPr="00BD6C5F" w:rsidRDefault="009B03E9" w:rsidP="001F3D29">
            <w:pPr>
              <w:pStyle w:val="Tablea"/>
            </w:pPr>
            <w:r w:rsidRPr="00BD6C5F">
              <w:t>misalignment of data on screen display.</w:t>
            </w:r>
          </w:p>
        </w:tc>
      </w:tr>
    </w:tbl>
    <w:p w14:paraId="1149B767" w14:textId="09EDBBC1" w:rsidR="00BC7DDA" w:rsidRPr="00BD6C5F" w:rsidRDefault="00956ECA" w:rsidP="001F3D29">
      <w:pPr>
        <w:pStyle w:val="AppendixText1"/>
      </w:pPr>
      <w:bookmarkStart w:id="127" w:name="_bookmark45"/>
      <w:bookmarkStart w:id="128" w:name="_Ref98357169"/>
      <w:bookmarkEnd w:id="127"/>
      <w:r w:rsidRPr="00BD6C5F">
        <w:t>Satisfaction Surveys</w:t>
      </w:r>
      <w:bookmarkEnd w:id="128"/>
    </w:p>
    <w:p w14:paraId="540DB0A0" w14:textId="5C5C5CDC" w:rsidR="00BC7DDA" w:rsidRPr="00BD6C5F" w:rsidRDefault="009B03E9" w:rsidP="001F3D29">
      <w:pPr>
        <w:pStyle w:val="AppendixText2"/>
      </w:pPr>
      <w:bookmarkStart w:id="129" w:name="_bookmark46"/>
      <w:bookmarkStart w:id="130" w:name="_Ref98356017"/>
      <w:bookmarkEnd w:id="129"/>
      <w:r w:rsidRPr="00BD6C5F">
        <w:t xml:space="preserve">In order to assess the level of performance of the Supplier, the Authority may undertake satisfaction surveys in respect of End Users or various groups of End Users (each such survey a </w:t>
      </w:r>
      <w:r w:rsidR="00A4555C" w:rsidRPr="00BD6C5F">
        <w:t>“</w:t>
      </w:r>
      <w:r w:rsidRPr="00BD6C5F">
        <w:rPr>
          <w:b/>
        </w:rPr>
        <w:t>Satisfaction Survey</w:t>
      </w:r>
      <w:r w:rsidR="00A4555C" w:rsidRPr="00BD6C5F">
        <w:t>”</w:t>
      </w:r>
      <w:r w:rsidRPr="00BD6C5F">
        <w:t>), the results of which may be reflected in the Balanced Scorecard Report. The subject matter of Satisfaction Surveys may include:</w:t>
      </w:r>
      <w:bookmarkEnd w:id="130"/>
    </w:p>
    <w:p w14:paraId="2C3DCB89" w14:textId="6D58D4DC" w:rsidR="00BC7DDA" w:rsidRPr="00BD6C5F" w:rsidRDefault="009B03E9" w:rsidP="001F3D29">
      <w:pPr>
        <w:pStyle w:val="AppendixText3"/>
      </w:pPr>
      <w:r w:rsidRPr="00BD6C5F">
        <w:t>the assessment of the Supplier</w:t>
      </w:r>
      <w:r w:rsidR="00A4555C" w:rsidRPr="00BD6C5F">
        <w:t>’</w:t>
      </w:r>
      <w:r w:rsidRPr="00BD6C5F">
        <w:t>s performance by the End Users against the agreed Key Performance Indicators and Subsidiary Performance Indicators; and/or</w:t>
      </w:r>
    </w:p>
    <w:p w14:paraId="59B5FF57" w14:textId="77777777" w:rsidR="00BC7DDA" w:rsidRPr="00BD6C5F" w:rsidRDefault="009B03E9" w:rsidP="001F3D29">
      <w:pPr>
        <w:pStyle w:val="AppendixText3"/>
      </w:pPr>
      <w:r w:rsidRPr="00BD6C5F">
        <w:t>other suggestions for improvements to the Services.</w:t>
      </w:r>
    </w:p>
    <w:p w14:paraId="5A2BABE7" w14:textId="64C69830" w:rsidR="00BC7DDA" w:rsidRPr="00BD6C5F" w:rsidRDefault="009B03E9" w:rsidP="001F3D29">
      <w:pPr>
        <w:pStyle w:val="AppendixText2"/>
      </w:pPr>
      <w:r w:rsidRPr="00BD6C5F">
        <w:t>The Authority shall reflect in the Balanced Scorecard Report any aspects of the Supplier</w:t>
      </w:r>
      <w:r w:rsidR="00A4555C" w:rsidRPr="00BD6C5F">
        <w:t>’</w:t>
      </w:r>
      <w:r w:rsidRPr="00BD6C5F">
        <w:t>s performance of the Services which the responses to the Satisfaction Surveys reasonably suggest are not meeting the Services Description.</w:t>
      </w:r>
    </w:p>
    <w:p w14:paraId="586EA49E" w14:textId="76A410C1" w:rsidR="00BC7DDA" w:rsidRPr="00BD6C5F" w:rsidRDefault="00956ECA" w:rsidP="001F3D29">
      <w:pPr>
        <w:pStyle w:val="AppendixText1"/>
      </w:pPr>
      <w:bookmarkStart w:id="131" w:name="_bookmark47"/>
      <w:bookmarkStart w:id="132" w:name="_Ref98357239"/>
      <w:bookmarkEnd w:id="131"/>
      <w:r w:rsidRPr="00BD6C5F">
        <w:t>Virtual Library Completeness</w:t>
      </w:r>
      <w:bookmarkEnd w:id="132"/>
    </w:p>
    <w:p w14:paraId="27AE2A3A" w14:textId="04D322EC" w:rsidR="00BC7DDA" w:rsidRPr="00BD6C5F" w:rsidRDefault="009B03E9" w:rsidP="001F3D29">
      <w:pPr>
        <w:pStyle w:val="AppendixText2"/>
      </w:pPr>
      <w:r w:rsidRPr="00BD6C5F">
        <w:t xml:space="preserve">The Virtual Library shall be complete where all of the information required under </w:t>
      </w:r>
      <w:r w:rsidR="00095858">
        <w:t>Annex </w:t>
      </w:r>
      <w:r w:rsidR="00095858">
        <w:fldChar w:fldCharType="begin"/>
      </w:r>
      <w:r w:rsidR="00095858">
        <w:instrText xml:space="preserve"> REF Schedule_24_Annex_3 \h </w:instrText>
      </w:r>
      <w:r w:rsidR="00095858">
        <w:fldChar w:fldCharType="separate"/>
      </w:r>
      <w:r w:rsidR="009749A0" w:rsidRPr="00BD6C5F">
        <w:t>3</w:t>
      </w:r>
      <w:r w:rsidR="00095858">
        <w:fldChar w:fldCharType="end"/>
      </w:r>
      <w:r w:rsidR="00095858" w:rsidRPr="00BD6C5F">
        <w:t xml:space="preserve"> (</w:t>
      </w:r>
      <w:r w:rsidR="00095858" w:rsidRPr="00BD6C5F">
        <w:rPr>
          <w:i/>
          <w:iCs/>
        </w:rPr>
        <w:t>Records to Upload to Virtual Library</w:t>
      </w:r>
      <w:r w:rsidR="00095858" w:rsidRPr="00BD6C5F">
        <w:t>)</w:t>
      </w:r>
      <w:r w:rsidR="00095858">
        <w:t xml:space="preserve"> of </w:t>
      </w:r>
      <w:r w:rsidR="00BF4352" w:rsidRPr="00BD6C5F">
        <w:rPr>
          <w:rFonts w:asciiTheme="minorHAnsi" w:hAnsiTheme="minorHAnsi" w:cstheme="minorHAnsi"/>
        </w:rPr>
        <w:t>Schedule </w:t>
      </w:r>
      <w:r w:rsidR="00BF4352">
        <w:rPr>
          <w:rFonts w:asciiTheme="minorHAnsi" w:hAnsiTheme="minorHAnsi" w:cstheme="minorHAnsi"/>
        </w:rPr>
        <w:fldChar w:fldCharType="begin"/>
      </w:r>
      <w:r w:rsidR="00BF4352">
        <w:rPr>
          <w:rFonts w:asciiTheme="minorHAnsi" w:hAnsiTheme="minorHAnsi" w:cstheme="minorHAnsi"/>
        </w:rPr>
        <w:instrText xml:space="preserve"> REF Schedule_24 \h </w:instrText>
      </w:r>
      <w:r w:rsidR="00BF4352">
        <w:rPr>
          <w:rFonts w:asciiTheme="minorHAnsi" w:hAnsiTheme="minorHAnsi" w:cstheme="minorHAnsi"/>
        </w:rPr>
      </w:r>
      <w:r w:rsidR="00BF4352">
        <w:rPr>
          <w:rFonts w:asciiTheme="minorHAnsi" w:hAnsiTheme="minorHAnsi" w:cstheme="minorHAnsi"/>
        </w:rPr>
        <w:fldChar w:fldCharType="separate"/>
      </w:r>
      <w:r w:rsidR="009749A0">
        <w:t>24</w:t>
      </w:r>
      <w:r w:rsidR="00BF4352">
        <w:rPr>
          <w:rFonts w:asciiTheme="minorHAnsi" w:hAnsiTheme="minorHAnsi" w:cstheme="minorHAnsi"/>
        </w:rPr>
        <w:fldChar w:fldCharType="end"/>
      </w:r>
      <w:r w:rsidRPr="00BD6C5F">
        <w:t xml:space="preserve"> (</w:t>
      </w:r>
      <w:r w:rsidRPr="00BD6C5F">
        <w:rPr>
          <w:i/>
        </w:rPr>
        <w:t>Reports and Records Provisions</w:t>
      </w:r>
      <w:r w:rsidRPr="00BD6C5F">
        <w:t xml:space="preserve">) has been uploaded to the Virtual Library in accordance with Paragraph </w:t>
      </w:r>
      <w:r w:rsidR="004A0075" w:rsidRPr="00BD6C5F">
        <w:fldChar w:fldCharType="begin"/>
      </w:r>
      <w:r w:rsidR="004A0075" w:rsidRPr="00BD6C5F">
        <w:instrText xml:space="preserve"> REF _Ref98357414 \w \h </w:instrText>
      </w:r>
      <w:r w:rsidR="00AD7DD0" w:rsidRPr="00BD6C5F">
        <w:instrText xml:space="preserve"> \* MERGEFORMAT </w:instrText>
      </w:r>
      <w:r w:rsidR="004A0075" w:rsidRPr="00BD6C5F">
        <w:fldChar w:fldCharType="separate"/>
      </w:r>
      <w:r w:rsidR="009749A0">
        <w:t>3</w:t>
      </w:r>
      <w:r w:rsidR="004A0075" w:rsidRPr="00BD6C5F">
        <w:fldChar w:fldCharType="end"/>
      </w:r>
      <w:r w:rsidRPr="00BD6C5F">
        <w:t xml:space="preserve"> of that Schedule.</w:t>
      </w:r>
    </w:p>
    <w:p w14:paraId="48B56419" w14:textId="77777777" w:rsidR="00B24C98" w:rsidRPr="00BD6C5F" w:rsidRDefault="00B24C98" w:rsidP="00B24C98">
      <w:pPr>
        <w:rPr>
          <w:rFonts w:asciiTheme="minorHAnsi" w:hAnsiTheme="minorHAnsi" w:cstheme="minorHAnsi"/>
        </w:rPr>
      </w:pPr>
    </w:p>
    <w:p w14:paraId="2FF67411" w14:textId="77777777" w:rsidR="00B24C98" w:rsidRPr="00BD6C5F" w:rsidRDefault="00B24C98" w:rsidP="00B24C98">
      <w:pPr>
        <w:rPr>
          <w:rFonts w:asciiTheme="minorHAnsi" w:hAnsiTheme="minorHAnsi" w:cstheme="minorHAnsi"/>
        </w:rPr>
        <w:sectPr w:rsidR="00B24C98" w:rsidRPr="00BD6C5F" w:rsidSect="00EA65BF">
          <w:footerReference w:type="default" r:id="rId33"/>
          <w:pgSz w:w="11910" w:h="16840"/>
          <w:pgMar w:top="1701" w:right="851" w:bottom="1134" w:left="851" w:header="567" w:footer="567" w:gutter="0"/>
          <w:cols w:space="720"/>
        </w:sectPr>
      </w:pPr>
    </w:p>
    <w:p w14:paraId="38758D17" w14:textId="4179E655" w:rsidR="00175B22" w:rsidRDefault="00175B22" w:rsidP="00175B22">
      <w:pPr>
        <w:pStyle w:val="Dividername"/>
      </w:pPr>
      <w:bookmarkStart w:id="133" w:name="_Ref98252877"/>
      <w:bookmarkStart w:id="134" w:name="_Ref98252989"/>
      <w:bookmarkStart w:id="135" w:name="_Toc98332707"/>
      <w:bookmarkStart w:id="136" w:name="_Toc98852884"/>
      <w:r>
        <w:lastRenderedPageBreak/>
        <w:t xml:space="preserve">Schedule </w:t>
      </w:r>
      <w:bookmarkStart w:id="137" w:name="Schedule_4"/>
      <w:r>
        <w:t>4</w:t>
      </w:r>
      <w:bookmarkEnd w:id="137"/>
    </w:p>
    <w:p w14:paraId="10B273BD" w14:textId="7B1B628F" w:rsidR="00175B22" w:rsidRDefault="00175B22" w:rsidP="00175B22">
      <w:pPr>
        <w:pStyle w:val="Dividername"/>
      </w:pPr>
      <w:r w:rsidRPr="00175B22">
        <w:t>Standards</w:t>
      </w:r>
    </w:p>
    <w:p w14:paraId="290EDEF8" w14:textId="77777777" w:rsidR="00175B22" w:rsidRDefault="00175B22" w:rsidP="00175B22"/>
    <w:p w14:paraId="09DAB94A" w14:textId="628CB3F8" w:rsidR="00BC7DDA" w:rsidRPr="00BD6C5F" w:rsidRDefault="001312D6" w:rsidP="00175B22">
      <w:pPr>
        <w:pStyle w:val="Heading1"/>
        <w:pageBreakBefore/>
      </w:pPr>
      <w:bookmarkStart w:id="138" w:name="_Toc141720977"/>
      <w:r w:rsidRPr="00BD6C5F">
        <w:lastRenderedPageBreak/>
        <w:t>Schedule 4</w:t>
      </w:r>
      <w:r w:rsidR="00DA04BE" w:rsidRPr="00BD6C5F">
        <w:t>:</w:t>
      </w:r>
      <w:r w:rsidRPr="00BD6C5F">
        <w:t xml:space="preserve"> Standards</w:t>
      </w:r>
      <w:bookmarkEnd w:id="133"/>
      <w:bookmarkEnd w:id="134"/>
      <w:bookmarkEnd w:id="135"/>
      <w:bookmarkEnd w:id="136"/>
      <w:bookmarkEnd w:id="138"/>
    </w:p>
    <w:p w14:paraId="6DECDD62" w14:textId="3543C088" w:rsidR="00B800B0" w:rsidRPr="00BD6C5F" w:rsidRDefault="00B800B0" w:rsidP="00583A8A">
      <w:pPr>
        <w:pStyle w:val="ListParagraph"/>
        <w:keepNext/>
        <w:tabs>
          <w:tab w:val="left" w:pos="820"/>
          <w:tab w:val="left" w:pos="821"/>
        </w:tabs>
        <w:spacing w:before="100" w:after="200"/>
        <w:ind w:left="0" w:firstLine="0"/>
        <w:jc w:val="center"/>
        <w:rPr>
          <w:rFonts w:asciiTheme="minorHAnsi" w:hAnsiTheme="minorHAnsi" w:cstheme="minorHAnsi"/>
          <w:b/>
          <w:szCs w:val="24"/>
        </w:rPr>
      </w:pPr>
      <w:r w:rsidRPr="00BD6C5F">
        <w:rPr>
          <w:rFonts w:asciiTheme="minorHAnsi" w:hAnsiTheme="minorHAnsi" w:cstheme="minorHAnsi"/>
        </w:rPr>
        <w:t>This is the schedule referred to in the foregoing agreement betwe</w:t>
      </w:r>
      <w:r w:rsidR="00CE51D0" w:rsidRPr="00BD6C5F">
        <w:rPr>
          <w:rFonts w:asciiTheme="minorHAnsi" w:hAnsiTheme="minorHAnsi" w:cstheme="minorHAnsi"/>
        </w:rPr>
        <w:t>en [</w:t>
      </w:r>
      <w:r w:rsidR="00CE51D0" w:rsidRPr="00BD6C5F">
        <w:rPr>
          <w:rFonts w:asciiTheme="minorHAnsi" w:hAnsiTheme="minorHAnsi" w:cstheme="minorHAnsi"/>
          <w:highlight w:val="yellow"/>
        </w:rPr>
        <w:t>name of party</w:t>
      </w:r>
      <w:r w:rsidR="00CE51D0" w:rsidRPr="00BD6C5F">
        <w:rPr>
          <w:rFonts w:asciiTheme="minorHAnsi" w:hAnsiTheme="minorHAnsi" w:cstheme="minorHAnsi"/>
        </w:rPr>
        <w:t>] and [</w:t>
      </w:r>
      <w:r w:rsidR="00CE51D0" w:rsidRPr="00BD6C5F">
        <w:rPr>
          <w:rFonts w:asciiTheme="minorHAnsi" w:hAnsiTheme="minorHAnsi" w:cstheme="minorHAnsi"/>
          <w:highlight w:val="yellow"/>
        </w:rPr>
        <w:t>name</w:t>
      </w:r>
      <w:r w:rsidR="00F22DBD" w:rsidRPr="00BD6C5F">
        <w:rPr>
          <w:rFonts w:asciiTheme="minorHAnsi" w:hAnsiTheme="minorHAnsi" w:cstheme="minorHAnsi"/>
          <w:highlight w:val="yellow"/>
        </w:rPr>
        <w:t> </w:t>
      </w:r>
      <w:r w:rsidR="00CE51D0" w:rsidRPr="00BD6C5F">
        <w:rPr>
          <w:rFonts w:asciiTheme="minorHAnsi" w:hAnsiTheme="minorHAnsi" w:cstheme="minorHAnsi"/>
          <w:highlight w:val="yellow"/>
        </w:rPr>
        <w:t>of party</w:t>
      </w:r>
      <w:r w:rsidR="00CE51D0" w:rsidRPr="00BD6C5F">
        <w:rPr>
          <w:rFonts w:asciiTheme="minorHAnsi" w:hAnsiTheme="minorHAnsi" w:cstheme="minorHAnsi"/>
        </w:rPr>
        <w:t>] dated [</w:t>
      </w:r>
      <w:r w:rsidR="00CE51D0" w:rsidRPr="00BD6C5F">
        <w:rPr>
          <w:rFonts w:asciiTheme="minorHAnsi" w:hAnsiTheme="minorHAnsi" w:cstheme="minorHAnsi"/>
          <w:highlight w:val="yellow"/>
        </w:rPr>
        <w:t>date</w:t>
      </w:r>
      <w:r w:rsidR="00CE51D0" w:rsidRPr="00BD6C5F">
        <w:rPr>
          <w:rFonts w:asciiTheme="minorHAnsi" w:hAnsiTheme="minorHAnsi" w:cstheme="minorHAnsi"/>
        </w:rPr>
        <w:t>]</w:t>
      </w:r>
    </w:p>
    <w:p w14:paraId="28DF27D7" w14:textId="02924378" w:rsidR="00BC7DDA" w:rsidRPr="00BD6C5F" w:rsidRDefault="00956ECA" w:rsidP="00B71FC0">
      <w:pPr>
        <w:pStyle w:val="Numbered1"/>
        <w:numPr>
          <w:ilvl w:val="0"/>
          <w:numId w:val="82"/>
        </w:numPr>
      </w:pPr>
      <w:r w:rsidRPr="00BD6C5F">
        <w:t>Definitions</w:t>
      </w:r>
    </w:p>
    <w:p w14:paraId="1A19ECF8" w14:textId="77777777" w:rsidR="00BC7DDA" w:rsidRPr="00BD6C5F" w:rsidRDefault="009B03E9" w:rsidP="003E785F">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71131946" w14:textId="77777777" w:rsidTr="007A12DA">
        <w:trPr>
          <w:trHeight w:val="976"/>
        </w:trPr>
        <w:tc>
          <w:tcPr>
            <w:tcW w:w="3572" w:type="dxa"/>
          </w:tcPr>
          <w:p w14:paraId="1B2DEA7C" w14:textId="526741CE" w:rsidR="00BC7DDA" w:rsidRPr="00BD6C5F" w:rsidRDefault="00A4555C" w:rsidP="001312D6">
            <w:pPr>
              <w:pStyle w:val="Tabletext"/>
              <w:rPr>
                <w:b/>
                <w:bCs/>
              </w:rPr>
            </w:pPr>
            <w:r w:rsidRPr="00BD6C5F">
              <w:rPr>
                <w:b/>
                <w:bCs/>
              </w:rPr>
              <w:t>“</w:t>
            </w:r>
            <w:r w:rsidR="009B03E9" w:rsidRPr="00BD6C5F">
              <w:rPr>
                <w:b/>
                <w:bCs/>
              </w:rPr>
              <w:t>Standards Hub</w:t>
            </w:r>
            <w:r w:rsidRPr="00BD6C5F">
              <w:rPr>
                <w:b/>
                <w:bCs/>
              </w:rPr>
              <w:t>”</w:t>
            </w:r>
          </w:p>
        </w:tc>
        <w:tc>
          <w:tcPr>
            <w:tcW w:w="5953" w:type="dxa"/>
          </w:tcPr>
          <w:p w14:paraId="4B8965CC" w14:textId="26A30046" w:rsidR="00BC7DDA" w:rsidRPr="00BD6C5F" w:rsidRDefault="009B03E9" w:rsidP="001312D6">
            <w:pPr>
              <w:pStyle w:val="Tabletext"/>
            </w:pPr>
            <w:r w:rsidRPr="00BD6C5F">
              <w:t>the Government</w:t>
            </w:r>
            <w:r w:rsidR="00A4555C" w:rsidRPr="00BD6C5F">
              <w:t>’</w:t>
            </w:r>
            <w:r w:rsidRPr="00BD6C5F">
              <w:t xml:space="preserve">s open and transparent standards adoption process as documented at </w:t>
            </w:r>
            <w:hyperlink r:id="rId34" w:history="1">
              <w:r w:rsidR="001312D6" w:rsidRPr="00BD6C5F">
                <w:rPr>
                  <w:rStyle w:val="Hyperlink"/>
                </w:rPr>
                <w:t>http://standards.data.gov.uk/</w:t>
              </w:r>
            </w:hyperlink>
            <w:r w:rsidRPr="00BD6C5F">
              <w:t>; and</w:t>
            </w:r>
          </w:p>
        </w:tc>
      </w:tr>
      <w:tr w:rsidR="00BC7DDA" w:rsidRPr="00BD6C5F" w14:paraId="18DB2A49" w14:textId="77777777" w:rsidTr="007A12DA">
        <w:trPr>
          <w:trHeight w:val="971"/>
        </w:trPr>
        <w:tc>
          <w:tcPr>
            <w:tcW w:w="3572" w:type="dxa"/>
          </w:tcPr>
          <w:p w14:paraId="04BD8E4A" w14:textId="55097128" w:rsidR="00BC7DDA" w:rsidRPr="00BD6C5F" w:rsidRDefault="00A4555C" w:rsidP="001312D6">
            <w:pPr>
              <w:pStyle w:val="Tabletext"/>
              <w:rPr>
                <w:b/>
                <w:bCs/>
              </w:rPr>
            </w:pPr>
            <w:r w:rsidRPr="00BD6C5F">
              <w:rPr>
                <w:b/>
                <w:bCs/>
              </w:rPr>
              <w:t>“</w:t>
            </w:r>
            <w:r w:rsidR="009B03E9" w:rsidRPr="00BD6C5F">
              <w:rPr>
                <w:b/>
                <w:bCs/>
              </w:rPr>
              <w:t>Suggested Challenge</w:t>
            </w:r>
            <w:r w:rsidRPr="00BD6C5F">
              <w:rPr>
                <w:b/>
                <w:bCs/>
              </w:rPr>
              <w:t>”</w:t>
            </w:r>
          </w:p>
        </w:tc>
        <w:tc>
          <w:tcPr>
            <w:tcW w:w="5953" w:type="dxa"/>
          </w:tcPr>
          <w:p w14:paraId="77086A19" w14:textId="77777777" w:rsidR="00BC7DDA" w:rsidRPr="00BD6C5F" w:rsidRDefault="009B03E9" w:rsidP="001312D6">
            <w:pPr>
              <w:pStyle w:val="Tabletext"/>
            </w:pPr>
            <w:r w:rsidRPr="00BD6C5F">
              <w:t>a submission to suggest the adoption of new or emergent standards in the format specified on Standards Hub.</w:t>
            </w:r>
          </w:p>
        </w:tc>
      </w:tr>
    </w:tbl>
    <w:p w14:paraId="1D33B7C2" w14:textId="3C3DA201" w:rsidR="00BC7DDA" w:rsidRPr="00BD6C5F" w:rsidRDefault="00956ECA" w:rsidP="00C5057A">
      <w:pPr>
        <w:pStyle w:val="Numbered1"/>
      </w:pPr>
      <w:bookmarkStart w:id="139" w:name="_bookmark50"/>
      <w:bookmarkStart w:id="140" w:name="_Ref98357561"/>
      <w:bookmarkEnd w:id="139"/>
      <w:r w:rsidRPr="00BD6C5F">
        <w:t>General</w:t>
      </w:r>
      <w:bookmarkEnd w:id="140"/>
    </w:p>
    <w:p w14:paraId="641D5BC6" w14:textId="0E7C3201" w:rsidR="00BC7DDA" w:rsidRPr="00BD6C5F" w:rsidRDefault="009B03E9" w:rsidP="00C5057A">
      <w:pPr>
        <w:pStyle w:val="Numbered11"/>
      </w:pPr>
      <w:bookmarkStart w:id="141" w:name="_Ref98357682"/>
      <w:r w:rsidRPr="00BD6C5F">
        <w:t xml:space="preserve">Throughout the term of this </w:t>
      </w:r>
      <w:r w:rsidR="00C25F8D" w:rsidRPr="00BD6C5F">
        <w:t>Contract</w:t>
      </w:r>
      <w:r w:rsidRPr="00BD6C5F">
        <w:t>, the Parties shall monitor and notify each other of any new or emergent standards which could affect the Supplier</w:t>
      </w:r>
      <w:r w:rsidR="00A4555C" w:rsidRPr="00BD6C5F">
        <w:t>’</w:t>
      </w:r>
      <w:r w:rsidRPr="00BD6C5F">
        <w:t>s provision, or the Authority</w:t>
      </w:r>
      <w:r w:rsidR="00A4555C" w:rsidRPr="00BD6C5F">
        <w:t>’</w:t>
      </w:r>
      <w:r w:rsidRPr="00BD6C5F">
        <w:t>s receipt, of the Services. Any changes to the Standards, including the adoption of any such new or emergent standard, shall be agreed in accordance with the Change Control Procedure.</w:t>
      </w:r>
      <w:bookmarkEnd w:id="141"/>
    </w:p>
    <w:p w14:paraId="5556B403" w14:textId="5C10DE22" w:rsidR="00BC7DDA" w:rsidRPr="00BD6C5F" w:rsidRDefault="009B03E9" w:rsidP="00C5057A">
      <w:pPr>
        <w:pStyle w:val="Numbered11"/>
      </w:pPr>
      <w:bookmarkStart w:id="142" w:name="_bookmark51"/>
      <w:bookmarkStart w:id="143" w:name="_Ref98357513"/>
      <w:bookmarkEnd w:id="142"/>
      <w:r w:rsidRPr="00BD6C5F">
        <w:t>Where a new or emergent standard is to be developed or introduced by the Authority, the Supplier shall be responsible for ensuring that the potential impact on the Supplier</w:t>
      </w:r>
      <w:r w:rsidR="00A4555C" w:rsidRPr="00BD6C5F">
        <w:t>’</w:t>
      </w:r>
      <w:r w:rsidRPr="00BD6C5F">
        <w:t>s provision, or the Authority</w:t>
      </w:r>
      <w:r w:rsidR="00A4555C" w:rsidRPr="00BD6C5F">
        <w:t>’</w:t>
      </w:r>
      <w:r w:rsidRPr="00BD6C5F">
        <w:t>s receipt, of the Services is explained to the Authority (in a reasonable timeframe), prior to the implementation of the new or emergent standard.</w:t>
      </w:r>
      <w:bookmarkEnd w:id="143"/>
    </w:p>
    <w:p w14:paraId="7A44C54E" w14:textId="77777777" w:rsidR="00BC7DDA" w:rsidRPr="00BD6C5F" w:rsidRDefault="009B03E9" w:rsidP="00C5057A">
      <w:pPr>
        <w:pStyle w:val="Numbered11"/>
      </w:pPr>
      <w:r w:rsidRPr="00BD6C5F">
        <w:t>Where Standards referenced conflict with each other or with Good Industry Practice, then the later Standard or best practice shall be adopted by the Supplier. Any such alteration to any Standard(s) shall require the prior written agreement of the Authority and shall be implemented within an agreed timescale.</w:t>
      </w:r>
    </w:p>
    <w:p w14:paraId="3B5248F5" w14:textId="79614278" w:rsidR="00BC7DDA" w:rsidRPr="00BD6C5F" w:rsidRDefault="00956ECA" w:rsidP="00C5057A">
      <w:pPr>
        <w:pStyle w:val="Numbered1"/>
      </w:pPr>
      <w:r w:rsidRPr="00BD6C5F">
        <w:t>Technology and Digital Services Practice</w:t>
      </w:r>
    </w:p>
    <w:p w14:paraId="5EC5B026" w14:textId="1299F03B" w:rsidR="00BC7DDA" w:rsidRPr="00BD6C5F" w:rsidRDefault="009B03E9" w:rsidP="00C5057A">
      <w:pPr>
        <w:pStyle w:val="Numbered11"/>
      </w:pPr>
      <w:bookmarkStart w:id="144" w:name="_Ref98357691"/>
      <w:r w:rsidRPr="00BD6C5F">
        <w:t>The Supplier shall (when designing, implementing and delivering the Services) adopt the applicable elements of HM Government</w:t>
      </w:r>
      <w:r w:rsidR="00A4555C" w:rsidRPr="00BD6C5F">
        <w:t>’</w:t>
      </w:r>
      <w:r w:rsidRPr="00BD6C5F">
        <w:t xml:space="preserve">s Technology Code of Practice as documented at </w:t>
      </w:r>
      <w:hyperlink r:id="rId35" w:history="1">
        <w:r w:rsidR="003B4494" w:rsidRPr="00BD6C5F">
          <w:rPr>
            <w:rStyle w:val="Hyperlink"/>
          </w:rPr>
          <w:t>https://www.gov.uk/service-manual/technology/code-of-practice.html</w:t>
        </w:r>
      </w:hyperlink>
      <w:r w:rsidRPr="00BD6C5F">
        <w:t>.</w:t>
      </w:r>
      <w:bookmarkEnd w:id="144"/>
    </w:p>
    <w:p w14:paraId="61039724" w14:textId="66C2B07E" w:rsidR="00BC7DDA" w:rsidRPr="00BD6C5F" w:rsidRDefault="00956ECA" w:rsidP="00C5057A">
      <w:pPr>
        <w:pStyle w:val="Numbered1"/>
      </w:pPr>
      <w:bookmarkStart w:id="145" w:name="_bookmark52"/>
      <w:bookmarkStart w:id="146" w:name="_Ref98357570"/>
      <w:bookmarkEnd w:id="145"/>
      <w:r w:rsidRPr="00BD6C5F">
        <w:t>Open Data Standards &amp; Standards Hub</w:t>
      </w:r>
      <w:bookmarkEnd w:id="146"/>
    </w:p>
    <w:p w14:paraId="61CA2B26" w14:textId="75361231" w:rsidR="00BC7DDA" w:rsidRPr="00BD6C5F" w:rsidRDefault="009B03E9" w:rsidP="00C5057A">
      <w:pPr>
        <w:pStyle w:val="Numbered11"/>
      </w:pPr>
      <w:bookmarkStart w:id="147" w:name="_bookmark53"/>
      <w:bookmarkStart w:id="148" w:name="_Ref98357529"/>
      <w:bookmarkEnd w:id="147"/>
      <w:r w:rsidRPr="00BD6C5F">
        <w:t>The Supplier shall comply to the extent within its control with UK Government</w:t>
      </w:r>
      <w:r w:rsidR="00A4555C" w:rsidRPr="00BD6C5F">
        <w:t>’</w:t>
      </w:r>
      <w:r w:rsidRPr="00BD6C5F">
        <w:t xml:space="preserve">s Open Standards Principles as documented at </w:t>
      </w:r>
      <w:hyperlink r:id="rId36" w:history="1">
        <w:r w:rsidR="003B4494" w:rsidRPr="00BD6C5F">
          <w:rPr>
            <w:rStyle w:val="Hyperlink"/>
          </w:rPr>
          <w:t>https://www.gov.uk/government/publications/open-standards-principles/open-standards-principles</w:t>
        </w:r>
      </w:hyperlink>
      <w:r w:rsidRPr="00BD6C5F">
        <w:t>, as they relate to the specification of standards for software interoperability, data and document formats in the IT Environment.</w:t>
      </w:r>
      <w:bookmarkEnd w:id="148"/>
    </w:p>
    <w:p w14:paraId="7AA063D3" w14:textId="5C01AD68" w:rsidR="00BC7DDA" w:rsidRPr="00BD6C5F" w:rsidRDefault="009B03E9" w:rsidP="00C5057A">
      <w:pPr>
        <w:pStyle w:val="Numbered11"/>
      </w:pPr>
      <w:r w:rsidRPr="00BD6C5F">
        <w:t xml:space="preserve">Without prejudice to the generality of Paragraph </w:t>
      </w:r>
      <w:r w:rsidR="004A0075" w:rsidRPr="00BD6C5F">
        <w:fldChar w:fldCharType="begin"/>
      </w:r>
      <w:r w:rsidR="004A0075" w:rsidRPr="00BD6C5F">
        <w:instrText xml:space="preserve"> REF _Ref98357513 \w \h </w:instrText>
      </w:r>
      <w:r w:rsidR="00AD7DD0" w:rsidRPr="00BD6C5F">
        <w:instrText xml:space="preserve"> \* MERGEFORMAT </w:instrText>
      </w:r>
      <w:r w:rsidR="004A0075" w:rsidRPr="00BD6C5F">
        <w:fldChar w:fldCharType="separate"/>
      </w:r>
      <w:r w:rsidR="009749A0">
        <w:t>2.2</w:t>
      </w:r>
      <w:r w:rsidR="004A0075" w:rsidRPr="00BD6C5F">
        <w:fldChar w:fldCharType="end"/>
      </w:r>
      <w:r w:rsidRPr="00BD6C5F">
        <w:t xml:space="preserve">, the Supplier shall, when implementing or updating a technical component or part of the Software or Supplier Solution where there is a requirement under this </w:t>
      </w:r>
      <w:r w:rsidR="00C25F8D" w:rsidRPr="00BD6C5F">
        <w:t xml:space="preserve">Contract </w:t>
      </w:r>
      <w:r w:rsidRPr="00BD6C5F">
        <w:t xml:space="preserve">or opportunity to use a new or </w:t>
      </w:r>
      <w:r w:rsidRPr="00BD6C5F">
        <w:lastRenderedPageBreak/>
        <w:t>emergent standard, submit a Suggested</w:t>
      </w:r>
      <w:r w:rsidR="00DB2677" w:rsidRPr="00BD6C5F">
        <w:t xml:space="preserve"> </w:t>
      </w:r>
      <w:r w:rsidRPr="00BD6C5F">
        <w:t>Challenge compliant with the UK Government</w:t>
      </w:r>
      <w:r w:rsidR="00A4555C" w:rsidRPr="00BD6C5F">
        <w:t>’</w:t>
      </w:r>
      <w:r w:rsidRPr="00BD6C5F">
        <w:t xml:space="preserve">s Open Standards Principles (using the process detailed on Standards Hub and documented at </w:t>
      </w:r>
      <w:hyperlink r:id="rId37" w:history="1">
        <w:r w:rsidR="003B4494" w:rsidRPr="00BD6C5F">
          <w:rPr>
            <w:rStyle w:val="Hyperlink"/>
          </w:rPr>
          <w:t>http://standards.data.gov.uk/</w:t>
        </w:r>
      </w:hyperlink>
      <w:r w:rsidRPr="00BD6C5F">
        <w:t xml:space="preserve">). Each Suggested Challenge submitted by the Supplier shall detail, subject to the security and confidentiality provisions in this </w:t>
      </w:r>
      <w:r w:rsidR="00C25F8D" w:rsidRPr="00BD6C5F">
        <w:t>Contract</w:t>
      </w:r>
      <w:r w:rsidRPr="00BD6C5F">
        <w:t>, an illustration of such requirement or opportunity within the IT Environment, Supplier Solution and Government</w:t>
      </w:r>
      <w:r w:rsidR="00A4555C" w:rsidRPr="00BD6C5F">
        <w:t>’</w:t>
      </w:r>
      <w:r w:rsidRPr="00BD6C5F">
        <w:t>s IT infrastructure and the suggested open standard.</w:t>
      </w:r>
    </w:p>
    <w:p w14:paraId="7622836B" w14:textId="3E2CFD32" w:rsidR="00BC7DDA" w:rsidRPr="00BD6C5F" w:rsidRDefault="009B03E9" w:rsidP="00C5057A">
      <w:pPr>
        <w:pStyle w:val="Numbered11"/>
      </w:pPr>
      <w:r w:rsidRPr="00BD6C5F">
        <w:t xml:space="preserve">The Supplier shall ensure that all documentation published on behalf of the Authority pursuant to this </w:t>
      </w:r>
      <w:r w:rsidR="00C25F8D" w:rsidRPr="00BD6C5F">
        <w:t>Contract</w:t>
      </w:r>
      <w:r w:rsidR="00162C61" w:rsidRPr="00BD6C5F">
        <w:t xml:space="preserve"> </w:t>
      </w:r>
      <w:r w:rsidRPr="00BD6C5F">
        <w:t xml:space="preserve">is provided in a non-proprietary format (such as PDF or Open Document Format (ISO 26300 or equivalent)) as well as any native file format documentation in accordance with the obligation under Paragraph </w:t>
      </w:r>
      <w:r w:rsidR="004A0075" w:rsidRPr="00BD6C5F">
        <w:fldChar w:fldCharType="begin"/>
      </w:r>
      <w:r w:rsidR="004A0075" w:rsidRPr="00BD6C5F">
        <w:instrText xml:space="preserve"> REF _Ref98357529 \w \h </w:instrText>
      </w:r>
      <w:r w:rsidR="00AD7DD0" w:rsidRPr="00BD6C5F">
        <w:instrText xml:space="preserve"> \* MERGEFORMAT </w:instrText>
      </w:r>
      <w:r w:rsidR="004A0075" w:rsidRPr="00BD6C5F">
        <w:fldChar w:fldCharType="separate"/>
      </w:r>
      <w:r w:rsidR="009749A0">
        <w:t>4.1</w:t>
      </w:r>
      <w:r w:rsidR="004A0075" w:rsidRPr="00BD6C5F">
        <w:fldChar w:fldCharType="end"/>
      </w:r>
      <w:r w:rsidRPr="00BD6C5F">
        <w:t xml:space="preserve"> to comply with the UK Government</w:t>
      </w:r>
      <w:r w:rsidR="00A4555C" w:rsidRPr="00BD6C5F">
        <w:t>’</w:t>
      </w:r>
      <w:r w:rsidRPr="00BD6C5F">
        <w:t>s Open Standards Principles, unless the Authority otherwise agrees in writing.</w:t>
      </w:r>
    </w:p>
    <w:p w14:paraId="2518A41F" w14:textId="7993FD3E" w:rsidR="00BC7DDA" w:rsidRPr="00BD6C5F" w:rsidRDefault="00956ECA" w:rsidP="00C5057A">
      <w:pPr>
        <w:pStyle w:val="Numbered1"/>
      </w:pPr>
      <w:r w:rsidRPr="00BD6C5F">
        <w:t>Technology Architecture Standards</w:t>
      </w:r>
    </w:p>
    <w:p w14:paraId="3D5D03AA" w14:textId="77777777" w:rsidR="00BC7DDA" w:rsidRPr="00BD6C5F" w:rsidRDefault="009B03E9" w:rsidP="00C5057A">
      <w:pPr>
        <w:pStyle w:val="Numbered11"/>
      </w:pPr>
      <w:r w:rsidRPr="00BD6C5F">
        <w:t>The Supplier shall produce full and detailed technical architecture documentation for the Supplier Solution in accordance with Good Industry Practice. If documentation exists that complies with the Open Group Architecture Framework 9.2 or its equivalent, then this shall be deemed acceptable.</w:t>
      </w:r>
    </w:p>
    <w:p w14:paraId="346278C2" w14:textId="39EAD2DC" w:rsidR="00BC7DDA" w:rsidRPr="00BD6C5F" w:rsidRDefault="00956ECA" w:rsidP="00C5057A">
      <w:pPr>
        <w:pStyle w:val="Numbered1"/>
      </w:pPr>
      <w:r w:rsidRPr="00BD6C5F">
        <w:t>Accessible Digital Standards</w:t>
      </w:r>
    </w:p>
    <w:p w14:paraId="40BF88D0" w14:textId="77777777" w:rsidR="00BC7DDA" w:rsidRPr="00BD6C5F" w:rsidRDefault="009B03E9" w:rsidP="003E785F">
      <w:pPr>
        <w:pStyle w:val="Numbered11"/>
        <w:keepNext/>
      </w:pPr>
      <w:r w:rsidRPr="00BD6C5F">
        <w:t>The Supplier shall comply with (or with equivalents to):</w:t>
      </w:r>
    </w:p>
    <w:p w14:paraId="0EF06157" w14:textId="77777777" w:rsidR="00BC7DDA" w:rsidRPr="00BD6C5F" w:rsidRDefault="009B03E9" w:rsidP="00C5057A">
      <w:pPr>
        <w:pStyle w:val="Numbered111"/>
      </w:pPr>
      <w:r w:rsidRPr="00BD6C5F">
        <w:t>the World Wide Web Consortium (W3C) Web Accessibility Initiative (WAI) Web Content Accessibility Guidelines (WCAG) 2.1 Conformance Level AA; and</w:t>
      </w:r>
    </w:p>
    <w:p w14:paraId="36D30EEA" w14:textId="77777777" w:rsidR="00BC7DDA" w:rsidRPr="00BD6C5F" w:rsidRDefault="009B03E9" w:rsidP="00C5057A">
      <w:pPr>
        <w:pStyle w:val="Numbered111"/>
      </w:pPr>
      <w:r w:rsidRPr="00BD6C5F">
        <w:t>ISO/IEC 13066-1: 2011 Information Technology – Interoperability with assistive technology (AT) – Part 1: Requirements and recommendations for interoperability.</w:t>
      </w:r>
    </w:p>
    <w:p w14:paraId="59EFE559" w14:textId="175B90B7" w:rsidR="00BC7DDA" w:rsidRPr="00BD6C5F" w:rsidRDefault="00956ECA" w:rsidP="00C5057A">
      <w:pPr>
        <w:pStyle w:val="Numbered1"/>
      </w:pPr>
      <w:r w:rsidRPr="00BD6C5F">
        <w:t>Service Management Software &amp; Standards</w:t>
      </w:r>
    </w:p>
    <w:p w14:paraId="633E65F7" w14:textId="4C73704E" w:rsidR="00BC7DDA" w:rsidRPr="00BD6C5F" w:rsidRDefault="009B03E9" w:rsidP="003E785F">
      <w:pPr>
        <w:pStyle w:val="Numbered11"/>
        <w:keepNext/>
      </w:pPr>
      <w:r w:rsidRPr="00BD6C5F">
        <w:t xml:space="preserve">Subject to Paragraphs </w:t>
      </w:r>
      <w:r w:rsidR="008C50E5" w:rsidRPr="00BD6C5F">
        <w:fldChar w:fldCharType="begin"/>
      </w:r>
      <w:r w:rsidR="008C50E5" w:rsidRPr="00BD6C5F">
        <w:instrText xml:space="preserve"> REF _Ref98357561 \w \h </w:instrText>
      </w:r>
      <w:r w:rsidR="00AD7DD0" w:rsidRPr="00BD6C5F">
        <w:instrText xml:space="preserve"> \* MERGEFORMAT </w:instrText>
      </w:r>
      <w:r w:rsidR="008C50E5" w:rsidRPr="00BD6C5F">
        <w:fldChar w:fldCharType="separate"/>
      </w:r>
      <w:r w:rsidR="009749A0">
        <w:t>2</w:t>
      </w:r>
      <w:r w:rsidR="008C50E5" w:rsidRPr="00BD6C5F">
        <w:fldChar w:fldCharType="end"/>
      </w:r>
      <w:r w:rsidRPr="00BD6C5F">
        <w:t xml:space="preserve"> to </w:t>
      </w:r>
      <w:r w:rsidR="008C50E5" w:rsidRPr="00BD6C5F">
        <w:fldChar w:fldCharType="begin"/>
      </w:r>
      <w:r w:rsidR="008C50E5" w:rsidRPr="00BD6C5F">
        <w:instrText xml:space="preserve"> REF _Ref98357570 \w \h </w:instrText>
      </w:r>
      <w:r w:rsidR="00AD7DD0" w:rsidRPr="00BD6C5F">
        <w:instrText xml:space="preserve"> \* MERGEFORMAT </w:instrText>
      </w:r>
      <w:r w:rsidR="008C50E5" w:rsidRPr="00BD6C5F">
        <w:fldChar w:fldCharType="separate"/>
      </w:r>
      <w:r w:rsidR="009749A0">
        <w:t>4</w:t>
      </w:r>
      <w:r w:rsidR="008C50E5" w:rsidRPr="00BD6C5F">
        <w:fldChar w:fldCharType="end"/>
      </w:r>
      <w:r w:rsidRPr="00BD6C5F">
        <w:t xml:space="preserve"> (inclusive), the Supplier shall reference relevant industry and HM Government standards and best practice guidelines in the management of the Services, including the following and/or their equivalents:</w:t>
      </w:r>
    </w:p>
    <w:p w14:paraId="6BDA9E61" w14:textId="77777777" w:rsidR="00BC7DDA" w:rsidRPr="00BD6C5F" w:rsidRDefault="009B03E9" w:rsidP="00C5057A">
      <w:pPr>
        <w:pStyle w:val="Numbered111"/>
      </w:pPr>
      <w:r w:rsidRPr="00BD6C5F">
        <w:t>ITIL v4;</w:t>
      </w:r>
    </w:p>
    <w:p w14:paraId="3CFACD6C" w14:textId="7B0D7ADE" w:rsidR="00BC7DDA" w:rsidRPr="00F63080" w:rsidRDefault="009B03E9" w:rsidP="00C5057A">
      <w:pPr>
        <w:pStyle w:val="Numbered111"/>
        <w:rPr>
          <w:lang w:val="fr-FR"/>
        </w:rPr>
      </w:pPr>
      <w:r w:rsidRPr="00F63080">
        <w:rPr>
          <w:lang w:val="fr-FR"/>
        </w:rPr>
        <w:t xml:space="preserve">ISO/IEC 20000-1 2018 </w:t>
      </w:r>
      <w:r w:rsidR="00A4555C" w:rsidRPr="00F63080">
        <w:rPr>
          <w:lang w:val="fr-FR"/>
        </w:rPr>
        <w:t>“</w:t>
      </w:r>
      <w:r w:rsidRPr="00F63080">
        <w:rPr>
          <w:lang w:val="fr-FR"/>
        </w:rPr>
        <w:t>Information technology — Service management – Part</w:t>
      </w:r>
      <w:r w:rsidR="00F22DBD" w:rsidRPr="00F63080">
        <w:rPr>
          <w:lang w:val="fr-FR"/>
        </w:rPr>
        <w:t> </w:t>
      </w:r>
      <w:r w:rsidRPr="00F63080">
        <w:rPr>
          <w:lang w:val="fr-FR"/>
        </w:rPr>
        <w:t>1</w:t>
      </w:r>
      <w:r w:rsidR="00A4555C" w:rsidRPr="00F63080">
        <w:rPr>
          <w:lang w:val="fr-FR"/>
        </w:rPr>
        <w:t>”</w:t>
      </w:r>
      <w:r w:rsidRPr="00F63080">
        <w:rPr>
          <w:lang w:val="fr-FR"/>
        </w:rPr>
        <w:t>;</w:t>
      </w:r>
    </w:p>
    <w:p w14:paraId="7CA78E82" w14:textId="6E22E43B" w:rsidR="00BC7DDA" w:rsidRPr="00F63080" w:rsidRDefault="009B03E9" w:rsidP="00C5057A">
      <w:pPr>
        <w:pStyle w:val="Numbered111"/>
        <w:rPr>
          <w:lang w:val="fr-FR"/>
        </w:rPr>
      </w:pPr>
      <w:r w:rsidRPr="00F63080">
        <w:rPr>
          <w:lang w:val="fr-FR"/>
        </w:rPr>
        <w:t xml:space="preserve">ISO/IEC 20000-2 2019 </w:t>
      </w:r>
      <w:r w:rsidR="00A4555C" w:rsidRPr="00F63080">
        <w:rPr>
          <w:lang w:val="fr-FR"/>
        </w:rPr>
        <w:t>“</w:t>
      </w:r>
      <w:r w:rsidRPr="00F63080">
        <w:rPr>
          <w:lang w:val="fr-FR"/>
        </w:rPr>
        <w:t>Information technology — Service management – Part</w:t>
      </w:r>
      <w:r w:rsidR="00F22DBD" w:rsidRPr="00F63080">
        <w:rPr>
          <w:lang w:val="fr-FR"/>
        </w:rPr>
        <w:t> </w:t>
      </w:r>
      <w:r w:rsidRPr="00F63080">
        <w:rPr>
          <w:lang w:val="fr-FR"/>
        </w:rPr>
        <w:t>2</w:t>
      </w:r>
      <w:r w:rsidR="00A4555C" w:rsidRPr="00F63080">
        <w:rPr>
          <w:lang w:val="fr-FR"/>
        </w:rPr>
        <w:t>”</w:t>
      </w:r>
      <w:r w:rsidRPr="00F63080">
        <w:rPr>
          <w:lang w:val="fr-FR"/>
        </w:rPr>
        <w:t>;</w:t>
      </w:r>
    </w:p>
    <w:p w14:paraId="43130F1B" w14:textId="4CBF39A1" w:rsidR="00BC7DDA" w:rsidRPr="00BD6C5F" w:rsidRDefault="009B03E9" w:rsidP="00C5057A">
      <w:pPr>
        <w:pStyle w:val="Numbered111"/>
      </w:pPr>
      <w:r w:rsidRPr="00BD6C5F">
        <w:t xml:space="preserve">ISO 10007: 2017 </w:t>
      </w:r>
      <w:r w:rsidR="00A4555C" w:rsidRPr="00BD6C5F">
        <w:t>“</w:t>
      </w:r>
      <w:r w:rsidRPr="00BD6C5F">
        <w:t>Quality management systems – Guidelines for configuration management</w:t>
      </w:r>
      <w:r w:rsidR="00A4555C" w:rsidRPr="00BD6C5F">
        <w:t>”</w:t>
      </w:r>
      <w:r w:rsidRPr="00BD6C5F">
        <w:t>; and</w:t>
      </w:r>
    </w:p>
    <w:p w14:paraId="60369FA1" w14:textId="300406D3" w:rsidR="00BC7DDA" w:rsidRPr="00BD6C5F" w:rsidRDefault="009B03E9" w:rsidP="00C5057A">
      <w:pPr>
        <w:pStyle w:val="Numbered111"/>
      </w:pPr>
      <w:r w:rsidRPr="00BD6C5F">
        <w:t xml:space="preserve">ISO 22313:2020 </w:t>
      </w:r>
      <w:r w:rsidR="00A4555C" w:rsidRPr="00BD6C5F">
        <w:t>“</w:t>
      </w:r>
      <w:r w:rsidRPr="00BD6C5F">
        <w:t>Security and resilience. Business continuity management systems. Guidance on the use of ISO 22301</w:t>
      </w:r>
      <w:r w:rsidR="00A4555C" w:rsidRPr="00BD6C5F">
        <w:t>”</w:t>
      </w:r>
      <w:r w:rsidRPr="00BD6C5F">
        <w:t xml:space="preserve"> and, ISO/IEC 27031:2011 and ISO 22301:2019.</w:t>
      </w:r>
    </w:p>
    <w:p w14:paraId="2A96CC77" w14:textId="3ADAD96D" w:rsidR="00BC7DDA" w:rsidRPr="00BD6C5F" w:rsidRDefault="009B03E9" w:rsidP="00C5057A">
      <w:pPr>
        <w:pStyle w:val="Numbered11"/>
      </w:pPr>
      <w:r w:rsidRPr="00BD6C5F">
        <w:t xml:space="preserve">For the purposes of management of the Services and delivery performance the Supplier </w:t>
      </w:r>
      <w:r w:rsidRPr="00BD6C5F">
        <w:lastRenderedPageBreak/>
        <w:t xml:space="preserve">shall make use of Software that complies with Good Industry Practice including availability, change, incident, knowledge, problem, release &amp; deployment, request fulfilment, service asset and configuration, service catalogue, service level and service portfolio management. If such Software has been assessed under the ITIL Software Scheme as being compliant to </w:t>
      </w:r>
      <w:r w:rsidR="00A4555C" w:rsidRPr="00BD6C5F">
        <w:t>“</w:t>
      </w:r>
      <w:r w:rsidRPr="00BD6C5F">
        <w:t>Bronze Level</w:t>
      </w:r>
      <w:r w:rsidR="00A4555C" w:rsidRPr="00BD6C5F">
        <w:t>”</w:t>
      </w:r>
      <w:r w:rsidRPr="00BD6C5F">
        <w:t>, then this shall be deemed acceptable.</w:t>
      </w:r>
    </w:p>
    <w:p w14:paraId="762EB710" w14:textId="4DE917CC" w:rsidR="00BC7DDA" w:rsidRPr="00BD6C5F" w:rsidRDefault="00956ECA" w:rsidP="00C5057A">
      <w:pPr>
        <w:pStyle w:val="Numbered1"/>
      </w:pPr>
      <w:r w:rsidRPr="00BD6C5F">
        <w:t>Sustainability</w:t>
      </w:r>
    </w:p>
    <w:p w14:paraId="7931C5BD" w14:textId="2322C636" w:rsidR="00BC7DDA" w:rsidRPr="00BD6C5F" w:rsidRDefault="009B03E9" w:rsidP="00C5057A">
      <w:pPr>
        <w:pStyle w:val="Numbered11"/>
      </w:pPr>
      <w:r w:rsidRPr="00BD6C5F">
        <w:t xml:space="preserve">The Supplier shall comply with the </w:t>
      </w:r>
      <w:r w:rsidR="00C25F8D" w:rsidRPr="00BD6C5F">
        <w:t xml:space="preserve">sustainability </w:t>
      </w:r>
      <w:r w:rsidRPr="00BD6C5F">
        <w:t>requirements set out in the Annex to this Schedule.</w:t>
      </w:r>
    </w:p>
    <w:p w14:paraId="057BD747" w14:textId="557E3978" w:rsidR="00BC7DDA" w:rsidRPr="00BD6C5F" w:rsidRDefault="00956ECA" w:rsidP="00C5057A">
      <w:pPr>
        <w:pStyle w:val="Numbered1"/>
      </w:pPr>
      <w:r w:rsidRPr="00BD6C5F">
        <w:t>Hardware Safety Standards</w:t>
      </w:r>
    </w:p>
    <w:p w14:paraId="7AFE7CC1" w14:textId="77777777" w:rsidR="00BC7DDA" w:rsidRPr="00BD6C5F" w:rsidRDefault="009B03E9" w:rsidP="003E785F">
      <w:pPr>
        <w:pStyle w:val="Numbered11"/>
        <w:keepNext/>
      </w:pPr>
      <w:r w:rsidRPr="00BD6C5F">
        <w:t>The Supplier shall comply with those BS or other standards relevant to the provision of the Services, including the following or their equivalents:</w:t>
      </w:r>
    </w:p>
    <w:p w14:paraId="100500A3" w14:textId="77777777" w:rsidR="00BC7DDA" w:rsidRPr="00BD6C5F" w:rsidRDefault="009B03E9" w:rsidP="00C5057A">
      <w:pPr>
        <w:pStyle w:val="Numbered111"/>
      </w:pPr>
      <w:r w:rsidRPr="00BD6C5F">
        <w:t>any new hardware required for the delivery of the Services (including printers), shall conform to BS EN IEC 62368- 1:2020+A11:2020 or subsequent replacements. In considering where to site any such hardware, the Supplier shall consider the future working user environment and shall position the hardware sympathetically, wherever possible;</w:t>
      </w:r>
    </w:p>
    <w:p w14:paraId="2AF61EE5" w14:textId="77777777" w:rsidR="00BC7DDA" w:rsidRPr="00BD6C5F" w:rsidRDefault="009B03E9" w:rsidP="00C5057A">
      <w:pPr>
        <w:pStyle w:val="Numbered111"/>
      </w:pPr>
      <w:r w:rsidRPr="00BD6C5F">
        <w:t>any new audio, video and similar electronic apparatus required for the delivery of the Services, shall conform to the following standard: BS EN IEC 62368-1:2020+A11:2020 or any subsequent replacements;</w:t>
      </w:r>
    </w:p>
    <w:p w14:paraId="3F0BFB14" w14:textId="77777777" w:rsidR="00BC7DDA" w:rsidRPr="00BD6C5F" w:rsidRDefault="009B03E9" w:rsidP="00C5057A">
      <w:pPr>
        <w:pStyle w:val="Numbered111"/>
      </w:pPr>
      <w:r w:rsidRPr="00BD6C5F">
        <w:t>any new laser printers or scanners using lasers, required for the delivery of the Services, shall conform to either of the following safety Standards: BS EN 60825-1:2014 or any subsequent replacements; and</w:t>
      </w:r>
    </w:p>
    <w:p w14:paraId="49ABF778" w14:textId="77777777" w:rsidR="00BC7DDA" w:rsidRPr="00BD6C5F" w:rsidRDefault="009B03E9" w:rsidP="00C5057A">
      <w:pPr>
        <w:pStyle w:val="Numbered111"/>
      </w:pPr>
      <w:r w:rsidRPr="00BD6C5F">
        <w:t>any new apparatus for connection to any telecommunication network, and required for the delivery of the Services, shall conform to the following safety Standard: BS EN 62949:2017 or any subsequent replacements.</w:t>
      </w:r>
    </w:p>
    <w:p w14:paraId="6541A230" w14:textId="309BBD0F" w:rsidR="00BC7DDA" w:rsidRPr="00BD6C5F" w:rsidRDefault="009B03E9" w:rsidP="00C5057A">
      <w:pPr>
        <w:pStyle w:val="Numbered11"/>
      </w:pPr>
      <w:r w:rsidRPr="00BD6C5F">
        <w:t xml:space="preserve">Where required to do so as part of the Services, the Supplier shall perform electrical safety checks in relation to all equipment supplied under this </w:t>
      </w:r>
      <w:r w:rsidR="00C25F8D" w:rsidRPr="00BD6C5F">
        <w:t>Contract</w:t>
      </w:r>
      <w:r w:rsidR="00997A0B" w:rsidRPr="00BD6C5F">
        <w:t xml:space="preserve"> </w:t>
      </w:r>
      <w:r w:rsidRPr="00BD6C5F">
        <w:t>in accordance with the relevant health and safety regulations.</w:t>
      </w:r>
    </w:p>
    <w:p w14:paraId="61B0C116" w14:textId="54EC649F" w:rsidR="00B24C98" w:rsidRPr="00BD6C5F" w:rsidRDefault="00B24C98" w:rsidP="00B24C98">
      <w:pPr>
        <w:rPr>
          <w:rFonts w:asciiTheme="minorHAnsi" w:hAnsiTheme="minorHAnsi" w:cstheme="minorHAnsi"/>
        </w:rPr>
      </w:pPr>
    </w:p>
    <w:p w14:paraId="42F1EF1D" w14:textId="176557B3" w:rsidR="00BC7DDA" w:rsidRPr="00BD6C5F" w:rsidRDefault="00956ECA" w:rsidP="00F21094">
      <w:pPr>
        <w:pStyle w:val="Heading2"/>
        <w:pageBreakBefore/>
        <w:widowControl/>
      </w:pPr>
      <w:bookmarkStart w:id="149" w:name="_Toc98332708"/>
      <w:bookmarkStart w:id="150" w:name="_Toc98852885"/>
      <w:bookmarkStart w:id="151" w:name="_Toc141720978"/>
      <w:r w:rsidRPr="00BD6C5F">
        <w:lastRenderedPageBreak/>
        <w:t xml:space="preserve">Annex </w:t>
      </w:r>
      <w:bookmarkStart w:id="152" w:name="Schedule_4_Annex_1"/>
      <w:r w:rsidRPr="00BD6C5F">
        <w:t>1</w:t>
      </w:r>
      <w:bookmarkEnd w:id="152"/>
      <w:r w:rsidRPr="00BD6C5F">
        <w:t xml:space="preserve"> Sustainability</w:t>
      </w:r>
      <w:bookmarkEnd w:id="149"/>
      <w:bookmarkEnd w:id="150"/>
      <w:bookmarkEnd w:id="151"/>
    </w:p>
    <w:p w14:paraId="0910C2B9" w14:textId="07D091AE" w:rsidR="00C25F8D" w:rsidRPr="00BD6C5F" w:rsidRDefault="00C25F8D" w:rsidP="004957B3">
      <w:pPr>
        <w:spacing w:after="240"/>
        <w:rPr>
          <w:rFonts w:asciiTheme="minorHAnsi" w:hAnsiTheme="minorHAnsi" w:cstheme="minorHAnsi"/>
          <w:szCs w:val="24"/>
        </w:rPr>
      </w:pPr>
      <w:r w:rsidRPr="00BD6C5F">
        <w:rPr>
          <w:rFonts w:asciiTheme="minorHAnsi" w:hAnsiTheme="minorHAnsi" w:cstheme="minorHAnsi"/>
          <w:szCs w:val="24"/>
          <w:highlight w:val="yellow"/>
        </w:rPr>
        <w:t>[</w:t>
      </w:r>
      <w:r w:rsidRPr="00B27A56">
        <w:rPr>
          <w:rFonts w:asciiTheme="minorHAnsi" w:hAnsiTheme="minorHAnsi" w:cstheme="minorHAnsi"/>
          <w:b/>
          <w:bCs/>
          <w:i/>
          <w:iCs/>
          <w:szCs w:val="24"/>
          <w:highlight w:val="yellow"/>
        </w:rPr>
        <w:t xml:space="preserve">Guidance </w:t>
      </w:r>
      <w:r w:rsidR="00D90FA5" w:rsidRPr="00B27A56">
        <w:rPr>
          <w:rFonts w:asciiTheme="minorHAnsi" w:hAnsiTheme="minorHAnsi" w:cstheme="minorHAnsi"/>
          <w:b/>
          <w:bCs/>
          <w:i/>
          <w:iCs/>
          <w:szCs w:val="24"/>
          <w:highlight w:val="yellow"/>
        </w:rPr>
        <w:t>–</w:t>
      </w:r>
      <w:r w:rsidRPr="00B27A56">
        <w:rPr>
          <w:rFonts w:asciiTheme="minorHAnsi" w:hAnsiTheme="minorHAnsi" w:cstheme="minorHAnsi"/>
          <w:b/>
          <w:bCs/>
          <w:i/>
          <w:iCs/>
          <w:szCs w:val="24"/>
          <w:highlight w:val="yellow"/>
        </w:rPr>
        <w:t xml:space="preserve"> As set out in the MSC Guidance, this annex has been designed to provide a starting point for sustainability requirements in any procurement. Authorities are expected to tailor the annex to their specific procurements. Authorities may also choose whether or not to include any </w:t>
      </w:r>
      <w:r w:rsidR="00F30118">
        <w:rPr>
          <w:rFonts w:asciiTheme="minorHAnsi" w:hAnsiTheme="minorHAnsi" w:cstheme="minorHAnsi"/>
          <w:b/>
          <w:bCs/>
          <w:i/>
          <w:iCs/>
          <w:szCs w:val="24"/>
          <w:highlight w:val="yellow"/>
        </w:rPr>
        <w:t>P</w:t>
      </w:r>
      <w:r w:rsidR="00F30118" w:rsidRPr="00B27A56">
        <w:rPr>
          <w:rFonts w:asciiTheme="minorHAnsi" w:hAnsiTheme="minorHAnsi" w:cstheme="minorHAnsi"/>
          <w:b/>
          <w:bCs/>
          <w:i/>
          <w:iCs/>
          <w:szCs w:val="24"/>
          <w:highlight w:val="yellow"/>
        </w:rPr>
        <w:t xml:space="preserve">aragraph </w:t>
      </w:r>
      <w:r w:rsidRPr="00B27A56">
        <w:rPr>
          <w:rFonts w:asciiTheme="minorHAnsi" w:hAnsiTheme="minorHAnsi" w:cstheme="minorHAnsi"/>
          <w:b/>
          <w:bCs/>
          <w:i/>
          <w:iCs/>
          <w:szCs w:val="24"/>
          <w:highlight w:val="yellow"/>
        </w:rPr>
        <w:t xml:space="preserve">or </w:t>
      </w:r>
      <w:r w:rsidR="00F30118">
        <w:rPr>
          <w:rFonts w:asciiTheme="minorHAnsi" w:hAnsiTheme="minorHAnsi" w:cstheme="minorHAnsi"/>
          <w:b/>
          <w:bCs/>
          <w:i/>
          <w:iCs/>
          <w:szCs w:val="24"/>
          <w:highlight w:val="yellow"/>
        </w:rPr>
        <w:t>S</w:t>
      </w:r>
      <w:r w:rsidR="00F30118" w:rsidRPr="00B27A56">
        <w:rPr>
          <w:rFonts w:asciiTheme="minorHAnsi" w:hAnsiTheme="minorHAnsi" w:cstheme="minorHAnsi"/>
          <w:b/>
          <w:bCs/>
          <w:i/>
          <w:iCs/>
          <w:szCs w:val="24"/>
          <w:highlight w:val="yellow"/>
        </w:rPr>
        <w:t>ub</w:t>
      </w:r>
      <w:r w:rsidRPr="00B27A56">
        <w:rPr>
          <w:rFonts w:asciiTheme="minorHAnsi" w:hAnsiTheme="minorHAnsi" w:cstheme="minorHAnsi"/>
          <w:b/>
          <w:bCs/>
          <w:i/>
          <w:iCs/>
          <w:szCs w:val="24"/>
          <w:highlight w:val="yellow"/>
        </w:rPr>
        <w:t>-</w:t>
      </w:r>
      <w:r w:rsidR="00F30118">
        <w:rPr>
          <w:rFonts w:asciiTheme="minorHAnsi" w:hAnsiTheme="minorHAnsi" w:cstheme="minorHAnsi"/>
          <w:b/>
          <w:bCs/>
          <w:i/>
          <w:iCs/>
          <w:szCs w:val="24"/>
          <w:highlight w:val="yellow"/>
        </w:rPr>
        <w:t>P</w:t>
      </w:r>
      <w:r w:rsidR="00F30118" w:rsidRPr="00B27A56">
        <w:rPr>
          <w:rFonts w:asciiTheme="minorHAnsi" w:hAnsiTheme="minorHAnsi" w:cstheme="minorHAnsi"/>
          <w:b/>
          <w:bCs/>
          <w:i/>
          <w:iCs/>
          <w:szCs w:val="24"/>
          <w:highlight w:val="yellow"/>
        </w:rPr>
        <w:t xml:space="preserve">aragraph </w:t>
      </w:r>
      <w:r w:rsidRPr="00B27A56">
        <w:rPr>
          <w:rFonts w:asciiTheme="minorHAnsi" w:hAnsiTheme="minorHAnsi" w:cstheme="minorHAnsi"/>
          <w:b/>
          <w:bCs/>
          <w:i/>
          <w:iCs/>
          <w:szCs w:val="24"/>
          <w:highlight w:val="yellow"/>
        </w:rPr>
        <w:t xml:space="preserve">marked optional. Authorities will want to select and amend those requirements which are appropriate for their Contract, ensuring that these are relevant and proportional to the subject matter of the Contract. Authorities may want to consider using some or all of these </w:t>
      </w:r>
      <w:r w:rsidR="00F30118">
        <w:rPr>
          <w:rFonts w:asciiTheme="minorHAnsi" w:hAnsiTheme="minorHAnsi" w:cstheme="minorHAnsi"/>
          <w:b/>
          <w:bCs/>
          <w:i/>
          <w:iCs/>
          <w:szCs w:val="24"/>
          <w:highlight w:val="yellow"/>
        </w:rPr>
        <w:t>P</w:t>
      </w:r>
      <w:r w:rsidR="00F30118" w:rsidRPr="00B27A56">
        <w:rPr>
          <w:rFonts w:asciiTheme="minorHAnsi" w:hAnsiTheme="minorHAnsi" w:cstheme="minorHAnsi"/>
          <w:b/>
          <w:bCs/>
          <w:i/>
          <w:iCs/>
          <w:szCs w:val="24"/>
          <w:highlight w:val="yellow"/>
        </w:rPr>
        <w:t xml:space="preserve">aragraphs </w:t>
      </w:r>
      <w:r w:rsidRPr="00B27A56">
        <w:rPr>
          <w:rFonts w:asciiTheme="minorHAnsi" w:hAnsiTheme="minorHAnsi" w:cstheme="minorHAnsi"/>
          <w:b/>
          <w:bCs/>
          <w:i/>
          <w:iCs/>
          <w:szCs w:val="24"/>
          <w:highlight w:val="yellow"/>
        </w:rPr>
        <w:t>when there are key sustainability benefits or risks that need to be managed and/or for higher value/larger Suppliers and/or Contracts. Authorities should also note that some obligations, such as compliance with the Authority</w:t>
      </w:r>
      <w:r w:rsidR="00A4555C" w:rsidRPr="00B27A56">
        <w:rPr>
          <w:rFonts w:asciiTheme="minorHAnsi" w:hAnsiTheme="minorHAnsi" w:cstheme="minorHAnsi"/>
          <w:b/>
          <w:bCs/>
          <w:i/>
          <w:iCs/>
          <w:szCs w:val="24"/>
          <w:highlight w:val="yellow"/>
        </w:rPr>
        <w:t>’</w:t>
      </w:r>
      <w:r w:rsidRPr="00B27A56">
        <w:rPr>
          <w:rFonts w:asciiTheme="minorHAnsi" w:hAnsiTheme="minorHAnsi" w:cstheme="minorHAnsi"/>
          <w:b/>
          <w:bCs/>
          <w:i/>
          <w:iCs/>
          <w:szCs w:val="24"/>
          <w:highlight w:val="yellow"/>
        </w:rPr>
        <w:t>s sustainability requirements, for example net zero commitments or EDI, will require the Authority to provide the requirements to the Supplier</w:t>
      </w:r>
      <w:r w:rsidRPr="00BD6C5F">
        <w:rPr>
          <w:rFonts w:asciiTheme="minorHAnsi" w:hAnsiTheme="minorHAnsi" w:cstheme="minorHAnsi"/>
          <w:szCs w:val="24"/>
          <w:highlight w:val="yellow"/>
        </w:rPr>
        <w:t>]</w:t>
      </w:r>
    </w:p>
    <w:p w14:paraId="7C3F44C4" w14:textId="0483CAA4" w:rsidR="00BC7DDA" w:rsidRPr="00BD6C5F" w:rsidRDefault="00956ECA" w:rsidP="00B71FC0">
      <w:pPr>
        <w:pStyle w:val="AppendixText1"/>
        <w:numPr>
          <w:ilvl w:val="0"/>
          <w:numId w:val="151"/>
        </w:numPr>
      </w:pPr>
      <w:r w:rsidRPr="00BD6C5F">
        <w:t>Definitions</w:t>
      </w:r>
    </w:p>
    <w:p w14:paraId="223E2098" w14:textId="77777777" w:rsidR="00BC7DDA" w:rsidRPr="00BD6C5F" w:rsidRDefault="009B03E9" w:rsidP="003E785F">
      <w:pPr>
        <w:pStyle w:val="AppendixText2"/>
        <w:keepNext/>
      </w:pPr>
      <w:r w:rsidRPr="00BD6C5F">
        <w:t>In this Annex,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01B15FC1" w14:textId="77777777" w:rsidTr="00F67A63">
        <w:trPr>
          <w:trHeight w:val="20"/>
        </w:trPr>
        <w:tc>
          <w:tcPr>
            <w:tcW w:w="3572" w:type="dxa"/>
          </w:tcPr>
          <w:p w14:paraId="5FE93E28" w14:textId="1893CFB1" w:rsidR="00BC7DDA" w:rsidRPr="00BD6C5F" w:rsidRDefault="00A4555C" w:rsidP="00F21094">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Permitted Item</w:t>
            </w:r>
            <w:r w:rsidRPr="00BD6C5F">
              <w:rPr>
                <w:rFonts w:asciiTheme="minorHAnsi" w:hAnsiTheme="minorHAnsi" w:cstheme="minorHAnsi"/>
                <w:b/>
              </w:rPr>
              <w:t>”</w:t>
            </w:r>
          </w:p>
        </w:tc>
        <w:tc>
          <w:tcPr>
            <w:tcW w:w="5953" w:type="dxa"/>
          </w:tcPr>
          <w:p w14:paraId="12026A36" w14:textId="58139339" w:rsidR="00BC7DDA" w:rsidRPr="00BD6C5F" w:rsidRDefault="009B03E9" w:rsidP="00F21094">
            <w:pPr>
              <w:pStyle w:val="Tabletext"/>
            </w:pPr>
            <w:r w:rsidRPr="00BD6C5F">
              <w:t xml:space="preserve">means those items which are permissible under this </w:t>
            </w:r>
            <w:r w:rsidR="00C25F8D" w:rsidRPr="00BD6C5F">
              <w:t xml:space="preserve">Contract </w:t>
            </w:r>
            <w:r w:rsidRPr="00BD6C5F">
              <w:t>to the extent set out in Table B of this Annex</w:t>
            </w:r>
            <w:r w:rsidR="003C4E66" w:rsidRPr="00BD6C5F">
              <w:t>;</w:t>
            </w:r>
          </w:p>
        </w:tc>
      </w:tr>
      <w:tr w:rsidR="00BC7DDA" w:rsidRPr="00BD6C5F" w14:paraId="42E0968D" w14:textId="77777777" w:rsidTr="00F67A63">
        <w:trPr>
          <w:trHeight w:val="20"/>
        </w:trPr>
        <w:tc>
          <w:tcPr>
            <w:tcW w:w="3572" w:type="dxa"/>
          </w:tcPr>
          <w:p w14:paraId="0CB32331" w14:textId="0F49F696" w:rsidR="00BC7DDA" w:rsidRPr="00BD6C5F" w:rsidRDefault="00A4555C" w:rsidP="00F21094">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Prohibited Items</w:t>
            </w:r>
            <w:r w:rsidRPr="00BD6C5F">
              <w:rPr>
                <w:rFonts w:asciiTheme="minorHAnsi" w:hAnsiTheme="minorHAnsi" w:cstheme="minorHAnsi"/>
                <w:b/>
              </w:rPr>
              <w:t>”</w:t>
            </w:r>
          </w:p>
        </w:tc>
        <w:tc>
          <w:tcPr>
            <w:tcW w:w="5953" w:type="dxa"/>
          </w:tcPr>
          <w:p w14:paraId="4F59CB7F" w14:textId="079AF5BC" w:rsidR="00BC7DDA" w:rsidRPr="00BD6C5F" w:rsidRDefault="009B03E9" w:rsidP="00F21094">
            <w:pPr>
              <w:pStyle w:val="Tabletext"/>
              <w:rPr>
                <w:rFonts w:asciiTheme="minorHAnsi" w:hAnsiTheme="minorHAnsi" w:cstheme="minorHAnsi"/>
              </w:rPr>
            </w:pPr>
            <w:r w:rsidRPr="00BD6C5F">
              <w:rPr>
                <w:rFonts w:asciiTheme="minorHAnsi" w:hAnsiTheme="minorHAnsi" w:cstheme="minorHAnsi"/>
              </w:rPr>
              <w:t xml:space="preserve">means those items which are not permissible under this </w:t>
            </w:r>
            <w:r w:rsidR="00C25F8D" w:rsidRPr="00BD6C5F">
              <w:t>Contract</w:t>
            </w:r>
            <w:r w:rsidR="00C25F8D" w:rsidRPr="00BD6C5F">
              <w:rPr>
                <w:rFonts w:asciiTheme="minorHAnsi" w:hAnsiTheme="minorHAnsi" w:cstheme="minorHAnsi"/>
              </w:rPr>
              <w:t xml:space="preserve"> </w:t>
            </w:r>
            <w:r w:rsidRPr="00BD6C5F">
              <w:rPr>
                <w:rFonts w:asciiTheme="minorHAnsi" w:hAnsiTheme="minorHAnsi" w:cstheme="minorHAnsi"/>
              </w:rPr>
              <w:t>as set out at Table A of this Annex</w:t>
            </w:r>
            <w:r w:rsidR="003C4E66" w:rsidRPr="00BD6C5F">
              <w:rPr>
                <w:rFonts w:asciiTheme="minorHAnsi" w:hAnsiTheme="minorHAnsi" w:cstheme="minorHAnsi"/>
              </w:rPr>
              <w:t>;</w:t>
            </w:r>
          </w:p>
        </w:tc>
      </w:tr>
      <w:tr w:rsidR="00BC7DDA" w:rsidRPr="00BD6C5F" w14:paraId="442E3290" w14:textId="77777777" w:rsidTr="00F67A63">
        <w:trPr>
          <w:trHeight w:val="20"/>
        </w:trPr>
        <w:tc>
          <w:tcPr>
            <w:tcW w:w="3572" w:type="dxa"/>
          </w:tcPr>
          <w:p w14:paraId="3CFC7E75" w14:textId="63A4377B" w:rsidR="00BC7DDA" w:rsidRPr="00BD6C5F" w:rsidRDefault="00A4555C" w:rsidP="00F21094">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Sustainability Reports</w:t>
            </w:r>
            <w:r w:rsidRPr="00BD6C5F">
              <w:rPr>
                <w:rFonts w:asciiTheme="minorHAnsi" w:hAnsiTheme="minorHAnsi" w:cstheme="minorHAnsi"/>
                <w:b/>
              </w:rPr>
              <w:t>”</w:t>
            </w:r>
          </w:p>
        </w:tc>
        <w:tc>
          <w:tcPr>
            <w:tcW w:w="5953" w:type="dxa"/>
          </w:tcPr>
          <w:p w14:paraId="3D8C232C" w14:textId="029FE2FC" w:rsidR="00BC7DDA" w:rsidRPr="00BD6C5F" w:rsidRDefault="009B03E9" w:rsidP="00F21094">
            <w:pPr>
              <w:pStyle w:val="Tabletext"/>
              <w:rPr>
                <w:rFonts w:asciiTheme="minorHAnsi" w:hAnsiTheme="minorHAnsi" w:cstheme="minorHAnsi"/>
              </w:rPr>
            </w:pPr>
            <w:r w:rsidRPr="00BD6C5F">
              <w:rPr>
                <w:rFonts w:asciiTheme="minorHAnsi" w:hAnsiTheme="minorHAnsi" w:cstheme="minorHAnsi"/>
              </w:rPr>
              <w:t xml:space="preserve">written </w:t>
            </w:r>
            <w:r w:rsidRPr="00BD6C5F">
              <w:t>reports</w:t>
            </w:r>
            <w:r w:rsidRPr="00BD6C5F">
              <w:rPr>
                <w:rFonts w:asciiTheme="minorHAnsi" w:hAnsiTheme="minorHAnsi" w:cstheme="minorHAnsi"/>
              </w:rPr>
              <w:t xml:space="preserve"> to be completed by the Supplier containing the information outlined in Table C of this Annex</w:t>
            </w:r>
            <w:r w:rsidR="003C4E66" w:rsidRPr="00BD6C5F">
              <w:rPr>
                <w:rFonts w:asciiTheme="minorHAnsi" w:hAnsiTheme="minorHAnsi" w:cstheme="minorHAnsi"/>
              </w:rPr>
              <w:t>;</w:t>
            </w:r>
          </w:p>
        </w:tc>
      </w:tr>
      <w:tr w:rsidR="00BC7DDA" w:rsidRPr="00BD6C5F" w14:paraId="62587B0B" w14:textId="77777777" w:rsidTr="00F67A63">
        <w:trPr>
          <w:trHeight w:val="20"/>
        </w:trPr>
        <w:tc>
          <w:tcPr>
            <w:tcW w:w="3572" w:type="dxa"/>
          </w:tcPr>
          <w:p w14:paraId="3B56A783" w14:textId="01C2EA9B" w:rsidR="00BC7DDA" w:rsidRPr="00BD6C5F" w:rsidRDefault="00A4555C" w:rsidP="00F21094">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Waste Hierarchy</w:t>
            </w:r>
            <w:r w:rsidRPr="00BD6C5F">
              <w:rPr>
                <w:rFonts w:asciiTheme="minorHAnsi" w:hAnsiTheme="minorHAnsi" w:cstheme="minorHAnsi"/>
                <w:b/>
              </w:rPr>
              <w:t>”</w:t>
            </w:r>
          </w:p>
        </w:tc>
        <w:tc>
          <w:tcPr>
            <w:tcW w:w="5953" w:type="dxa"/>
          </w:tcPr>
          <w:p w14:paraId="39FBE7D8" w14:textId="6D8B7D99" w:rsidR="00C25F8D" w:rsidRPr="00BD6C5F" w:rsidRDefault="00C25F8D" w:rsidP="00F21094">
            <w:pPr>
              <w:pStyle w:val="Tabletext"/>
              <w:rPr>
                <w:rFonts w:asciiTheme="minorHAnsi" w:hAnsiTheme="minorHAnsi" w:cstheme="minorHAnsi"/>
              </w:rPr>
            </w:pPr>
            <w:r w:rsidRPr="00BD6C5F">
              <w:rPr>
                <w:rFonts w:asciiTheme="minorHAnsi" w:hAnsiTheme="minorHAnsi" w:cstheme="minorHAnsi"/>
              </w:rPr>
              <w:t xml:space="preserve">means </w:t>
            </w:r>
            <w:r w:rsidRPr="00BD6C5F">
              <w:t>prioritisation</w:t>
            </w:r>
            <w:r w:rsidRPr="00BD6C5F">
              <w:rPr>
                <w:rFonts w:asciiTheme="minorHAnsi" w:hAnsiTheme="minorHAnsi" w:cstheme="minorHAnsi"/>
              </w:rPr>
              <w:t xml:space="preserve"> of waste management in the following order of preference as set out in the </w:t>
            </w:r>
            <w:r w:rsidR="0078303D" w:rsidRPr="00BD6C5F">
              <w:rPr>
                <w:rFonts w:asciiTheme="minorHAnsi" w:hAnsiTheme="minorHAnsi" w:cstheme="minorHAnsi"/>
              </w:rPr>
              <w:t xml:space="preserve">Waste (Scotland) Regulations 2011, the Waste Management Licensing (Scotland) Regulations 2011 and the </w:t>
            </w:r>
            <w:r w:rsidRPr="00BD6C5F">
              <w:rPr>
                <w:rFonts w:asciiTheme="minorHAnsi" w:hAnsiTheme="minorHAnsi" w:cstheme="minorHAnsi"/>
              </w:rPr>
              <w:t>Waste (</w:t>
            </w:r>
            <w:r w:rsidR="0078303D" w:rsidRPr="00BD6C5F">
              <w:rPr>
                <w:rFonts w:asciiTheme="minorHAnsi" w:hAnsiTheme="minorHAnsi" w:cstheme="minorHAnsi"/>
              </w:rPr>
              <w:t>Scotland</w:t>
            </w:r>
            <w:r w:rsidRPr="00BD6C5F">
              <w:rPr>
                <w:rFonts w:asciiTheme="minorHAnsi" w:hAnsiTheme="minorHAnsi" w:cstheme="minorHAnsi"/>
              </w:rPr>
              <w:t>) Regulation 201</w:t>
            </w:r>
            <w:r w:rsidR="0078303D" w:rsidRPr="00BD6C5F">
              <w:rPr>
                <w:rFonts w:asciiTheme="minorHAnsi" w:hAnsiTheme="minorHAnsi" w:cstheme="minorHAnsi"/>
              </w:rPr>
              <w:t>2</w:t>
            </w:r>
            <w:r w:rsidRPr="00BD6C5F">
              <w:rPr>
                <w:rFonts w:asciiTheme="minorHAnsi" w:hAnsiTheme="minorHAnsi" w:cstheme="minorHAnsi"/>
              </w:rPr>
              <w:t>:</w:t>
            </w:r>
          </w:p>
          <w:p w14:paraId="0FFA2A6E" w14:textId="77777777" w:rsidR="00C25F8D" w:rsidRPr="00BD6C5F" w:rsidRDefault="00C25F8D" w:rsidP="004C50F4">
            <w:pPr>
              <w:pStyle w:val="Tablea"/>
            </w:pPr>
            <w:r w:rsidRPr="00BD6C5F">
              <w:t>Prevention;</w:t>
            </w:r>
          </w:p>
          <w:p w14:paraId="0B3A7317" w14:textId="77777777" w:rsidR="00C25F8D" w:rsidRPr="00BD6C5F" w:rsidRDefault="00C25F8D" w:rsidP="003A5D4B">
            <w:pPr>
              <w:pStyle w:val="Tablea"/>
            </w:pPr>
            <w:r w:rsidRPr="00BD6C5F">
              <w:t>Preparing for re-use;</w:t>
            </w:r>
          </w:p>
          <w:p w14:paraId="5C5DE483" w14:textId="77777777" w:rsidR="00C25F8D" w:rsidRPr="00BD6C5F" w:rsidRDefault="00C25F8D" w:rsidP="003A5D4B">
            <w:pPr>
              <w:pStyle w:val="Tablea"/>
            </w:pPr>
            <w:r w:rsidRPr="00BD6C5F">
              <w:t>Recycling;</w:t>
            </w:r>
          </w:p>
          <w:p w14:paraId="19146769" w14:textId="77777777" w:rsidR="00C25F8D" w:rsidRPr="00BD6C5F" w:rsidRDefault="00C25F8D" w:rsidP="003A5D4B">
            <w:pPr>
              <w:pStyle w:val="Tablea"/>
            </w:pPr>
            <w:r w:rsidRPr="00BD6C5F">
              <w:t>Other Recovery; and</w:t>
            </w:r>
          </w:p>
          <w:p w14:paraId="710EDD9B" w14:textId="0BDC2EDC" w:rsidR="00BC7DDA" w:rsidRPr="00BD6C5F" w:rsidRDefault="00C25F8D" w:rsidP="003A5D4B">
            <w:pPr>
              <w:pStyle w:val="Tablea"/>
            </w:pPr>
            <w:r w:rsidRPr="00BD6C5F">
              <w:t>Disposal.</w:t>
            </w:r>
          </w:p>
        </w:tc>
      </w:tr>
    </w:tbl>
    <w:p w14:paraId="0BD4E432" w14:textId="07E82749" w:rsidR="00C25F8D" w:rsidRPr="00BD6C5F" w:rsidRDefault="00956ECA" w:rsidP="00B71FC0">
      <w:pPr>
        <w:pStyle w:val="AppendixText1"/>
        <w:numPr>
          <w:ilvl w:val="0"/>
          <w:numId w:val="151"/>
        </w:numPr>
      </w:pPr>
      <w:r w:rsidRPr="00BD6C5F">
        <w:t>Public Sector Equality Duty</w:t>
      </w:r>
    </w:p>
    <w:p w14:paraId="7F7BF133" w14:textId="5B94E7AA" w:rsidR="00C25F8D" w:rsidRPr="00BD6C5F" w:rsidRDefault="00C25F8D" w:rsidP="00934722">
      <w:pPr>
        <w:pStyle w:val="AppendixText2"/>
      </w:pPr>
      <w:bookmarkStart w:id="153" w:name="_Ref98357736"/>
      <w:r w:rsidRPr="00BD6C5F">
        <w:t>In addition to legal obligations, where the Supplier is providing a Service to which the Public Sector Equality duty applies, the Supplier shall support the Authority in fulfilling its Public Sector Equality duty under S149 of the Equality Act 2010 by ensuring that it fulfils its obligations under the Contract in a way that seeks to:</w:t>
      </w:r>
      <w:bookmarkEnd w:id="153"/>
    </w:p>
    <w:p w14:paraId="50E12477" w14:textId="2C8D7F35" w:rsidR="00C25F8D" w:rsidRPr="00BD6C5F" w:rsidRDefault="00C25F8D" w:rsidP="00EF34C4">
      <w:pPr>
        <w:pStyle w:val="AppendixText3"/>
      </w:pPr>
      <w:r w:rsidRPr="00BD6C5F">
        <w:t>eliminate discrimination, harassment or victimisation and any other conduct prohibited by the Equality Act 2010; and</w:t>
      </w:r>
    </w:p>
    <w:p w14:paraId="6840DBA5" w14:textId="4B55DECF" w:rsidR="00C25F8D" w:rsidRPr="00BD6C5F" w:rsidRDefault="00C25F8D" w:rsidP="003E785F">
      <w:pPr>
        <w:pStyle w:val="AppendixText3"/>
        <w:keepNext/>
      </w:pPr>
      <w:r w:rsidRPr="00BD6C5F">
        <w:lastRenderedPageBreak/>
        <w:t>advance:</w:t>
      </w:r>
    </w:p>
    <w:p w14:paraId="1B3730CB" w14:textId="7037D3DD" w:rsidR="00C25F8D" w:rsidRPr="00BD6C5F" w:rsidRDefault="00C25F8D" w:rsidP="004C50F4">
      <w:pPr>
        <w:pStyle w:val="Numbered111a"/>
        <w:rPr>
          <w:lang w:val="en-GB"/>
        </w:rPr>
      </w:pPr>
      <w:r w:rsidRPr="00BD6C5F">
        <w:rPr>
          <w:lang w:val="en-GB"/>
        </w:rPr>
        <w:t xml:space="preserve">equality of opportunity; and </w:t>
      </w:r>
    </w:p>
    <w:p w14:paraId="2F57AC25" w14:textId="1CA3148D" w:rsidR="00C25F8D" w:rsidRPr="00BD6C5F" w:rsidRDefault="00C25F8D" w:rsidP="003E785F">
      <w:pPr>
        <w:pStyle w:val="Numbered111a"/>
        <w:keepNext/>
        <w:rPr>
          <w:lang w:val="en-GB"/>
        </w:rPr>
      </w:pPr>
      <w:r w:rsidRPr="00BD6C5F">
        <w:rPr>
          <w:lang w:val="en-GB"/>
        </w:rPr>
        <w:t>good relations,</w:t>
      </w:r>
    </w:p>
    <w:p w14:paraId="5173DD75" w14:textId="5C96FE52" w:rsidR="00C25F8D" w:rsidRPr="00BD6C5F" w:rsidRDefault="00C25F8D" w:rsidP="00F21094">
      <w:pPr>
        <w:spacing w:before="100" w:after="200"/>
        <w:ind w:left="1803"/>
      </w:pPr>
      <w:r w:rsidRPr="00BD6C5F">
        <w:t>between those with a protected characteristic (age, disability, gender reassignment, pregnancy and maternity, race, religion or belief, sex, sexual orientation, and marriage and civil partnership) and those who do not share it.</w:t>
      </w:r>
    </w:p>
    <w:p w14:paraId="6503BF6C" w14:textId="717EDDBF" w:rsidR="00C25F8D" w:rsidRPr="00BD6C5F" w:rsidRDefault="00C25F8D" w:rsidP="00EF34C4">
      <w:pPr>
        <w:pStyle w:val="AppendixText2"/>
      </w:pPr>
      <w:bookmarkStart w:id="154" w:name="_Ref98357790"/>
      <w:r w:rsidRPr="00BD6C5F">
        <w:rPr>
          <w:highlight w:val="yellow"/>
        </w:rPr>
        <w:t>[</w:t>
      </w:r>
      <w:r w:rsidRPr="00BD6C5F">
        <w:rPr>
          <w:b/>
          <w:bCs/>
          <w:highlight w:val="yellow"/>
        </w:rPr>
        <w:t>Optional:</w:t>
      </w:r>
      <w:r w:rsidRPr="00BD6C5F">
        <w:rPr>
          <w:highlight w:val="yellow"/>
        </w:rPr>
        <w:t xml:space="preserve"> In delivering the Service, the Supplier will comply with the Authority</w:t>
      </w:r>
      <w:r w:rsidR="00A4555C" w:rsidRPr="00BD6C5F">
        <w:rPr>
          <w:highlight w:val="yellow"/>
        </w:rPr>
        <w:t>’</w:t>
      </w:r>
      <w:r w:rsidRPr="00BD6C5F">
        <w:rPr>
          <w:highlight w:val="yellow"/>
        </w:rPr>
        <w:t>s equality, diversity and inclusion requirements, to be provided to the Supplier by the Authority.]</w:t>
      </w:r>
      <w:bookmarkEnd w:id="154"/>
    </w:p>
    <w:p w14:paraId="08D55A2A" w14:textId="5BD37DFB" w:rsidR="00C25F8D" w:rsidRPr="00BD6C5F" w:rsidRDefault="00C25F8D" w:rsidP="00EF34C4">
      <w:pPr>
        <w:pStyle w:val="AppendixText2"/>
      </w:pPr>
      <w:bookmarkStart w:id="155" w:name="_Ref98357800"/>
      <w:r w:rsidRPr="00BD6C5F">
        <w:rPr>
          <w:highlight w:val="yellow"/>
        </w:rPr>
        <w:t>[</w:t>
      </w:r>
      <w:r w:rsidRPr="00BD6C5F">
        <w:rPr>
          <w:b/>
          <w:bCs/>
          <w:highlight w:val="yellow"/>
        </w:rPr>
        <w:t>Optional:</w:t>
      </w:r>
      <w:r w:rsidRPr="00BD6C5F">
        <w:rPr>
          <w:highlight w:val="yellow"/>
        </w:rPr>
        <w:t xml:space="preserve"> The Supplier shall ensure that it fulfils its obligations under the Contract in a way that does not discriminate against individuals because of socio-economic background, working pattern or having parental or other caring responsibilities.]</w:t>
      </w:r>
      <w:bookmarkEnd w:id="155"/>
    </w:p>
    <w:p w14:paraId="671987D3" w14:textId="502BC46E" w:rsidR="00BC7DDA" w:rsidRPr="00BD6C5F" w:rsidRDefault="00CE51D0" w:rsidP="003A5D4B">
      <w:pPr>
        <w:pStyle w:val="AppendixText1"/>
      </w:pPr>
      <w:r w:rsidRPr="00BD6C5F">
        <w:t>Environmental Requirements</w:t>
      </w:r>
    </w:p>
    <w:p w14:paraId="597C922D" w14:textId="44345C31" w:rsidR="00BC7DDA" w:rsidRPr="00BD6C5F" w:rsidRDefault="00C25F8D" w:rsidP="00EF34C4">
      <w:pPr>
        <w:pStyle w:val="AppendixText2"/>
      </w:pPr>
      <w:bookmarkStart w:id="156" w:name="_Ref98357746"/>
      <w:r w:rsidRPr="00BD6C5F">
        <w:t>The Supplier must perform its obligations meeting in all material respects the requirements of all applicable Laws regarding the environment</w:t>
      </w:r>
      <w:r w:rsidR="009B03E9" w:rsidRPr="00BD6C5F">
        <w:t>.</w:t>
      </w:r>
      <w:bookmarkEnd w:id="156"/>
    </w:p>
    <w:p w14:paraId="749C4C2C" w14:textId="77777777" w:rsidR="00C25F8D" w:rsidRPr="00BD6C5F" w:rsidRDefault="00C25F8D" w:rsidP="00EF34C4">
      <w:pPr>
        <w:pStyle w:val="AppendixText2"/>
      </w:pPr>
      <w:r w:rsidRPr="00BD6C5F">
        <w:t>The Supplier warrants that it has obtained relevant Environment Management System (EMS) certified to ISO 14001 or an equivalent certification from a UKAS accredited body and shall comply with and maintain certification requirements throughout the Term.</w:t>
      </w:r>
    </w:p>
    <w:p w14:paraId="2B9DA4CE" w14:textId="7BE742BA" w:rsidR="00BC7DDA" w:rsidRPr="00BD6C5F" w:rsidRDefault="009B03E9" w:rsidP="003E785F">
      <w:pPr>
        <w:pStyle w:val="AppendixText2"/>
        <w:keepNext/>
      </w:pPr>
      <w:r w:rsidRPr="00BD6C5F">
        <w:t xml:space="preserve">In performing its obligations under the </w:t>
      </w:r>
      <w:r w:rsidR="00C25F8D" w:rsidRPr="00BD6C5F">
        <w:t xml:space="preserve">Contract </w:t>
      </w:r>
      <w:r w:rsidRPr="00BD6C5F">
        <w:t>the Supplier shall</w:t>
      </w:r>
      <w:r w:rsidR="00C25F8D" w:rsidRPr="00BD6C5F">
        <w:t>, where applicable to the Contract,</w:t>
      </w:r>
      <w:r w:rsidRPr="00BD6C5F">
        <w:t xml:space="preserve"> to the reasonable satisfaction of the Authority:</w:t>
      </w:r>
    </w:p>
    <w:p w14:paraId="59C83EE3" w14:textId="1E30ADFC" w:rsidR="00BC7DDA" w:rsidRPr="00BD6C5F" w:rsidRDefault="009B03E9" w:rsidP="00EF34C4">
      <w:pPr>
        <w:pStyle w:val="AppendixText3"/>
      </w:pPr>
      <w:r w:rsidRPr="00BD6C5F">
        <w:t>demonstrate low carbon resource efficiency, including minimising the use of resources and responding promptly to the Authority</w:t>
      </w:r>
      <w:r w:rsidR="00A4555C" w:rsidRPr="00BD6C5F">
        <w:t>’</w:t>
      </w:r>
      <w:r w:rsidRPr="00BD6C5F">
        <w:t>s reasonable questions;</w:t>
      </w:r>
    </w:p>
    <w:p w14:paraId="72217250" w14:textId="5E0FD8DE" w:rsidR="00BC7DDA" w:rsidRPr="00BD6C5F" w:rsidRDefault="009B03E9" w:rsidP="00EF34C4">
      <w:pPr>
        <w:pStyle w:val="AppendixText3"/>
      </w:pPr>
      <w:r w:rsidRPr="00BD6C5F">
        <w:t>prioritise waste management in accordance with the Waste Hierarchy</w:t>
      </w:r>
      <w:r w:rsidR="00C25F8D" w:rsidRPr="00BD6C5F">
        <w:t xml:space="preserve"> as set out in Law</w:t>
      </w:r>
      <w:r w:rsidRPr="00BD6C5F">
        <w:t>;</w:t>
      </w:r>
    </w:p>
    <w:p w14:paraId="082B5DD4" w14:textId="696D9175" w:rsidR="00BC7DDA" w:rsidRPr="00BD6C5F" w:rsidRDefault="009B03E9" w:rsidP="00EF34C4">
      <w:pPr>
        <w:pStyle w:val="AppendixText3"/>
      </w:pPr>
      <w:r w:rsidRPr="00BD6C5F">
        <w:t xml:space="preserve">be responsible for ensuring that any waste generated by the Supplier and sent for recycling, disposal or other recovery as a consequence of this </w:t>
      </w:r>
      <w:r w:rsidR="00C25F8D" w:rsidRPr="00BD6C5F">
        <w:t xml:space="preserve">Contract </w:t>
      </w:r>
      <w:r w:rsidRPr="00BD6C5F">
        <w:t xml:space="preserve">is taken </w:t>
      </w:r>
      <w:r w:rsidR="00C25F8D" w:rsidRPr="00BD6C5F">
        <w:t xml:space="preserve">by a licensed waste carrier </w:t>
      </w:r>
      <w:r w:rsidRPr="00BD6C5F">
        <w:t xml:space="preserve">to an authorised site for treatment or disposal and that the disposal or treatment of waste complies with the </w:t>
      </w:r>
      <w:r w:rsidR="00C86BE7" w:rsidRPr="00BD6C5F">
        <w:t>L</w:t>
      </w:r>
      <w:r w:rsidRPr="00BD6C5F">
        <w:t>aw;</w:t>
      </w:r>
    </w:p>
    <w:p w14:paraId="02BB3DC0" w14:textId="0652DFA7" w:rsidR="00BC7DDA" w:rsidRPr="00BD6C5F" w:rsidRDefault="00A82521" w:rsidP="00EF34C4">
      <w:pPr>
        <w:pStyle w:val="AppendixText3"/>
      </w:pPr>
      <w:r w:rsidRPr="00BD6C5F">
        <w:t>ensure that it and any third parties used to undertake recycling disposal or other recovery as a consequence of this Contract do so in a legally compliant way, and can demonstrate that reasonable checks are undertaken to ensure this on a regular basis and provide relevant data and evidence of recycling, recovery and disposal</w:t>
      </w:r>
      <w:r w:rsidR="009B03E9" w:rsidRPr="00BD6C5F">
        <w:t>;</w:t>
      </w:r>
    </w:p>
    <w:p w14:paraId="643C96E9" w14:textId="2B7221B4" w:rsidR="00BC7DDA" w:rsidRPr="00BD6C5F" w:rsidRDefault="00A82521" w:rsidP="00EF34C4">
      <w:pPr>
        <w:pStyle w:val="AppendixText3"/>
      </w:pPr>
      <w:r w:rsidRPr="00BD6C5F">
        <w:t xml:space="preserve">in circumstances </w:t>
      </w:r>
      <w:r w:rsidR="00C86BE7" w:rsidRPr="00BD6C5F">
        <w:t>where</w:t>
      </w:r>
      <w:r w:rsidR="00AE13B8" w:rsidRPr="00BD6C5F">
        <w:t xml:space="preserve"> </w:t>
      </w:r>
      <w:r w:rsidRPr="00BD6C5F">
        <w:t xml:space="preserve">a permit, licence or exemption to carry or send waste generated under this Contract is revoked, the Supplier shall cease to carry or send waste or allow waste to be carried by any Subcontractor until authorisation is obtained from the </w:t>
      </w:r>
      <w:r w:rsidR="00C86BE7" w:rsidRPr="00BD6C5F">
        <w:t xml:space="preserve">Scottish </w:t>
      </w:r>
      <w:r w:rsidRPr="00BD6C5F">
        <w:t xml:space="preserve">Environment </w:t>
      </w:r>
      <w:r w:rsidR="00C86BE7" w:rsidRPr="00BD6C5F">
        <w:t xml:space="preserve">Protection </w:t>
      </w:r>
      <w:r w:rsidRPr="00BD6C5F">
        <w:t>Agency</w:t>
      </w:r>
      <w:r w:rsidR="009B03E9" w:rsidRPr="00BD6C5F">
        <w:t>;</w:t>
      </w:r>
    </w:p>
    <w:p w14:paraId="03765047" w14:textId="77777777" w:rsidR="00BC7DDA" w:rsidRPr="00BD6C5F" w:rsidRDefault="009B03E9" w:rsidP="00EF34C4">
      <w:pPr>
        <w:pStyle w:val="AppendixText3"/>
      </w:pPr>
      <w:r w:rsidRPr="00BD6C5F">
        <w:t xml:space="preserve">minimise the release of greenhouse gases (including carbon dioxide emissions), air pollutants, volatile organic compounds and other substances </w:t>
      </w:r>
      <w:r w:rsidRPr="00BD6C5F">
        <w:lastRenderedPageBreak/>
        <w:t>damaging to health and the environment; and</w:t>
      </w:r>
    </w:p>
    <w:p w14:paraId="6CF25FEC" w14:textId="77777777" w:rsidR="00BC7DDA" w:rsidRPr="00BD6C5F" w:rsidRDefault="009B03E9" w:rsidP="00EF34C4">
      <w:pPr>
        <w:pStyle w:val="AppendixText3"/>
      </w:pPr>
      <w:r w:rsidRPr="00BD6C5F">
        <w:t>reduce and minimise carbon emissions by taking into account factors including, but not limited to, the locations from which materials are sourced, the transport of materials, the locations from which the work force are recruited and emissions from offices and on-site equipment.</w:t>
      </w:r>
    </w:p>
    <w:p w14:paraId="2956E06A" w14:textId="5D157BB1" w:rsidR="00BC7DDA" w:rsidRPr="00BD6C5F" w:rsidRDefault="00A82521" w:rsidP="00EF34C4">
      <w:pPr>
        <w:pStyle w:val="AppendixText2"/>
      </w:pPr>
      <w:r w:rsidRPr="00BD6C5F">
        <w:t>In performing its obligations under the Contract, the Supplier shall to the reasonable satisfaction of the Authority (where the anticipated Charges in any Contract Year are above £5 million per annum (excluding VAT)), where related to and proportionate to the contract in accordance with PPN 06/21), publish and maintain a credible Carbon Reduction Plan in accordance with PPN 06/21</w:t>
      </w:r>
      <w:r w:rsidR="009B03E9" w:rsidRPr="00BD6C5F">
        <w:t>.</w:t>
      </w:r>
    </w:p>
    <w:p w14:paraId="04EC09C5" w14:textId="77777777" w:rsidR="00BC7DDA" w:rsidRPr="00BD6C5F" w:rsidRDefault="009B03E9" w:rsidP="00EF34C4">
      <w:pPr>
        <w:pStyle w:val="AppendixText2"/>
      </w:pPr>
      <w:r w:rsidRPr="00BD6C5F">
        <w:t>The Supplier shall not provide to the Authority Goods or Deliverables which comprise wholly or partly of Prohibited Items unless such item is a Permitted Item.</w:t>
      </w:r>
    </w:p>
    <w:p w14:paraId="6E3F7413" w14:textId="0857FDBA" w:rsidR="00BC7DDA" w:rsidRPr="00BD6C5F" w:rsidRDefault="009B03E9" w:rsidP="003E785F">
      <w:pPr>
        <w:pStyle w:val="AppendixText2"/>
        <w:keepNext/>
      </w:pPr>
      <w:bookmarkStart w:id="157" w:name="_Ref98357756"/>
      <w:r w:rsidRPr="00BD6C5F">
        <w:t xml:space="preserve">The Supplier shall not use anything which comprises wholly or partly of the Prohibited Items to provide the Services under this </w:t>
      </w:r>
      <w:r w:rsidR="00A82521" w:rsidRPr="00BD6C5F">
        <w:t xml:space="preserve">Contract </w:t>
      </w:r>
      <w:r w:rsidRPr="00BD6C5F">
        <w:t>unless:</w:t>
      </w:r>
      <w:bookmarkEnd w:id="157"/>
    </w:p>
    <w:p w14:paraId="3C5C9F21" w14:textId="23D8D453" w:rsidR="00BC7DDA" w:rsidRPr="00BD6C5F" w:rsidRDefault="009B03E9" w:rsidP="00EF34C4">
      <w:pPr>
        <w:pStyle w:val="AppendixText3"/>
      </w:pPr>
      <w:r w:rsidRPr="00BD6C5F">
        <w:t>it is a Permitted Item; or</w:t>
      </w:r>
    </w:p>
    <w:p w14:paraId="48517EB8" w14:textId="32372542" w:rsidR="00BC7DDA" w:rsidRPr="00BD6C5F" w:rsidRDefault="009B03E9" w:rsidP="00EF34C4">
      <w:pPr>
        <w:pStyle w:val="AppendixText3"/>
      </w:pPr>
      <w:r w:rsidRPr="00BD6C5F">
        <w:t>the use is primarily related to the management of the Supplier</w:t>
      </w:r>
      <w:r w:rsidR="00A4555C" w:rsidRPr="00BD6C5F">
        <w:t>’</w:t>
      </w:r>
      <w:r w:rsidRPr="00BD6C5F">
        <w:t>s own facilities or internal operations as opposed to the provision of Services.</w:t>
      </w:r>
    </w:p>
    <w:p w14:paraId="6490C5CA" w14:textId="77777777" w:rsidR="00A82521" w:rsidRPr="00BD6C5F" w:rsidRDefault="00A82521" w:rsidP="00EF34C4">
      <w:pPr>
        <w:pStyle w:val="AppendixText2"/>
        <w:rPr>
          <w:highlight w:val="yellow"/>
        </w:rPr>
      </w:pPr>
      <w:bookmarkStart w:id="158" w:name="_Ref98357811"/>
      <w:r w:rsidRPr="00BD6C5F">
        <w:rPr>
          <w:highlight w:val="yellow"/>
        </w:rPr>
        <w:t>[</w:t>
      </w:r>
      <w:r w:rsidRPr="00BD6C5F">
        <w:rPr>
          <w:b/>
          <w:highlight w:val="yellow"/>
        </w:rPr>
        <w:t>Optional</w:t>
      </w:r>
      <w:r w:rsidRPr="00BD6C5F">
        <w:rPr>
          <w:highlight w:val="yellow"/>
        </w:rPr>
        <w:t>: The Supplier must have a documented management system and controls in place to manage the environmental impacts of delivering the Services.]</w:t>
      </w:r>
      <w:bookmarkEnd w:id="158"/>
    </w:p>
    <w:p w14:paraId="2100BC5D" w14:textId="77777777" w:rsidR="00A82521" w:rsidRPr="00BD6C5F" w:rsidRDefault="00A82521" w:rsidP="00EF34C4">
      <w:pPr>
        <w:pStyle w:val="AppendixText2"/>
        <w:rPr>
          <w:highlight w:val="yellow"/>
        </w:rPr>
      </w:pPr>
      <w:r w:rsidRPr="00BD6C5F">
        <w:rPr>
          <w:highlight w:val="yellow"/>
        </w:rPr>
        <w:t>[</w:t>
      </w:r>
      <w:r w:rsidRPr="00BD6C5F">
        <w:rPr>
          <w:b/>
          <w:highlight w:val="yellow"/>
        </w:rPr>
        <w:t>Optional</w:t>
      </w:r>
      <w:r w:rsidRPr="00BD6C5F">
        <w:rPr>
          <w:highlight w:val="yellow"/>
        </w:rPr>
        <w:t>: The Supplier shall ensure that any Services are designed, sourced and delivered in a manner which is environmentally and socially responsible.]</w:t>
      </w:r>
    </w:p>
    <w:p w14:paraId="3446F76E" w14:textId="0F288FF9" w:rsidR="00A82521" w:rsidRPr="00BD6C5F" w:rsidRDefault="00A82521" w:rsidP="00EF34C4">
      <w:pPr>
        <w:pStyle w:val="AppendixText2"/>
        <w:rPr>
          <w:highlight w:val="yellow"/>
        </w:rPr>
      </w:pPr>
      <w:r w:rsidRPr="00BD6C5F">
        <w:rPr>
          <w:highlight w:val="yellow"/>
        </w:rPr>
        <w:t>[</w:t>
      </w:r>
      <w:r w:rsidRPr="00BD6C5F">
        <w:rPr>
          <w:b/>
          <w:highlight w:val="yellow"/>
        </w:rPr>
        <w:t>Optional</w:t>
      </w:r>
      <w:r w:rsidRPr="00BD6C5F">
        <w:rPr>
          <w:highlight w:val="yellow"/>
        </w:rPr>
        <w:t>: In delivering the Services, the Supplier must comply with the Authority</w:t>
      </w:r>
      <w:r w:rsidR="00A4555C" w:rsidRPr="00BD6C5F">
        <w:rPr>
          <w:highlight w:val="yellow"/>
        </w:rPr>
        <w:t>’</w:t>
      </w:r>
      <w:r w:rsidRPr="00BD6C5F">
        <w:rPr>
          <w:highlight w:val="yellow"/>
        </w:rPr>
        <w:t>s sustainability requirements, to be provided to the Supplier by the Authority.]</w:t>
      </w:r>
    </w:p>
    <w:p w14:paraId="218F00EB" w14:textId="77777777" w:rsidR="00A82521" w:rsidRPr="00BD6C5F" w:rsidRDefault="00A82521" w:rsidP="003E785F">
      <w:pPr>
        <w:pStyle w:val="AppendixText2"/>
        <w:keepNext/>
        <w:rPr>
          <w:highlight w:val="yellow"/>
        </w:rPr>
      </w:pPr>
      <w:r w:rsidRPr="00BD6C5F">
        <w:rPr>
          <w:highlight w:val="yellow"/>
        </w:rPr>
        <w:t>[</w:t>
      </w:r>
      <w:r w:rsidRPr="00BD6C5F">
        <w:rPr>
          <w:b/>
          <w:highlight w:val="yellow"/>
        </w:rPr>
        <w:t>Optional</w:t>
      </w:r>
      <w:r w:rsidRPr="00BD6C5F">
        <w:rPr>
          <w:highlight w:val="yellow"/>
        </w:rPr>
        <w:t>: In performing its obligations under the Contract, the Supplier shall to the reasonable satisfaction of the Authority:</w:t>
      </w:r>
    </w:p>
    <w:p w14:paraId="0622F591" w14:textId="0F62D470" w:rsidR="00A82521" w:rsidRPr="00BD6C5F" w:rsidRDefault="00A82521" w:rsidP="00EF34C4">
      <w:pPr>
        <w:pStyle w:val="AppendixText3"/>
        <w:rPr>
          <w:highlight w:val="yellow"/>
        </w:rPr>
      </w:pPr>
      <w:r w:rsidRPr="00BD6C5F">
        <w:rPr>
          <w:highlight w:val="yellow"/>
        </w:rPr>
        <w:t>[</w:t>
      </w:r>
      <w:r w:rsidRPr="00BD6C5F">
        <w:rPr>
          <w:b/>
          <w:highlight w:val="yellow"/>
        </w:rPr>
        <w:t>Optional</w:t>
      </w:r>
      <w:r w:rsidRPr="00BD6C5F">
        <w:rPr>
          <w:highlight w:val="yellow"/>
        </w:rPr>
        <w:t>: demonstrate that the whole life cycle impacts (including end of use) associated with the Services that extend beyond direct operations into that of the supply chain have been considered and reduced];</w:t>
      </w:r>
    </w:p>
    <w:p w14:paraId="06336604" w14:textId="2DB45416" w:rsidR="00A82521" w:rsidRPr="00BD6C5F" w:rsidRDefault="00A82521" w:rsidP="00EF34C4">
      <w:pPr>
        <w:pStyle w:val="AppendixText3"/>
        <w:rPr>
          <w:highlight w:val="yellow"/>
        </w:rPr>
      </w:pPr>
      <w:r w:rsidRPr="00BD6C5F">
        <w:rPr>
          <w:highlight w:val="yellow"/>
        </w:rPr>
        <w:t>[</w:t>
      </w:r>
      <w:r w:rsidRPr="00BD6C5F">
        <w:rPr>
          <w:b/>
          <w:highlight w:val="yellow"/>
        </w:rPr>
        <w:t>Optional</w:t>
      </w:r>
      <w:r w:rsidRPr="00BD6C5F">
        <w:rPr>
          <w:highlight w:val="yellow"/>
        </w:rPr>
        <w:t>: minimise the consumption of resources and use them efficiently (including water and energy), working towards a circular economy including designing out waste and non-renewable resources, using re-use and closed loop systems];</w:t>
      </w:r>
    </w:p>
    <w:p w14:paraId="7CDD4C9D" w14:textId="530E470C" w:rsidR="00A82521" w:rsidRPr="00BD6C5F" w:rsidRDefault="00A82521" w:rsidP="00EF34C4">
      <w:pPr>
        <w:pStyle w:val="AppendixText3"/>
        <w:rPr>
          <w:highlight w:val="yellow"/>
        </w:rPr>
      </w:pPr>
      <w:r w:rsidRPr="00BD6C5F">
        <w:rPr>
          <w:highlight w:val="yellow"/>
        </w:rPr>
        <w:t>[</w:t>
      </w:r>
      <w:r w:rsidRPr="00BD6C5F">
        <w:rPr>
          <w:b/>
          <w:highlight w:val="yellow"/>
        </w:rPr>
        <w:t>Optional</w:t>
      </w:r>
      <w:r w:rsidRPr="00BD6C5F">
        <w:rPr>
          <w:highlight w:val="yellow"/>
        </w:rPr>
        <w:t>: 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50D126D5" w14:textId="761FDBD1" w:rsidR="00A82521" w:rsidRPr="00BD6C5F" w:rsidRDefault="00A82521" w:rsidP="00EF34C4">
      <w:pPr>
        <w:pStyle w:val="AppendixText3"/>
        <w:rPr>
          <w:highlight w:val="yellow"/>
        </w:rPr>
      </w:pPr>
      <w:r w:rsidRPr="00BD6C5F">
        <w:rPr>
          <w:highlight w:val="yellow"/>
        </w:rPr>
        <w:t>[</w:t>
      </w:r>
      <w:r w:rsidRPr="00BD6C5F">
        <w:rPr>
          <w:b/>
          <w:highlight w:val="yellow"/>
        </w:rPr>
        <w:t>Optional</w:t>
      </w:r>
      <w:r w:rsidRPr="00BD6C5F">
        <w:rPr>
          <w:highlight w:val="yellow"/>
        </w:rPr>
        <w:t>: enhance the natural environment and connecting communities with the environment]; and</w:t>
      </w:r>
    </w:p>
    <w:p w14:paraId="02CBA6B4" w14:textId="76F4FA0E" w:rsidR="00A82521" w:rsidRPr="00BD6C5F" w:rsidRDefault="00A82521" w:rsidP="00EF34C4">
      <w:pPr>
        <w:pStyle w:val="AppendixText3"/>
        <w:rPr>
          <w:highlight w:val="yellow"/>
        </w:rPr>
      </w:pPr>
      <w:r w:rsidRPr="00BD6C5F">
        <w:rPr>
          <w:highlight w:val="yellow"/>
        </w:rPr>
        <w:lastRenderedPageBreak/>
        <w:t>[</w:t>
      </w:r>
      <w:r w:rsidRPr="00BD6C5F">
        <w:rPr>
          <w:b/>
          <w:highlight w:val="yellow"/>
        </w:rPr>
        <w:t>Optional</w:t>
      </w:r>
      <w:r w:rsidRPr="00BD6C5F">
        <w:rPr>
          <w:highlight w:val="yellow"/>
        </w:rPr>
        <w:t>: achieve continuous improvement in environmental (and social) performance.]]</w:t>
      </w:r>
    </w:p>
    <w:p w14:paraId="59C6FB64" w14:textId="0B52E066" w:rsidR="00A82521" w:rsidRPr="00BD6C5F" w:rsidRDefault="00A82521" w:rsidP="00EF34C4">
      <w:pPr>
        <w:pStyle w:val="AppendixText2"/>
        <w:rPr>
          <w:highlight w:val="yellow"/>
        </w:rPr>
      </w:pPr>
      <w:r w:rsidRPr="00BD6C5F">
        <w:rPr>
          <w:highlight w:val="yellow"/>
        </w:rPr>
        <w:t>[</w:t>
      </w:r>
      <w:r w:rsidRPr="00BD6C5F">
        <w:rPr>
          <w:b/>
          <w:highlight w:val="yellow"/>
        </w:rPr>
        <w:t>Optional</w:t>
      </w:r>
      <w:r w:rsidRPr="00BD6C5F">
        <w:rPr>
          <w:highlight w:val="yellow"/>
        </w:rPr>
        <w:t>: The Supplier shall inform the Authority within one Working Day in the event that a permit, licence or exemption to carry or send waste generated under this Contract is revoked.]</w:t>
      </w:r>
    </w:p>
    <w:p w14:paraId="41A7076B" w14:textId="2B7FEAAD" w:rsidR="00A82521" w:rsidRPr="00BD6C5F" w:rsidRDefault="00A82521" w:rsidP="00EF34C4">
      <w:pPr>
        <w:pStyle w:val="AppendixText2"/>
        <w:rPr>
          <w:highlight w:val="yellow"/>
        </w:rPr>
      </w:pPr>
      <w:bookmarkStart w:id="159" w:name="_Ref98357820"/>
      <w:r w:rsidRPr="00BD6C5F">
        <w:rPr>
          <w:highlight w:val="yellow"/>
        </w:rPr>
        <w:t>[</w:t>
      </w:r>
      <w:r w:rsidRPr="00B27A56">
        <w:rPr>
          <w:b/>
          <w:bCs/>
          <w:i/>
          <w:iCs/>
          <w:highlight w:val="yellow"/>
        </w:rPr>
        <w:t>Guidance: Insert any other environmental requirement the Authority wishes to add, e.g.</w:t>
      </w:r>
      <w:r w:rsidR="00B05517" w:rsidRPr="00B27A56">
        <w:rPr>
          <w:b/>
          <w:bCs/>
          <w:i/>
          <w:iCs/>
          <w:highlight w:val="yellow"/>
        </w:rPr>
        <w:t> </w:t>
      </w:r>
      <w:r w:rsidRPr="00B27A56">
        <w:rPr>
          <w:b/>
          <w:bCs/>
          <w:i/>
          <w:iCs/>
          <w:highlight w:val="yellow"/>
        </w:rPr>
        <w:t xml:space="preserve">those in line with </w:t>
      </w:r>
      <w:r w:rsidRPr="00495647">
        <w:rPr>
          <w:b/>
          <w:bCs/>
          <w:i/>
          <w:iCs/>
          <w:highlight w:val="yellow"/>
        </w:rPr>
        <w:t xml:space="preserve">the </w:t>
      </w:r>
      <w:hyperlink r:id="rId38" w:history="1">
        <w:r w:rsidR="00495647" w:rsidRPr="00495647">
          <w:rPr>
            <w:b/>
            <w:bCs/>
            <w:i/>
            <w:iCs/>
            <w:color w:val="000000"/>
            <w:highlight w:val="yellow"/>
          </w:rPr>
          <w:t>Government Greening Commitments</w:t>
        </w:r>
      </w:hyperlink>
      <w:r w:rsidR="00495647" w:rsidRPr="00495647">
        <w:rPr>
          <w:b/>
          <w:bCs/>
          <w:i/>
          <w:iCs/>
          <w:color w:val="000000"/>
          <w:highlight w:val="yellow"/>
        </w:rPr>
        <w:t xml:space="preserve">, the </w:t>
      </w:r>
      <w:hyperlink r:id="rId39" w:history="1">
        <w:r w:rsidR="00495647" w:rsidRPr="00495647">
          <w:rPr>
            <w:b/>
            <w:bCs/>
            <w:i/>
            <w:iCs/>
            <w:color w:val="000000"/>
            <w:highlight w:val="yellow"/>
          </w:rPr>
          <w:t>Greening government: ICT and digital services strategy 2020 to 2025</w:t>
        </w:r>
      </w:hyperlink>
      <w:r w:rsidR="00495647" w:rsidRPr="00495647">
        <w:rPr>
          <w:b/>
          <w:bCs/>
          <w:i/>
          <w:iCs/>
          <w:color w:val="000000"/>
          <w:highlight w:val="yellow"/>
        </w:rPr>
        <w:t xml:space="preserve"> and </w:t>
      </w:r>
      <w:hyperlink r:id="rId40" w:history="1">
        <w:r w:rsidR="00495647" w:rsidRPr="00495647">
          <w:rPr>
            <w:b/>
            <w:bCs/>
            <w:i/>
            <w:iCs/>
            <w:color w:val="000000"/>
            <w:highlight w:val="yellow"/>
          </w:rPr>
          <w:t>point 12 of the Technology Code of Practice</w:t>
        </w:r>
      </w:hyperlink>
      <w:r w:rsidRPr="00BD6C5F">
        <w:rPr>
          <w:highlight w:val="yellow"/>
        </w:rPr>
        <w:t>].</w:t>
      </w:r>
      <w:bookmarkEnd w:id="159"/>
    </w:p>
    <w:p w14:paraId="3FD4676B" w14:textId="77777777" w:rsidR="00A82521" w:rsidRPr="00BD6C5F" w:rsidRDefault="00A82521" w:rsidP="003E785F">
      <w:pPr>
        <w:pStyle w:val="AppendixText2"/>
        <w:keepNext/>
        <w:spacing w:after="100"/>
      </w:pPr>
      <w:bookmarkStart w:id="160" w:name="_Ref98357768"/>
      <w:r w:rsidRPr="00BD6C5F">
        <w:t>The Supplier shall meet the applicable Government Buying Standards applicable to Services which can be found online at:</w:t>
      </w:r>
      <w:bookmarkEnd w:id="160"/>
      <w:r w:rsidRPr="00BD6C5F">
        <w:t xml:space="preserve"> </w:t>
      </w:r>
    </w:p>
    <w:p w14:paraId="52903BA7" w14:textId="65116DC8" w:rsidR="00A82521" w:rsidRPr="00BD6C5F" w:rsidRDefault="00EC0D9B" w:rsidP="00F21094">
      <w:pPr>
        <w:spacing w:before="100" w:after="200"/>
        <w:ind w:left="720"/>
      </w:pPr>
      <w:hyperlink r:id="rId41" w:history="1">
        <w:r w:rsidR="00A82521" w:rsidRPr="00BD6C5F">
          <w:rPr>
            <w:rStyle w:val="Hyperlink"/>
          </w:rPr>
          <w:t>https://www.gov.uk/government/collections/sustainable-procurement-the-government-buying-standards-gbs</w:t>
        </w:r>
      </w:hyperlink>
      <w:r w:rsidR="00A82521" w:rsidRPr="00BD6C5F">
        <w:t>.</w:t>
      </w:r>
    </w:p>
    <w:p w14:paraId="024D4FF6" w14:textId="316C2F9F" w:rsidR="00A82521" w:rsidRPr="00BD6C5F" w:rsidRDefault="00CE51D0" w:rsidP="00EF34C4">
      <w:pPr>
        <w:pStyle w:val="AppendixText1"/>
      </w:pPr>
      <w:bookmarkStart w:id="161" w:name="_Ref98357776"/>
      <w:r w:rsidRPr="00BD6C5F">
        <w:t>Supplier Code of Conduct</w:t>
      </w:r>
      <w:bookmarkEnd w:id="161"/>
    </w:p>
    <w:p w14:paraId="63152B53" w14:textId="2DF35D81" w:rsidR="00A82521" w:rsidRPr="00BD6C5F" w:rsidRDefault="00A82521" w:rsidP="00EF34C4">
      <w:pPr>
        <w:pStyle w:val="AppendixText2"/>
        <w:spacing w:after="100"/>
      </w:pPr>
      <w:r w:rsidRPr="00BD6C5F">
        <w:t>In February 2019, HM Government published a Supplier Code of Conduct setting out the standards and behaviours expected of suppliers who work with government which can be found online at:</w:t>
      </w:r>
    </w:p>
    <w:p w14:paraId="1DFE0C10" w14:textId="644BC767" w:rsidR="00541A86" w:rsidRDefault="00EC0D9B" w:rsidP="00F21094">
      <w:pPr>
        <w:spacing w:before="100" w:after="200"/>
        <w:ind w:left="720"/>
        <w:rPr>
          <w:color w:val="000000"/>
          <w:szCs w:val="24"/>
        </w:rPr>
      </w:pPr>
      <w:hyperlink r:id="rId42" w:history="1">
        <w:r w:rsidR="00541A86">
          <w:rPr>
            <w:color w:val="000000"/>
            <w:szCs w:val="24"/>
          </w:rPr>
          <w:t>https://assets.publishing.service.gov.uk/government/uploads/system/uploads/attachment_data/file/1163536/Supplier_Code_of_Conduct_v3.pdf</w:t>
        </w:r>
      </w:hyperlink>
      <w:r w:rsidR="00541A86">
        <w:rPr>
          <w:color w:val="000000"/>
          <w:szCs w:val="24"/>
        </w:rPr>
        <w:t xml:space="preserve"> </w:t>
      </w:r>
    </w:p>
    <w:p w14:paraId="7BBD515B" w14:textId="75D8ECB6" w:rsidR="00A82521" w:rsidRPr="00BD6C5F" w:rsidRDefault="00A82521" w:rsidP="00F21094">
      <w:pPr>
        <w:spacing w:before="100" w:after="200"/>
        <w:ind w:left="720"/>
        <w:rPr>
          <w:rFonts w:asciiTheme="minorHAnsi" w:hAnsiTheme="minorHAnsi" w:cstheme="minorHAnsi"/>
          <w:szCs w:val="24"/>
        </w:rPr>
      </w:pPr>
      <w:r w:rsidRPr="00BD6C5F">
        <w:rPr>
          <w:rFonts w:asciiTheme="minorHAnsi" w:hAnsiTheme="minorHAnsi" w:cstheme="minorHAnsi"/>
          <w:szCs w:val="24"/>
        </w:rPr>
        <w:t>The Authority expects to meet, and expects its suppliers and subcontractors to meet, the standards set out in that Code.</w:t>
      </w:r>
    </w:p>
    <w:p w14:paraId="565DB1BD" w14:textId="6C38CB24" w:rsidR="00A82521" w:rsidRPr="00BD6C5F" w:rsidRDefault="00CE51D0" w:rsidP="00EF34C4">
      <w:pPr>
        <w:pStyle w:val="AppendixText1"/>
      </w:pPr>
      <w:r w:rsidRPr="00BD6C5F">
        <w:t>Reporting Requirements</w:t>
      </w:r>
    </w:p>
    <w:p w14:paraId="5ABA0009" w14:textId="77777777" w:rsidR="00A82521" w:rsidRPr="00BD6C5F" w:rsidRDefault="009B03E9" w:rsidP="003E785F">
      <w:pPr>
        <w:pStyle w:val="AppendixText2"/>
        <w:keepNext/>
      </w:pPr>
      <w:r w:rsidRPr="00BD6C5F">
        <w:t>The Supplier shall comply with reasonable requests by the Authority for information evidencing compliance</w:t>
      </w:r>
      <w:r w:rsidR="00A82521" w:rsidRPr="00BD6C5F">
        <w:t>:</w:t>
      </w:r>
    </w:p>
    <w:p w14:paraId="13E7380D" w14:textId="4B04136A" w:rsidR="00A82521" w:rsidRPr="00BD6C5F" w:rsidRDefault="009B03E9" w:rsidP="00EF34C4">
      <w:pPr>
        <w:pStyle w:val="AppendixText3"/>
      </w:pPr>
      <w:r w:rsidRPr="00BD6C5F">
        <w:t xml:space="preserve">with </w:t>
      </w:r>
      <w:r w:rsidR="00A82521" w:rsidRPr="00BD6C5F">
        <w:t xml:space="preserve">paragraphs </w:t>
      </w:r>
      <w:r w:rsidR="008C50E5" w:rsidRPr="00BD6C5F">
        <w:fldChar w:fldCharType="begin"/>
      </w:r>
      <w:r w:rsidR="008C50E5" w:rsidRPr="00BD6C5F">
        <w:instrText xml:space="preserve"> REF _Ref98357736 \w \h </w:instrText>
      </w:r>
      <w:r w:rsidR="004957B3" w:rsidRPr="00BD6C5F">
        <w:instrText xml:space="preserve"> \* MERGEFORMAT </w:instrText>
      </w:r>
      <w:r w:rsidR="008C50E5" w:rsidRPr="00BD6C5F">
        <w:fldChar w:fldCharType="separate"/>
      </w:r>
      <w:r w:rsidR="009749A0">
        <w:t>2.1</w:t>
      </w:r>
      <w:r w:rsidR="008C50E5" w:rsidRPr="00BD6C5F">
        <w:fldChar w:fldCharType="end"/>
      </w:r>
      <w:r w:rsidR="00A82521" w:rsidRPr="00BD6C5F">
        <w:t xml:space="preserve">, </w:t>
      </w:r>
      <w:r w:rsidR="008C50E5" w:rsidRPr="00BD6C5F">
        <w:fldChar w:fldCharType="begin"/>
      </w:r>
      <w:r w:rsidR="008C50E5" w:rsidRPr="00BD6C5F">
        <w:instrText xml:space="preserve"> REF _Ref98357746 \w \h </w:instrText>
      </w:r>
      <w:r w:rsidR="004957B3" w:rsidRPr="00BD6C5F">
        <w:instrText xml:space="preserve"> \* MERGEFORMAT </w:instrText>
      </w:r>
      <w:r w:rsidR="008C50E5" w:rsidRPr="00BD6C5F">
        <w:fldChar w:fldCharType="separate"/>
      </w:r>
      <w:r w:rsidR="009749A0">
        <w:t>3.1</w:t>
      </w:r>
      <w:r w:rsidR="008C50E5" w:rsidRPr="00BD6C5F">
        <w:fldChar w:fldCharType="end"/>
      </w:r>
      <w:r w:rsidR="00A82521" w:rsidRPr="00BD6C5F">
        <w:t xml:space="preserve"> to </w:t>
      </w:r>
      <w:r w:rsidR="008C50E5" w:rsidRPr="00BD6C5F">
        <w:fldChar w:fldCharType="begin"/>
      </w:r>
      <w:r w:rsidR="008C50E5" w:rsidRPr="00BD6C5F">
        <w:instrText xml:space="preserve"> REF _Ref98357756 \w \h </w:instrText>
      </w:r>
      <w:r w:rsidR="004957B3" w:rsidRPr="00BD6C5F">
        <w:instrText xml:space="preserve"> \* MERGEFORMAT </w:instrText>
      </w:r>
      <w:r w:rsidR="008C50E5" w:rsidRPr="00BD6C5F">
        <w:fldChar w:fldCharType="separate"/>
      </w:r>
      <w:r w:rsidR="009749A0">
        <w:t>3.6</w:t>
      </w:r>
      <w:r w:rsidR="008C50E5" w:rsidRPr="00BD6C5F">
        <w:fldChar w:fldCharType="end"/>
      </w:r>
      <w:r w:rsidR="00A82521" w:rsidRPr="00BD6C5F">
        <w:t xml:space="preserve">, </w:t>
      </w:r>
      <w:r w:rsidR="008C50E5" w:rsidRPr="00BD6C5F">
        <w:fldChar w:fldCharType="begin"/>
      </w:r>
      <w:r w:rsidR="008C50E5" w:rsidRPr="00BD6C5F">
        <w:instrText xml:space="preserve"> REF _Ref98357768 \w \h </w:instrText>
      </w:r>
      <w:r w:rsidR="004957B3" w:rsidRPr="00BD6C5F">
        <w:instrText xml:space="preserve"> \* MERGEFORMAT </w:instrText>
      </w:r>
      <w:r w:rsidR="008C50E5" w:rsidRPr="00BD6C5F">
        <w:fldChar w:fldCharType="separate"/>
      </w:r>
      <w:r w:rsidR="009749A0">
        <w:t>3.13</w:t>
      </w:r>
      <w:r w:rsidR="008C50E5" w:rsidRPr="00BD6C5F">
        <w:fldChar w:fldCharType="end"/>
      </w:r>
      <w:r w:rsidR="00A82521" w:rsidRPr="00BD6C5F">
        <w:t xml:space="preserve"> and </w:t>
      </w:r>
      <w:r w:rsidR="008C50E5" w:rsidRPr="00BD6C5F">
        <w:fldChar w:fldCharType="begin"/>
      </w:r>
      <w:r w:rsidR="008C50E5" w:rsidRPr="00BD6C5F">
        <w:instrText xml:space="preserve"> REF _Ref98357776 \w \h </w:instrText>
      </w:r>
      <w:r w:rsidR="004957B3" w:rsidRPr="00BD6C5F">
        <w:instrText xml:space="preserve"> \* MERGEFORMAT </w:instrText>
      </w:r>
      <w:r w:rsidR="008C50E5" w:rsidRPr="00BD6C5F">
        <w:fldChar w:fldCharType="separate"/>
      </w:r>
      <w:r w:rsidR="009749A0">
        <w:t>4</w:t>
      </w:r>
      <w:r w:rsidR="008C50E5" w:rsidRPr="00BD6C5F">
        <w:fldChar w:fldCharType="end"/>
      </w:r>
      <w:r w:rsidR="00A82521" w:rsidRPr="00BD6C5F">
        <w:t xml:space="preserve"> of this </w:t>
      </w:r>
      <w:r w:rsidRPr="00BD6C5F">
        <w:t xml:space="preserve">Annex within </w:t>
      </w:r>
      <w:r w:rsidR="00A82521" w:rsidRPr="00BD6C5F">
        <w:rPr>
          <w:highlight w:val="yellow"/>
        </w:rPr>
        <w:t>[fourteen (</w:t>
      </w:r>
      <w:r w:rsidRPr="00BD6C5F">
        <w:rPr>
          <w:highlight w:val="yellow"/>
        </w:rPr>
        <w:t>14</w:t>
      </w:r>
      <w:r w:rsidR="00A82521" w:rsidRPr="00BD6C5F">
        <w:rPr>
          <w:highlight w:val="yellow"/>
        </w:rPr>
        <w:t>)</w:t>
      </w:r>
      <w:r w:rsidRPr="00BD6C5F">
        <w:rPr>
          <w:highlight w:val="yellow"/>
        </w:rPr>
        <w:t xml:space="preserve"> days</w:t>
      </w:r>
      <w:r w:rsidR="00A82521" w:rsidRPr="00BD6C5F">
        <w:t>]</w:t>
      </w:r>
      <w:r w:rsidRPr="00BD6C5F">
        <w:t xml:space="preserve"> of such request</w:t>
      </w:r>
      <w:r w:rsidR="00A82521" w:rsidRPr="00BD6C5F">
        <w:t>; and</w:t>
      </w:r>
    </w:p>
    <w:p w14:paraId="6B5946D5" w14:textId="121BA44B" w:rsidR="00BC7DDA" w:rsidRPr="00BD6C5F" w:rsidRDefault="004957B3" w:rsidP="00EF34C4">
      <w:pPr>
        <w:pStyle w:val="AppendixText3"/>
      </w:pPr>
      <w:r w:rsidRPr="00BD6C5F">
        <w:t>w</w:t>
      </w:r>
      <w:r w:rsidR="00A82521" w:rsidRPr="00BD6C5F">
        <w:t xml:space="preserve">ith paragraphs </w:t>
      </w:r>
      <w:r w:rsidR="008C50E5" w:rsidRPr="00BD6C5F">
        <w:fldChar w:fldCharType="begin"/>
      </w:r>
      <w:r w:rsidR="008C50E5" w:rsidRPr="00BD6C5F">
        <w:instrText xml:space="preserve"> REF _Ref98357790 \w \h </w:instrText>
      </w:r>
      <w:r w:rsidRPr="00BD6C5F">
        <w:instrText xml:space="preserve"> \* MERGEFORMAT </w:instrText>
      </w:r>
      <w:r w:rsidR="008C50E5" w:rsidRPr="00BD6C5F">
        <w:fldChar w:fldCharType="separate"/>
      </w:r>
      <w:r w:rsidR="009749A0">
        <w:t>2.2</w:t>
      </w:r>
      <w:r w:rsidR="008C50E5" w:rsidRPr="00BD6C5F">
        <w:fldChar w:fldCharType="end"/>
      </w:r>
      <w:r w:rsidR="00A82521" w:rsidRPr="00BD6C5F">
        <w:t xml:space="preserve">, </w:t>
      </w:r>
      <w:r w:rsidR="008C50E5" w:rsidRPr="00BD6C5F">
        <w:fldChar w:fldCharType="begin"/>
      </w:r>
      <w:r w:rsidR="008C50E5" w:rsidRPr="00BD6C5F">
        <w:instrText xml:space="preserve"> REF _Ref98357800 \w \h </w:instrText>
      </w:r>
      <w:r w:rsidRPr="00BD6C5F">
        <w:instrText xml:space="preserve"> \* MERGEFORMAT </w:instrText>
      </w:r>
      <w:r w:rsidR="008C50E5" w:rsidRPr="00BD6C5F">
        <w:fldChar w:fldCharType="separate"/>
      </w:r>
      <w:r w:rsidR="009749A0">
        <w:t>2.3</w:t>
      </w:r>
      <w:r w:rsidR="008C50E5" w:rsidRPr="00BD6C5F">
        <w:fldChar w:fldCharType="end"/>
      </w:r>
      <w:r w:rsidR="00A82521" w:rsidRPr="00BD6C5F">
        <w:t xml:space="preserve"> and </w:t>
      </w:r>
      <w:r w:rsidR="008C50E5" w:rsidRPr="00BD6C5F">
        <w:fldChar w:fldCharType="begin"/>
      </w:r>
      <w:r w:rsidR="008C50E5" w:rsidRPr="00BD6C5F">
        <w:instrText xml:space="preserve"> REF _Ref98357811 \w \h </w:instrText>
      </w:r>
      <w:r w:rsidRPr="00BD6C5F">
        <w:instrText xml:space="preserve"> \* MERGEFORMAT </w:instrText>
      </w:r>
      <w:r w:rsidR="008C50E5" w:rsidRPr="00BD6C5F">
        <w:fldChar w:fldCharType="separate"/>
      </w:r>
      <w:r w:rsidR="009749A0">
        <w:t>3.7</w:t>
      </w:r>
      <w:r w:rsidR="008C50E5" w:rsidRPr="00BD6C5F">
        <w:fldChar w:fldCharType="end"/>
      </w:r>
      <w:r w:rsidR="00A82521" w:rsidRPr="00BD6C5F">
        <w:t xml:space="preserve"> to </w:t>
      </w:r>
      <w:r w:rsidR="008C50E5" w:rsidRPr="00BD6C5F">
        <w:fldChar w:fldCharType="begin"/>
      </w:r>
      <w:r w:rsidR="008C50E5" w:rsidRPr="00BD6C5F">
        <w:instrText xml:space="preserve"> REF _Ref98357820 \w \h </w:instrText>
      </w:r>
      <w:r w:rsidRPr="00BD6C5F">
        <w:instrText xml:space="preserve"> \* MERGEFORMAT </w:instrText>
      </w:r>
      <w:r w:rsidR="008C50E5" w:rsidRPr="00BD6C5F">
        <w:fldChar w:fldCharType="separate"/>
      </w:r>
      <w:r w:rsidR="009749A0">
        <w:t>3.12</w:t>
      </w:r>
      <w:r w:rsidR="008C50E5" w:rsidRPr="00BD6C5F">
        <w:fldChar w:fldCharType="end"/>
      </w:r>
      <w:r w:rsidR="00A82521" w:rsidRPr="00BD6C5F">
        <w:t xml:space="preserve"> of this Annex within </w:t>
      </w:r>
      <w:r w:rsidR="00A82521" w:rsidRPr="00BD6C5F">
        <w:rPr>
          <w:highlight w:val="yellow"/>
        </w:rPr>
        <w:t>[thirty (30) days]</w:t>
      </w:r>
      <w:r w:rsidR="00A82521" w:rsidRPr="00BD6C5F">
        <w:t xml:space="preserve"> of such request</w:t>
      </w:r>
      <w:r w:rsidR="008C50E5" w:rsidRPr="00BD6C5F">
        <w:t xml:space="preserve">, </w:t>
      </w:r>
      <w:r w:rsidR="009B03E9" w:rsidRPr="00BD6C5F">
        <w:t>provided that such requests are limited to two per Contract Year.</w:t>
      </w:r>
    </w:p>
    <w:p w14:paraId="17C76151" w14:textId="0955B787" w:rsidR="004957B3" w:rsidRPr="00BD6C5F" w:rsidRDefault="00A82521" w:rsidP="004957B3">
      <w:pPr>
        <w:spacing w:after="240"/>
        <w:rPr>
          <w:rFonts w:asciiTheme="minorHAnsi" w:hAnsiTheme="minorHAnsi" w:cstheme="minorHAnsi"/>
          <w:szCs w:val="24"/>
        </w:rPr>
      </w:pPr>
      <w:r w:rsidRPr="00BD6C5F">
        <w:rPr>
          <w:rFonts w:asciiTheme="minorHAnsi" w:hAnsiTheme="minorHAnsi" w:cstheme="minorHAnsi"/>
          <w:szCs w:val="24"/>
        </w:rPr>
        <w:t>The Supplier shall complete the Sustainability Report in relation</w:t>
      </w:r>
      <w:r w:rsidR="00A248FA">
        <w:rPr>
          <w:rFonts w:asciiTheme="minorHAnsi" w:hAnsiTheme="minorHAnsi" w:cstheme="minorHAnsi"/>
          <w:szCs w:val="24"/>
        </w:rPr>
        <w:t xml:space="preserve"> to</w:t>
      </w:r>
      <w:r w:rsidRPr="00BD6C5F">
        <w:rPr>
          <w:rFonts w:asciiTheme="minorHAnsi" w:hAnsiTheme="minorHAnsi" w:cstheme="minorHAnsi"/>
          <w:szCs w:val="24"/>
        </w:rPr>
        <w:t xml:space="preserve"> its provision of the Services under this Contract and provide the Sustainability Report to the Authority on the date and frequency outlined in Table C of this Annex.</w:t>
      </w:r>
      <w:r w:rsidR="00DB2677" w:rsidRPr="00BD6C5F">
        <w:rPr>
          <w:rFonts w:asciiTheme="minorHAnsi" w:hAnsiTheme="minorHAnsi" w:cstheme="minorHAnsi"/>
          <w:szCs w:val="24"/>
        </w:rPr>
        <w:t xml:space="preserve"> </w:t>
      </w:r>
      <w:bookmarkStart w:id="162" w:name="_bookmark55"/>
      <w:bookmarkEnd w:id="162"/>
    </w:p>
    <w:p w14:paraId="0ED21543" w14:textId="0C9F002F" w:rsidR="00BC7DDA" w:rsidRPr="00BD6C5F" w:rsidRDefault="00CE51D0" w:rsidP="00F21094">
      <w:pPr>
        <w:pStyle w:val="Heading3"/>
      </w:pPr>
      <w:r w:rsidRPr="00BD6C5F">
        <w:t xml:space="preserve">Table </w:t>
      </w:r>
      <w:r w:rsidR="009B03E9" w:rsidRPr="00BD6C5F">
        <w:t>A – Prohibited Items</w:t>
      </w:r>
    </w:p>
    <w:tbl>
      <w:tblPr>
        <w:tblStyle w:val="MSATable-header"/>
        <w:tblW w:w="10205" w:type="dxa"/>
        <w:tblLayout w:type="fixed"/>
        <w:tblLook w:val="0600" w:firstRow="0" w:lastRow="0" w:firstColumn="0" w:lastColumn="0" w:noHBand="1" w:noVBand="1"/>
      </w:tblPr>
      <w:tblGrid>
        <w:gridCol w:w="2268"/>
        <w:gridCol w:w="7937"/>
      </w:tblGrid>
      <w:tr w:rsidR="00BC7DDA" w:rsidRPr="00BD6C5F" w14:paraId="6C4EC304" w14:textId="77777777" w:rsidTr="00267131">
        <w:trPr>
          <w:trHeight w:val="20"/>
        </w:trPr>
        <w:tc>
          <w:tcPr>
            <w:tcW w:w="2268" w:type="dxa"/>
            <w:vMerge w:val="restart"/>
          </w:tcPr>
          <w:p w14:paraId="3A6BE40A" w14:textId="77777777" w:rsidR="00BC7DDA" w:rsidRPr="00BD6C5F" w:rsidRDefault="009B03E9" w:rsidP="00267131">
            <w:pPr>
              <w:pStyle w:val="Tabletext"/>
              <w:rPr>
                <w:b/>
                <w:bCs/>
              </w:rPr>
            </w:pPr>
            <w:r w:rsidRPr="00BD6C5F">
              <w:rPr>
                <w:b/>
                <w:bCs/>
              </w:rPr>
              <w:t>The following consumer single use plastics are Prohibited Items:</w:t>
            </w:r>
          </w:p>
        </w:tc>
        <w:tc>
          <w:tcPr>
            <w:tcW w:w="7937" w:type="dxa"/>
          </w:tcPr>
          <w:p w14:paraId="58181545" w14:textId="77777777" w:rsidR="00BC7DDA" w:rsidRPr="00BD6C5F" w:rsidRDefault="009B03E9" w:rsidP="00267131">
            <w:pPr>
              <w:pStyle w:val="Tabletext"/>
              <w:rPr>
                <w:rFonts w:asciiTheme="minorHAnsi" w:hAnsiTheme="minorHAnsi" w:cstheme="minorHAnsi"/>
                <w:b/>
              </w:rPr>
            </w:pPr>
            <w:r w:rsidRPr="00BD6C5F">
              <w:rPr>
                <w:rFonts w:asciiTheme="minorHAnsi" w:hAnsiTheme="minorHAnsi" w:cstheme="minorHAnsi"/>
                <w:b/>
              </w:rPr>
              <w:t>Catering</w:t>
            </w:r>
          </w:p>
          <w:p w14:paraId="2EF4D667" w14:textId="33393937" w:rsidR="00BC7DDA" w:rsidRPr="00BD6C5F" w:rsidRDefault="003E785F" w:rsidP="00B71FC0">
            <w:pPr>
              <w:pStyle w:val="Tablea"/>
              <w:numPr>
                <w:ilvl w:val="0"/>
                <w:numId w:val="61"/>
              </w:numPr>
            </w:pPr>
            <w:r>
              <w:t xml:space="preserve"> </w:t>
            </w:r>
            <w:r w:rsidR="009B03E9" w:rsidRPr="00BD6C5F">
              <w:t>Single use sachets e.g. coffee pods, sauce sachets, milk sachets</w:t>
            </w:r>
          </w:p>
          <w:p w14:paraId="01D1FB33" w14:textId="77777777" w:rsidR="00BC7DDA" w:rsidRPr="00BD6C5F" w:rsidRDefault="009B03E9" w:rsidP="003A5D4B">
            <w:pPr>
              <w:pStyle w:val="Tablea"/>
            </w:pPr>
            <w:r w:rsidRPr="00BD6C5F">
              <w:t>Take away cutlery</w:t>
            </w:r>
          </w:p>
          <w:p w14:paraId="6F9E7578" w14:textId="77777777" w:rsidR="00BC7DDA" w:rsidRPr="00BD6C5F" w:rsidRDefault="009B03E9" w:rsidP="003A5D4B">
            <w:pPr>
              <w:pStyle w:val="Tablea"/>
            </w:pPr>
            <w:r w:rsidRPr="00BD6C5F">
              <w:t>Take away boxes and plates</w:t>
            </w:r>
          </w:p>
          <w:p w14:paraId="2D0D614D" w14:textId="77777777" w:rsidR="00BC7DDA" w:rsidRPr="00BD6C5F" w:rsidRDefault="009B03E9" w:rsidP="003A5D4B">
            <w:pPr>
              <w:pStyle w:val="Tablea"/>
            </w:pPr>
            <w:r w:rsidRPr="00BD6C5F">
              <w:lastRenderedPageBreak/>
              <w:t>Cups made wholly or partially of plastic</w:t>
            </w:r>
          </w:p>
          <w:p w14:paraId="755A9652" w14:textId="77777777" w:rsidR="00BC7DDA" w:rsidRPr="00BD6C5F" w:rsidRDefault="009B03E9" w:rsidP="003A5D4B">
            <w:pPr>
              <w:pStyle w:val="Tablea"/>
            </w:pPr>
            <w:r w:rsidRPr="00BD6C5F">
              <w:t>Straws</w:t>
            </w:r>
          </w:p>
          <w:p w14:paraId="2F45AF57" w14:textId="77777777" w:rsidR="00BC7DDA" w:rsidRPr="00BD6C5F" w:rsidRDefault="009B03E9" w:rsidP="003A5D4B">
            <w:pPr>
              <w:pStyle w:val="Tablea"/>
            </w:pPr>
            <w:r w:rsidRPr="00BD6C5F">
              <w:t>Stirrers</w:t>
            </w:r>
          </w:p>
          <w:p w14:paraId="1F6477A5" w14:textId="77777777" w:rsidR="00BC7DDA" w:rsidRPr="00BD6C5F" w:rsidRDefault="009B03E9" w:rsidP="003A5D4B">
            <w:pPr>
              <w:pStyle w:val="Tablea"/>
            </w:pPr>
            <w:r w:rsidRPr="00BD6C5F">
              <w:t>Water bottles</w:t>
            </w:r>
          </w:p>
        </w:tc>
      </w:tr>
      <w:tr w:rsidR="00BC7DDA" w:rsidRPr="00BD6C5F" w14:paraId="72B18C0D" w14:textId="77777777" w:rsidTr="00267131">
        <w:trPr>
          <w:trHeight w:val="20"/>
        </w:trPr>
        <w:tc>
          <w:tcPr>
            <w:tcW w:w="2268" w:type="dxa"/>
            <w:vMerge/>
          </w:tcPr>
          <w:p w14:paraId="249C54A2" w14:textId="77777777" w:rsidR="00BC7DDA" w:rsidRPr="00BD6C5F" w:rsidRDefault="00BC7DDA">
            <w:pPr>
              <w:rPr>
                <w:rFonts w:asciiTheme="minorHAnsi" w:hAnsiTheme="minorHAnsi" w:cstheme="minorHAnsi"/>
              </w:rPr>
            </w:pPr>
          </w:p>
        </w:tc>
        <w:tc>
          <w:tcPr>
            <w:tcW w:w="7937" w:type="dxa"/>
          </w:tcPr>
          <w:p w14:paraId="1C679F26" w14:textId="77777777" w:rsidR="00BC7DDA" w:rsidRPr="00BD6C5F" w:rsidRDefault="009B03E9" w:rsidP="00267131">
            <w:pPr>
              <w:pStyle w:val="Tabletext"/>
              <w:rPr>
                <w:rFonts w:asciiTheme="minorHAnsi" w:hAnsiTheme="minorHAnsi" w:cstheme="minorHAnsi"/>
                <w:b/>
              </w:rPr>
            </w:pPr>
            <w:r w:rsidRPr="00BD6C5F">
              <w:rPr>
                <w:rFonts w:asciiTheme="minorHAnsi" w:hAnsiTheme="minorHAnsi" w:cstheme="minorHAnsi"/>
                <w:b/>
              </w:rPr>
              <w:t>Facilities</w:t>
            </w:r>
          </w:p>
          <w:p w14:paraId="4E51358B" w14:textId="77777777" w:rsidR="00BC7DDA" w:rsidRPr="00BD6C5F" w:rsidRDefault="009B03E9" w:rsidP="003E785F">
            <w:pPr>
              <w:pStyle w:val="Tablea"/>
            </w:pPr>
            <w:r w:rsidRPr="00BD6C5F">
              <w:t>Single use containers e.g. hand soap, cleaning products</w:t>
            </w:r>
          </w:p>
          <w:p w14:paraId="1C7FECF1" w14:textId="77777777" w:rsidR="00BC7DDA" w:rsidRPr="00BD6C5F" w:rsidRDefault="009B03E9" w:rsidP="003A5D4B">
            <w:pPr>
              <w:pStyle w:val="Tablea"/>
            </w:pPr>
            <w:r w:rsidRPr="00BD6C5F">
              <w:t>Wipes containing plastic</w:t>
            </w:r>
          </w:p>
        </w:tc>
      </w:tr>
      <w:tr w:rsidR="00BC7DDA" w:rsidRPr="00BD6C5F" w14:paraId="40F5934A" w14:textId="77777777" w:rsidTr="00267131">
        <w:trPr>
          <w:trHeight w:val="20"/>
        </w:trPr>
        <w:tc>
          <w:tcPr>
            <w:tcW w:w="2268" w:type="dxa"/>
            <w:vMerge/>
          </w:tcPr>
          <w:p w14:paraId="2056B8E6" w14:textId="77777777" w:rsidR="00BC7DDA" w:rsidRPr="00BD6C5F" w:rsidRDefault="00BC7DDA">
            <w:pPr>
              <w:rPr>
                <w:rFonts w:asciiTheme="minorHAnsi" w:hAnsiTheme="minorHAnsi" w:cstheme="minorHAnsi"/>
              </w:rPr>
            </w:pPr>
          </w:p>
        </w:tc>
        <w:tc>
          <w:tcPr>
            <w:tcW w:w="7937" w:type="dxa"/>
          </w:tcPr>
          <w:p w14:paraId="3A0011DE" w14:textId="77777777" w:rsidR="00BC7DDA" w:rsidRPr="00BD6C5F" w:rsidRDefault="009B03E9" w:rsidP="00267131">
            <w:pPr>
              <w:pStyle w:val="Tabletext"/>
              <w:rPr>
                <w:rFonts w:asciiTheme="minorHAnsi" w:hAnsiTheme="minorHAnsi" w:cstheme="minorHAnsi"/>
                <w:b/>
              </w:rPr>
            </w:pPr>
            <w:r w:rsidRPr="00BD6C5F">
              <w:rPr>
                <w:rFonts w:asciiTheme="minorHAnsi" w:hAnsiTheme="minorHAnsi" w:cstheme="minorHAnsi"/>
                <w:b/>
              </w:rPr>
              <w:t>Office Supplies</w:t>
            </w:r>
          </w:p>
          <w:p w14:paraId="2FBA41F9" w14:textId="77777777" w:rsidR="00BC7DDA" w:rsidRPr="00BD6C5F" w:rsidRDefault="009B03E9" w:rsidP="00B71FC0">
            <w:pPr>
              <w:pStyle w:val="Tablea"/>
              <w:numPr>
                <w:ilvl w:val="0"/>
                <w:numId w:val="63"/>
              </w:numPr>
            </w:pPr>
            <w:r w:rsidRPr="00BD6C5F">
              <w:t>Plastic envelopes</w:t>
            </w:r>
          </w:p>
          <w:p w14:paraId="1781BC82" w14:textId="77777777" w:rsidR="00BC7DDA" w:rsidRPr="00BD6C5F" w:rsidRDefault="009B03E9" w:rsidP="00B71FC0">
            <w:pPr>
              <w:pStyle w:val="Tablea"/>
              <w:numPr>
                <w:ilvl w:val="0"/>
                <w:numId w:val="63"/>
              </w:numPr>
            </w:pPr>
            <w:r w:rsidRPr="00BD6C5F">
              <w:t>Plastic wrapping for brochures</w:t>
            </w:r>
          </w:p>
          <w:p w14:paraId="672992E7" w14:textId="77777777" w:rsidR="00BC7DDA" w:rsidRPr="00BD6C5F" w:rsidRDefault="009B03E9" w:rsidP="00B71FC0">
            <w:pPr>
              <w:pStyle w:val="Tablea"/>
              <w:numPr>
                <w:ilvl w:val="0"/>
                <w:numId w:val="63"/>
              </w:numPr>
            </w:pPr>
            <w:r w:rsidRPr="00BD6C5F">
              <w:t>Paper or card which is bleached with chlorine</w:t>
            </w:r>
          </w:p>
        </w:tc>
      </w:tr>
      <w:tr w:rsidR="00BC7DDA" w:rsidRPr="00BD6C5F" w14:paraId="6D4A7587" w14:textId="77777777" w:rsidTr="00267131">
        <w:trPr>
          <w:trHeight w:val="20"/>
        </w:trPr>
        <w:tc>
          <w:tcPr>
            <w:tcW w:w="2268" w:type="dxa"/>
            <w:vMerge/>
          </w:tcPr>
          <w:p w14:paraId="282062E3" w14:textId="77777777" w:rsidR="00BC7DDA" w:rsidRPr="00BD6C5F" w:rsidRDefault="00BC7DDA">
            <w:pPr>
              <w:rPr>
                <w:rFonts w:asciiTheme="minorHAnsi" w:hAnsiTheme="minorHAnsi" w:cstheme="minorHAnsi"/>
              </w:rPr>
            </w:pPr>
          </w:p>
        </w:tc>
        <w:tc>
          <w:tcPr>
            <w:tcW w:w="7937" w:type="dxa"/>
          </w:tcPr>
          <w:p w14:paraId="7D7E729B" w14:textId="77777777" w:rsidR="00BC7DDA" w:rsidRPr="00BD6C5F" w:rsidRDefault="009B03E9" w:rsidP="00267131">
            <w:pPr>
              <w:pStyle w:val="Tabletext"/>
              <w:rPr>
                <w:rFonts w:asciiTheme="minorHAnsi" w:hAnsiTheme="minorHAnsi" w:cstheme="minorHAnsi"/>
                <w:b/>
              </w:rPr>
            </w:pPr>
            <w:r w:rsidRPr="00BD6C5F">
              <w:rPr>
                <w:rFonts w:asciiTheme="minorHAnsi" w:hAnsiTheme="minorHAnsi" w:cstheme="minorHAnsi"/>
                <w:b/>
              </w:rPr>
              <w:t>Packaging</w:t>
            </w:r>
          </w:p>
          <w:p w14:paraId="76FFA3D5" w14:textId="77777777" w:rsidR="00BC7DDA" w:rsidRPr="00BD6C5F" w:rsidRDefault="009B03E9" w:rsidP="003E785F">
            <w:pPr>
              <w:pStyle w:val="Tablea"/>
            </w:pPr>
            <w:r w:rsidRPr="00BD6C5F">
              <w:t>Single use plastic packaging from deliveries where avoidable e.g. shrink wrapped packaging from office supplier or facilities products.</w:t>
            </w:r>
          </w:p>
          <w:p w14:paraId="483D2893" w14:textId="77777777" w:rsidR="00BC7DDA" w:rsidRPr="00BD6C5F" w:rsidRDefault="009B03E9" w:rsidP="003A5D4B">
            <w:pPr>
              <w:pStyle w:val="Tablea"/>
            </w:pPr>
            <w:r w:rsidRPr="00BD6C5F">
              <w:t>Single use carrier bags</w:t>
            </w:r>
          </w:p>
        </w:tc>
      </w:tr>
      <w:tr w:rsidR="00BC7DDA" w:rsidRPr="00BD6C5F" w14:paraId="7CC2F8C2" w14:textId="77777777" w:rsidTr="00267131">
        <w:trPr>
          <w:trHeight w:val="20"/>
        </w:trPr>
        <w:tc>
          <w:tcPr>
            <w:tcW w:w="2268" w:type="dxa"/>
          </w:tcPr>
          <w:p w14:paraId="5C8BABFC" w14:textId="77777777" w:rsidR="00BC7DDA" w:rsidRPr="00BD6C5F" w:rsidRDefault="009B03E9" w:rsidP="00267131">
            <w:pPr>
              <w:pStyle w:val="Tabletext"/>
              <w:rPr>
                <w:b/>
                <w:bCs/>
              </w:rPr>
            </w:pPr>
            <w:r w:rsidRPr="00BD6C5F">
              <w:rPr>
                <w:b/>
                <w:bCs/>
              </w:rPr>
              <w:t>Authority specific Prohibitions</w:t>
            </w:r>
          </w:p>
        </w:tc>
        <w:tc>
          <w:tcPr>
            <w:tcW w:w="7937" w:type="dxa"/>
          </w:tcPr>
          <w:p w14:paraId="349C9F5D" w14:textId="47C8B4A9" w:rsidR="00267131" w:rsidRPr="00BD6C5F" w:rsidRDefault="00B667A1" w:rsidP="00267131">
            <w:pPr>
              <w:pStyle w:val="Tabletext"/>
              <w:rPr>
                <w:rFonts w:asciiTheme="minorHAnsi" w:hAnsiTheme="minorHAnsi" w:cstheme="minorHAnsi"/>
                <w:iCs/>
              </w:rPr>
            </w:pPr>
            <w:r w:rsidRPr="00BD6C5F">
              <w:rPr>
                <w:rFonts w:asciiTheme="minorHAnsi" w:hAnsiTheme="minorHAnsi" w:cstheme="minorHAnsi"/>
                <w:iCs/>
                <w:highlight w:val="yellow"/>
              </w:rPr>
              <w:t>[Authority to consider other items outside of the Cabinet Office 2020 commitment to be prohibited]</w:t>
            </w:r>
          </w:p>
          <w:p w14:paraId="5DDCDACE" w14:textId="7F087EEF" w:rsidR="00BC7DDA" w:rsidRPr="00BD6C5F" w:rsidRDefault="00B667A1" w:rsidP="00267131">
            <w:pPr>
              <w:pStyle w:val="Tabletext"/>
              <w:rPr>
                <w:rFonts w:asciiTheme="minorHAnsi" w:hAnsiTheme="minorHAnsi" w:cstheme="minorHAnsi"/>
                <w:iCs/>
              </w:rPr>
            </w:pPr>
            <w:r w:rsidRPr="00BD6C5F">
              <w:rPr>
                <w:rFonts w:asciiTheme="minorHAnsi" w:hAnsiTheme="minorHAnsi" w:cstheme="minorHAnsi"/>
                <w:iCs/>
                <w:highlight w:val="yellow"/>
              </w:rPr>
              <w:t xml:space="preserve">[Conflict minerals as defined by the </w:t>
            </w:r>
            <w:hyperlink r:id="rId43" w:history="1">
              <w:r w:rsidRPr="00BD6C5F">
                <w:rPr>
                  <w:rStyle w:val="Hyperlink"/>
                  <w:rFonts w:asciiTheme="minorHAnsi" w:hAnsiTheme="minorHAnsi" w:cstheme="minorHAnsi"/>
                  <w:iCs/>
                  <w:highlight w:val="yellow"/>
                </w:rPr>
                <w:t>https://www.gov.uk/guidance/conflict-minerals</w:t>
              </w:r>
            </w:hyperlink>
            <w:r w:rsidRPr="00BD6C5F">
              <w:rPr>
                <w:rFonts w:asciiTheme="minorHAnsi" w:hAnsiTheme="minorHAnsi" w:cstheme="minorHAnsi"/>
                <w:iCs/>
                <w:highlight w:val="yellow"/>
              </w:rPr>
              <w:t>, E.g. non-recyclable plastic pens]</w:t>
            </w:r>
          </w:p>
        </w:tc>
      </w:tr>
      <w:tr w:rsidR="00BC7DDA" w:rsidRPr="00BD6C5F" w14:paraId="01FA9ED8" w14:textId="77777777" w:rsidTr="00267131">
        <w:trPr>
          <w:trHeight w:val="20"/>
        </w:trPr>
        <w:tc>
          <w:tcPr>
            <w:tcW w:w="2268" w:type="dxa"/>
          </w:tcPr>
          <w:p w14:paraId="5ECE2834" w14:textId="77777777" w:rsidR="00BC7DDA" w:rsidRPr="00BD6C5F" w:rsidRDefault="009B03E9" w:rsidP="00267131">
            <w:pPr>
              <w:pStyle w:val="Tabletext"/>
              <w:rPr>
                <w:b/>
                <w:bCs/>
              </w:rPr>
            </w:pPr>
            <w:r w:rsidRPr="00BD6C5F">
              <w:rPr>
                <w:b/>
                <w:bCs/>
              </w:rPr>
              <w:t>Project specific Prohibitions</w:t>
            </w:r>
          </w:p>
        </w:tc>
        <w:tc>
          <w:tcPr>
            <w:tcW w:w="7937" w:type="dxa"/>
          </w:tcPr>
          <w:p w14:paraId="25E94B4D" w14:textId="7E7881FC" w:rsidR="00BC7DDA" w:rsidRPr="00BD6C5F" w:rsidRDefault="00DF0E4F" w:rsidP="00267131">
            <w:pPr>
              <w:pStyle w:val="Tabletext"/>
              <w:rPr>
                <w:rFonts w:asciiTheme="minorHAnsi" w:hAnsiTheme="minorHAnsi" w:cstheme="minorHAnsi"/>
                <w:iCs/>
              </w:rPr>
            </w:pPr>
            <w:r w:rsidRPr="00BD6C5F">
              <w:rPr>
                <w:rFonts w:asciiTheme="minorHAnsi" w:hAnsiTheme="minorHAnsi" w:cstheme="minorHAnsi"/>
                <w:iCs/>
                <w:highlight w:val="yellow"/>
              </w:rPr>
              <w:t>[</w:t>
            </w:r>
            <w:r w:rsidRPr="00012747">
              <w:rPr>
                <w:rFonts w:asciiTheme="minorHAnsi" w:hAnsiTheme="minorHAnsi" w:cstheme="minorHAnsi"/>
                <w:b/>
                <w:bCs/>
                <w:iCs/>
                <w:highlight w:val="yellow"/>
              </w:rPr>
              <w:t>Insert</w:t>
            </w:r>
            <w:r w:rsidRPr="00BD6C5F">
              <w:rPr>
                <w:rFonts w:asciiTheme="minorHAnsi" w:hAnsiTheme="minorHAnsi" w:cstheme="minorHAnsi"/>
                <w:iCs/>
                <w:highlight w:val="yellow"/>
              </w:rPr>
              <w:t xml:space="preserve"> items specific to the project which you wish to prohibit use of for sustainability reasons]</w:t>
            </w:r>
          </w:p>
        </w:tc>
      </w:tr>
    </w:tbl>
    <w:p w14:paraId="226E05FC" w14:textId="6875B50B" w:rsidR="00BC7DDA" w:rsidRPr="00BD6C5F" w:rsidRDefault="00CE51D0" w:rsidP="00E16A38">
      <w:pPr>
        <w:pStyle w:val="Heading3"/>
      </w:pPr>
      <w:bookmarkStart w:id="163" w:name="_bookmark56"/>
      <w:bookmarkEnd w:id="163"/>
      <w:r w:rsidRPr="00BD6C5F">
        <w:t xml:space="preserve">Table </w:t>
      </w:r>
      <w:r w:rsidR="009B03E9" w:rsidRPr="00BD6C5F">
        <w:t>B – Permitted Items</w:t>
      </w:r>
    </w:p>
    <w:tbl>
      <w:tblPr>
        <w:tblStyle w:val="MSATable-header"/>
        <w:tblW w:w="10205" w:type="dxa"/>
        <w:tblLayout w:type="fixed"/>
        <w:tblLook w:val="0600" w:firstRow="0" w:lastRow="0" w:firstColumn="0" w:lastColumn="0" w:noHBand="1" w:noVBand="1"/>
      </w:tblPr>
      <w:tblGrid>
        <w:gridCol w:w="2268"/>
        <w:gridCol w:w="7937"/>
      </w:tblGrid>
      <w:tr w:rsidR="00BC7DDA" w:rsidRPr="00BD6C5F" w14:paraId="0E3F07D9" w14:textId="77777777" w:rsidTr="00267131">
        <w:trPr>
          <w:trHeight w:val="20"/>
        </w:trPr>
        <w:tc>
          <w:tcPr>
            <w:tcW w:w="2268" w:type="dxa"/>
          </w:tcPr>
          <w:p w14:paraId="7B9A7046" w14:textId="77777777" w:rsidR="00BC7DDA" w:rsidRPr="00BD6C5F" w:rsidRDefault="009B03E9" w:rsidP="00267131">
            <w:pPr>
              <w:pStyle w:val="Tabletext"/>
              <w:rPr>
                <w:b/>
                <w:bCs/>
              </w:rPr>
            </w:pPr>
            <w:r w:rsidRPr="00BD6C5F">
              <w:rPr>
                <w:b/>
                <w:bCs/>
              </w:rPr>
              <w:t>Authority Permitted Items</w:t>
            </w:r>
          </w:p>
        </w:tc>
        <w:tc>
          <w:tcPr>
            <w:tcW w:w="7937" w:type="dxa"/>
          </w:tcPr>
          <w:p w14:paraId="6ED220BE" w14:textId="41C64DD3" w:rsidR="00BC7DDA" w:rsidRPr="00BD6C5F" w:rsidRDefault="00B667A1" w:rsidP="00267131">
            <w:pPr>
              <w:pStyle w:val="Tabletext"/>
              <w:rPr>
                <w:rFonts w:asciiTheme="minorHAnsi" w:hAnsiTheme="minorHAnsi" w:cstheme="minorHAnsi"/>
                <w:iCs/>
              </w:rPr>
            </w:pPr>
            <w:r w:rsidRPr="00BD6C5F">
              <w:rPr>
                <w:rFonts w:asciiTheme="minorHAnsi" w:hAnsiTheme="minorHAnsi" w:cstheme="minorHAnsi"/>
                <w:iCs/>
                <w:highlight w:val="yellow"/>
              </w:rPr>
              <w:t>[Authority to consider whether there are other items which it may wish to expressly authorise]</w:t>
            </w:r>
          </w:p>
        </w:tc>
      </w:tr>
      <w:tr w:rsidR="00BC7DDA" w:rsidRPr="00BD6C5F" w14:paraId="5AC75FA5" w14:textId="77777777" w:rsidTr="00267131">
        <w:trPr>
          <w:trHeight w:val="20"/>
        </w:trPr>
        <w:tc>
          <w:tcPr>
            <w:tcW w:w="2268" w:type="dxa"/>
          </w:tcPr>
          <w:p w14:paraId="231CB5D3" w14:textId="77777777" w:rsidR="00BC7DDA" w:rsidRPr="00BD6C5F" w:rsidRDefault="009B03E9" w:rsidP="00267131">
            <w:pPr>
              <w:pStyle w:val="Tabletext"/>
              <w:rPr>
                <w:b/>
                <w:bCs/>
              </w:rPr>
            </w:pPr>
            <w:r w:rsidRPr="00BD6C5F">
              <w:rPr>
                <w:b/>
                <w:bCs/>
              </w:rPr>
              <w:t>Project Specific Permitted Items</w:t>
            </w:r>
          </w:p>
        </w:tc>
        <w:tc>
          <w:tcPr>
            <w:tcW w:w="7937" w:type="dxa"/>
          </w:tcPr>
          <w:p w14:paraId="195CAFE6" w14:textId="77777777" w:rsidR="00B667A1" w:rsidRPr="00BD6C5F" w:rsidRDefault="00B667A1" w:rsidP="00B667A1">
            <w:pPr>
              <w:pStyle w:val="Tabletext"/>
              <w:rPr>
                <w:rFonts w:asciiTheme="minorHAnsi" w:hAnsiTheme="minorHAnsi" w:cstheme="minorHAnsi"/>
                <w:iCs/>
                <w:highlight w:val="yellow"/>
              </w:rPr>
            </w:pPr>
            <w:r w:rsidRPr="00BD6C5F">
              <w:rPr>
                <w:rFonts w:asciiTheme="minorHAnsi" w:hAnsiTheme="minorHAnsi" w:cstheme="minorHAnsi"/>
                <w:iCs/>
                <w:highlight w:val="yellow"/>
              </w:rPr>
              <w:t xml:space="preserve">[A market consultation should be undertaken before issuing the ITT to ensure that necessary items are not precluded from this project. </w:t>
            </w:r>
          </w:p>
          <w:p w14:paraId="5D09C495" w14:textId="648ADF11" w:rsidR="00BC7DDA" w:rsidRPr="00BD6C5F" w:rsidRDefault="00B667A1" w:rsidP="00B667A1">
            <w:pPr>
              <w:pStyle w:val="Tabletext"/>
              <w:rPr>
                <w:rFonts w:asciiTheme="minorHAnsi" w:hAnsiTheme="minorHAnsi" w:cstheme="minorHAnsi"/>
                <w:iCs/>
              </w:rPr>
            </w:pPr>
            <w:r w:rsidRPr="00BD6C5F">
              <w:rPr>
                <w:rFonts w:asciiTheme="minorHAnsi" w:hAnsiTheme="minorHAnsi" w:cstheme="minorHAnsi"/>
                <w:iCs/>
                <w:highlight w:val="yellow"/>
              </w:rPr>
              <w:t>Items should be permitted for operational, technical, economic, or environmental reasons. The Authority should include the circumstances that the prohibition should not apply if the exception should apply in only limited instances.]</w:t>
            </w:r>
          </w:p>
        </w:tc>
      </w:tr>
    </w:tbl>
    <w:p w14:paraId="6535BDFB" w14:textId="06911776" w:rsidR="00BC7DDA" w:rsidRPr="00BD6C5F" w:rsidRDefault="00CE51D0" w:rsidP="00E16A38">
      <w:pPr>
        <w:pStyle w:val="Heading3"/>
      </w:pPr>
      <w:bookmarkStart w:id="164" w:name="_bookmark57"/>
      <w:bookmarkEnd w:id="164"/>
      <w:r w:rsidRPr="00BD6C5F">
        <w:t xml:space="preserve">Table </w:t>
      </w:r>
      <w:r w:rsidR="009B03E9" w:rsidRPr="00BD6C5F">
        <w:t>C – Sustainability Reports</w:t>
      </w:r>
    </w:p>
    <w:p w14:paraId="5447E3A8" w14:textId="1A5455F9" w:rsidR="00A82521" w:rsidRPr="00BD6C5F" w:rsidRDefault="00A82521" w:rsidP="000D48A4">
      <w:pPr>
        <w:spacing w:before="100" w:after="200"/>
        <w:rPr>
          <w:rFonts w:asciiTheme="minorHAnsi" w:hAnsiTheme="minorHAnsi" w:cstheme="minorHAnsi"/>
          <w:bCs/>
          <w:iCs/>
          <w:szCs w:val="24"/>
        </w:rPr>
      </w:pPr>
      <w:r w:rsidRPr="00BD6C5F">
        <w:rPr>
          <w:rFonts w:asciiTheme="minorHAnsi" w:hAnsiTheme="minorHAnsi" w:cstheme="minorHAnsi"/>
          <w:bCs/>
          <w:iCs/>
          <w:szCs w:val="24"/>
          <w:highlight w:val="yellow"/>
        </w:rPr>
        <w:t>[</w:t>
      </w:r>
      <w:r w:rsidRPr="00B27A56">
        <w:rPr>
          <w:rFonts w:asciiTheme="minorHAnsi" w:hAnsiTheme="minorHAnsi" w:cstheme="minorHAnsi"/>
          <w:b/>
          <w:i/>
          <w:szCs w:val="24"/>
          <w:highlight w:val="yellow"/>
        </w:rPr>
        <w:t xml:space="preserve">Guidance </w:t>
      </w:r>
      <w:r w:rsidR="00D90FA5" w:rsidRPr="00B27A56">
        <w:rPr>
          <w:rFonts w:asciiTheme="minorHAnsi" w:hAnsiTheme="minorHAnsi" w:cstheme="minorHAnsi"/>
          <w:b/>
          <w:i/>
          <w:szCs w:val="24"/>
          <w:highlight w:val="yellow"/>
        </w:rPr>
        <w:t>–</w:t>
      </w:r>
      <w:r w:rsidRPr="00B27A56">
        <w:rPr>
          <w:rFonts w:asciiTheme="minorHAnsi" w:hAnsiTheme="minorHAnsi" w:cstheme="minorHAnsi"/>
          <w:b/>
          <w:i/>
          <w:szCs w:val="24"/>
          <w:highlight w:val="yellow"/>
        </w:rPr>
        <w:t xml:space="preserve"> All reports and the content of these reports in Table C are optional. Authorities will want to select and amend those reports and requirements which are appropriate for their Contract, ensuring that these are relevant and proportional to the subject matter of the Contract </w:t>
      </w:r>
      <w:r w:rsidRPr="00B27A56">
        <w:rPr>
          <w:rFonts w:asciiTheme="minorHAnsi" w:hAnsiTheme="minorHAnsi" w:cstheme="minorHAnsi"/>
          <w:b/>
          <w:i/>
          <w:szCs w:val="24"/>
          <w:shd w:val="clear" w:color="auto" w:fill="FFFF00"/>
        </w:rPr>
        <w:t xml:space="preserve">and do not create unnecessary burdens upon the </w:t>
      </w:r>
      <w:r w:rsidRPr="00B27A56">
        <w:rPr>
          <w:rFonts w:asciiTheme="minorHAnsi" w:hAnsiTheme="minorHAnsi" w:cstheme="minorHAnsi"/>
          <w:b/>
          <w:i/>
          <w:szCs w:val="24"/>
          <w:shd w:val="clear" w:color="auto" w:fill="FFFF00"/>
        </w:rPr>
        <w:lastRenderedPageBreak/>
        <w:t>Supplier</w:t>
      </w:r>
      <w:r w:rsidRPr="00B27A56">
        <w:rPr>
          <w:rFonts w:asciiTheme="minorHAnsi" w:hAnsiTheme="minorHAnsi" w:cstheme="minorHAnsi"/>
          <w:b/>
          <w:i/>
          <w:szCs w:val="24"/>
          <w:highlight w:val="yellow"/>
        </w:rPr>
        <w:t>.</w:t>
      </w:r>
      <w:r w:rsidRPr="00BD6C5F">
        <w:rPr>
          <w:rFonts w:asciiTheme="minorHAnsi" w:hAnsiTheme="minorHAnsi" w:cstheme="minorHAnsi"/>
          <w:bCs/>
          <w:iCs/>
          <w:szCs w:val="24"/>
          <w:highlight w:val="yellow"/>
        </w:rPr>
        <w:t>]</w:t>
      </w:r>
    </w:p>
    <w:tbl>
      <w:tblPr>
        <w:tblStyle w:val="MSATable-header"/>
        <w:tblW w:w="10205" w:type="dxa"/>
        <w:tblLayout w:type="fixed"/>
        <w:tblLook w:val="01E0" w:firstRow="1" w:lastRow="1" w:firstColumn="1" w:lastColumn="1" w:noHBand="0" w:noVBand="0"/>
      </w:tblPr>
      <w:tblGrid>
        <w:gridCol w:w="2268"/>
        <w:gridCol w:w="5669"/>
        <w:gridCol w:w="2268"/>
      </w:tblGrid>
      <w:tr w:rsidR="00BC7DDA" w:rsidRPr="00BD6C5F" w14:paraId="6410CDA9" w14:textId="77777777" w:rsidTr="00267131">
        <w:trPr>
          <w:cnfStyle w:val="100000000000" w:firstRow="1" w:lastRow="0" w:firstColumn="0" w:lastColumn="0" w:oddVBand="0" w:evenVBand="0" w:oddHBand="0" w:evenHBand="0" w:firstRowFirstColumn="0" w:firstRowLastColumn="0" w:lastRowFirstColumn="0" w:lastRowLastColumn="0"/>
          <w:tblHeader/>
        </w:trPr>
        <w:tc>
          <w:tcPr>
            <w:tcW w:w="2268" w:type="dxa"/>
          </w:tcPr>
          <w:p w14:paraId="1E11AD80" w14:textId="6F69A6BB" w:rsidR="00BC7DDA" w:rsidRPr="00BD6C5F" w:rsidRDefault="00A82521" w:rsidP="00267131">
            <w:pPr>
              <w:pStyle w:val="Tabletext"/>
            </w:pPr>
            <w:r w:rsidRPr="00BD6C5F">
              <w:t xml:space="preserve">Sustainability </w:t>
            </w:r>
            <w:r w:rsidR="009B03E9" w:rsidRPr="00BD6C5F">
              <w:t>Report Name</w:t>
            </w:r>
          </w:p>
        </w:tc>
        <w:tc>
          <w:tcPr>
            <w:tcW w:w="5669" w:type="dxa"/>
          </w:tcPr>
          <w:p w14:paraId="2739D4AE" w14:textId="77777777" w:rsidR="00BC7DDA" w:rsidRPr="00BD6C5F" w:rsidRDefault="009B03E9" w:rsidP="00267131">
            <w:pPr>
              <w:pStyle w:val="Tabletext"/>
              <w:rPr>
                <w:rFonts w:asciiTheme="minorHAnsi" w:hAnsiTheme="minorHAnsi" w:cstheme="minorHAnsi"/>
              </w:rPr>
            </w:pPr>
            <w:r w:rsidRPr="00BD6C5F">
              <w:rPr>
                <w:rFonts w:asciiTheme="minorHAnsi" w:hAnsiTheme="minorHAnsi" w:cstheme="minorHAnsi"/>
              </w:rPr>
              <w:t>Content of Report</w:t>
            </w:r>
          </w:p>
        </w:tc>
        <w:tc>
          <w:tcPr>
            <w:tcW w:w="2268" w:type="dxa"/>
          </w:tcPr>
          <w:p w14:paraId="70A0CE21" w14:textId="77777777" w:rsidR="00BC7DDA" w:rsidRPr="00BD6C5F" w:rsidRDefault="009B03E9" w:rsidP="00267131">
            <w:pPr>
              <w:pStyle w:val="Tabletext"/>
              <w:rPr>
                <w:rFonts w:asciiTheme="minorHAnsi" w:hAnsiTheme="minorHAnsi" w:cstheme="minorHAnsi"/>
              </w:rPr>
            </w:pPr>
            <w:r w:rsidRPr="00BD6C5F">
              <w:t>Frequency</w:t>
            </w:r>
            <w:r w:rsidRPr="00BD6C5F">
              <w:rPr>
                <w:rFonts w:asciiTheme="minorHAnsi" w:hAnsiTheme="minorHAnsi" w:cstheme="minorHAnsi"/>
              </w:rPr>
              <w:t xml:space="preserve"> of Report</w:t>
            </w:r>
          </w:p>
        </w:tc>
      </w:tr>
      <w:tr w:rsidR="00BC7DDA" w:rsidRPr="00BD6C5F" w14:paraId="58DEFB9D" w14:textId="77777777" w:rsidTr="00267131">
        <w:tc>
          <w:tcPr>
            <w:tcW w:w="2268" w:type="dxa"/>
          </w:tcPr>
          <w:p w14:paraId="73AEA807" w14:textId="59FC7FFE" w:rsidR="00BC7DDA" w:rsidRPr="00BD6C5F" w:rsidRDefault="00704037" w:rsidP="00267131">
            <w:pPr>
              <w:pStyle w:val="Tabletext"/>
              <w:rPr>
                <w:b/>
                <w:bCs/>
              </w:rPr>
            </w:pPr>
            <w:r w:rsidRPr="00BD6C5F">
              <w:rPr>
                <w:b/>
                <w:bCs/>
                <w:highlight w:val="yellow"/>
              </w:rPr>
              <w:t>[</w:t>
            </w:r>
            <w:r w:rsidR="009B03E9" w:rsidRPr="00BD6C5F">
              <w:rPr>
                <w:b/>
                <w:bCs/>
                <w:highlight w:val="yellow"/>
              </w:rPr>
              <w:t>Sustainability</w:t>
            </w:r>
            <w:r w:rsidRPr="00BD6C5F">
              <w:rPr>
                <w:b/>
                <w:bCs/>
                <w:highlight w:val="yellow"/>
              </w:rPr>
              <w:t xml:space="preserve"> –</w:t>
            </w:r>
            <w:r w:rsidR="009B03E9" w:rsidRPr="00BD6C5F">
              <w:rPr>
                <w:b/>
                <w:bCs/>
                <w:highlight w:val="yellow"/>
              </w:rPr>
              <w:t xml:space="preserve"> </w:t>
            </w:r>
            <w:r w:rsidRPr="00BD6C5F">
              <w:rPr>
                <w:b/>
                <w:bCs/>
                <w:highlight w:val="yellow"/>
              </w:rPr>
              <w:t>General]</w:t>
            </w:r>
          </w:p>
        </w:tc>
        <w:tc>
          <w:tcPr>
            <w:tcW w:w="5669" w:type="dxa"/>
          </w:tcPr>
          <w:p w14:paraId="2351B68D" w14:textId="655C83ED" w:rsidR="00BC7DDA" w:rsidRPr="00BD6C5F" w:rsidRDefault="00704037" w:rsidP="003A5D4B">
            <w:pPr>
              <w:pStyle w:val="Tablea"/>
            </w:pPr>
            <w:r w:rsidRPr="00BD6C5F">
              <w:t xml:space="preserve">as </w:t>
            </w:r>
            <w:r w:rsidRPr="003A5D4B">
              <w:t>proportionate</w:t>
            </w:r>
            <w:r w:rsidRPr="00BD6C5F">
              <w:t xml:space="preserve"> and relevant to the Contract, the key sustainability impacts identified; the sustainability </w:t>
            </w:r>
            <w:r w:rsidRPr="003A5D4B">
              <w:t>improvements</w:t>
            </w:r>
            <w:r w:rsidRPr="00BD6C5F">
              <w:t xml:space="preserve"> </w:t>
            </w:r>
            <w:r w:rsidRPr="003A5D4B">
              <w:t>planned</w:t>
            </w:r>
            <w:r w:rsidRPr="00BD6C5F">
              <w:t xml:space="preserve"> or delivered; and the risks to the Services of climate change, including mitigation, adaptation and continuity plans employed by the Supplier in response to those risks</w:t>
            </w:r>
            <w:r w:rsidR="009B03E9" w:rsidRPr="00BD6C5F">
              <w:t>.</w:t>
            </w:r>
          </w:p>
        </w:tc>
        <w:tc>
          <w:tcPr>
            <w:tcW w:w="2268" w:type="dxa"/>
          </w:tcPr>
          <w:p w14:paraId="10D5104C" w14:textId="77777777" w:rsidR="00BC7DDA" w:rsidRPr="00BD6C5F" w:rsidRDefault="009B03E9" w:rsidP="00267131">
            <w:pPr>
              <w:pStyle w:val="Tabletext"/>
              <w:rPr>
                <w:rFonts w:asciiTheme="minorHAnsi" w:hAnsiTheme="minorHAnsi" w:cstheme="minorHAnsi"/>
              </w:rPr>
            </w:pPr>
            <w:r w:rsidRPr="00BD6C5F">
              <w:rPr>
                <w:rFonts w:asciiTheme="minorHAnsi" w:hAnsiTheme="minorHAnsi" w:cstheme="minorHAnsi"/>
              </w:rPr>
              <w:t xml:space="preserve">On the anniversary of the </w:t>
            </w:r>
            <w:r w:rsidRPr="00BD6C5F">
              <w:t>Effective</w:t>
            </w:r>
            <w:r w:rsidRPr="00BD6C5F">
              <w:rPr>
                <w:rFonts w:asciiTheme="minorHAnsi" w:hAnsiTheme="minorHAnsi" w:cstheme="minorHAnsi"/>
              </w:rPr>
              <w:t xml:space="preserve"> Date</w:t>
            </w:r>
          </w:p>
        </w:tc>
      </w:tr>
      <w:tr w:rsidR="00BC7DDA" w:rsidRPr="00BD6C5F" w14:paraId="733234A2" w14:textId="77777777" w:rsidTr="00267131">
        <w:tc>
          <w:tcPr>
            <w:tcW w:w="2268" w:type="dxa"/>
          </w:tcPr>
          <w:p w14:paraId="7D67A53A" w14:textId="23FBA78B" w:rsidR="00BC7DDA" w:rsidRPr="00BD6C5F" w:rsidRDefault="00704037" w:rsidP="00267131">
            <w:pPr>
              <w:pStyle w:val="Tabletext"/>
              <w:rPr>
                <w:b/>
                <w:bCs/>
              </w:rPr>
            </w:pPr>
            <w:r w:rsidRPr="00BD6C5F">
              <w:rPr>
                <w:b/>
                <w:bCs/>
                <w:highlight w:val="yellow"/>
              </w:rPr>
              <w:t>[</w:t>
            </w:r>
            <w:r w:rsidR="009B03E9" w:rsidRPr="00BD6C5F">
              <w:rPr>
                <w:b/>
                <w:bCs/>
                <w:highlight w:val="yellow"/>
              </w:rPr>
              <w:t>Waste created</w:t>
            </w:r>
            <w:r w:rsidRPr="00BD6C5F">
              <w:rPr>
                <w:b/>
                <w:bCs/>
                <w:highlight w:val="yellow"/>
              </w:rPr>
              <w:t>]</w:t>
            </w:r>
          </w:p>
        </w:tc>
        <w:tc>
          <w:tcPr>
            <w:tcW w:w="5669" w:type="dxa"/>
          </w:tcPr>
          <w:p w14:paraId="0C3A9131" w14:textId="00B13C17" w:rsidR="00BC7DDA" w:rsidRPr="00BD6C5F" w:rsidRDefault="00704037" w:rsidP="00267131">
            <w:pPr>
              <w:pStyle w:val="Tabletext"/>
            </w:pPr>
            <w:r w:rsidRPr="00BD6C5F">
              <w:rPr>
                <w:highlight w:val="yellow"/>
              </w:rPr>
              <w:t>[</w:t>
            </w:r>
            <w:r w:rsidR="009B03E9" w:rsidRPr="00BD6C5F">
              <w:rPr>
                <w:highlight w:val="yellow"/>
              </w:rPr>
              <w:t>By type of material the weight of waste categories by each means of disposal in the Waste Hierarchy with separate figures for disposal by incineration and landfill.</w:t>
            </w:r>
            <w:r w:rsidRPr="00BD6C5F">
              <w:rPr>
                <w:highlight w:val="yellow"/>
              </w:rPr>
              <w:t>]</w:t>
            </w:r>
          </w:p>
        </w:tc>
        <w:tc>
          <w:tcPr>
            <w:tcW w:w="2268" w:type="dxa"/>
          </w:tcPr>
          <w:p w14:paraId="3DE0C6AA" w14:textId="4F167BAF" w:rsidR="00BC7DDA" w:rsidRPr="00BD6C5F" w:rsidRDefault="00704037" w:rsidP="00267131">
            <w:pPr>
              <w:pStyle w:val="Tabletext"/>
            </w:pPr>
            <w:r w:rsidRPr="00BD6C5F">
              <w:rPr>
                <w:highlight w:val="yellow"/>
              </w:rPr>
              <w:t>[</w:t>
            </w:r>
            <w:r w:rsidR="009B03E9" w:rsidRPr="00BD6C5F">
              <w:rPr>
                <w:highlight w:val="yellow"/>
              </w:rPr>
              <w:t>Before contract award and on the anniversary of the Effective Date</w:t>
            </w:r>
            <w:r w:rsidRPr="00BD6C5F">
              <w:rPr>
                <w:highlight w:val="yellow"/>
              </w:rPr>
              <w:t>.]</w:t>
            </w:r>
          </w:p>
        </w:tc>
      </w:tr>
      <w:tr w:rsidR="000D48A4" w:rsidRPr="00BD6C5F" w14:paraId="703E2509" w14:textId="77777777" w:rsidTr="006D411A">
        <w:trPr>
          <w:trHeight w:val="3436"/>
        </w:trPr>
        <w:tc>
          <w:tcPr>
            <w:tcW w:w="2268" w:type="dxa"/>
          </w:tcPr>
          <w:p w14:paraId="681A12A0" w14:textId="3DACD620" w:rsidR="000D48A4" w:rsidRPr="00BD6C5F" w:rsidRDefault="000D48A4" w:rsidP="00267131">
            <w:pPr>
              <w:pStyle w:val="Tabletext"/>
              <w:rPr>
                <w:b/>
                <w:bCs/>
              </w:rPr>
            </w:pPr>
            <w:r w:rsidRPr="00BD6C5F">
              <w:rPr>
                <w:b/>
                <w:bCs/>
                <w:highlight w:val="yellow"/>
              </w:rPr>
              <w:t>[Waste permits]</w:t>
            </w:r>
          </w:p>
        </w:tc>
        <w:tc>
          <w:tcPr>
            <w:tcW w:w="5669" w:type="dxa"/>
          </w:tcPr>
          <w:p w14:paraId="4B4973FE" w14:textId="3FC31D63" w:rsidR="000D48A4" w:rsidRPr="00BD6C5F" w:rsidRDefault="000D48A4" w:rsidP="00267131">
            <w:pPr>
              <w:pStyle w:val="Tabletext"/>
            </w:pPr>
            <w:r w:rsidRPr="00BD6C5F">
              <w:rPr>
                <w:highlight w:val="yellow"/>
              </w:rPr>
              <w:t>[Copies of relevant permits and exemptions for waste, handling, storage and disposal.]</w:t>
            </w:r>
          </w:p>
        </w:tc>
        <w:tc>
          <w:tcPr>
            <w:tcW w:w="2268" w:type="dxa"/>
          </w:tcPr>
          <w:p w14:paraId="2FF54AAA" w14:textId="29929F65" w:rsidR="000D48A4" w:rsidRPr="00BD6C5F" w:rsidRDefault="000D48A4" w:rsidP="000D48A4">
            <w:pPr>
              <w:pStyle w:val="Tabletext"/>
            </w:pPr>
            <w:r w:rsidRPr="00BD6C5F">
              <w:rPr>
                <w:highlight w:val="yellow"/>
              </w:rPr>
              <w:t>[Before the Effective Date, on the anniversary of the Effective Date and within ten (10) Working Days of there is any Change or renewal to license or exemption to carry, store or dispose waste]</w:t>
            </w:r>
          </w:p>
        </w:tc>
      </w:tr>
      <w:tr w:rsidR="00BC7DDA" w:rsidRPr="00BD6C5F" w14:paraId="53F4803D" w14:textId="77777777" w:rsidTr="00267131">
        <w:tc>
          <w:tcPr>
            <w:tcW w:w="2268" w:type="dxa"/>
          </w:tcPr>
          <w:p w14:paraId="37A6896C" w14:textId="537179CC" w:rsidR="00BC7DDA" w:rsidRPr="00BD6C5F" w:rsidRDefault="00704037" w:rsidP="00267131">
            <w:pPr>
              <w:pStyle w:val="Tabletext"/>
              <w:rPr>
                <w:b/>
                <w:bCs/>
              </w:rPr>
            </w:pPr>
            <w:r w:rsidRPr="00BD6C5F">
              <w:rPr>
                <w:b/>
                <w:bCs/>
                <w:highlight w:val="yellow"/>
              </w:rPr>
              <w:t>[</w:t>
            </w:r>
            <w:r w:rsidR="009B03E9" w:rsidRPr="00BD6C5F">
              <w:rPr>
                <w:b/>
                <w:bCs/>
                <w:highlight w:val="yellow"/>
              </w:rPr>
              <w:t>Greenhouse Gas Emissions</w:t>
            </w:r>
            <w:r w:rsidRPr="00BD6C5F">
              <w:rPr>
                <w:b/>
                <w:bCs/>
                <w:highlight w:val="yellow"/>
              </w:rPr>
              <w:t>]</w:t>
            </w:r>
          </w:p>
        </w:tc>
        <w:tc>
          <w:tcPr>
            <w:tcW w:w="5669" w:type="dxa"/>
          </w:tcPr>
          <w:p w14:paraId="3C8F4E92" w14:textId="5B6556E4" w:rsidR="00704037" w:rsidRPr="00BD6C5F" w:rsidRDefault="00704037" w:rsidP="00267131">
            <w:pPr>
              <w:pStyle w:val="Tabletext"/>
              <w:rPr>
                <w:highlight w:val="yellow"/>
              </w:rPr>
            </w:pPr>
            <w:r w:rsidRPr="00BD6C5F">
              <w:rPr>
                <w:highlight w:val="yellow"/>
              </w:rPr>
              <w:t xml:space="preserve">[Detail the Scope 1 and Scope 2 GHG emissions associated with the delivery of the </w:t>
            </w:r>
            <w:r w:rsidR="000C18F6" w:rsidRPr="00BD6C5F">
              <w:rPr>
                <w:highlight w:val="yellow"/>
              </w:rPr>
              <w:t>C</w:t>
            </w:r>
            <w:r w:rsidRPr="00BD6C5F">
              <w:rPr>
                <w:highlight w:val="yellow"/>
              </w:rPr>
              <w:t>ontract.</w:t>
            </w:r>
          </w:p>
          <w:p w14:paraId="60C61BF7" w14:textId="4E31FDC9" w:rsidR="00704037" w:rsidRPr="00BD6C5F" w:rsidRDefault="00704037" w:rsidP="00267131">
            <w:pPr>
              <w:pStyle w:val="Tabletext"/>
              <w:rPr>
                <w:highlight w:val="yellow"/>
              </w:rPr>
            </w:pPr>
            <w:r w:rsidRPr="00BD6C5F">
              <w:rPr>
                <w:highlight w:val="yellow"/>
              </w:rPr>
              <w:t>Scope 3 emissions to be reported as required (Optional)</w:t>
            </w:r>
          </w:p>
          <w:p w14:paraId="2B2BC646" w14:textId="25846393" w:rsidR="00704037" w:rsidRPr="00BD6C5F" w:rsidRDefault="00704037" w:rsidP="00267131">
            <w:pPr>
              <w:pStyle w:val="Tabletext"/>
              <w:rPr>
                <w:highlight w:val="yellow"/>
              </w:rPr>
            </w:pPr>
            <w:r w:rsidRPr="00BD6C5F">
              <w:rPr>
                <w:highlight w:val="yellow"/>
              </w:rPr>
              <w:t>Emissions reporting should be in accordance with established best practice and internationally accepted standards.</w:t>
            </w:r>
          </w:p>
          <w:p w14:paraId="0AF2C4DC" w14:textId="377FF99C" w:rsidR="00BC7DDA" w:rsidRPr="00BD6C5F" w:rsidRDefault="00704037" w:rsidP="00267131">
            <w:pPr>
              <w:pStyle w:val="Tabletext"/>
            </w:pPr>
            <w:r w:rsidRPr="00BD6C5F">
              <w:rPr>
                <w:highlight w:val="yellow"/>
              </w:rPr>
              <w:t>Greenhouse gas reporting from emissions sources (Scope 1, Scope 2 and Scope 3), and specific activities as requested by the Authority. This may include activities such as transportation, energy use and waste disposal.]</w:t>
            </w:r>
          </w:p>
        </w:tc>
        <w:tc>
          <w:tcPr>
            <w:tcW w:w="2268" w:type="dxa"/>
          </w:tcPr>
          <w:p w14:paraId="1E76F07C" w14:textId="7F798299" w:rsidR="00BC7DDA" w:rsidRPr="00BD6C5F" w:rsidRDefault="00704037" w:rsidP="00267131">
            <w:pPr>
              <w:pStyle w:val="Tabletext"/>
            </w:pPr>
            <w:r w:rsidRPr="00BD6C5F">
              <w:rPr>
                <w:highlight w:val="yellow"/>
              </w:rPr>
              <w:t>[</w:t>
            </w:r>
            <w:r w:rsidR="009B03E9" w:rsidRPr="00BD6C5F">
              <w:rPr>
                <w:highlight w:val="yellow"/>
              </w:rPr>
              <w:t>On the anniversary of the Effective Date</w:t>
            </w:r>
            <w:r w:rsidRPr="00BD6C5F">
              <w:rPr>
                <w:highlight w:val="yellow"/>
              </w:rPr>
              <w:t>]</w:t>
            </w:r>
          </w:p>
        </w:tc>
      </w:tr>
      <w:tr w:rsidR="00BC7DDA" w:rsidRPr="00BD6C5F" w14:paraId="15DF451B" w14:textId="77777777" w:rsidTr="00267131">
        <w:tc>
          <w:tcPr>
            <w:tcW w:w="2268" w:type="dxa"/>
          </w:tcPr>
          <w:p w14:paraId="65E89107" w14:textId="767F9C29" w:rsidR="00BC7DDA" w:rsidRPr="00BD6C5F" w:rsidRDefault="00B86911" w:rsidP="00267131">
            <w:pPr>
              <w:pStyle w:val="Tabletext"/>
              <w:rPr>
                <w:b/>
                <w:bCs/>
              </w:rPr>
            </w:pPr>
            <w:r w:rsidRPr="00BD6C5F">
              <w:rPr>
                <w:b/>
                <w:bCs/>
                <w:highlight w:val="yellow"/>
              </w:rPr>
              <w:t>[</w:t>
            </w:r>
            <w:r w:rsidR="009B03E9" w:rsidRPr="00BD6C5F">
              <w:rPr>
                <w:b/>
                <w:bCs/>
                <w:highlight w:val="yellow"/>
              </w:rPr>
              <w:t>Water Use</w:t>
            </w:r>
            <w:r w:rsidRPr="00BD6C5F">
              <w:rPr>
                <w:b/>
                <w:bCs/>
                <w:highlight w:val="yellow"/>
              </w:rPr>
              <w:t>]</w:t>
            </w:r>
          </w:p>
        </w:tc>
        <w:tc>
          <w:tcPr>
            <w:tcW w:w="5669" w:type="dxa"/>
          </w:tcPr>
          <w:p w14:paraId="2610B6D3" w14:textId="5B5EAF76" w:rsidR="00BC7DDA" w:rsidRPr="00BD6C5F" w:rsidRDefault="00B86911" w:rsidP="00267131">
            <w:pPr>
              <w:pStyle w:val="Tabletext"/>
            </w:pPr>
            <w:r w:rsidRPr="00BD6C5F">
              <w:rPr>
                <w:highlight w:val="yellow"/>
              </w:rPr>
              <w:t>[</w:t>
            </w:r>
            <w:r w:rsidR="009B03E9" w:rsidRPr="00BD6C5F">
              <w:rPr>
                <w:highlight w:val="yellow"/>
              </w:rPr>
              <w:t>Volume in metres cubed</w:t>
            </w:r>
            <w:r w:rsidRPr="00BD6C5F">
              <w:rPr>
                <w:highlight w:val="yellow"/>
              </w:rPr>
              <w:t>]</w:t>
            </w:r>
          </w:p>
        </w:tc>
        <w:tc>
          <w:tcPr>
            <w:tcW w:w="2268" w:type="dxa"/>
          </w:tcPr>
          <w:p w14:paraId="6A428B1A" w14:textId="1E35535A" w:rsidR="00BC7DDA" w:rsidRPr="00BD6C5F" w:rsidRDefault="00B86911" w:rsidP="00267131">
            <w:pPr>
              <w:pStyle w:val="Tabletext"/>
            </w:pPr>
            <w:r w:rsidRPr="00BD6C5F">
              <w:rPr>
                <w:highlight w:val="yellow"/>
              </w:rPr>
              <w:t>[</w:t>
            </w:r>
            <w:r w:rsidR="009B03E9" w:rsidRPr="00BD6C5F">
              <w:rPr>
                <w:highlight w:val="yellow"/>
              </w:rPr>
              <w:t>On the anniversary of the Effective Date</w:t>
            </w:r>
            <w:r w:rsidRPr="00BD6C5F">
              <w:rPr>
                <w:highlight w:val="yellow"/>
              </w:rPr>
              <w:t>]</w:t>
            </w:r>
          </w:p>
        </w:tc>
      </w:tr>
    </w:tbl>
    <w:p w14:paraId="745E9419" w14:textId="77777777" w:rsidR="00B24C98" w:rsidRPr="00BD6C5F" w:rsidRDefault="00B24C98" w:rsidP="00B24C98">
      <w:pPr>
        <w:rPr>
          <w:rFonts w:asciiTheme="minorHAnsi" w:hAnsiTheme="minorHAnsi" w:cstheme="minorHAnsi"/>
        </w:rPr>
      </w:pPr>
    </w:p>
    <w:p w14:paraId="59408292" w14:textId="6A26FA56" w:rsidR="00B24C98" w:rsidRPr="00BD6C5F" w:rsidRDefault="00B24C98" w:rsidP="00B24C98">
      <w:pPr>
        <w:rPr>
          <w:rFonts w:asciiTheme="minorHAnsi" w:hAnsiTheme="minorHAnsi" w:cstheme="minorHAnsi"/>
        </w:rPr>
        <w:sectPr w:rsidR="00B24C98" w:rsidRPr="00BD6C5F" w:rsidSect="00EA65BF">
          <w:headerReference w:type="default" r:id="rId44"/>
          <w:footerReference w:type="default" r:id="rId45"/>
          <w:pgSz w:w="11910" w:h="16840"/>
          <w:pgMar w:top="1701" w:right="851" w:bottom="1134" w:left="851" w:header="567" w:footer="567" w:gutter="0"/>
          <w:cols w:space="720"/>
        </w:sectPr>
      </w:pPr>
    </w:p>
    <w:p w14:paraId="63DD8C98" w14:textId="05FD9C68" w:rsidR="006F4549" w:rsidRDefault="006F4549" w:rsidP="006F4549">
      <w:pPr>
        <w:pStyle w:val="Dividername"/>
      </w:pPr>
      <w:bookmarkStart w:id="165" w:name="_bookmark58"/>
      <w:bookmarkStart w:id="166" w:name="_Hlk118792310"/>
      <w:bookmarkStart w:id="167" w:name="_Ref98252389"/>
      <w:bookmarkStart w:id="168" w:name="_Ref98252396"/>
      <w:bookmarkStart w:id="169" w:name="_Ref98252633"/>
      <w:bookmarkStart w:id="170" w:name="_Toc98332709"/>
      <w:bookmarkStart w:id="171" w:name="_Toc98852886"/>
      <w:bookmarkStart w:id="172" w:name="_Ref98240478"/>
      <w:bookmarkEnd w:id="165"/>
      <w:r>
        <w:lastRenderedPageBreak/>
        <w:t xml:space="preserve">Schedule </w:t>
      </w:r>
      <w:bookmarkStart w:id="173" w:name="Schedule_5"/>
      <w:r>
        <w:t>5</w:t>
      </w:r>
      <w:bookmarkEnd w:id="173"/>
    </w:p>
    <w:p w14:paraId="45678141" w14:textId="14BF0CB4" w:rsidR="006F4549" w:rsidRDefault="006F4549" w:rsidP="006F4549">
      <w:pPr>
        <w:pStyle w:val="Dividername"/>
      </w:pPr>
      <w:r w:rsidRPr="006F4549">
        <w:t>Security Management</w:t>
      </w:r>
    </w:p>
    <w:bookmarkEnd w:id="166"/>
    <w:p w14:paraId="2ED672E1" w14:textId="77777777" w:rsidR="006F4549" w:rsidRDefault="006F4549" w:rsidP="006F4549"/>
    <w:p w14:paraId="7B23AB4C" w14:textId="640E73AD" w:rsidR="00BC7DDA" w:rsidRPr="00BD6C5F" w:rsidRDefault="00267131" w:rsidP="006F4549">
      <w:pPr>
        <w:pStyle w:val="Heading1"/>
        <w:pageBreakBefore/>
      </w:pPr>
      <w:bookmarkStart w:id="174" w:name="_Toc141720979"/>
      <w:r w:rsidRPr="00BD6C5F">
        <w:lastRenderedPageBreak/>
        <w:t>Schedule 5</w:t>
      </w:r>
      <w:r w:rsidR="00DA04BE" w:rsidRPr="00BD6C5F">
        <w:t>:</w:t>
      </w:r>
      <w:r w:rsidRPr="00BD6C5F">
        <w:t xml:space="preserve"> Security Management</w:t>
      </w:r>
      <w:bookmarkEnd w:id="167"/>
      <w:bookmarkEnd w:id="168"/>
      <w:bookmarkEnd w:id="169"/>
      <w:bookmarkEnd w:id="170"/>
      <w:bookmarkEnd w:id="171"/>
      <w:bookmarkEnd w:id="174"/>
    </w:p>
    <w:p w14:paraId="134A0BE5" w14:textId="505146EC" w:rsidR="00B800B0" w:rsidRPr="00BD6C5F" w:rsidRDefault="00B800B0" w:rsidP="00583A8A">
      <w:pPr>
        <w:pStyle w:val="BodyText"/>
        <w:spacing w:after="240"/>
        <w:jc w:val="center"/>
        <w:rPr>
          <w:rFonts w:asciiTheme="minorHAnsi" w:hAnsiTheme="minorHAnsi" w:cstheme="minorHAnsi"/>
          <w:highlight w:val="yellow"/>
          <w:shd w:val="clear" w:color="auto" w:fill="FFFF00"/>
        </w:rPr>
      </w:pPr>
      <w:bookmarkStart w:id="175" w:name="_bookmark59"/>
      <w:bookmarkEnd w:id="172"/>
      <w:bookmarkEnd w:id="175"/>
      <w:r w:rsidRPr="00BD6C5F">
        <w:rPr>
          <w:rFonts w:asciiTheme="minorHAnsi" w:hAnsiTheme="minorHAnsi" w:cstheme="minorHAnsi"/>
        </w:rPr>
        <w:t>This is the schedule referred to in the foregoing agreement b</w:t>
      </w:r>
      <w:r w:rsidR="00CE51D0" w:rsidRPr="00BD6C5F">
        <w:rPr>
          <w:rFonts w:asciiTheme="minorHAnsi" w:hAnsiTheme="minorHAnsi" w:cstheme="minorHAnsi"/>
        </w:rPr>
        <w:t>etween [</w:t>
      </w:r>
      <w:r w:rsidR="00CE51D0" w:rsidRPr="00BD6C5F">
        <w:rPr>
          <w:rFonts w:asciiTheme="minorHAnsi" w:hAnsiTheme="minorHAnsi" w:cstheme="minorHAnsi"/>
          <w:highlight w:val="yellow"/>
        </w:rPr>
        <w:t>name of party</w:t>
      </w:r>
      <w:r w:rsidR="00CE51D0" w:rsidRPr="00BD6C5F">
        <w:rPr>
          <w:rFonts w:asciiTheme="minorHAnsi" w:hAnsiTheme="minorHAnsi" w:cstheme="minorHAnsi"/>
        </w:rPr>
        <w:t>] and [</w:t>
      </w:r>
      <w:r w:rsidR="00CE51D0" w:rsidRPr="00BD6C5F">
        <w:rPr>
          <w:rFonts w:asciiTheme="minorHAnsi" w:hAnsiTheme="minorHAnsi" w:cstheme="minorHAnsi"/>
          <w:highlight w:val="yellow"/>
        </w:rPr>
        <w:t>name of party</w:t>
      </w:r>
      <w:r w:rsidR="00CE51D0" w:rsidRPr="00BD6C5F">
        <w:rPr>
          <w:rFonts w:asciiTheme="minorHAnsi" w:hAnsiTheme="minorHAnsi" w:cstheme="minorHAnsi"/>
        </w:rPr>
        <w:t>] dated [</w:t>
      </w:r>
      <w:r w:rsidR="00CE51D0" w:rsidRPr="00BD6C5F">
        <w:rPr>
          <w:rFonts w:asciiTheme="minorHAnsi" w:hAnsiTheme="minorHAnsi" w:cstheme="minorHAnsi"/>
          <w:highlight w:val="yellow"/>
        </w:rPr>
        <w:t>date</w:t>
      </w:r>
      <w:r w:rsidR="00CE51D0" w:rsidRPr="00BD6C5F">
        <w:rPr>
          <w:rFonts w:asciiTheme="minorHAnsi" w:hAnsiTheme="minorHAnsi" w:cstheme="minorHAnsi"/>
        </w:rPr>
        <w:t>]</w:t>
      </w:r>
    </w:p>
    <w:p w14:paraId="5299A093" w14:textId="39BFEF3F" w:rsidR="00BC7DDA" w:rsidRPr="0077211A" w:rsidRDefault="009B03E9" w:rsidP="00583A8A">
      <w:pPr>
        <w:pStyle w:val="BodyText"/>
        <w:spacing w:before="100" w:after="200"/>
        <w:rPr>
          <w:rFonts w:asciiTheme="minorHAnsi" w:hAnsiTheme="minorHAnsi" w:cstheme="minorHAnsi"/>
          <w:b/>
          <w:i/>
          <w:highlight w:val="yellow"/>
        </w:rPr>
      </w:pPr>
      <w:r w:rsidRPr="00BD6C5F">
        <w:rPr>
          <w:rFonts w:asciiTheme="minorHAnsi" w:hAnsiTheme="minorHAnsi" w:cstheme="minorHAnsi"/>
          <w:bCs/>
          <w:iCs/>
          <w:highlight w:val="yellow"/>
          <w:shd w:val="clear" w:color="auto" w:fill="FFFF00"/>
        </w:rPr>
        <w:t>[</w:t>
      </w:r>
      <w:r w:rsidRPr="0077211A">
        <w:rPr>
          <w:rFonts w:asciiTheme="minorHAnsi" w:hAnsiTheme="minorHAnsi" w:cstheme="minorHAnsi"/>
          <w:b/>
          <w:i/>
          <w:highlight w:val="yellow"/>
          <w:shd w:val="clear" w:color="auto" w:fill="FFFF00"/>
        </w:rPr>
        <w:t>Guidance</w:t>
      </w:r>
    </w:p>
    <w:p w14:paraId="6AB1F88C" w14:textId="2C982B62" w:rsidR="00BC7DDA" w:rsidRPr="0077211A" w:rsidRDefault="009B03E9" w:rsidP="003E785F">
      <w:pPr>
        <w:pStyle w:val="ListParagraph"/>
        <w:keepNext/>
        <w:numPr>
          <w:ilvl w:val="0"/>
          <w:numId w:val="11"/>
        </w:numPr>
        <w:tabs>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 xml:space="preserve">This Schedule was provided by the Cabinet Office </w:t>
      </w:r>
      <w:r w:rsidR="001F7A6E" w:rsidRPr="0077211A">
        <w:rPr>
          <w:rFonts w:asciiTheme="minorHAnsi" w:hAnsiTheme="minorHAnsi" w:cstheme="minorHAnsi"/>
          <w:b/>
          <w:i/>
          <w:szCs w:val="24"/>
          <w:highlight w:val="yellow"/>
        </w:rPr>
        <w:t>Commercial Information Assurance</w:t>
      </w:r>
      <w:r w:rsidRPr="0077211A">
        <w:rPr>
          <w:rFonts w:asciiTheme="minorHAnsi" w:hAnsiTheme="minorHAnsi" w:cstheme="minorHAnsi"/>
          <w:b/>
          <w:i/>
          <w:szCs w:val="24"/>
          <w:highlight w:val="yellow"/>
        </w:rPr>
        <w:t xml:space="preserve"> team who have</w:t>
      </w:r>
      <w:r w:rsidRPr="0077211A">
        <w:rPr>
          <w:rFonts w:asciiTheme="minorHAnsi" w:hAnsiTheme="minorHAnsi" w:cstheme="minorHAnsi"/>
          <w:b/>
          <w:i/>
          <w:szCs w:val="24"/>
          <w:highlight w:val="yellow"/>
          <w:shd w:val="clear" w:color="auto" w:fill="FFFF00"/>
        </w:rPr>
        <w:t xml:space="preserve"> provided two alternative Security procedures for HMG replacing the legacy long and short form Security Schedules:</w:t>
      </w:r>
    </w:p>
    <w:p w14:paraId="64C50958" w14:textId="6C03A23A" w:rsidR="004957B3" w:rsidRPr="0077211A" w:rsidRDefault="004957B3" w:rsidP="00AA48C6">
      <w:pPr>
        <w:pStyle w:val="ListParagraph"/>
        <w:numPr>
          <w:ilvl w:val="1"/>
          <w:numId w:val="11"/>
        </w:numPr>
        <w:tabs>
          <w:tab w:val="left" w:pos="821"/>
        </w:tabs>
        <w:spacing w:before="100" w:after="200"/>
        <w:ind w:left="1803" w:hanging="1083"/>
        <w:rPr>
          <w:rFonts w:asciiTheme="minorHAnsi" w:hAnsiTheme="minorHAnsi" w:cstheme="minorHAnsi"/>
          <w:b/>
          <w:i/>
          <w:szCs w:val="24"/>
          <w:highlight w:val="yellow"/>
        </w:rPr>
      </w:pPr>
      <w:r w:rsidRPr="0077211A">
        <w:rPr>
          <w:rFonts w:asciiTheme="minorHAnsi" w:hAnsiTheme="minorHAnsi" w:cstheme="minorHAnsi"/>
          <w:b/>
          <w:i/>
          <w:szCs w:val="24"/>
          <w:highlight w:val="yellow"/>
          <w:shd w:val="clear" w:color="auto" w:fill="FFFF00"/>
        </w:rPr>
        <w:t xml:space="preserve">Part </w:t>
      </w:r>
      <w:r w:rsidR="00480A2D" w:rsidRPr="0077211A">
        <w:rPr>
          <w:rFonts w:asciiTheme="minorHAnsi" w:hAnsiTheme="minorHAnsi" w:cstheme="minorHAnsi"/>
          <w:b/>
          <w:i/>
          <w:szCs w:val="24"/>
          <w:highlight w:val="yellow"/>
          <w:shd w:val="clear" w:color="auto" w:fill="FFFF00"/>
        </w:rPr>
        <w:fldChar w:fldCharType="begin"/>
      </w:r>
      <w:r w:rsidR="00480A2D" w:rsidRPr="0077211A">
        <w:rPr>
          <w:rFonts w:asciiTheme="minorHAnsi" w:hAnsiTheme="minorHAnsi" w:cstheme="minorHAnsi"/>
          <w:b/>
          <w:i/>
          <w:szCs w:val="24"/>
          <w:highlight w:val="yellow"/>
          <w:shd w:val="clear" w:color="auto" w:fill="FFFF00"/>
        </w:rPr>
        <w:instrText xml:space="preserve"> REF Schedule_5_Part_A \h </w:instrText>
      </w:r>
      <w:r w:rsidR="0077211A" w:rsidRPr="0077211A">
        <w:rPr>
          <w:rFonts w:asciiTheme="minorHAnsi" w:hAnsiTheme="minorHAnsi" w:cstheme="minorHAnsi"/>
          <w:b/>
          <w:i/>
          <w:szCs w:val="24"/>
          <w:highlight w:val="yellow"/>
          <w:shd w:val="clear" w:color="auto" w:fill="FFFF00"/>
        </w:rPr>
        <w:instrText xml:space="preserve"> \* MERGEFORMAT </w:instrText>
      </w:r>
      <w:r w:rsidR="00480A2D" w:rsidRPr="0077211A">
        <w:rPr>
          <w:rFonts w:asciiTheme="minorHAnsi" w:hAnsiTheme="minorHAnsi" w:cstheme="minorHAnsi"/>
          <w:b/>
          <w:i/>
          <w:szCs w:val="24"/>
          <w:highlight w:val="yellow"/>
          <w:shd w:val="clear" w:color="auto" w:fill="FFFF00"/>
        </w:rPr>
      </w:r>
      <w:r w:rsidR="00480A2D" w:rsidRPr="0077211A">
        <w:rPr>
          <w:rFonts w:asciiTheme="minorHAnsi" w:hAnsiTheme="minorHAnsi" w:cstheme="minorHAnsi"/>
          <w:b/>
          <w:i/>
          <w:szCs w:val="24"/>
          <w:highlight w:val="yellow"/>
          <w:shd w:val="clear" w:color="auto" w:fill="FFFF00"/>
        </w:rPr>
        <w:fldChar w:fldCharType="separate"/>
      </w:r>
      <w:r w:rsidR="009749A0" w:rsidRPr="00AF7321">
        <w:rPr>
          <w:b/>
          <w:i/>
        </w:rPr>
        <w:t>A</w:t>
      </w:r>
      <w:r w:rsidR="00480A2D"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to this Schedule - Security Assurance</w:t>
      </w:r>
    </w:p>
    <w:p w14:paraId="5E0ECCFD" w14:textId="710B3AA7" w:rsidR="004957B3" w:rsidRPr="0077211A" w:rsidRDefault="004957B3" w:rsidP="00AA48C6">
      <w:pPr>
        <w:pStyle w:val="ListParagraph"/>
        <w:numPr>
          <w:ilvl w:val="1"/>
          <w:numId w:val="11"/>
        </w:numPr>
        <w:tabs>
          <w:tab w:val="left" w:pos="821"/>
        </w:tabs>
        <w:spacing w:before="100" w:after="200"/>
        <w:ind w:left="1803" w:hanging="1083"/>
        <w:rPr>
          <w:rFonts w:asciiTheme="minorHAnsi" w:hAnsiTheme="minorHAnsi" w:cstheme="minorHAnsi"/>
          <w:b/>
          <w:i/>
          <w:szCs w:val="24"/>
          <w:highlight w:val="yellow"/>
        </w:rPr>
      </w:pPr>
      <w:r w:rsidRPr="0077211A">
        <w:rPr>
          <w:rFonts w:asciiTheme="minorHAnsi" w:hAnsiTheme="minorHAnsi" w:cstheme="minorHAnsi"/>
          <w:b/>
          <w:i/>
          <w:szCs w:val="24"/>
          <w:highlight w:val="yellow"/>
          <w:shd w:val="clear" w:color="auto" w:fill="FFFF00"/>
        </w:rPr>
        <w:t xml:space="preserve">Part </w:t>
      </w:r>
      <w:r w:rsidR="00480A2D" w:rsidRPr="0077211A">
        <w:rPr>
          <w:rFonts w:asciiTheme="minorHAnsi" w:hAnsiTheme="minorHAnsi" w:cstheme="minorHAnsi"/>
          <w:b/>
          <w:i/>
          <w:szCs w:val="24"/>
          <w:highlight w:val="yellow"/>
          <w:shd w:val="clear" w:color="auto" w:fill="FFFF00"/>
        </w:rPr>
        <w:fldChar w:fldCharType="begin"/>
      </w:r>
      <w:r w:rsidR="00480A2D" w:rsidRPr="0077211A">
        <w:rPr>
          <w:rFonts w:asciiTheme="minorHAnsi" w:hAnsiTheme="minorHAnsi" w:cstheme="minorHAnsi"/>
          <w:b/>
          <w:i/>
          <w:szCs w:val="24"/>
          <w:highlight w:val="yellow"/>
          <w:shd w:val="clear" w:color="auto" w:fill="FFFF00"/>
        </w:rPr>
        <w:instrText xml:space="preserve"> REF Schedule_5_Part_B \h </w:instrText>
      </w:r>
      <w:r w:rsidR="0077211A" w:rsidRPr="0077211A">
        <w:rPr>
          <w:rFonts w:asciiTheme="minorHAnsi" w:hAnsiTheme="minorHAnsi" w:cstheme="minorHAnsi"/>
          <w:b/>
          <w:i/>
          <w:szCs w:val="24"/>
          <w:highlight w:val="yellow"/>
          <w:shd w:val="clear" w:color="auto" w:fill="FFFF00"/>
        </w:rPr>
        <w:instrText xml:space="preserve"> \* MERGEFORMAT </w:instrText>
      </w:r>
      <w:r w:rsidR="00480A2D" w:rsidRPr="0077211A">
        <w:rPr>
          <w:rFonts w:asciiTheme="minorHAnsi" w:hAnsiTheme="minorHAnsi" w:cstheme="minorHAnsi"/>
          <w:b/>
          <w:i/>
          <w:szCs w:val="24"/>
          <w:highlight w:val="yellow"/>
          <w:shd w:val="clear" w:color="auto" w:fill="FFFF00"/>
        </w:rPr>
      </w:r>
      <w:r w:rsidR="00480A2D" w:rsidRPr="0077211A">
        <w:rPr>
          <w:rFonts w:asciiTheme="minorHAnsi" w:hAnsiTheme="minorHAnsi" w:cstheme="minorHAnsi"/>
          <w:b/>
          <w:i/>
          <w:szCs w:val="24"/>
          <w:highlight w:val="yellow"/>
          <w:shd w:val="clear" w:color="auto" w:fill="FFFF00"/>
        </w:rPr>
        <w:fldChar w:fldCharType="separate"/>
      </w:r>
      <w:r w:rsidR="009749A0" w:rsidRPr="00AF7321">
        <w:rPr>
          <w:b/>
          <w:i/>
        </w:rPr>
        <w:t>B</w:t>
      </w:r>
      <w:r w:rsidR="00480A2D"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to this Schedule - Security Accreditation</w:t>
      </w:r>
    </w:p>
    <w:p w14:paraId="7005AD82" w14:textId="75833A9A" w:rsidR="00BC7DDA" w:rsidRPr="0077211A" w:rsidRDefault="009B03E9" w:rsidP="00AA48C6">
      <w:pPr>
        <w:pStyle w:val="ListParagraph"/>
        <w:numPr>
          <w:ilvl w:val="0"/>
          <w:numId w:val="11"/>
        </w:numPr>
        <w:tabs>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The essential difference between the two versions of this Schedule is that the</w:t>
      </w:r>
      <w:r w:rsidRPr="0077211A">
        <w:rPr>
          <w:rFonts w:asciiTheme="minorHAnsi" w:hAnsiTheme="minorHAnsi" w:cstheme="minorHAnsi"/>
          <w:b/>
          <w:i/>
          <w:szCs w:val="24"/>
          <w:highlight w:val="yellow"/>
          <w:shd w:val="clear" w:color="auto" w:fill="FFFF00"/>
        </w:rPr>
        <w:t xml:space="preserve"> Accreditation version requires the Authority to directly assess the security of the systems used to Process Authority Data. The Assurance Schedule requires less Authority involvement in that review process. </w:t>
      </w:r>
      <w:r w:rsidRPr="0077211A">
        <w:rPr>
          <w:rFonts w:asciiTheme="minorHAnsi" w:hAnsiTheme="minorHAnsi" w:cstheme="minorHAnsi"/>
          <w:b/>
          <w:i/>
          <w:szCs w:val="24"/>
          <w:highlight w:val="yellow"/>
        </w:rPr>
        <w:t>In</w:t>
      </w:r>
      <w:r w:rsidRPr="0077211A">
        <w:rPr>
          <w:rFonts w:asciiTheme="minorHAnsi" w:hAnsiTheme="minorHAnsi" w:cstheme="minorHAnsi"/>
          <w:b/>
          <w:i/>
          <w:szCs w:val="24"/>
          <w:highlight w:val="yellow"/>
          <w:shd w:val="clear" w:color="auto" w:fill="FFFF00"/>
        </w:rPr>
        <w:t xml:space="preserve"> the Assurance Schedule, the decision whether or not to allow the Supplier to Process Authority Data is based on a desktop review of the Supplier</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s Security Management Plan. The decision whether to use the Assurance or Accreditation version of the Schedule depends mainly on the quantity and nature of the Authority Data which the Supplier will Process. In addition, the Authority will need to consider whether it possesses, or has access to, the technical capability to perform the accreditation role.</w:t>
      </w:r>
    </w:p>
    <w:p w14:paraId="24DE5255" w14:textId="3B3491D4"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rPr>
      </w:pPr>
      <w:bookmarkStart w:id="176" w:name="_Ref98318850"/>
      <w:r w:rsidRPr="0077211A">
        <w:rPr>
          <w:rFonts w:asciiTheme="minorHAnsi" w:hAnsiTheme="minorHAnsi" w:cstheme="minorHAnsi"/>
          <w:b/>
          <w:i/>
          <w:szCs w:val="24"/>
          <w:highlight w:val="yellow"/>
        </w:rPr>
        <w:t>The Authority or organisation running the procurement will need to consider</w:t>
      </w:r>
      <w:r w:rsidRPr="0077211A">
        <w:rPr>
          <w:rFonts w:asciiTheme="minorHAnsi" w:hAnsiTheme="minorHAnsi" w:cstheme="minorHAnsi"/>
          <w:b/>
          <w:i/>
          <w:szCs w:val="24"/>
          <w:highlight w:val="yellow"/>
          <w:shd w:val="clear" w:color="auto" w:fill="FFFF00"/>
        </w:rPr>
        <w:t xml:space="preserve"> several definitions used in the versions of this Schedule and adapt them to the Services being provided. The Schedule incorporates a series of </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flow downs</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 to different categories of Sub-contractor to ensure that those bodies contribute to the Supplier</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s compliance with the obligations in this Schedule. These are:</w:t>
      </w:r>
      <w:bookmarkEnd w:id="176"/>
    </w:p>
    <w:p w14:paraId="00095555" w14:textId="264DD62D" w:rsidR="00BC7DDA" w:rsidRPr="0077211A" w:rsidRDefault="009B03E9" w:rsidP="00AA48C6">
      <w:pPr>
        <w:pStyle w:val="ListParagraph"/>
        <w:numPr>
          <w:ilvl w:val="1"/>
          <w:numId w:val="11"/>
        </w:numPr>
        <w:tabs>
          <w:tab w:val="left" w:pos="1906"/>
          <w:tab w:val="left" w:pos="1907"/>
        </w:tabs>
        <w:spacing w:before="100" w:after="200"/>
        <w:ind w:left="1803"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All Sub-contractors that Process Authority Data. These Sub-</w:t>
      </w:r>
      <w:r w:rsidRPr="0077211A">
        <w:rPr>
          <w:rFonts w:asciiTheme="minorHAnsi" w:hAnsiTheme="minorHAnsi" w:cstheme="minorHAnsi"/>
          <w:b/>
          <w:i/>
          <w:szCs w:val="24"/>
          <w:highlight w:val="yellow"/>
          <w:shd w:val="clear" w:color="auto" w:fill="FFFF00"/>
        </w:rPr>
        <w:t>contractors must comply with the Sub-contractor Security Requirements in</w:t>
      </w:r>
      <w:r w:rsidR="00C101F7" w:rsidRPr="0077211A">
        <w:rPr>
          <w:rFonts w:asciiTheme="minorHAnsi" w:hAnsiTheme="minorHAnsi" w:cstheme="minorHAnsi"/>
          <w:b/>
          <w:i/>
          <w:szCs w:val="24"/>
          <w:highlight w:val="yellow"/>
          <w:shd w:val="clear" w:color="auto" w:fill="FFFF00"/>
        </w:rPr>
        <w:t xml:space="preserve"> Annex </w:t>
      </w:r>
      <w:r w:rsidR="00C101F7" w:rsidRPr="0077211A">
        <w:rPr>
          <w:rFonts w:asciiTheme="minorHAnsi" w:hAnsiTheme="minorHAnsi" w:cstheme="minorHAnsi"/>
          <w:b/>
          <w:i/>
          <w:szCs w:val="24"/>
          <w:highlight w:val="yellow"/>
          <w:shd w:val="clear" w:color="auto" w:fill="FFFF00"/>
        </w:rPr>
        <w:fldChar w:fldCharType="begin"/>
      </w:r>
      <w:r w:rsidR="00C101F7" w:rsidRPr="0077211A">
        <w:rPr>
          <w:rFonts w:asciiTheme="minorHAnsi" w:hAnsiTheme="minorHAnsi" w:cstheme="minorHAnsi"/>
          <w:b/>
          <w:i/>
          <w:szCs w:val="24"/>
          <w:highlight w:val="yellow"/>
          <w:shd w:val="clear" w:color="auto" w:fill="FFFF00"/>
        </w:rPr>
        <w:instrText xml:space="preserve"> REF Schedule_5_Part_A_Annex_2 \h </w:instrText>
      </w:r>
      <w:r w:rsidR="0077211A" w:rsidRPr="0077211A">
        <w:rPr>
          <w:rFonts w:asciiTheme="minorHAnsi" w:hAnsiTheme="minorHAnsi" w:cstheme="minorHAnsi"/>
          <w:b/>
          <w:i/>
          <w:szCs w:val="24"/>
          <w:highlight w:val="yellow"/>
          <w:shd w:val="clear" w:color="auto" w:fill="FFFF00"/>
        </w:rPr>
        <w:instrText xml:space="preserve"> \* MERGEFORMAT </w:instrText>
      </w:r>
      <w:r w:rsidR="00C101F7" w:rsidRPr="0077211A">
        <w:rPr>
          <w:rFonts w:asciiTheme="minorHAnsi" w:hAnsiTheme="minorHAnsi" w:cstheme="minorHAnsi"/>
          <w:b/>
          <w:i/>
          <w:szCs w:val="24"/>
          <w:highlight w:val="yellow"/>
          <w:shd w:val="clear" w:color="auto" w:fill="FFFF00"/>
        </w:rPr>
      </w:r>
      <w:r w:rsidR="00C101F7" w:rsidRPr="0077211A">
        <w:rPr>
          <w:rFonts w:asciiTheme="minorHAnsi" w:hAnsiTheme="minorHAnsi" w:cstheme="minorHAnsi"/>
          <w:b/>
          <w:i/>
          <w:szCs w:val="24"/>
          <w:highlight w:val="yellow"/>
          <w:shd w:val="clear" w:color="auto" w:fill="FFFF00"/>
        </w:rPr>
        <w:fldChar w:fldCharType="separate"/>
      </w:r>
      <w:r w:rsidR="009749A0" w:rsidRPr="00AF7321">
        <w:rPr>
          <w:b/>
          <w:i/>
        </w:rPr>
        <w:t>2</w:t>
      </w:r>
      <w:r w:rsidR="00C101F7" w:rsidRPr="0077211A">
        <w:rPr>
          <w:rFonts w:asciiTheme="minorHAnsi" w:hAnsiTheme="minorHAnsi" w:cstheme="minorHAnsi"/>
          <w:b/>
          <w:i/>
          <w:szCs w:val="24"/>
          <w:highlight w:val="yellow"/>
          <w:shd w:val="clear" w:color="auto" w:fill="FFFF00"/>
        </w:rPr>
        <w:fldChar w:fldCharType="end"/>
      </w:r>
      <w:r w:rsidR="00C101F7" w:rsidRPr="0077211A">
        <w:rPr>
          <w:rFonts w:asciiTheme="minorHAnsi" w:hAnsiTheme="minorHAnsi" w:cstheme="minorHAnsi"/>
          <w:b/>
          <w:i/>
          <w:szCs w:val="24"/>
          <w:highlight w:val="yellow"/>
          <w:shd w:val="clear" w:color="auto" w:fill="FFFF00"/>
        </w:rPr>
        <w:t xml:space="preserve"> of Part </w:t>
      </w:r>
      <w:r w:rsidR="00C101F7" w:rsidRPr="0077211A">
        <w:rPr>
          <w:rFonts w:asciiTheme="minorHAnsi" w:hAnsiTheme="minorHAnsi" w:cstheme="minorHAnsi"/>
          <w:b/>
          <w:i/>
          <w:szCs w:val="24"/>
          <w:highlight w:val="yellow"/>
          <w:shd w:val="clear" w:color="auto" w:fill="FFFF00"/>
        </w:rPr>
        <w:fldChar w:fldCharType="begin"/>
      </w:r>
      <w:r w:rsidR="00C101F7" w:rsidRPr="0077211A">
        <w:rPr>
          <w:rFonts w:asciiTheme="minorHAnsi" w:hAnsiTheme="minorHAnsi" w:cstheme="minorHAnsi"/>
          <w:b/>
          <w:i/>
          <w:szCs w:val="24"/>
          <w:highlight w:val="yellow"/>
          <w:shd w:val="clear" w:color="auto" w:fill="FFFF00"/>
        </w:rPr>
        <w:instrText xml:space="preserve"> REF Schedule_5_Part_A \h </w:instrText>
      </w:r>
      <w:r w:rsidR="0077211A" w:rsidRPr="0077211A">
        <w:rPr>
          <w:rFonts w:asciiTheme="minorHAnsi" w:hAnsiTheme="minorHAnsi" w:cstheme="minorHAnsi"/>
          <w:b/>
          <w:i/>
          <w:szCs w:val="24"/>
          <w:highlight w:val="yellow"/>
          <w:shd w:val="clear" w:color="auto" w:fill="FFFF00"/>
        </w:rPr>
        <w:instrText xml:space="preserve"> \* MERGEFORMAT </w:instrText>
      </w:r>
      <w:r w:rsidR="00C101F7" w:rsidRPr="0077211A">
        <w:rPr>
          <w:rFonts w:asciiTheme="minorHAnsi" w:hAnsiTheme="minorHAnsi" w:cstheme="minorHAnsi"/>
          <w:b/>
          <w:i/>
          <w:szCs w:val="24"/>
          <w:highlight w:val="yellow"/>
          <w:shd w:val="clear" w:color="auto" w:fill="FFFF00"/>
        </w:rPr>
      </w:r>
      <w:r w:rsidR="00C101F7" w:rsidRPr="0077211A">
        <w:rPr>
          <w:rFonts w:asciiTheme="minorHAnsi" w:hAnsiTheme="minorHAnsi" w:cstheme="minorHAnsi"/>
          <w:b/>
          <w:i/>
          <w:szCs w:val="24"/>
          <w:highlight w:val="yellow"/>
          <w:shd w:val="clear" w:color="auto" w:fill="FFFF00"/>
        </w:rPr>
        <w:fldChar w:fldCharType="separate"/>
      </w:r>
      <w:r w:rsidR="009749A0" w:rsidRPr="00AF7321">
        <w:rPr>
          <w:b/>
          <w:i/>
        </w:rPr>
        <w:t>A</w:t>
      </w:r>
      <w:r w:rsidR="00C101F7"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The Authority must check that these requirements are appropriate to the full range of Sub-contractors that will Process Authority Data.</w:t>
      </w:r>
    </w:p>
    <w:p w14:paraId="011B582D" w14:textId="577AD33A" w:rsidR="00BC7DDA" w:rsidRPr="0077211A" w:rsidRDefault="009B03E9" w:rsidP="00AA48C6">
      <w:pPr>
        <w:pStyle w:val="ListParagraph"/>
        <w:numPr>
          <w:ilvl w:val="1"/>
          <w:numId w:val="11"/>
        </w:numPr>
        <w:tabs>
          <w:tab w:val="left" w:pos="1906"/>
          <w:tab w:val="left" w:pos="1907"/>
        </w:tabs>
        <w:spacing w:before="100" w:after="200"/>
        <w:ind w:left="1803"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Higher Risk Sub-contractors. These Sub-contractors are subject to a</w:t>
      </w:r>
      <w:r w:rsidRPr="0077211A">
        <w:rPr>
          <w:rFonts w:asciiTheme="minorHAnsi" w:hAnsiTheme="minorHAnsi" w:cstheme="minorHAnsi"/>
          <w:b/>
          <w:i/>
          <w:szCs w:val="24"/>
          <w:highlight w:val="yellow"/>
          <w:shd w:val="clear" w:color="auto" w:fill="FFFF00"/>
        </w:rPr>
        <w:t xml:space="preserve"> requirement to be certified to ISO</w:t>
      </w:r>
      <w:r w:rsidR="001F7A6E" w:rsidRPr="0077211A">
        <w:rPr>
          <w:rFonts w:asciiTheme="minorHAnsi" w:hAnsiTheme="minorHAnsi" w:cstheme="minorHAnsi"/>
          <w:b/>
          <w:i/>
          <w:szCs w:val="24"/>
          <w:highlight w:val="yellow"/>
          <w:shd w:val="clear" w:color="auto" w:fill="FFFF00"/>
        </w:rPr>
        <w:t xml:space="preserve">/IEC </w:t>
      </w:r>
      <w:r w:rsidRPr="0077211A">
        <w:rPr>
          <w:rFonts w:asciiTheme="minorHAnsi" w:hAnsiTheme="minorHAnsi" w:cstheme="minorHAnsi"/>
          <w:b/>
          <w:i/>
          <w:szCs w:val="24"/>
          <w:highlight w:val="yellow"/>
          <w:shd w:val="clear" w:color="auto" w:fill="FFFF00"/>
        </w:rPr>
        <w:t>27001</w:t>
      </w:r>
      <w:r w:rsidR="001F7A6E" w:rsidRPr="0077211A">
        <w:rPr>
          <w:rFonts w:asciiTheme="minorHAnsi" w:hAnsiTheme="minorHAnsi" w:cstheme="minorHAnsi"/>
          <w:b/>
          <w:i/>
          <w:szCs w:val="24"/>
          <w:highlight w:val="yellow"/>
          <w:shd w:val="clear" w:color="auto" w:fill="FFFF00"/>
        </w:rPr>
        <w:t>(at least ISO/IEC 27001</w:t>
      </w:r>
      <w:r w:rsidRPr="0077211A">
        <w:rPr>
          <w:rFonts w:asciiTheme="minorHAnsi" w:hAnsiTheme="minorHAnsi" w:cstheme="minorHAnsi"/>
          <w:b/>
          <w:i/>
          <w:szCs w:val="24"/>
          <w:highlight w:val="yellow"/>
          <w:shd w:val="clear" w:color="auto" w:fill="FFFF00"/>
        </w:rPr>
        <w:t>:2013</w:t>
      </w:r>
      <w:r w:rsidR="001F7A6E" w:rsidRPr="0077211A">
        <w:rPr>
          <w:rFonts w:asciiTheme="minorHAnsi" w:hAnsiTheme="minorHAnsi" w:cstheme="minorHAnsi"/>
          <w:b/>
          <w:i/>
          <w:szCs w:val="24"/>
          <w:highlight w:val="yellow"/>
          <w:shd w:val="clear" w:color="auto" w:fill="FFFF00"/>
        </w:rPr>
        <w:t>) and/</w:t>
      </w:r>
      <w:r w:rsidRPr="0077211A">
        <w:rPr>
          <w:rFonts w:asciiTheme="minorHAnsi" w:hAnsiTheme="minorHAnsi" w:cstheme="minorHAnsi"/>
          <w:b/>
          <w:i/>
          <w:szCs w:val="24"/>
          <w:highlight w:val="yellow"/>
          <w:shd w:val="clear" w:color="auto" w:fill="FFFF00"/>
        </w:rPr>
        <w:t>or to possess HMG</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s Cyber Essentials Plus certification. The Authority will need to consider the nature and quantity of Authority Data being </w:t>
      </w:r>
      <w:r w:rsidR="001F7A6E" w:rsidRPr="0077211A">
        <w:rPr>
          <w:rFonts w:asciiTheme="minorHAnsi" w:hAnsiTheme="minorHAnsi" w:cstheme="minorHAnsi"/>
          <w:b/>
          <w:i/>
          <w:szCs w:val="24"/>
          <w:highlight w:val="yellow"/>
          <w:shd w:val="clear" w:color="auto" w:fill="FFFF00"/>
        </w:rPr>
        <w:t>P</w:t>
      </w:r>
      <w:r w:rsidRPr="0077211A">
        <w:rPr>
          <w:rFonts w:asciiTheme="minorHAnsi" w:hAnsiTheme="minorHAnsi" w:cstheme="minorHAnsi"/>
          <w:b/>
          <w:i/>
          <w:szCs w:val="24"/>
          <w:highlight w:val="yellow"/>
          <w:shd w:val="clear" w:color="auto" w:fill="FFFF00"/>
        </w:rPr>
        <w:t>rocessed under the contract to determine the threshold for designating a Sub-contractor as a Higher Risk Sub-contractor.</w:t>
      </w:r>
    </w:p>
    <w:p w14:paraId="111275F7" w14:textId="4449581D" w:rsidR="00BC7DDA" w:rsidRPr="0077211A" w:rsidRDefault="009B03E9" w:rsidP="00AA48C6">
      <w:pPr>
        <w:pStyle w:val="ListParagraph"/>
        <w:numPr>
          <w:ilvl w:val="1"/>
          <w:numId w:val="11"/>
        </w:numPr>
        <w:tabs>
          <w:tab w:val="left" w:pos="1906"/>
          <w:tab w:val="left" w:pos="1907"/>
        </w:tabs>
        <w:spacing w:before="100" w:after="200"/>
        <w:ind w:left="1803"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Medium Risk Sub-contractors. These Sub-contractors require</w:t>
      </w:r>
      <w:r w:rsidRPr="0077211A">
        <w:rPr>
          <w:rFonts w:asciiTheme="minorHAnsi" w:hAnsiTheme="minorHAnsi" w:cstheme="minorHAnsi"/>
          <w:b/>
          <w:i/>
          <w:szCs w:val="24"/>
          <w:highlight w:val="yellow"/>
          <w:shd w:val="clear" w:color="auto" w:fill="FFFF00"/>
        </w:rPr>
        <w:t xml:space="preserve"> certification under the Cyber Essentials scheme. Again, the Authority will need to determine the threshold for designation.</w:t>
      </w:r>
    </w:p>
    <w:p w14:paraId="41518BFF" w14:textId="1A90DDC6" w:rsidR="00BC7DDA" w:rsidRPr="0077211A" w:rsidRDefault="009B03E9" w:rsidP="00AA48C6">
      <w:pPr>
        <w:pStyle w:val="ListParagraph"/>
        <w:numPr>
          <w:ilvl w:val="1"/>
          <w:numId w:val="11"/>
        </w:numPr>
        <w:tabs>
          <w:tab w:val="left" w:pos="1906"/>
          <w:tab w:val="left" w:pos="1907"/>
        </w:tabs>
        <w:spacing w:before="100" w:after="200"/>
        <w:ind w:left="1803" w:hanging="1083"/>
        <w:rPr>
          <w:rFonts w:asciiTheme="minorHAnsi" w:hAnsiTheme="minorHAnsi" w:cstheme="minorHAnsi"/>
          <w:b/>
          <w:i/>
          <w:highlight w:val="yellow"/>
        </w:rPr>
      </w:pPr>
      <w:r w:rsidRPr="0077211A">
        <w:rPr>
          <w:rFonts w:asciiTheme="minorHAnsi" w:hAnsiTheme="minorHAnsi" w:cstheme="minorHAnsi"/>
          <w:b/>
          <w:i/>
          <w:szCs w:val="24"/>
          <w:highlight w:val="yellow"/>
        </w:rPr>
        <w:t>For the accreditation version, the CIMS Sub-contractor. This is</w:t>
      </w:r>
      <w:r w:rsidRPr="0077211A">
        <w:rPr>
          <w:rFonts w:asciiTheme="minorHAnsi" w:hAnsiTheme="minorHAnsi" w:cstheme="minorHAnsi"/>
          <w:b/>
          <w:i/>
          <w:szCs w:val="24"/>
          <w:highlight w:val="yellow"/>
          <w:shd w:val="clear" w:color="auto" w:fill="FFFF00"/>
        </w:rPr>
        <w:t xml:space="preserve"> defined in the Schedule as </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a Sub-contractor that provides or operates the whole, or a substantial part, of the Core Information Management System</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 The </w:t>
      </w:r>
      <w:r w:rsidRPr="0077211A">
        <w:rPr>
          <w:rFonts w:asciiTheme="minorHAnsi" w:hAnsiTheme="minorHAnsi" w:cstheme="minorHAnsi"/>
          <w:b/>
          <w:i/>
          <w:szCs w:val="24"/>
          <w:highlight w:val="yellow"/>
          <w:shd w:val="clear" w:color="auto" w:fill="FFFF00"/>
        </w:rPr>
        <w:lastRenderedPageBreak/>
        <w:t>Authority will need to consider whether it will allow the Supplier to subcontract this element of the requirement. This is an aspect it will need to consider as part of its engagement with the Supplier as part of its pre-contract</w:t>
      </w:r>
      <w:r w:rsidR="004957B3" w:rsidRPr="0077211A">
        <w:rPr>
          <w:rFonts w:asciiTheme="minorHAnsi" w:hAnsiTheme="minorHAnsi" w:cstheme="minorHAnsi"/>
          <w:b/>
          <w:i/>
          <w:szCs w:val="24"/>
          <w:highlight w:val="yellow"/>
          <w:shd w:val="clear" w:color="auto" w:fill="FFFF00"/>
        </w:rPr>
        <w:t xml:space="preserve"> </w:t>
      </w:r>
      <w:r w:rsidRPr="0077211A">
        <w:rPr>
          <w:rFonts w:asciiTheme="minorHAnsi" w:hAnsiTheme="minorHAnsi" w:cstheme="minorHAnsi"/>
          <w:b/>
          <w:i/>
          <w:highlight w:val="yellow"/>
          <w:shd w:val="clear" w:color="auto" w:fill="FFFF00"/>
        </w:rPr>
        <w:t xml:space="preserve">engagement. If the Authority </w:t>
      </w:r>
      <w:r w:rsidRPr="0077211A">
        <w:rPr>
          <w:rFonts w:asciiTheme="minorHAnsi" w:hAnsiTheme="minorHAnsi" w:cstheme="minorHAnsi"/>
          <w:b/>
          <w:i/>
          <w:szCs w:val="24"/>
          <w:highlight w:val="yellow"/>
          <w:shd w:val="clear" w:color="auto" w:fill="FFFF00"/>
        </w:rPr>
        <w:t>will not allow such subcontracting to</w:t>
      </w:r>
      <w:r w:rsidRPr="0077211A">
        <w:rPr>
          <w:rFonts w:asciiTheme="minorHAnsi" w:hAnsiTheme="minorHAnsi" w:cstheme="minorHAnsi"/>
          <w:b/>
          <w:i/>
          <w:szCs w:val="24"/>
          <w:highlight w:val="yellow"/>
        </w:rPr>
        <w:t xml:space="preserve"> </w:t>
      </w:r>
      <w:r w:rsidRPr="0077211A">
        <w:rPr>
          <w:rFonts w:asciiTheme="minorHAnsi" w:hAnsiTheme="minorHAnsi" w:cstheme="minorHAnsi"/>
          <w:b/>
          <w:i/>
          <w:szCs w:val="24"/>
          <w:highlight w:val="yellow"/>
          <w:shd w:val="clear" w:color="auto" w:fill="FFFF00"/>
        </w:rPr>
        <w:t>occur, it will need to amend the Schedule accordingly</w:t>
      </w:r>
      <w:r w:rsidRPr="0077211A">
        <w:rPr>
          <w:rFonts w:asciiTheme="minorHAnsi" w:hAnsiTheme="minorHAnsi" w:cstheme="minorHAnsi"/>
          <w:b/>
          <w:i/>
          <w:highlight w:val="yellow"/>
          <w:shd w:val="clear" w:color="auto" w:fill="FFFF00"/>
        </w:rPr>
        <w:t>.</w:t>
      </w:r>
    </w:p>
    <w:p w14:paraId="70747D7E" w14:textId="7643B6D8"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shd w:val="clear" w:color="auto" w:fill="FFFF00"/>
        </w:rPr>
      </w:pPr>
      <w:bookmarkStart w:id="177" w:name="_Ref98318880"/>
      <w:r w:rsidRPr="0077211A">
        <w:rPr>
          <w:rFonts w:asciiTheme="minorHAnsi" w:hAnsiTheme="minorHAnsi" w:cstheme="minorHAnsi"/>
          <w:b/>
          <w:i/>
          <w:szCs w:val="24"/>
          <w:highlight w:val="yellow"/>
          <w:shd w:val="clear" w:color="auto" w:fill="FFFF00"/>
        </w:rPr>
        <w:t xml:space="preserve">The </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Baseline Security Requirements</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 set out in </w:t>
      </w:r>
      <w:r w:rsidR="00095858" w:rsidRPr="0077211A">
        <w:rPr>
          <w:rFonts w:asciiTheme="minorHAnsi" w:hAnsiTheme="minorHAnsi" w:cstheme="minorHAnsi"/>
          <w:b/>
          <w:i/>
          <w:szCs w:val="24"/>
          <w:highlight w:val="yellow"/>
          <w:shd w:val="clear" w:color="auto" w:fill="FFFF00"/>
        </w:rPr>
        <w:t>Annex </w:t>
      </w:r>
      <w:r w:rsidR="00095858" w:rsidRPr="0077211A">
        <w:rPr>
          <w:rFonts w:asciiTheme="minorHAnsi" w:hAnsiTheme="minorHAnsi" w:cstheme="minorHAnsi"/>
          <w:b/>
          <w:i/>
          <w:szCs w:val="24"/>
          <w:highlight w:val="yellow"/>
          <w:shd w:val="clear" w:color="auto" w:fill="FFFF00"/>
        </w:rPr>
        <w:fldChar w:fldCharType="begin"/>
      </w:r>
      <w:r w:rsidR="00095858" w:rsidRPr="0077211A">
        <w:rPr>
          <w:rFonts w:asciiTheme="minorHAnsi" w:hAnsiTheme="minorHAnsi" w:cstheme="minorHAnsi"/>
          <w:b/>
          <w:i/>
          <w:szCs w:val="24"/>
          <w:highlight w:val="yellow"/>
          <w:shd w:val="clear" w:color="auto" w:fill="FFFF00"/>
        </w:rPr>
        <w:instrText xml:space="preserve"> REF Schedule_5_Part_A_Annex_1 \h  \* MERGEFORMAT </w:instrText>
      </w:r>
      <w:r w:rsidR="00095858" w:rsidRPr="0077211A">
        <w:rPr>
          <w:rFonts w:asciiTheme="minorHAnsi" w:hAnsiTheme="minorHAnsi" w:cstheme="minorHAnsi"/>
          <w:b/>
          <w:i/>
          <w:szCs w:val="24"/>
          <w:highlight w:val="yellow"/>
          <w:shd w:val="clear" w:color="auto" w:fill="FFFF00"/>
        </w:rPr>
      </w:r>
      <w:r w:rsidR="00095858" w:rsidRPr="0077211A">
        <w:rPr>
          <w:rFonts w:asciiTheme="minorHAnsi" w:hAnsiTheme="minorHAnsi" w:cstheme="minorHAnsi"/>
          <w:b/>
          <w:i/>
          <w:szCs w:val="24"/>
          <w:highlight w:val="yellow"/>
          <w:shd w:val="clear" w:color="auto" w:fill="FFFF00"/>
        </w:rPr>
        <w:fldChar w:fldCharType="separate"/>
      </w:r>
      <w:r w:rsidR="009749A0" w:rsidRPr="00AF7321">
        <w:rPr>
          <w:b/>
          <w:i/>
          <w:highlight w:val="yellow"/>
        </w:rPr>
        <w:t>1</w:t>
      </w:r>
      <w:r w:rsidR="00095858" w:rsidRPr="0077211A">
        <w:rPr>
          <w:rFonts w:asciiTheme="minorHAnsi" w:hAnsiTheme="minorHAnsi" w:cstheme="minorHAnsi"/>
          <w:b/>
          <w:i/>
          <w:szCs w:val="24"/>
          <w:highlight w:val="yellow"/>
          <w:shd w:val="clear" w:color="auto" w:fill="FFFF00"/>
        </w:rPr>
        <w:fldChar w:fldCharType="end"/>
      </w:r>
      <w:r w:rsidR="00095858" w:rsidRPr="0077211A">
        <w:rPr>
          <w:rFonts w:asciiTheme="minorHAnsi" w:hAnsiTheme="minorHAnsi" w:cstheme="minorHAnsi"/>
          <w:b/>
          <w:i/>
          <w:szCs w:val="24"/>
          <w:highlight w:val="yellow"/>
          <w:shd w:val="clear" w:color="auto" w:fill="FFFF00"/>
        </w:rPr>
        <w:t xml:space="preserve"> of Part </w:t>
      </w:r>
      <w:r w:rsidR="00095858" w:rsidRPr="0077211A">
        <w:rPr>
          <w:rFonts w:asciiTheme="minorHAnsi" w:hAnsiTheme="minorHAnsi" w:cstheme="minorHAnsi"/>
          <w:b/>
          <w:i/>
          <w:szCs w:val="24"/>
          <w:highlight w:val="yellow"/>
          <w:shd w:val="clear" w:color="auto" w:fill="FFFF00"/>
        </w:rPr>
        <w:fldChar w:fldCharType="begin"/>
      </w:r>
      <w:r w:rsidR="00095858" w:rsidRPr="0077211A">
        <w:rPr>
          <w:rFonts w:asciiTheme="minorHAnsi" w:hAnsiTheme="minorHAnsi" w:cstheme="minorHAnsi"/>
          <w:b/>
          <w:i/>
          <w:szCs w:val="24"/>
          <w:highlight w:val="yellow"/>
          <w:shd w:val="clear" w:color="auto" w:fill="FFFF00"/>
        </w:rPr>
        <w:instrText xml:space="preserve"> REF Schedule_5_Part_A \h  \* MERGEFORMAT </w:instrText>
      </w:r>
      <w:r w:rsidR="00095858" w:rsidRPr="0077211A">
        <w:rPr>
          <w:rFonts w:asciiTheme="minorHAnsi" w:hAnsiTheme="minorHAnsi" w:cstheme="minorHAnsi"/>
          <w:b/>
          <w:i/>
          <w:szCs w:val="24"/>
          <w:highlight w:val="yellow"/>
          <w:shd w:val="clear" w:color="auto" w:fill="FFFF00"/>
        </w:rPr>
      </w:r>
      <w:r w:rsidR="00095858" w:rsidRPr="0077211A">
        <w:rPr>
          <w:rFonts w:asciiTheme="minorHAnsi" w:hAnsiTheme="minorHAnsi" w:cstheme="minorHAnsi"/>
          <w:b/>
          <w:i/>
          <w:szCs w:val="24"/>
          <w:highlight w:val="yellow"/>
          <w:shd w:val="clear" w:color="auto" w:fill="FFFF00"/>
        </w:rPr>
        <w:fldChar w:fldCharType="separate"/>
      </w:r>
      <w:r w:rsidR="009749A0" w:rsidRPr="00AF7321">
        <w:rPr>
          <w:b/>
          <w:i/>
          <w:highlight w:val="yellow"/>
        </w:rPr>
        <w:t>A</w:t>
      </w:r>
      <w:r w:rsidR="00095858"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to this Schedule require review prior before issuing to bidders to ensure that all necessary security requirements are documented, and each of the requirements is clearly expressed and appropriate for the Services which are to be provided. In particular, the Authority should review the National Cyber Security Centre Cloud Security Principles to determine what implementation approach for each of those principles it will require.</w:t>
      </w:r>
      <w:bookmarkEnd w:id="177"/>
    </w:p>
    <w:p w14:paraId="3FFF2C08" w14:textId="778C48A2"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shd w:val="clear" w:color="auto" w:fill="FFFF00"/>
        </w:rPr>
      </w:pPr>
      <w:r w:rsidRPr="0077211A">
        <w:rPr>
          <w:rFonts w:asciiTheme="minorHAnsi" w:hAnsiTheme="minorHAnsi" w:cstheme="minorHAnsi"/>
          <w:b/>
          <w:i/>
          <w:szCs w:val="24"/>
          <w:highlight w:val="yellow"/>
          <w:shd w:val="clear" w:color="auto" w:fill="FFFF00"/>
        </w:rPr>
        <w:t>The Authority will need to check the text that is in square brackets. These relate mainly to timeframes and dates for the provision of information or reports by the Supplier or for decisions by the Authority. The Authority will need to ensure that these dates are consistent with its plans for the implementation of the services and that it has sufficient allocated resource to make the appropriate decisions within the timeframes it specifies.</w:t>
      </w:r>
    </w:p>
    <w:p w14:paraId="3B49000E" w14:textId="442FA847"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shd w:val="clear" w:color="auto" w:fill="FFFF00"/>
        </w:rPr>
      </w:pPr>
      <w:r w:rsidRPr="0077211A">
        <w:rPr>
          <w:rFonts w:asciiTheme="minorHAnsi" w:hAnsiTheme="minorHAnsi" w:cstheme="minorHAnsi"/>
          <w:b/>
          <w:i/>
          <w:szCs w:val="24"/>
          <w:highlight w:val="yellow"/>
          <w:shd w:val="clear" w:color="auto" w:fill="FFFF00"/>
        </w:rPr>
        <w:t xml:space="preserve">This Schedule does not deal specifically with the </w:t>
      </w:r>
      <w:r w:rsidR="001F7A6E" w:rsidRPr="0077211A">
        <w:rPr>
          <w:rFonts w:asciiTheme="minorHAnsi" w:hAnsiTheme="minorHAnsi" w:cstheme="minorHAnsi"/>
          <w:b/>
          <w:i/>
          <w:szCs w:val="24"/>
          <w:highlight w:val="yellow"/>
          <w:shd w:val="clear" w:color="auto" w:fill="FFFF00"/>
        </w:rPr>
        <w:t>P</w:t>
      </w:r>
      <w:r w:rsidRPr="0077211A">
        <w:rPr>
          <w:rFonts w:asciiTheme="minorHAnsi" w:hAnsiTheme="minorHAnsi" w:cstheme="minorHAnsi"/>
          <w:b/>
          <w:i/>
          <w:szCs w:val="24"/>
          <w:highlight w:val="yellow"/>
          <w:shd w:val="clear" w:color="auto" w:fill="FFFF00"/>
        </w:rPr>
        <w:t>rocessing of Personal Data but documents the Protective Measures in place to secure compliance with that requirement of the</w:t>
      </w:r>
      <w:r w:rsidR="00E0327F" w:rsidRPr="0077211A">
        <w:rPr>
          <w:rFonts w:asciiTheme="minorHAnsi" w:hAnsiTheme="minorHAnsi" w:cstheme="minorHAnsi"/>
          <w:b/>
          <w:i/>
          <w:szCs w:val="24"/>
          <w:highlight w:val="yellow"/>
          <w:shd w:val="clear" w:color="auto" w:fill="FFFF00"/>
        </w:rPr>
        <w:t xml:space="preserve"> UK</w:t>
      </w:r>
      <w:r w:rsidRPr="0077211A">
        <w:rPr>
          <w:rFonts w:asciiTheme="minorHAnsi" w:hAnsiTheme="minorHAnsi" w:cstheme="minorHAnsi"/>
          <w:b/>
          <w:i/>
          <w:szCs w:val="24"/>
          <w:highlight w:val="yellow"/>
          <w:shd w:val="clear" w:color="auto" w:fill="FFFF00"/>
        </w:rPr>
        <w:t xml:space="preserve"> GDPR</w:t>
      </w:r>
      <w:r w:rsidR="00E0327F" w:rsidRPr="0077211A">
        <w:rPr>
          <w:rFonts w:asciiTheme="minorHAnsi" w:hAnsiTheme="minorHAnsi" w:cstheme="minorHAnsi"/>
          <w:b/>
          <w:i/>
          <w:szCs w:val="24"/>
          <w:highlight w:val="yellow"/>
          <w:shd w:val="clear" w:color="auto" w:fill="FFFF00"/>
        </w:rPr>
        <w:t xml:space="preserve"> or EU GDPR, as applicable</w:t>
      </w:r>
      <w:r w:rsidRPr="0077211A">
        <w:rPr>
          <w:rFonts w:asciiTheme="minorHAnsi" w:hAnsiTheme="minorHAnsi" w:cstheme="minorHAnsi"/>
          <w:b/>
          <w:i/>
          <w:szCs w:val="24"/>
          <w:highlight w:val="yellow"/>
          <w:shd w:val="clear" w:color="auto" w:fill="FFFF00"/>
        </w:rPr>
        <w:t>. The Authority will need to ensure that the relevant provisions of the contract (</w:t>
      </w:r>
      <w:r w:rsidR="00971138" w:rsidRPr="0077211A">
        <w:rPr>
          <w:rFonts w:asciiTheme="minorHAnsi" w:hAnsiTheme="minorHAnsi" w:cstheme="minorHAnsi"/>
          <w:b/>
          <w:i/>
          <w:szCs w:val="24"/>
          <w:highlight w:val="yellow"/>
          <w:shd w:val="clear" w:color="auto" w:fill="FFFF00"/>
        </w:rPr>
        <w:t>i.e.</w:t>
      </w:r>
      <w:r w:rsidRPr="0077211A">
        <w:rPr>
          <w:rFonts w:asciiTheme="minorHAnsi" w:hAnsiTheme="minorHAnsi" w:cstheme="minorHAnsi"/>
          <w:b/>
          <w:i/>
          <w:szCs w:val="24"/>
          <w:highlight w:val="yellow"/>
          <w:shd w:val="clear" w:color="auto" w:fill="FFFF00"/>
        </w:rPr>
        <w:t xml:space="preserve">, </w:t>
      </w:r>
      <w:r w:rsidR="005E736B" w:rsidRPr="0077211A">
        <w:rPr>
          <w:rFonts w:asciiTheme="minorHAnsi" w:hAnsiTheme="minorHAnsi" w:cstheme="minorHAnsi"/>
          <w:b/>
          <w:i/>
          <w:szCs w:val="24"/>
          <w:highlight w:val="yellow"/>
          <w:shd w:val="clear" w:color="auto" w:fill="FFFF00"/>
        </w:rPr>
        <w:t>Clause </w:t>
      </w:r>
      <w:r w:rsidRPr="0077211A">
        <w:rPr>
          <w:rFonts w:asciiTheme="minorHAnsi" w:hAnsiTheme="minorHAnsi" w:cstheme="minorHAnsi"/>
          <w:b/>
          <w:i/>
          <w:szCs w:val="24"/>
          <w:highlight w:val="yellow"/>
          <w:shd w:val="clear" w:color="auto" w:fill="FFFF00"/>
        </w:rPr>
        <w:t>2</w:t>
      </w:r>
      <w:r w:rsidR="000C18F6" w:rsidRPr="0077211A">
        <w:rPr>
          <w:rFonts w:asciiTheme="minorHAnsi" w:hAnsiTheme="minorHAnsi" w:cstheme="minorHAnsi"/>
          <w:b/>
          <w:i/>
          <w:szCs w:val="24"/>
          <w:highlight w:val="yellow"/>
          <w:shd w:val="clear" w:color="auto" w:fill="FFFF00"/>
        </w:rPr>
        <w:t>1</w:t>
      </w:r>
      <w:r w:rsidRPr="0077211A">
        <w:rPr>
          <w:rFonts w:asciiTheme="minorHAnsi" w:hAnsiTheme="minorHAnsi" w:cstheme="minorHAnsi"/>
          <w:b/>
          <w:i/>
          <w:szCs w:val="24"/>
          <w:highlight w:val="yellow"/>
          <w:shd w:val="clear" w:color="auto" w:fill="FFFF00"/>
        </w:rPr>
        <w:t xml:space="preserve"> and Sched</w:t>
      </w:r>
      <w:r w:rsidRPr="00AF7321">
        <w:rPr>
          <w:rFonts w:asciiTheme="minorHAnsi" w:hAnsiTheme="minorHAnsi" w:cstheme="minorHAnsi"/>
          <w:b/>
          <w:i/>
          <w:szCs w:val="24"/>
          <w:highlight w:val="yellow"/>
          <w:shd w:val="clear" w:color="auto" w:fill="FFFF00"/>
        </w:rPr>
        <w:t>ule</w:t>
      </w:r>
      <w:r w:rsidR="00842AED" w:rsidRPr="00AF7321">
        <w:rPr>
          <w:rFonts w:asciiTheme="minorHAnsi" w:hAnsiTheme="minorHAnsi" w:cstheme="minorHAnsi"/>
          <w:b/>
          <w:i/>
          <w:szCs w:val="24"/>
          <w:highlight w:val="yellow"/>
          <w:shd w:val="clear" w:color="auto" w:fill="FFFF00"/>
        </w:rPr>
        <w:t> </w:t>
      </w:r>
      <w:r w:rsidR="00480A2D" w:rsidRPr="00AF7321">
        <w:rPr>
          <w:rFonts w:asciiTheme="minorHAnsi" w:hAnsiTheme="minorHAnsi" w:cstheme="minorHAnsi"/>
          <w:b/>
          <w:i/>
          <w:szCs w:val="24"/>
          <w:highlight w:val="yellow"/>
          <w:shd w:val="clear" w:color="auto" w:fill="FFFF00"/>
        </w:rPr>
        <w:fldChar w:fldCharType="begin"/>
      </w:r>
      <w:r w:rsidR="00480A2D" w:rsidRPr="00AF7321">
        <w:rPr>
          <w:rFonts w:asciiTheme="minorHAnsi" w:hAnsiTheme="minorHAnsi" w:cstheme="minorHAnsi"/>
          <w:b/>
          <w:i/>
          <w:szCs w:val="24"/>
          <w:highlight w:val="yellow"/>
          <w:shd w:val="clear" w:color="auto" w:fill="FFFF00"/>
        </w:rPr>
        <w:instrText xml:space="preserve"> REF Schedule_31 \h </w:instrText>
      </w:r>
      <w:r w:rsidR="0077211A" w:rsidRPr="00AF7321">
        <w:rPr>
          <w:rFonts w:asciiTheme="minorHAnsi" w:hAnsiTheme="minorHAnsi" w:cstheme="minorHAnsi"/>
          <w:b/>
          <w:i/>
          <w:szCs w:val="24"/>
          <w:highlight w:val="yellow"/>
          <w:shd w:val="clear" w:color="auto" w:fill="FFFF00"/>
        </w:rPr>
        <w:instrText xml:space="preserve"> \* MERGEFORMAT </w:instrText>
      </w:r>
      <w:r w:rsidR="00480A2D" w:rsidRPr="00AF7321">
        <w:rPr>
          <w:rFonts w:asciiTheme="minorHAnsi" w:hAnsiTheme="minorHAnsi" w:cstheme="minorHAnsi"/>
          <w:b/>
          <w:i/>
          <w:szCs w:val="24"/>
          <w:highlight w:val="yellow"/>
          <w:shd w:val="clear" w:color="auto" w:fill="FFFF00"/>
        </w:rPr>
      </w:r>
      <w:r w:rsidR="00480A2D" w:rsidRPr="00AF7321">
        <w:rPr>
          <w:rFonts w:asciiTheme="minorHAnsi" w:hAnsiTheme="minorHAnsi" w:cstheme="minorHAnsi"/>
          <w:b/>
          <w:i/>
          <w:szCs w:val="24"/>
          <w:highlight w:val="yellow"/>
          <w:shd w:val="clear" w:color="auto" w:fill="FFFF00"/>
        </w:rPr>
        <w:fldChar w:fldCharType="separate"/>
      </w:r>
      <w:r w:rsidR="009749A0" w:rsidRPr="00AF7321">
        <w:rPr>
          <w:b/>
          <w:i/>
          <w:highlight w:val="yellow"/>
        </w:rPr>
        <w:t>31</w:t>
      </w:r>
      <w:r w:rsidR="00480A2D"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w:t>
      </w:r>
      <w:r w:rsidRPr="0077211A">
        <w:rPr>
          <w:rFonts w:asciiTheme="minorHAnsi" w:hAnsiTheme="minorHAnsi" w:cstheme="minorHAnsi"/>
          <w:b/>
          <w:i/>
          <w:szCs w:val="24"/>
          <w:highlight w:val="yellow"/>
          <w:shd w:val="clear" w:color="auto" w:fill="FFFF00"/>
        </w:rPr>
        <w:t xml:space="preserve">accurately reflect the </w:t>
      </w:r>
      <w:r w:rsidR="001C44DD" w:rsidRPr="0077211A">
        <w:rPr>
          <w:rFonts w:asciiTheme="minorHAnsi" w:hAnsiTheme="minorHAnsi" w:cstheme="minorHAnsi"/>
          <w:b/>
          <w:i/>
          <w:szCs w:val="24"/>
          <w:highlight w:val="yellow"/>
          <w:shd w:val="clear" w:color="auto" w:fill="FFFF00"/>
        </w:rPr>
        <w:t>C</w:t>
      </w:r>
      <w:r w:rsidRPr="0077211A">
        <w:rPr>
          <w:rFonts w:asciiTheme="minorHAnsi" w:hAnsiTheme="minorHAnsi" w:cstheme="minorHAnsi"/>
          <w:b/>
          <w:i/>
          <w:szCs w:val="24"/>
          <w:highlight w:val="yellow"/>
          <w:shd w:val="clear" w:color="auto" w:fill="FFFF00"/>
        </w:rPr>
        <w:t xml:space="preserve">ontroller and </w:t>
      </w:r>
      <w:r w:rsidR="001C44DD" w:rsidRPr="0077211A">
        <w:rPr>
          <w:rFonts w:asciiTheme="minorHAnsi" w:hAnsiTheme="minorHAnsi" w:cstheme="minorHAnsi"/>
          <w:b/>
          <w:i/>
          <w:szCs w:val="24"/>
          <w:highlight w:val="yellow"/>
          <w:shd w:val="clear" w:color="auto" w:fill="FFFF00"/>
        </w:rPr>
        <w:t>P</w:t>
      </w:r>
      <w:r w:rsidRPr="0077211A">
        <w:rPr>
          <w:rFonts w:asciiTheme="minorHAnsi" w:hAnsiTheme="minorHAnsi" w:cstheme="minorHAnsi"/>
          <w:b/>
          <w:i/>
          <w:szCs w:val="24"/>
          <w:highlight w:val="yellow"/>
          <w:shd w:val="clear" w:color="auto" w:fill="FFFF00"/>
        </w:rPr>
        <w:t xml:space="preserve">rocessor relationships in the </w:t>
      </w:r>
      <w:r w:rsidR="001C44DD" w:rsidRPr="0077211A">
        <w:rPr>
          <w:rFonts w:asciiTheme="minorHAnsi" w:hAnsiTheme="minorHAnsi" w:cstheme="minorHAnsi"/>
          <w:b/>
          <w:i/>
          <w:szCs w:val="24"/>
          <w:highlight w:val="yellow"/>
          <w:shd w:val="clear" w:color="auto" w:fill="FFFF00"/>
        </w:rPr>
        <w:t>Contract</w:t>
      </w:r>
      <w:r w:rsidRPr="0077211A">
        <w:rPr>
          <w:rFonts w:asciiTheme="minorHAnsi" w:hAnsiTheme="minorHAnsi" w:cstheme="minorHAnsi"/>
          <w:b/>
          <w:i/>
          <w:szCs w:val="24"/>
          <w:highlight w:val="yellow"/>
          <w:shd w:val="clear" w:color="auto" w:fill="FFFF00"/>
        </w:rPr>
        <w:t>.</w:t>
      </w:r>
    </w:p>
    <w:p w14:paraId="7A93E80F" w14:textId="68240DA7"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shd w:val="clear" w:color="auto" w:fill="FFFF00"/>
        </w:rPr>
      </w:pPr>
      <w:r w:rsidRPr="0077211A">
        <w:rPr>
          <w:rFonts w:asciiTheme="minorHAnsi" w:hAnsiTheme="minorHAnsi" w:cstheme="minorHAnsi"/>
          <w:b/>
          <w:i/>
          <w:szCs w:val="24"/>
          <w:highlight w:val="yellow"/>
          <w:shd w:val="clear" w:color="auto" w:fill="FFFF00"/>
        </w:rPr>
        <w:t xml:space="preserve">As the default position, this version of </w:t>
      </w:r>
      <w:r w:rsidR="00484523" w:rsidRPr="0077211A">
        <w:rPr>
          <w:rFonts w:asciiTheme="minorHAnsi" w:hAnsiTheme="minorHAnsi" w:cstheme="minorHAnsi"/>
          <w:b/>
          <w:i/>
          <w:highlight w:val="yellow"/>
        </w:rPr>
        <w:t>Schedule </w:t>
      </w:r>
      <w:r w:rsidR="00484523" w:rsidRPr="0077211A">
        <w:rPr>
          <w:rFonts w:asciiTheme="minorHAnsi" w:hAnsiTheme="minorHAnsi" w:cstheme="minorHAnsi"/>
          <w:b/>
          <w:i/>
          <w:highlight w:val="yellow"/>
        </w:rPr>
        <w:fldChar w:fldCharType="begin"/>
      </w:r>
      <w:r w:rsidR="00484523" w:rsidRPr="0077211A">
        <w:rPr>
          <w:rFonts w:asciiTheme="minorHAnsi" w:hAnsiTheme="minorHAnsi" w:cstheme="minorHAnsi"/>
          <w:b/>
          <w:i/>
          <w:highlight w:val="yellow"/>
        </w:rPr>
        <w:instrText xml:space="preserve"> REF Schedule_5 \h  \* MERGEFORMAT </w:instrText>
      </w:r>
      <w:r w:rsidR="00484523" w:rsidRPr="0077211A">
        <w:rPr>
          <w:rFonts w:asciiTheme="minorHAnsi" w:hAnsiTheme="minorHAnsi" w:cstheme="minorHAnsi"/>
          <w:b/>
          <w:i/>
          <w:highlight w:val="yellow"/>
        </w:rPr>
      </w:r>
      <w:r w:rsidR="00484523" w:rsidRPr="0077211A">
        <w:rPr>
          <w:rFonts w:asciiTheme="minorHAnsi" w:hAnsiTheme="minorHAnsi" w:cstheme="minorHAnsi"/>
          <w:b/>
          <w:i/>
          <w:highlight w:val="yellow"/>
        </w:rPr>
        <w:fldChar w:fldCharType="separate"/>
      </w:r>
      <w:r w:rsidR="009749A0" w:rsidRPr="00AF7321">
        <w:rPr>
          <w:b/>
          <w:i/>
          <w:highlight w:val="yellow"/>
        </w:rPr>
        <w:t>5</w:t>
      </w:r>
      <w:r w:rsidR="00484523" w:rsidRPr="0077211A">
        <w:rPr>
          <w:rFonts w:asciiTheme="minorHAnsi" w:hAnsiTheme="minorHAnsi" w:cstheme="minorHAnsi"/>
          <w:b/>
          <w:i/>
          <w:highlight w:val="yellow"/>
        </w:rPr>
        <w:fldChar w:fldCharType="end"/>
      </w:r>
      <w:r w:rsidR="00FF2A19" w:rsidRPr="0077211A">
        <w:rPr>
          <w:rFonts w:asciiTheme="minorHAnsi" w:hAnsiTheme="minorHAnsi" w:cstheme="minorHAnsi"/>
          <w:b/>
          <w:i/>
          <w:szCs w:val="24"/>
          <w:highlight w:val="yellow"/>
          <w:shd w:val="clear" w:color="auto" w:fill="FFFF00"/>
        </w:rPr>
        <w:t xml:space="preserve"> </w:t>
      </w:r>
      <w:r w:rsidRPr="0077211A">
        <w:rPr>
          <w:rFonts w:asciiTheme="minorHAnsi" w:hAnsiTheme="minorHAnsi" w:cstheme="minorHAnsi"/>
          <w:b/>
          <w:i/>
          <w:szCs w:val="24"/>
          <w:highlight w:val="yellow"/>
          <w:shd w:val="clear" w:color="auto" w:fill="FFFF00"/>
        </w:rPr>
        <w:t xml:space="preserve">(Security Management) requires that all </w:t>
      </w:r>
      <w:r w:rsidR="001C44DD" w:rsidRPr="0077211A">
        <w:rPr>
          <w:rFonts w:asciiTheme="minorHAnsi" w:hAnsiTheme="minorHAnsi" w:cstheme="minorHAnsi"/>
          <w:b/>
          <w:i/>
          <w:szCs w:val="24"/>
          <w:highlight w:val="yellow"/>
          <w:shd w:val="clear" w:color="auto" w:fill="FFFF00"/>
        </w:rPr>
        <w:t>P</w:t>
      </w:r>
      <w:r w:rsidRPr="0077211A">
        <w:rPr>
          <w:rFonts w:asciiTheme="minorHAnsi" w:hAnsiTheme="minorHAnsi" w:cstheme="minorHAnsi"/>
          <w:b/>
          <w:i/>
          <w:szCs w:val="24"/>
          <w:highlight w:val="yellow"/>
          <w:shd w:val="clear" w:color="auto" w:fill="FFFF00"/>
        </w:rPr>
        <w:t xml:space="preserve">rocessing of Authority Data must take place in the </w:t>
      </w:r>
      <w:r w:rsidR="001C44DD" w:rsidRPr="0077211A">
        <w:rPr>
          <w:rFonts w:asciiTheme="minorHAnsi" w:hAnsiTheme="minorHAnsi" w:cstheme="minorHAnsi"/>
          <w:b/>
          <w:i/>
          <w:szCs w:val="24"/>
          <w:highlight w:val="yellow"/>
          <w:shd w:val="clear" w:color="auto" w:fill="FFFF00"/>
        </w:rPr>
        <w:t>UK</w:t>
      </w:r>
      <w:r w:rsidRPr="0077211A">
        <w:rPr>
          <w:rFonts w:asciiTheme="minorHAnsi" w:hAnsiTheme="minorHAnsi" w:cstheme="minorHAnsi"/>
          <w:b/>
          <w:i/>
          <w:szCs w:val="24"/>
          <w:highlight w:val="yellow"/>
          <w:shd w:val="clear" w:color="auto" w:fill="FFFF00"/>
        </w:rPr>
        <w:t xml:space="preserve"> (see </w:t>
      </w:r>
      <w:r w:rsidR="00C101F7" w:rsidRPr="0077211A">
        <w:rPr>
          <w:rFonts w:asciiTheme="minorHAnsi" w:hAnsiTheme="minorHAnsi" w:cstheme="minorHAnsi"/>
          <w:b/>
          <w:i/>
          <w:szCs w:val="24"/>
          <w:highlight w:val="yellow"/>
          <w:shd w:val="clear" w:color="auto" w:fill="FFFF00"/>
        </w:rPr>
        <w:t>Part</w:t>
      </w:r>
      <w:r w:rsidR="00C101F7" w:rsidRPr="00AF7321">
        <w:rPr>
          <w:rFonts w:asciiTheme="minorHAnsi" w:hAnsiTheme="minorHAnsi" w:cstheme="minorHAnsi"/>
          <w:b/>
          <w:i/>
          <w:szCs w:val="24"/>
          <w:highlight w:val="yellow"/>
          <w:shd w:val="clear" w:color="auto" w:fill="FFFF00"/>
        </w:rPr>
        <w:t> </w:t>
      </w:r>
      <w:r w:rsidR="00C101F7" w:rsidRPr="00AF7321">
        <w:rPr>
          <w:rFonts w:asciiTheme="minorHAnsi" w:hAnsiTheme="minorHAnsi" w:cstheme="minorHAnsi"/>
          <w:b/>
          <w:i/>
          <w:szCs w:val="24"/>
          <w:highlight w:val="yellow"/>
          <w:shd w:val="clear" w:color="auto" w:fill="FFFF00"/>
        </w:rPr>
        <w:fldChar w:fldCharType="begin"/>
      </w:r>
      <w:r w:rsidR="00C101F7" w:rsidRPr="00AF7321">
        <w:rPr>
          <w:rFonts w:asciiTheme="minorHAnsi" w:hAnsiTheme="minorHAnsi" w:cstheme="minorHAnsi"/>
          <w:b/>
          <w:i/>
          <w:szCs w:val="24"/>
          <w:highlight w:val="yellow"/>
          <w:shd w:val="clear" w:color="auto" w:fill="FFFF00"/>
        </w:rPr>
        <w:instrText xml:space="preserve"> REF Schedule_5_Part_A \h </w:instrText>
      </w:r>
      <w:r w:rsidR="0077211A" w:rsidRPr="00AF7321">
        <w:rPr>
          <w:rFonts w:asciiTheme="minorHAnsi" w:hAnsiTheme="minorHAnsi" w:cstheme="minorHAnsi"/>
          <w:b/>
          <w:i/>
          <w:szCs w:val="24"/>
          <w:highlight w:val="yellow"/>
          <w:shd w:val="clear" w:color="auto" w:fill="FFFF00"/>
        </w:rPr>
        <w:instrText xml:space="preserve"> \* MERGEFORMAT </w:instrText>
      </w:r>
      <w:r w:rsidR="00C101F7" w:rsidRPr="00AF7321">
        <w:rPr>
          <w:rFonts w:asciiTheme="minorHAnsi" w:hAnsiTheme="minorHAnsi" w:cstheme="minorHAnsi"/>
          <w:b/>
          <w:i/>
          <w:szCs w:val="24"/>
          <w:highlight w:val="yellow"/>
          <w:shd w:val="clear" w:color="auto" w:fill="FFFF00"/>
        </w:rPr>
      </w:r>
      <w:r w:rsidR="00C101F7" w:rsidRPr="00AF7321">
        <w:rPr>
          <w:rFonts w:asciiTheme="minorHAnsi" w:hAnsiTheme="minorHAnsi" w:cstheme="minorHAnsi"/>
          <w:b/>
          <w:i/>
          <w:szCs w:val="24"/>
          <w:highlight w:val="yellow"/>
          <w:shd w:val="clear" w:color="auto" w:fill="FFFF00"/>
        </w:rPr>
        <w:fldChar w:fldCharType="separate"/>
      </w:r>
      <w:r w:rsidR="009749A0" w:rsidRPr="00AF7321">
        <w:rPr>
          <w:b/>
          <w:i/>
          <w:highlight w:val="yellow"/>
        </w:rPr>
        <w:t>A</w:t>
      </w:r>
      <w:r w:rsidR="00C101F7"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w:t>
      </w:r>
      <w:r w:rsidR="00C101F7" w:rsidRPr="00AF7321">
        <w:rPr>
          <w:rFonts w:asciiTheme="minorHAnsi" w:hAnsiTheme="minorHAnsi" w:cstheme="minorHAnsi"/>
          <w:b/>
          <w:i/>
          <w:szCs w:val="24"/>
          <w:highlight w:val="yellow"/>
          <w:shd w:val="clear" w:color="auto" w:fill="FFFF00"/>
        </w:rPr>
        <w:t>Annex </w:t>
      </w:r>
      <w:r w:rsidR="00C101F7" w:rsidRPr="00AF7321">
        <w:rPr>
          <w:rFonts w:asciiTheme="minorHAnsi" w:hAnsiTheme="minorHAnsi" w:cstheme="minorHAnsi"/>
          <w:b/>
          <w:i/>
          <w:szCs w:val="24"/>
          <w:highlight w:val="yellow"/>
          <w:shd w:val="clear" w:color="auto" w:fill="FFFF00"/>
        </w:rPr>
        <w:fldChar w:fldCharType="begin"/>
      </w:r>
      <w:r w:rsidR="00C101F7" w:rsidRPr="00AF7321">
        <w:rPr>
          <w:rFonts w:asciiTheme="minorHAnsi" w:hAnsiTheme="minorHAnsi" w:cstheme="minorHAnsi"/>
          <w:b/>
          <w:i/>
          <w:szCs w:val="24"/>
          <w:highlight w:val="yellow"/>
          <w:shd w:val="clear" w:color="auto" w:fill="FFFF00"/>
        </w:rPr>
        <w:instrText xml:space="preserve"> REF Schedule_5_Part_A_Annex_1 \h </w:instrText>
      </w:r>
      <w:r w:rsidR="0077211A" w:rsidRPr="00AF7321">
        <w:rPr>
          <w:rFonts w:asciiTheme="minorHAnsi" w:hAnsiTheme="minorHAnsi" w:cstheme="minorHAnsi"/>
          <w:b/>
          <w:i/>
          <w:szCs w:val="24"/>
          <w:highlight w:val="yellow"/>
          <w:shd w:val="clear" w:color="auto" w:fill="FFFF00"/>
        </w:rPr>
        <w:instrText xml:space="preserve"> \* MERGEFORMAT </w:instrText>
      </w:r>
      <w:r w:rsidR="00C101F7" w:rsidRPr="00AF7321">
        <w:rPr>
          <w:rFonts w:asciiTheme="minorHAnsi" w:hAnsiTheme="minorHAnsi" w:cstheme="minorHAnsi"/>
          <w:b/>
          <w:i/>
          <w:szCs w:val="24"/>
          <w:highlight w:val="yellow"/>
          <w:shd w:val="clear" w:color="auto" w:fill="FFFF00"/>
        </w:rPr>
      </w:r>
      <w:r w:rsidR="00C101F7" w:rsidRPr="00AF7321">
        <w:rPr>
          <w:rFonts w:asciiTheme="minorHAnsi" w:hAnsiTheme="minorHAnsi" w:cstheme="minorHAnsi"/>
          <w:b/>
          <w:i/>
          <w:szCs w:val="24"/>
          <w:highlight w:val="yellow"/>
          <w:shd w:val="clear" w:color="auto" w:fill="FFFF00"/>
        </w:rPr>
        <w:fldChar w:fldCharType="separate"/>
      </w:r>
      <w:r w:rsidR="009749A0" w:rsidRPr="00AF7321">
        <w:rPr>
          <w:b/>
          <w:i/>
          <w:highlight w:val="yellow"/>
        </w:rPr>
        <w:t>1</w:t>
      </w:r>
      <w:r w:rsidR="00C101F7"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paragraph </w:t>
      </w:r>
      <w:r w:rsidR="008C50E5" w:rsidRPr="00AF7321">
        <w:rPr>
          <w:rFonts w:asciiTheme="minorHAnsi" w:hAnsiTheme="minorHAnsi" w:cstheme="minorHAnsi"/>
          <w:b/>
          <w:i/>
          <w:szCs w:val="24"/>
          <w:highlight w:val="yellow"/>
          <w:shd w:val="clear" w:color="auto" w:fill="FFFF00"/>
        </w:rPr>
        <w:fldChar w:fldCharType="begin"/>
      </w:r>
      <w:r w:rsidR="008C50E5" w:rsidRPr="00AF7321">
        <w:rPr>
          <w:rFonts w:asciiTheme="minorHAnsi" w:hAnsiTheme="minorHAnsi" w:cstheme="minorHAnsi"/>
          <w:b/>
          <w:i/>
          <w:szCs w:val="24"/>
          <w:highlight w:val="yellow"/>
          <w:shd w:val="clear" w:color="auto" w:fill="FFFF00"/>
        </w:rPr>
        <w:instrText xml:space="preserve"> REF _Ref98357992 \n \h </w:instrText>
      </w:r>
      <w:r w:rsidR="004957B3" w:rsidRPr="00AF7321">
        <w:rPr>
          <w:rFonts w:asciiTheme="minorHAnsi" w:hAnsiTheme="minorHAnsi" w:cstheme="minorHAnsi"/>
          <w:b/>
          <w:i/>
          <w:szCs w:val="24"/>
          <w:highlight w:val="yellow"/>
          <w:shd w:val="clear" w:color="auto" w:fill="FFFF00"/>
        </w:rPr>
        <w:instrText xml:space="preserve"> \* MERGEFORMAT </w:instrText>
      </w:r>
      <w:r w:rsidR="008C50E5" w:rsidRPr="00AF7321">
        <w:rPr>
          <w:rFonts w:asciiTheme="minorHAnsi" w:hAnsiTheme="minorHAnsi" w:cstheme="minorHAnsi"/>
          <w:b/>
          <w:i/>
          <w:szCs w:val="24"/>
          <w:highlight w:val="yellow"/>
          <w:shd w:val="clear" w:color="auto" w:fill="FFFF00"/>
        </w:rPr>
      </w:r>
      <w:r w:rsidR="008C50E5" w:rsidRPr="00AF7321">
        <w:rPr>
          <w:rFonts w:asciiTheme="minorHAnsi" w:hAnsiTheme="minorHAnsi" w:cstheme="minorHAnsi"/>
          <w:b/>
          <w:i/>
          <w:szCs w:val="24"/>
          <w:highlight w:val="yellow"/>
          <w:shd w:val="clear" w:color="auto" w:fill="FFFF00"/>
        </w:rPr>
        <w:fldChar w:fldCharType="separate"/>
      </w:r>
      <w:r w:rsidR="009749A0" w:rsidRPr="00AF7321">
        <w:rPr>
          <w:rFonts w:asciiTheme="minorHAnsi" w:hAnsiTheme="minorHAnsi" w:cstheme="minorHAnsi"/>
          <w:b/>
          <w:i/>
          <w:szCs w:val="24"/>
          <w:highlight w:val="yellow"/>
          <w:shd w:val="clear" w:color="auto" w:fill="FFFF00"/>
        </w:rPr>
        <w:t>8</w:t>
      </w:r>
      <w:r w:rsidR="008C50E5"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and </w:t>
      </w:r>
      <w:r w:rsidR="00C101F7" w:rsidRPr="00AF7321">
        <w:rPr>
          <w:rFonts w:asciiTheme="minorHAnsi" w:hAnsiTheme="minorHAnsi" w:cstheme="minorHAnsi"/>
          <w:b/>
          <w:i/>
          <w:szCs w:val="24"/>
          <w:highlight w:val="yellow"/>
          <w:shd w:val="clear" w:color="auto" w:fill="FFFF00"/>
        </w:rPr>
        <w:fldChar w:fldCharType="begin"/>
      </w:r>
      <w:r w:rsidR="00C101F7" w:rsidRPr="00AF7321">
        <w:rPr>
          <w:rFonts w:asciiTheme="minorHAnsi" w:hAnsiTheme="minorHAnsi" w:cstheme="minorHAnsi"/>
          <w:b/>
          <w:i/>
          <w:szCs w:val="24"/>
          <w:highlight w:val="yellow"/>
          <w:shd w:val="clear" w:color="auto" w:fill="FFFF00"/>
        </w:rPr>
        <w:instrText xml:space="preserve"> REF Schedule_5_Part_A_Annex_2 \h </w:instrText>
      </w:r>
      <w:r w:rsidR="0077211A" w:rsidRPr="00AF7321">
        <w:rPr>
          <w:rFonts w:asciiTheme="minorHAnsi" w:hAnsiTheme="minorHAnsi" w:cstheme="minorHAnsi"/>
          <w:b/>
          <w:i/>
          <w:szCs w:val="24"/>
          <w:highlight w:val="yellow"/>
          <w:shd w:val="clear" w:color="auto" w:fill="FFFF00"/>
        </w:rPr>
        <w:instrText xml:space="preserve"> \* MERGEFORMAT </w:instrText>
      </w:r>
      <w:r w:rsidR="00C101F7" w:rsidRPr="00AF7321">
        <w:rPr>
          <w:rFonts w:asciiTheme="minorHAnsi" w:hAnsiTheme="minorHAnsi" w:cstheme="minorHAnsi"/>
          <w:b/>
          <w:i/>
          <w:szCs w:val="24"/>
          <w:highlight w:val="yellow"/>
          <w:shd w:val="clear" w:color="auto" w:fill="FFFF00"/>
        </w:rPr>
      </w:r>
      <w:r w:rsidR="00C101F7" w:rsidRPr="00AF7321">
        <w:rPr>
          <w:rFonts w:asciiTheme="minorHAnsi" w:hAnsiTheme="minorHAnsi" w:cstheme="minorHAnsi"/>
          <w:b/>
          <w:i/>
          <w:szCs w:val="24"/>
          <w:highlight w:val="yellow"/>
          <w:shd w:val="clear" w:color="auto" w:fill="FFFF00"/>
        </w:rPr>
        <w:fldChar w:fldCharType="separate"/>
      </w:r>
      <w:r w:rsidR="009749A0" w:rsidRPr="00AF7321">
        <w:rPr>
          <w:b/>
          <w:i/>
          <w:highlight w:val="yellow"/>
        </w:rPr>
        <w:t>2</w:t>
      </w:r>
      <w:r w:rsidR="00C101F7"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paragraph </w:t>
      </w:r>
      <w:r w:rsidR="008C50E5" w:rsidRPr="00AF7321">
        <w:rPr>
          <w:rFonts w:asciiTheme="minorHAnsi" w:hAnsiTheme="minorHAnsi" w:cstheme="minorHAnsi"/>
          <w:b/>
          <w:i/>
          <w:szCs w:val="24"/>
          <w:highlight w:val="yellow"/>
          <w:shd w:val="clear" w:color="auto" w:fill="FFFF00"/>
        </w:rPr>
        <w:fldChar w:fldCharType="begin"/>
      </w:r>
      <w:r w:rsidR="008C50E5" w:rsidRPr="00AF7321">
        <w:rPr>
          <w:rFonts w:asciiTheme="minorHAnsi" w:hAnsiTheme="minorHAnsi" w:cstheme="minorHAnsi"/>
          <w:b/>
          <w:i/>
          <w:szCs w:val="24"/>
          <w:highlight w:val="yellow"/>
          <w:shd w:val="clear" w:color="auto" w:fill="FFFF00"/>
        </w:rPr>
        <w:instrText xml:space="preserve"> REF _Ref98357977 \n \h </w:instrText>
      </w:r>
      <w:r w:rsidR="004957B3" w:rsidRPr="00AF7321">
        <w:rPr>
          <w:rFonts w:asciiTheme="minorHAnsi" w:hAnsiTheme="minorHAnsi" w:cstheme="minorHAnsi"/>
          <w:b/>
          <w:i/>
          <w:szCs w:val="24"/>
          <w:highlight w:val="yellow"/>
          <w:shd w:val="clear" w:color="auto" w:fill="FFFF00"/>
        </w:rPr>
        <w:instrText xml:space="preserve"> \* MERGEFORMAT </w:instrText>
      </w:r>
      <w:r w:rsidR="008C50E5" w:rsidRPr="00AF7321">
        <w:rPr>
          <w:rFonts w:asciiTheme="minorHAnsi" w:hAnsiTheme="minorHAnsi" w:cstheme="minorHAnsi"/>
          <w:b/>
          <w:i/>
          <w:szCs w:val="24"/>
          <w:highlight w:val="yellow"/>
          <w:shd w:val="clear" w:color="auto" w:fill="FFFF00"/>
        </w:rPr>
      </w:r>
      <w:r w:rsidR="008C50E5" w:rsidRPr="00AF7321">
        <w:rPr>
          <w:rFonts w:asciiTheme="minorHAnsi" w:hAnsiTheme="minorHAnsi" w:cstheme="minorHAnsi"/>
          <w:b/>
          <w:i/>
          <w:szCs w:val="24"/>
          <w:highlight w:val="yellow"/>
          <w:shd w:val="clear" w:color="auto" w:fill="FFFF00"/>
        </w:rPr>
        <w:fldChar w:fldCharType="separate"/>
      </w:r>
      <w:r w:rsidR="009749A0" w:rsidRPr="00AF7321">
        <w:rPr>
          <w:rFonts w:asciiTheme="minorHAnsi" w:hAnsiTheme="minorHAnsi" w:cstheme="minorHAnsi"/>
          <w:b/>
          <w:i/>
          <w:szCs w:val="24"/>
          <w:highlight w:val="yellow"/>
          <w:shd w:val="clear" w:color="auto" w:fill="FFFF00"/>
        </w:rPr>
        <w:t>3.1</w:t>
      </w:r>
      <w:r w:rsidR="008C50E5"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and </w:t>
      </w:r>
      <w:r w:rsidR="00095858" w:rsidRPr="00AF7321">
        <w:rPr>
          <w:rFonts w:asciiTheme="minorHAnsi" w:hAnsiTheme="minorHAnsi" w:cstheme="minorHAnsi"/>
          <w:b/>
          <w:i/>
          <w:szCs w:val="24"/>
          <w:highlight w:val="yellow"/>
          <w:shd w:val="clear" w:color="auto" w:fill="FFFF00"/>
        </w:rPr>
        <w:t>Part </w:t>
      </w:r>
      <w:r w:rsidR="00095858" w:rsidRPr="00AF7321">
        <w:rPr>
          <w:rFonts w:asciiTheme="minorHAnsi" w:hAnsiTheme="minorHAnsi" w:cstheme="minorHAnsi"/>
          <w:b/>
          <w:i/>
          <w:szCs w:val="24"/>
          <w:highlight w:val="yellow"/>
          <w:shd w:val="clear" w:color="auto" w:fill="FFFF00"/>
        </w:rPr>
        <w:fldChar w:fldCharType="begin"/>
      </w:r>
      <w:r w:rsidR="00095858" w:rsidRPr="00AF7321">
        <w:rPr>
          <w:rFonts w:asciiTheme="minorHAnsi" w:hAnsiTheme="minorHAnsi" w:cstheme="minorHAnsi"/>
          <w:b/>
          <w:i/>
          <w:szCs w:val="24"/>
          <w:highlight w:val="yellow"/>
          <w:shd w:val="clear" w:color="auto" w:fill="FFFF00"/>
        </w:rPr>
        <w:instrText xml:space="preserve"> REF Schedule_5_Part_B \h  \* MERGEFORMAT </w:instrText>
      </w:r>
      <w:r w:rsidR="00095858" w:rsidRPr="00AF7321">
        <w:rPr>
          <w:rFonts w:asciiTheme="minorHAnsi" w:hAnsiTheme="minorHAnsi" w:cstheme="minorHAnsi"/>
          <w:b/>
          <w:i/>
          <w:szCs w:val="24"/>
          <w:highlight w:val="yellow"/>
          <w:shd w:val="clear" w:color="auto" w:fill="FFFF00"/>
        </w:rPr>
      </w:r>
      <w:r w:rsidR="00095858" w:rsidRPr="00AF7321">
        <w:rPr>
          <w:rFonts w:asciiTheme="minorHAnsi" w:hAnsiTheme="minorHAnsi" w:cstheme="minorHAnsi"/>
          <w:b/>
          <w:i/>
          <w:szCs w:val="24"/>
          <w:highlight w:val="yellow"/>
          <w:shd w:val="clear" w:color="auto" w:fill="FFFF00"/>
        </w:rPr>
        <w:fldChar w:fldCharType="separate"/>
      </w:r>
      <w:r w:rsidR="009749A0" w:rsidRPr="00AF7321">
        <w:rPr>
          <w:b/>
          <w:i/>
          <w:highlight w:val="yellow"/>
        </w:rPr>
        <w:t>B</w:t>
      </w:r>
      <w:r w:rsidR="00095858"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paragraph </w:t>
      </w:r>
      <w:r w:rsidR="008C50E5" w:rsidRPr="00AF7321">
        <w:rPr>
          <w:rFonts w:asciiTheme="minorHAnsi" w:hAnsiTheme="minorHAnsi" w:cstheme="minorHAnsi"/>
          <w:b/>
          <w:i/>
          <w:szCs w:val="24"/>
          <w:highlight w:val="yellow"/>
          <w:shd w:val="clear" w:color="auto" w:fill="FFFF00"/>
        </w:rPr>
        <w:fldChar w:fldCharType="begin"/>
      </w:r>
      <w:r w:rsidR="008C50E5" w:rsidRPr="00AF7321">
        <w:rPr>
          <w:rFonts w:asciiTheme="minorHAnsi" w:hAnsiTheme="minorHAnsi" w:cstheme="minorHAnsi"/>
          <w:b/>
          <w:i/>
          <w:szCs w:val="24"/>
          <w:highlight w:val="yellow"/>
          <w:shd w:val="clear" w:color="auto" w:fill="FFFF00"/>
        </w:rPr>
        <w:instrText xml:space="preserve"> REF _Ref98358126 \w \h </w:instrText>
      </w:r>
      <w:r w:rsidR="004957B3" w:rsidRPr="00AF7321">
        <w:rPr>
          <w:rFonts w:asciiTheme="minorHAnsi" w:hAnsiTheme="minorHAnsi" w:cstheme="minorHAnsi"/>
          <w:b/>
          <w:i/>
          <w:szCs w:val="24"/>
          <w:highlight w:val="yellow"/>
          <w:shd w:val="clear" w:color="auto" w:fill="FFFF00"/>
        </w:rPr>
        <w:instrText xml:space="preserve"> \* MERGEFORMAT </w:instrText>
      </w:r>
      <w:r w:rsidR="008C50E5" w:rsidRPr="00AF7321">
        <w:rPr>
          <w:rFonts w:asciiTheme="minorHAnsi" w:hAnsiTheme="minorHAnsi" w:cstheme="minorHAnsi"/>
          <w:b/>
          <w:i/>
          <w:szCs w:val="24"/>
          <w:highlight w:val="yellow"/>
          <w:shd w:val="clear" w:color="auto" w:fill="FFFF00"/>
        </w:rPr>
      </w:r>
      <w:r w:rsidR="008C50E5" w:rsidRPr="00AF7321">
        <w:rPr>
          <w:rFonts w:asciiTheme="minorHAnsi" w:hAnsiTheme="minorHAnsi" w:cstheme="minorHAnsi"/>
          <w:b/>
          <w:i/>
          <w:szCs w:val="24"/>
          <w:highlight w:val="yellow"/>
          <w:shd w:val="clear" w:color="auto" w:fill="FFFF00"/>
        </w:rPr>
        <w:fldChar w:fldCharType="separate"/>
      </w:r>
      <w:r w:rsidR="009749A0" w:rsidRPr="00AF7321">
        <w:rPr>
          <w:rFonts w:asciiTheme="minorHAnsi" w:hAnsiTheme="minorHAnsi" w:cstheme="minorHAnsi"/>
          <w:b/>
          <w:i/>
          <w:szCs w:val="24"/>
          <w:highlight w:val="yellow"/>
          <w:shd w:val="clear" w:color="auto" w:fill="FFFF00"/>
        </w:rPr>
        <w:t>12.1.1</w:t>
      </w:r>
      <w:r w:rsidR="008C50E5" w:rsidRPr="00AF7321">
        <w:rPr>
          <w:rFonts w:asciiTheme="minorHAnsi" w:hAnsiTheme="minorHAnsi" w:cstheme="minorHAnsi"/>
          <w:b/>
          <w:i/>
          <w:szCs w:val="24"/>
          <w:highlight w:val="yellow"/>
          <w:shd w:val="clear" w:color="auto" w:fill="FFFF00"/>
        </w:rPr>
        <w:fldChar w:fldCharType="end"/>
      </w:r>
      <w:r w:rsidRPr="00AF7321">
        <w:rPr>
          <w:rFonts w:asciiTheme="minorHAnsi" w:hAnsiTheme="minorHAnsi" w:cstheme="minorHAnsi"/>
          <w:b/>
          <w:i/>
          <w:szCs w:val="24"/>
          <w:highlight w:val="yellow"/>
          <w:shd w:val="clear" w:color="auto" w:fill="FFFF00"/>
        </w:rPr>
        <w:t xml:space="preserve">). The Authority may depart from this </w:t>
      </w:r>
      <w:r w:rsidRPr="0077211A">
        <w:rPr>
          <w:rFonts w:asciiTheme="minorHAnsi" w:hAnsiTheme="minorHAnsi" w:cstheme="minorHAnsi"/>
          <w:b/>
          <w:i/>
          <w:szCs w:val="24"/>
          <w:highlight w:val="yellow"/>
          <w:shd w:val="clear" w:color="auto" w:fill="FFFF00"/>
        </w:rPr>
        <w:t xml:space="preserve">position where it has considered the risks of doing so and if using the Accreditation schedule incorporated its requirements in the Statement of Information Risk Appetite. The Authority will need to ensure </w:t>
      </w:r>
      <w:r w:rsidR="001C44DD" w:rsidRPr="0077211A">
        <w:rPr>
          <w:rFonts w:asciiTheme="minorHAnsi" w:hAnsiTheme="minorHAnsi" w:cstheme="minorHAnsi"/>
          <w:b/>
          <w:i/>
          <w:szCs w:val="24"/>
          <w:highlight w:val="yellow"/>
          <w:shd w:val="clear" w:color="auto" w:fill="FFFF00"/>
        </w:rPr>
        <w:t xml:space="preserve">if it chooses to allow the Supplier to Process </w:t>
      </w:r>
      <w:r w:rsidRPr="0077211A">
        <w:rPr>
          <w:rFonts w:asciiTheme="minorHAnsi" w:hAnsiTheme="minorHAnsi" w:cstheme="minorHAnsi"/>
          <w:b/>
          <w:i/>
          <w:szCs w:val="24"/>
          <w:highlight w:val="yellow"/>
          <w:shd w:val="clear" w:color="auto" w:fill="FFFF00"/>
        </w:rPr>
        <w:t>Authority Data outside the United Kingdom, this Processing occurs in compliance with the requirements of the Data Protection Legislation and any other relevant government policy.</w:t>
      </w:r>
    </w:p>
    <w:p w14:paraId="173A7286" w14:textId="77777777" w:rsidR="00BC7DDA" w:rsidRPr="0077211A" w:rsidRDefault="009B03E9" w:rsidP="00571964">
      <w:pPr>
        <w:pStyle w:val="BodyText"/>
        <w:keepNext/>
        <w:keepLines/>
        <w:spacing w:before="100" w:after="200"/>
        <w:rPr>
          <w:b/>
          <w:i/>
        </w:rPr>
      </w:pPr>
      <w:r w:rsidRPr="0077211A">
        <w:rPr>
          <w:b/>
          <w:i/>
          <w:shd w:val="clear" w:color="auto" w:fill="FFFF00"/>
        </w:rPr>
        <w:t>Assurance version only</w:t>
      </w:r>
    </w:p>
    <w:p w14:paraId="384847E3" w14:textId="3B00F4BD"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One key difference between the two versions of the Schedule is that the</w:t>
      </w:r>
      <w:r w:rsidRPr="0077211A">
        <w:rPr>
          <w:rFonts w:asciiTheme="minorHAnsi" w:hAnsiTheme="minorHAnsi" w:cstheme="minorHAnsi"/>
          <w:b/>
          <w:i/>
          <w:szCs w:val="24"/>
          <w:highlight w:val="yellow"/>
          <w:shd w:val="clear" w:color="auto" w:fill="FFFF00"/>
        </w:rPr>
        <w:t xml:space="preserve"> Assurance version omits the express rights to terminate contained in the Accreditation version. The Authority should consider whether to include express termination rights in all or some of the following circumstances:</w:t>
      </w:r>
    </w:p>
    <w:p w14:paraId="47FA94B3" w14:textId="2EB9C0C4" w:rsidR="00BC7DDA" w:rsidRPr="0077211A" w:rsidRDefault="009B03E9" w:rsidP="00AA48C6">
      <w:pPr>
        <w:pStyle w:val="ListParagraph"/>
        <w:numPr>
          <w:ilvl w:val="1"/>
          <w:numId w:val="11"/>
        </w:numPr>
        <w:tabs>
          <w:tab w:val="left" w:pos="1906"/>
          <w:tab w:val="left" w:pos="1907"/>
        </w:tabs>
        <w:spacing w:before="100" w:after="200"/>
        <w:ind w:left="1803" w:right="11"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the Authority has issued two rejection notices in respect of the</w:t>
      </w:r>
      <w:r w:rsidRPr="0077211A">
        <w:rPr>
          <w:rFonts w:asciiTheme="minorHAnsi" w:hAnsiTheme="minorHAnsi" w:cstheme="minorHAnsi"/>
          <w:b/>
          <w:i/>
          <w:szCs w:val="24"/>
          <w:highlight w:val="yellow"/>
          <w:shd w:val="clear" w:color="auto" w:fill="FFFF00"/>
        </w:rPr>
        <w:t xml:space="preserve"> Security Management Plan;</w:t>
      </w:r>
    </w:p>
    <w:p w14:paraId="4A30512F" w14:textId="4E64E456" w:rsidR="00BC7DDA" w:rsidRPr="0077211A" w:rsidRDefault="009B03E9" w:rsidP="00AA48C6">
      <w:pPr>
        <w:pStyle w:val="ListParagraph"/>
        <w:numPr>
          <w:ilvl w:val="1"/>
          <w:numId w:val="11"/>
        </w:numPr>
        <w:tabs>
          <w:tab w:val="left" w:pos="1906"/>
          <w:tab w:val="left" w:pos="1907"/>
        </w:tabs>
        <w:spacing w:before="100" w:after="200"/>
        <w:ind w:left="1803" w:right="11"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the Supplier fails to implement a change required by the Required</w:t>
      </w:r>
      <w:r w:rsidRPr="0077211A">
        <w:rPr>
          <w:rFonts w:asciiTheme="minorHAnsi" w:hAnsiTheme="minorHAnsi" w:cstheme="minorHAnsi"/>
          <w:b/>
          <w:i/>
          <w:szCs w:val="24"/>
          <w:highlight w:val="yellow"/>
          <w:shd w:val="clear" w:color="auto" w:fill="FFFF00"/>
        </w:rPr>
        <w:t xml:space="preserve"> Changes Risk Register in accordance with the timescales set out in the Required Changes Risk Register;</w:t>
      </w:r>
    </w:p>
    <w:p w14:paraId="3AA75283" w14:textId="0F988386" w:rsidR="00BC7DDA" w:rsidRPr="0077211A" w:rsidRDefault="009B03E9" w:rsidP="00AA48C6">
      <w:pPr>
        <w:pStyle w:val="ListParagraph"/>
        <w:numPr>
          <w:ilvl w:val="1"/>
          <w:numId w:val="11"/>
        </w:numPr>
        <w:tabs>
          <w:tab w:val="left" w:pos="1906"/>
          <w:tab w:val="left" w:pos="1907"/>
        </w:tabs>
        <w:spacing w:before="100" w:after="200"/>
        <w:ind w:left="1803" w:right="11"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the Supplier fails to patch vulnerabilities in accordance with the</w:t>
      </w:r>
      <w:r w:rsidRPr="0077211A">
        <w:rPr>
          <w:rFonts w:asciiTheme="minorHAnsi" w:hAnsiTheme="minorHAnsi" w:cstheme="minorHAnsi"/>
          <w:b/>
          <w:i/>
          <w:szCs w:val="24"/>
          <w:highlight w:val="yellow"/>
          <w:shd w:val="clear" w:color="auto" w:fill="FFFF00"/>
        </w:rPr>
        <w:t xml:space="preserve"> Security </w:t>
      </w:r>
      <w:r w:rsidRPr="0077211A">
        <w:rPr>
          <w:rFonts w:asciiTheme="minorHAnsi" w:hAnsiTheme="minorHAnsi" w:cstheme="minorHAnsi"/>
          <w:b/>
          <w:i/>
          <w:szCs w:val="24"/>
          <w:highlight w:val="yellow"/>
          <w:shd w:val="clear" w:color="auto" w:fill="FFFF00"/>
        </w:rPr>
        <w:lastRenderedPageBreak/>
        <w:t>Requirements; and/or</w:t>
      </w:r>
    </w:p>
    <w:p w14:paraId="40154EA5" w14:textId="0BA44C0D" w:rsidR="00BC7DDA" w:rsidRPr="0077211A" w:rsidRDefault="009B03E9" w:rsidP="00AA48C6">
      <w:pPr>
        <w:pStyle w:val="ListParagraph"/>
        <w:numPr>
          <w:ilvl w:val="1"/>
          <w:numId w:val="11"/>
        </w:numPr>
        <w:tabs>
          <w:tab w:val="left" w:pos="1906"/>
          <w:tab w:val="left" w:pos="1907"/>
        </w:tabs>
        <w:spacing w:before="100" w:after="200"/>
        <w:ind w:left="1803" w:right="11" w:hanging="1083"/>
        <w:rPr>
          <w:rFonts w:asciiTheme="minorHAnsi" w:hAnsiTheme="minorHAnsi" w:cstheme="minorHAnsi"/>
          <w:b/>
          <w:i/>
          <w:szCs w:val="24"/>
          <w:highlight w:val="yellow"/>
        </w:rPr>
      </w:pPr>
      <w:r w:rsidRPr="0077211A">
        <w:rPr>
          <w:rFonts w:asciiTheme="minorHAnsi" w:hAnsiTheme="minorHAnsi" w:cstheme="minorHAnsi"/>
          <w:b/>
          <w:i/>
          <w:szCs w:val="24"/>
          <w:highlight w:val="yellow"/>
        </w:rPr>
        <w:t>the Supplier materially fails to comply with the Incident Management</w:t>
      </w:r>
      <w:r w:rsidRPr="0077211A">
        <w:rPr>
          <w:rFonts w:asciiTheme="minorHAnsi" w:hAnsiTheme="minorHAnsi" w:cstheme="minorHAnsi"/>
          <w:b/>
          <w:i/>
          <w:szCs w:val="24"/>
          <w:highlight w:val="yellow"/>
          <w:shd w:val="clear" w:color="auto" w:fill="FFFF00"/>
        </w:rPr>
        <w:t xml:space="preserve"> Process.</w:t>
      </w:r>
    </w:p>
    <w:p w14:paraId="0C76EEBB" w14:textId="77777777" w:rsidR="00BC7DDA" w:rsidRPr="0077211A" w:rsidRDefault="009B03E9" w:rsidP="00571964">
      <w:pPr>
        <w:pStyle w:val="BodyText"/>
        <w:keepNext/>
        <w:keepLines/>
        <w:spacing w:before="100" w:after="200"/>
        <w:rPr>
          <w:b/>
          <w:i/>
          <w:shd w:val="clear" w:color="auto" w:fill="FFFF00"/>
        </w:rPr>
      </w:pPr>
      <w:r w:rsidRPr="0077211A">
        <w:rPr>
          <w:b/>
          <w:i/>
          <w:shd w:val="clear" w:color="auto" w:fill="FFFF00"/>
        </w:rPr>
        <w:t>Accreditation version only</w:t>
      </w:r>
    </w:p>
    <w:p w14:paraId="49B126CB" w14:textId="70C447BC"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The Authority will need to agree with the Supplier what constitutes the Core</w:t>
      </w:r>
      <w:r w:rsidRPr="0077211A">
        <w:rPr>
          <w:rFonts w:asciiTheme="minorHAnsi" w:hAnsiTheme="minorHAnsi" w:cstheme="minorHAnsi"/>
          <w:b/>
          <w:i/>
          <w:szCs w:val="24"/>
          <w:highlight w:val="yellow"/>
          <w:shd w:val="clear" w:color="auto" w:fill="FFFF00"/>
        </w:rPr>
        <w:t xml:space="preserve"> Information Management System and its boundary with the Wider Information Management System. This process is essential to determining the scope of the Accreditation exercise. If the Authority will determine and map this boundary as part of the procurement exercise, then the first option in Paragraph </w:t>
      </w:r>
      <w:r w:rsidR="008C50E5" w:rsidRPr="0077211A">
        <w:rPr>
          <w:rFonts w:asciiTheme="minorHAnsi" w:hAnsiTheme="minorHAnsi" w:cstheme="minorHAnsi"/>
          <w:b/>
          <w:i/>
          <w:szCs w:val="24"/>
          <w:highlight w:val="yellow"/>
          <w:shd w:val="clear" w:color="auto" w:fill="FFFF00"/>
        </w:rPr>
        <w:fldChar w:fldCharType="begin"/>
      </w:r>
      <w:r w:rsidR="008C50E5" w:rsidRPr="0077211A">
        <w:rPr>
          <w:rFonts w:asciiTheme="minorHAnsi" w:hAnsiTheme="minorHAnsi" w:cstheme="minorHAnsi"/>
          <w:b/>
          <w:i/>
          <w:szCs w:val="24"/>
          <w:highlight w:val="yellow"/>
          <w:shd w:val="clear" w:color="auto" w:fill="FFFF00"/>
        </w:rPr>
        <w:instrText xml:space="preserve"> REF _Ref98358311 \n \h </w:instrText>
      </w:r>
      <w:r w:rsidR="001E3DD6" w:rsidRPr="0077211A">
        <w:rPr>
          <w:rFonts w:asciiTheme="minorHAnsi" w:hAnsiTheme="minorHAnsi" w:cstheme="minorHAnsi"/>
          <w:b/>
          <w:i/>
          <w:szCs w:val="24"/>
          <w:highlight w:val="yellow"/>
          <w:shd w:val="clear" w:color="auto" w:fill="FFFF00"/>
        </w:rPr>
        <w:instrText xml:space="preserve"> \* MERGEFORMAT </w:instrText>
      </w:r>
      <w:r w:rsidR="008C50E5" w:rsidRPr="0077211A">
        <w:rPr>
          <w:rFonts w:asciiTheme="minorHAnsi" w:hAnsiTheme="minorHAnsi" w:cstheme="minorHAnsi"/>
          <w:b/>
          <w:i/>
          <w:szCs w:val="24"/>
          <w:highlight w:val="yellow"/>
          <w:shd w:val="clear" w:color="auto" w:fill="FFFF00"/>
        </w:rPr>
      </w:r>
      <w:r w:rsidR="008C50E5" w:rsidRPr="0077211A">
        <w:rPr>
          <w:rFonts w:asciiTheme="minorHAnsi" w:hAnsiTheme="minorHAnsi" w:cstheme="minorHAnsi"/>
          <w:b/>
          <w:i/>
          <w:szCs w:val="24"/>
          <w:highlight w:val="yellow"/>
          <w:shd w:val="clear" w:color="auto" w:fill="FFFF00"/>
        </w:rPr>
        <w:fldChar w:fldCharType="separate"/>
      </w:r>
      <w:r w:rsidR="009749A0">
        <w:rPr>
          <w:rFonts w:asciiTheme="minorHAnsi" w:hAnsiTheme="minorHAnsi" w:cstheme="minorHAnsi"/>
          <w:b/>
          <w:i/>
          <w:szCs w:val="24"/>
          <w:highlight w:val="yellow"/>
          <w:shd w:val="clear" w:color="auto" w:fill="FFFF00"/>
        </w:rPr>
        <w:t>4.2</w:t>
      </w:r>
      <w:r w:rsidR="008C50E5"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should be used. If the Authority choses this approach, will need to ask the bidders to provide sufficient details of the proposed information system (e.g. a description of the system architecture, the hardware and software components, Sub-contractors and other suppliers) to enable the Authority to categorise prior to contract award what parts of the proposed information system are to be categorised as either: the </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Core Information Management System</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 and subject to accreditation in accordance with Paragraph </w:t>
      </w:r>
      <w:r w:rsidR="008C50E5" w:rsidRPr="0077211A">
        <w:rPr>
          <w:rFonts w:asciiTheme="minorHAnsi" w:hAnsiTheme="minorHAnsi" w:cstheme="minorHAnsi"/>
          <w:b/>
          <w:i/>
          <w:szCs w:val="24"/>
          <w:highlight w:val="yellow"/>
          <w:shd w:val="clear" w:color="auto" w:fill="FFFF00"/>
        </w:rPr>
        <w:fldChar w:fldCharType="begin"/>
      </w:r>
      <w:r w:rsidR="008C50E5" w:rsidRPr="0077211A">
        <w:rPr>
          <w:rFonts w:asciiTheme="minorHAnsi" w:hAnsiTheme="minorHAnsi" w:cstheme="minorHAnsi"/>
          <w:b/>
          <w:i/>
          <w:szCs w:val="24"/>
          <w:highlight w:val="yellow"/>
          <w:shd w:val="clear" w:color="auto" w:fill="FFFF00"/>
        </w:rPr>
        <w:instrText xml:space="preserve"> REF _Ref98358341 \n \h </w:instrText>
      </w:r>
      <w:r w:rsidR="001E3DD6" w:rsidRPr="0077211A">
        <w:rPr>
          <w:rFonts w:asciiTheme="minorHAnsi" w:hAnsiTheme="minorHAnsi" w:cstheme="minorHAnsi"/>
          <w:b/>
          <w:i/>
          <w:szCs w:val="24"/>
          <w:highlight w:val="yellow"/>
          <w:shd w:val="clear" w:color="auto" w:fill="FFFF00"/>
        </w:rPr>
        <w:instrText xml:space="preserve"> \* MERGEFORMAT </w:instrText>
      </w:r>
      <w:r w:rsidR="008C50E5" w:rsidRPr="0077211A">
        <w:rPr>
          <w:rFonts w:asciiTheme="minorHAnsi" w:hAnsiTheme="minorHAnsi" w:cstheme="minorHAnsi"/>
          <w:b/>
          <w:i/>
          <w:szCs w:val="24"/>
          <w:highlight w:val="yellow"/>
          <w:shd w:val="clear" w:color="auto" w:fill="FFFF00"/>
        </w:rPr>
      </w:r>
      <w:r w:rsidR="008C50E5" w:rsidRPr="0077211A">
        <w:rPr>
          <w:rFonts w:asciiTheme="minorHAnsi" w:hAnsiTheme="minorHAnsi" w:cstheme="minorHAnsi"/>
          <w:b/>
          <w:i/>
          <w:szCs w:val="24"/>
          <w:highlight w:val="yellow"/>
          <w:shd w:val="clear" w:color="auto" w:fill="FFFF00"/>
        </w:rPr>
        <w:fldChar w:fldCharType="separate"/>
      </w:r>
      <w:r w:rsidR="009749A0">
        <w:rPr>
          <w:rFonts w:asciiTheme="minorHAnsi" w:hAnsiTheme="minorHAnsi" w:cstheme="minorHAnsi"/>
          <w:b/>
          <w:i/>
          <w:szCs w:val="24"/>
          <w:highlight w:val="yellow"/>
          <w:shd w:val="clear" w:color="auto" w:fill="FFFF00"/>
        </w:rPr>
        <w:t>6</w:t>
      </w:r>
      <w:r w:rsidR="008C50E5"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of this Schedule, or the </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Wider Information Management System</w:t>
      </w:r>
      <w:r w:rsidR="00A4555C" w:rsidRPr="0077211A">
        <w:rPr>
          <w:rFonts w:asciiTheme="minorHAnsi" w:hAnsiTheme="minorHAnsi" w:cstheme="minorHAnsi"/>
          <w:b/>
          <w:i/>
          <w:szCs w:val="24"/>
          <w:highlight w:val="yellow"/>
          <w:shd w:val="clear" w:color="auto" w:fill="FFFF00"/>
        </w:rPr>
        <w:t>”</w:t>
      </w:r>
      <w:r w:rsidRPr="0077211A">
        <w:rPr>
          <w:rFonts w:asciiTheme="minorHAnsi" w:hAnsiTheme="minorHAnsi" w:cstheme="minorHAnsi"/>
          <w:b/>
          <w:i/>
          <w:szCs w:val="24"/>
          <w:highlight w:val="yellow"/>
          <w:shd w:val="clear" w:color="auto" w:fill="FFFF00"/>
        </w:rPr>
        <w:t xml:space="preserve"> and subject to the Certification Requirements set out in Paragraph </w:t>
      </w:r>
      <w:r w:rsidR="008C50E5" w:rsidRPr="0077211A">
        <w:rPr>
          <w:rFonts w:asciiTheme="minorHAnsi" w:hAnsiTheme="minorHAnsi" w:cstheme="minorHAnsi"/>
          <w:b/>
          <w:i/>
          <w:szCs w:val="24"/>
          <w:highlight w:val="yellow"/>
          <w:shd w:val="clear" w:color="auto" w:fill="FFFF00"/>
        </w:rPr>
        <w:fldChar w:fldCharType="begin"/>
      </w:r>
      <w:r w:rsidR="008C50E5" w:rsidRPr="0077211A">
        <w:rPr>
          <w:rFonts w:asciiTheme="minorHAnsi" w:hAnsiTheme="minorHAnsi" w:cstheme="minorHAnsi"/>
          <w:b/>
          <w:i/>
          <w:szCs w:val="24"/>
          <w:highlight w:val="yellow"/>
          <w:shd w:val="clear" w:color="auto" w:fill="FFFF00"/>
        </w:rPr>
        <w:instrText xml:space="preserve"> REF _Ref98358357 \n \h </w:instrText>
      </w:r>
      <w:r w:rsidR="001E3DD6" w:rsidRPr="0077211A">
        <w:rPr>
          <w:rFonts w:asciiTheme="minorHAnsi" w:hAnsiTheme="minorHAnsi" w:cstheme="minorHAnsi"/>
          <w:b/>
          <w:i/>
          <w:szCs w:val="24"/>
          <w:highlight w:val="yellow"/>
          <w:shd w:val="clear" w:color="auto" w:fill="FFFF00"/>
        </w:rPr>
        <w:instrText xml:space="preserve"> \* MERGEFORMAT </w:instrText>
      </w:r>
      <w:r w:rsidR="008C50E5" w:rsidRPr="0077211A">
        <w:rPr>
          <w:rFonts w:asciiTheme="minorHAnsi" w:hAnsiTheme="minorHAnsi" w:cstheme="minorHAnsi"/>
          <w:b/>
          <w:i/>
          <w:szCs w:val="24"/>
          <w:highlight w:val="yellow"/>
          <w:shd w:val="clear" w:color="auto" w:fill="FFFF00"/>
        </w:rPr>
      </w:r>
      <w:r w:rsidR="008C50E5" w:rsidRPr="0077211A">
        <w:rPr>
          <w:rFonts w:asciiTheme="minorHAnsi" w:hAnsiTheme="minorHAnsi" w:cstheme="minorHAnsi"/>
          <w:b/>
          <w:i/>
          <w:szCs w:val="24"/>
          <w:highlight w:val="yellow"/>
          <w:shd w:val="clear" w:color="auto" w:fill="FFFF00"/>
        </w:rPr>
        <w:fldChar w:fldCharType="separate"/>
      </w:r>
      <w:r w:rsidR="009749A0">
        <w:rPr>
          <w:rFonts w:asciiTheme="minorHAnsi" w:hAnsiTheme="minorHAnsi" w:cstheme="minorHAnsi"/>
          <w:b/>
          <w:i/>
          <w:szCs w:val="24"/>
          <w:highlight w:val="yellow"/>
          <w:shd w:val="clear" w:color="auto" w:fill="FFFF00"/>
        </w:rPr>
        <w:t>7</w:t>
      </w:r>
      <w:r w:rsidR="008C50E5"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This description should be in the form of a diagram setting out the components of the Information Management System and the linkages and data flows between them. This diagram should then be included as Annex 4 to this Schedule.</w:t>
      </w:r>
    </w:p>
    <w:p w14:paraId="2C2A0FB1" w14:textId="7D388874" w:rsidR="00BC7DDA" w:rsidRPr="0077211A" w:rsidRDefault="009B03E9" w:rsidP="00AA48C6">
      <w:pPr>
        <w:pStyle w:val="ListParagraph"/>
        <w:numPr>
          <w:ilvl w:val="0"/>
          <w:numId w:val="11"/>
        </w:numPr>
        <w:tabs>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If the Authority will agree the boundary as part of the implementation process,</w:t>
      </w:r>
      <w:r w:rsidRPr="0077211A">
        <w:rPr>
          <w:rFonts w:asciiTheme="minorHAnsi" w:hAnsiTheme="minorHAnsi" w:cstheme="minorHAnsi"/>
          <w:b/>
          <w:i/>
          <w:szCs w:val="24"/>
          <w:highlight w:val="yellow"/>
          <w:shd w:val="clear" w:color="auto" w:fill="FFFF00"/>
        </w:rPr>
        <w:t xml:space="preserve"> then the second option in Paragraph </w:t>
      </w:r>
      <w:r w:rsidR="008C50E5" w:rsidRPr="0077211A">
        <w:rPr>
          <w:rFonts w:asciiTheme="minorHAnsi" w:hAnsiTheme="minorHAnsi" w:cstheme="minorHAnsi"/>
          <w:b/>
          <w:i/>
          <w:szCs w:val="24"/>
          <w:highlight w:val="yellow"/>
          <w:shd w:val="clear" w:color="auto" w:fill="FFFF00"/>
        </w:rPr>
        <w:fldChar w:fldCharType="begin"/>
      </w:r>
      <w:r w:rsidR="008C50E5" w:rsidRPr="0077211A">
        <w:rPr>
          <w:rFonts w:asciiTheme="minorHAnsi" w:hAnsiTheme="minorHAnsi" w:cstheme="minorHAnsi"/>
          <w:b/>
          <w:i/>
          <w:szCs w:val="24"/>
          <w:highlight w:val="yellow"/>
          <w:shd w:val="clear" w:color="auto" w:fill="FFFF00"/>
        </w:rPr>
        <w:instrText xml:space="preserve"> REF _Ref98358311 \n \h </w:instrText>
      </w:r>
      <w:r w:rsidR="001E3DD6" w:rsidRPr="0077211A">
        <w:rPr>
          <w:rFonts w:asciiTheme="minorHAnsi" w:hAnsiTheme="minorHAnsi" w:cstheme="minorHAnsi"/>
          <w:b/>
          <w:i/>
          <w:szCs w:val="24"/>
          <w:highlight w:val="yellow"/>
          <w:shd w:val="clear" w:color="auto" w:fill="FFFF00"/>
        </w:rPr>
        <w:instrText xml:space="preserve"> \* MERGEFORMAT </w:instrText>
      </w:r>
      <w:r w:rsidR="008C50E5" w:rsidRPr="0077211A">
        <w:rPr>
          <w:rFonts w:asciiTheme="minorHAnsi" w:hAnsiTheme="minorHAnsi" w:cstheme="minorHAnsi"/>
          <w:b/>
          <w:i/>
          <w:szCs w:val="24"/>
          <w:highlight w:val="yellow"/>
          <w:shd w:val="clear" w:color="auto" w:fill="FFFF00"/>
        </w:rPr>
      </w:r>
      <w:r w:rsidR="008C50E5" w:rsidRPr="0077211A">
        <w:rPr>
          <w:rFonts w:asciiTheme="minorHAnsi" w:hAnsiTheme="minorHAnsi" w:cstheme="minorHAnsi"/>
          <w:b/>
          <w:i/>
          <w:szCs w:val="24"/>
          <w:highlight w:val="yellow"/>
          <w:shd w:val="clear" w:color="auto" w:fill="FFFF00"/>
        </w:rPr>
        <w:fldChar w:fldCharType="separate"/>
      </w:r>
      <w:r w:rsidR="009749A0">
        <w:rPr>
          <w:rFonts w:asciiTheme="minorHAnsi" w:hAnsiTheme="minorHAnsi" w:cstheme="minorHAnsi"/>
          <w:b/>
          <w:i/>
          <w:szCs w:val="24"/>
          <w:highlight w:val="yellow"/>
          <w:shd w:val="clear" w:color="auto" w:fill="FFFF00"/>
        </w:rPr>
        <w:t>4.2</w:t>
      </w:r>
      <w:r w:rsidR="008C50E5"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(with any necessary modifications to reflect the actual implementation process adopted) should be used.</w:t>
      </w:r>
    </w:p>
    <w:p w14:paraId="64A8B9E3" w14:textId="20913DED" w:rsidR="00BC7DDA" w:rsidRPr="0077211A"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This version allows the Authority to play an active role in assessing the Core</w:t>
      </w:r>
      <w:r w:rsidRPr="0077211A">
        <w:rPr>
          <w:rFonts w:asciiTheme="minorHAnsi" w:hAnsiTheme="minorHAnsi" w:cstheme="minorHAnsi"/>
          <w:b/>
          <w:i/>
          <w:szCs w:val="24"/>
          <w:highlight w:val="yellow"/>
          <w:shd w:val="clear" w:color="auto" w:fill="FFFF00"/>
        </w:rPr>
        <w:t xml:space="preserve"> Information Management System. The Authority must satisfy itself that the Core information Management System, as implemented by the Supplier, will adequately meet the requirements of the Baseline Security Requirements (set out in </w:t>
      </w:r>
      <w:r w:rsidR="00095858" w:rsidRPr="0077211A">
        <w:rPr>
          <w:rFonts w:asciiTheme="minorHAnsi" w:hAnsiTheme="minorHAnsi" w:cstheme="minorHAnsi"/>
          <w:b/>
          <w:i/>
          <w:szCs w:val="24"/>
          <w:highlight w:val="yellow"/>
          <w:shd w:val="clear" w:color="auto" w:fill="FFFF00"/>
        </w:rPr>
        <w:t>Annex </w:t>
      </w:r>
      <w:r w:rsidR="00095858" w:rsidRPr="0077211A">
        <w:rPr>
          <w:rFonts w:asciiTheme="minorHAnsi" w:hAnsiTheme="minorHAnsi" w:cstheme="minorHAnsi"/>
          <w:b/>
          <w:i/>
          <w:szCs w:val="24"/>
          <w:highlight w:val="yellow"/>
          <w:shd w:val="clear" w:color="auto" w:fill="FFFF00"/>
        </w:rPr>
        <w:fldChar w:fldCharType="begin"/>
      </w:r>
      <w:r w:rsidR="00095858" w:rsidRPr="0077211A">
        <w:rPr>
          <w:rFonts w:asciiTheme="minorHAnsi" w:hAnsiTheme="minorHAnsi" w:cstheme="minorHAnsi"/>
          <w:b/>
          <w:i/>
          <w:szCs w:val="24"/>
          <w:highlight w:val="yellow"/>
          <w:shd w:val="clear" w:color="auto" w:fill="FFFF00"/>
        </w:rPr>
        <w:instrText xml:space="preserve"> REF Schedule_5_Part_A_Annex_1 \h  \* MERGEFORMAT </w:instrText>
      </w:r>
      <w:r w:rsidR="00095858" w:rsidRPr="0077211A">
        <w:rPr>
          <w:rFonts w:asciiTheme="minorHAnsi" w:hAnsiTheme="minorHAnsi" w:cstheme="minorHAnsi"/>
          <w:b/>
          <w:i/>
          <w:szCs w:val="24"/>
          <w:highlight w:val="yellow"/>
          <w:shd w:val="clear" w:color="auto" w:fill="FFFF00"/>
        </w:rPr>
      </w:r>
      <w:r w:rsidR="00095858" w:rsidRPr="0077211A">
        <w:rPr>
          <w:rFonts w:asciiTheme="minorHAnsi" w:hAnsiTheme="minorHAnsi" w:cstheme="minorHAnsi"/>
          <w:b/>
          <w:i/>
          <w:szCs w:val="24"/>
          <w:highlight w:val="yellow"/>
          <w:shd w:val="clear" w:color="auto" w:fill="FFFF00"/>
        </w:rPr>
        <w:fldChar w:fldCharType="separate"/>
      </w:r>
      <w:r w:rsidR="009749A0" w:rsidRPr="00AF7321">
        <w:rPr>
          <w:b/>
          <w:i/>
          <w:highlight w:val="yellow"/>
        </w:rPr>
        <w:t>1</w:t>
      </w:r>
      <w:r w:rsidR="00095858" w:rsidRPr="0077211A">
        <w:rPr>
          <w:rFonts w:asciiTheme="minorHAnsi" w:hAnsiTheme="minorHAnsi" w:cstheme="minorHAnsi"/>
          <w:b/>
          <w:i/>
          <w:szCs w:val="24"/>
          <w:highlight w:val="yellow"/>
          <w:shd w:val="clear" w:color="auto" w:fill="FFFF00"/>
        </w:rPr>
        <w:fldChar w:fldCharType="end"/>
      </w:r>
      <w:r w:rsidRPr="0077211A">
        <w:rPr>
          <w:rFonts w:asciiTheme="minorHAnsi" w:hAnsiTheme="minorHAnsi" w:cstheme="minorHAnsi"/>
          <w:b/>
          <w:i/>
          <w:szCs w:val="24"/>
          <w:highlight w:val="yellow"/>
          <w:shd w:val="clear" w:color="auto" w:fill="FFFF00"/>
        </w:rPr>
        <w:t xml:space="preserve"> </w:t>
      </w:r>
      <w:r w:rsidR="00095858" w:rsidRPr="0077211A">
        <w:rPr>
          <w:rFonts w:asciiTheme="minorHAnsi" w:hAnsiTheme="minorHAnsi" w:cstheme="minorHAnsi"/>
          <w:b/>
          <w:i/>
          <w:szCs w:val="24"/>
          <w:highlight w:val="yellow"/>
          <w:shd w:val="clear" w:color="auto" w:fill="FFFF00"/>
        </w:rPr>
        <w:t>of Part </w:t>
      </w:r>
      <w:r w:rsidR="00095858" w:rsidRPr="0077211A">
        <w:rPr>
          <w:rFonts w:asciiTheme="minorHAnsi" w:hAnsiTheme="minorHAnsi" w:cstheme="minorHAnsi"/>
          <w:b/>
          <w:i/>
          <w:szCs w:val="24"/>
          <w:highlight w:val="yellow"/>
          <w:shd w:val="clear" w:color="auto" w:fill="FFFF00"/>
        </w:rPr>
        <w:fldChar w:fldCharType="begin"/>
      </w:r>
      <w:r w:rsidR="00095858" w:rsidRPr="0077211A">
        <w:rPr>
          <w:rFonts w:asciiTheme="minorHAnsi" w:hAnsiTheme="minorHAnsi" w:cstheme="minorHAnsi"/>
          <w:b/>
          <w:i/>
          <w:szCs w:val="24"/>
          <w:highlight w:val="yellow"/>
          <w:shd w:val="clear" w:color="auto" w:fill="FFFF00"/>
        </w:rPr>
        <w:instrText xml:space="preserve"> REF Schedule_5_Part_A \h  \* MERGEFORMAT </w:instrText>
      </w:r>
      <w:r w:rsidR="00095858" w:rsidRPr="0077211A">
        <w:rPr>
          <w:rFonts w:asciiTheme="minorHAnsi" w:hAnsiTheme="minorHAnsi" w:cstheme="minorHAnsi"/>
          <w:b/>
          <w:i/>
          <w:szCs w:val="24"/>
          <w:highlight w:val="yellow"/>
          <w:shd w:val="clear" w:color="auto" w:fill="FFFF00"/>
        </w:rPr>
      </w:r>
      <w:r w:rsidR="00095858" w:rsidRPr="0077211A">
        <w:rPr>
          <w:rFonts w:asciiTheme="minorHAnsi" w:hAnsiTheme="minorHAnsi" w:cstheme="minorHAnsi"/>
          <w:b/>
          <w:i/>
          <w:szCs w:val="24"/>
          <w:highlight w:val="yellow"/>
          <w:shd w:val="clear" w:color="auto" w:fill="FFFF00"/>
        </w:rPr>
        <w:fldChar w:fldCharType="separate"/>
      </w:r>
      <w:r w:rsidR="009749A0" w:rsidRPr="00AF7321">
        <w:rPr>
          <w:b/>
          <w:i/>
          <w:highlight w:val="yellow"/>
        </w:rPr>
        <w:t>A</w:t>
      </w:r>
      <w:r w:rsidR="00095858" w:rsidRPr="0077211A">
        <w:rPr>
          <w:rFonts w:asciiTheme="minorHAnsi" w:hAnsiTheme="minorHAnsi" w:cstheme="minorHAnsi"/>
          <w:b/>
          <w:i/>
          <w:szCs w:val="24"/>
          <w:highlight w:val="yellow"/>
          <w:shd w:val="clear" w:color="auto" w:fill="FFFF00"/>
        </w:rPr>
        <w:fldChar w:fldCharType="end"/>
      </w:r>
      <w:r w:rsidR="00095858" w:rsidRPr="0077211A">
        <w:rPr>
          <w:rFonts w:asciiTheme="minorHAnsi" w:hAnsiTheme="minorHAnsi" w:cstheme="minorHAnsi"/>
          <w:b/>
          <w:i/>
          <w:szCs w:val="24"/>
          <w:highlight w:val="yellow"/>
          <w:shd w:val="clear" w:color="auto" w:fill="FFFF00"/>
        </w:rPr>
        <w:t xml:space="preserve"> </w:t>
      </w:r>
      <w:r w:rsidRPr="0077211A">
        <w:rPr>
          <w:rFonts w:asciiTheme="minorHAnsi" w:hAnsiTheme="minorHAnsi" w:cstheme="minorHAnsi"/>
          <w:b/>
          <w:i/>
          <w:szCs w:val="24"/>
          <w:highlight w:val="yellow"/>
          <w:shd w:val="clear" w:color="auto" w:fill="FFFF00"/>
        </w:rPr>
        <w:t>to this Schedule) and the Statement of Information Risk Appetite prepared by the Authority as part of the procurement process. If the Authority lacks the technical capability to perform this task, it should consider whether to use the Assurance version of the Schedule.</w:t>
      </w:r>
    </w:p>
    <w:p w14:paraId="37F02955" w14:textId="77650AF0" w:rsidR="00BC7DDA" w:rsidRPr="00BD6C5F" w:rsidRDefault="009B03E9" w:rsidP="00AA48C6">
      <w:pPr>
        <w:pStyle w:val="ListParagraph"/>
        <w:numPr>
          <w:ilvl w:val="0"/>
          <w:numId w:val="11"/>
        </w:numPr>
        <w:tabs>
          <w:tab w:val="left" w:pos="820"/>
          <w:tab w:val="left" w:pos="821"/>
        </w:tabs>
        <w:spacing w:before="100" w:after="200"/>
        <w:ind w:left="720" w:hanging="720"/>
        <w:rPr>
          <w:rFonts w:asciiTheme="minorHAnsi" w:hAnsiTheme="minorHAnsi" w:cstheme="minorHAnsi"/>
          <w:bCs/>
          <w:iCs/>
          <w:szCs w:val="24"/>
        </w:rPr>
      </w:pPr>
      <w:r w:rsidRPr="0077211A">
        <w:rPr>
          <w:rFonts w:asciiTheme="minorHAnsi" w:hAnsiTheme="minorHAnsi" w:cstheme="minorHAnsi"/>
          <w:b/>
          <w:i/>
          <w:szCs w:val="24"/>
          <w:highlight w:val="yellow"/>
        </w:rPr>
        <w:t>The key document that the Authority must prepare to use this Schedule is the</w:t>
      </w:r>
      <w:r w:rsidRPr="0077211A">
        <w:rPr>
          <w:rFonts w:asciiTheme="minorHAnsi" w:hAnsiTheme="minorHAnsi" w:cstheme="minorHAnsi"/>
          <w:b/>
          <w:i/>
          <w:szCs w:val="24"/>
          <w:highlight w:val="yellow"/>
          <w:shd w:val="clear" w:color="auto" w:fill="FFFF00"/>
        </w:rPr>
        <w:t xml:space="preserve"> Statement of Information Risk Appetite. This sets out the overall amount of risk an organisation is prepared to accept, tolerate or be exposed to at any point in time. The Authority will need to prepare this document as part of the documentation provided to bidders along with other documents describing the</w:t>
      </w:r>
      <w:r w:rsidRPr="0077211A">
        <w:rPr>
          <w:rFonts w:asciiTheme="minorHAnsi" w:hAnsiTheme="minorHAnsi" w:cstheme="minorHAnsi"/>
          <w:b/>
          <w:i/>
          <w:szCs w:val="24"/>
          <w:shd w:val="clear" w:color="auto" w:fill="FFFF00"/>
        </w:rPr>
        <w:t xml:space="preserve"> Authority</w:t>
      </w:r>
      <w:r w:rsidR="00A4555C" w:rsidRPr="0077211A">
        <w:rPr>
          <w:rFonts w:asciiTheme="minorHAnsi" w:hAnsiTheme="minorHAnsi" w:cstheme="minorHAnsi"/>
          <w:b/>
          <w:i/>
          <w:szCs w:val="24"/>
          <w:shd w:val="clear" w:color="auto" w:fill="FFFF00"/>
        </w:rPr>
        <w:t>’</w:t>
      </w:r>
      <w:r w:rsidRPr="0077211A">
        <w:rPr>
          <w:rFonts w:asciiTheme="minorHAnsi" w:hAnsiTheme="minorHAnsi" w:cstheme="minorHAnsi"/>
          <w:b/>
          <w:i/>
          <w:szCs w:val="24"/>
          <w:shd w:val="clear" w:color="auto" w:fill="FFFF00"/>
        </w:rPr>
        <w:t>s system requirements for them to bid against</w:t>
      </w:r>
      <w:r w:rsidRPr="00BD6C5F">
        <w:rPr>
          <w:rFonts w:asciiTheme="minorHAnsi" w:hAnsiTheme="minorHAnsi" w:cstheme="minorHAnsi"/>
          <w:bCs/>
          <w:iCs/>
          <w:szCs w:val="24"/>
          <w:shd w:val="clear" w:color="auto" w:fill="FFFF00"/>
        </w:rPr>
        <w:t>.]</w:t>
      </w:r>
    </w:p>
    <w:p w14:paraId="687463B2" w14:textId="77777777" w:rsidR="00B30FB1" w:rsidRPr="00BD6C5F" w:rsidRDefault="00B30FB1" w:rsidP="00B30FB1">
      <w:pPr>
        <w:rPr>
          <w:rFonts w:asciiTheme="minorHAnsi" w:hAnsiTheme="minorHAnsi" w:cstheme="minorHAnsi"/>
        </w:rPr>
      </w:pPr>
    </w:p>
    <w:p w14:paraId="11A3E6F9" w14:textId="36244C82" w:rsidR="00BC7DDA" w:rsidRPr="00BD6C5F" w:rsidRDefault="00CE51D0" w:rsidP="00CE51D0">
      <w:pPr>
        <w:pStyle w:val="Heading2"/>
        <w:pageBreakBefore/>
      </w:pPr>
      <w:bookmarkStart w:id="178" w:name="_bookmark60"/>
      <w:bookmarkStart w:id="179" w:name="_Ref98326161"/>
      <w:bookmarkStart w:id="180" w:name="_Ref98328486"/>
      <w:bookmarkStart w:id="181" w:name="_Toc98332710"/>
      <w:bookmarkStart w:id="182" w:name="_Toc98852887"/>
      <w:bookmarkStart w:id="183" w:name="_Toc141720980"/>
      <w:bookmarkEnd w:id="178"/>
      <w:r w:rsidRPr="00BD6C5F">
        <w:lastRenderedPageBreak/>
        <w:t xml:space="preserve">Part </w:t>
      </w:r>
      <w:bookmarkStart w:id="184" w:name="Schedule_5_Part_A"/>
      <w:r w:rsidRPr="00BD6C5F">
        <w:t>A</w:t>
      </w:r>
      <w:bookmarkEnd w:id="184"/>
      <w:r w:rsidRPr="00BD6C5F">
        <w:t>: Security Assurance</w:t>
      </w:r>
      <w:bookmarkEnd w:id="179"/>
      <w:bookmarkEnd w:id="180"/>
      <w:bookmarkEnd w:id="181"/>
      <w:bookmarkEnd w:id="182"/>
      <w:bookmarkEnd w:id="183"/>
    </w:p>
    <w:p w14:paraId="57E0A7BC" w14:textId="77777777" w:rsidR="00BC7DDA" w:rsidRPr="00BD6C5F" w:rsidRDefault="009B03E9" w:rsidP="00B71FC0">
      <w:pPr>
        <w:pStyle w:val="Numbered1"/>
        <w:numPr>
          <w:ilvl w:val="0"/>
          <w:numId w:val="83"/>
        </w:numPr>
      </w:pPr>
      <w:r w:rsidRPr="00BD6C5F">
        <w:t>Definitions</w:t>
      </w:r>
    </w:p>
    <w:p w14:paraId="608FC9DC" w14:textId="77777777" w:rsidR="00BC7DDA" w:rsidRPr="00BD6C5F" w:rsidRDefault="009B03E9" w:rsidP="003E785F">
      <w:pPr>
        <w:pStyle w:val="Numbered11"/>
        <w:keepNext/>
      </w:pPr>
      <w:r w:rsidRPr="00BD6C5F">
        <w:t>In this Schedule:</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4F1EA10A" w14:textId="77777777" w:rsidTr="003A5D4B">
        <w:trPr>
          <w:trHeight w:val="20"/>
        </w:trPr>
        <w:tc>
          <w:tcPr>
            <w:tcW w:w="3572" w:type="dxa"/>
          </w:tcPr>
          <w:p w14:paraId="3B4EF846" w14:textId="0E121E76"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Anti-Malicious Software</w:t>
            </w:r>
            <w:r w:rsidRPr="00BD6C5F">
              <w:rPr>
                <w:rFonts w:asciiTheme="minorHAnsi" w:hAnsiTheme="minorHAnsi" w:cstheme="minorHAnsi"/>
                <w:b/>
              </w:rPr>
              <w:t>”</w:t>
            </w:r>
          </w:p>
        </w:tc>
        <w:tc>
          <w:tcPr>
            <w:tcW w:w="5953" w:type="dxa"/>
          </w:tcPr>
          <w:p w14:paraId="5F976C32" w14:textId="77777777" w:rsidR="00BC7DDA" w:rsidRPr="00BD6C5F" w:rsidRDefault="009B03E9" w:rsidP="00901268">
            <w:pPr>
              <w:pStyle w:val="Tabletext"/>
            </w:pPr>
            <w:r w:rsidRPr="00BD6C5F">
              <w:t>means software that scans for and identifies possible Malicious Software in the IT Environment;</w:t>
            </w:r>
          </w:p>
        </w:tc>
      </w:tr>
      <w:tr w:rsidR="00BC7DDA" w:rsidRPr="00BD6C5F" w14:paraId="2090EF65" w14:textId="77777777" w:rsidTr="003A5D4B">
        <w:trPr>
          <w:trHeight w:val="20"/>
        </w:trPr>
        <w:tc>
          <w:tcPr>
            <w:tcW w:w="3572" w:type="dxa"/>
          </w:tcPr>
          <w:p w14:paraId="6514E588" w14:textId="48708E39"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Breach of Security</w:t>
            </w:r>
          </w:p>
        </w:tc>
        <w:tc>
          <w:tcPr>
            <w:tcW w:w="5953" w:type="dxa"/>
          </w:tcPr>
          <w:p w14:paraId="6DB677A2" w14:textId="77777777" w:rsidR="00BC7DDA" w:rsidRPr="00BD6C5F" w:rsidRDefault="009B03E9" w:rsidP="003E785F">
            <w:pPr>
              <w:pStyle w:val="Tabletext"/>
            </w:pPr>
            <w:r w:rsidRPr="00BD6C5F">
              <w:t>an event that results, or could result, in:</w:t>
            </w:r>
          </w:p>
          <w:p w14:paraId="0C186AE8" w14:textId="77777777" w:rsidR="00BC7DDA" w:rsidRPr="00BD6C5F" w:rsidRDefault="009B03E9" w:rsidP="003A5D4B">
            <w:pPr>
              <w:pStyle w:val="Tablea"/>
            </w:pPr>
            <w:r w:rsidRPr="00BD6C5F">
              <w:t>any unauthorised access to or use of the Authority Data, the Services and/or the Information Management System; and/or</w:t>
            </w:r>
          </w:p>
          <w:p w14:paraId="1FC9ECDF" w14:textId="211C3D73" w:rsidR="00BC7DDA" w:rsidRPr="00BD6C5F" w:rsidRDefault="009B03E9" w:rsidP="003A5D4B">
            <w:pPr>
              <w:pStyle w:val="Tablea"/>
            </w:pPr>
            <w:r w:rsidRPr="00BD6C5F">
              <w:t xml:space="preserve">the loss, corruption and/or unauthorised disclosure of any information or data (including the Confidential Information and the Authority Data), including any copies of such information or data, used by the Authority and/or the Supplier in connection with this </w:t>
            </w:r>
            <w:r w:rsidR="000B1845" w:rsidRPr="00BD6C5F">
              <w:t>Contract</w:t>
            </w:r>
            <w:r w:rsidRPr="00BD6C5F">
              <w:t>;</w:t>
            </w:r>
          </w:p>
        </w:tc>
      </w:tr>
      <w:tr w:rsidR="00BC7DDA" w:rsidRPr="00BD6C5F" w14:paraId="2CE5909D" w14:textId="77777777" w:rsidTr="003A5D4B">
        <w:trPr>
          <w:trHeight w:val="20"/>
        </w:trPr>
        <w:tc>
          <w:tcPr>
            <w:tcW w:w="3572" w:type="dxa"/>
          </w:tcPr>
          <w:p w14:paraId="733CBAFF" w14:textId="1B59F6A4"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Certification Requirements</w:t>
            </w:r>
            <w:r w:rsidRPr="00BD6C5F">
              <w:rPr>
                <w:rFonts w:asciiTheme="minorHAnsi" w:hAnsiTheme="minorHAnsi" w:cstheme="minorHAnsi"/>
                <w:b/>
              </w:rPr>
              <w:t>”</w:t>
            </w:r>
          </w:p>
        </w:tc>
        <w:tc>
          <w:tcPr>
            <w:tcW w:w="5953" w:type="dxa"/>
          </w:tcPr>
          <w:p w14:paraId="7BDEC983" w14:textId="7BA1E261" w:rsidR="00BC7DDA" w:rsidRPr="00BD6C5F" w:rsidRDefault="009B03E9" w:rsidP="00901268">
            <w:pPr>
              <w:pStyle w:val="Tabletext"/>
              <w:rPr>
                <w:rFonts w:asciiTheme="minorHAnsi" w:hAnsiTheme="minorHAnsi" w:cstheme="minorHAnsi"/>
              </w:rPr>
            </w:pPr>
            <w:r w:rsidRPr="00BD6C5F">
              <w:t>means</w:t>
            </w:r>
            <w:r w:rsidRPr="00BD6C5F">
              <w:rPr>
                <w:rFonts w:asciiTheme="minorHAnsi" w:hAnsiTheme="minorHAnsi" w:cstheme="minorHAnsi"/>
              </w:rPr>
              <w:t xml:space="preserve"> the information security requirements set out in Paragraph</w:t>
            </w:r>
            <w:r w:rsidR="00CA1F76" w:rsidRPr="00BD6C5F">
              <w:rPr>
                <w:rFonts w:asciiTheme="minorHAnsi" w:hAnsiTheme="minorHAnsi" w:cstheme="minorHAnsi"/>
              </w:rPr>
              <w:t> </w:t>
            </w:r>
            <w:r w:rsidR="008C50E5" w:rsidRPr="00BD6C5F">
              <w:rPr>
                <w:rFonts w:asciiTheme="minorHAnsi" w:hAnsiTheme="minorHAnsi" w:cstheme="minorHAnsi"/>
              </w:rPr>
              <w:fldChar w:fldCharType="begin"/>
            </w:r>
            <w:r w:rsidR="008C50E5" w:rsidRPr="00BD6C5F">
              <w:rPr>
                <w:rFonts w:asciiTheme="minorHAnsi" w:hAnsiTheme="minorHAnsi" w:cstheme="minorHAnsi"/>
              </w:rPr>
              <w:instrText xml:space="preserve"> REF _Ref98358341 \n \h </w:instrText>
            </w:r>
            <w:r w:rsidR="00AD7DD0" w:rsidRPr="00BD6C5F">
              <w:rPr>
                <w:rFonts w:asciiTheme="minorHAnsi" w:hAnsiTheme="minorHAnsi" w:cstheme="minorHAnsi"/>
              </w:rPr>
              <w:instrText xml:space="preserve"> \* MERGEFORMAT </w:instrText>
            </w:r>
            <w:r w:rsidR="008C50E5" w:rsidRPr="00BD6C5F">
              <w:rPr>
                <w:rFonts w:asciiTheme="minorHAnsi" w:hAnsiTheme="minorHAnsi" w:cstheme="minorHAnsi"/>
              </w:rPr>
            </w:r>
            <w:r w:rsidR="008C50E5" w:rsidRPr="00BD6C5F">
              <w:rPr>
                <w:rFonts w:asciiTheme="minorHAnsi" w:hAnsiTheme="minorHAnsi" w:cstheme="minorHAnsi"/>
              </w:rPr>
              <w:fldChar w:fldCharType="separate"/>
            </w:r>
            <w:r w:rsidR="009749A0">
              <w:rPr>
                <w:rFonts w:asciiTheme="minorHAnsi" w:hAnsiTheme="minorHAnsi" w:cstheme="minorHAnsi"/>
              </w:rPr>
              <w:t>6</w:t>
            </w:r>
            <w:r w:rsidR="008C50E5"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3C52C396" w14:textId="77777777" w:rsidTr="003A5D4B">
        <w:trPr>
          <w:trHeight w:val="20"/>
        </w:trPr>
        <w:tc>
          <w:tcPr>
            <w:tcW w:w="3572" w:type="dxa"/>
          </w:tcPr>
          <w:p w14:paraId="7DE9B1C5" w14:textId="040E3C83"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CHECK Service Provider</w:t>
            </w:r>
            <w:r w:rsidRPr="00BD6C5F">
              <w:rPr>
                <w:rFonts w:asciiTheme="minorHAnsi" w:hAnsiTheme="minorHAnsi" w:cstheme="minorHAnsi"/>
                <w:b/>
              </w:rPr>
              <w:t>”</w:t>
            </w:r>
          </w:p>
        </w:tc>
        <w:tc>
          <w:tcPr>
            <w:tcW w:w="5953" w:type="dxa"/>
          </w:tcPr>
          <w:p w14:paraId="0955D180" w14:textId="3CB9CB32" w:rsidR="00BC7DDA" w:rsidRPr="00BD6C5F" w:rsidRDefault="009B03E9" w:rsidP="00901268">
            <w:pPr>
              <w:pStyle w:val="Tabletext"/>
              <w:rPr>
                <w:rFonts w:asciiTheme="minorHAnsi" w:hAnsiTheme="minorHAnsi" w:cstheme="minorHAnsi"/>
              </w:rPr>
            </w:pPr>
            <w:r w:rsidRPr="00BD6C5F">
              <w:rPr>
                <w:rFonts w:asciiTheme="minorHAnsi" w:hAnsiTheme="minorHAnsi" w:cstheme="minorHAnsi"/>
              </w:rPr>
              <w:t xml:space="preserve">means a company which has been certified by the </w:t>
            </w:r>
            <w:r w:rsidRPr="00BD6C5F">
              <w:t>National</w:t>
            </w:r>
            <w:r w:rsidRPr="00BD6C5F">
              <w:rPr>
                <w:rFonts w:asciiTheme="minorHAnsi" w:hAnsiTheme="minorHAnsi" w:cstheme="minorHAnsi"/>
              </w:rPr>
              <w:t xml:space="preserve"> Cyber Security Centre, holds </w:t>
            </w:r>
            <w:r w:rsidR="00A4555C" w:rsidRPr="00BD6C5F">
              <w:rPr>
                <w:rFonts w:asciiTheme="minorHAnsi" w:hAnsiTheme="minorHAnsi" w:cstheme="minorHAnsi"/>
              </w:rPr>
              <w:t>“</w:t>
            </w:r>
            <w:r w:rsidRPr="00BD6C5F">
              <w:rPr>
                <w:rFonts w:asciiTheme="minorHAnsi" w:hAnsiTheme="minorHAnsi" w:cstheme="minorHAnsi"/>
              </w:rPr>
              <w:t>Green Light</w:t>
            </w:r>
            <w:r w:rsidR="00A4555C" w:rsidRPr="00BD6C5F">
              <w:rPr>
                <w:rFonts w:asciiTheme="minorHAnsi" w:hAnsiTheme="minorHAnsi" w:cstheme="minorHAnsi"/>
              </w:rPr>
              <w:t>”</w:t>
            </w:r>
            <w:r w:rsidRPr="00BD6C5F">
              <w:rPr>
                <w:rFonts w:asciiTheme="minorHAnsi" w:hAnsiTheme="minorHAnsi" w:cstheme="minorHAnsi"/>
              </w:rPr>
              <w:t xml:space="preserve"> status and is authorised to provide the IT Health Check services required by Paragraph</w:t>
            </w:r>
            <w:r w:rsidR="001E3DD6" w:rsidRPr="00BD6C5F">
              <w:rPr>
                <w:rFonts w:asciiTheme="minorHAnsi" w:hAnsiTheme="minorHAnsi" w:cstheme="minorHAnsi"/>
              </w:rPr>
              <w:t> </w:t>
            </w:r>
            <w:r w:rsidR="008C50E5" w:rsidRPr="00BD6C5F">
              <w:rPr>
                <w:rFonts w:asciiTheme="minorHAnsi" w:hAnsiTheme="minorHAnsi" w:cstheme="minorHAnsi"/>
              </w:rPr>
              <w:fldChar w:fldCharType="begin"/>
            </w:r>
            <w:r w:rsidR="008C50E5" w:rsidRPr="00BD6C5F">
              <w:rPr>
                <w:rFonts w:asciiTheme="minorHAnsi" w:hAnsiTheme="minorHAnsi" w:cstheme="minorHAnsi"/>
              </w:rPr>
              <w:instrText xml:space="preserve"> REF _Ref98358706 \n \h </w:instrText>
            </w:r>
            <w:r w:rsidR="00AD7DD0" w:rsidRPr="00BD6C5F">
              <w:rPr>
                <w:rFonts w:asciiTheme="minorHAnsi" w:hAnsiTheme="minorHAnsi" w:cstheme="minorHAnsi"/>
              </w:rPr>
              <w:instrText xml:space="preserve"> \* MERGEFORMAT </w:instrText>
            </w:r>
            <w:r w:rsidR="008C50E5" w:rsidRPr="00BD6C5F">
              <w:rPr>
                <w:rFonts w:asciiTheme="minorHAnsi" w:hAnsiTheme="minorHAnsi" w:cstheme="minorHAnsi"/>
              </w:rPr>
            </w:r>
            <w:r w:rsidR="008C50E5" w:rsidRPr="00BD6C5F">
              <w:rPr>
                <w:rFonts w:asciiTheme="minorHAnsi" w:hAnsiTheme="minorHAnsi" w:cstheme="minorHAnsi"/>
              </w:rPr>
              <w:fldChar w:fldCharType="separate"/>
            </w:r>
            <w:r w:rsidR="009749A0">
              <w:rPr>
                <w:rFonts w:asciiTheme="minorHAnsi" w:hAnsiTheme="minorHAnsi" w:cstheme="minorHAnsi"/>
              </w:rPr>
              <w:t>7.1</w:t>
            </w:r>
            <w:r w:rsidR="008C50E5"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103CF7AA" w14:textId="77777777" w:rsidTr="003A5D4B">
        <w:trPr>
          <w:trHeight w:val="20"/>
        </w:trPr>
        <w:tc>
          <w:tcPr>
            <w:tcW w:w="3572" w:type="dxa"/>
          </w:tcPr>
          <w:p w14:paraId="4E263226" w14:textId="049F974F"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CREST Service Provider</w:t>
            </w:r>
            <w:r w:rsidRPr="00BD6C5F">
              <w:rPr>
                <w:rFonts w:asciiTheme="minorHAnsi" w:hAnsiTheme="minorHAnsi" w:cstheme="minorHAnsi"/>
                <w:b/>
              </w:rPr>
              <w:t>”</w:t>
            </w:r>
          </w:p>
        </w:tc>
        <w:tc>
          <w:tcPr>
            <w:tcW w:w="5953" w:type="dxa"/>
          </w:tcPr>
          <w:p w14:paraId="2A5EC1C9" w14:textId="77777777" w:rsidR="00BC7DDA" w:rsidRPr="00BD6C5F" w:rsidRDefault="009B03E9" w:rsidP="00901268">
            <w:pPr>
              <w:pStyle w:val="Tabletext"/>
              <w:rPr>
                <w:rFonts w:asciiTheme="minorHAnsi" w:hAnsiTheme="minorHAnsi" w:cstheme="minorHAnsi"/>
              </w:rPr>
            </w:pPr>
            <w:r w:rsidRPr="00BD6C5F">
              <w:t>means</w:t>
            </w:r>
            <w:r w:rsidRPr="00BD6C5F">
              <w:rPr>
                <w:rFonts w:asciiTheme="minorHAnsi" w:hAnsiTheme="minorHAnsi" w:cstheme="minorHAnsi"/>
              </w:rPr>
              <w:t xml:space="preserve"> a company with a SOC Accreditation from CREST International;</w:t>
            </w:r>
          </w:p>
        </w:tc>
      </w:tr>
      <w:tr w:rsidR="00BC7DDA" w:rsidRPr="00BD6C5F" w14:paraId="0904A472" w14:textId="77777777" w:rsidTr="003A5D4B">
        <w:trPr>
          <w:trHeight w:val="20"/>
        </w:trPr>
        <w:tc>
          <w:tcPr>
            <w:tcW w:w="3572" w:type="dxa"/>
          </w:tcPr>
          <w:p w14:paraId="0DF5FEB7" w14:textId="7B9832AB" w:rsidR="00BC7DDA" w:rsidRPr="00BD6C5F" w:rsidRDefault="00A4555C" w:rsidP="00901268">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Higher Risk Sub-contractor</w:t>
            </w:r>
            <w:r w:rsidRPr="00BD6C5F">
              <w:rPr>
                <w:rFonts w:asciiTheme="minorHAnsi" w:hAnsiTheme="minorHAnsi" w:cstheme="minorHAnsi"/>
                <w:b/>
              </w:rPr>
              <w:t>”</w:t>
            </w:r>
          </w:p>
        </w:tc>
        <w:tc>
          <w:tcPr>
            <w:tcW w:w="5953" w:type="dxa"/>
          </w:tcPr>
          <w:p w14:paraId="313970AC" w14:textId="5A68BCEB" w:rsidR="00BC7DDA" w:rsidRPr="00BD6C5F" w:rsidRDefault="009B03E9" w:rsidP="00901268">
            <w:pPr>
              <w:pStyle w:val="Tabletext"/>
              <w:rPr>
                <w:rFonts w:asciiTheme="minorHAnsi" w:hAnsiTheme="minorHAnsi" w:cstheme="minorHAnsi"/>
                <w:highlight w:val="yellow"/>
              </w:rPr>
            </w:pPr>
            <w:r w:rsidRPr="00BD6C5F">
              <w:rPr>
                <w:rFonts w:asciiTheme="minorHAnsi" w:hAnsiTheme="minorHAnsi" w:cstheme="minorHAnsi"/>
              </w:rPr>
              <w:t xml:space="preserve">means a Sub-contractor that Processes </w:t>
            </w:r>
            <w:r w:rsidRPr="00BD6C5F">
              <w:t>Authority</w:t>
            </w:r>
            <w:r w:rsidRPr="00BD6C5F">
              <w:rPr>
                <w:rFonts w:asciiTheme="minorHAnsi" w:hAnsiTheme="minorHAnsi" w:cstheme="minorHAnsi"/>
              </w:rPr>
              <w:t xml:space="preserve"> Data</w:t>
            </w:r>
            <w:r w:rsidR="00901268" w:rsidRPr="00BD6C5F">
              <w:rPr>
                <w:rFonts w:asciiTheme="minorHAnsi" w:hAnsiTheme="minorHAnsi" w:cstheme="minorHAnsi"/>
                <w:highlight w:val="yellow"/>
              </w:rPr>
              <w:t xml:space="preserve">[, where that data includes either: </w:t>
            </w:r>
          </w:p>
          <w:p w14:paraId="6A8C9A0E" w14:textId="6E449387" w:rsidR="003A5D4B" w:rsidRDefault="009B03E9" w:rsidP="003A5D4B">
            <w:pPr>
              <w:pStyle w:val="Tablea"/>
              <w:rPr>
                <w:highlight w:val="yellow"/>
              </w:rPr>
            </w:pPr>
            <w:r w:rsidRPr="003A5D4B">
              <w:rPr>
                <w:highlight w:val="yellow"/>
              </w:rPr>
              <w:t xml:space="preserve">the Personal Data of 1000 or </w:t>
            </w:r>
            <w:r w:rsidR="00901268" w:rsidRPr="003A5D4B">
              <w:rPr>
                <w:highlight w:val="yellow"/>
              </w:rPr>
              <w:t>more individuals in aggregate during the period between the first Operational Service Commencement Date and the date on which this Contract terminates in accordance with Clause 4.1</w:t>
            </w:r>
            <w:r w:rsidR="006509FE">
              <w:rPr>
                <w:highlight w:val="yellow"/>
              </w:rPr>
              <w:t>.2</w:t>
            </w:r>
            <w:r w:rsidR="00901268" w:rsidRPr="003A5D4B">
              <w:rPr>
                <w:highlight w:val="yellow"/>
              </w:rPr>
              <w:t>; or</w:t>
            </w:r>
          </w:p>
          <w:p w14:paraId="38DC0FB2" w14:textId="47C84F07" w:rsidR="00194876" w:rsidRPr="003A5D4B" w:rsidRDefault="00194876" w:rsidP="003A5D4B">
            <w:pPr>
              <w:pStyle w:val="Tablea"/>
              <w:rPr>
                <w:highlight w:val="yellow"/>
              </w:rPr>
            </w:pPr>
            <w:r w:rsidRPr="003A5D4B">
              <w:rPr>
                <w:highlight w:val="yellow"/>
              </w:rPr>
              <w:t>any part of that data includes any of the following:</w:t>
            </w:r>
          </w:p>
          <w:p w14:paraId="72445023" w14:textId="77777777" w:rsidR="00194876" w:rsidRPr="00BD6C5F" w:rsidRDefault="00194876" w:rsidP="003A5D4B">
            <w:pPr>
              <w:pStyle w:val="Tableai"/>
              <w:rPr>
                <w:highlight w:val="yellow"/>
              </w:rPr>
            </w:pPr>
            <w:r w:rsidRPr="00BD6C5F">
              <w:rPr>
                <w:highlight w:val="yellow"/>
              </w:rPr>
              <w:t>financial information (including any tax and/or welfare information) relating to any person;</w:t>
            </w:r>
          </w:p>
          <w:p w14:paraId="41C34314" w14:textId="77777777" w:rsidR="00194876" w:rsidRPr="00BD6C5F" w:rsidRDefault="00194876" w:rsidP="003A5D4B">
            <w:pPr>
              <w:pStyle w:val="Tableai"/>
              <w:rPr>
                <w:highlight w:val="yellow"/>
              </w:rPr>
            </w:pPr>
            <w:r w:rsidRPr="00BD6C5F">
              <w:rPr>
                <w:highlight w:val="yellow"/>
              </w:rPr>
              <w:t>any information relating to actual or alleged criminal offences (including criminal records);</w:t>
            </w:r>
          </w:p>
          <w:p w14:paraId="7AF1338C" w14:textId="77777777" w:rsidR="00194876" w:rsidRPr="00BD6C5F" w:rsidRDefault="00194876" w:rsidP="003A5D4B">
            <w:pPr>
              <w:pStyle w:val="Tableai"/>
              <w:rPr>
                <w:highlight w:val="yellow"/>
              </w:rPr>
            </w:pPr>
            <w:r w:rsidRPr="00BD6C5F">
              <w:rPr>
                <w:highlight w:val="yellow"/>
              </w:rPr>
              <w:t xml:space="preserve">any information relating to children </w:t>
            </w:r>
            <w:r w:rsidRPr="00BD6C5F">
              <w:rPr>
                <w:highlight w:val="yellow"/>
              </w:rPr>
              <w:lastRenderedPageBreak/>
              <w:t>and/or vulnerable persons;</w:t>
            </w:r>
          </w:p>
          <w:p w14:paraId="12538789" w14:textId="77777777" w:rsidR="00194876" w:rsidRPr="00BD6C5F" w:rsidRDefault="00194876" w:rsidP="003A5D4B">
            <w:pPr>
              <w:pStyle w:val="Tableai"/>
              <w:rPr>
                <w:highlight w:val="yellow"/>
              </w:rPr>
            </w:pPr>
            <w:r w:rsidRPr="00BD6C5F">
              <w:rPr>
                <w:highlight w:val="yellow"/>
              </w:rPr>
              <w:t>any information relating to social care;</w:t>
            </w:r>
          </w:p>
          <w:p w14:paraId="2983480C" w14:textId="0BAE3571" w:rsidR="00194876" w:rsidRPr="00BD6C5F" w:rsidRDefault="00194876" w:rsidP="003A5D4B">
            <w:pPr>
              <w:pStyle w:val="Tableai"/>
              <w:rPr>
                <w:highlight w:val="yellow"/>
              </w:rPr>
            </w:pPr>
            <w:r w:rsidRPr="00BD6C5F">
              <w:rPr>
                <w:highlight w:val="yellow"/>
              </w:rPr>
              <w:t>any information relating to a person</w:t>
            </w:r>
            <w:r w:rsidR="00A4555C" w:rsidRPr="00BD6C5F">
              <w:rPr>
                <w:highlight w:val="yellow"/>
              </w:rPr>
              <w:t>’</w:t>
            </w:r>
            <w:r w:rsidRPr="00BD6C5F">
              <w:rPr>
                <w:highlight w:val="yellow"/>
              </w:rPr>
              <w:t>s current or past employment; or</w:t>
            </w:r>
          </w:p>
          <w:p w14:paraId="2C6FAD75" w14:textId="77777777" w:rsidR="00194876" w:rsidRPr="00BD6C5F" w:rsidRDefault="00194876" w:rsidP="003A5D4B">
            <w:pPr>
              <w:pStyle w:val="Tableai"/>
              <w:rPr>
                <w:highlight w:val="yellow"/>
              </w:rPr>
            </w:pPr>
            <w:r w:rsidRPr="00BD6C5F">
              <w:rPr>
                <w:highlight w:val="yellow"/>
              </w:rPr>
              <w:t>Special Category Personal Data; or</w:t>
            </w:r>
          </w:p>
          <w:p w14:paraId="61F13B79" w14:textId="1E064BD6" w:rsidR="00194876" w:rsidRPr="00BD6C5F" w:rsidRDefault="00194876" w:rsidP="003A5D4B">
            <w:pPr>
              <w:pStyle w:val="Tablea"/>
              <w:rPr>
                <w:highlight w:val="yellow"/>
              </w:rPr>
            </w:pPr>
            <w:r w:rsidRPr="00BD6C5F">
              <w:rPr>
                <w:highlight w:val="yellow"/>
              </w:rPr>
              <w:t>the Authority in its discretion, designates a Sub-</w:t>
            </w:r>
            <w:r w:rsidR="00901268" w:rsidRPr="00BD6C5F">
              <w:rPr>
                <w:highlight w:val="yellow"/>
              </w:rPr>
              <w:t>contractor</w:t>
            </w:r>
            <w:r w:rsidRPr="00BD6C5F">
              <w:rPr>
                <w:highlight w:val="yellow"/>
              </w:rPr>
              <w:t xml:space="preserve"> as a Higher Risk Sub-Contractor in any procurement document related to this Contract; or</w:t>
            </w:r>
          </w:p>
          <w:p w14:paraId="27E4B7F0" w14:textId="55959F63" w:rsidR="00194876" w:rsidRPr="00BD6C5F" w:rsidRDefault="00194876" w:rsidP="003A5D4B">
            <w:pPr>
              <w:pStyle w:val="Tablea"/>
              <w:rPr>
                <w:highlight w:val="yellow"/>
              </w:rPr>
            </w:pPr>
            <w:r w:rsidRPr="00BD6C5F">
              <w:rPr>
                <w:highlight w:val="yellow"/>
              </w:rPr>
              <w:t>the Authority considers in its discretion, that any actual or</w:t>
            </w:r>
            <w:r w:rsidR="00901268" w:rsidRPr="00BD6C5F">
              <w:rPr>
                <w:highlight w:val="yellow"/>
              </w:rPr>
              <w:t xml:space="preserve"> potential</w:t>
            </w:r>
            <w:r w:rsidRPr="00BD6C5F">
              <w:rPr>
                <w:highlight w:val="yellow"/>
              </w:rPr>
              <w:t xml:space="preserve"> Processing carried out by the Sub-contractor is high risk</w:t>
            </w:r>
          </w:p>
          <w:p w14:paraId="4D2E6C7C" w14:textId="472295FB" w:rsidR="00BC7DDA" w:rsidRPr="00BD6C5F" w:rsidRDefault="00901268" w:rsidP="00901268">
            <w:pPr>
              <w:pStyle w:val="Tabletext"/>
              <w:rPr>
                <w:b/>
                <w:bCs/>
              </w:rPr>
            </w:pPr>
            <w:r w:rsidRPr="00BD6C5F">
              <w:rPr>
                <w:highlight w:val="yellow"/>
              </w:rPr>
              <w:t>[</w:t>
            </w:r>
            <w:r w:rsidRPr="0077211A">
              <w:rPr>
                <w:b/>
                <w:bCs/>
                <w:i/>
                <w:iCs/>
                <w:highlight w:val="yellow"/>
              </w:rPr>
              <w:t>Guidance: This definition is provided as an example only and should be modified to take into account the circumstances of the individual Contract.</w:t>
            </w:r>
            <w:r w:rsidRPr="00BD6C5F">
              <w:rPr>
                <w:highlight w:val="yellow"/>
              </w:rPr>
              <w:t>]</w:t>
            </w:r>
          </w:p>
        </w:tc>
      </w:tr>
    </w:tbl>
    <w:tbl>
      <w:tblPr>
        <w:tblStyle w:val="TableGrid"/>
        <w:tblW w:w="952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1E0" w:firstRow="1" w:lastRow="1" w:firstColumn="1" w:lastColumn="1" w:noHBand="0" w:noVBand="0"/>
      </w:tblPr>
      <w:tblGrid>
        <w:gridCol w:w="3570"/>
        <w:gridCol w:w="5953"/>
      </w:tblGrid>
      <w:tr w:rsidR="00D51E92" w:rsidRPr="00BD6C5F" w14:paraId="6AD5B6D8" w14:textId="77777777" w:rsidTr="004C50F4">
        <w:trPr>
          <w:trHeight w:val="20"/>
        </w:trPr>
        <w:tc>
          <w:tcPr>
            <w:tcW w:w="3570" w:type="dxa"/>
          </w:tcPr>
          <w:p w14:paraId="5E4FA6AC"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lastRenderedPageBreak/>
              <w:t>“Cyber Essentials”</w:t>
            </w:r>
          </w:p>
        </w:tc>
        <w:tc>
          <w:tcPr>
            <w:tcW w:w="5953" w:type="dxa"/>
          </w:tcPr>
          <w:p w14:paraId="30BA016E"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means the Cyber Essentials certificate issued under the Cyber Essentials Scheme;</w:t>
            </w:r>
          </w:p>
        </w:tc>
      </w:tr>
      <w:tr w:rsidR="00D51E92" w:rsidRPr="00BD6C5F" w14:paraId="0D19CC8F" w14:textId="77777777" w:rsidTr="004C50F4">
        <w:trPr>
          <w:trHeight w:val="20"/>
        </w:trPr>
        <w:tc>
          <w:tcPr>
            <w:tcW w:w="3570" w:type="dxa"/>
          </w:tcPr>
          <w:p w14:paraId="23D46D2A"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“Cyber Essentials Plus”</w:t>
            </w:r>
          </w:p>
        </w:tc>
        <w:tc>
          <w:tcPr>
            <w:tcW w:w="5953" w:type="dxa"/>
          </w:tcPr>
          <w:p w14:paraId="276C9EEE"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the Cyber Essentials Plus certificate issued </w:t>
            </w:r>
            <w:r w:rsidRPr="00BD6C5F">
              <w:t>under</w:t>
            </w:r>
            <w:r w:rsidRPr="00BD6C5F">
              <w:rPr>
                <w:rFonts w:asciiTheme="minorHAnsi" w:hAnsiTheme="minorHAnsi" w:cstheme="minorHAnsi"/>
              </w:rPr>
              <w:t xml:space="preserve"> the Cyber Essentials Scheme;</w:t>
            </w:r>
          </w:p>
        </w:tc>
      </w:tr>
      <w:tr w:rsidR="00D51E92" w:rsidRPr="00BD6C5F" w14:paraId="72D9969A" w14:textId="77777777" w:rsidTr="004C50F4">
        <w:trPr>
          <w:trHeight w:val="20"/>
        </w:trPr>
        <w:tc>
          <w:tcPr>
            <w:tcW w:w="3570" w:type="dxa"/>
          </w:tcPr>
          <w:p w14:paraId="31C930FD"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“Cyber Essentials Scheme”</w:t>
            </w:r>
          </w:p>
        </w:tc>
        <w:tc>
          <w:tcPr>
            <w:tcW w:w="5953" w:type="dxa"/>
          </w:tcPr>
          <w:p w14:paraId="0E6925BE"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w:t>
            </w:r>
            <w:r w:rsidRPr="00BD6C5F">
              <w:t>the</w:t>
            </w:r>
            <w:r w:rsidRPr="00BD6C5F">
              <w:rPr>
                <w:rFonts w:asciiTheme="minorHAnsi" w:hAnsiTheme="minorHAnsi" w:cstheme="minorHAnsi"/>
              </w:rPr>
              <w:t xml:space="preserve"> Cyber Essentials scheme operated by the National Cyber Security Centre;</w:t>
            </w:r>
          </w:p>
        </w:tc>
      </w:tr>
      <w:tr w:rsidR="00D51E92" w:rsidRPr="00BD6C5F" w14:paraId="38923C30" w14:textId="77777777" w:rsidTr="004C50F4">
        <w:trPr>
          <w:trHeight w:val="20"/>
        </w:trPr>
        <w:tc>
          <w:tcPr>
            <w:tcW w:w="3570" w:type="dxa"/>
          </w:tcPr>
          <w:p w14:paraId="20739512"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“Incident Management Process”</w:t>
            </w:r>
          </w:p>
        </w:tc>
        <w:tc>
          <w:tcPr>
            <w:tcW w:w="5953" w:type="dxa"/>
          </w:tcPr>
          <w:p w14:paraId="0D2AA896" w14:textId="187CF91A"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w:t>
            </w:r>
            <w:r w:rsidRPr="00BD6C5F">
              <w:t>the</w:t>
            </w:r>
            <w:r w:rsidRPr="00BD6C5F">
              <w:rPr>
                <w:rFonts w:asciiTheme="minorHAnsi" w:hAnsiTheme="minorHAnsi" w:cstheme="minorHAnsi"/>
              </w:rPr>
              <w:t xml:space="preserve"> process which the Supplier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by the Supplier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_Ref98358736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using the template set out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Schedule_5_Part_A_Annex_3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3</w:t>
            </w:r>
            <w:r w:rsidR="00C101F7">
              <w:rPr>
                <w:rFonts w:asciiTheme="minorHAnsi" w:hAnsiTheme="minorHAnsi" w:cstheme="minorHAnsi"/>
              </w:rPr>
              <w:fldChar w:fldCharType="end"/>
            </w:r>
            <w:r w:rsidR="00C101F7">
              <w:rPr>
                <w:rFonts w:asciiTheme="minorHAnsi" w:hAnsiTheme="minorHAnsi" w:cstheme="minorHAnsi"/>
              </w:rPr>
              <w:t xml:space="preserve"> of 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A</w:t>
            </w:r>
            <w:r w:rsidR="00C101F7">
              <w:rPr>
                <w:rFonts w:asciiTheme="minorHAnsi" w:hAnsiTheme="minorHAnsi" w:cstheme="minorHAnsi"/>
              </w:rPr>
              <w:fldChar w:fldCharType="end"/>
            </w:r>
            <w:r w:rsidRPr="00BD6C5F">
              <w:rPr>
                <w:rFonts w:asciiTheme="minorHAnsi" w:hAnsiTheme="minorHAnsi" w:cstheme="minorHAnsi"/>
              </w:rPr>
              <w:t>;</w:t>
            </w:r>
          </w:p>
        </w:tc>
      </w:tr>
      <w:tr w:rsidR="00D51E92" w:rsidRPr="00BD6C5F" w14:paraId="58580A46" w14:textId="77777777" w:rsidTr="004C50F4">
        <w:trPr>
          <w:trHeight w:val="20"/>
        </w:trPr>
        <w:tc>
          <w:tcPr>
            <w:tcW w:w="3570" w:type="dxa"/>
          </w:tcPr>
          <w:p w14:paraId="5D1BD208"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“Information Assurance Assessment”</w:t>
            </w:r>
          </w:p>
        </w:tc>
        <w:tc>
          <w:tcPr>
            <w:tcW w:w="5953" w:type="dxa"/>
          </w:tcPr>
          <w:p w14:paraId="0F555985" w14:textId="5DEF7E53"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the set of policies, procedures, systems and processes which the Supplier shall implement, maintain and update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_Ref98358736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 xml:space="preserve"> in order to manage, mitigate and, where possible, avoid information security risks including cyber-attacks, hacks, data leaks, Personal Data Breaches and/or theft and which shall be </w:t>
            </w:r>
            <w:r w:rsidRPr="00BD6C5F">
              <w:t>prepared</w:t>
            </w:r>
            <w:r w:rsidRPr="00BD6C5F">
              <w:rPr>
                <w:rFonts w:asciiTheme="minorHAnsi" w:hAnsiTheme="minorHAnsi" w:cstheme="minorHAnsi"/>
              </w:rPr>
              <w:t xml:space="preserve"> by the Supplier using the template set out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Schedule_5_Part_A_Annex_3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3</w:t>
            </w:r>
            <w:r w:rsidR="00C101F7">
              <w:rPr>
                <w:rFonts w:asciiTheme="minorHAnsi" w:hAnsiTheme="minorHAnsi" w:cstheme="minorHAnsi"/>
              </w:rPr>
              <w:fldChar w:fldCharType="end"/>
            </w:r>
            <w:r w:rsidR="00C101F7">
              <w:rPr>
                <w:rFonts w:asciiTheme="minorHAnsi" w:hAnsiTheme="minorHAnsi" w:cstheme="minorHAnsi"/>
              </w:rPr>
              <w:t xml:space="preserve"> of 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A</w:t>
            </w:r>
            <w:r w:rsidR="00C101F7">
              <w:rPr>
                <w:rFonts w:asciiTheme="minorHAnsi" w:hAnsiTheme="minorHAnsi" w:cstheme="minorHAnsi"/>
              </w:rPr>
              <w:fldChar w:fldCharType="end"/>
            </w:r>
            <w:r w:rsidRPr="00BD6C5F">
              <w:rPr>
                <w:rFonts w:asciiTheme="minorHAnsi" w:hAnsiTheme="minorHAnsi" w:cstheme="minorHAnsi"/>
              </w:rPr>
              <w:t>;</w:t>
            </w:r>
          </w:p>
        </w:tc>
      </w:tr>
      <w:tr w:rsidR="00D51E92" w:rsidRPr="00BD6C5F" w14:paraId="10DE769E" w14:textId="77777777" w:rsidTr="004C50F4">
        <w:trPr>
          <w:trHeight w:val="20"/>
        </w:trPr>
        <w:tc>
          <w:tcPr>
            <w:tcW w:w="3570" w:type="dxa"/>
          </w:tcPr>
          <w:p w14:paraId="448EF9CB"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“Information Management System”</w:t>
            </w:r>
          </w:p>
        </w:tc>
        <w:tc>
          <w:tcPr>
            <w:tcW w:w="5953" w:type="dxa"/>
          </w:tcPr>
          <w:p w14:paraId="3C11BCD5"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means</w:t>
            </w:r>
          </w:p>
          <w:p w14:paraId="0F861A4A" w14:textId="77777777" w:rsidR="00D51E92" w:rsidRPr="00BD6C5F" w:rsidRDefault="00D51E92" w:rsidP="003A5D4B">
            <w:pPr>
              <w:pStyle w:val="Tablea"/>
            </w:pPr>
            <w:r w:rsidRPr="00BD6C5F">
              <w:lastRenderedPageBreak/>
              <w:t>those parts of the Supplier System, and those of the Sites, that the Supplier or its Sub-contractors will use to provide the parts of the Services that require Processing Authority Data; and</w:t>
            </w:r>
          </w:p>
          <w:p w14:paraId="26AB335E" w14:textId="77777777" w:rsidR="00D51E92" w:rsidRPr="00BD6C5F" w:rsidRDefault="00D51E92" w:rsidP="003A5D4B">
            <w:pPr>
              <w:pStyle w:val="Tablea"/>
            </w:pPr>
            <w:r w:rsidRPr="00BD6C5F">
              <w:t>the associated information assets and systems (including organisational structure, controls, policies, practices, procedures, processes and resources);</w:t>
            </w:r>
          </w:p>
        </w:tc>
      </w:tr>
      <w:tr w:rsidR="00D51E92" w:rsidRPr="00BD6C5F" w14:paraId="1843762F" w14:textId="77777777" w:rsidTr="004C50F4">
        <w:trPr>
          <w:trHeight w:val="20"/>
        </w:trPr>
        <w:tc>
          <w:tcPr>
            <w:tcW w:w="3570" w:type="dxa"/>
          </w:tcPr>
          <w:p w14:paraId="41793A3B"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lastRenderedPageBreak/>
              <w:t>“Information Security Approval Statement”</w:t>
            </w:r>
          </w:p>
        </w:tc>
        <w:tc>
          <w:tcPr>
            <w:tcW w:w="5953" w:type="dxa"/>
          </w:tcPr>
          <w:p w14:paraId="62BBB110"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a notice issued by the Authority which sets out the information risks which the Supplier </w:t>
            </w:r>
            <w:r w:rsidRPr="00BD6C5F">
              <w:t>has</w:t>
            </w:r>
            <w:r w:rsidRPr="00BD6C5F">
              <w:rPr>
                <w:rFonts w:asciiTheme="minorHAnsi" w:hAnsiTheme="minorHAnsi" w:cstheme="minorHAnsi"/>
              </w:rPr>
              <w:t xml:space="preserve"> identified as being associated with using the Information Management System and confirms that:</w:t>
            </w:r>
          </w:p>
          <w:p w14:paraId="5584A587" w14:textId="77777777" w:rsidR="00D51E92" w:rsidRPr="00BD6C5F" w:rsidRDefault="00D51E92" w:rsidP="003A5D4B">
            <w:pPr>
              <w:pStyle w:val="Tablea"/>
            </w:pPr>
            <w:r w:rsidRPr="00BD6C5F">
              <w:t>the Authority is satisfied that the identified risks have been adequately and appropriately addressed;</w:t>
            </w:r>
          </w:p>
          <w:p w14:paraId="5CCF0967" w14:textId="77777777" w:rsidR="00D51E92" w:rsidRPr="00BD6C5F" w:rsidRDefault="00D51E92" w:rsidP="003A5D4B">
            <w:pPr>
              <w:pStyle w:val="Tablea"/>
            </w:pPr>
            <w:r w:rsidRPr="00BD6C5F">
              <w:t>the Authority has accepted the residual risks; and</w:t>
            </w:r>
          </w:p>
          <w:p w14:paraId="0DA89AB3" w14:textId="77777777" w:rsidR="00D51E92" w:rsidRPr="00BD6C5F" w:rsidRDefault="00D51E92" w:rsidP="003A5D4B">
            <w:pPr>
              <w:pStyle w:val="Tablea"/>
            </w:pPr>
            <w:r w:rsidRPr="00BD6C5F">
              <w:t>the Supplier may use the Information Management System to Process Authority Data;</w:t>
            </w:r>
          </w:p>
        </w:tc>
      </w:tr>
      <w:tr w:rsidR="00D51E92" w:rsidRPr="00BD6C5F" w14:paraId="7DB8A7FB" w14:textId="77777777" w:rsidTr="004C50F4">
        <w:trPr>
          <w:trHeight w:val="20"/>
        </w:trPr>
        <w:tc>
          <w:tcPr>
            <w:tcW w:w="3570" w:type="dxa"/>
          </w:tcPr>
          <w:p w14:paraId="6F19A28B"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“IT Health Check”</w:t>
            </w:r>
          </w:p>
        </w:tc>
        <w:tc>
          <w:tcPr>
            <w:tcW w:w="5953" w:type="dxa"/>
          </w:tcPr>
          <w:p w14:paraId="457D948C" w14:textId="4A842FB3"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_Ref98358706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7.1</w:t>
            </w:r>
            <w:r w:rsidRPr="00BD6C5F">
              <w:rPr>
                <w:rFonts w:asciiTheme="minorHAnsi" w:hAnsiTheme="minorHAnsi" w:cstheme="minorHAnsi"/>
              </w:rPr>
              <w:fldChar w:fldCharType="end"/>
            </w:r>
            <w:r w:rsidRPr="00BD6C5F">
              <w:rPr>
                <w:rFonts w:asciiTheme="minorHAnsi" w:hAnsiTheme="minorHAnsi" w:cstheme="minorHAnsi"/>
              </w:rPr>
              <w:t>;</w:t>
            </w:r>
          </w:p>
        </w:tc>
      </w:tr>
      <w:tr w:rsidR="00D51E92" w:rsidRPr="00BD6C5F" w14:paraId="4624B80A" w14:textId="77777777" w:rsidTr="004C50F4">
        <w:trPr>
          <w:trHeight w:val="20"/>
        </w:trPr>
        <w:tc>
          <w:tcPr>
            <w:tcW w:w="3570" w:type="dxa"/>
          </w:tcPr>
          <w:p w14:paraId="30114251" w14:textId="5A7E1C74"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“Medium Risk Sub-contractor”</w:t>
            </w:r>
          </w:p>
        </w:tc>
        <w:tc>
          <w:tcPr>
            <w:tcW w:w="5953" w:type="dxa"/>
          </w:tcPr>
          <w:p w14:paraId="2129FA44"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highlight w:val="yellow"/>
              </w:rPr>
              <w:t>means a Sub-contractor that Processes Authority Data, [where that data</w:t>
            </w:r>
            <w:r w:rsidRPr="00BD6C5F">
              <w:rPr>
                <w:rFonts w:asciiTheme="minorHAnsi" w:hAnsiTheme="minorHAnsi" w:cstheme="minorHAnsi"/>
              </w:rPr>
              <w:t xml:space="preserve"> </w:t>
            </w:r>
          </w:p>
          <w:p w14:paraId="6272B833" w14:textId="23C24C83" w:rsidR="00D51E92" w:rsidRPr="00BD6C5F" w:rsidRDefault="00D51E92" w:rsidP="003A5D4B">
            <w:pPr>
              <w:pStyle w:val="Tablea"/>
            </w:pPr>
            <w:r w:rsidRPr="00BD6C5F">
              <w:rPr>
                <w:highlight w:val="yellow"/>
              </w:rPr>
              <w:t>includes the Personal Data of between 100</w:t>
            </w:r>
            <w:r w:rsidRPr="00BD6C5F">
              <w:rPr>
                <w:highlight w:val="yellow"/>
                <w:shd w:val="clear" w:color="auto" w:fill="FFFF00"/>
              </w:rPr>
              <w:t xml:space="preserve"> a</w:t>
            </w:r>
            <w:r w:rsidRPr="00BD6C5F">
              <w:rPr>
                <w:shd w:val="clear" w:color="auto" w:fill="FFFF00"/>
              </w:rPr>
              <w:t>nd 999 individuals (inclusive) in the period between the first Operational Service Commencement Date and the date on which this Contract terminates in accordance with Clause 4.1</w:t>
            </w:r>
            <w:r w:rsidR="006509FE">
              <w:rPr>
                <w:shd w:val="clear" w:color="auto" w:fill="FFFF00"/>
              </w:rPr>
              <w:t>.2</w:t>
            </w:r>
            <w:r w:rsidRPr="00BD6C5F">
              <w:rPr>
                <w:shd w:val="clear" w:color="auto" w:fill="FFFF00"/>
              </w:rPr>
              <w:t>; and</w:t>
            </w:r>
          </w:p>
          <w:p w14:paraId="165B981F" w14:textId="77777777" w:rsidR="00D51E92" w:rsidRPr="00BD6C5F" w:rsidRDefault="00D51E92" w:rsidP="003A5D4B">
            <w:pPr>
              <w:pStyle w:val="Tablea"/>
            </w:pPr>
            <w:r w:rsidRPr="00BD6C5F">
              <w:rPr>
                <w:shd w:val="clear" w:color="auto" w:fill="FFFF00"/>
              </w:rPr>
              <w:t>does not include Special Category Personal Data</w:t>
            </w:r>
            <w:r w:rsidRPr="00BD6C5F">
              <w:t>];</w:t>
            </w:r>
          </w:p>
          <w:p w14:paraId="52E78B44" w14:textId="6334425F" w:rsidR="00D51E92" w:rsidRPr="00BD6C5F" w:rsidRDefault="00D51E92" w:rsidP="003A5D4B">
            <w:pPr>
              <w:pStyle w:val="Tablea"/>
              <w:rPr>
                <w:shd w:val="clear" w:color="auto" w:fill="FFFF00"/>
              </w:rPr>
            </w:pPr>
            <w:r w:rsidRPr="00BD6C5F">
              <w:rPr>
                <w:shd w:val="clear" w:color="auto" w:fill="FFFF00"/>
              </w:rPr>
              <w:t>includes the Personal Data of between 100 and 999 individuals (inclusive) in the period between the first Operational Service Commencement Date and the date on which this Contract terminates in accordance with Clause 4.1</w:t>
            </w:r>
            <w:r w:rsidR="006509FE">
              <w:rPr>
                <w:shd w:val="clear" w:color="auto" w:fill="FFFF00"/>
              </w:rPr>
              <w:t>.2</w:t>
            </w:r>
            <w:r w:rsidRPr="00BD6C5F">
              <w:rPr>
                <w:shd w:val="clear" w:color="auto" w:fill="FFFF00"/>
              </w:rPr>
              <w:t>; and</w:t>
            </w:r>
          </w:p>
          <w:p w14:paraId="17D69DC7" w14:textId="77777777" w:rsidR="00D51E92" w:rsidRPr="00BD6C5F" w:rsidRDefault="00D51E92" w:rsidP="003A5D4B">
            <w:pPr>
              <w:pStyle w:val="Tablea"/>
            </w:pPr>
            <w:r w:rsidRPr="00BD6C5F">
              <w:rPr>
                <w:shd w:val="clear" w:color="auto" w:fill="FFFF00"/>
              </w:rPr>
              <w:t>does not include Special Category Personal Data</w:t>
            </w:r>
            <w:r w:rsidRPr="00BD6C5F">
              <w:t>];</w:t>
            </w:r>
          </w:p>
          <w:p w14:paraId="661170E4" w14:textId="1F6F8841" w:rsidR="00D51E92" w:rsidRPr="00BD6C5F" w:rsidRDefault="00D51E92" w:rsidP="00D51E92">
            <w:pPr>
              <w:pStyle w:val="Tabletext"/>
              <w:rPr>
                <w:b/>
                <w:bCs/>
              </w:rPr>
            </w:pPr>
            <w:r w:rsidRPr="00BD6C5F">
              <w:rPr>
                <w:highlight w:val="yellow"/>
                <w:shd w:val="clear" w:color="auto" w:fill="FFFF00"/>
              </w:rPr>
              <w:t>[</w:t>
            </w:r>
            <w:r w:rsidRPr="0077211A">
              <w:rPr>
                <w:b/>
                <w:bCs/>
                <w:i/>
                <w:iCs/>
                <w:highlight w:val="yellow"/>
                <w:shd w:val="clear" w:color="auto" w:fill="FFFF00"/>
              </w:rPr>
              <w:t>Guidance: This definition is provided as an</w:t>
            </w:r>
            <w:r w:rsidRPr="0077211A">
              <w:rPr>
                <w:b/>
                <w:bCs/>
                <w:i/>
                <w:iCs/>
                <w:highlight w:val="yellow"/>
              </w:rPr>
              <w:t xml:space="preserve"> </w:t>
            </w:r>
            <w:r w:rsidRPr="0077211A">
              <w:rPr>
                <w:b/>
                <w:bCs/>
                <w:i/>
                <w:iCs/>
                <w:highlight w:val="yellow"/>
                <w:shd w:val="clear" w:color="auto" w:fill="FFFF00"/>
              </w:rPr>
              <w:t>example only and should be modified to take into</w:t>
            </w:r>
            <w:r w:rsidRPr="0077211A">
              <w:rPr>
                <w:b/>
                <w:bCs/>
                <w:i/>
                <w:iCs/>
                <w:highlight w:val="yellow"/>
              </w:rPr>
              <w:t xml:space="preserve"> </w:t>
            </w:r>
            <w:r w:rsidRPr="0077211A">
              <w:rPr>
                <w:b/>
                <w:bCs/>
                <w:i/>
                <w:iCs/>
                <w:highlight w:val="yellow"/>
                <w:shd w:val="clear" w:color="auto" w:fill="FFFF00"/>
              </w:rPr>
              <w:lastRenderedPageBreak/>
              <w:t xml:space="preserve">account the circumstances of the individual </w:t>
            </w:r>
            <w:r w:rsidRPr="0077211A">
              <w:rPr>
                <w:b/>
                <w:bCs/>
                <w:i/>
                <w:iCs/>
                <w:highlight w:val="yellow"/>
              </w:rPr>
              <w:t>Contract</w:t>
            </w:r>
            <w:r w:rsidRPr="0077211A">
              <w:rPr>
                <w:b/>
                <w:bCs/>
                <w:i/>
                <w:iCs/>
                <w:highlight w:val="yellow"/>
                <w:shd w:val="clear" w:color="auto" w:fill="FFFF00"/>
              </w:rPr>
              <w:t>.</w:t>
            </w:r>
            <w:r w:rsidRPr="00BD6C5F">
              <w:rPr>
                <w:highlight w:val="yellow"/>
                <w:shd w:val="clear" w:color="auto" w:fill="FFFF00"/>
              </w:rPr>
              <w:t>]</w:t>
            </w:r>
          </w:p>
        </w:tc>
      </w:tr>
      <w:tr w:rsidR="00D51E92" w:rsidRPr="00BD6C5F" w14:paraId="61120A7E" w14:textId="77777777" w:rsidTr="004C50F4">
        <w:trPr>
          <w:trHeight w:val="20"/>
        </w:trPr>
        <w:tc>
          <w:tcPr>
            <w:tcW w:w="3570" w:type="dxa"/>
          </w:tcPr>
          <w:p w14:paraId="5FBE5B3F"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lastRenderedPageBreak/>
              <w:t>“Process”</w:t>
            </w:r>
          </w:p>
        </w:tc>
        <w:tc>
          <w:tcPr>
            <w:tcW w:w="5953" w:type="dxa"/>
          </w:tcPr>
          <w:p w14:paraId="24BF7C58" w14:textId="77777777"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means any operation which is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p>
        </w:tc>
      </w:tr>
      <w:tr w:rsidR="00D51E92" w:rsidRPr="00BD6C5F" w14:paraId="182B1207" w14:textId="77777777" w:rsidTr="004C50F4">
        <w:trPr>
          <w:trHeight w:val="20"/>
        </w:trPr>
        <w:tc>
          <w:tcPr>
            <w:tcW w:w="3570" w:type="dxa"/>
          </w:tcPr>
          <w:p w14:paraId="0C296B67"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“Remediation Action Plan”</w:t>
            </w:r>
          </w:p>
        </w:tc>
        <w:tc>
          <w:tcPr>
            <w:tcW w:w="5953" w:type="dxa"/>
          </w:tcPr>
          <w:p w14:paraId="2C0A09EA" w14:textId="05E635F6"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_Ref98845540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7.3.3</w:t>
            </w:r>
            <w:r w:rsidRPr="00BD6C5F">
              <w:rPr>
                <w:rFonts w:asciiTheme="minorHAnsi" w:hAnsiTheme="minorHAnsi" w:cstheme="minorHAnsi"/>
              </w:rPr>
              <w:fldChar w:fldCharType="end"/>
            </w:r>
            <w:r w:rsidRPr="00BD6C5F">
              <w:rPr>
                <w:rFonts w:asciiTheme="minorHAnsi" w:hAnsiTheme="minorHAnsi" w:cstheme="minorHAnsi"/>
              </w:rPr>
              <w:t>;</w:t>
            </w:r>
          </w:p>
        </w:tc>
      </w:tr>
      <w:tr w:rsidR="00D51E92" w:rsidRPr="00BD6C5F" w14:paraId="079D0224" w14:textId="77777777" w:rsidTr="004C50F4">
        <w:trPr>
          <w:trHeight w:val="20"/>
        </w:trPr>
        <w:tc>
          <w:tcPr>
            <w:tcW w:w="3570" w:type="dxa"/>
          </w:tcPr>
          <w:p w14:paraId="475F5CFA"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“Required Changes Register”</w:t>
            </w:r>
          </w:p>
        </w:tc>
        <w:tc>
          <w:tcPr>
            <w:tcW w:w="5953" w:type="dxa"/>
          </w:tcPr>
          <w:p w14:paraId="307EB2C5" w14:textId="7A8E9034"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 the register within the Security </w:t>
            </w:r>
            <w:r w:rsidRPr="00BD6C5F">
              <w:t>Management</w:t>
            </w:r>
            <w:r w:rsidRPr="00BD6C5F">
              <w:rPr>
                <w:rFonts w:asciiTheme="minorHAnsi" w:hAnsiTheme="minorHAnsi" w:cstheme="minorHAnsi"/>
              </w:rPr>
              <w:t xml:space="preserve"> Plan which is to be maintained and updated by the Supplier and which shall record each of the changes that the Supplier shall make to the Information Management System and/or the Security Management Plan as a consequence of the occurrence of any of the events set out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_Ref98358860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5.2</w:t>
            </w:r>
            <w:r w:rsidRPr="00BD6C5F">
              <w:rPr>
                <w:rFonts w:asciiTheme="minorHAnsi" w:hAnsiTheme="minorHAnsi" w:cstheme="minorHAnsi"/>
              </w:rPr>
              <w:fldChar w:fldCharType="end"/>
            </w:r>
            <w:r w:rsidRPr="00BD6C5F">
              <w:rPr>
                <w:rFonts w:asciiTheme="minorHAnsi" w:hAnsiTheme="minorHAnsi" w:cstheme="minorHAnsi"/>
              </w:rPr>
              <w:t xml:space="preserve"> together with the date by which such change shall be implemented and the date on which such change was implemented;</w:t>
            </w:r>
          </w:p>
        </w:tc>
      </w:tr>
      <w:tr w:rsidR="00D51E92" w:rsidRPr="00BD6C5F" w14:paraId="0C6546F7" w14:textId="77777777" w:rsidTr="004C50F4">
        <w:trPr>
          <w:trHeight w:val="20"/>
        </w:trPr>
        <w:tc>
          <w:tcPr>
            <w:tcW w:w="3570" w:type="dxa"/>
          </w:tcPr>
          <w:p w14:paraId="2D67D900"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“Risk Register”</w:t>
            </w:r>
          </w:p>
        </w:tc>
        <w:tc>
          <w:tcPr>
            <w:tcW w:w="5953" w:type="dxa"/>
          </w:tcPr>
          <w:p w14:paraId="03FC9824" w14:textId="736F28E9"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is the risk register within the Information Assurance </w:t>
            </w:r>
            <w:r w:rsidRPr="00BD6C5F">
              <w:t>Assessment</w:t>
            </w:r>
            <w:r w:rsidRPr="00BD6C5F">
              <w:rPr>
                <w:rFonts w:asciiTheme="minorHAnsi" w:hAnsiTheme="minorHAnsi" w:cstheme="minorHAnsi"/>
              </w:rPr>
              <w:t xml:space="preserve"> which is to be prepared and submitted to the Authority for approval in accordance with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_Ref98358874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w:t>
            </w:r>
            <w:r w:rsidRPr="00BD6C5F">
              <w:rPr>
                <w:rFonts w:asciiTheme="minorHAnsi" w:hAnsiTheme="minorHAnsi" w:cstheme="minorHAnsi"/>
              </w:rPr>
              <w:fldChar w:fldCharType="end"/>
            </w:r>
            <w:r w:rsidRPr="00BD6C5F">
              <w:rPr>
                <w:rFonts w:asciiTheme="minorHAnsi" w:hAnsiTheme="minorHAnsi" w:cstheme="minorHAnsi"/>
              </w:rPr>
              <w:t>;</w:t>
            </w:r>
          </w:p>
        </w:tc>
      </w:tr>
      <w:tr w:rsidR="00D51E92" w:rsidRPr="00BD6C5F" w14:paraId="2A913258" w14:textId="77777777" w:rsidTr="004C50F4">
        <w:trPr>
          <w:trHeight w:val="20"/>
        </w:trPr>
        <w:tc>
          <w:tcPr>
            <w:tcW w:w="3570" w:type="dxa"/>
          </w:tcPr>
          <w:p w14:paraId="246039D0"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“Security Management Plan”</w:t>
            </w:r>
          </w:p>
        </w:tc>
        <w:tc>
          <w:tcPr>
            <w:tcW w:w="5953" w:type="dxa"/>
          </w:tcPr>
          <w:p w14:paraId="1A96B05D" w14:textId="3779725B"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the document prepared by the </w:t>
            </w:r>
            <w:r w:rsidRPr="00BD6C5F">
              <w:t>Supplier</w:t>
            </w:r>
            <w:r w:rsidRPr="00BD6C5F">
              <w:rPr>
                <w:rFonts w:asciiTheme="minorHAnsi" w:hAnsiTheme="minorHAnsi" w:cstheme="minorHAnsi"/>
              </w:rPr>
              <w:t xml:space="preserve"> using the template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Schedule_5_Part_A_Annex_3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3</w:t>
            </w:r>
            <w:r w:rsidR="00C101F7">
              <w:rPr>
                <w:rFonts w:asciiTheme="minorHAnsi" w:hAnsiTheme="minorHAnsi" w:cstheme="minorHAnsi"/>
              </w:rPr>
              <w:fldChar w:fldCharType="end"/>
            </w:r>
            <w:r w:rsidR="00C101F7">
              <w:rPr>
                <w:rFonts w:asciiTheme="minorHAnsi" w:hAnsiTheme="minorHAnsi" w:cstheme="minorHAnsi"/>
              </w:rPr>
              <w:t xml:space="preserve"> of </w:t>
            </w:r>
            <w:r w:rsidR="00C101F7">
              <w:t>this Part </w:t>
            </w:r>
            <w:r w:rsidR="00C101F7">
              <w:fldChar w:fldCharType="begin"/>
            </w:r>
            <w:r w:rsidR="00C101F7">
              <w:instrText xml:space="preserve"> REF Schedule_5_Part_A \h </w:instrText>
            </w:r>
            <w:r w:rsidR="00C101F7">
              <w:fldChar w:fldCharType="separate"/>
            </w:r>
            <w:r w:rsidR="009749A0" w:rsidRPr="00BD6C5F">
              <w:t>A</w:t>
            </w:r>
            <w:r w:rsidR="00C101F7">
              <w:fldChar w:fldCharType="end"/>
            </w:r>
            <w:r w:rsidRPr="00BD6C5F">
              <w:rPr>
                <w:rFonts w:asciiTheme="minorHAnsi" w:hAnsiTheme="minorHAnsi" w:cstheme="minorHAnsi"/>
              </w:rPr>
              <w:t>, comprising:</w:t>
            </w:r>
          </w:p>
          <w:p w14:paraId="21F8A46C" w14:textId="77777777" w:rsidR="00D51E92" w:rsidRPr="00BD6C5F" w:rsidRDefault="00D51E92" w:rsidP="003A5D4B">
            <w:pPr>
              <w:pStyle w:val="Tablea"/>
            </w:pPr>
            <w:r w:rsidRPr="00BD6C5F">
              <w:t>the Information Assurance Assessment;</w:t>
            </w:r>
          </w:p>
          <w:p w14:paraId="5AC88565" w14:textId="77777777" w:rsidR="00D51E92" w:rsidRPr="00BD6C5F" w:rsidRDefault="00D51E92" w:rsidP="003A5D4B">
            <w:pPr>
              <w:pStyle w:val="Tablea"/>
            </w:pPr>
            <w:r w:rsidRPr="00BD6C5F">
              <w:t>the Required Changes Register; and</w:t>
            </w:r>
          </w:p>
          <w:p w14:paraId="59B25C71" w14:textId="77777777" w:rsidR="00D51E92" w:rsidRPr="00BD6C5F" w:rsidRDefault="00D51E92" w:rsidP="003A5D4B">
            <w:pPr>
              <w:pStyle w:val="Tablea"/>
            </w:pPr>
            <w:r w:rsidRPr="00BD6C5F">
              <w:t>the Incident Management Process;</w:t>
            </w:r>
          </w:p>
        </w:tc>
      </w:tr>
      <w:tr w:rsidR="00D51E92" w:rsidRPr="00BD6C5F" w14:paraId="741EBD28" w14:textId="77777777" w:rsidTr="004C50F4">
        <w:trPr>
          <w:trHeight w:val="20"/>
        </w:trPr>
        <w:tc>
          <w:tcPr>
            <w:tcW w:w="3570" w:type="dxa"/>
          </w:tcPr>
          <w:p w14:paraId="1F4524E6" w14:textId="77777777" w:rsidR="00D51E92" w:rsidRPr="00BD6C5F" w:rsidRDefault="00D51E92" w:rsidP="00DC4C6D">
            <w:pPr>
              <w:pStyle w:val="Tabletext"/>
              <w:rPr>
                <w:rFonts w:asciiTheme="minorHAnsi" w:hAnsiTheme="minorHAnsi" w:cstheme="minorHAnsi"/>
                <w:b/>
              </w:rPr>
            </w:pPr>
            <w:r w:rsidRPr="00BD6C5F">
              <w:rPr>
                <w:rFonts w:asciiTheme="minorHAnsi" w:hAnsiTheme="minorHAnsi" w:cstheme="minorHAnsi"/>
                <w:b/>
              </w:rPr>
              <w:t>Special Category Personal Data</w:t>
            </w:r>
          </w:p>
        </w:tc>
        <w:tc>
          <w:tcPr>
            <w:tcW w:w="5953" w:type="dxa"/>
          </w:tcPr>
          <w:p w14:paraId="3AA5579C" w14:textId="0200EA48" w:rsidR="00D51E92" w:rsidRPr="00BD6C5F" w:rsidRDefault="00D51E92" w:rsidP="00DC4C6D">
            <w:pPr>
              <w:pStyle w:val="Tabletext"/>
              <w:rPr>
                <w:rFonts w:asciiTheme="minorHAnsi" w:hAnsiTheme="minorHAnsi" w:cstheme="minorHAnsi"/>
              </w:rPr>
            </w:pPr>
            <w:r w:rsidRPr="00BD6C5F">
              <w:rPr>
                <w:rFonts w:asciiTheme="minorHAnsi" w:hAnsiTheme="minorHAnsi" w:cstheme="minorHAnsi"/>
              </w:rPr>
              <w:t xml:space="preserve">means the </w:t>
            </w:r>
            <w:r w:rsidRPr="00BD6C5F">
              <w:t>categories</w:t>
            </w:r>
            <w:r w:rsidRPr="00BD6C5F">
              <w:rPr>
                <w:rFonts w:asciiTheme="minorHAnsi" w:hAnsiTheme="minorHAnsi" w:cstheme="minorHAnsi"/>
              </w:rPr>
              <w:t xml:space="preserve"> of Personal Data set out in article 9(1) </w:t>
            </w:r>
            <w:r w:rsidR="00083532">
              <w:rPr>
                <w:rFonts w:asciiTheme="minorHAnsi" w:hAnsiTheme="minorHAnsi" w:cstheme="minorHAnsi"/>
              </w:rPr>
              <w:t xml:space="preserve">and </w:t>
            </w:r>
            <w:r w:rsidR="003A2786">
              <w:rPr>
                <w:rFonts w:asciiTheme="minorHAnsi" w:hAnsiTheme="minorHAnsi" w:cstheme="minorHAnsi"/>
              </w:rPr>
              <w:t xml:space="preserve">article 10 </w:t>
            </w:r>
            <w:r w:rsidRPr="00BD6C5F">
              <w:rPr>
                <w:rFonts w:asciiTheme="minorHAnsi" w:hAnsiTheme="minorHAnsi" w:cstheme="minorHAnsi"/>
              </w:rPr>
              <w:t>of the GDPR;</w:t>
            </w:r>
          </w:p>
        </w:tc>
      </w:tr>
    </w:tbl>
    <w:p w14:paraId="21EA3ECE" w14:textId="77777777" w:rsidR="00BC7DDA" w:rsidRPr="00BD6C5F" w:rsidRDefault="00BC7DDA">
      <w:pPr>
        <w:pStyle w:val="BodyText"/>
        <w:spacing w:before="4"/>
        <w:rPr>
          <w:rFonts w:asciiTheme="minorHAnsi" w:hAnsiTheme="minorHAnsi" w:cstheme="minorHAnsi"/>
        </w:rPr>
      </w:pPr>
    </w:p>
    <w:p w14:paraId="3278305D" w14:textId="77777777" w:rsidR="00BC7DDA" w:rsidRPr="00BD6C5F" w:rsidRDefault="009B03E9" w:rsidP="00C5057A">
      <w:pPr>
        <w:pStyle w:val="Numbered1"/>
      </w:pPr>
      <w:r w:rsidRPr="00BD6C5F">
        <w:t>Introduction</w:t>
      </w:r>
    </w:p>
    <w:p w14:paraId="47E43D38" w14:textId="6AC4127F" w:rsidR="00BC7DDA" w:rsidRPr="00BD6C5F" w:rsidRDefault="009B03E9" w:rsidP="003E785F">
      <w:pPr>
        <w:pStyle w:val="Numbered11"/>
        <w:keepNext/>
      </w:pPr>
      <w:r w:rsidRPr="00BD6C5F">
        <w:t xml:space="preserve">This </w:t>
      </w:r>
      <w:r w:rsidR="00095858">
        <w:t>Part </w:t>
      </w:r>
      <w:r w:rsidR="00095858">
        <w:fldChar w:fldCharType="begin"/>
      </w:r>
      <w:r w:rsidR="00095858">
        <w:instrText xml:space="preserve"> REF Schedule_5_Part_A \h </w:instrText>
      </w:r>
      <w:r w:rsidR="00095858">
        <w:fldChar w:fldCharType="separate"/>
      </w:r>
      <w:r w:rsidR="009749A0" w:rsidRPr="00BD6C5F">
        <w:t>A</w:t>
      </w:r>
      <w:r w:rsidR="00095858">
        <w:fldChar w:fldCharType="end"/>
      </w:r>
      <w:r w:rsidR="00BE143D" w:rsidRPr="00BD6C5F">
        <w:t xml:space="preserve"> of this </w:t>
      </w:r>
      <w:r w:rsidRPr="00BD6C5F">
        <w:t>Schedule sets out:</w:t>
      </w:r>
    </w:p>
    <w:p w14:paraId="1A0D7A98" w14:textId="370815C9" w:rsidR="00BC7DDA" w:rsidRPr="00BD6C5F" w:rsidRDefault="009B03E9" w:rsidP="00CE51D0">
      <w:pPr>
        <w:pStyle w:val="Numbered111"/>
      </w:pPr>
      <w:r w:rsidRPr="00BD6C5F">
        <w:t xml:space="preserve">the arrangements the Supplier must implement before, and comply with when, providing the Services and performing its other obligations under this </w:t>
      </w:r>
      <w:r w:rsidR="00DE54CD" w:rsidRPr="00BD6C5F">
        <w:t>Contract</w:t>
      </w:r>
      <w:r w:rsidRPr="00BD6C5F">
        <w:t xml:space="preserve"> to ensure the security of the Authority Data and the Information Management System;</w:t>
      </w:r>
    </w:p>
    <w:p w14:paraId="27D66576" w14:textId="77777777" w:rsidR="00BC7DDA" w:rsidRPr="00BD6C5F" w:rsidRDefault="009B03E9" w:rsidP="00CE51D0">
      <w:pPr>
        <w:pStyle w:val="Numbered111"/>
      </w:pPr>
      <w:r w:rsidRPr="00BD6C5F">
        <w:t>the Certification Requirements applicable to the Supplier and each of those Sub-contractors which Processes Authority Data;</w:t>
      </w:r>
    </w:p>
    <w:p w14:paraId="66FF1C08" w14:textId="6908862D" w:rsidR="00BC7DDA" w:rsidRPr="00BD6C5F" w:rsidRDefault="00BE143D" w:rsidP="00CE51D0">
      <w:pPr>
        <w:pStyle w:val="Numbered111"/>
      </w:pPr>
      <w:r w:rsidRPr="00BD6C5F">
        <w:t>t</w:t>
      </w:r>
      <w:r w:rsidR="009B03E9" w:rsidRPr="00BD6C5F">
        <w:t xml:space="preserve">he security requirements in </w:t>
      </w:r>
      <w:r w:rsidR="00C101F7">
        <w:t>Annex </w:t>
      </w:r>
      <w:r w:rsidR="00C101F7">
        <w:fldChar w:fldCharType="begin"/>
      </w:r>
      <w:r w:rsidR="00C101F7">
        <w:instrText xml:space="preserve"> REF Schedule_5_Part_A_Annex_1 \h </w:instrText>
      </w:r>
      <w:r w:rsidR="00C101F7">
        <w:fldChar w:fldCharType="separate"/>
      </w:r>
      <w:r w:rsidR="009749A0" w:rsidRPr="00BD6C5F">
        <w:t>1</w:t>
      </w:r>
      <w:r w:rsidR="00C101F7">
        <w:fldChar w:fldCharType="end"/>
      </w:r>
      <w:r w:rsidR="00C101F7">
        <w:t xml:space="preserve"> of this Part </w:t>
      </w:r>
      <w:r w:rsidR="00C101F7">
        <w:fldChar w:fldCharType="begin"/>
      </w:r>
      <w:r w:rsidR="00C101F7">
        <w:instrText xml:space="preserve"> REF Schedule_5_Part_A \h </w:instrText>
      </w:r>
      <w:r w:rsidR="00C101F7">
        <w:fldChar w:fldCharType="separate"/>
      </w:r>
      <w:r w:rsidR="009749A0" w:rsidRPr="00BD6C5F">
        <w:t>A</w:t>
      </w:r>
      <w:r w:rsidR="00C101F7">
        <w:fldChar w:fldCharType="end"/>
      </w:r>
      <w:r w:rsidR="009B03E9" w:rsidRPr="00BD6C5F">
        <w:t xml:space="preserve">, with which the Supplier </w:t>
      </w:r>
      <w:r w:rsidR="009B03E9" w:rsidRPr="00BD6C5F">
        <w:lastRenderedPageBreak/>
        <w:t>must comply;</w:t>
      </w:r>
    </w:p>
    <w:p w14:paraId="63E359A3" w14:textId="6F2274E2" w:rsidR="00BC7DDA" w:rsidRPr="00BD6C5F" w:rsidRDefault="009B03E9" w:rsidP="00CE51D0">
      <w:pPr>
        <w:pStyle w:val="Numbered111"/>
      </w:pPr>
      <w:r w:rsidRPr="00BD6C5F">
        <w:t>the tests which the Supplier shall conduct on the Information Management System during the Term;</w:t>
      </w:r>
      <w:r w:rsidR="00BE143D" w:rsidRPr="00BD6C5F">
        <w:t xml:space="preserve"> and</w:t>
      </w:r>
    </w:p>
    <w:p w14:paraId="23F2B049" w14:textId="314C2786" w:rsidR="00BC7DDA" w:rsidRPr="00BD6C5F" w:rsidRDefault="009B03E9" w:rsidP="003E785F">
      <w:pPr>
        <w:pStyle w:val="Numbered111"/>
        <w:keepNext/>
      </w:pPr>
      <w:r w:rsidRPr="00BD6C5F">
        <w:t>the Supplier</w:t>
      </w:r>
      <w:r w:rsidR="00A4555C" w:rsidRPr="00BD6C5F">
        <w:t>’</w:t>
      </w:r>
      <w:r w:rsidRPr="00BD6C5F">
        <w:t>s obligations to:</w:t>
      </w:r>
    </w:p>
    <w:p w14:paraId="3061B3D7" w14:textId="4C389750" w:rsidR="00BC7DDA" w:rsidRPr="00BD6C5F" w:rsidRDefault="009B03E9" w:rsidP="003A5D4B">
      <w:pPr>
        <w:pStyle w:val="Numbered111a"/>
      </w:pPr>
      <w:r w:rsidRPr="00BD6C5F">
        <w:t xml:space="preserve">return or destroy Authority Data on the expiry or earlier termination of this </w:t>
      </w:r>
      <w:r w:rsidR="00DE54CD" w:rsidRPr="00BD6C5F">
        <w:t>Contract</w:t>
      </w:r>
      <w:r w:rsidRPr="00BD6C5F">
        <w:t>; and</w:t>
      </w:r>
    </w:p>
    <w:p w14:paraId="2F3D1859" w14:textId="1C0436B8" w:rsidR="00BC7DDA" w:rsidRPr="00BD6C5F" w:rsidRDefault="009B03E9" w:rsidP="003A5D4B">
      <w:pPr>
        <w:pStyle w:val="Numbered111a"/>
      </w:pPr>
      <w:r w:rsidRPr="00BD6C5F">
        <w:t xml:space="preserve">prevent the introduction of Malicious Software into the Supplier System and to scan for, contain the spread of, and minimise the impact of Malicious Software which is introduced into the Supplier System in Paragraph </w:t>
      </w:r>
      <w:r w:rsidR="004E7151" w:rsidRPr="00BD6C5F">
        <w:fldChar w:fldCharType="begin"/>
      </w:r>
      <w:r w:rsidR="004E7151" w:rsidRPr="00BD6C5F">
        <w:instrText xml:space="preserve"> REF _Ref98358935 \n \h </w:instrText>
      </w:r>
      <w:r w:rsidR="00AD7DD0" w:rsidRPr="00BD6C5F">
        <w:instrText xml:space="preserve"> \* MERGEFORMAT </w:instrText>
      </w:r>
      <w:r w:rsidR="004E7151" w:rsidRPr="00BD6C5F">
        <w:fldChar w:fldCharType="separate"/>
      </w:r>
      <w:r w:rsidR="009749A0">
        <w:t>9</w:t>
      </w:r>
      <w:r w:rsidR="004E7151" w:rsidRPr="00BD6C5F">
        <w:fldChar w:fldCharType="end"/>
      </w:r>
      <w:r w:rsidRPr="00BD6C5F">
        <w:t>; and</w:t>
      </w:r>
    </w:p>
    <w:p w14:paraId="55DBCE9F" w14:textId="77777777" w:rsidR="00BC7DDA" w:rsidRPr="00BD6C5F" w:rsidRDefault="009B03E9" w:rsidP="003A5D4B">
      <w:pPr>
        <w:pStyle w:val="Numbered111a"/>
      </w:pPr>
      <w:r w:rsidRPr="00BD6C5F">
        <w:t>report Breaches of Security to the Authority.</w:t>
      </w:r>
    </w:p>
    <w:p w14:paraId="6C927DC1" w14:textId="77777777" w:rsidR="00BC7DDA" w:rsidRPr="00BD6C5F" w:rsidRDefault="009B03E9" w:rsidP="00C5057A">
      <w:pPr>
        <w:pStyle w:val="Numbered1"/>
      </w:pPr>
      <w:r w:rsidRPr="00BD6C5F">
        <w:t>Principles of Security</w:t>
      </w:r>
    </w:p>
    <w:p w14:paraId="4AEF46B4" w14:textId="77777777" w:rsidR="00BC7DDA" w:rsidRPr="00BD6C5F" w:rsidRDefault="009B03E9" w:rsidP="003E785F">
      <w:pPr>
        <w:pStyle w:val="Numbered11"/>
        <w:keepNext/>
      </w:pPr>
      <w:r w:rsidRPr="00BD6C5F">
        <w:t>The Supplier acknowledges that the Authority places great emphasis on the confidentiality, integrity and availability of the Authority Data and, consequently on the security of:</w:t>
      </w:r>
    </w:p>
    <w:p w14:paraId="58784F51" w14:textId="77777777" w:rsidR="00BC7DDA" w:rsidRPr="00BD6C5F" w:rsidRDefault="009B03E9" w:rsidP="00D02CA4">
      <w:pPr>
        <w:pStyle w:val="Numbered111"/>
      </w:pPr>
      <w:r w:rsidRPr="00BD6C5F">
        <w:t>the Sites;</w:t>
      </w:r>
    </w:p>
    <w:p w14:paraId="1A87ADCB" w14:textId="77777777" w:rsidR="00BC7DDA" w:rsidRPr="00BD6C5F" w:rsidRDefault="009B03E9" w:rsidP="00D02CA4">
      <w:pPr>
        <w:pStyle w:val="Numbered111"/>
      </w:pPr>
      <w:r w:rsidRPr="00BD6C5F">
        <w:t>the IT Environment;</w:t>
      </w:r>
    </w:p>
    <w:p w14:paraId="622316A4" w14:textId="77777777" w:rsidR="00BC7DDA" w:rsidRPr="00BD6C5F" w:rsidRDefault="009B03E9" w:rsidP="00D02CA4">
      <w:pPr>
        <w:pStyle w:val="Numbered111"/>
      </w:pPr>
      <w:r w:rsidRPr="00BD6C5F">
        <w:t>the Information Management System; and</w:t>
      </w:r>
    </w:p>
    <w:p w14:paraId="77287FDF" w14:textId="77777777" w:rsidR="00BC7DDA" w:rsidRPr="00BD6C5F" w:rsidRDefault="009B03E9" w:rsidP="00D02CA4">
      <w:pPr>
        <w:pStyle w:val="Numbered111"/>
      </w:pPr>
      <w:r w:rsidRPr="00BD6C5F">
        <w:t>the Services.</w:t>
      </w:r>
    </w:p>
    <w:p w14:paraId="67BE763C" w14:textId="77777777" w:rsidR="00BC7DDA" w:rsidRPr="00BD6C5F" w:rsidRDefault="009B03E9" w:rsidP="003E785F">
      <w:pPr>
        <w:pStyle w:val="Numbered11"/>
        <w:keepNext/>
      </w:pPr>
      <w:r w:rsidRPr="00BD6C5F">
        <w:t>Notwithstanding the involvement of the Authority in assessing the arrangements which the Supplier implements to ensure the security of the Authority Data and the Information Management System, the Supplier shall be, and shall remain, responsible for:</w:t>
      </w:r>
    </w:p>
    <w:p w14:paraId="10CACF1D" w14:textId="77777777" w:rsidR="00BC7DDA" w:rsidRPr="00BD6C5F" w:rsidRDefault="009B03E9" w:rsidP="00D02CA4">
      <w:pPr>
        <w:pStyle w:val="Numbered111"/>
      </w:pPr>
      <w:r w:rsidRPr="00BD6C5F">
        <w:t>the security, confidentiality, integrity and availability of the Authority Data whilst that Authority Data is under the control of the Supplier or any of its Sub-contractors; and</w:t>
      </w:r>
    </w:p>
    <w:p w14:paraId="4F7853EA" w14:textId="77777777" w:rsidR="00BC7DDA" w:rsidRPr="00BD6C5F" w:rsidRDefault="009B03E9" w:rsidP="00D02CA4">
      <w:pPr>
        <w:pStyle w:val="Numbered111"/>
      </w:pPr>
      <w:r w:rsidRPr="00BD6C5F">
        <w:t>the security of the Information Management System.</w:t>
      </w:r>
    </w:p>
    <w:p w14:paraId="563823AE" w14:textId="77777777" w:rsidR="00BC7DDA" w:rsidRPr="00BD6C5F" w:rsidRDefault="009B03E9" w:rsidP="003E785F">
      <w:pPr>
        <w:pStyle w:val="Numbered11"/>
        <w:keepNext/>
      </w:pPr>
      <w:r w:rsidRPr="00BD6C5F">
        <w:t>The Supplier shall:</w:t>
      </w:r>
    </w:p>
    <w:p w14:paraId="42BDA4B9" w14:textId="78C7E209" w:rsidR="00BC7DDA" w:rsidRPr="00BD6C5F" w:rsidRDefault="009B03E9" w:rsidP="00D02CA4">
      <w:pPr>
        <w:pStyle w:val="Numbered111"/>
      </w:pPr>
      <w:r w:rsidRPr="00BD6C5F">
        <w:t xml:space="preserve">comply with the security requirements in </w:t>
      </w:r>
      <w:r w:rsidR="00C101F7">
        <w:t>Annex </w:t>
      </w:r>
      <w:r w:rsidR="00C101F7">
        <w:fldChar w:fldCharType="begin"/>
      </w:r>
      <w:r w:rsidR="00C101F7">
        <w:instrText xml:space="preserve"> REF Schedule_5_Part_A_Annex_1 \h </w:instrText>
      </w:r>
      <w:r w:rsidR="00C101F7">
        <w:fldChar w:fldCharType="separate"/>
      </w:r>
      <w:r w:rsidR="009749A0" w:rsidRPr="00BD6C5F">
        <w:t>1</w:t>
      </w:r>
      <w:r w:rsidR="00C101F7">
        <w:fldChar w:fldCharType="end"/>
      </w:r>
      <w:r w:rsidR="00C101F7">
        <w:t xml:space="preserve"> of this Part </w:t>
      </w:r>
      <w:r w:rsidR="00C101F7">
        <w:fldChar w:fldCharType="begin"/>
      </w:r>
      <w:r w:rsidR="00C101F7">
        <w:instrText xml:space="preserve"> REF Schedule_5_Part_A \h </w:instrText>
      </w:r>
      <w:r w:rsidR="00C101F7">
        <w:fldChar w:fldCharType="separate"/>
      </w:r>
      <w:r w:rsidR="009749A0" w:rsidRPr="00BD6C5F">
        <w:t>A</w:t>
      </w:r>
      <w:r w:rsidR="00C101F7">
        <w:fldChar w:fldCharType="end"/>
      </w:r>
      <w:r w:rsidRPr="00BD6C5F">
        <w:t>; and</w:t>
      </w:r>
    </w:p>
    <w:p w14:paraId="0065373C" w14:textId="77777777" w:rsidR="00BC7DDA" w:rsidRPr="00BD6C5F" w:rsidRDefault="009B03E9" w:rsidP="00D02CA4">
      <w:pPr>
        <w:pStyle w:val="Numbered111"/>
      </w:pPr>
      <w:r w:rsidRPr="00BD6C5F">
        <w:t>ensure that each Sub-contractor that Processes Authority Data complies with the Sub-contractor Security Requirements.</w:t>
      </w:r>
    </w:p>
    <w:p w14:paraId="65F01904" w14:textId="494F0501" w:rsidR="00BC7DDA" w:rsidRPr="00BD6C5F" w:rsidRDefault="009B03E9" w:rsidP="00C5057A">
      <w:pPr>
        <w:pStyle w:val="Numbered11"/>
      </w:pPr>
      <w:r w:rsidRPr="00BD6C5F">
        <w:t>The Supplier shall provide the Authority with access to Supplier Personnel responsible for information assurance to facilitate the Authority</w:t>
      </w:r>
      <w:r w:rsidR="00A4555C" w:rsidRPr="00BD6C5F">
        <w:t>’</w:t>
      </w:r>
      <w:r w:rsidRPr="00BD6C5F">
        <w:t>s assessment</w:t>
      </w:r>
      <w:r w:rsidR="00323905" w:rsidRPr="00BD6C5F">
        <w:t xml:space="preserve"> </w:t>
      </w:r>
      <w:r w:rsidRPr="00BD6C5F">
        <w:t>of the Supplier</w:t>
      </w:r>
      <w:r w:rsidR="00A4555C" w:rsidRPr="00BD6C5F">
        <w:t>’</w:t>
      </w:r>
      <w:r w:rsidRPr="00BD6C5F">
        <w:t>s compliance with its obligations set out in this Schedule at reasonable times on reasonable notice.</w:t>
      </w:r>
    </w:p>
    <w:p w14:paraId="46FCA25E" w14:textId="77777777" w:rsidR="00BC7DDA" w:rsidRPr="00BD6C5F" w:rsidRDefault="009B03E9" w:rsidP="00C5057A">
      <w:pPr>
        <w:pStyle w:val="Numbered1"/>
      </w:pPr>
      <w:bookmarkStart w:id="185" w:name="_bookmark61"/>
      <w:bookmarkStart w:id="186" w:name="_Ref98358874"/>
      <w:bookmarkEnd w:id="185"/>
      <w:r w:rsidRPr="00BD6C5F">
        <w:t>Information Security Approval Statement</w:t>
      </w:r>
      <w:bookmarkEnd w:id="186"/>
    </w:p>
    <w:p w14:paraId="64EDC9E9" w14:textId="0C554B06" w:rsidR="00BC7DDA" w:rsidRPr="00BD6C5F" w:rsidRDefault="009B03E9" w:rsidP="00C5057A">
      <w:pPr>
        <w:pStyle w:val="Numbered11"/>
      </w:pPr>
      <w:bookmarkStart w:id="187" w:name="_Ref98359127"/>
      <w:r w:rsidRPr="00BD6C5F">
        <w:t xml:space="preserve">The Supplier must ensure that its Implementation Plan sets out in sufficient detail how it </w:t>
      </w:r>
      <w:r w:rsidRPr="00BD6C5F">
        <w:lastRenderedPageBreak/>
        <w:t xml:space="preserve">will ensure compliance with the requirements of this Schedule, including any requirements imposed on Sub-contractors by </w:t>
      </w:r>
      <w:r w:rsidR="00C101F7">
        <w:t>Annex </w:t>
      </w:r>
      <w:r w:rsidR="00C101F7">
        <w:fldChar w:fldCharType="begin"/>
      </w:r>
      <w:r w:rsidR="00C101F7">
        <w:instrText xml:space="preserve"> REF Schedule_5_Part_A_Annex_2 \h </w:instrText>
      </w:r>
      <w:r w:rsidR="00C101F7">
        <w:fldChar w:fldCharType="separate"/>
      </w:r>
      <w:r w:rsidR="009749A0" w:rsidRPr="00BD6C5F">
        <w:t>2</w:t>
      </w:r>
      <w:r w:rsidR="00C101F7">
        <w:fldChar w:fldCharType="end"/>
      </w:r>
      <w:r w:rsidR="00C101F7">
        <w:t xml:space="preserve"> of this Part </w:t>
      </w:r>
      <w:r w:rsidR="00C101F7">
        <w:fldChar w:fldCharType="begin"/>
      </w:r>
      <w:r w:rsidR="00C101F7">
        <w:instrText xml:space="preserve"> REF Schedule_5_Part_A \h </w:instrText>
      </w:r>
      <w:r w:rsidR="00C101F7">
        <w:fldChar w:fldCharType="separate"/>
      </w:r>
      <w:r w:rsidR="009749A0" w:rsidRPr="00BD6C5F">
        <w:t>A</w:t>
      </w:r>
      <w:r w:rsidR="00C101F7">
        <w:fldChar w:fldCharType="end"/>
      </w:r>
      <w:r w:rsidRPr="00BD6C5F">
        <w:t>, from the first Operational Service Commencement Date.</w:t>
      </w:r>
      <w:bookmarkEnd w:id="187"/>
    </w:p>
    <w:p w14:paraId="1167E0B7" w14:textId="77777777" w:rsidR="00BC7DDA" w:rsidRPr="00BD6C5F" w:rsidRDefault="009B03E9" w:rsidP="003E785F">
      <w:pPr>
        <w:pStyle w:val="Numbered11"/>
        <w:keepNext/>
      </w:pPr>
      <w:bookmarkStart w:id="188" w:name="_Ref98358311"/>
      <w:r w:rsidRPr="00BD6C5F">
        <w:t>The Supplier may not use the Information Management System to Process Authority Data unless and until:</w:t>
      </w:r>
      <w:bookmarkEnd w:id="188"/>
    </w:p>
    <w:p w14:paraId="592483A0" w14:textId="0FA21C87" w:rsidR="00BC7DDA" w:rsidRPr="00BD6C5F" w:rsidRDefault="009B03E9" w:rsidP="00D02CA4">
      <w:pPr>
        <w:pStyle w:val="Numbered111"/>
      </w:pPr>
      <w:r w:rsidRPr="00BD6C5F">
        <w:t xml:space="preserve">the Supplier has procured the conduct of an IT Health Check of the Supplier System by a CHECK Service Provider or a CREST Service Provider in accordance with Paragraph </w:t>
      </w:r>
      <w:r w:rsidR="004E7151" w:rsidRPr="00BD6C5F">
        <w:fldChar w:fldCharType="begin"/>
      </w:r>
      <w:r w:rsidR="004E7151" w:rsidRPr="00BD6C5F">
        <w:instrText xml:space="preserve"> REF _Ref98358706 \n \h </w:instrText>
      </w:r>
      <w:r w:rsidR="00AD7DD0" w:rsidRPr="00BD6C5F">
        <w:instrText xml:space="preserve"> \* MERGEFORMAT </w:instrText>
      </w:r>
      <w:r w:rsidR="004E7151" w:rsidRPr="00BD6C5F">
        <w:fldChar w:fldCharType="separate"/>
      </w:r>
      <w:r w:rsidR="009749A0">
        <w:t>7.1</w:t>
      </w:r>
      <w:r w:rsidR="004E7151" w:rsidRPr="00BD6C5F">
        <w:fldChar w:fldCharType="end"/>
      </w:r>
      <w:r w:rsidRPr="00BD6C5F">
        <w:t>; and</w:t>
      </w:r>
    </w:p>
    <w:p w14:paraId="68DA8556" w14:textId="31599DC2" w:rsidR="00BC7DDA" w:rsidRPr="00BD6C5F" w:rsidRDefault="009B03E9" w:rsidP="00D02CA4">
      <w:pPr>
        <w:pStyle w:val="Numbered111"/>
      </w:pPr>
      <w:r w:rsidRPr="00BD6C5F">
        <w:t xml:space="preserve">the Authority has issued the Supplier with an Information Security Approval Statement in accordance with the process set out in this Paragraph </w:t>
      </w:r>
      <w:r w:rsidR="004E7151" w:rsidRPr="00BD6C5F">
        <w:fldChar w:fldCharType="begin"/>
      </w:r>
      <w:r w:rsidR="004E7151" w:rsidRPr="00BD6C5F">
        <w:instrText xml:space="preserve"> REF _Ref98358874 \n \h </w:instrText>
      </w:r>
      <w:r w:rsidR="00AD7DD0" w:rsidRPr="00BD6C5F">
        <w:instrText xml:space="preserve"> \* MERGEFORMAT </w:instrText>
      </w:r>
      <w:r w:rsidR="004E7151" w:rsidRPr="00BD6C5F">
        <w:fldChar w:fldCharType="separate"/>
      </w:r>
      <w:r w:rsidR="009749A0">
        <w:t>4</w:t>
      </w:r>
      <w:r w:rsidR="004E7151" w:rsidRPr="00BD6C5F">
        <w:fldChar w:fldCharType="end"/>
      </w:r>
      <w:r w:rsidRPr="00BD6C5F">
        <w:t>.</w:t>
      </w:r>
    </w:p>
    <w:p w14:paraId="223A29E2" w14:textId="0B7C40DD" w:rsidR="00BC7DDA" w:rsidRPr="00BD6C5F" w:rsidRDefault="009B03E9" w:rsidP="00C5057A">
      <w:pPr>
        <w:pStyle w:val="Numbered11"/>
      </w:pPr>
      <w:r w:rsidRPr="00BD6C5F">
        <w:t xml:space="preserve">The Supplier shall document in the Security Management Plan how the Supplier and its Sub-contractors shall comply with the requirements set out in this Schedule and the </w:t>
      </w:r>
      <w:r w:rsidR="00BE143D" w:rsidRPr="00BD6C5F">
        <w:t>Contract</w:t>
      </w:r>
      <w:r w:rsidR="00B34CE2" w:rsidRPr="00BD6C5F">
        <w:t xml:space="preserve"> </w:t>
      </w:r>
      <w:r w:rsidRPr="00BD6C5F">
        <w:t>in order to ensure the security of the Authority Data and the Information Management System.</w:t>
      </w:r>
    </w:p>
    <w:p w14:paraId="2C657D53" w14:textId="38D10B51" w:rsidR="00BC7DDA" w:rsidRPr="00BD6C5F" w:rsidRDefault="009B03E9" w:rsidP="003E785F">
      <w:pPr>
        <w:pStyle w:val="Numbered11"/>
        <w:keepNext/>
      </w:pPr>
      <w:bookmarkStart w:id="189" w:name="_bookmark62"/>
      <w:bookmarkStart w:id="190" w:name="_Ref141215000"/>
      <w:bookmarkEnd w:id="189"/>
      <w:r w:rsidRPr="00BD6C5F">
        <w:t xml:space="preserve">The Supplier shall prepare and submit to the Authority within </w:t>
      </w:r>
      <w:r w:rsidRPr="006D1202">
        <w:rPr>
          <w:shd w:val="clear" w:color="auto" w:fill="FFFF00"/>
        </w:rPr>
        <w:t>[20]</w:t>
      </w:r>
      <w:r w:rsidRPr="006D1202">
        <w:t xml:space="preserve"> </w:t>
      </w:r>
      <w:r w:rsidRPr="00BD6C5F">
        <w:t>Working Days of the date of this</w:t>
      </w:r>
      <w:r w:rsidR="00B34CE2" w:rsidRPr="00BD6C5F">
        <w:t xml:space="preserve"> Contract</w:t>
      </w:r>
      <w:r w:rsidRPr="00BD6C5F">
        <w:t>, the Security Management Plan, which comprises:</w:t>
      </w:r>
      <w:bookmarkEnd w:id="190"/>
    </w:p>
    <w:p w14:paraId="4C8591CC" w14:textId="77777777" w:rsidR="00BC7DDA" w:rsidRPr="00BD6C5F" w:rsidRDefault="009B03E9" w:rsidP="00D02CA4">
      <w:pPr>
        <w:pStyle w:val="Numbered111"/>
      </w:pPr>
      <w:r w:rsidRPr="00BD6C5F">
        <w:t>an Information Assurance Assessment;</w:t>
      </w:r>
    </w:p>
    <w:p w14:paraId="3B37253D" w14:textId="1FC0B1CF" w:rsidR="00BC7DDA" w:rsidRPr="00BD6C5F" w:rsidRDefault="009B03E9" w:rsidP="00D02CA4">
      <w:pPr>
        <w:pStyle w:val="Numbered111"/>
      </w:pPr>
      <w:r w:rsidRPr="00BD6C5F">
        <w:t>the Required Changes Register;</w:t>
      </w:r>
      <w:r w:rsidR="00B34CE2" w:rsidRPr="00BD6C5F">
        <w:t xml:space="preserve"> and</w:t>
      </w:r>
    </w:p>
    <w:p w14:paraId="02EB60BD" w14:textId="77777777" w:rsidR="00BC7DDA" w:rsidRPr="00BD6C5F" w:rsidRDefault="009B03E9" w:rsidP="00D02CA4">
      <w:pPr>
        <w:pStyle w:val="Numbered111"/>
      </w:pPr>
      <w:r w:rsidRPr="00BD6C5F">
        <w:t>the Incident Management Process.</w:t>
      </w:r>
    </w:p>
    <w:p w14:paraId="1AEAF19A" w14:textId="48A6C1B7" w:rsidR="00BC7DDA" w:rsidRPr="00BD6C5F" w:rsidRDefault="009B03E9" w:rsidP="003E785F">
      <w:pPr>
        <w:pStyle w:val="Numbered11"/>
        <w:keepNext/>
      </w:pPr>
      <w:r w:rsidRPr="00BD6C5F">
        <w:t>The Authority shall review the Supplier</w:t>
      </w:r>
      <w:r w:rsidR="00A4555C" w:rsidRPr="00BD6C5F">
        <w:t>’</w:t>
      </w:r>
      <w:r w:rsidRPr="00BD6C5F">
        <w:t xml:space="preserve">s proposed Security Management Plan as soon as possible and, in any event within </w:t>
      </w:r>
      <w:r w:rsidRPr="006D1202">
        <w:t>[</w:t>
      </w:r>
      <w:r w:rsidRPr="006D1202">
        <w:rPr>
          <w:shd w:val="clear" w:color="auto" w:fill="FFFF00"/>
        </w:rPr>
        <w:t>20</w:t>
      </w:r>
      <w:r w:rsidRPr="006D1202">
        <w:t xml:space="preserve">] </w:t>
      </w:r>
      <w:r w:rsidRPr="00BD6C5F">
        <w:t>Working Days of receipt and shall either issue the Supplier with:</w:t>
      </w:r>
    </w:p>
    <w:p w14:paraId="42436A9A" w14:textId="77777777" w:rsidR="00BC7DDA" w:rsidRPr="00BD6C5F" w:rsidRDefault="009B03E9" w:rsidP="00D02CA4">
      <w:pPr>
        <w:pStyle w:val="Numbered111"/>
      </w:pPr>
      <w:r w:rsidRPr="00BD6C5F">
        <w:t>an Information Security Approval Statement, which shall confirm that the Supplier may use the Information Management System to Process Authority Data; or</w:t>
      </w:r>
    </w:p>
    <w:p w14:paraId="2F5D75A1" w14:textId="1C1874FA" w:rsidR="00BC7DDA" w:rsidRPr="00BD6C5F" w:rsidRDefault="009B03E9" w:rsidP="00D02CA4">
      <w:pPr>
        <w:pStyle w:val="Numbered111"/>
      </w:pPr>
      <w:bookmarkStart w:id="191" w:name="_bookmark63"/>
      <w:bookmarkStart w:id="192" w:name="_Ref98355042"/>
      <w:bookmarkEnd w:id="191"/>
      <w:r w:rsidRPr="00BD6C5F">
        <w:t>a rejection notice, which shall set out the Authority</w:t>
      </w:r>
      <w:r w:rsidR="00A4555C" w:rsidRPr="00BD6C5F">
        <w:t>’</w:t>
      </w:r>
      <w:r w:rsidRPr="00BD6C5F">
        <w:t>s reasons for rejecting the Security Management Plan.</w:t>
      </w:r>
      <w:bookmarkEnd w:id="192"/>
    </w:p>
    <w:p w14:paraId="2F76799B" w14:textId="5006D6F7" w:rsidR="00BC7DDA" w:rsidRPr="00BD6C5F" w:rsidRDefault="009B03E9" w:rsidP="00C5057A">
      <w:pPr>
        <w:pStyle w:val="Numbered11"/>
      </w:pPr>
      <w:bookmarkStart w:id="193" w:name="_Ref98359158"/>
      <w:r w:rsidRPr="00BD6C5F">
        <w:t>If the Authority rejects the Supplier</w:t>
      </w:r>
      <w:r w:rsidR="00A4555C" w:rsidRPr="00BD6C5F">
        <w:t>’</w:t>
      </w:r>
      <w:r w:rsidRPr="00BD6C5F">
        <w:t>s proposed Security Management Plan, the Supplier shall take the Authority</w:t>
      </w:r>
      <w:r w:rsidR="00A4555C" w:rsidRPr="00BD6C5F">
        <w:t>’</w:t>
      </w:r>
      <w:r w:rsidRPr="00BD6C5F">
        <w:t>s reasons into account in the preparation of a revised Security Management Plan, which the Supplier shall submit to the Authority for review within</w:t>
      </w:r>
      <w:r w:rsidRPr="006D1202">
        <w:t xml:space="preserve"> [</w:t>
      </w:r>
      <w:r w:rsidRPr="006D1202">
        <w:rPr>
          <w:shd w:val="clear" w:color="auto" w:fill="FFFF00"/>
        </w:rPr>
        <w:t>10</w:t>
      </w:r>
      <w:r w:rsidRPr="006D1202">
        <w:t xml:space="preserve">] </w:t>
      </w:r>
      <w:r w:rsidRPr="00BD6C5F">
        <w:t>Working Days or such other timescale as agreed with the Authority.</w:t>
      </w:r>
      <w:bookmarkEnd w:id="193"/>
    </w:p>
    <w:p w14:paraId="5240E257" w14:textId="3223681F" w:rsidR="00BC7DDA" w:rsidRPr="00BD6C5F" w:rsidRDefault="009B03E9" w:rsidP="003E785F">
      <w:pPr>
        <w:pStyle w:val="Numbered11"/>
        <w:keepNext/>
      </w:pPr>
      <w:r w:rsidRPr="00BD6C5F">
        <w:t>The Authority may require, and the Supplier shall provide the Authority and its authorised representatives with:</w:t>
      </w:r>
    </w:p>
    <w:p w14:paraId="1E380FBB" w14:textId="77777777" w:rsidR="00BC7DDA" w:rsidRPr="00BD6C5F" w:rsidRDefault="009B03E9" w:rsidP="00D02CA4">
      <w:pPr>
        <w:pStyle w:val="Numbered111"/>
      </w:pPr>
      <w:r w:rsidRPr="00BD6C5F">
        <w:t>access to the Supplier Personnel;</w:t>
      </w:r>
    </w:p>
    <w:p w14:paraId="67C03087" w14:textId="6701BF9A" w:rsidR="00BC7DDA" w:rsidRPr="00BD6C5F" w:rsidRDefault="009B03E9" w:rsidP="00D02CA4">
      <w:pPr>
        <w:pStyle w:val="Numbered111"/>
      </w:pPr>
      <w:r w:rsidRPr="00BD6C5F">
        <w:t>access to the Information Management System to audit the Supplier and its Sub-contractors</w:t>
      </w:r>
      <w:r w:rsidR="00A4555C" w:rsidRPr="00BD6C5F">
        <w:t>’</w:t>
      </w:r>
      <w:r w:rsidRPr="00BD6C5F">
        <w:t xml:space="preserve"> compliance with this </w:t>
      </w:r>
      <w:r w:rsidR="00B34CE2" w:rsidRPr="00BD6C5F">
        <w:t>Contract</w:t>
      </w:r>
      <w:r w:rsidRPr="00BD6C5F">
        <w:t>; and</w:t>
      </w:r>
    </w:p>
    <w:p w14:paraId="5312A2B4" w14:textId="77777777" w:rsidR="00BC7DDA" w:rsidRPr="00BD6C5F" w:rsidRDefault="009B03E9" w:rsidP="003E785F">
      <w:pPr>
        <w:pStyle w:val="Numbered111"/>
        <w:keepNext/>
      </w:pPr>
      <w:r w:rsidRPr="00BD6C5F">
        <w:t xml:space="preserve">such other information and/or documentation that the Authority or its </w:t>
      </w:r>
      <w:r w:rsidRPr="00BD6C5F">
        <w:lastRenderedPageBreak/>
        <w:t>authorised representatives may reasonably require,</w:t>
      </w:r>
    </w:p>
    <w:p w14:paraId="0CF8B04E" w14:textId="77777777" w:rsidR="00BC7DDA" w:rsidRPr="00BD6C5F" w:rsidRDefault="009B03E9" w:rsidP="00DC4C6D">
      <w:pPr>
        <w:pStyle w:val="BodyText"/>
        <w:spacing w:before="100" w:after="200"/>
        <w:ind w:left="720"/>
        <w:rPr>
          <w:rFonts w:asciiTheme="minorHAnsi" w:hAnsiTheme="minorHAnsi" w:cstheme="minorHAnsi"/>
        </w:rPr>
      </w:pPr>
      <w:r w:rsidRPr="00BD6C5F">
        <w:rPr>
          <w:rFonts w:asciiTheme="minorHAnsi" w:hAnsiTheme="minorHAnsi" w:cstheme="minorHAnsi"/>
        </w:rPr>
        <w:t>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provide the access required by the Authority in accordance with this Paragraph withi</w:t>
      </w:r>
      <w:r w:rsidRPr="006D1202">
        <w:rPr>
          <w:rFonts w:asciiTheme="minorHAnsi" w:hAnsiTheme="minorHAnsi" w:cstheme="minorHAnsi"/>
        </w:rPr>
        <w:t>n [</w:t>
      </w:r>
      <w:r w:rsidRPr="006D1202">
        <w:rPr>
          <w:rFonts w:asciiTheme="minorHAnsi" w:hAnsiTheme="minorHAnsi" w:cstheme="minorHAnsi"/>
          <w:shd w:val="clear" w:color="auto" w:fill="FFFF00"/>
        </w:rPr>
        <w:t>10</w:t>
      </w:r>
      <w:r w:rsidRPr="006D1202">
        <w:rPr>
          <w:rFonts w:asciiTheme="minorHAnsi" w:hAnsiTheme="minorHAnsi" w:cstheme="minorHAnsi"/>
        </w:rPr>
        <w:t>] Working Days of receipt of such request, except in the case of a Breach of Security in which case the Supplier shall provide the Authority with the access that it requires within [</w:t>
      </w:r>
      <w:r w:rsidRPr="006D1202">
        <w:rPr>
          <w:rFonts w:asciiTheme="minorHAnsi" w:hAnsiTheme="minorHAnsi" w:cstheme="minorHAnsi"/>
          <w:shd w:val="clear" w:color="auto" w:fill="FFFF00"/>
        </w:rPr>
        <w:t>24 hours</w:t>
      </w:r>
      <w:r w:rsidRPr="006D1202">
        <w:rPr>
          <w:rFonts w:asciiTheme="minorHAnsi" w:hAnsiTheme="minorHAnsi" w:cstheme="minorHAnsi"/>
        </w:rPr>
        <w:t>] of r</w:t>
      </w:r>
      <w:r w:rsidRPr="00BD6C5F">
        <w:rPr>
          <w:rFonts w:asciiTheme="minorHAnsi" w:hAnsiTheme="minorHAnsi" w:cstheme="minorHAnsi"/>
        </w:rPr>
        <w:t>eceipt of such request.</w:t>
      </w:r>
    </w:p>
    <w:p w14:paraId="3B905CCE" w14:textId="77777777" w:rsidR="00BC7DDA" w:rsidRPr="00BD6C5F" w:rsidRDefault="009B03E9" w:rsidP="00C5057A">
      <w:pPr>
        <w:pStyle w:val="Numbered1"/>
      </w:pPr>
      <w:bookmarkStart w:id="194" w:name="_bookmark64"/>
      <w:bookmarkStart w:id="195" w:name="_Ref98359093"/>
      <w:bookmarkEnd w:id="194"/>
      <w:r w:rsidRPr="00BD6C5F">
        <w:t>Compliance Reviews</w:t>
      </w:r>
      <w:bookmarkEnd w:id="195"/>
    </w:p>
    <w:p w14:paraId="2C4514B7" w14:textId="77777777" w:rsidR="00BC7DDA" w:rsidRPr="00BD6C5F" w:rsidRDefault="009B03E9" w:rsidP="00C5057A">
      <w:pPr>
        <w:pStyle w:val="Numbered11"/>
      </w:pPr>
      <w:r w:rsidRPr="00BD6C5F">
        <w:t>The Supplier shall regularly review and update the Security Management Plan, and provide such to the Authority, at least once each year and as required by this Paragraph.</w:t>
      </w:r>
    </w:p>
    <w:p w14:paraId="71388E10" w14:textId="77777777" w:rsidR="00BC7DDA" w:rsidRPr="00BD6C5F" w:rsidRDefault="009B03E9" w:rsidP="003E785F">
      <w:pPr>
        <w:pStyle w:val="Numbered11"/>
        <w:keepNext/>
      </w:pPr>
      <w:bookmarkStart w:id="196" w:name="_bookmark65"/>
      <w:bookmarkStart w:id="197" w:name="_Ref98358860"/>
      <w:bookmarkEnd w:id="196"/>
      <w:r w:rsidRPr="00BD6C5F">
        <w:t xml:space="preserve">The Supplier shall notify the Authority within </w:t>
      </w:r>
      <w:r w:rsidRPr="006D1202">
        <w:rPr>
          <w:shd w:val="clear" w:color="auto" w:fill="FFFF00"/>
        </w:rPr>
        <w:t>[2]</w:t>
      </w:r>
      <w:r w:rsidRPr="006D1202">
        <w:t xml:space="preserve"> </w:t>
      </w:r>
      <w:r w:rsidRPr="00BD6C5F">
        <w:t>Working Days after becoming aware of:</w:t>
      </w:r>
      <w:bookmarkEnd w:id="197"/>
    </w:p>
    <w:p w14:paraId="21AEF6FF" w14:textId="77777777" w:rsidR="00BC7DDA" w:rsidRPr="00BD6C5F" w:rsidRDefault="009B03E9" w:rsidP="00D02CA4">
      <w:pPr>
        <w:pStyle w:val="Numbered111"/>
      </w:pPr>
      <w:r w:rsidRPr="00BD6C5F">
        <w:t>a significant change to the components or architecture of the Information Management System;</w:t>
      </w:r>
    </w:p>
    <w:p w14:paraId="50465FCA" w14:textId="77777777" w:rsidR="00BC7DDA" w:rsidRPr="00BD6C5F" w:rsidRDefault="009B03E9" w:rsidP="00D02CA4">
      <w:pPr>
        <w:pStyle w:val="Numbered111"/>
      </w:pPr>
      <w:r w:rsidRPr="00BD6C5F">
        <w:t>a new risk to the components or architecture of the Information Management System;</w:t>
      </w:r>
    </w:p>
    <w:p w14:paraId="3DCE4A18" w14:textId="56068FB3" w:rsidR="00BC7DDA" w:rsidRPr="00BD6C5F" w:rsidRDefault="009B03E9" w:rsidP="00D02CA4">
      <w:pPr>
        <w:pStyle w:val="Numbered111"/>
      </w:pPr>
      <w:r w:rsidRPr="00BD6C5F">
        <w:t xml:space="preserve">a vulnerability to the components or architecture of the Service which is classified </w:t>
      </w:r>
      <w:r w:rsidR="00A4555C" w:rsidRPr="00BD6C5F">
        <w:t>‘</w:t>
      </w:r>
      <w:r w:rsidRPr="00BD6C5F">
        <w:t>Medium</w:t>
      </w:r>
      <w:r w:rsidR="00A4555C" w:rsidRPr="00BD6C5F">
        <w:t>’</w:t>
      </w:r>
      <w:r w:rsidRPr="00BD6C5F">
        <w:t xml:space="preserve">, </w:t>
      </w:r>
      <w:r w:rsidR="00A4555C" w:rsidRPr="00BD6C5F">
        <w:t>‘</w:t>
      </w:r>
      <w:r w:rsidRPr="00BD6C5F">
        <w:t>High</w:t>
      </w:r>
      <w:r w:rsidR="00A4555C" w:rsidRPr="00BD6C5F">
        <w:t>’</w:t>
      </w:r>
      <w:r w:rsidRPr="00BD6C5F">
        <w:t xml:space="preserve">, </w:t>
      </w:r>
      <w:r w:rsidR="00A4555C" w:rsidRPr="00BD6C5F">
        <w:t>‘</w:t>
      </w:r>
      <w:r w:rsidRPr="00BD6C5F">
        <w:t>Critical</w:t>
      </w:r>
      <w:r w:rsidR="00A4555C" w:rsidRPr="00BD6C5F">
        <w:t>’</w:t>
      </w:r>
      <w:r w:rsidRPr="00BD6C5F">
        <w:t xml:space="preserve"> or </w:t>
      </w:r>
      <w:r w:rsidR="00A4555C" w:rsidRPr="00BD6C5F">
        <w:t>‘</w:t>
      </w:r>
      <w:r w:rsidRPr="00BD6C5F">
        <w:t>Important</w:t>
      </w:r>
      <w:r w:rsidR="00A4555C" w:rsidRPr="00BD6C5F">
        <w:t>’</w:t>
      </w:r>
      <w:r w:rsidRPr="00BD6C5F">
        <w:t xml:space="preserve"> in accordance with the classification methodology set out in Paragraph</w:t>
      </w:r>
      <w:r w:rsidR="004E7151" w:rsidRPr="00BD6C5F">
        <w:t> </w:t>
      </w:r>
      <w:r w:rsidR="004E7151" w:rsidRPr="00BD6C5F">
        <w:fldChar w:fldCharType="begin"/>
      </w:r>
      <w:r w:rsidR="004E7151" w:rsidRPr="00BD6C5F">
        <w:instrText xml:space="preserve"> REF _Ref98359009 \n \h </w:instrText>
      </w:r>
      <w:r w:rsidR="00AD7DD0" w:rsidRPr="00BD6C5F">
        <w:instrText xml:space="preserve"> \* MERGEFORMAT </w:instrText>
      </w:r>
      <w:r w:rsidR="004E7151" w:rsidRPr="00BD6C5F">
        <w:fldChar w:fldCharType="separate"/>
      </w:r>
      <w:r w:rsidR="009749A0">
        <w:t>9.2</w:t>
      </w:r>
      <w:r w:rsidR="004E7151" w:rsidRPr="00BD6C5F">
        <w:fldChar w:fldCharType="end"/>
      </w:r>
      <w:r w:rsidRPr="00BD6C5F">
        <w:t xml:space="preserve"> of </w:t>
      </w:r>
      <w:r w:rsidR="00095858">
        <w:t>Annex </w:t>
      </w:r>
      <w:r w:rsidR="00095858">
        <w:fldChar w:fldCharType="begin"/>
      </w:r>
      <w:r w:rsidR="00095858">
        <w:instrText xml:space="preserve"> REF Schedule_5_Part_A_Annex_1 \h </w:instrText>
      </w:r>
      <w:r w:rsidR="00095858">
        <w:fldChar w:fldCharType="separate"/>
      </w:r>
      <w:r w:rsidR="009749A0" w:rsidRPr="00BD6C5F">
        <w:t>1</w:t>
      </w:r>
      <w:r w:rsidR="00095858">
        <w:fldChar w:fldCharType="end"/>
      </w:r>
      <w:r w:rsidRPr="00BD6C5F">
        <w:t xml:space="preserve"> </w:t>
      </w:r>
      <w:r w:rsidR="00095858">
        <w:t>of Part </w:t>
      </w:r>
      <w:r w:rsidR="00095858">
        <w:fldChar w:fldCharType="begin"/>
      </w:r>
      <w:r w:rsidR="00095858">
        <w:instrText xml:space="preserve"> REF Schedule_5_Part_A \h </w:instrText>
      </w:r>
      <w:r w:rsidR="00095858">
        <w:fldChar w:fldCharType="separate"/>
      </w:r>
      <w:r w:rsidR="009749A0" w:rsidRPr="00BD6C5F">
        <w:t>A</w:t>
      </w:r>
      <w:r w:rsidR="00095858">
        <w:fldChar w:fldCharType="end"/>
      </w:r>
      <w:r w:rsidR="00095858">
        <w:t xml:space="preserve"> </w:t>
      </w:r>
      <w:r w:rsidRPr="00BD6C5F">
        <w:t>to this Schedule;</w:t>
      </w:r>
    </w:p>
    <w:p w14:paraId="2DFD4C3E" w14:textId="77777777" w:rsidR="00BC7DDA" w:rsidRPr="00BD6C5F" w:rsidRDefault="009B03E9" w:rsidP="00D02CA4">
      <w:pPr>
        <w:pStyle w:val="Numbered111"/>
      </w:pPr>
      <w:r w:rsidRPr="00BD6C5F">
        <w:t>a change in the threat profile;</w:t>
      </w:r>
    </w:p>
    <w:p w14:paraId="6962B1F9" w14:textId="77777777" w:rsidR="00BC7DDA" w:rsidRPr="00BD6C5F" w:rsidRDefault="009B03E9" w:rsidP="00D02CA4">
      <w:pPr>
        <w:pStyle w:val="Numbered111"/>
      </w:pPr>
      <w:r w:rsidRPr="00BD6C5F">
        <w:t>a significant change to any risk component;</w:t>
      </w:r>
    </w:p>
    <w:p w14:paraId="0A529A4B" w14:textId="77777777" w:rsidR="00BC7DDA" w:rsidRPr="00BD6C5F" w:rsidRDefault="009B03E9" w:rsidP="00D02CA4">
      <w:pPr>
        <w:pStyle w:val="Numbered111"/>
      </w:pPr>
      <w:r w:rsidRPr="00BD6C5F">
        <w:t>a significant change in the quantity of Personal Data held within the Service;</w:t>
      </w:r>
    </w:p>
    <w:p w14:paraId="1DF5D3E3" w14:textId="77777777" w:rsidR="00BC7DDA" w:rsidRPr="00BD6C5F" w:rsidRDefault="009B03E9" w:rsidP="00D02CA4">
      <w:pPr>
        <w:pStyle w:val="Numbered111"/>
      </w:pPr>
      <w:r w:rsidRPr="00BD6C5F">
        <w:t>a proposal to change any of the Sites from which any part of the Services are provided; and/or</w:t>
      </w:r>
    </w:p>
    <w:p w14:paraId="7ACE7E7B" w14:textId="432420A7" w:rsidR="00BC7DDA" w:rsidRPr="00BD6C5F" w:rsidRDefault="009B03E9" w:rsidP="00D02CA4">
      <w:pPr>
        <w:pStyle w:val="Numbered111"/>
      </w:pPr>
      <w:r w:rsidRPr="00BD6C5F">
        <w:t>an ISO</w:t>
      </w:r>
      <w:r w:rsidR="00702A68" w:rsidRPr="00BD6C5F">
        <w:t>/IEC</w:t>
      </w:r>
      <w:r w:rsidRPr="00BD6C5F">
        <w:t>27001</w:t>
      </w:r>
      <w:r w:rsidR="00702A68" w:rsidRPr="00BD6C5F">
        <w:t xml:space="preserve"> (at least ISO/IEC 27001:2013) </w:t>
      </w:r>
      <w:r w:rsidRPr="00BD6C5F">
        <w:t>audit report produced in connection with the Certification Requirements indicates significant concerns.</w:t>
      </w:r>
    </w:p>
    <w:p w14:paraId="02902925" w14:textId="00668B1E" w:rsidR="00BC7DDA" w:rsidRPr="00BD6C5F" w:rsidRDefault="009B03E9" w:rsidP="00C5057A">
      <w:pPr>
        <w:pStyle w:val="Numbered11"/>
      </w:pPr>
      <w:r w:rsidRPr="00BD6C5F">
        <w:t xml:space="preserve">Within </w:t>
      </w:r>
      <w:r w:rsidRPr="006D1202">
        <w:t>[</w:t>
      </w:r>
      <w:r w:rsidRPr="006D1202">
        <w:rPr>
          <w:shd w:val="clear" w:color="auto" w:fill="FFFF00"/>
        </w:rPr>
        <w:t>10</w:t>
      </w:r>
      <w:r w:rsidRPr="006D1202">
        <w:t xml:space="preserve">] </w:t>
      </w:r>
      <w:r w:rsidRPr="00BD6C5F">
        <w:t>Working Days of such notifying the Authority or such other timescale as may be agreed with the Authority, the Supplier shall make the necessary changes to the Required Changes Register and submit the updated Required Changes Register the Authority for review and approval.</w:t>
      </w:r>
    </w:p>
    <w:p w14:paraId="6F87238A" w14:textId="77777777" w:rsidR="00BC7DDA" w:rsidRPr="00BD6C5F" w:rsidRDefault="009B03E9" w:rsidP="00C5057A">
      <w:pPr>
        <w:pStyle w:val="Numbered11"/>
      </w:pPr>
      <w:r w:rsidRPr="00BD6C5F">
        <w:t>Where the Supplier is required to implement a change, including any change to the Information Management System, the Supplier shall effect such change at its own cost and expense.</w:t>
      </w:r>
    </w:p>
    <w:p w14:paraId="2E6B60B1" w14:textId="77777777" w:rsidR="00BC7DDA" w:rsidRPr="00BD6C5F" w:rsidRDefault="009B03E9" w:rsidP="00C5057A">
      <w:pPr>
        <w:pStyle w:val="Numbered1"/>
      </w:pPr>
      <w:bookmarkStart w:id="198" w:name="_bookmark66"/>
      <w:bookmarkStart w:id="199" w:name="_Ref98358341"/>
      <w:bookmarkEnd w:id="198"/>
      <w:r w:rsidRPr="00BD6C5F">
        <w:t>Certification Requirements</w:t>
      </w:r>
      <w:bookmarkEnd w:id="199"/>
    </w:p>
    <w:p w14:paraId="686944EF" w14:textId="77777777" w:rsidR="00BC7DDA" w:rsidRPr="00BD6C5F" w:rsidRDefault="009B03E9" w:rsidP="00247692">
      <w:pPr>
        <w:pStyle w:val="Numbered11"/>
        <w:keepNext/>
      </w:pPr>
      <w:bookmarkStart w:id="200" w:name="_bookmark67"/>
      <w:bookmarkStart w:id="201" w:name="_Ref141215015"/>
      <w:bookmarkEnd w:id="200"/>
      <w:r w:rsidRPr="00BD6C5F">
        <w:t>The Supplier shall be certified as compliant with:</w:t>
      </w:r>
      <w:bookmarkEnd w:id="201"/>
    </w:p>
    <w:p w14:paraId="29866E7A" w14:textId="2E6595A7" w:rsidR="00BC7DDA" w:rsidRPr="00BD6C5F" w:rsidRDefault="009B03E9" w:rsidP="00D02CA4">
      <w:pPr>
        <w:pStyle w:val="Numbered111"/>
      </w:pPr>
      <w:r w:rsidRPr="00BD6C5F">
        <w:t>ISO/IEC 27001</w:t>
      </w:r>
      <w:r w:rsidR="002B6968" w:rsidRPr="00BD6C5F">
        <w:t xml:space="preserve"> (at least ISO/IEC 27001:2013) </w:t>
      </w:r>
      <w:r w:rsidRPr="00BD6C5F">
        <w:t xml:space="preserve">by a </w:t>
      </w:r>
      <w:r w:rsidR="002B6968" w:rsidRPr="00BD6C5F">
        <w:t xml:space="preserve">UK </w:t>
      </w:r>
      <w:r w:rsidRPr="00BD6C5F">
        <w:t xml:space="preserve">Accreditation Service- </w:t>
      </w:r>
      <w:r w:rsidRPr="00BD6C5F">
        <w:lastRenderedPageBreak/>
        <w:t>approved certification body or is included within the scope of an existing certification of compliance with ISO/IEC 27001</w:t>
      </w:r>
      <w:r w:rsidR="002B6968" w:rsidRPr="00BD6C5F">
        <w:t>(at least ISO/IEC 27001:2013)</w:t>
      </w:r>
      <w:r w:rsidRPr="00BD6C5F">
        <w:t>; and</w:t>
      </w:r>
    </w:p>
    <w:p w14:paraId="2548F625" w14:textId="77777777" w:rsidR="00BC7DDA" w:rsidRPr="00BD6C5F" w:rsidRDefault="009B03E9" w:rsidP="00247692">
      <w:pPr>
        <w:pStyle w:val="Numbered111"/>
        <w:keepNext/>
      </w:pPr>
      <w:r w:rsidRPr="00BD6C5F">
        <w:t>Cyber Essentials PLUS,</w:t>
      </w:r>
    </w:p>
    <w:p w14:paraId="7B17A947" w14:textId="77777777" w:rsidR="00BC7DDA" w:rsidRPr="00BD6C5F" w:rsidRDefault="009B03E9" w:rsidP="00DC4C6D">
      <w:pPr>
        <w:pStyle w:val="BodyText"/>
        <w:spacing w:before="100" w:after="200"/>
        <w:ind w:left="720" w:right="11"/>
        <w:rPr>
          <w:rFonts w:asciiTheme="minorHAnsi" w:hAnsiTheme="minorHAnsi" w:cstheme="minorHAnsi"/>
        </w:rPr>
      </w:pPr>
      <w:r w:rsidRPr="00BD6C5F">
        <w:rPr>
          <w:rFonts w:asciiTheme="minorHAnsi" w:hAnsiTheme="minorHAnsi" w:cstheme="minorHAnsi"/>
        </w:rPr>
        <w:t>and shall provide the Authority with a copy of each such certificate of compliance before the Supplier shall be permitted to receive, store or Process Authority Data.</w:t>
      </w:r>
    </w:p>
    <w:p w14:paraId="55C5FFB4" w14:textId="77777777" w:rsidR="00BC7DDA" w:rsidRPr="00BD6C5F" w:rsidRDefault="009B03E9" w:rsidP="00247692">
      <w:pPr>
        <w:pStyle w:val="Numbered11"/>
        <w:keepNext/>
      </w:pPr>
      <w:bookmarkStart w:id="202" w:name="_bookmark68"/>
      <w:bookmarkStart w:id="203" w:name="_Ref141215021"/>
      <w:bookmarkEnd w:id="202"/>
      <w:r w:rsidRPr="00BD6C5F">
        <w:t>The Supplier shall ensure that each Higher Risk Sub-contractor is certified as compliant with either:</w:t>
      </w:r>
      <w:bookmarkEnd w:id="203"/>
    </w:p>
    <w:p w14:paraId="27EF806C" w14:textId="469CE742" w:rsidR="00BC7DDA" w:rsidRPr="00BD6C5F" w:rsidRDefault="009B03E9" w:rsidP="00D02CA4">
      <w:pPr>
        <w:pStyle w:val="Numbered111"/>
      </w:pPr>
      <w:r w:rsidRPr="00BD6C5F">
        <w:t>ISO/IEC 27001:</w:t>
      </w:r>
      <w:r w:rsidR="002B6968" w:rsidRPr="00BD6C5F">
        <w:t xml:space="preserve"> (at least ISO/IEC 27001:2013) </w:t>
      </w:r>
      <w:r w:rsidRPr="00BD6C5F">
        <w:t xml:space="preserve">by a </w:t>
      </w:r>
      <w:r w:rsidR="002B6968" w:rsidRPr="00BD6C5F">
        <w:t xml:space="preserve">UK </w:t>
      </w:r>
      <w:r w:rsidRPr="00BD6C5F">
        <w:t>Accreditation Service- approved certification body or is included within the scope of an existing certification of compliance with ISO/IEC 27001</w:t>
      </w:r>
      <w:r w:rsidR="002B6968" w:rsidRPr="00BD6C5F">
        <w:t>(at least ISO/IEC 27001:2013)</w:t>
      </w:r>
      <w:r w:rsidRPr="00BD6C5F">
        <w:t>; or</w:t>
      </w:r>
    </w:p>
    <w:p w14:paraId="2A1E7585" w14:textId="77777777" w:rsidR="00BC7DDA" w:rsidRPr="00BD6C5F" w:rsidRDefault="009B03E9" w:rsidP="00247692">
      <w:pPr>
        <w:pStyle w:val="Numbered111"/>
        <w:keepNext/>
      </w:pPr>
      <w:r w:rsidRPr="00BD6C5F">
        <w:t>Cyber Essentials PLUS,</w:t>
      </w:r>
    </w:p>
    <w:p w14:paraId="6D8F3153" w14:textId="77777777" w:rsidR="00BC7DDA" w:rsidRPr="00BD6C5F" w:rsidRDefault="009B03E9" w:rsidP="00DC4C6D">
      <w:pPr>
        <w:pStyle w:val="BodyText"/>
        <w:spacing w:before="100" w:after="200"/>
        <w:ind w:left="720" w:right="11"/>
        <w:rPr>
          <w:rFonts w:asciiTheme="minorHAnsi" w:hAnsiTheme="minorHAnsi" w:cstheme="minorHAnsi"/>
        </w:rPr>
      </w:pPr>
      <w:r w:rsidRPr="00BD6C5F">
        <w:rPr>
          <w:rFonts w:asciiTheme="minorHAnsi" w:hAnsiTheme="minorHAnsi" w:cstheme="minorHAnsi"/>
        </w:rPr>
        <w:t>and shall provide the Authority with a copy of each such certificate of compliance before the Higher-Risk Sub-contractor shall be permitted to receive, store or Process Authority Data.</w:t>
      </w:r>
    </w:p>
    <w:p w14:paraId="29643E55" w14:textId="77777777" w:rsidR="00BC7DDA" w:rsidRPr="00BD6C5F" w:rsidRDefault="009B03E9" w:rsidP="00C5057A">
      <w:pPr>
        <w:pStyle w:val="Numbered11"/>
      </w:pPr>
      <w:bookmarkStart w:id="204" w:name="_bookmark69"/>
      <w:bookmarkStart w:id="205" w:name="_Ref141215029"/>
      <w:bookmarkEnd w:id="204"/>
      <w:r w:rsidRPr="00BD6C5F">
        <w:t>The Supplier shall ensure that each Medium Risk Sub-contractor is certified compliant with Cyber Essentials.</w:t>
      </w:r>
      <w:bookmarkEnd w:id="205"/>
    </w:p>
    <w:p w14:paraId="05B7FC0E" w14:textId="77777777" w:rsidR="00BC7DDA" w:rsidRPr="00BD6C5F" w:rsidRDefault="009B03E9" w:rsidP="00247692">
      <w:pPr>
        <w:pStyle w:val="Numbered11"/>
        <w:keepNext/>
      </w:pPr>
      <w:r w:rsidRPr="00BD6C5F">
        <w:t>The Supplier shall ensure that the Supplier and each Sub-contractor who is responsible for the secure destruction of Authority Data:</w:t>
      </w:r>
    </w:p>
    <w:p w14:paraId="7E4D48E6" w14:textId="7EB8FC57" w:rsidR="00BC7DDA" w:rsidRPr="00BD6C5F" w:rsidRDefault="009B03E9" w:rsidP="00D02CA4">
      <w:pPr>
        <w:pStyle w:val="Numbered111"/>
      </w:pPr>
      <w:r w:rsidRPr="00BD6C5F">
        <w:t>securely destroys Authority Data only on Sites which are included within the scope of an existing certification of compliance with ISO/IEC 27001</w:t>
      </w:r>
      <w:r w:rsidR="0096418E" w:rsidRPr="00BD6C5F">
        <w:t xml:space="preserve"> (at least ISO/IEC 27001:2013);</w:t>
      </w:r>
    </w:p>
    <w:p w14:paraId="7D2CA9D6" w14:textId="19B59429" w:rsidR="00947D9E" w:rsidRPr="00BD6C5F" w:rsidRDefault="00947D9E" w:rsidP="00D02CA4">
      <w:pPr>
        <w:pStyle w:val="Numbered111"/>
      </w:pPr>
      <w:r w:rsidRPr="00BD6C5F">
        <w:t>should satisfy the Authority that their data destruction/deletion practices comply with UK GDPR requirements and follows all relevant NCSC guidance; and</w:t>
      </w:r>
    </w:p>
    <w:p w14:paraId="45A60824" w14:textId="1E6A162C" w:rsidR="00947D9E" w:rsidRPr="00BD6C5F" w:rsidRDefault="00947D9E" w:rsidP="00D02CA4">
      <w:pPr>
        <w:pStyle w:val="Numbered111"/>
      </w:pPr>
      <w:r w:rsidRPr="00BD6C5F">
        <w:t>must maintain an asset register of all Authority supplied information, data and equipment to ensure Authority assets are returned and/or deleted.</w:t>
      </w:r>
    </w:p>
    <w:p w14:paraId="76E4F2DC" w14:textId="72981C91" w:rsidR="00BC7DDA" w:rsidRPr="00BD6C5F" w:rsidRDefault="009B03E9" w:rsidP="00C5057A">
      <w:pPr>
        <w:pStyle w:val="Numbered11"/>
      </w:pPr>
      <w:r w:rsidRPr="00BD6C5F">
        <w:t>The Supplier shall provide the Authority with evidence of its and its Sub-contractor</w:t>
      </w:r>
      <w:r w:rsidR="00A4555C" w:rsidRPr="00BD6C5F">
        <w:t>’</w:t>
      </w:r>
      <w:r w:rsidRPr="00BD6C5F">
        <w:t>s compliance with the requirements set out in this Paragraph before the Supplier or the relevant Sub-contractor (as applicable) may carry out the secure destruction of any Authority Data.</w:t>
      </w:r>
    </w:p>
    <w:p w14:paraId="3B1501FA" w14:textId="35EC5509" w:rsidR="00BC7DDA" w:rsidRPr="00BD6C5F" w:rsidRDefault="009B03E9" w:rsidP="00C5057A">
      <w:pPr>
        <w:pStyle w:val="Numbered11"/>
      </w:pPr>
      <w:r w:rsidRPr="00BD6C5F">
        <w:t>The Supplier shall notify the Authority as soon as reasonably practicable and, in any event within 2 Working Days, if the Supplier or any Sub-contractor ceases to be compliant with the Certification Requirements and, on request from the Authority, shall or shall procure that the relevant Sub-contractor shall:</w:t>
      </w:r>
    </w:p>
    <w:p w14:paraId="2FF9ACD6" w14:textId="69A6B653" w:rsidR="00BC7DDA" w:rsidRPr="00BD6C5F" w:rsidRDefault="009B03E9" w:rsidP="00D02CA4">
      <w:pPr>
        <w:pStyle w:val="Numbered111"/>
      </w:pPr>
      <w:r w:rsidRPr="00BD6C5F">
        <w:t>immediately cease</w:t>
      </w:r>
      <w:r w:rsidR="006F07C8" w:rsidRPr="00BD6C5F">
        <w:t xml:space="preserve"> to</w:t>
      </w:r>
      <w:r w:rsidRPr="00BD6C5F">
        <w:t xml:space="preserve"> us</w:t>
      </w:r>
      <w:r w:rsidR="006F07C8" w:rsidRPr="00BD6C5F">
        <w:t>e</w:t>
      </w:r>
      <w:r w:rsidRPr="00BD6C5F">
        <w:t xml:space="preserve"> the Authority Data; and</w:t>
      </w:r>
    </w:p>
    <w:p w14:paraId="18685F7E" w14:textId="77777777" w:rsidR="00BC7DDA" w:rsidRPr="00BD6C5F" w:rsidRDefault="009B03E9" w:rsidP="00D02CA4">
      <w:pPr>
        <w:pStyle w:val="Numbered111"/>
      </w:pPr>
      <w:r w:rsidRPr="00BD6C5F">
        <w:t>procure that the relevant Sub-contractor promptly returns, destroys and/or erases the Authority Data in accordance with the requirements set out in this Paragraph.</w:t>
      </w:r>
    </w:p>
    <w:p w14:paraId="77241EC4" w14:textId="73CF8BAA" w:rsidR="00BC7DDA" w:rsidRPr="00BD6C5F" w:rsidRDefault="009B03E9" w:rsidP="00D02CA4">
      <w:pPr>
        <w:pStyle w:val="Numbered111"/>
      </w:pPr>
      <w:r w:rsidRPr="00BD6C5F">
        <w:lastRenderedPageBreak/>
        <w:t xml:space="preserve">The Authority may agree to exempt, in whole or part, the Supplier or any Sub-contractor from the requirements of this Paragraph </w:t>
      </w:r>
      <w:r w:rsidR="004E7151" w:rsidRPr="00BD6C5F">
        <w:fldChar w:fldCharType="begin"/>
      </w:r>
      <w:r w:rsidR="004E7151" w:rsidRPr="00BD6C5F">
        <w:instrText xml:space="preserve"> REF _Ref98358341 \n \h </w:instrText>
      </w:r>
      <w:r w:rsidR="00AD7DD0" w:rsidRPr="00BD6C5F">
        <w:instrText xml:space="preserve"> \* MERGEFORMAT </w:instrText>
      </w:r>
      <w:r w:rsidR="004E7151" w:rsidRPr="00BD6C5F">
        <w:fldChar w:fldCharType="separate"/>
      </w:r>
      <w:r w:rsidR="009749A0">
        <w:t>6</w:t>
      </w:r>
      <w:r w:rsidR="004E7151" w:rsidRPr="00BD6C5F">
        <w:fldChar w:fldCharType="end"/>
      </w:r>
      <w:r w:rsidRPr="00BD6C5F">
        <w:t>. Any exemption must be in writing to be effective. The Supplier must include the exemption in the Security Management Plan.</w:t>
      </w:r>
    </w:p>
    <w:p w14:paraId="3FBD35AC" w14:textId="77777777" w:rsidR="00BC7DDA" w:rsidRPr="00BD6C5F" w:rsidRDefault="009B03E9" w:rsidP="00C5057A">
      <w:pPr>
        <w:pStyle w:val="Numbered1"/>
      </w:pPr>
      <w:bookmarkStart w:id="206" w:name="_Ref98358357"/>
      <w:r w:rsidRPr="00BD6C5F">
        <w:t>Security Testing</w:t>
      </w:r>
      <w:bookmarkEnd w:id="206"/>
    </w:p>
    <w:p w14:paraId="58C0D3AF" w14:textId="77777777" w:rsidR="00BC7DDA" w:rsidRPr="00BD6C5F" w:rsidRDefault="009B03E9" w:rsidP="00247692">
      <w:pPr>
        <w:pStyle w:val="Numbered11"/>
        <w:keepNext/>
      </w:pPr>
      <w:bookmarkStart w:id="207" w:name="_bookmark70"/>
      <w:bookmarkStart w:id="208" w:name="_Ref98358706"/>
      <w:bookmarkEnd w:id="207"/>
      <w:r w:rsidRPr="00BD6C5F">
        <w:t>The Supplier shall, at its own cost and expense procure and conduct:</w:t>
      </w:r>
      <w:bookmarkEnd w:id="208"/>
    </w:p>
    <w:p w14:paraId="7885D65C" w14:textId="33E300FD" w:rsidR="00BC7DDA" w:rsidRPr="00BD6C5F" w:rsidRDefault="009B03E9" w:rsidP="00D02CA4">
      <w:pPr>
        <w:pStyle w:val="Numbered111"/>
      </w:pPr>
      <w:r w:rsidRPr="00BD6C5F">
        <w:t>testing of the Information Management System by a CHECK Service Provider or a CREST Service Provider (</w:t>
      </w:r>
      <w:r w:rsidR="00A4555C" w:rsidRPr="00BD6C5F">
        <w:t>“</w:t>
      </w:r>
      <w:r w:rsidRPr="00BD6C5F">
        <w:rPr>
          <w:b/>
        </w:rPr>
        <w:t>IT Health Check</w:t>
      </w:r>
      <w:r w:rsidR="00A4555C" w:rsidRPr="00BD6C5F">
        <w:t>”</w:t>
      </w:r>
      <w:r w:rsidRPr="00BD6C5F">
        <w:t>); and</w:t>
      </w:r>
    </w:p>
    <w:p w14:paraId="417D75F1" w14:textId="3BAD7601" w:rsidR="00BC7DDA" w:rsidRPr="00BD6C5F" w:rsidRDefault="009B03E9" w:rsidP="00D02CA4">
      <w:pPr>
        <w:pStyle w:val="Numbered111"/>
      </w:pPr>
      <w:r w:rsidRPr="00BD6C5F">
        <w:t>such other security tests as may be required by the Authority</w:t>
      </w:r>
      <w:r w:rsidR="006F07C8" w:rsidRPr="00BD6C5F">
        <w:t>.</w:t>
      </w:r>
    </w:p>
    <w:p w14:paraId="7D9F0792" w14:textId="3407A0F1" w:rsidR="00CA7B81" w:rsidRPr="00BD6C5F" w:rsidRDefault="009B03E9" w:rsidP="00247692">
      <w:pPr>
        <w:pStyle w:val="Numbered11"/>
        <w:keepNext/>
      </w:pPr>
      <w:r w:rsidRPr="00BD6C5F">
        <w:t>The Supplier shall</w:t>
      </w:r>
      <w:r w:rsidR="00947D9E" w:rsidRPr="00BD6C5F">
        <w:t>:</w:t>
      </w:r>
    </w:p>
    <w:p w14:paraId="3CCAAD85" w14:textId="58F479AA" w:rsidR="00CA7B81" w:rsidRPr="00BD6C5F" w:rsidRDefault="009B03E9" w:rsidP="00247692">
      <w:pPr>
        <w:pStyle w:val="Numbered111"/>
        <w:keepNext/>
      </w:pPr>
      <w:r w:rsidRPr="00BD6C5F">
        <w:t>complete all of the above security tests before</w:t>
      </w:r>
      <w:r w:rsidR="00323905" w:rsidRPr="00BD6C5F">
        <w:t>:</w:t>
      </w:r>
    </w:p>
    <w:p w14:paraId="2A532A17" w14:textId="0B1962AB" w:rsidR="00CA7B81" w:rsidRPr="00BD6C5F" w:rsidRDefault="009B03E9" w:rsidP="003A5D4B">
      <w:pPr>
        <w:pStyle w:val="Numbered111a"/>
      </w:pPr>
      <w:r w:rsidRPr="00BD6C5F">
        <w:t xml:space="preserve">the Supplier submits the Security Management Plan to the Authority for review in accordance with Paragraph </w:t>
      </w:r>
      <w:r w:rsidR="004E7151" w:rsidRPr="00BD6C5F">
        <w:fldChar w:fldCharType="begin"/>
      </w:r>
      <w:r w:rsidR="004E7151" w:rsidRPr="00BD6C5F">
        <w:instrText xml:space="preserve"> REF _Ref98358874 \n \h </w:instrText>
      </w:r>
      <w:r w:rsidR="00AD7DD0" w:rsidRPr="00BD6C5F">
        <w:instrText xml:space="preserve"> \* MERGEFORMAT </w:instrText>
      </w:r>
      <w:r w:rsidR="004E7151" w:rsidRPr="00BD6C5F">
        <w:fldChar w:fldCharType="separate"/>
      </w:r>
      <w:r w:rsidR="009749A0">
        <w:t>4</w:t>
      </w:r>
      <w:r w:rsidR="004E7151" w:rsidRPr="00BD6C5F">
        <w:fldChar w:fldCharType="end"/>
      </w:r>
      <w:r w:rsidRPr="00BD6C5F">
        <w:t>;</w:t>
      </w:r>
      <w:r w:rsidR="00CA7B81" w:rsidRPr="00BD6C5F">
        <w:t xml:space="preserve"> and</w:t>
      </w:r>
    </w:p>
    <w:p w14:paraId="010A23C1" w14:textId="4C9F19A7" w:rsidR="00CA7B81" w:rsidRPr="00BD6C5F" w:rsidRDefault="00E7102D" w:rsidP="00D02CA4">
      <w:pPr>
        <w:pStyle w:val="Numbered111a"/>
        <w:rPr>
          <w:lang w:val="en-GB"/>
        </w:rPr>
      </w:pPr>
      <w:r w:rsidRPr="00BD6C5F">
        <w:rPr>
          <w:lang w:val="en-GB"/>
        </w:rPr>
        <w:t>before the Supplier is given permission by the Authority to Process or manage any Authority Data; and</w:t>
      </w:r>
    </w:p>
    <w:p w14:paraId="05227566" w14:textId="18988C70" w:rsidR="00BC7DDA" w:rsidRPr="00BD6C5F" w:rsidRDefault="009B03E9" w:rsidP="00D02CA4">
      <w:pPr>
        <w:pStyle w:val="Numbered111a"/>
        <w:rPr>
          <w:lang w:val="en-GB"/>
        </w:rPr>
      </w:pPr>
      <w:r w:rsidRPr="00BD6C5F">
        <w:rPr>
          <w:lang w:val="en-GB"/>
        </w:rPr>
        <w:t>repeat the IT Health Check not less than once every 12 months during the Term and submit the results of each such test to the Authority for review in accordance with this Paragraph.</w:t>
      </w:r>
    </w:p>
    <w:p w14:paraId="15FE6B2D" w14:textId="77777777" w:rsidR="00BC7DDA" w:rsidRPr="00BD6C5F" w:rsidRDefault="009B03E9" w:rsidP="00247692">
      <w:pPr>
        <w:pStyle w:val="Numbered11"/>
        <w:keepNext/>
      </w:pPr>
      <w:bookmarkStart w:id="209" w:name="_Ref98359082"/>
      <w:r w:rsidRPr="00BD6C5F">
        <w:t>In relation to each IT Health Check, the Supplier shall:</w:t>
      </w:r>
      <w:bookmarkEnd w:id="209"/>
    </w:p>
    <w:p w14:paraId="5C625BC3" w14:textId="77777777" w:rsidR="00BC7DDA" w:rsidRPr="00BD6C5F" w:rsidRDefault="009B03E9" w:rsidP="00D02CA4">
      <w:pPr>
        <w:pStyle w:val="Numbered111"/>
      </w:pPr>
      <w:r w:rsidRPr="00BD6C5F">
        <w:t>agree with the Authority the aim and scope of the IT Health Check;</w:t>
      </w:r>
    </w:p>
    <w:p w14:paraId="44672D71" w14:textId="77777777" w:rsidR="00BC7DDA" w:rsidRPr="00BD6C5F" w:rsidRDefault="009B03E9" w:rsidP="00D02CA4">
      <w:pPr>
        <w:pStyle w:val="Numbered111"/>
      </w:pPr>
      <w:r w:rsidRPr="00BD6C5F">
        <w:t>promptly, and no later than ten (10) Working Days, following the receipt of each IT Health Check report, provide the Authority with a copy of the full report;</w:t>
      </w:r>
    </w:p>
    <w:p w14:paraId="45472D94" w14:textId="77777777" w:rsidR="00BC7DDA" w:rsidRPr="00BD6C5F" w:rsidRDefault="009B03E9" w:rsidP="00247692">
      <w:pPr>
        <w:pStyle w:val="Numbered111"/>
        <w:keepNext/>
      </w:pPr>
      <w:bookmarkStart w:id="210" w:name="_Ref98845540"/>
      <w:r w:rsidRPr="00BD6C5F">
        <w:t>in the event that the IT Health Check report identifies any vulnerabilities, the Supplier shall:</w:t>
      </w:r>
      <w:bookmarkEnd w:id="210"/>
    </w:p>
    <w:p w14:paraId="56AC6553" w14:textId="3AC2D21B" w:rsidR="00BC7DDA" w:rsidRPr="00BD6C5F" w:rsidRDefault="009B03E9" w:rsidP="00247692">
      <w:pPr>
        <w:pStyle w:val="Numbered111a"/>
        <w:keepNext/>
      </w:pPr>
      <w:r w:rsidRPr="00BD6C5F">
        <w:t xml:space="preserve">prepare a remedial plan for approval by the Authority (each a </w:t>
      </w:r>
      <w:r w:rsidR="00A4555C" w:rsidRPr="00BD6C5F">
        <w:t>“</w:t>
      </w:r>
      <w:r w:rsidR="00BA5150" w:rsidRPr="00BD6C5F">
        <w:rPr>
          <w:b/>
        </w:rPr>
        <w:t xml:space="preserve">Remediation Action </w:t>
      </w:r>
      <w:r w:rsidRPr="00BD6C5F">
        <w:rPr>
          <w:b/>
        </w:rPr>
        <w:t>Plan</w:t>
      </w:r>
      <w:r w:rsidR="00A4555C" w:rsidRPr="00BD6C5F">
        <w:t>”</w:t>
      </w:r>
      <w:r w:rsidRPr="00BD6C5F">
        <w:t>) which sets out in respect of each vulnerability identified in the IT Health Check report:</w:t>
      </w:r>
    </w:p>
    <w:p w14:paraId="2EB803D6" w14:textId="77777777" w:rsidR="00BC7DDA" w:rsidRPr="00BD6C5F" w:rsidRDefault="009B03E9" w:rsidP="00D02CA4">
      <w:pPr>
        <w:pStyle w:val="Numbered111ai"/>
      </w:pPr>
      <w:r w:rsidRPr="00BD6C5F">
        <w:t>how the vulnerability will be remedied;</w:t>
      </w:r>
    </w:p>
    <w:p w14:paraId="6477E4AF" w14:textId="77777777" w:rsidR="00BC7DDA" w:rsidRPr="00BD6C5F" w:rsidRDefault="009B03E9" w:rsidP="00247692">
      <w:pPr>
        <w:pStyle w:val="Numbered111ai"/>
        <w:keepNext/>
      </w:pPr>
      <w:r w:rsidRPr="00BD6C5F">
        <w:t>unless otherwise agreed in writing between the Parties, the date by which the vulnerability will be remedied, which must be:</w:t>
      </w:r>
    </w:p>
    <w:p w14:paraId="0767AF9C" w14:textId="2D19180C" w:rsidR="00BC7DDA" w:rsidRPr="00BD6C5F" w:rsidRDefault="009B03E9" w:rsidP="00D02CA4">
      <w:pPr>
        <w:pStyle w:val="Numbered111aiA"/>
      </w:pPr>
      <w:r w:rsidRPr="00BD6C5F">
        <w:t>within three months of the date the Supplier received the IT Health Check report in the case</w:t>
      </w:r>
      <w:r w:rsidR="00DB2677" w:rsidRPr="00BD6C5F">
        <w:t xml:space="preserve"> </w:t>
      </w:r>
      <w:r w:rsidRPr="00BD6C5F">
        <w:t xml:space="preserve">of any vulnerability categorised with a severity of </w:t>
      </w:r>
      <w:r w:rsidR="00A4555C" w:rsidRPr="00BD6C5F">
        <w:t>“</w:t>
      </w:r>
      <w:r w:rsidRPr="00BD6C5F">
        <w:t>medium</w:t>
      </w:r>
      <w:r w:rsidR="00A4555C" w:rsidRPr="00BD6C5F">
        <w:t>”</w:t>
      </w:r>
      <w:r w:rsidRPr="00BD6C5F">
        <w:t>;</w:t>
      </w:r>
    </w:p>
    <w:p w14:paraId="2FC8B11D" w14:textId="650D58C0" w:rsidR="00BC7DDA" w:rsidRPr="00BD6C5F" w:rsidRDefault="009B03E9" w:rsidP="00D02CA4">
      <w:pPr>
        <w:pStyle w:val="Numbered111aiA"/>
      </w:pPr>
      <w:r w:rsidRPr="00BD6C5F">
        <w:t xml:space="preserve">within one month of the date the Supplier received the IT Health Check report in the case of any vulnerability categorised with a severity of </w:t>
      </w:r>
      <w:r w:rsidR="00A4555C" w:rsidRPr="00BD6C5F">
        <w:t>“</w:t>
      </w:r>
      <w:r w:rsidRPr="00BD6C5F">
        <w:t>high</w:t>
      </w:r>
      <w:r w:rsidR="00A4555C" w:rsidRPr="00BD6C5F">
        <w:t>”</w:t>
      </w:r>
      <w:r w:rsidRPr="00BD6C5F">
        <w:t>; and</w:t>
      </w:r>
    </w:p>
    <w:p w14:paraId="413F7D47" w14:textId="4ED99706" w:rsidR="00BC7DDA" w:rsidRPr="00BD6C5F" w:rsidRDefault="009B03E9" w:rsidP="00D02CA4">
      <w:pPr>
        <w:pStyle w:val="Numbered111aiA"/>
      </w:pPr>
      <w:r w:rsidRPr="00BD6C5F">
        <w:lastRenderedPageBreak/>
        <w:t xml:space="preserve">within </w:t>
      </w:r>
      <w:r w:rsidR="00BA5150" w:rsidRPr="00BD6C5F">
        <w:t>7</w:t>
      </w:r>
      <w:r w:rsidRPr="00BD6C5F">
        <w:t xml:space="preserve"> Working Days of the date the Supplier received the IT Health Check report in the case of any vulnerability categorised with a severity of </w:t>
      </w:r>
      <w:r w:rsidR="00A4555C" w:rsidRPr="00BD6C5F">
        <w:t>“</w:t>
      </w:r>
      <w:r w:rsidRPr="00BD6C5F">
        <w:t>critical</w:t>
      </w:r>
      <w:r w:rsidR="00A4555C" w:rsidRPr="00BD6C5F">
        <w:t>”</w:t>
      </w:r>
      <w:r w:rsidRPr="00BD6C5F">
        <w:t>;</w:t>
      </w:r>
    </w:p>
    <w:p w14:paraId="3BB5DB2B" w14:textId="77777777" w:rsidR="00BC7DDA" w:rsidRPr="00BD6C5F" w:rsidRDefault="009B03E9" w:rsidP="00D02CA4">
      <w:pPr>
        <w:pStyle w:val="Numbered111ai"/>
      </w:pPr>
      <w:r w:rsidRPr="00BD6C5F">
        <w:t>the tests which the Supplier shall perform or procure to be performed (which may, at the discretion of the Authority, include a further IT Health Check) to confirm that the vulnerability has been remedied;</w:t>
      </w:r>
    </w:p>
    <w:p w14:paraId="4AA5DA4F" w14:textId="71C0203B" w:rsidR="00BC7DDA" w:rsidRPr="00BD6C5F" w:rsidRDefault="009B03E9" w:rsidP="00D02CA4">
      <w:pPr>
        <w:pStyle w:val="Numbered111ai"/>
      </w:pPr>
      <w:r w:rsidRPr="00BD6C5F">
        <w:t xml:space="preserve">comply with the </w:t>
      </w:r>
      <w:r w:rsidR="00BA5150" w:rsidRPr="00BD6C5F">
        <w:t>Remediation Action</w:t>
      </w:r>
      <w:r w:rsidRPr="00BD6C5F">
        <w:t xml:space="preserve"> Plan; and</w:t>
      </w:r>
    </w:p>
    <w:p w14:paraId="57B4F2CC" w14:textId="365AE6B1" w:rsidR="00BC7DDA" w:rsidRPr="00BD6C5F" w:rsidRDefault="009B03E9" w:rsidP="00D02CA4">
      <w:pPr>
        <w:pStyle w:val="Numbered111ai"/>
      </w:pPr>
      <w:r w:rsidRPr="00BD6C5F">
        <w:t xml:space="preserve">conduct such further tests on the Service as are required by the </w:t>
      </w:r>
      <w:r w:rsidR="00BA5150" w:rsidRPr="00BD6C5F">
        <w:t xml:space="preserve">Remediation Action </w:t>
      </w:r>
      <w:r w:rsidRPr="00BD6C5F">
        <w:t xml:space="preserve">Plan to confirm that the </w:t>
      </w:r>
      <w:r w:rsidR="00BA5150" w:rsidRPr="00BD6C5F">
        <w:t xml:space="preserve">Remediation Action </w:t>
      </w:r>
      <w:r w:rsidRPr="00BD6C5F">
        <w:t>Plan has been complied with.</w:t>
      </w:r>
    </w:p>
    <w:p w14:paraId="53D35DBD" w14:textId="77777777" w:rsidR="00BC7DDA" w:rsidRPr="00BD6C5F" w:rsidRDefault="009B03E9" w:rsidP="00C5057A">
      <w:pPr>
        <w:pStyle w:val="Numbered11"/>
      </w:pPr>
      <w:r w:rsidRPr="00BD6C5F">
        <w:t>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Authority.</w:t>
      </w:r>
    </w:p>
    <w:p w14:paraId="6EC00F7F" w14:textId="77777777" w:rsidR="00BC7DDA" w:rsidRPr="00BD6C5F" w:rsidRDefault="009B03E9" w:rsidP="00C5057A">
      <w:pPr>
        <w:pStyle w:val="Numbered11"/>
      </w:pPr>
      <w:r w:rsidRPr="00BD6C5F">
        <w:t xml:space="preserve">If any testing conducted by or on behalf of the Supplier identifies a new risk, new threat, vulnerability or exploitation technique that has the potential to affect the security of the Information Management System, the Supplier shall within </w:t>
      </w:r>
      <w:r w:rsidRPr="00BD6C5F">
        <w:rPr>
          <w:b/>
          <w:bCs/>
        </w:rPr>
        <w:t>[</w:t>
      </w:r>
      <w:r w:rsidRPr="00BD6C5F">
        <w:rPr>
          <w:b/>
          <w:bCs/>
          <w:shd w:val="clear" w:color="auto" w:fill="FFFF00"/>
        </w:rPr>
        <w:t>2</w:t>
      </w:r>
      <w:r w:rsidRPr="00BD6C5F">
        <w:rPr>
          <w:b/>
          <w:bCs/>
        </w:rPr>
        <w:t>]</w:t>
      </w:r>
      <w:r w:rsidRPr="00BD6C5F">
        <w:t xml:space="preserve"> Working Days of becoming aware of such risk, threat, vulnerability or exploitation technique provide the Authority with a copy of the test report and:</w:t>
      </w:r>
    </w:p>
    <w:p w14:paraId="591F744B" w14:textId="77777777" w:rsidR="00BC7DDA" w:rsidRPr="00BD6C5F" w:rsidRDefault="009B03E9" w:rsidP="00D02CA4">
      <w:pPr>
        <w:pStyle w:val="Numbered111"/>
      </w:pPr>
      <w:r w:rsidRPr="00BD6C5F">
        <w:t>propose interim mitigation measures to vulnerabilities in the Information Management System known to be exploitable where a security patch is not immediately available; and</w:t>
      </w:r>
    </w:p>
    <w:p w14:paraId="26BD5683" w14:textId="77777777" w:rsidR="00BC7DDA" w:rsidRPr="00BD6C5F" w:rsidRDefault="009B03E9" w:rsidP="00D02CA4">
      <w:pPr>
        <w:pStyle w:val="Numbered111"/>
      </w:pPr>
      <w:r w:rsidRPr="00BD6C5F">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48AC9D55" w14:textId="31A4C595" w:rsidR="00BC7DDA" w:rsidRPr="00BD6C5F" w:rsidRDefault="009B03E9" w:rsidP="00C5057A">
      <w:pPr>
        <w:pStyle w:val="Numbered11"/>
      </w:pPr>
      <w:r w:rsidRPr="00BD6C5F">
        <w:t>The Supplier shall conduct such further tests of the Supplier System as may be required by the Authority from time to time to demonstrate compliance with its obligations set out this Schedule and the</w:t>
      </w:r>
      <w:r w:rsidR="00BA5150" w:rsidRPr="00BD6C5F">
        <w:t xml:space="preserve"> Contract</w:t>
      </w:r>
      <w:r w:rsidRPr="00BD6C5F">
        <w:t>.</w:t>
      </w:r>
    </w:p>
    <w:p w14:paraId="60453D3E" w14:textId="3853F328" w:rsidR="00BC7DDA" w:rsidRPr="00BD6C5F" w:rsidRDefault="009B03E9" w:rsidP="00C5057A">
      <w:pPr>
        <w:pStyle w:val="Numbered11"/>
      </w:pPr>
      <w:r w:rsidRPr="00BD6C5F">
        <w:t>The Supplier shall notify the Authority immediately if it fails to, or believes that it will not, mitigate the vulnerability within the timescales set out in</w:t>
      </w:r>
      <w:r w:rsidR="00051DF5" w:rsidRPr="00BD6C5F">
        <w:t xml:space="preserve"> Paragraph</w:t>
      </w:r>
      <w:r w:rsidR="004E7151" w:rsidRPr="00BD6C5F">
        <w:t> </w:t>
      </w:r>
      <w:r w:rsidR="004E7151" w:rsidRPr="00BD6C5F">
        <w:fldChar w:fldCharType="begin"/>
      </w:r>
      <w:r w:rsidR="004E7151" w:rsidRPr="00BD6C5F">
        <w:instrText xml:space="preserve"> REF _Ref98359082 \n \h </w:instrText>
      </w:r>
      <w:r w:rsidR="00AD7DD0" w:rsidRPr="00BD6C5F">
        <w:instrText xml:space="preserve"> \* MERGEFORMAT </w:instrText>
      </w:r>
      <w:r w:rsidR="004E7151" w:rsidRPr="00BD6C5F">
        <w:fldChar w:fldCharType="separate"/>
      </w:r>
      <w:r w:rsidR="009749A0">
        <w:t>7.3</w:t>
      </w:r>
      <w:r w:rsidR="004E7151" w:rsidRPr="00BD6C5F">
        <w:fldChar w:fldCharType="end"/>
      </w:r>
      <w:r w:rsidR="00051DF5" w:rsidRPr="00BD6C5F">
        <w:t>.</w:t>
      </w:r>
    </w:p>
    <w:p w14:paraId="5B4B4EB6" w14:textId="77777777" w:rsidR="00BC7DDA" w:rsidRPr="00BD6C5F" w:rsidRDefault="009B03E9" w:rsidP="00C5057A">
      <w:pPr>
        <w:pStyle w:val="Numbered1"/>
      </w:pPr>
      <w:r w:rsidRPr="00BD6C5F">
        <w:t>Security Monitoring and Reporting</w:t>
      </w:r>
    </w:p>
    <w:p w14:paraId="73177820" w14:textId="77777777" w:rsidR="00BC7DDA" w:rsidRPr="00BD6C5F" w:rsidRDefault="009B03E9" w:rsidP="00247692">
      <w:pPr>
        <w:pStyle w:val="Numbered11"/>
        <w:keepNext/>
      </w:pPr>
      <w:r w:rsidRPr="00BD6C5F">
        <w:t>The Supplier shall:</w:t>
      </w:r>
    </w:p>
    <w:p w14:paraId="666865EC" w14:textId="77777777" w:rsidR="00BC7DDA" w:rsidRPr="00BD6C5F" w:rsidRDefault="009B03E9" w:rsidP="00D02CA4">
      <w:pPr>
        <w:pStyle w:val="Numbered111"/>
      </w:pPr>
      <w:r w:rsidRPr="00BD6C5F">
        <w:t>monitor the delivery of assurance activities;</w:t>
      </w:r>
    </w:p>
    <w:p w14:paraId="4E1B0A24" w14:textId="3A7D3D6A" w:rsidR="00BC7DDA" w:rsidRPr="00BD6C5F" w:rsidRDefault="009B03E9" w:rsidP="00D02CA4">
      <w:pPr>
        <w:pStyle w:val="Numbered111"/>
      </w:pPr>
      <w:r w:rsidRPr="00BD6C5F">
        <w:t xml:space="preserve">maintain and update the Security Management Plan in accordance with Paragraph </w:t>
      </w:r>
      <w:r w:rsidR="004E7151" w:rsidRPr="00BD6C5F">
        <w:fldChar w:fldCharType="begin"/>
      </w:r>
      <w:r w:rsidR="004E7151" w:rsidRPr="00BD6C5F">
        <w:instrText xml:space="preserve"> REF _Ref98359093 \n \h </w:instrText>
      </w:r>
      <w:r w:rsidR="00AD7DD0" w:rsidRPr="00BD6C5F">
        <w:instrText xml:space="preserve"> \* MERGEFORMAT </w:instrText>
      </w:r>
      <w:r w:rsidR="004E7151" w:rsidRPr="00BD6C5F">
        <w:fldChar w:fldCharType="separate"/>
      </w:r>
      <w:r w:rsidR="009749A0">
        <w:t>5</w:t>
      </w:r>
      <w:r w:rsidR="004E7151" w:rsidRPr="00BD6C5F">
        <w:fldChar w:fldCharType="end"/>
      </w:r>
      <w:r w:rsidRPr="00BD6C5F">
        <w:t>;</w:t>
      </w:r>
    </w:p>
    <w:p w14:paraId="7E60E722" w14:textId="690B6266" w:rsidR="00BC7DDA" w:rsidRPr="00BD6C5F" w:rsidRDefault="009B03E9" w:rsidP="00D02CA4">
      <w:pPr>
        <w:pStyle w:val="Numbered111"/>
      </w:pPr>
      <w:r w:rsidRPr="00BD6C5F">
        <w:t>agree a document which presents the residual security risks to inform the Authority</w:t>
      </w:r>
      <w:r w:rsidR="00A4555C" w:rsidRPr="00BD6C5F">
        <w:t>’</w:t>
      </w:r>
      <w:r w:rsidRPr="00BD6C5F">
        <w:t xml:space="preserve">s decision to give approval to the Supplier to Process and transit the </w:t>
      </w:r>
      <w:r w:rsidRPr="00BD6C5F">
        <w:lastRenderedPageBreak/>
        <w:t>Authority Data;</w:t>
      </w:r>
    </w:p>
    <w:p w14:paraId="668FFE4F" w14:textId="77777777" w:rsidR="00BC7DDA" w:rsidRPr="00BD6C5F" w:rsidRDefault="009B03E9" w:rsidP="00D02CA4">
      <w:pPr>
        <w:pStyle w:val="Numbered111"/>
      </w:pPr>
      <w:r w:rsidRPr="00BD6C5F">
        <w:t>monitor security risk impacting upon the operation of the Service;</w:t>
      </w:r>
    </w:p>
    <w:p w14:paraId="3D1BF963" w14:textId="77777777" w:rsidR="00BC7DDA" w:rsidRPr="00BD6C5F" w:rsidRDefault="009B03E9" w:rsidP="00D02CA4">
      <w:pPr>
        <w:pStyle w:val="Numbered111"/>
      </w:pPr>
      <w:r w:rsidRPr="00BD6C5F">
        <w:t>report Breaches of Security in accordance with the approved Incident Management Process;</w:t>
      </w:r>
    </w:p>
    <w:p w14:paraId="753B18E3" w14:textId="77777777" w:rsidR="00BC7DDA" w:rsidRPr="00BD6C5F" w:rsidRDefault="009B03E9" w:rsidP="00D02CA4">
      <w:pPr>
        <w:pStyle w:val="Numbered111"/>
      </w:pPr>
      <w:r w:rsidRPr="00BD6C5F">
        <w:t xml:space="preserve">agree with the Authority the frequency and nature of the security reports to be prepared and submitted by the Supplier to the Authority within </w:t>
      </w:r>
      <w:r w:rsidRPr="006D1202">
        <w:rPr>
          <w:shd w:val="clear" w:color="auto" w:fill="FFFF00"/>
        </w:rPr>
        <w:t>[20]</w:t>
      </w:r>
      <w:r w:rsidRPr="006D1202">
        <w:t xml:space="preserve"> </w:t>
      </w:r>
      <w:r w:rsidRPr="00BD6C5F">
        <w:t>Working Days of Effective Date.</w:t>
      </w:r>
    </w:p>
    <w:p w14:paraId="7736B911" w14:textId="77777777" w:rsidR="00BC7DDA" w:rsidRPr="00BD6C5F" w:rsidRDefault="009B03E9" w:rsidP="00C5057A">
      <w:pPr>
        <w:pStyle w:val="Numbered1"/>
      </w:pPr>
      <w:bookmarkStart w:id="211" w:name="_bookmark71"/>
      <w:bookmarkStart w:id="212" w:name="_Ref98358935"/>
      <w:bookmarkEnd w:id="211"/>
      <w:r w:rsidRPr="00BD6C5F">
        <w:t>Malicious Software</w:t>
      </w:r>
      <w:bookmarkEnd w:id="212"/>
    </w:p>
    <w:p w14:paraId="0966C414" w14:textId="77777777" w:rsidR="00BC7DDA" w:rsidRPr="00BD6C5F" w:rsidRDefault="009B03E9" w:rsidP="00C5057A">
      <w:pPr>
        <w:pStyle w:val="Numbered11"/>
      </w:pPr>
      <w:r w:rsidRPr="00BD6C5F">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467CF354" w14:textId="77777777" w:rsidR="00BC7DDA" w:rsidRPr="00BD6C5F" w:rsidRDefault="009B03E9" w:rsidP="00C5057A">
      <w:pPr>
        <w:pStyle w:val="Numbered11"/>
      </w:pPr>
      <w:bookmarkStart w:id="213" w:name="_bookmark72"/>
      <w:bookmarkStart w:id="214" w:name="_Ref98359108"/>
      <w:bookmarkEnd w:id="213"/>
      <w:r w:rsidRPr="00BD6C5F">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214"/>
    </w:p>
    <w:p w14:paraId="428FC2F8" w14:textId="1C3DEB1D" w:rsidR="00BC7DDA" w:rsidRPr="00BD6C5F" w:rsidRDefault="009B03E9" w:rsidP="00247692">
      <w:pPr>
        <w:pStyle w:val="Numbered11"/>
        <w:keepNext/>
      </w:pPr>
      <w:r w:rsidRPr="00BD6C5F">
        <w:t xml:space="preserve">Any cost arising out of the actions of the parties taken in compliance with the provisions of Paragraph </w:t>
      </w:r>
      <w:r w:rsidR="004E7151" w:rsidRPr="00BD6C5F">
        <w:fldChar w:fldCharType="begin"/>
      </w:r>
      <w:r w:rsidR="004E7151" w:rsidRPr="00BD6C5F">
        <w:instrText xml:space="preserve"> REF _Ref98359108 \n \h </w:instrText>
      </w:r>
      <w:r w:rsidR="00AD7DD0" w:rsidRPr="00BD6C5F">
        <w:instrText xml:space="preserve"> \* MERGEFORMAT </w:instrText>
      </w:r>
      <w:r w:rsidR="004E7151" w:rsidRPr="00BD6C5F">
        <w:fldChar w:fldCharType="separate"/>
      </w:r>
      <w:r w:rsidR="009749A0">
        <w:t>9.2</w:t>
      </w:r>
      <w:r w:rsidR="004E7151" w:rsidRPr="00BD6C5F">
        <w:fldChar w:fldCharType="end"/>
      </w:r>
      <w:r w:rsidRPr="00BD6C5F">
        <w:t xml:space="preserve"> shall be borne by the parties as follows:</w:t>
      </w:r>
    </w:p>
    <w:p w14:paraId="75BB50FC" w14:textId="77777777" w:rsidR="00051DF5" w:rsidRPr="00BD6C5F" w:rsidRDefault="009B03E9" w:rsidP="00247692">
      <w:pPr>
        <w:pStyle w:val="Numbered111"/>
        <w:keepNext/>
      </w:pPr>
      <w:r w:rsidRPr="00BD6C5F">
        <w:t>by the Supplier where the Malicious Software originates from</w:t>
      </w:r>
      <w:r w:rsidR="00051DF5" w:rsidRPr="00BD6C5F">
        <w:t>:</w:t>
      </w:r>
    </w:p>
    <w:p w14:paraId="6176D741" w14:textId="50BAA0F9" w:rsidR="00051DF5" w:rsidRPr="00BD6C5F" w:rsidRDefault="009B03E9" w:rsidP="00D452D9">
      <w:pPr>
        <w:pStyle w:val="Numbered111a"/>
      </w:pPr>
      <w:r w:rsidRPr="00BD6C5F">
        <w:t>the Supplier Software</w:t>
      </w:r>
      <w:r w:rsidR="00051DF5" w:rsidRPr="00BD6C5F">
        <w:t>;</w:t>
      </w:r>
      <w:r w:rsidRPr="00BD6C5F">
        <w:t xml:space="preserve"> </w:t>
      </w:r>
    </w:p>
    <w:p w14:paraId="4BE17043" w14:textId="6F4867B3" w:rsidR="00051DF5" w:rsidRPr="00BD6C5F" w:rsidRDefault="009B03E9" w:rsidP="00D452D9">
      <w:pPr>
        <w:pStyle w:val="Numbered111a"/>
      </w:pPr>
      <w:r w:rsidRPr="00BD6C5F">
        <w:t>the Third Party Software supplied by the Supplier</w:t>
      </w:r>
      <w:r w:rsidR="00051DF5" w:rsidRPr="00BD6C5F">
        <w:t>;</w:t>
      </w:r>
      <w:r w:rsidRPr="00BD6C5F">
        <w:t xml:space="preserve"> or</w:t>
      </w:r>
    </w:p>
    <w:p w14:paraId="5D7B1185" w14:textId="1020C3B4" w:rsidR="00051DF5" w:rsidRPr="00BD6C5F" w:rsidRDefault="009B03E9" w:rsidP="00D452D9">
      <w:pPr>
        <w:pStyle w:val="Numbered111a"/>
      </w:pPr>
      <w:r w:rsidRPr="00BD6C5F">
        <w:t xml:space="preserve">the Authority Data whilst the Authority Data </w:t>
      </w:r>
      <w:r w:rsidR="00897A38" w:rsidRPr="00BD6C5F">
        <w:t xml:space="preserve">is or </w:t>
      </w:r>
      <w:r w:rsidRPr="00BD6C5F">
        <w:t>was under the control of the Supplier</w:t>
      </w:r>
      <w:r w:rsidR="00897A38" w:rsidRPr="00BD6C5F">
        <w:t>,</w:t>
      </w:r>
      <w:r w:rsidRPr="00BD6C5F">
        <w:t xml:space="preserve"> </w:t>
      </w:r>
    </w:p>
    <w:p w14:paraId="20377BB0" w14:textId="50B312DB" w:rsidR="00BC7DDA" w:rsidRPr="00BD6C5F" w:rsidRDefault="009B03E9" w:rsidP="003200C4">
      <w:pPr>
        <w:pStyle w:val="ListParagraph"/>
        <w:tabs>
          <w:tab w:val="left" w:pos="1906"/>
          <w:tab w:val="left" w:pos="1907"/>
        </w:tabs>
        <w:spacing w:before="100" w:after="200"/>
        <w:ind w:left="1803" w:right="11" w:firstLine="0"/>
        <w:rPr>
          <w:rFonts w:asciiTheme="minorHAnsi" w:hAnsiTheme="minorHAnsi" w:cstheme="minorHAnsi"/>
          <w:szCs w:val="24"/>
        </w:rPr>
      </w:pPr>
      <w:r w:rsidRPr="00BD6C5F">
        <w:rPr>
          <w:rFonts w:asciiTheme="minorHAnsi" w:hAnsiTheme="minorHAnsi" w:cstheme="minorHAnsi"/>
          <w:szCs w:val="24"/>
        </w:rPr>
        <w:t>unless</w:t>
      </w:r>
      <w:r w:rsidR="00897A38" w:rsidRPr="00BD6C5F">
        <w:rPr>
          <w:rFonts w:asciiTheme="minorHAnsi" w:hAnsiTheme="minorHAnsi" w:cstheme="minorHAnsi"/>
          <w:szCs w:val="24"/>
        </w:rPr>
        <w:t>,</w:t>
      </w:r>
      <w:r w:rsidRPr="00BD6C5F">
        <w:rPr>
          <w:rFonts w:asciiTheme="minorHAnsi" w:hAnsiTheme="minorHAnsi" w:cstheme="minorHAnsi"/>
          <w:szCs w:val="24"/>
        </w:rPr>
        <w:t xml:space="preserve"> </w:t>
      </w:r>
      <w:r w:rsidR="00897A38" w:rsidRPr="00BD6C5F">
        <w:rPr>
          <w:rFonts w:asciiTheme="minorHAnsi" w:hAnsiTheme="minorHAnsi" w:cstheme="minorHAnsi"/>
          <w:szCs w:val="24"/>
        </w:rPr>
        <w:t xml:space="preserve">in the case of the Authority Data only, </w:t>
      </w:r>
      <w:r w:rsidRPr="00BD6C5F">
        <w:rPr>
          <w:rFonts w:asciiTheme="minorHAnsi" w:hAnsiTheme="minorHAnsi" w:cstheme="minorHAnsi"/>
          <w:szCs w:val="24"/>
        </w:rPr>
        <w:t xml:space="preserve">the Supplier can demonstrate that such Malicious Software was present </w:t>
      </w:r>
      <w:r w:rsidR="00897A38" w:rsidRPr="00BD6C5F">
        <w:rPr>
          <w:rFonts w:asciiTheme="minorHAnsi" w:hAnsiTheme="minorHAnsi" w:cstheme="minorHAnsi"/>
          <w:szCs w:val="24"/>
        </w:rPr>
        <w:t xml:space="preserve">in the Authority Data </w:t>
      </w:r>
      <w:r w:rsidRPr="00BD6C5F">
        <w:rPr>
          <w:rFonts w:asciiTheme="minorHAnsi" w:hAnsiTheme="minorHAnsi" w:cstheme="minorHAnsi"/>
          <w:szCs w:val="24"/>
        </w:rPr>
        <w:t>and not quarantined or otherwise identified by the Authority when</w:t>
      </w:r>
      <w:r w:rsidR="00897A38" w:rsidRPr="00BD6C5F">
        <w:rPr>
          <w:rFonts w:asciiTheme="minorHAnsi" w:hAnsiTheme="minorHAnsi" w:cstheme="minorHAnsi"/>
          <w:szCs w:val="24"/>
        </w:rPr>
        <w:t xml:space="preserve"> the Authority </w:t>
      </w:r>
      <w:r w:rsidRPr="00BD6C5F">
        <w:rPr>
          <w:rFonts w:asciiTheme="minorHAnsi" w:hAnsiTheme="minorHAnsi" w:cstheme="minorHAnsi"/>
          <w:szCs w:val="24"/>
        </w:rPr>
        <w:t>provided</w:t>
      </w:r>
      <w:r w:rsidR="00897A38" w:rsidRPr="00BD6C5F">
        <w:rPr>
          <w:rFonts w:asciiTheme="minorHAnsi" w:hAnsiTheme="minorHAnsi" w:cstheme="minorHAnsi"/>
          <w:szCs w:val="24"/>
        </w:rPr>
        <w:t xml:space="preserve"> the Authority Data</w:t>
      </w:r>
      <w:r w:rsidRPr="00BD6C5F">
        <w:rPr>
          <w:rFonts w:asciiTheme="minorHAnsi" w:hAnsiTheme="minorHAnsi" w:cstheme="minorHAnsi"/>
          <w:szCs w:val="24"/>
        </w:rPr>
        <w:t xml:space="preserve"> to the Supplier; and</w:t>
      </w:r>
    </w:p>
    <w:p w14:paraId="4D7077CE" w14:textId="5400906A" w:rsidR="00BC7DDA" w:rsidRPr="00BD6C5F" w:rsidRDefault="009B03E9" w:rsidP="00AF7C47">
      <w:pPr>
        <w:pStyle w:val="Numbered111"/>
      </w:pPr>
      <w:r w:rsidRPr="00BD6C5F">
        <w:t>by the Authority, in any other circumstance.</w:t>
      </w:r>
    </w:p>
    <w:p w14:paraId="6EB1032F" w14:textId="77777777" w:rsidR="00BC7DDA" w:rsidRPr="00BD6C5F" w:rsidRDefault="009B03E9" w:rsidP="00C5057A">
      <w:pPr>
        <w:pStyle w:val="Numbered1"/>
      </w:pPr>
      <w:r w:rsidRPr="00BD6C5F">
        <w:t>Breach of Security</w:t>
      </w:r>
    </w:p>
    <w:p w14:paraId="17D40AC0" w14:textId="77777777" w:rsidR="00BC7DDA" w:rsidRPr="00BD6C5F" w:rsidRDefault="009B03E9" w:rsidP="00C5057A">
      <w:pPr>
        <w:pStyle w:val="Numbered11"/>
      </w:pPr>
      <w:r w:rsidRPr="00BD6C5F">
        <w:t>If either party becomes aware of a Breach of Security it shall notify the other in accordance with the Incident Management Process.</w:t>
      </w:r>
    </w:p>
    <w:p w14:paraId="3CAD3826" w14:textId="77777777" w:rsidR="00BC7DDA" w:rsidRPr="00BD6C5F" w:rsidRDefault="009B03E9" w:rsidP="00247692">
      <w:pPr>
        <w:pStyle w:val="Numbered11"/>
        <w:keepNext/>
      </w:pPr>
      <w:r w:rsidRPr="00BD6C5F">
        <w:t xml:space="preserve">The Incident Management Process shall, as a minimum, require the Supplier to do the following upon it becoming aware of a Breach of Security or attempted Breach of </w:t>
      </w:r>
      <w:r w:rsidRPr="00BD6C5F">
        <w:lastRenderedPageBreak/>
        <w:t>Security:</w:t>
      </w:r>
    </w:p>
    <w:p w14:paraId="5C4FDFD2" w14:textId="77777777" w:rsidR="00BC7DDA" w:rsidRPr="00BD6C5F" w:rsidRDefault="009B03E9" w:rsidP="00247692">
      <w:pPr>
        <w:pStyle w:val="Numbered111"/>
        <w:keepNext/>
      </w:pPr>
      <w:r w:rsidRPr="00BD6C5F">
        <w:t>Immediately take all reasonable steps necessary to:</w:t>
      </w:r>
    </w:p>
    <w:p w14:paraId="7F4A6935" w14:textId="77777777" w:rsidR="00BC7DDA" w:rsidRPr="00BD6C5F" w:rsidRDefault="009B03E9" w:rsidP="00D452D9">
      <w:pPr>
        <w:pStyle w:val="Numbered111a"/>
      </w:pPr>
      <w:r w:rsidRPr="00BD6C5F">
        <w:t>minimise the extent of actual or potential harm caused by such Breach of Security;</w:t>
      </w:r>
    </w:p>
    <w:p w14:paraId="64B30200" w14:textId="77777777" w:rsidR="00BC7DDA" w:rsidRPr="00BD6C5F" w:rsidRDefault="009B03E9" w:rsidP="00AF7C47">
      <w:pPr>
        <w:pStyle w:val="Numbered111a"/>
        <w:rPr>
          <w:lang w:val="en-GB"/>
        </w:rPr>
      </w:pPr>
      <w:r w:rsidRPr="00BD6C5F">
        <w:rPr>
          <w:lang w:val="en-GB"/>
        </w:rPr>
        <w:t>remedy such Breach of Security to the extent possible;</w:t>
      </w:r>
    </w:p>
    <w:p w14:paraId="42609BA2" w14:textId="77777777" w:rsidR="00BC7DDA" w:rsidRPr="00BD6C5F" w:rsidRDefault="009B03E9" w:rsidP="00AF7C47">
      <w:pPr>
        <w:pStyle w:val="Numbered111a"/>
        <w:rPr>
          <w:lang w:val="en-GB"/>
        </w:rPr>
      </w:pPr>
      <w:r w:rsidRPr="00BD6C5F">
        <w:rPr>
          <w:lang w:val="en-GB"/>
        </w:rPr>
        <w:t>apply a tested mitigation against any such Breach of Security; and</w:t>
      </w:r>
    </w:p>
    <w:p w14:paraId="0F3F6355" w14:textId="77777777" w:rsidR="00BC7DDA" w:rsidRPr="00BD6C5F" w:rsidRDefault="009B03E9" w:rsidP="00AF7C47">
      <w:pPr>
        <w:pStyle w:val="Numbered111a"/>
        <w:rPr>
          <w:lang w:val="en-GB"/>
        </w:rPr>
      </w:pPr>
      <w:r w:rsidRPr="00BD6C5F">
        <w:rPr>
          <w:lang w:val="en-GB"/>
        </w:rPr>
        <w:t>prevent a further Breach of Security in the future which exploits the same root cause failure;</w:t>
      </w:r>
    </w:p>
    <w:p w14:paraId="0DD26051" w14:textId="77777777" w:rsidR="00BC7DDA" w:rsidRPr="00BD6C5F" w:rsidRDefault="009B03E9" w:rsidP="00AF7C47">
      <w:pPr>
        <w:pStyle w:val="Numbered111"/>
      </w:pPr>
      <w:r w:rsidRPr="00BD6C5F">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5AC5ABE3" w14:textId="1989493B" w:rsidR="00BC7DDA" w:rsidRDefault="009B03E9" w:rsidP="00C5057A">
      <w:pPr>
        <w:pStyle w:val="Numbered11"/>
      </w:pPr>
      <w:r w:rsidRPr="00BD6C5F">
        <w:t xml:space="preserve">In the event that any action is taken in response to a Breach of Security or attempted Breach of Security as a result of non-compliance by the Supplier, its Sub-contractors and/or all or any part of the Information Management System with this </w:t>
      </w:r>
      <w:r w:rsidR="005E1E05" w:rsidRPr="00BD6C5F">
        <w:t>Contract</w:t>
      </w:r>
      <w:r w:rsidRPr="00BD6C5F">
        <w:t>, then such remedial action shall be completed at no additional cost to the Authority.</w:t>
      </w:r>
    </w:p>
    <w:p w14:paraId="42CB1DEC" w14:textId="0547B723" w:rsidR="004C50F4" w:rsidRDefault="004C50F4">
      <w:pPr>
        <w:rPr>
          <w:rFonts w:ascii="Times New Roman" w:eastAsia="STZhongsong" w:hAnsi="Times New Roman" w:cs="Times New Roman"/>
          <w:sz w:val="22"/>
          <w:szCs w:val="20"/>
          <w:lang w:eastAsia="zh-CN" w:bidi="ar-SA"/>
        </w:rPr>
      </w:pPr>
      <w:r>
        <w:br w:type="page"/>
      </w:r>
    </w:p>
    <w:p w14:paraId="3A03E551" w14:textId="50903258" w:rsidR="00BC7DDA" w:rsidRPr="00BD6C5F" w:rsidRDefault="00AF7C47" w:rsidP="003200C4">
      <w:pPr>
        <w:pStyle w:val="Heading2"/>
      </w:pPr>
      <w:bookmarkStart w:id="215" w:name="_Toc98332711"/>
      <w:bookmarkStart w:id="216" w:name="_Ref98332803"/>
      <w:bookmarkStart w:id="217" w:name="_Ref98333168"/>
      <w:bookmarkStart w:id="218" w:name="_Ref98339864"/>
      <w:bookmarkStart w:id="219" w:name="_Ref98339969"/>
      <w:bookmarkStart w:id="220" w:name="_Ref98340444"/>
      <w:bookmarkStart w:id="221" w:name="_Ref98340459"/>
      <w:bookmarkStart w:id="222" w:name="_Ref98340540"/>
      <w:bookmarkStart w:id="223" w:name="_Ref98340793"/>
      <w:bookmarkStart w:id="224" w:name="_Toc98852888"/>
      <w:bookmarkStart w:id="225" w:name="_Toc141720981"/>
      <w:r w:rsidRPr="00BD6C5F">
        <w:lastRenderedPageBreak/>
        <w:t xml:space="preserve">Annex </w:t>
      </w:r>
      <w:bookmarkStart w:id="226" w:name="Schedule_5_Part_A_Annex_1"/>
      <w:r w:rsidRPr="00BD6C5F">
        <w:t>1</w:t>
      </w:r>
      <w:bookmarkEnd w:id="226"/>
      <w:r w:rsidRPr="00BD6C5F">
        <w:t>: Security Requirements</w:t>
      </w:r>
      <w:bookmarkEnd w:id="215"/>
      <w:bookmarkEnd w:id="216"/>
      <w:bookmarkEnd w:id="217"/>
      <w:bookmarkEnd w:id="218"/>
      <w:bookmarkEnd w:id="219"/>
      <w:bookmarkEnd w:id="220"/>
      <w:bookmarkEnd w:id="221"/>
      <w:bookmarkEnd w:id="222"/>
      <w:bookmarkEnd w:id="223"/>
      <w:bookmarkEnd w:id="224"/>
      <w:bookmarkEnd w:id="225"/>
    </w:p>
    <w:p w14:paraId="725FA6C9" w14:textId="77777777" w:rsidR="00BC7DDA" w:rsidRPr="00BD6C5F" w:rsidRDefault="009B03E9" w:rsidP="00B71FC0">
      <w:pPr>
        <w:pStyle w:val="AppendixText1"/>
        <w:numPr>
          <w:ilvl w:val="0"/>
          <w:numId w:val="139"/>
        </w:numPr>
      </w:pPr>
      <w:r w:rsidRPr="00BD6C5F">
        <w:t>Security Classification of Information</w:t>
      </w:r>
    </w:p>
    <w:p w14:paraId="0FB92D23" w14:textId="4A59BE24" w:rsidR="000F7288" w:rsidRPr="00BD6C5F" w:rsidRDefault="009B03E9" w:rsidP="00247692">
      <w:pPr>
        <w:pStyle w:val="AppendixText2"/>
        <w:keepNext/>
      </w:pPr>
      <w:r w:rsidRPr="00BD6C5F">
        <w:t>I</w:t>
      </w:r>
      <w:r w:rsidR="000F7288" w:rsidRPr="00BD6C5F">
        <w:t xml:space="preserve">f the provision of the Services requires the Supplier to Process Authority Data which is classified as: </w:t>
      </w:r>
    </w:p>
    <w:p w14:paraId="4E055DC6" w14:textId="10F76947" w:rsidR="000F7288" w:rsidRPr="00BD6C5F" w:rsidRDefault="000F7288" w:rsidP="00EF34C4">
      <w:pPr>
        <w:pStyle w:val="AppendixText3"/>
      </w:pPr>
      <w:r w:rsidRPr="00BD6C5F">
        <w:t>OFFICIAL-SENSITIVE, the Supplier shall implement such additional measures as agreed with the Authority from time to time in order to ensure that such information is safeguarded in accordance with the applicable Standards; and/or</w:t>
      </w:r>
    </w:p>
    <w:p w14:paraId="5A8E5565" w14:textId="362B8D9A" w:rsidR="00BC7DDA" w:rsidRPr="00BD6C5F" w:rsidRDefault="000F7288" w:rsidP="00EF34C4">
      <w:pPr>
        <w:pStyle w:val="AppendixText3"/>
      </w:pPr>
      <w:r w:rsidRPr="00BD6C5F">
        <w:t>SECRET or TOP SECRET, the Supplier shall only do so where it has notified the Authority prior to receipt of such Authority Data and the Supplier shall implement additional measures as agreed with the Authority from time to time in order to ensure that such information is safeguarded in accordance with the applicable Standards.</w:t>
      </w:r>
    </w:p>
    <w:p w14:paraId="216EDE95" w14:textId="77777777" w:rsidR="00BC7DDA" w:rsidRPr="00BD6C5F" w:rsidRDefault="009B03E9" w:rsidP="00EF34C4">
      <w:pPr>
        <w:pStyle w:val="AppendixText1"/>
      </w:pPr>
      <w:r w:rsidRPr="00BD6C5F">
        <w:t>End User Devices</w:t>
      </w:r>
    </w:p>
    <w:p w14:paraId="421D0B70" w14:textId="77777777" w:rsidR="00F274FB" w:rsidRPr="00BD6C5F" w:rsidRDefault="00F274FB" w:rsidP="00247692">
      <w:pPr>
        <w:pStyle w:val="AppendixText2"/>
        <w:keepNext/>
      </w:pPr>
      <w:r w:rsidRPr="00BD6C5F">
        <w:t>The Supplier must manage, and must ensure that all Sub-contractors manage, all end-user devices used by the Supplier on which Authority Data is Processed in accordance the following requirements:</w:t>
      </w:r>
    </w:p>
    <w:p w14:paraId="6F4C9DA1" w14:textId="72D0ED16" w:rsidR="00F274FB" w:rsidRPr="00BD6C5F" w:rsidRDefault="00F274FB" w:rsidP="00EF34C4">
      <w:pPr>
        <w:pStyle w:val="AppendixText3"/>
      </w:pPr>
      <w:r w:rsidRPr="00BD6C5F">
        <w:t>the operating system and any applications that Process or have access to Authority Data must be in current support by the vendor, or the relevant community in the case of Open Source operating systems or applications;</w:t>
      </w:r>
    </w:p>
    <w:p w14:paraId="69481070" w14:textId="75630558" w:rsidR="00F274FB" w:rsidRPr="00BD6C5F" w:rsidRDefault="00F274FB" w:rsidP="00EF34C4">
      <w:pPr>
        <w:pStyle w:val="AppendixText3"/>
      </w:pPr>
      <w:r w:rsidRPr="00BD6C5F">
        <w:t>users must authenticate before gaining access;</w:t>
      </w:r>
    </w:p>
    <w:p w14:paraId="0CAB88B5" w14:textId="643C38FC" w:rsidR="00F274FB" w:rsidRPr="00BD6C5F" w:rsidRDefault="00F274FB" w:rsidP="00EF34C4">
      <w:pPr>
        <w:pStyle w:val="AppendixText3"/>
      </w:pPr>
      <w:r w:rsidRPr="00BD6C5F">
        <w:t>all Authority Data must be encrypted using an encryption tool agreed to by the Authority;</w:t>
      </w:r>
    </w:p>
    <w:p w14:paraId="2BA85070" w14:textId="48BF0C00" w:rsidR="00F274FB" w:rsidRPr="00BD6C5F" w:rsidRDefault="00F274FB" w:rsidP="00EF34C4">
      <w:pPr>
        <w:pStyle w:val="AppendixText3"/>
      </w:pPr>
      <w:r w:rsidRPr="00BD6C5F">
        <w:t>the end-user device must lock and require any user to re-authenticate after a period of time that is proportionate to the risk environment, during which the end-user device is inactive;</w:t>
      </w:r>
    </w:p>
    <w:p w14:paraId="73229381" w14:textId="2F9D8333" w:rsidR="00F274FB" w:rsidRPr="00BD6C5F" w:rsidRDefault="00F274FB" w:rsidP="00EF34C4">
      <w:pPr>
        <w:pStyle w:val="AppendixText3"/>
      </w:pPr>
      <w:r w:rsidRPr="00BD6C5F">
        <w:t>the end-user device must be managed in a way that allows for the application of technical policies and controls over applications that have access to Authority Data;</w:t>
      </w:r>
    </w:p>
    <w:p w14:paraId="1081AC42" w14:textId="0BE3721D" w:rsidR="00F274FB" w:rsidRPr="00BD6C5F" w:rsidRDefault="00F274FB" w:rsidP="00EF34C4">
      <w:pPr>
        <w:pStyle w:val="AppendixText3"/>
      </w:pPr>
      <w:r w:rsidRPr="00BD6C5F">
        <w:t>the Suppler or Sub-contractor, as applicable, can, without physical access to the end-user device, remove or make inaccessible all Authority Data on the device and prevent any user or group of users from accessing the device;</w:t>
      </w:r>
    </w:p>
    <w:p w14:paraId="59BA2522" w14:textId="18298517" w:rsidR="00F274FB" w:rsidRPr="00BD6C5F" w:rsidRDefault="00F274FB" w:rsidP="00EF34C4">
      <w:pPr>
        <w:pStyle w:val="AppendixText3"/>
      </w:pPr>
      <w:r w:rsidRPr="00BD6C5F">
        <w:t>all end-user devices are within in the scope of any current Cyber Essentials Plus certificate held by the Supplier, or any ISO/IEC 27001 (at least ISO/IEC 27001:2013) certification issued by a UKAS-approved certification body, where the scope of that certification includes the Services.</w:t>
      </w:r>
    </w:p>
    <w:p w14:paraId="552F7C4A" w14:textId="00E7497C" w:rsidR="00F274FB" w:rsidRPr="00BD6C5F" w:rsidRDefault="00F274FB" w:rsidP="00EF34C4">
      <w:pPr>
        <w:pStyle w:val="AppendixText2"/>
      </w:pPr>
      <w:r w:rsidRPr="00BD6C5F">
        <w:lastRenderedPageBreak/>
        <w:t xml:space="preserve">The Supplier must comply, and ensure that all Sub-contractors comply, with the recommendations in NCSC Device Guidance, as updated, amended or replaced from time to time, as if those recommendations were incorporated as specific obligations under this </w:t>
      </w:r>
      <w:r w:rsidR="00DE54CD" w:rsidRPr="00BD6C5F">
        <w:t>Contract</w:t>
      </w:r>
      <w:r w:rsidRPr="00BD6C5F">
        <w:t>.</w:t>
      </w:r>
    </w:p>
    <w:p w14:paraId="19C01527" w14:textId="463CADE7" w:rsidR="00F274FB" w:rsidRPr="00BD6C5F" w:rsidRDefault="00F274FB" w:rsidP="00EF34C4">
      <w:pPr>
        <w:pStyle w:val="AppendixText2"/>
      </w:pPr>
      <w:r w:rsidRPr="00BD6C5F">
        <w:t xml:space="preserve">Where there any conflict between the requirements of this </w:t>
      </w:r>
      <w:r w:rsidR="00484523" w:rsidRPr="00BD6C5F">
        <w:rPr>
          <w:rFonts w:asciiTheme="minorHAnsi" w:hAnsiTheme="minorHAnsi" w:cstheme="minorHAnsi"/>
        </w:rPr>
        <w:t>Schedule </w:t>
      </w:r>
      <w:r w:rsidR="00484523">
        <w:rPr>
          <w:rFonts w:asciiTheme="minorHAnsi" w:hAnsiTheme="minorHAnsi" w:cstheme="minorHAnsi"/>
        </w:rPr>
        <w:fldChar w:fldCharType="begin"/>
      </w:r>
      <w:r w:rsidR="00484523">
        <w:rPr>
          <w:rFonts w:asciiTheme="minorHAnsi" w:hAnsiTheme="minorHAnsi" w:cstheme="minorHAnsi"/>
        </w:rPr>
        <w:instrText xml:space="preserve"> REF Schedule_5 \h </w:instrText>
      </w:r>
      <w:r w:rsidR="00484523">
        <w:rPr>
          <w:rFonts w:asciiTheme="minorHAnsi" w:hAnsiTheme="minorHAnsi" w:cstheme="minorHAnsi"/>
        </w:rPr>
      </w:r>
      <w:r w:rsidR="00484523">
        <w:rPr>
          <w:rFonts w:asciiTheme="minorHAnsi" w:hAnsiTheme="minorHAnsi" w:cstheme="minorHAnsi"/>
        </w:rPr>
        <w:fldChar w:fldCharType="separate"/>
      </w:r>
      <w:r w:rsidR="009749A0">
        <w:t>5</w:t>
      </w:r>
      <w:r w:rsidR="00484523">
        <w:rPr>
          <w:rFonts w:asciiTheme="minorHAnsi" w:hAnsiTheme="minorHAnsi" w:cstheme="minorHAnsi"/>
        </w:rPr>
        <w:fldChar w:fldCharType="end"/>
      </w:r>
      <w:r w:rsidRPr="00BD6C5F">
        <w:t xml:space="preserve"> (</w:t>
      </w:r>
      <w:r w:rsidRPr="00484523">
        <w:rPr>
          <w:i/>
          <w:iCs/>
        </w:rPr>
        <w:t>Security Management</w:t>
      </w:r>
      <w:r w:rsidRPr="00BD6C5F">
        <w:t>) and the requirements of the NCSC Device Guidance, the requirements of this Schedule will take precedence.</w:t>
      </w:r>
    </w:p>
    <w:p w14:paraId="3FAE3218" w14:textId="39B03195" w:rsidR="00BC7DDA" w:rsidRPr="00BD6C5F" w:rsidRDefault="00F274FB" w:rsidP="00EF34C4">
      <w:pPr>
        <w:pStyle w:val="AppendixText1"/>
      </w:pPr>
      <w:r w:rsidRPr="00BD6C5F">
        <w:t>Encryption</w:t>
      </w:r>
    </w:p>
    <w:p w14:paraId="3180663A" w14:textId="3DE27F5C" w:rsidR="0091418C" w:rsidRPr="00BD6C5F" w:rsidRDefault="0091418C" w:rsidP="00247692">
      <w:pPr>
        <w:pStyle w:val="AppendixText2"/>
        <w:keepNext/>
      </w:pPr>
      <w:r w:rsidRPr="00BD6C5F">
        <w:t>The Supplier must ensure, and must ensure that all Sub-contractors ensure, that Authority Data is encrypted:</w:t>
      </w:r>
    </w:p>
    <w:p w14:paraId="10CB4D92" w14:textId="1ED77C0F" w:rsidR="0091418C" w:rsidRPr="00BD6C5F" w:rsidRDefault="0091418C" w:rsidP="00EF34C4">
      <w:pPr>
        <w:pStyle w:val="AppendixText3"/>
      </w:pPr>
      <w:r w:rsidRPr="00BD6C5F">
        <w:t>when stored at any time when no operation is being performed on it; and</w:t>
      </w:r>
    </w:p>
    <w:p w14:paraId="626B8652" w14:textId="4BBF02F8" w:rsidR="0091418C" w:rsidRPr="00BD6C5F" w:rsidRDefault="0091418C" w:rsidP="00EF34C4">
      <w:pPr>
        <w:pStyle w:val="AppendixText3"/>
      </w:pPr>
      <w:r w:rsidRPr="00BD6C5F">
        <w:t>when transmitted.</w:t>
      </w:r>
    </w:p>
    <w:p w14:paraId="672372BE" w14:textId="77777777" w:rsidR="0091418C" w:rsidRPr="00BD6C5F" w:rsidRDefault="0091418C" w:rsidP="00247692">
      <w:pPr>
        <w:pStyle w:val="AppendixText2"/>
        <w:keepNext/>
      </w:pPr>
      <w:r w:rsidRPr="00BD6C5F">
        <w:t>Where the Supplier, or a Sub-contractor, cannot encrypt Authority Data the Supplier must:</w:t>
      </w:r>
    </w:p>
    <w:p w14:paraId="55F5CE8B" w14:textId="79E1D4C8" w:rsidR="0091418C" w:rsidRPr="00BD6C5F" w:rsidRDefault="0091418C" w:rsidP="00EF34C4">
      <w:pPr>
        <w:pStyle w:val="AppendixText3"/>
      </w:pPr>
      <w:r w:rsidRPr="00BD6C5F">
        <w:t>immediately inform the Authority of the subset or subsets of Authority Data it cannot encrypt and the circumstances in which and the reasons why it cannot do so;</w:t>
      </w:r>
    </w:p>
    <w:p w14:paraId="52019D6F" w14:textId="67AD040D" w:rsidR="0091418C" w:rsidRPr="00BD6C5F" w:rsidRDefault="0091418C" w:rsidP="00EF34C4">
      <w:pPr>
        <w:pStyle w:val="AppendixText3"/>
      </w:pPr>
      <w:r w:rsidRPr="00BD6C5F">
        <w:t xml:space="preserve">provide details of the </w:t>
      </w:r>
      <w:r w:rsidR="0050246D" w:rsidRPr="00BD6C5F">
        <w:t>P</w:t>
      </w:r>
      <w:r w:rsidRPr="00BD6C5F">
        <w:t xml:space="preserve">rotective </w:t>
      </w:r>
      <w:r w:rsidR="0050246D" w:rsidRPr="00BD6C5F">
        <w:t>M</w:t>
      </w:r>
      <w:r w:rsidRPr="00BD6C5F">
        <w:t>easures the Supplier or Sub-contractor (as applicable) proposes to take to provide equivalent protection to the Authority as encryption; and</w:t>
      </w:r>
    </w:p>
    <w:p w14:paraId="23019D98" w14:textId="73814940" w:rsidR="0091418C" w:rsidRPr="00BD6C5F" w:rsidRDefault="0091418C" w:rsidP="00EF34C4">
      <w:pPr>
        <w:pStyle w:val="AppendixText3"/>
      </w:pPr>
      <w:r w:rsidRPr="00BD6C5F">
        <w:t xml:space="preserve">provide the Authority with such information relating to the Authority Data concerned, the reasons why that Authority Data cannot be encrypted and the proposed </w:t>
      </w:r>
      <w:r w:rsidR="0050246D" w:rsidRPr="00BD6C5F">
        <w:t>P</w:t>
      </w:r>
      <w:r w:rsidRPr="00BD6C5F">
        <w:t xml:space="preserve">rotective </w:t>
      </w:r>
      <w:r w:rsidR="0050246D" w:rsidRPr="00BD6C5F">
        <w:t>M</w:t>
      </w:r>
      <w:r w:rsidRPr="00BD6C5F">
        <w:t>easures as the Authority may require.</w:t>
      </w:r>
    </w:p>
    <w:p w14:paraId="100783C6" w14:textId="6316A0A1" w:rsidR="0091418C" w:rsidRPr="00BD6C5F" w:rsidRDefault="0091418C" w:rsidP="00EF34C4">
      <w:pPr>
        <w:pStyle w:val="AppendixText2"/>
      </w:pPr>
      <w:r w:rsidRPr="00BD6C5F">
        <w:t xml:space="preserve">The Authority, the Supplier and, where the Authority requires, any relevant Sub-contractor shall meet to agree appropriate </w:t>
      </w:r>
      <w:r w:rsidR="00CC6B83" w:rsidRPr="00BD6C5F">
        <w:t>Protective Measures</w:t>
      </w:r>
      <w:r w:rsidRPr="00BD6C5F">
        <w:t xml:space="preserve"> for the unencrypted Authority Data.</w:t>
      </w:r>
    </w:p>
    <w:p w14:paraId="0B56F536" w14:textId="77777777" w:rsidR="0091418C" w:rsidRPr="00BD6C5F" w:rsidRDefault="0091418C" w:rsidP="00247692">
      <w:pPr>
        <w:pStyle w:val="AppendixText2"/>
        <w:keepNext/>
      </w:pPr>
      <w:r w:rsidRPr="00BD6C5F">
        <w:t>Where the Authority and Supplier reach agreement, the Supplier must update the Security Management Plan to include:</w:t>
      </w:r>
    </w:p>
    <w:p w14:paraId="2209C786" w14:textId="77777777" w:rsidR="0091418C" w:rsidRPr="00BD6C5F" w:rsidRDefault="0091418C" w:rsidP="00EF34C4">
      <w:pPr>
        <w:pStyle w:val="AppendixText3"/>
      </w:pPr>
      <w:r w:rsidRPr="00BD6C5F">
        <w:t>the subset or subsets of Authority Data not encrypted and the circumstances in which that will occur; and</w:t>
      </w:r>
    </w:p>
    <w:p w14:paraId="5C686199" w14:textId="4555F827" w:rsidR="0091418C" w:rsidRPr="00BD6C5F" w:rsidRDefault="0091418C" w:rsidP="00EF34C4">
      <w:pPr>
        <w:pStyle w:val="AppendixText3"/>
      </w:pPr>
      <w:r w:rsidRPr="00BD6C5F">
        <w:t xml:space="preserve">the </w:t>
      </w:r>
      <w:r w:rsidR="0050246D" w:rsidRPr="00BD6C5F">
        <w:t>P</w:t>
      </w:r>
      <w:r w:rsidRPr="00BD6C5F">
        <w:t xml:space="preserve">rotective </w:t>
      </w:r>
      <w:r w:rsidR="0050246D" w:rsidRPr="00BD6C5F">
        <w:t>M</w:t>
      </w:r>
      <w:r w:rsidRPr="00BD6C5F">
        <w:t>easure</w:t>
      </w:r>
      <w:r w:rsidR="0050246D" w:rsidRPr="00BD6C5F">
        <w:t>s</w:t>
      </w:r>
      <w:r w:rsidRPr="00BD6C5F">
        <w:t xml:space="preserve"> that the Supplier and/or Sub-contractor will put in pl</w:t>
      </w:r>
      <w:r w:rsidR="0050246D" w:rsidRPr="00BD6C5F">
        <w:t>ac</w:t>
      </w:r>
      <w:r w:rsidRPr="00BD6C5F">
        <w:t>e in respect of the unencrypted Authority Data.</w:t>
      </w:r>
    </w:p>
    <w:p w14:paraId="429931AE" w14:textId="0E1DBE65" w:rsidR="0091418C" w:rsidRPr="00BD6C5F" w:rsidRDefault="0091418C" w:rsidP="00EF34C4">
      <w:pPr>
        <w:pStyle w:val="AppendixText2"/>
      </w:pPr>
      <w:r w:rsidRPr="00BD6C5F">
        <w:t xml:space="preserve">Where the Authority and Supplier do not reach agreement within 40 Working Days of the date on which the Supplier first notified the Authority that it could not encrypt certain Authority Data, either </w:t>
      </w:r>
      <w:r w:rsidR="0050246D" w:rsidRPr="00BD6C5F">
        <w:t>P</w:t>
      </w:r>
      <w:r w:rsidRPr="00BD6C5F">
        <w:t xml:space="preserve">arty may refer the matter to </w:t>
      </w:r>
      <w:r w:rsidRPr="006D1202">
        <w:rPr>
          <w:highlight w:val="yellow"/>
        </w:rPr>
        <w:t>[be determined in accordance with the Dispute Resolution Procedure]</w:t>
      </w:r>
      <w:r w:rsidRPr="006D1202">
        <w:t>.</w:t>
      </w:r>
    </w:p>
    <w:p w14:paraId="4BB6949A" w14:textId="77777777" w:rsidR="00BC7DDA" w:rsidRPr="00BD6C5F" w:rsidRDefault="009B03E9" w:rsidP="00EF34C4">
      <w:pPr>
        <w:pStyle w:val="AppendixText1"/>
      </w:pPr>
      <w:r w:rsidRPr="00BD6C5F">
        <w:t>Personnel Security</w:t>
      </w:r>
    </w:p>
    <w:p w14:paraId="7540C67C" w14:textId="6E2ED817" w:rsidR="00BC7DDA" w:rsidRPr="00BD6C5F" w:rsidRDefault="009B03E9" w:rsidP="00EF34C4">
      <w:pPr>
        <w:pStyle w:val="AppendixText2"/>
      </w:pPr>
      <w:bookmarkStart w:id="227" w:name="_bookmark74"/>
      <w:bookmarkStart w:id="228" w:name="_Ref98409785"/>
      <w:bookmarkEnd w:id="227"/>
      <w:r w:rsidRPr="00BD6C5F">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w:t>
      </w:r>
      <w:r w:rsidR="00A4555C" w:rsidRPr="00BD6C5F">
        <w:t>’</w:t>
      </w:r>
      <w:r w:rsidRPr="00BD6C5F">
        <w:t>s identity; verification of the individual</w:t>
      </w:r>
      <w:r w:rsidR="00A4555C" w:rsidRPr="00BD6C5F">
        <w:t>’</w:t>
      </w:r>
      <w:r w:rsidRPr="00BD6C5F">
        <w:t xml:space="preserve">s </w:t>
      </w:r>
      <w:r w:rsidRPr="00BD6C5F">
        <w:lastRenderedPageBreak/>
        <w:t>nationality</w:t>
      </w:r>
      <w:r w:rsidR="00197DCC" w:rsidRPr="00BD6C5F">
        <w:t xml:space="preserve"> </w:t>
      </w:r>
      <w:r w:rsidRPr="00BD6C5F">
        <w:t>and immigration status; and, verification of the individual</w:t>
      </w:r>
      <w:r w:rsidR="00A4555C" w:rsidRPr="00BD6C5F">
        <w:t>’</w:t>
      </w:r>
      <w:r w:rsidRPr="00BD6C5F">
        <w:t>s employment history; verification of the individual</w:t>
      </w:r>
      <w:r w:rsidR="00A4555C" w:rsidRPr="00BD6C5F">
        <w:t>’</w:t>
      </w:r>
      <w:r w:rsidRPr="00BD6C5F">
        <w:t>s criminal record.</w:t>
      </w:r>
      <w:bookmarkEnd w:id="228"/>
    </w:p>
    <w:p w14:paraId="510B6820" w14:textId="77777777" w:rsidR="00BC7DDA" w:rsidRPr="00BD6C5F" w:rsidRDefault="009B03E9" w:rsidP="00EF34C4">
      <w:pPr>
        <w:pStyle w:val="AppendixText2"/>
      </w:pPr>
      <w:bookmarkStart w:id="229" w:name="_bookmark75"/>
      <w:bookmarkStart w:id="230" w:name="_Ref98409792"/>
      <w:bookmarkEnd w:id="229"/>
      <w:r w:rsidRPr="00BD6C5F">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230"/>
    </w:p>
    <w:p w14:paraId="5C0DCC57" w14:textId="36BEB06C" w:rsidR="00BC7DDA" w:rsidRPr="00BD6C5F" w:rsidRDefault="009B03E9" w:rsidP="00EF34C4">
      <w:pPr>
        <w:pStyle w:val="AppendixText2"/>
      </w:pPr>
      <w:r w:rsidRPr="00BD6C5F">
        <w:t xml:space="preserve">The Supplier shall not permit Supplier Personnel who fail the security checks required by Paragraphs </w:t>
      </w:r>
      <w:r w:rsidR="004E7151" w:rsidRPr="00BD6C5F">
        <w:fldChar w:fldCharType="begin"/>
      </w:r>
      <w:r w:rsidR="004E7151" w:rsidRPr="00BD6C5F">
        <w:instrText xml:space="preserve"> REF _Ref98359127 \n \h </w:instrText>
      </w:r>
      <w:r w:rsidR="00AD7DD0" w:rsidRPr="00BD6C5F">
        <w:instrText xml:space="preserve"> \* MERGEFORMAT </w:instrText>
      </w:r>
      <w:r w:rsidR="004E7151" w:rsidRPr="00BD6C5F">
        <w:fldChar w:fldCharType="separate"/>
      </w:r>
      <w:r w:rsidR="009749A0">
        <w:t>4.1</w:t>
      </w:r>
      <w:r w:rsidR="004E7151" w:rsidRPr="00BD6C5F">
        <w:fldChar w:fldCharType="end"/>
      </w:r>
      <w:r w:rsidRPr="00BD6C5F">
        <w:t xml:space="preserve"> and </w:t>
      </w:r>
      <w:r w:rsidR="004E7151" w:rsidRPr="00BD6C5F">
        <w:fldChar w:fldCharType="begin"/>
      </w:r>
      <w:r w:rsidR="004E7151" w:rsidRPr="00BD6C5F">
        <w:instrText xml:space="preserve"> REF _Ref98358311 \n \h </w:instrText>
      </w:r>
      <w:r w:rsidR="00AD7DD0" w:rsidRPr="00BD6C5F">
        <w:instrText xml:space="preserve"> \* MERGEFORMAT </w:instrText>
      </w:r>
      <w:r w:rsidR="004E7151" w:rsidRPr="00BD6C5F">
        <w:fldChar w:fldCharType="separate"/>
      </w:r>
      <w:r w:rsidR="009749A0">
        <w:t>4.2</w:t>
      </w:r>
      <w:r w:rsidR="004E7151" w:rsidRPr="00BD6C5F">
        <w:fldChar w:fldCharType="end"/>
      </w:r>
      <w:r w:rsidRPr="00BD6C5F">
        <w:t xml:space="preserve"> to be involved in the management and/or provision of the Services except where the Authority has expressly agreed in</w:t>
      </w:r>
      <w:r w:rsidR="004E7151" w:rsidRPr="00BD6C5F">
        <w:t xml:space="preserve"> </w:t>
      </w:r>
      <w:r w:rsidRPr="00BD6C5F">
        <w:t>writing to the involvement of the named individual in the management and/or provision of the Services.</w:t>
      </w:r>
    </w:p>
    <w:p w14:paraId="1864FA94" w14:textId="77777777" w:rsidR="00BC7DDA" w:rsidRPr="00BD6C5F" w:rsidRDefault="009B03E9" w:rsidP="00EF34C4">
      <w:pPr>
        <w:pStyle w:val="AppendixText2"/>
      </w:pPr>
      <w:r w:rsidRPr="00BD6C5F">
        <w:t>The Supplier shall ensure that Supplier Personnel are only granted such access to Authority Data as is necessary to enable the Supplier Personnel to perform their role and to fulfil their responsibilities.</w:t>
      </w:r>
    </w:p>
    <w:p w14:paraId="74EDB27D" w14:textId="77777777" w:rsidR="00BC7DDA" w:rsidRPr="00BD6C5F" w:rsidRDefault="009B03E9" w:rsidP="00EF34C4">
      <w:pPr>
        <w:pStyle w:val="AppendixText2"/>
      </w:pPr>
      <w:r w:rsidRPr="00BD6C5F">
        <w:t>The Supplier shall ensure that Supplier Personnel who no longer require access to the Authority Data (e.g. they cease to be employed by the Supplier or any of its Sub-contractors), have their rights to access the Authority Data revoked within 1 Working Day.</w:t>
      </w:r>
    </w:p>
    <w:p w14:paraId="5DE5647D" w14:textId="77777777" w:rsidR="00BC7DDA" w:rsidRPr="00BD6C5F" w:rsidRDefault="009B03E9" w:rsidP="00EF34C4">
      <w:pPr>
        <w:pStyle w:val="AppendixText2"/>
      </w:pPr>
      <w:bookmarkStart w:id="231" w:name="_bookmark76"/>
      <w:bookmarkStart w:id="232" w:name="_Ref98409801"/>
      <w:bookmarkEnd w:id="231"/>
      <w:r w:rsidRPr="00BD6C5F">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232"/>
    </w:p>
    <w:p w14:paraId="444CEBA6" w14:textId="79C69D87" w:rsidR="00BC7DDA" w:rsidRPr="00BD6C5F" w:rsidRDefault="009B03E9" w:rsidP="00EF34C4">
      <w:pPr>
        <w:pStyle w:val="AppendixText2"/>
      </w:pPr>
      <w:r w:rsidRPr="00BD6C5F">
        <w:t xml:space="preserve">The Supplier shall ensure that the training provided to Supplier Staff under </w:t>
      </w:r>
      <w:r w:rsidR="009774DF">
        <w:t>P</w:t>
      </w:r>
      <w:r w:rsidR="009774DF" w:rsidRPr="00BD6C5F">
        <w:t xml:space="preserve">aragraph </w:t>
      </w:r>
      <w:r w:rsidR="004E7151" w:rsidRPr="00BD6C5F">
        <w:fldChar w:fldCharType="begin"/>
      </w:r>
      <w:r w:rsidR="004E7151" w:rsidRPr="00BD6C5F">
        <w:instrText xml:space="preserve"> REF _Ref98359158 \n \h </w:instrText>
      </w:r>
      <w:r w:rsidR="00AD7DD0" w:rsidRPr="00BD6C5F">
        <w:instrText xml:space="preserve"> \* MERGEFORMAT </w:instrText>
      </w:r>
      <w:r w:rsidR="004E7151" w:rsidRPr="00BD6C5F">
        <w:fldChar w:fldCharType="separate"/>
      </w:r>
      <w:r w:rsidR="009749A0">
        <w:t>4.6</w:t>
      </w:r>
      <w:r w:rsidR="004E7151" w:rsidRPr="00BD6C5F">
        <w:fldChar w:fldCharType="end"/>
      </w:r>
      <w:r w:rsidRPr="00BD6C5F">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w:t>
      </w:r>
      <w:r w:rsidR="00A4555C" w:rsidRPr="00BD6C5F">
        <w:rPr>
          <w:b/>
          <w:bCs/>
        </w:rPr>
        <w:t>“</w:t>
      </w:r>
      <w:r w:rsidRPr="00BD6C5F">
        <w:rPr>
          <w:b/>
          <w:bCs/>
        </w:rPr>
        <w:t>phishing</w:t>
      </w:r>
      <w:r w:rsidR="00A4555C" w:rsidRPr="00BD6C5F">
        <w:rPr>
          <w:b/>
          <w:bCs/>
        </w:rPr>
        <w:t>”</w:t>
      </w:r>
      <w:r w:rsidRPr="00BD6C5F">
        <w:t>).</w:t>
      </w:r>
    </w:p>
    <w:p w14:paraId="55F909C8" w14:textId="77777777" w:rsidR="00BC7DDA" w:rsidRPr="00BD6C5F" w:rsidRDefault="009B03E9" w:rsidP="00EF34C4">
      <w:pPr>
        <w:pStyle w:val="AppendixText1"/>
      </w:pPr>
      <w:r w:rsidRPr="00BD6C5F">
        <w:t>Identity, Authentication and Access Control</w:t>
      </w:r>
    </w:p>
    <w:p w14:paraId="4DF92CA0" w14:textId="77777777" w:rsidR="00BC7DDA" w:rsidRPr="00BD6C5F" w:rsidRDefault="009B03E9" w:rsidP="00247692">
      <w:pPr>
        <w:pStyle w:val="AppendixText2"/>
        <w:keepNext/>
      </w:pPr>
      <w:r w:rsidRPr="00BD6C5F">
        <w:t>The Supplier shall operate an access control regime to ensure:</w:t>
      </w:r>
    </w:p>
    <w:p w14:paraId="6B31D056" w14:textId="720E6FC5" w:rsidR="00BC7DDA" w:rsidRPr="00BD6C5F" w:rsidRDefault="009B03E9" w:rsidP="00EF34C4">
      <w:pPr>
        <w:pStyle w:val="AppendixText3"/>
      </w:pPr>
      <w:r w:rsidRPr="00BD6C5F">
        <w:t>all users and administrators of the Supplier System are uniquely identified and authenticated when accessing or administering the Services; and</w:t>
      </w:r>
    </w:p>
    <w:p w14:paraId="711267C1" w14:textId="2EE2DA45" w:rsidR="00BC7DDA" w:rsidRPr="00BD6C5F" w:rsidRDefault="009B03E9" w:rsidP="00EF34C4">
      <w:pPr>
        <w:pStyle w:val="AppendixText3"/>
      </w:pPr>
      <w:r w:rsidRPr="00BD6C5F">
        <w:t>all persons who access the Sites are identified and authenticated before they are allowed access to the Sites.</w:t>
      </w:r>
    </w:p>
    <w:p w14:paraId="6A234255" w14:textId="21B5E755" w:rsidR="00BC7DDA" w:rsidRPr="00BD6C5F" w:rsidRDefault="009B03E9" w:rsidP="00EF34C4">
      <w:pPr>
        <w:pStyle w:val="AppendixText2"/>
      </w:pPr>
      <w:r w:rsidRPr="00BD6C5F">
        <w:t xml:space="preserve">The Supplier shall apply the </w:t>
      </w:r>
      <w:r w:rsidR="00A4555C" w:rsidRPr="00BD6C5F">
        <w:t>‘</w:t>
      </w:r>
      <w:r w:rsidRPr="00BD6C5F">
        <w:t>principle of least privilege</w:t>
      </w:r>
      <w:r w:rsidR="00A4555C" w:rsidRPr="00BD6C5F">
        <w:t>’</w:t>
      </w:r>
      <w:r w:rsidRPr="00BD6C5F">
        <w:t xml:space="preserve"> when allowing persons access to the Supplier System and Sites so that such persons are allowed access only to those parts of the Sites and the Supplier System they require.</w:t>
      </w:r>
    </w:p>
    <w:p w14:paraId="65B4B462" w14:textId="77777777" w:rsidR="00BC7DDA" w:rsidRPr="00BD6C5F" w:rsidRDefault="009B03E9" w:rsidP="00EF34C4">
      <w:pPr>
        <w:pStyle w:val="AppendixText2"/>
      </w:pPr>
      <w:r w:rsidRPr="00BD6C5F">
        <w:t>The Supplier shall retain records of access to the Sites and to the Supplier System and shall make such record available to the Authority on request.</w:t>
      </w:r>
    </w:p>
    <w:p w14:paraId="6078F6F4" w14:textId="77777777" w:rsidR="00BC7DDA" w:rsidRPr="00BD6C5F" w:rsidRDefault="009B03E9" w:rsidP="00EF34C4">
      <w:pPr>
        <w:pStyle w:val="AppendixText1"/>
      </w:pPr>
      <w:r w:rsidRPr="00BD6C5F">
        <w:lastRenderedPageBreak/>
        <w:t>Data Destruction or Deletion</w:t>
      </w:r>
    </w:p>
    <w:p w14:paraId="1BA6E94D" w14:textId="77777777" w:rsidR="00BC7DDA" w:rsidRPr="00BD6C5F" w:rsidRDefault="009B03E9" w:rsidP="00247692">
      <w:pPr>
        <w:pStyle w:val="AppendixText2"/>
        <w:keepNext/>
      </w:pPr>
      <w:r w:rsidRPr="00BD6C5F">
        <w:t>The Supplier shall:</w:t>
      </w:r>
    </w:p>
    <w:p w14:paraId="6D50EFB5" w14:textId="55D15F5B" w:rsidR="00BC7DDA" w:rsidRPr="00BD6C5F" w:rsidRDefault="009B03E9" w:rsidP="00EF34C4">
      <w:pPr>
        <w:pStyle w:val="AppendixText3"/>
      </w:pPr>
      <w:r w:rsidRPr="00BD6C5F">
        <w:t>prior to securely sanitising any Authority Data or when requested</w:t>
      </w:r>
      <w:r w:rsidR="0050246D" w:rsidRPr="00BD6C5F">
        <w:t>,</w:t>
      </w:r>
      <w:r w:rsidRPr="00BD6C5F">
        <w:t xml:space="preserve"> provide the Government with all Authority Data in an agreed format</w:t>
      </w:r>
      <w:r w:rsidR="00A7417B">
        <w:t xml:space="preserve"> provided it is secure and readable</w:t>
      </w:r>
      <w:r w:rsidRPr="00BD6C5F">
        <w:t>;</w:t>
      </w:r>
    </w:p>
    <w:p w14:paraId="5508F08F" w14:textId="067383B4" w:rsidR="00BC7DDA" w:rsidRPr="00BD6C5F" w:rsidRDefault="009B03E9" w:rsidP="00EF34C4">
      <w:pPr>
        <w:pStyle w:val="AppendixText3"/>
      </w:pPr>
      <w:r w:rsidRPr="00BD6C5F">
        <w:t>have documented processes to ensure the availability of Authority Data in the event of the Supplier ceasing to trade;</w:t>
      </w:r>
    </w:p>
    <w:p w14:paraId="7A3AD39A" w14:textId="4442F69E" w:rsidR="00BC7DDA" w:rsidRPr="00BD6C5F" w:rsidRDefault="009B03E9" w:rsidP="00EF34C4">
      <w:pPr>
        <w:pStyle w:val="AppendixText3"/>
      </w:pPr>
      <w:r w:rsidRPr="00BD6C5F">
        <w:t>securely erase in a manner agreed with the Authority any or all Authority Data held by the Supplier when requested to do so by the Authority</w:t>
      </w:r>
      <w:r w:rsidR="005E456C">
        <w:t xml:space="preserve"> </w:t>
      </w:r>
      <w:r w:rsidR="005E456C">
        <w:rPr>
          <w:color w:val="000000"/>
        </w:rPr>
        <w:t>and certify to the Authority that it has done so unless and to the extent required by Law to retain it</w:t>
      </w:r>
      <w:r w:rsidR="00B60527">
        <w:rPr>
          <w:color w:val="000000"/>
        </w:rPr>
        <w:t xml:space="preserve"> </w:t>
      </w:r>
      <w:r w:rsidR="00B60527" w:rsidRPr="00BE3416">
        <w:rPr>
          <w:color w:val="000000"/>
        </w:rPr>
        <w:t xml:space="preserve">other than in relation to </w:t>
      </w:r>
      <w:r w:rsidR="00B60527">
        <w:rPr>
          <w:color w:val="000000"/>
        </w:rPr>
        <w:t>Authority</w:t>
      </w:r>
      <w:r w:rsidR="00B60527" w:rsidRPr="00BE3416">
        <w:rPr>
          <w:color w:val="000000"/>
        </w:rPr>
        <w:t xml:space="preserve"> Data which is owned or licenced by the Supplier or in respect of which the Parties are either Independent Controllers or Joint Controllers</w:t>
      </w:r>
      <w:r w:rsidRPr="00BD6C5F">
        <w:t>;</w:t>
      </w:r>
    </w:p>
    <w:p w14:paraId="3DD4C5CA" w14:textId="2303030A" w:rsidR="00BC7DDA" w:rsidRPr="00BD6C5F" w:rsidRDefault="009B03E9" w:rsidP="00EF34C4">
      <w:pPr>
        <w:pStyle w:val="AppendixText3"/>
      </w:pPr>
      <w:r w:rsidRPr="00BD6C5F">
        <w:t xml:space="preserve">securely destroy in a manner agreed with the Authority all media that has held Authority Data at the end of life of that media in accordance with any specific requirements in this </w:t>
      </w:r>
      <w:r w:rsidR="00460EA9" w:rsidRPr="00BD6C5F">
        <w:t>Contract</w:t>
      </w:r>
      <w:r w:rsidR="006F71A8" w:rsidRPr="00BD6C5F">
        <w:t xml:space="preserve"> </w:t>
      </w:r>
      <w:r w:rsidRPr="00BD6C5F">
        <w:t>and, in the absence of any such requirements, as agreed by the Authority</w:t>
      </w:r>
      <w:r w:rsidR="00B60527">
        <w:t xml:space="preserve"> </w:t>
      </w:r>
      <w:r w:rsidR="00B60527" w:rsidRPr="00BE3416">
        <w:rPr>
          <w:color w:val="000000"/>
        </w:rPr>
        <w:t xml:space="preserve">other than in relation to </w:t>
      </w:r>
      <w:r w:rsidR="00B60527">
        <w:rPr>
          <w:color w:val="000000"/>
        </w:rPr>
        <w:t>Authority</w:t>
      </w:r>
      <w:r w:rsidR="00B60527" w:rsidRPr="00BE3416">
        <w:rPr>
          <w:color w:val="000000"/>
        </w:rPr>
        <w:t xml:space="preserve"> Data which is owned or licenced by the Supplier or in respect of which the Parties are either Independent Controllers or Joint Controllers</w:t>
      </w:r>
      <w:r w:rsidRPr="00BD6C5F">
        <w:t>; and</w:t>
      </w:r>
    </w:p>
    <w:p w14:paraId="26B4A030" w14:textId="375701FE" w:rsidR="00BC7DDA" w:rsidRPr="00BD6C5F" w:rsidRDefault="009B03E9" w:rsidP="00EF34C4">
      <w:pPr>
        <w:pStyle w:val="AppendixText3"/>
      </w:pPr>
      <w:r w:rsidRPr="00BD6C5F">
        <w:t>implement processes which address the CPNI and NCSC guidance on secure sanitisation.</w:t>
      </w:r>
    </w:p>
    <w:p w14:paraId="7A72280D" w14:textId="77777777" w:rsidR="00BC7DDA" w:rsidRPr="00BD6C5F" w:rsidRDefault="009B03E9" w:rsidP="00EF34C4">
      <w:pPr>
        <w:pStyle w:val="AppendixText1"/>
      </w:pPr>
      <w:r w:rsidRPr="00BD6C5F">
        <w:t>Audit and Protective Monitoring</w:t>
      </w:r>
    </w:p>
    <w:p w14:paraId="08777A08" w14:textId="77777777" w:rsidR="00BC7DDA" w:rsidRPr="00BD6C5F" w:rsidRDefault="009B03E9" w:rsidP="00EF34C4">
      <w:pPr>
        <w:pStyle w:val="AppendixText2"/>
      </w:pPr>
      <w:r w:rsidRPr="00BD6C5F">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6A912965" w14:textId="77777777" w:rsidR="00BC7DDA" w:rsidRPr="00BD6C5F" w:rsidRDefault="009B03E9" w:rsidP="00EF34C4">
      <w:pPr>
        <w:pStyle w:val="AppendixText2"/>
      </w:pPr>
      <w:r w:rsidRPr="00BD6C5F">
        <w:t>The Supplier and the Authority shall work together to establish any additional audit and monitoring requirements for the Information Management System.</w:t>
      </w:r>
    </w:p>
    <w:p w14:paraId="5DEDF323" w14:textId="77777777" w:rsidR="00BC7DDA" w:rsidRPr="00BD6C5F" w:rsidRDefault="009B03E9" w:rsidP="00EF34C4">
      <w:pPr>
        <w:pStyle w:val="AppendixText2"/>
      </w:pPr>
      <w:r w:rsidRPr="00BD6C5F">
        <w:t>The retention periods for audit records and event logs must be agreed with the Authority and documented in the Security Management Plan.</w:t>
      </w:r>
    </w:p>
    <w:p w14:paraId="0C9571B1" w14:textId="77777777" w:rsidR="00BC7DDA" w:rsidRPr="00BD6C5F" w:rsidRDefault="009B03E9" w:rsidP="00EF34C4">
      <w:pPr>
        <w:pStyle w:val="AppendixText1"/>
      </w:pPr>
      <w:bookmarkStart w:id="233" w:name="_bookmark77"/>
      <w:bookmarkStart w:id="234" w:name="_Ref98357992"/>
      <w:bookmarkEnd w:id="233"/>
      <w:r w:rsidRPr="00BD6C5F">
        <w:t>Location of Authority Data</w:t>
      </w:r>
      <w:bookmarkEnd w:id="234"/>
    </w:p>
    <w:p w14:paraId="5C373CF6" w14:textId="12C22A90" w:rsidR="00BC7DDA" w:rsidRPr="00BD6C5F" w:rsidRDefault="009B03E9" w:rsidP="00EF34C4">
      <w:pPr>
        <w:pStyle w:val="AppendixText2"/>
      </w:pPr>
      <w:r w:rsidRPr="00BD6C5F">
        <w:t xml:space="preserve">The Supplier shall not and shall procure that none of its Sub-contractors Process Authority Data outside the </w:t>
      </w:r>
      <w:r w:rsidR="00460EA9" w:rsidRPr="00BD6C5F">
        <w:t xml:space="preserve">UK </w:t>
      </w:r>
      <w:r w:rsidRPr="00BD6C5F">
        <w:t>without the prior written consent of the Authority, which may be subject to conditions.</w:t>
      </w:r>
    </w:p>
    <w:p w14:paraId="4E2A82E8" w14:textId="77777777" w:rsidR="00BC7DDA" w:rsidRPr="00BD6C5F" w:rsidRDefault="009B03E9" w:rsidP="00EF34C4">
      <w:pPr>
        <w:pStyle w:val="AppendixText1"/>
      </w:pPr>
      <w:r w:rsidRPr="00BD6C5F">
        <w:lastRenderedPageBreak/>
        <w:t>Vulnerabilities and Corrective Action</w:t>
      </w:r>
    </w:p>
    <w:p w14:paraId="4FECDA71" w14:textId="77777777" w:rsidR="00BC7DDA" w:rsidRPr="00BD6C5F" w:rsidRDefault="009B03E9" w:rsidP="00EF34C4">
      <w:pPr>
        <w:pStyle w:val="AppendixText2"/>
      </w:pPr>
      <w:r w:rsidRPr="00BD6C5F">
        <w:t>The Authority and the Supplier acknowledge that from time to time vulnerabilities in the Information Management System will be discovered which unless mitigated will present an unacceptable risk to the Authority Data.</w:t>
      </w:r>
    </w:p>
    <w:p w14:paraId="4C850AED" w14:textId="33B16C81" w:rsidR="00BC7DDA" w:rsidRPr="00BD6C5F" w:rsidRDefault="009B03E9" w:rsidP="00EF34C4">
      <w:pPr>
        <w:pStyle w:val="AppendixText2"/>
      </w:pPr>
      <w:bookmarkStart w:id="235" w:name="_bookmark78"/>
      <w:bookmarkStart w:id="236" w:name="_Ref98359009"/>
      <w:bookmarkEnd w:id="235"/>
      <w:r w:rsidRPr="00BD6C5F">
        <w:t xml:space="preserve">The severity of vulnerabilities for COTS Software shall be categorised by the Supplier as </w:t>
      </w:r>
      <w:r w:rsidR="00A4555C" w:rsidRPr="00BD6C5F">
        <w:t>‘</w:t>
      </w:r>
      <w:r w:rsidRPr="00BD6C5F">
        <w:t>Critical</w:t>
      </w:r>
      <w:r w:rsidR="00A4555C" w:rsidRPr="00BD6C5F">
        <w:t>’</w:t>
      </w:r>
      <w:r w:rsidRPr="00BD6C5F">
        <w:t xml:space="preserve">, </w:t>
      </w:r>
      <w:r w:rsidR="00A4555C" w:rsidRPr="00BD6C5F">
        <w:t>‘</w:t>
      </w:r>
      <w:r w:rsidRPr="00BD6C5F">
        <w:t>Important</w:t>
      </w:r>
      <w:r w:rsidR="00A4555C" w:rsidRPr="00BD6C5F">
        <w:t>’</w:t>
      </w:r>
      <w:r w:rsidRPr="00BD6C5F">
        <w:t xml:space="preserve"> and </w:t>
      </w:r>
      <w:r w:rsidR="00A4555C" w:rsidRPr="00BD6C5F">
        <w:t>‘</w:t>
      </w:r>
      <w:r w:rsidRPr="00BD6C5F">
        <w:t>Other</w:t>
      </w:r>
      <w:r w:rsidR="00A4555C" w:rsidRPr="00BD6C5F">
        <w:t>’</w:t>
      </w:r>
      <w:r w:rsidRPr="00BD6C5F">
        <w:t xml:space="preserve"> by aligning these categories to the vulnerability scoring according to the agreed method in the Security Management Plan and using the appropriate vulnerability scoring systems including:</w:t>
      </w:r>
      <w:bookmarkEnd w:id="236"/>
    </w:p>
    <w:p w14:paraId="2700F2D3" w14:textId="520F68DC" w:rsidR="00BC7DDA" w:rsidRPr="00BD6C5F" w:rsidRDefault="009B03E9" w:rsidP="00EF34C4">
      <w:pPr>
        <w:pStyle w:val="AppendixText3"/>
      </w:pPr>
      <w:r w:rsidRPr="00BD6C5F">
        <w:t xml:space="preserve">the </w:t>
      </w:r>
      <w:r w:rsidR="00A4555C" w:rsidRPr="00BD6C5F">
        <w:t>‘</w:t>
      </w:r>
      <w:r w:rsidRPr="00BD6C5F">
        <w:t>National Vulnerability Database</w:t>
      </w:r>
      <w:r w:rsidR="00A4555C" w:rsidRPr="00BD6C5F">
        <w:t>’</w:t>
      </w:r>
      <w:r w:rsidRPr="00BD6C5F">
        <w:t xml:space="preserve"> </w:t>
      </w:r>
      <w:r w:rsidR="00A4555C" w:rsidRPr="00BD6C5F">
        <w:t>‘</w:t>
      </w:r>
      <w:r w:rsidRPr="00BD6C5F">
        <w:t>Vulnerability Severity Ratings</w:t>
      </w:r>
      <w:r w:rsidR="00A4555C" w:rsidRPr="00BD6C5F">
        <w:t>’</w:t>
      </w:r>
      <w:r w:rsidRPr="00BD6C5F">
        <w:t xml:space="preserve">: </w:t>
      </w:r>
      <w:r w:rsidR="00A4555C" w:rsidRPr="00BD6C5F">
        <w:t>‘</w:t>
      </w:r>
      <w:r w:rsidRPr="00BD6C5F">
        <w:t>High</w:t>
      </w:r>
      <w:r w:rsidR="00A4555C" w:rsidRPr="00BD6C5F">
        <w:t>’</w:t>
      </w:r>
      <w:r w:rsidRPr="00BD6C5F">
        <w:t xml:space="preserve">, </w:t>
      </w:r>
      <w:r w:rsidR="00A4555C" w:rsidRPr="00BD6C5F">
        <w:t>‘</w:t>
      </w:r>
      <w:r w:rsidRPr="00BD6C5F">
        <w:t>Medium</w:t>
      </w:r>
      <w:r w:rsidR="00A4555C" w:rsidRPr="00BD6C5F">
        <w:t>’</w:t>
      </w:r>
      <w:r w:rsidRPr="00BD6C5F">
        <w:t xml:space="preserve"> and </w:t>
      </w:r>
      <w:r w:rsidR="00A4555C" w:rsidRPr="00BD6C5F">
        <w:t>‘</w:t>
      </w:r>
      <w:r w:rsidRPr="00BD6C5F">
        <w:t>Low</w:t>
      </w:r>
      <w:r w:rsidR="00A4555C" w:rsidRPr="00BD6C5F">
        <w:t>’</w:t>
      </w:r>
      <w:r w:rsidRPr="00BD6C5F">
        <w:t xml:space="preserve"> respectively (these in turn are aligned to CVSS scores as set out by NIST at </w:t>
      </w:r>
      <w:hyperlink r:id="rId46" w:history="1">
        <w:r w:rsidR="00953E45" w:rsidRPr="00BD6C5F">
          <w:rPr>
            <w:rStyle w:val="Hyperlink"/>
          </w:rPr>
          <w:t>http://nvd.nist.gov/cvss.cfm</w:t>
        </w:r>
      </w:hyperlink>
      <w:r w:rsidRPr="00BD6C5F">
        <w:t>); and</w:t>
      </w:r>
    </w:p>
    <w:p w14:paraId="747F4D71" w14:textId="046147B5" w:rsidR="00BC7DDA" w:rsidRPr="00BD6C5F" w:rsidRDefault="009B03E9" w:rsidP="00EF34C4">
      <w:pPr>
        <w:pStyle w:val="AppendixText3"/>
      </w:pPr>
      <w:r w:rsidRPr="00BD6C5F">
        <w:t>Microsoft</w:t>
      </w:r>
      <w:r w:rsidR="00A4555C" w:rsidRPr="00BD6C5F">
        <w:t>’</w:t>
      </w:r>
      <w:r w:rsidRPr="00BD6C5F">
        <w:t xml:space="preserve">s </w:t>
      </w:r>
      <w:r w:rsidR="00A4555C" w:rsidRPr="00BD6C5F">
        <w:t>‘</w:t>
      </w:r>
      <w:r w:rsidRPr="00BD6C5F">
        <w:t>Security Bulletin Severity Rating System</w:t>
      </w:r>
      <w:r w:rsidR="00A4555C" w:rsidRPr="00BD6C5F">
        <w:t>’</w:t>
      </w:r>
      <w:r w:rsidRPr="00BD6C5F">
        <w:t xml:space="preserve"> ratings </w:t>
      </w:r>
      <w:r w:rsidR="00A4555C" w:rsidRPr="00BD6C5F">
        <w:t>‘</w:t>
      </w:r>
      <w:r w:rsidRPr="00BD6C5F">
        <w:t>Critical</w:t>
      </w:r>
      <w:r w:rsidR="00A4555C" w:rsidRPr="00BD6C5F">
        <w:t>’</w:t>
      </w:r>
      <w:r w:rsidRPr="00BD6C5F">
        <w:t xml:space="preserve">, </w:t>
      </w:r>
      <w:r w:rsidR="00A4555C" w:rsidRPr="00BD6C5F">
        <w:t>‘</w:t>
      </w:r>
      <w:r w:rsidRPr="00BD6C5F">
        <w:t>Important</w:t>
      </w:r>
      <w:r w:rsidR="00A4555C" w:rsidRPr="00BD6C5F">
        <w:t>’</w:t>
      </w:r>
      <w:r w:rsidRPr="00BD6C5F">
        <w:t>, and the two remaining levels (</w:t>
      </w:r>
      <w:r w:rsidR="00A4555C" w:rsidRPr="00BD6C5F">
        <w:t>‘</w:t>
      </w:r>
      <w:r w:rsidRPr="00BD6C5F">
        <w:t>Moderate</w:t>
      </w:r>
      <w:r w:rsidR="00A4555C" w:rsidRPr="00BD6C5F">
        <w:t>’</w:t>
      </w:r>
      <w:r w:rsidRPr="00BD6C5F">
        <w:t xml:space="preserve"> and </w:t>
      </w:r>
      <w:r w:rsidR="00A4555C" w:rsidRPr="00BD6C5F">
        <w:t>‘</w:t>
      </w:r>
      <w:r w:rsidRPr="00BD6C5F">
        <w:t>Low</w:t>
      </w:r>
      <w:r w:rsidR="00A4555C" w:rsidRPr="00BD6C5F">
        <w:t>’</w:t>
      </w:r>
      <w:r w:rsidRPr="00BD6C5F">
        <w:t>) respectively.</w:t>
      </w:r>
    </w:p>
    <w:p w14:paraId="52CAE7CD" w14:textId="2F760B57" w:rsidR="00BC7DDA" w:rsidRPr="00BD6C5F" w:rsidRDefault="009B03E9" w:rsidP="00247692">
      <w:pPr>
        <w:pStyle w:val="AppendixText2"/>
        <w:keepNext/>
      </w:pPr>
      <w:bookmarkStart w:id="237" w:name="_bookmark79"/>
      <w:bookmarkStart w:id="238" w:name="_Ref98359233"/>
      <w:bookmarkEnd w:id="237"/>
      <w:r w:rsidRPr="00BD6C5F">
        <w:t xml:space="preserve">Subject to Paragraph </w:t>
      </w:r>
      <w:r w:rsidR="004E7151" w:rsidRPr="00BD6C5F">
        <w:fldChar w:fldCharType="begin"/>
      </w:r>
      <w:r w:rsidR="004E7151" w:rsidRPr="00BD6C5F">
        <w:instrText xml:space="preserve"> REF _Ref98359220 \n \h </w:instrText>
      </w:r>
      <w:r w:rsidR="00AD7DD0" w:rsidRPr="00BD6C5F">
        <w:instrText xml:space="preserve"> \* MERGEFORMAT </w:instrText>
      </w:r>
      <w:r w:rsidR="004E7151" w:rsidRPr="00BD6C5F">
        <w:fldChar w:fldCharType="separate"/>
      </w:r>
      <w:r w:rsidR="009749A0">
        <w:t>9.4</w:t>
      </w:r>
      <w:r w:rsidR="004E7151" w:rsidRPr="00BD6C5F">
        <w:fldChar w:fldCharType="end"/>
      </w:r>
      <w:r w:rsidRPr="00BD6C5F">
        <w:t>, the Supplier shall procure the application of security patches to vulnerabilities in the Information Management System within:</w:t>
      </w:r>
      <w:bookmarkEnd w:id="238"/>
    </w:p>
    <w:p w14:paraId="4D2B9823" w14:textId="23088CC6" w:rsidR="00BC7DDA" w:rsidRPr="00BD6C5F" w:rsidRDefault="009B03E9" w:rsidP="00EF34C4">
      <w:pPr>
        <w:pStyle w:val="AppendixText3"/>
      </w:pPr>
      <w:r w:rsidRPr="00BD6C5F">
        <w:t xml:space="preserve">7 days after the public release of patches for those vulnerabilities categorised as </w:t>
      </w:r>
      <w:r w:rsidR="00A4555C" w:rsidRPr="00BD6C5F">
        <w:t>‘</w:t>
      </w:r>
      <w:r w:rsidRPr="00BD6C5F">
        <w:t>Critical</w:t>
      </w:r>
      <w:r w:rsidR="00A4555C" w:rsidRPr="00BD6C5F">
        <w:t>’</w:t>
      </w:r>
      <w:r w:rsidRPr="00BD6C5F">
        <w:t>;</w:t>
      </w:r>
    </w:p>
    <w:p w14:paraId="1C784970" w14:textId="1A0D4D3E" w:rsidR="00BC7DDA" w:rsidRPr="00BD6C5F" w:rsidRDefault="009B03E9" w:rsidP="00EF34C4">
      <w:pPr>
        <w:pStyle w:val="AppendixText3"/>
      </w:pPr>
      <w:r w:rsidRPr="00BD6C5F">
        <w:t xml:space="preserve">30 days after the public release of patches for those vulnerabilities categorised as </w:t>
      </w:r>
      <w:r w:rsidR="00A4555C" w:rsidRPr="00BD6C5F">
        <w:t>‘</w:t>
      </w:r>
      <w:r w:rsidRPr="00BD6C5F">
        <w:t>Important</w:t>
      </w:r>
      <w:r w:rsidR="00A4555C" w:rsidRPr="00BD6C5F">
        <w:t>’</w:t>
      </w:r>
      <w:r w:rsidRPr="00BD6C5F">
        <w:t>; and</w:t>
      </w:r>
    </w:p>
    <w:p w14:paraId="4DA6158B" w14:textId="0B58F7AD" w:rsidR="00BC7DDA" w:rsidRPr="00BD6C5F" w:rsidRDefault="009B03E9" w:rsidP="00EF34C4">
      <w:pPr>
        <w:pStyle w:val="AppendixText3"/>
      </w:pPr>
      <w:r w:rsidRPr="00BD6C5F">
        <w:t xml:space="preserve">60 days after the public release of patches for those vulnerabilities categorised as </w:t>
      </w:r>
      <w:r w:rsidR="00A4555C" w:rsidRPr="00BD6C5F">
        <w:t>‘</w:t>
      </w:r>
      <w:r w:rsidRPr="00BD6C5F">
        <w:t>Other</w:t>
      </w:r>
      <w:r w:rsidR="00A4555C" w:rsidRPr="00BD6C5F">
        <w:t>’</w:t>
      </w:r>
      <w:r w:rsidRPr="00BD6C5F">
        <w:t>.</w:t>
      </w:r>
    </w:p>
    <w:p w14:paraId="779556C0" w14:textId="6598740A" w:rsidR="00BC7DDA" w:rsidRPr="00BD6C5F" w:rsidRDefault="009B03E9" w:rsidP="00247692">
      <w:pPr>
        <w:pStyle w:val="AppendixText2"/>
        <w:keepNext/>
      </w:pPr>
      <w:bookmarkStart w:id="239" w:name="_bookmark80"/>
      <w:bookmarkStart w:id="240" w:name="_Ref98359220"/>
      <w:bookmarkEnd w:id="239"/>
      <w:r w:rsidRPr="00BD6C5F">
        <w:t xml:space="preserve">The timescales for applying patches to vulnerabilities in the Information Management System set out in Paragraph </w:t>
      </w:r>
      <w:r w:rsidR="004E7151" w:rsidRPr="00BD6C5F">
        <w:fldChar w:fldCharType="begin"/>
      </w:r>
      <w:r w:rsidR="004E7151" w:rsidRPr="00BD6C5F">
        <w:instrText xml:space="preserve"> REF _Ref98359233 \n \h </w:instrText>
      </w:r>
      <w:r w:rsidR="00AD7DD0" w:rsidRPr="00BD6C5F">
        <w:instrText xml:space="preserve"> \* MERGEFORMAT </w:instrText>
      </w:r>
      <w:r w:rsidR="004E7151" w:rsidRPr="00BD6C5F">
        <w:fldChar w:fldCharType="separate"/>
      </w:r>
      <w:r w:rsidR="009749A0">
        <w:t>9.3</w:t>
      </w:r>
      <w:r w:rsidR="004E7151" w:rsidRPr="00BD6C5F">
        <w:fldChar w:fldCharType="end"/>
      </w:r>
      <w:r w:rsidRPr="00BD6C5F">
        <w:t xml:space="preserve"> shall be extended where:</w:t>
      </w:r>
      <w:bookmarkEnd w:id="240"/>
    </w:p>
    <w:p w14:paraId="372DFB1D" w14:textId="70AE47EF" w:rsidR="00BC7DDA" w:rsidRPr="00BD6C5F" w:rsidRDefault="009B03E9" w:rsidP="00EF34C4">
      <w:pPr>
        <w:pStyle w:val="AppendixText3"/>
      </w:pPr>
      <w:r w:rsidRPr="00BD6C5F">
        <w:t xml:space="preserve">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w:t>
      </w:r>
      <w:r w:rsidR="004E7151" w:rsidRPr="00BD6C5F">
        <w:fldChar w:fldCharType="begin"/>
      </w:r>
      <w:r w:rsidR="004E7151" w:rsidRPr="00BD6C5F">
        <w:instrText xml:space="preserve"> REF _Ref98359233 \n \h </w:instrText>
      </w:r>
      <w:r w:rsidR="00197DCC" w:rsidRPr="00BD6C5F">
        <w:instrText xml:space="preserve"> \* MERGEFORMAT </w:instrText>
      </w:r>
      <w:r w:rsidR="004E7151" w:rsidRPr="00BD6C5F">
        <w:fldChar w:fldCharType="separate"/>
      </w:r>
      <w:r w:rsidR="009749A0">
        <w:t>9.3</w:t>
      </w:r>
      <w:r w:rsidR="004E7151" w:rsidRPr="00BD6C5F">
        <w:fldChar w:fldCharType="end"/>
      </w:r>
      <w:r w:rsidRPr="00BD6C5F">
        <w:t xml:space="preserve"> if the vulnerability becomes exploitable within the context of the Services;</w:t>
      </w:r>
    </w:p>
    <w:p w14:paraId="7A0748A5" w14:textId="082AA121" w:rsidR="00BC7DDA" w:rsidRPr="00BD6C5F" w:rsidRDefault="009B03E9" w:rsidP="00EF34C4">
      <w:pPr>
        <w:pStyle w:val="AppendixText3"/>
      </w:pPr>
      <w:r w:rsidRPr="00BD6C5F">
        <w:t xml:space="preserve">the application of a </w:t>
      </w:r>
      <w:r w:rsidR="00A4555C" w:rsidRPr="00BD6C5F">
        <w:t>‘</w:t>
      </w:r>
      <w:r w:rsidRPr="00BD6C5F">
        <w:t>Critical</w:t>
      </w:r>
      <w:r w:rsidR="00A4555C" w:rsidRPr="00BD6C5F">
        <w:t>’</w:t>
      </w:r>
      <w:r w:rsidRPr="00BD6C5F">
        <w:t xml:space="preserve"> or </w:t>
      </w:r>
      <w:r w:rsidR="00A4555C" w:rsidRPr="00BD6C5F">
        <w:t>‘</w:t>
      </w:r>
      <w:r w:rsidRPr="00BD6C5F">
        <w:t>Important</w:t>
      </w:r>
      <w:r w:rsidR="00A4555C" w:rsidRPr="00BD6C5F">
        <w:t>’</w:t>
      </w:r>
      <w:r w:rsidRPr="00BD6C5F">
        <w:t xml:space="preserve"> security patch adversely affects the Supplier</w:t>
      </w:r>
      <w:r w:rsidR="00A4555C" w:rsidRPr="00BD6C5F">
        <w:t>’</w:t>
      </w:r>
      <w:r w:rsidRPr="00BD6C5F">
        <w:t>s ability to deliver the Services in which case the Supplier shall be granted an extension to such timescales of 5 days, provided the Supplier had followed and continues to follow the security patch test plan agreed with the Authority; or</w:t>
      </w:r>
    </w:p>
    <w:p w14:paraId="047ADC3A" w14:textId="66741F9D" w:rsidR="00BC7DDA" w:rsidRPr="00BD6C5F" w:rsidRDefault="009B03E9" w:rsidP="00EF34C4">
      <w:pPr>
        <w:pStyle w:val="AppendixText3"/>
      </w:pPr>
      <w:r w:rsidRPr="00BD6C5F">
        <w:t>the Authority agrees a different maximum period after a case-by- case consultation with the Supplier under the processes defined in the Security Management Plan.</w:t>
      </w:r>
    </w:p>
    <w:p w14:paraId="785F6154" w14:textId="77777777" w:rsidR="00BC7DDA" w:rsidRPr="00BD6C5F" w:rsidRDefault="009B03E9" w:rsidP="00EF34C4">
      <w:pPr>
        <w:pStyle w:val="AppendixText2"/>
      </w:pPr>
      <w:r w:rsidRPr="00BD6C5F">
        <w:t xml:space="preserve">The Security Management Plan shall include provisions for major version upgrades of all COTS Software to be kept up to date such that all COTS Software are always in mainstream </w:t>
      </w:r>
      <w:r w:rsidRPr="00BD6C5F">
        <w:lastRenderedPageBreak/>
        <w:t>support throughout the Term unless otherwise agreed by the Authority in writing. All COTS Software should be no more than N-1 versions behind the latest software release.</w:t>
      </w:r>
    </w:p>
    <w:p w14:paraId="7E25BF8F" w14:textId="77777777" w:rsidR="00BC7DDA" w:rsidRPr="00BD6C5F" w:rsidRDefault="009B03E9" w:rsidP="00EF34C4">
      <w:pPr>
        <w:pStyle w:val="AppendixText1"/>
      </w:pPr>
      <w:r w:rsidRPr="00BD6C5F">
        <w:t>Secure Architecture</w:t>
      </w:r>
    </w:p>
    <w:p w14:paraId="0932CE75" w14:textId="77777777" w:rsidR="00BC7DDA" w:rsidRPr="00BD6C5F" w:rsidRDefault="009B03E9" w:rsidP="00247692">
      <w:pPr>
        <w:pStyle w:val="AppendixText2"/>
        <w:keepNext/>
      </w:pPr>
      <w:r w:rsidRPr="00BD6C5F">
        <w:t>The Supplier shall design the Information Management System in accordance with:</w:t>
      </w:r>
    </w:p>
    <w:p w14:paraId="7D271B91" w14:textId="55EB577B" w:rsidR="00BC7DDA" w:rsidRPr="00BD6C5F" w:rsidRDefault="009B03E9" w:rsidP="00EF34C4">
      <w:pPr>
        <w:pStyle w:val="AppendixText3"/>
      </w:pPr>
      <w:r w:rsidRPr="00BD6C5F">
        <w:t xml:space="preserve">the NCSC </w:t>
      </w:r>
      <w:r w:rsidR="00A4555C" w:rsidRPr="00BD6C5F">
        <w:t>“</w:t>
      </w:r>
      <w:r w:rsidRPr="00BD6C5F">
        <w:t>Security Design Principles for Digital Services</w:t>
      </w:r>
      <w:r w:rsidR="00A4555C" w:rsidRPr="00BD6C5F">
        <w:t>”</w:t>
      </w:r>
      <w:r w:rsidRPr="00BD6C5F">
        <w:t xml:space="preserve">, a copy of which can be found at: </w:t>
      </w:r>
      <w:hyperlink r:id="rId47" w:history="1">
        <w:r w:rsidR="003200C4" w:rsidRPr="00BD6C5F">
          <w:rPr>
            <w:rStyle w:val="Hyperlink"/>
            <w:rFonts w:asciiTheme="minorHAnsi" w:hAnsiTheme="minorHAnsi" w:cstheme="minorHAnsi"/>
            <w:szCs w:val="24"/>
          </w:rPr>
          <w:t>https://www.ncsc.gov.uk/guidance/security-design-principles-digital-services-main</w:t>
        </w:r>
      </w:hyperlink>
      <w:r w:rsidRPr="00BD6C5F">
        <w:t>;</w:t>
      </w:r>
    </w:p>
    <w:p w14:paraId="6641EC1A" w14:textId="38EB34F2" w:rsidR="00BC7DDA" w:rsidRPr="00BD6C5F" w:rsidRDefault="009B03E9" w:rsidP="00EF34C4">
      <w:pPr>
        <w:pStyle w:val="AppendixText3"/>
      </w:pPr>
      <w:r w:rsidRPr="00BD6C5F">
        <w:t xml:space="preserve">the NCSC </w:t>
      </w:r>
      <w:r w:rsidR="00A4555C" w:rsidRPr="00BD6C5F">
        <w:t>“</w:t>
      </w:r>
      <w:r w:rsidRPr="00BD6C5F">
        <w:t>Bulk Data Principles</w:t>
      </w:r>
      <w:r w:rsidR="00A4555C" w:rsidRPr="00BD6C5F">
        <w:t>”</w:t>
      </w:r>
      <w:r w:rsidRPr="00BD6C5F">
        <w:t xml:space="preserve">, a copy of which can be found at </w:t>
      </w:r>
      <w:hyperlink r:id="rId48" w:history="1">
        <w:r w:rsidR="003200C4" w:rsidRPr="00BD6C5F">
          <w:rPr>
            <w:rStyle w:val="Hyperlink"/>
            <w:rFonts w:asciiTheme="minorHAnsi" w:hAnsiTheme="minorHAnsi" w:cstheme="minorHAnsi"/>
            <w:szCs w:val="24"/>
          </w:rPr>
          <w:t>https://www.ncsc.gov.uk/guidance/protecting-bulk-personal-data-main</w:t>
        </w:r>
      </w:hyperlink>
      <w:r w:rsidRPr="00BD6C5F">
        <w:t>; and</w:t>
      </w:r>
    </w:p>
    <w:p w14:paraId="0A0B8734" w14:textId="6867BA65" w:rsidR="00BC7DDA" w:rsidRPr="00BD6C5F" w:rsidRDefault="009B03E9" w:rsidP="00247692">
      <w:pPr>
        <w:pStyle w:val="AppendixText3"/>
        <w:keepNext/>
      </w:pPr>
      <w:r w:rsidRPr="00BD6C5F">
        <w:t xml:space="preserve">the NSCS </w:t>
      </w:r>
      <w:r w:rsidR="00A4555C" w:rsidRPr="00BD6C5F">
        <w:t>“</w:t>
      </w:r>
      <w:r w:rsidRPr="00BD6C5F">
        <w:t>Cloud Security Principles</w:t>
      </w:r>
      <w:r w:rsidR="00A4555C" w:rsidRPr="00BD6C5F">
        <w:t>”</w:t>
      </w:r>
      <w:r w:rsidRPr="00BD6C5F">
        <w:t xml:space="preserve">, a copy of which can be found at: </w:t>
      </w:r>
      <w:hyperlink r:id="rId49" w:history="1">
        <w:r w:rsidR="003200C4" w:rsidRPr="00BD6C5F">
          <w:rPr>
            <w:rStyle w:val="Hyperlink"/>
            <w:rFonts w:asciiTheme="minorHAnsi" w:hAnsiTheme="minorHAnsi" w:cstheme="minorHAnsi"/>
            <w:szCs w:val="24"/>
          </w:rPr>
          <w:t>https://www.ncsc.gov.uk/guidance/implementing-cloud-security-principles</w:t>
        </w:r>
      </w:hyperlink>
      <w:r w:rsidRPr="00BD6C5F">
        <w:t xml:space="preserve"> and which are summarised below:</w:t>
      </w:r>
    </w:p>
    <w:p w14:paraId="774E7CA0" w14:textId="6300CCF9" w:rsidR="00BC7DDA" w:rsidRPr="00BD6C5F" w:rsidRDefault="00A4555C" w:rsidP="00D452D9">
      <w:pPr>
        <w:pStyle w:val="Numbered111a"/>
        <w:rPr>
          <w:lang w:val="en-GB"/>
        </w:rPr>
      </w:pPr>
      <w:r w:rsidRPr="00BD6C5F">
        <w:rPr>
          <w:lang w:val="en-GB"/>
        </w:rPr>
        <w:t>“</w:t>
      </w:r>
      <w:r w:rsidR="009B03E9" w:rsidRPr="00BD6C5F">
        <w:rPr>
          <w:lang w:val="en-GB"/>
        </w:rPr>
        <w:t>Cloud Security Principle 1: data in transit protection</w:t>
      </w:r>
      <w:r w:rsidRPr="00BD6C5F">
        <w:rPr>
          <w:lang w:val="en-GB"/>
        </w:rPr>
        <w:t>”</w:t>
      </w:r>
      <w:r w:rsidR="009B03E9" w:rsidRPr="00BD6C5F">
        <w:rPr>
          <w:lang w:val="en-GB"/>
        </w:rPr>
        <w:t xml:space="preserve"> which, amongst other matters, requires that user data transiting networks should be adequately protected against tampering and eavesdropping;</w:t>
      </w:r>
    </w:p>
    <w:p w14:paraId="191002CF" w14:textId="0B65C828" w:rsidR="00BC7DDA" w:rsidRPr="00BD6C5F" w:rsidRDefault="00A4555C" w:rsidP="00717A0A">
      <w:pPr>
        <w:pStyle w:val="Numbered111a"/>
        <w:rPr>
          <w:lang w:val="en-GB"/>
        </w:rPr>
      </w:pPr>
      <w:r w:rsidRPr="00BD6C5F">
        <w:rPr>
          <w:lang w:val="en-GB"/>
        </w:rPr>
        <w:t>“</w:t>
      </w:r>
      <w:r w:rsidR="009B03E9" w:rsidRPr="00BD6C5F">
        <w:rPr>
          <w:lang w:val="en-GB"/>
        </w:rPr>
        <w:t>Cloud Security Principle 2: asset protection and resilience</w:t>
      </w:r>
      <w:r w:rsidRPr="00BD6C5F">
        <w:rPr>
          <w:lang w:val="en-GB"/>
        </w:rPr>
        <w:t>”</w:t>
      </w:r>
      <w:r w:rsidR="009B03E9" w:rsidRPr="00BD6C5F">
        <w:rPr>
          <w:lang w:val="en-GB"/>
        </w:rPr>
        <w:t xml:space="preserve"> which, amongst other matters, requires that user data, and the assets storing or processing it, should be protected against physical tampering, loss, damage or seizure;</w:t>
      </w:r>
    </w:p>
    <w:p w14:paraId="16487C45" w14:textId="52D67158" w:rsidR="00BC7DDA" w:rsidRPr="00BD6C5F" w:rsidRDefault="00A4555C" w:rsidP="00717A0A">
      <w:pPr>
        <w:pStyle w:val="Numbered111a"/>
        <w:rPr>
          <w:lang w:val="en-GB"/>
        </w:rPr>
      </w:pPr>
      <w:r w:rsidRPr="00BD6C5F">
        <w:rPr>
          <w:lang w:val="en-GB"/>
        </w:rPr>
        <w:t>“</w:t>
      </w:r>
      <w:r w:rsidR="009B03E9" w:rsidRPr="00BD6C5F">
        <w:rPr>
          <w:lang w:val="en-GB"/>
        </w:rPr>
        <w:t>Cloud Security Principle 3: separation between users</w:t>
      </w:r>
      <w:r w:rsidRPr="00BD6C5F">
        <w:rPr>
          <w:lang w:val="en-GB"/>
        </w:rPr>
        <w:t>”</w:t>
      </w:r>
      <w:r w:rsidR="009B03E9" w:rsidRPr="00BD6C5F">
        <w:rPr>
          <w:lang w:val="en-GB"/>
        </w:rPr>
        <w:t xml:space="preserve"> which, amongst other matters, requires that a malicious or compromised user of the service should not be able to affect the service or data of another;</w:t>
      </w:r>
    </w:p>
    <w:p w14:paraId="75D417F6" w14:textId="02C76CF7" w:rsidR="00BC7DDA" w:rsidRPr="00BD6C5F" w:rsidRDefault="00A4555C" w:rsidP="00717A0A">
      <w:pPr>
        <w:pStyle w:val="Numbered111a"/>
        <w:rPr>
          <w:lang w:val="en-GB"/>
        </w:rPr>
      </w:pPr>
      <w:r w:rsidRPr="00BD6C5F">
        <w:rPr>
          <w:lang w:val="en-GB"/>
        </w:rPr>
        <w:t>“</w:t>
      </w:r>
      <w:r w:rsidR="009B03E9" w:rsidRPr="00BD6C5F">
        <w:rPr>
          <w:lang w:val="en-GB"/>
        </w:rPr>
        <w:t>Cloud Security Principle 4: governance framework</w:t>
      </w:r>
      <w:r w:rsidRPr="00BD6C5F">
        <w:rPr>
          <w:lang w:val="en-GB"/>
        </w:rPr>
        <w:t>”</w:t>
      </w:r>
      <w:r w:rsidR="009B03E9" w:rsidRPr="00BD6C5F">
        <w:rPr>
          <w:lang w:val="en-GB"/>
        </w:rPr>
        <w:t xml:space="preserve"> which, amongst other matters, requires that the Supplier should have a security governance framework which coordinates and directs its management of the Services and information within it;</w:t>
      </w:r>
    </w:p>
    <w:p w14:paraId="64A841B5" w14:textId="374C13D7" w:rsidR="00BC7DDA" w:rsidRPr="00BD6C5F" w:rsidRDefault="00A4555C" w:rsidP="00717A0A">
      <w:pPr>
        <w:pStyle w:val="Numbered111a"/>
        <w:rPr>
          <w:lang w:val="en-GB"/>
        </w:rPr>
      </w:pPr>
      <w:r w:rsidRPr="00BD6C5F">
        <w:rPr>
          <w:lang w:val="en-GB"/>
        </w:rPr>
        <w:t>“</w:t>
      </w:r>
      <w:r w:rsidR="009B03E9" w:rsidRPr="00BD6C5F">
        <w:rPr>
          <w:lang w:val="en-GB"/>
        </w:rPr>
        <w:t>Cloud Security Principle 5: operational security</w:t>
      </w:r>
      <w:r w:rsidRPr="00BD6C5F">
        <w:rPr>
          <w:lang w:val="en-GB"/>
        </w:rPr>
        <w:t>”</w:t>
      </w:r>
      <w:r w:rsidR="009B03E9" w:rsidRPr="00BD6C5F">
        <w:rPr>
          <w:lang w:val="en-GB"/>
        </w:rPr>
        <w:t xml:space="preserve"> which, amongst other matters, requires that the Services need to be operated and managed securely in order to impede, detect or prevent a Breach of Security;</w:t>
      </w:r>
    </w:p>
    <w:p w14:paraId="25EDBB03" w14:textId="549E101B" w:rsidR="00BC7DDA" w:rsidRPr="00BD6C5F" w:rsidRDefault="00A4555C" w:rsidP="00717A0A">
      <w:pPr>
        <w:pStyle w:val="Numbered111a"/>
        <w:rPr>
          <w:lang w:val="en-GB"/>
        </w:rPr>
      </w:pPr>
      <w:r w:rsidRPr="00BD6C5F">
        <w:rPr>
          <w:lang w:val="en-GB"/>
        </w:rPr>
        <w:t>“</w:t>
      </w:r>
      <w:r w:rsidR="009B03E9" w:rsidRPr="00BD6C5F">
        <w:rPr>
          <w:lang w:val="en-GB"/>
        </w:rPr>
        <w:t>Cloud Security Principle 6: personnel security</w:t>
      </w:r>
      <w:r w:rsidRPr="00BD6C5F">
        <w:rPr>
          <w:lang w:val="en-GB"/>
        </w:rPr>
        <w:t>”</w:t>
      </w:r>
      <w:r w:rsidR="009B03E9" w:rsidRPr="00BD6C5F">
        <w:rPr>
          <w:lang w:val="en-GB"/>
        </w:rPr>
        <w:t xml:space="preserve"> which, amongst other matters, requires that where Supplier Personnel have access to Authority Data and/or the Authority System that those personnel be subject to appropriate security screening and regular security training;</w:t>
      </w:r>
    </w:p>
    <w:p w14:paraId="2C2C180A" w14:textId="7500C9B4" w:rsidR="00BC7DDA" w:rsidRPr="00BD6C5F" w:rsidRDefault="00A4555C" w:rsidP="00717A0A">
      <w:pPr>
        <w:pStyle w:val="Numbered111a"/>
        <w:rPr>
          <w:lang w:val="en-GB"/>
        </w:rPr>
      </w:pPr>
      <w:r w:rsidRPr="00BD6C5F">
        <w:rPr>
          <w:lang w:val="en-GB"/>
        </w:rPr>
        <w:t>“</w:t>
      </w:r>
      <w:r w:rsidR="009B03E9" w:rsidRPr="00BD6C5F">
        <w:rPr>
          <w:lang w:val="en-GB"/>
        </w:rPr>
        <w:t>Cloud Security Principle 7: secure development</w:t>
      </w:r>
      <w:r w:rsidRPr="00BD6C5F">
        <w:rPr>
          <w:lang w:val="en-GB"/>
        </w:rPr>
        <w:t>”</w:t>
      </w:r>
      <w:r w:rsidR="009B03E9" w:rsidRPr="00BD6C5F">
        <w:rPr>
          <w:lang w:val="en-GB"/>
        </w:rPr>
        <w:t xml:space="preserve"> which, amongst other matters, requires that the Services be designed and developed to identify and mitigate threats to their security;</w:t>
      </w:r>
    </w:p>
    <w:p w14:paraId="32A30915" w14:textId="508CDFFC" w:rsidR="00BC7DDA" w:rsidRPr="00BD6C5F" w:rsidRDefault="00A4555C" w:rsidP="00717A0A">
      <w:pPr>
        <w:pStyle w:val="Numbered111a"/>
        <w:rPr>
          <w:lang w:val="en-GB"/>
        </w:rPr>
      </w:pPr>
      <w:r w:rsidRPr="00BD6C5F">
        <w:rPr>
          <w:lang w:val="en-GB"/>
        </w:rPr>
        <w:t>“</w:t>
      </w:r>
      <w:r w:rsidR="009B03E9" w:rsidRPr="00BD6C5F">
        <w:rPr>
          <w:lang w:val="en-GB"/>
        </w:rPr>
        <w:t>Cloud Security Principle 8: supply chain security</w:t>
      </w:r>
      <w:r w:rsidRPr="00BD6C5F">
        <w:rPr>
          <w:lang w:val="en-GB"/>
        </w:rPr>
        <w:t>”</w:t>
      </w:r>
      <w:r w:rsidR="009B03E9" w:rsidRPr="00BD6C5F">
        <w:rPr>
          <w:lang w:val="en-GB"/>
        </w:rPr>
        <w:t xml:space="preserve"> which, amongst other matters, requires the Supplier to ensure that appropriate security controls are in place with its Sub-contractors and other suppliers;</w:t>
      </w:r>
    </w:p>
    <w:p w14:paraId="5A5B0441" w14:textId="652961A6" w:rsidR="00BC7DDA" w:rsidRPr="00BD6C5F" w:rsidRDefault="00A4555C" w:rsidP="00717A0A">
      <w:pPr>
        <w:pStyle w:val="Numbered111a"/>
        <w:rPr>
          <w:lang w:val="en-GB"/>
        </w:rPr>
      </w:pPr>
      <w:r w:rsidRPr="00BD6C5F">
        <w:rPr>
          <w:lang w:val="en-GB"/>
        </w:rPr>
        <w:t>“</w:t>
      </w:r>
      <w:r w:rsidR="009B03E9" w:rsidRPr="00BD6C5F">
        <w:rPr>
          <w:lang w:val="en-GB"/>
        </w:rPr>
        <w:t>Cloud Security Principle 9: secure user management</w:t>
      </w:r>
      <w:r w:rsidRPr="00BD6C5F">
        <w:rPr>
          <w:lang w:val="en-GB"/>
        </w:rPr>
        <w:t>”</w:t>
      </w:r>
      <w:r w:rsidR="009B03E9" w:rsidRPr="00BD6C5F">
        <w:rPr>
          <w:lang w:val="en-GB"/>
        </w:rPr>
        <w:t xml:space="preserve"> which, amongst </w:t>
      </w:r>
      <w:r w:rsidR="009B03E9" w:rsidRPr="00BD6C5F">
        <w:rPr>
          <w:lang w:val="en-GB"/>
        </w:rPr>
        <w:lastRenderedPageBreak/>
        <w:t>other matters, requires the Supplier to make the</w:t>
      </w:r>
      <w:r w:rsidR="00DB2677" w:rsidRPr="00BD6C5F">
        <w:rPr>
          <w:lang w:val="en-GB"/>
        </w:rPr>
        <w:t xml:space="preserve"> </w:t>
      </w:r>
      <w:r w:rsidR="009B03E9" w:rsidRPr="00BD6C5F">
        <w:rPr>
          <w:lang w:val="en-GB"/>
        </w:rPr>
        <w:t>tools available for the Authority to securely manage the Authority</w:t>
      </w:r>
      <w:r w:rsidRPr="00BD6C5F">
        <w:rPr>
          <w:lang w:val="en-GB"/>
        </w:rPr>
        <w:t>’</w:t>
      </w:r>
      <w:r w:rsidR="009B03E9" w:rsidRPr="00BD6C5F">
        <w:rPr>
          <w:lang w:val="en-GB"/>
        </w:rPr>
        <w:t>s use of the Service;</w:t>
      </w:r>
    </w:p>
    <w:p w14:paraId="70BF0827" w14:textId="5A83FFBC" w:rsidR="00BC7DDA" w:rsidRPr="00BD6C5F" w:rsidRDefault="00A4555C" w:rsidP="00717A0A">
      <w:pPr>
        <w:pStyle w:val="Numbered111a"/>
        <w:rPr>
          <w:lang w:val="en-GB"/>
        </w:rPr>
      </w:pPr>
      <w:r w:rsidRPr="00BD6C5F">
        <w:rPr>
          <w:lang w:val="en-GB"/>
        </w:rPr>
        <w:t>“</w:t>
      </w:r>
      <w:r w:rsidR="009B03E9" w:rsidRPr="00BD6C5F">
        <w:rPr>
          <w:lang w:val="en-GB"/>
        </w:rPr>
        <w:t>Cloud Security Principle 10: identity and authentication</w:t>
      </w:r>
      <w:r w:rsidRPr="00BD6C5F">
        <w:rPr>
          <w:lang w:val="en-GB"/>
        </w:rPr>
        <w:t>”</w:t>
      </w:r>
      <w:r w:rsidR="009B03E9" w:rsidRPr="00BD6C5F">
        <w:rPr>
          <w:lang w:val="en-GB"/>
        </w:rPr>
        <w:t xml:space="preserve"> which, amongst other matters, requires the Supplier to implement appropriate controls in order to ensure that access to Service interfaces is constrained to authenticated and authorised individuals;</w:t>
      </w:r>
    </w:p>
    <w:p w14:paraId="6BA8B880" w14:textId="02E76966" w:rsidR="00BC7DDA" w:rsidRPr="00BD6C5F" w:rsidRDefault="00A4555C" w:rsidP="00717A0A">
      <w:pPr>
        <w:pStyle w:val="Numbered111a"/>
        <w:rPr>
          <w:lang w:val="en-GB"/>
        </w:rPr>
      </w:pPr>
      <w:r w:rsidRPr="00BD6C5F">
        <w:rPr>
          <w:lang w:val="en-GB"/>
        </w:rPr>
        <w:t>“</w:t>
      </w:r>
      <w:r w:rsidR="009B03E9" w:rsidRPr="00BD6C5F">
        <w:rPr>
          <w:lang w:val="en-GB"/>
        </w:rPr>
        <w:t>Cloud Security Principle 11: external interface protection</w:t>
      </w:r>
      <w:r w:rsidRPr="00BD6C5F">
        <w:rPr>
          <w:lang w:val="en-GB"/>
        </w:rPr>
        <w:t>”</w:t>
      </w:r>
      <w:r w:rsidR="009B03E9" w:rsidRPr="00BD6C5F">
        <w:rPr>
          <w:lang w:val="en-GB"/>
        </w:rPr>
        <w:t xml:space="preserve"> which, amongst other matters, requires that all external or less trusted interfaces with the Services should be identified and appropriately defended;</w:t>
      </w:r>
    </w:p>
    <w:p w14:paraId="42BAFBEA" w14:textId="33174119" w:rsidR="00BC7DDA" w:rsidRPr="00BD6C5F" w:rsidRDefault="00A4555C" w:rsidP="00717A0A">
      <w:pPr>
        <w:pStyle w:val="Numbered111a"/>
        <w:rPr>
          <w:lang w:val="en-GB"/>
        </w:rPr>
      </w:pPr>
      <w:r w:rsidRPr="00BD6C5F">
        <w:rPr>
          <w:lang w:val="en-GB"/>
        </w:rPr>
        <w:t>“</w:t>
      </w:r>
      <w:r w:rsidR="009B03E9" w:rsidRPr="00BD6C5F">
        <w:rPr>
          <w:lang w:val="en-GB"/>
        </w:rPr>
        <w:t>Cloud Security Principle 12: secure service administration</w:t>
      </w:r>
      <w:r w:rsidRPr="00BD6C5F">
        <w:rPr>
          <w:lang w:val="en-GB"/>
        </w:rPr>
        <w:t>”</w:t>
      </w:r>
      <w:r w:rsidR="009B03E9" w:rsidRPr="00BD6C5F">
        <w:rPr>
          <w:lang w:val="en-GB"/>
        </w:rPr>
        <w:t xml:space="preserve"> which, amongst other matters, requires that any ICT system which is used for administration of a cloud service will have highly privileged access to that service;</w:t>
      </w:r>
    </w:p>
    <w:p w14:paraId="1A5F0BC3" w14:textId="3C990BF9" w:rsidR="00BC7DDA" w:rsidRPr="00BD6C5F" w:rsidRDefault="00A4555C" w:rsidP="00717A0A">
      <w:pPr>
        <w:pStyle w:val="Numbered111a"/>
        <w:rPr>
          <w:lang w:val="en-GB"/>
        </w:rPr>
      </w:pPr>
      <w:r w:rsidRPr="00BD6C5F">
        <w:rPr>
          <w:lang w:val="en-GB"/>
        </w:rPr>
        <w:t>“</w:t>
      </w:r>
      <w:r w:rsidR="009B03E9" w:rsidRPr="00BD6C5F">
        <w:rPr>
          <w:lang w:val="en-GB"/>
        </w:rPr>
        <w:t>Cloud Security Principle 13: audit information for users</w:t>
      </w:r>
      <w:r w:rsidRPr="00BD6C5F">
        <w:rPr>
          <w:lang w:val="en-GB"/>
        </w:rPr>
        <w:t>”</w:t>
      </w:r>
      <w:r w:rsidR="009B03E9" w:rsidRPr="00BD6C5F">
        <w:rPr>
          <w:lang w:val="en-GB"/>
        </w:rPr>
        <w:t xml:space="preserve"> which, amongst other matters, requires the Supplier to be able to provide the Authority with the audit records it needs to monitor access to the Service and the Authority Data held by the Supplier and/or its Sub-contractors; and</w:t>
      </w:r>
    </w:p>
    <w:p w14:paraId="2DB6F03A" w14:textId="40776EFD" w:rsidR="00B30FB1" w:rsidRPr="00BD6C5F" w:rsidRDefault="00A4555C" w:rsidP="00717A0A">
      <w:pPr>
        <w:pStyle w:val="Numbered111a"/>
        <w:rPr>
          <w:lang w:val="en-GB"/>
        </w:rPr>
      </w:pPr>
      <w:r w:rsidRPr="00BD6C5F">
        <w:rPr>
          <w:lang w:val="en-GB"/>
        </w:rPr>
        <w:t>“</w:t>
      </w:r>
      <w:r w:rsidR="009B03E9" w:rsidRPr="00BD6C5F">
        <w:rPr>
          <w:lang w:val="en-GB"/>
        </w:rPr>
        <w:t>Cloud Security Principle 14: secure use of the service</w:t>
      </w:r>
      <w:r w:rsidRPr="00BD6C5F">
        <w:rPr>
          <w:lang w:val="en-GB"/>
        </w:rPr>
        <w:t>”</w:t>
      </w:r>
      <w:r w:rsidR="009B03E9" w:rsidRPr="00BD6C5F">
        <w:rPr>
          <w:lang w:val="en-GB"/>
        </w:rPr>
        <w:t xml:space="preserve"> which, amongst other matters, requires the Supplier to educate Supplier Personnel on the safe and secure use of the Information Management System.</w:t>
      </w:r>
    </w:p>
    <w:p w14:paraId="340A5EB8" w14:textId="0B3BC320" w:rsidR="00BC7DDA" w:rsidRPr="00BD6C5F" w:rsidRDefault="00717A0A" w:rsidP="00717A0A">
      <w:pPr>
        <w:pStyle w:val="Heading2"/>
        <w:pageBreakBefore/>
      </w:pPr>
      <w:bookmarkStart w:id="241" w:name="_bookmark81"/>
      <w:bookmarkStart w:id="242" w:name="_Toc98332712"/>
      <w:bookmarkStart w:id="243" w:name="_Ref98335109"/>
      <w:bookmarkStart w:id="244" w:name="_Ref98340479"/>
      <w:bookmarkStart w:id="245" w:name="_Ref98340811"/>
      <w:bookmarkStart w:id="246" w:name="_Toc98852889"/>
      <w:bookmarkStart w:id="247" w:name="_Toc141720982"/>
      <w:bookmarkEnd w:id="241"/>
      <w:r w:rsidRPr="00BD6C5F">
        <w:lastRenderedPageBreak/>
        <w:t xml:space="preserve">Annex </w:t>
      </w:r>
      <w:bookmarkStart w:id="248" w:name="Schedule_5_Part_A_Annex_2"/>
      <w:r w:rsidRPr="00BD6C5F">
        <w:t>2</w:t>
      </w:r>
      <w:bookmarkEnd w:id="248"/>
      <w:r w:rsidRPr="00BD6C5F">
        <w:t>: Security Requirements for Sub-Contractors</w:t>
      </w:r>
      <w:bookmarkEnd w:id="242"/>
      <w:bookmarkEnd w:id="243"/>
      <w:bookmarkEnd w:id="244"/>
      <w:bookmarkEnd w:id="245"/>
      <w:bookmarkEnd w:id="246"/>
      <w:bookmarkEnd w:id="247"/>
    </w:p>
    <w:p w14:paraId="1DC71C7E" w14:textId="4B5CA06E" w:rsidR="00BC7DDA" w:rsidRPr="00BD6C5F" w:rsidRDefault="009B03E9" w:rsidP="00B71FC0">
      <w:pPr>
        <w:pStyle w:val="AppendixText1"/>
        <w:numPr>
          <w:ilvl w:val="0"/>
          <w:numId w:val="140"/>
        </w:numPr>
      </w:pPr>
      <w:r w:rsidRPr="00BD6C5F">
        <w:t>Application of Annex</w:t>
      </w:r>
    </w:p>
    <w:p w14:paraId="7A9CC165" w14:textId="77777777" w:rsidR="00BC7DDA" w:rsidRPr="00BD6C5F" w:rsidRDefault="009B03E9" w:rsidP="00030632">
      <w:pPr>
        <w:pStyle w:val="AppendixText2"/>
      </w:pPr>
      <w:r w:rsidRPr="00BD6C5F">
        <w:t>This Annex applies to all Sub-contractors that Process Authority Data.</w:t>
      </w:r>
    </w:p>
    <w:p w14:paraId="6AB445A9" w14:textId="77777777" w:rsidR="00BC7DDA" w:rsidRPr="00BD6C5F" w:rsidRDefault="009B03E9" w:rsidP="00247692">
      <w:pPr>
        <w:pStyle w:val="AppendixText2"/>
        <w:keepNext/>
      </w:pPr>
      <w:r w:rsidRPr="00BD6C5F">
        <w:t>The Supplier must:</w:t>
      </w:r>
    </w:p>
    <w:p w14:paraId="20E15BE8" w14:textId="4CEFCDF8" w:rsidR="00BC7DDA" w:rsidRPr="00BD6C5F" w:rsidRDefault="009B03E9" w:rsidP="00030632">
      <w:pPr>
        <w:pStyle w:val="AppendixText3"/>
      </w:pPr>
      <w:r w:rsidRPr="00BD6C5F">
        <w:t>ensure that those Sub-contractors comply with the provisions of this Annex;</w:t>
      </w:r>
    </w:p>
    <w:p w14:paraId="008FA243" w14:textId="26BD7B23" w:rsidR="00BC7DDA" w:rsidRPr="00BD6C5F" w:rsidRDefault="009B03E9" w:rsidP="00030632">
      <w:pPr>
        <w:pStyle w:val="AppendixText3"/>
      </w:pPr>
      <w:r w:rsidRPr="00BD6C5F">
        <w:t>keep sufficient records to demonstrate that compliance to the Authority; and</w:t>
      </w:r>
    </w:p>
    <w:p w14:paraId="215082B0" w14:textId="66FA446E" w:rsidR="00BC7DDA" w:rsidRPr="00BD6C5F" w:rsidRDefault="009B03E9" w:rsidP="00030632">
      <w:pPr>
        <w:pStyle w:val="AppendixText3"/>
      </w:pPr>
      <w:r w:rsidRPr="00BD6C5F">
        <w:t>ensure that its Implementation Plan includes Deliverable Items, Milestones and Milestone Dates that relate to the design, implementation and management of any systems used by Sub-contractors to Process Authority Data.</w:t>
      </w:r>
    </w:p>
    <w:p w14:paraId="28B26312" w14:textId="77777777" w:rsidR="00BC7DDA" w:rsidRPr="00BD6C5F" w:rsidRDefault="009B03E9" w:rsidP="00030632">
      <w:pPr>
        <w:pStyle w:val="AppendixText1"/>
      </w:pPr>
      <w:r w:rsidRPr="00BD6C5F">
        <w:t>Designing and managing secure solutions</w:t>
      </w:r>
    </w:p>
    <w:p w14:paraId="5E8F734E" w14:textId="734AFCFA" w:rsidR="00BC7DDA" w:rsidRPr="00BD6C5F" w:rsidRDefault="009B03E9" w:rsidP="00030632">
      <w:pPr>
        <w:pStyle w:val="AppendixText2"/>
      </w:pPr>
      <w:r w:rsidRPr="00BD6C5F">
        <w:t>The Sub-contractor shall implement their solution(s) to mitigate the security risks in accordance with the NCSC</w:t>
      </w:r>
      <w:r w:rsidR="00A4555C" w:rsidRPr="00BD6C5F">
        <w:t>’</w:t>
      </w:r>
      <w:r w:rsidRPr="00BD6C5F">
        <w:t xml:space="preserve">s Cyber Security Design Principles </w:t>
      </w:r>
      <w:hyperlink r:id="rId50" w:history="1">
        <w:r w:rsidR="00017B5C" w:rsidRPr="00BD6C5F">
          <w:rPr>
            <w:rStyle w:val="Hyperlink"/>
          </w:rPr>
          <w:t>https://www.ncsc.gov.uk/collection/cyber-security-design-principles</w:t>
        </w:r>
      </w:hyperlink>
      <w:r w:rsidRPr="00BD6C5F">
        <w:t>.</w:t>
      </w:r>
    </w:p>
    <w:p w14:paraId="40475DA7" w14:textId="5C49F958" w:rsidR="00BC7DDA" w:rsidRPr="00BD6C5F" w:rsidRDefault="009B03E9" w:rsidP="00030632">
      <w:pPr>
        <w:pStyle w:val="AppendixText2"/>
      </w:pPr>
      <w:r w:rsidRPr="00BD6C5F">
        <w:t xml:space="preserve">The Sub-contractor must assess their systems against the NCSC Cloud Security Principles: </w:t>
      </w:r>
      <w:hyperlink r:id="rId51" w:history="1">
        <w:r w:rsidR="00953E45" w:rsidRPr="00BD6C5F">
          <w:rPr>
            <w:rStyle w:val="Hyperlink"/>
          </w:rPr>
          <w:t>https://www.ncsc.gov.uk/collection/cloud-security?curPage=/collection/cloud-security/implementing-the-cloud-security-principles</w:t>
        </w:r>
      </w:hyperlink>
      <w:r w:rsidR="00953E45" w:rsidRPr="00BD6C5F">
        <w:t xml:space="preserve"> </w:t>
      </w:r>
      <w:r w:rsidRPr="00BD6C5F">
        <w:t>at their own cost and expense to demonstrate that the people, process, technical and physical controls have been delivered in an effective way. The Sub-contractor must document that assessment and make that documentation available to the Authority on the Authority</w:t>
      </w:r>
      <w:r w:rsidR="00A4555C" w:rsidRPr="00BD6C5F">
        <w:t>’</w:t>
      </w:r>
      <w:r w:rsidRPr="00BD6C5F">
        <w:t>s request.</w:t>
      </w:r>
    </w:p>
    <w:p w14:paraId="0CE09774" w14:textId="77777777" w:rsidR="00BC7DDA" w:rsidRPr="00BD6C5F" w:rsidRDefault="009B03E9" w:rsidP="00030632">
      <w:pPr>
        <w:pStyle w:val="AppendixText1"/>
      </w:pPr>
      <w:r w:rsidRPr="00BD6C5F">
        <w:t>Data Processing, Storage, Management and Destruction</w:t>
      </w:r>
    </w:p>
    <w:p w14:paraId="1F1EF111" w14:textId="15315506" w:rsidR="00BC7DDA" w:rsidRPr="00BD6C5F" w:rsidRDefault="009B03E9" w:rsidP="00030632">
      <w:pPr>
        <w:pStyle w:val="AppendixText2"/>
      </w:pPr>
      <w:bookmarkStart w:id="249" w:name="_bookmark82"/>
      <w:bookmarkStart w:id="250" w:name="_Ref98357977"/>
      <w:bookmarkEnd w:id="249"/>
      <w:r w:rsidRPr="00BD6C5F">
        <w:t>The Sub-contractor must not Process any Authority Data outside the</w:t>
      </w:r>
      <w:r w:rsidRPr="006D1202">
        <w:t xml:space="preserve"> </w:t>
      </w:r>
      <w:r w:rsidR="00460EA9" w:rsidRPr="006D1202">
        <w:rPr>
          <w:highlight w:val="yellow"/>
        </w:rPr>
        <w:t>[</w:t>
      </w:r>
      <w:r w:rsidRPr="006D1202">
        <w:rPr>
          <w:highlight w:val="yellow"/>
        </w:rPr>
        <w:t>U</w:t>
      </w:r>
      <w:r w:rsidR="00460EA9" w:rsidRPr="006D1202">
        <w:rPr>
          <w:highlight w:val="yellow"/>
        </w:rPr>
        <w:t>K]</w:t>
      </w:r>
      <w:r w:rsidRPr="006D1202">
        <w:t xml:space="preserve">. The Authority may permit the Sub-contractor to Process Authority Data outside the </w:t>
      </w:r>
      <w:r w:rsidR="00460EA9" w:rsidRPr="006D1202">
        <w:rPr>
          <w:highlight w:val="yellow"/>
        </w:rPr>
        <w:t>[UK]</w:t>
      </w:r>
      <w:r w:rsidR="00953E45" w:rsidRPr="006D1202">
        <w:t xml:space="preserve"> </w:t>
      </w:r>
      <w:r w:rsidRPr="00BD6C5F">
        <w:t>and may impose conditions on that permission, with which the Sub-contractor must comply. Any permission must be in writing to be effective.</w:t>
      </w:r>
      <w:bookmarkEnd w:id="250"/>
    </w:p>
    <w:p w14:paraId="641AC879" w14:textId="0407731F" w:rsidR="00DB2BCD" w:rsidRPr="00BD6C5F" w:rsidRDefault="009B03E9" w:rsidP="00247692">
      <w:pPr>
        <w:pStyle w:val="AppendixText2"/>
        <w:keepNext/>
      </w:pPr>
      <w:r w:rsidRPr="00BD6C5F">
        <w:t xml:space="preserve">The Sub-contractor must </w:t>
      </w:r>
      <w:r w:rsidR="008964F6" w:rsidRPr="00BD6C5F">
        <w:t xml:space="preserve">when requested to do so by the Authority: </w:t>
      </w:r>
    </w:p>
    <w:p w14:paraId="2EEBFFDE" w14:textId="40648DE8" w:rsidR="00DB2BCD" w:rsidRPr="00BD6C5F" w:rsidRDefault="00DB2BCD" w:rsidP="00030632">
      <w:pPr>
        <w:pStyle w:val="AppendixText3"/>
      </w:pPr>
      <w:r w:rsidRPr="00BD6C5F">
        <w:t xml:space="preserve">securely destroy Authority Data only on Sites which are included within the scope of an existing certification of compliance with ISO/IEC 27001 (at least ISO/IEC 27001:2013); </w:t>
      </w:r>
    </w:p>
    <w:p w14:paraId="2EC3A5FD" w14:textId="6CA4D1B9" w:rsidR="00DB2BCD" w:rsidRPr="00BD6C5F" w:rsidRDefault="00DB2BCD" w:rsidP="00030632">
      <w:pPr>
        <w:pStyle w:val="AppendixText3"/>
      </w:pPr>
      <w:r w:rsidRPr="00BD6C5F">
        <w:t xml:space="preserve">satisfy the Authority that their data destruction/deletion practices comply with UK GDPR requirements and follows all relevant NCSC guidance; and </w:t>
      </w:r>
    </w:p>
    <w:p w14:paraId="22C3B98C" w14:textId="0A0E9B40" w:rsidR="00DB2BCD" w:rsidRPr="00BD6C5F" w:rsidRDefault="00DB2BCD" w:rsidP="00030632">
      <w:pPr>
        <w:pStyle w:val="AppendixText3"/>
      </w:pPr>
      <w:r w:rsidRPr="00BD6C5F">
        <w:t>maintain an asset register of all Authority supplied information, data and equipment to ensure Authority assets are returned and/or deleted.</w:t>
      </w:r>
    </w:p>
    <w:p w14:paraId="4E4C9A46" w14:textId="77777777" w:rsidR="00BC7DDA" w:rsidRPr="00BD6C5F" w:rsidRDefault="009B03E9" w:rsidP="00030632">
      <w:pPr>
        <w:pStyle w:val="AppendixText1"/>
      </w:pPr>
      <w:r w:rsidRPr="00BD6C5F">
        <w:t>Personnel Security</w:t>
      </w:r>
    </w:p>
    <w:p w14:paraId="43361D14" w14:textId="2D33A21A" w:rsidR="00BC7DDA" w:rsidRPr="00BD6C5F" w:rsidRDefault="009B03E9" w:rsidP="00030632">
      <w:pPr>
        <w:pStyle w:val="AppendixText2"/>
      </w:pPr>
      <w:r w:rsidRPr="00BD6C5F">
        <w:t xml:space="preserve">The Sub-contractor must perform appropriate checks on their staff before they may participate in the provision and or management of the Services. Those checks must include all pre-employment checks required by the HMG Baseline Personnel Security Standard including: </w:t>
      </w:r>
      <w:r w:rsidRPr="00BD6C5F">
        <w:lastRenderedPageBreak/>
        <w:t>verification of the individual</w:t>
      </w:r>
      <w:r w:rsidR="00A4555C" w:rsidRPr="00BD6C5F">
        <w:t>’</w:t>
      </w:r>
      <w:r w:rsidRPr="00BD6C5F">
        <w:t>s</w:t>
      </w:r>
      <w:r w:rsidR="00DB2677" w:rsidRPr="00BD6C5F">
        <w:t xml:space="preserve"> </w:t>
      </w:r>
      <w:r w:rsidRPr="00BD6C5F">
        <w:t>identity; verification of the individual</w:t>
      </w:r>
      <w:r w:rsidR="00A4555C" w:rsidRPr="00BD6C5F">
        <w:t>’</w:t>
      </w:r>
      <w:r w:rsidRPr="00BD6C5F">
        <w:t>s nationality and immigration status; verification of the individual</w:t>
      </w:r>
      <w:r w:rsidR="00A4555C" w:rsidRPr="00BD6C5F">
        <w:t>’</w:t>
      </w:r>
      <w:r w:rsidRPr="00BD6C5F">
        <w:t>s employment history; and verification of the individual</w:t>
      </w:r>
      <w:r w:rsidR="00A4555C" w:rsidRPr="00BD6C5F">
        <w:t>’</w:t>
      </w:r>
      <w:r w:rsidRPr="00BD6C5F">
        <w:t xml:space="preserve">s criminal record. The HMG Baseline Personnel Security Standard is at </w:t>
      </w:r>
      <w:hyperlink r:id="rId52" w:history="1">
        <w:r w:rsidR="00A30EFE" w:rsidRPr="00BD6C5F">
          <w:rPr>
            <w:rStyle w:val="Hyperlink"/>
          </w:rPr>
          <w:t>https://www.gov.uk/government/publications/government-baseline-personnel-security-standard</w:t>
        </w:r>
      </w:hyperlink>
      <w:r w:rsidRPr="00BD6C5F">
        <w:t>.</w:t>
      </w:r>
    </w:p>
    <w:p w14:paraId="0E06719E" w14:textId="20D55A73" w:rsidR="00BC7DDA" w:rsidRPr="00BD6C5F" w:rsidRDefault="009B03E9" w:rsidP="00030632">
      <w:pPr>
        <w:pStyle w:val="AppendixText2"/>
      </w:pPr>
      <w:r w:rsidRPr="00BD6C5F">
        <w:t>The Sub-contractor must, if the Authority requires, at any time, ensure that one or more of the Sub-contractor</w:t>
      </w:r>
      <w:r w:rsidR="00A4555C" w:rsidRPr="00BD6C5F">
        <w:t>’</w:t>
      </w:r>
      <w:r w:rsidRPr="00BD6C5F">
        <w:t>s staff obtains Security Check clearance in order to Process Authority Data containing Personal Data above certain volumes specified by the Authority, or containing Special Category Personal Data.</w:t>
      </w:r>
    </w:p>
    <w:p w14:paraId="28417CB6" w14:textId="77777777" w:rsidR="00BC7DDA" w:rsidRPr="00BD6C5F" w:rsidRDefault="009B03E9" w:rsidP="00030632">
      <w:pPr>
        <w:pStyle w:val="AppendixText2"/>
      </w:pPr>
      <w:r w:rsidRPr="00BD6C5F">
        <w:t>Any Sub-contractor staff who will, when performing the Services, have access to a person under the age of 18 years must undergo Disclosure Scotland checks.</w:t>
      </w:r>
    </w:p>
    <w:p w14:paraId="735A2270" w14:textId="77777777" w:rsidR="00BC7DDA" w:rsidRPr="00BD6C5F" w:rsidRDefault="009B03E9" w:rsidP="00030632">
      <w:pPr>
        <w:pStyle w:val="AppendixText1"/>
      </w:pPr>
      <w:r w:rsidRPr="00BD6C5F">
        <w:t>End User Devices</w:t>
      </w:r>
    </w:p>
    <w:p w14:paraId="3EA9F560" w14:textId="674AFFD9" w:rsidR="00DB2BCD" w:rsidRPr="00BD6C5F" w:rsidRDefault="00DB2BCD" w:rsidP="00247692">
      <w:pPr>
        <w:pStyle w:val="AppendixText2"/>
        <w:keepNext/>
      </w:pPr>
      <w:r w:rsidRPr="00BD6C5F">
        <w:t>The Supplier must manage, and must ensure that all Sub-contractors manage, all end-user devices used by the Supplier on which Authority Data is Processed in accordance the following requirements:</w:t>
      </w:r>
    </w:p>
    <w:p w14:paraId="5763EC25" w14:textId="649580AA" w:rsidR="00180DA4" w:rsidRPr="00BD6C5F" w:rsidRDefault="00180DA4" w:rsidP="00030632">
      <w:pPr>
        <w:pStyle w:val="AppendixText3"/>
      </w:pPr>
      <w:r w:rsidRPr="00BD6C5F">
        <w:t>the operating system and any applications that Process or have access to Authority Data must be in current support by the vendor, or the relevant community in the case of Open Source operating systems or applications;</w:t>
      </w:r>
    </w:p>
    <w:p w14:paraId="2F672E05" w14:textId="5675E175" w:rsidR="00180DA4" w:rsidRPr="00BD6C5F" w:rsidRDefault="00180DA4" w:rsidP="00030632">
      <w:pPr>
        <w:pStyle w:val="AppendixText3"/>
      </w:pPr>
      <w:r w:rsidRPr="00BD6C5F">
        <w:t>users must authenticate before gaining access;</w:t>
      </w:r>
    </w:p>
    <w:p w14:paraId="245D42D8" w14:textId="03572E55" w:rsidR="00180DA4" w:rsidRPr="00BD6C5F" w:rsidRDefault="00180DA4" w:rsidP="00030632">
      <w:pPr>
        <w:pStyle w:val="AppendixText3"/>
      </w:pPr>
      <w:r w:rsidRPr="00BD6C5F">
        <w:t>all Authority Data must be encrypted using an encryption tool agreed to by the Authority;</w:t>
      </w:r>
    </w:p>
    <w:p w14:paraId="28DA27D2" w14:textId="42992AC7" w:rsidR="00180DA4" w:rsidRPr="00BD6C5F" w:rsidRDefault="00180DA4" w:rsidP="00030632">
      <w:pPr>
        <w:pStyle w:val="AppendixText3"/>
      </w:pPr>
      <w:r w:rsidRPr="00BD6C5F">
        <w:t>the end-user device must lock and require any user to re-authenticate after a period of time that is proportionate to the risk environment, during which the end-user device is inactive;</w:t>
      </w:r>
    </w:p>
    <w:p w14:paraId="5436647A" w14:textId="090ADB1B" w:rsidR="00180DA4" w:rsidRPr="00BD6C5F" w:rsidRDefault="00180DA4" w:rsidP="00030632">
      <w:pPr>
        <w:pStyle w:val="AppendixText3"/>
      </w:pPr>
      <w:r w:rsidRPr="00BD6C5F">
        <w:t>the end-user device must be managed in a way that allows for the application of technical policies and controls over applications that have access to Authority Data;</w:t>
      </w:r>
    </w:p>
    <w:p w14:paraId="5CD80159" w14:textId="008440E0" w:rsidR="00180DA4" w:rsidRPr="00BD6C5F" w:rsidRDefault="00180DA4" w:rsidP="00030632">
      <w:pPr>
        <w:pStyle w:val="AppendixText3"/>
      </w:pPr>
      <w:r w:rsidRPr="00BD6C5F">
        <w:t>the Suppler or Sub-contractor, as applicable, can, without physical access to the end-user device, remove or make inaccessible all Authority Data on the device and prevent any user or group of users from accessing the device;</w:t>
      </w:r>
    </w:p>
    <w:p w14:paraId="434612E8" w14:textId="1DE8B0BE" w:rsidR="00180DA4" w:rsidRPr="00BD6C5F" w:rsidRDefault="00180DA4" w:rsidP="00030632">
      <w:pPr>
        <w:pStyle w:val="AppendixText3"/>
      </w:pPr>
      <w:r w:rsidRPr="00BD6C5F">
        <w:t>all end-user devices are within in the scope of any current Cyber Essentials Plus certificate</w:t>
      </w:r>
      <w:r w:rsidR="00B05517" w:rsidRPr="00BD6C5F">
        <w:t xml:space="preserve"> </w:t>
      </w:r>
      <w:r w:rsidRPr="00BD6C5F">
        <w:t>held by the Supplier, or any ISO/IEC 27001 (at least ISO/IEC 27001:2013) certification issued by a UKAS-approved certification body, where the scope of that certification includes the Services.</w:t>
      </w:r>
    </w:p>
    <w:p w14:paraId="185CE436" w14:textId="18A218BD" w:rsidR="00180DA4" w:rsidRPr="00BD6C5F" w:rsidRDefault="00180DA4" w:rsidP="00030632">
      <w:pPr>
        <w:pStyle w:val="AppendixText2"/>
      </w:pPr>
      <w:r w:rsidRPr="00BD6C5F">
        <w:t xml:space="preserve">The Supplier must comply, and ensure that all Sub-contractors comply, with the recommendations in NCSC Device Guidance, as updated, amended or replaced from time to time, as if those recommendations were incorporated as specific obligations under this </w:t>
      </w:r>
      <w:r w:rsidR="00DE54CD" w:rsidRPr="00BD6C5F">
        <w:t>Contract</w:t>
      </w:r>
      <w:r w:rsidRPr="00BD6C5F">
        <w:t>.</w:t>
      </w:r>
    </w:p>
    <w:p w14:paraId="4B7B4C10" w14:textId="52967846" w:rsidR="00180DA4" w:rsidRPr="00BD6C5F" w:rsidRDefault="00180DA4" w:rsidP="00030632">
      <w:pPr>
        <w:pStyle w:val="AppendixText2"/>
      </w:pPr>
      <w:r w:rsidRPr="00BD6C5F">
        <w:t xml:space="preserve">Where there any conflict between the requirements of this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Pr="00BD6C5F">
        <w:t xml:space="preserve"> (</w:t>
      </w:r>
      <w:r w:rsidRPr="0019439D">
        <w:rPr>
          <w:i/>
          <w:iCs/>
        </w:rPr>
        <w:t>Security Management</w:t>
      </w:r>
      <w:r w:rsidRPr="00BD6C5F">
        <w:t>) and the requirements of the NCSC Device Guidance, the requirements of this Schedule will take precedence.</w:t>
      </w:r>
    </w:p>
    <w:p w14:paraId="1D5D9582" w14:textId="679D0B50" w:rsidR="00BC7DDA" w:rsidRPr="00BD6C5F" w:rsidRDefault="00180DA4" w:rsidP="00030632">
      <w:pPr>
        <w:pStyle w:val="AppendixText1"/>
      </w:pPr>
      <w:r w:rsidRPr="00BD6C5F">
        <w:lastRenderedPageBreak/>
        <w:t>Encryption</w:t>
      </w:r>
    </w:p>
    <w:p w14:paraId="3FF4298C" w14:textId="77777777" w:rsidR="00E62F6F" w:rsidRPr="00BD6C5F" w:rsidRDefault="00E62F6F" w:rsidP="00247692">
      <w:pPr>
        <w:pStyle w:val="AppendixText2"/>
        <w:keepNext/>
      </w:pPr>
      <w:r w:rsidRPr="00BD6C5F">
        <w:t>The Supplier must ensure, and must ensure that all Sub-contractors ensure, that Authority Data is encrypted:</w:t>
      </w:r>
    </w:p>
    <w:p w14:paraId="14EAA924" w14:textId="25BCDEC4" w:rsidR="00E62F6F" w:rsidRPr="00BD6C5F" w:rsidRDefault="00E62F6F" w:rsidP="00030632">
      <w:pPr>
        <w:pStyle w:val="AppendixText3"/>
      </w:pPr>
      <w:r w:rsidRPr="00BD6C5F">
        <w:t>when stored at any time when no operation is being performed on it; and</w:t>
      </w:r>
    </w:p>
    <w:p w14:paraId="09679649" w14:textId="59BAC245" w:rsidR="00E62F6F" w:rsidRPr="00BD6C5F" w:rsidRDefault="00E62F6F" w:rsidP="00030632">
      <w:pPr>
        <w:pStyle w:val="AppendixText3"/>
      </w:pPr>
      <w:r w:rsidRPr="00BD6C5F">
        <w:t>when transmitted.</w:t>
      </w:r>
    </w:p>
    <w:p w14:paraId="419E76F2" w14:textId="77777777" w:rsidR="00E62F6F" w:rsidRPr="00BD6C5F" w:rsidRDefault="00E62F6F" w:rsidP="00247692">
      <w:pPr>
        <w:pStyle w:val="AppendixText2"/>
        <w:keepNext/>
      </w:pPr>
      <w:r w:rsidRPr="00BD6C5F">
        <w:t>Where the Supplier, or a Sub-contractor, cannot encrypt Authority Data the Supplier must:</w:t>
      </w:r>
    </w:p>
    <w:p w14:paraId="7745E832" w14:textId="6CBBAC54" w:rsidR="00E62F6F" w:rsidRPr="00BD6C5F" w:rsidRDefault="00E62F6F" w:rsidP="00030632">
      <w:pPr>
        <w:pStyle w:val="AppendixText3"/>
      </w:pPr>
      <w:r w:rsidRPr="00BD6C5F">
        <w:t>immediately inform the Authority of the subset or subsets of Authority Data it cannot encrypt and the circumstances in which and the reasons why it cannot do so;</w:t>
      </w:r>
    </w:p>
    <w:p w14:paraId="4FE9AE8A" w14:textId="76CEF57E" w:rsidR="00E62F6F" w:rsidRPr="00BD6C5F" w:rsidRDefault="00E62F6F" w:rsidP="00030632">
      <w:pPr>
        <w:pStyle w:val="AppendixText3"/>
      </w:pPr>
      <w:r w:rsidRPr="00BD6C5F">
        <w:t xml:space="preserve">provide details of the </w:t>
      </w:r>
      <w:r w:rsidR="00CC6B83" w:rsidRPr="00BD6C5F">
        <w:t>Protective Measures</w:t>
      </w:r>
      <w:r w:rsidRPr="00BD6C5F">
        <w:t xml:space="preserve"> the Supplier or Sub-contractor (as applicable) proposes to take to provide equivalent protection to the Authority as encryption; and</w:t>
      </w:r>
    </w:p>
    <w:p w14:paraId="52D9BF05" w14:textId="7CACE106" w:rsidR="00E62F6F" w:rsidRPr="00BD6C5F" w:rsidRDefault="00E62F6F" w:rsidP="00030632">
      <w:pPr>
        <w:pStyle w:val="AppendixText3"/>
      </w:pPr>
      <w:r w:rsidRPr="00BD6C5F">
        <w:t xml:space="preserve">provide the Authority with such information relating to the Authority Data concerned, the reasons why that Authority Data cannot be encrypted and the proposed </w:t>
      </w:r>
      <w:r w:rsidR="00CC6B83" w:rsidRPr="00BD6C5F">
        <w:t>Protective Measures</w:t>
      </w:r>
      <w:r w:rsidRPr="00BD6C5F">
        <w:t xml:space="preserve"> as the Authority may require.</w:t>
      </w:r>
    </w:p>
    <w:p w14:paraId="06820952" w14:textId="2068E52F" w:rsidR="00E62F6F" w:rsidRPr="00BD6C5F" w:rsidRDefault="00E62F6F" w:rsidP="00030632">
      <w:pPr>
        <w:pStyle w:val="AppendixText2"/>
      </w:pPr>
      <w:r w:rsidRPr="00BD6C5F">
        <w:t xml:space="preserve">The Authority, the Supplier and, where the Authority requires, any relevant Sub-contractor shall meet to agree appropriate </w:t>
      </w:r>
      <w:r w:rsidR="00CC6B83" w:rsidRPr="00BD6C5F">
        <w:t>Protective Measures</w:t>
      </w:r>
      <w:r w:rsidRPr="00BD6C5F">
        <w:t xml:space="preserve"> for the unencrypted Authority Data.</w:t>
      </w:r>
    </w:p>
    <w:p w14:paraId="45AC54D9" w14:textId="77777777" w:rsidR="00E62F6F" w:rsidRPr="00BD6C5F" w:rsidRDefault="00E62F6F" w:rsidP="00247692">
      <w:pPr>
        <w:pStyle w:val="AppendixText2"/>
        <w:keepNext/>
      </w:pPr>
      <w:r w:rsidRPr="00BD6C5F">
        <w:t>Where the Authority and Supplier reach agreement, the Supplier must update the Security Management Plan to include:</w:t>
      </w:r>
    </w:p>
    <w:p w14:paraId="36E5D017" w14:textId="77777777" w:rsidR="00E62F6F" w:rsidRPr="00BD6C5F" w:rsidRDefault="00E62F6F" w:rsidP="00030632">
      <w:pPr>
        <w:pStyle w:val="AppendixText3"/>
      </w:pPr>
      <w:r w:rsidRPr="00BD6C5F">
        <w:t>the subset or subsets of Authority Data not encrypted and the circumstances in which that will occur; and</w:t>
      </w:r>
    </w:p>
    <w:p w14:paraId="2A3D56BF" w14:textId="1BAA5C06" w:rsidR="00BC7DDA" w:rsidRPr="00BD6C5F" w:rsidRDefault="00E62F6F" w:rsidP="00030632">
      <w:pPr>
        <w:pStyle w:val="AppendixText3"/>
      </w:pPr>
      <w:r w:rsidRPr="00BD6C5F">
        <w:t>the protective measure that the Supplier and/or Sub-contractor will put in please in respect of the unencrypted Authority Data.</w:t>
      </w:r>
    </w:p>
    <w:p w14:paraId="2797B92F" w14:textId="6A2418E1" w:rsidR="00290DF1" w:rsidRPr="006D1202" w:rsidRDefault="00290DF1" w:rsidP="00A30EFE">
      <w:pPr>
        <w:spacing w:before="100" w:after="200"/>
        <w:ind w:left="720"/>
        <w:rPr>
          <w:rFonts w:asciiTheme="minorHAnsi" w:hAnsiTheme="minorHAnsi" w:cstheme="minorHAnsi"/>
          <w:szCs w:val="24"/>
          <w:lang w:eastAsia="en-GB" w:bidi="ar-SA"/>
        </w:rPr>
      </w:pPr>
      <w:r w:rsidRPr="00BD6C5F">
        <w:rPr>
          <w:rFonts w:asciiTheme="minorHAnsi" w:hAnsiTheme="minorHAnsi" w:cstheme="minorHAnsi"/>
          <w:szCs w:val="24"/>
        </w:rPr>
        <w:t>Where the Authority and Supplier do not reach agreement within 40 Working Days of the date on which the Supplier first notified the Authority that it could not encrypt certain Authority Data, either party may refer the matter to</w:t>
      </w:r>
      <w:r w:rsidRPr="006D1202">
        <w:rPr>
          <w:rFonts w:asciiTheme="minorHAnsi" w:hAnsiTheme="minorHAnsi" w:cstheme="minorHAnsi"/>
          <w:szCs w:val="24"/>
        </w:rPr>
        <w:t xml:space="preserve"> </w:t>
      </w:r>
      <w:r w:rsidRPr="006D1202">
        <w:rPr>
          <w:rFonts w:asciiTheme="minorHAnsi" w:hAnsiTheme="minorHAnsi" w:cstheme="minorHAnsi"/>
          <w:szCs w:val="24"/>
          <w:highlight w:val="yellow"/>
        </w:rPr>
        <w:t>[be determined in accordance with the Dispute Resolution Procedure]</w:t>
      </w:r>
      <w:r w:rsidRPr="006D1202">
        <w:rPr>
          <w:rFonts w:asciiTheme="minorHAnsi" w:hAnsiTheme="minorHAnsi" w:cstheme="minorHAnsi"/>
          <w:szCs w:val="24"/>
        </w:rPr>
        <w:t>.</w:t>
      </w:r>
    </w:p>
    <w:p w14:paraId="0E35B1E9" w14:textId="77777777" w:rsidR="00BC7DDA" w:rsidRPr="00BD6C5F" w:rsidRDefault="009B03E9" w:rsidP="00030632">
      <w:pPr>
        <w:pStyle w:val="AppendixText1"/>
      </w:pPr>
      <w:r w:rsidRPr="00BD6C5F">
        <w:t>Patching and Vulnerability Scanning</w:t>
      </w:r>
    </w:p>
    <w:p w14:paraId="3CF6E6ED" w14:textId="77777777" w:rsidR="00BC7DDA" w:rsidRPr="00BD6C5F" w:rsidRDefault="009B03E9" w:rsidP="00030632">
      <w:pPr>
        <w:pStyle w:val="AppendixText2"/>
      </w:pPr>
      <w:r w:rsidRPr="00BD6C5F">
        <w:t>The Sub-contractor must proactively monitor supplier vulnerability websites and ensure all necessary patches and upgrades are applied to maintain security, integrity and availability in accordance with the NCSC Cloud Security Principles.</w:t>
      </w:r>
    </w:p>
    <w:p w14:paraId="6705DD2C" w14:textId="77777777" w:rsidR="00BC7DDA" w:rsidRPr="00BD6C5F" w:rsidRDefault="009B03E9" w:rsidP="00030632">
      <w:pPr>
        <w:pStyle w:val="AppendixText1"/>
      </w:pPr>
      <w:r w:rsidRPr="00BD6C5F">
        <w:t>Third Party Sub-contractors</w:t>
      </w:r>
    </w:p>
    <w:p w14:paraId="6702E156" w14:textId="77777777" w:rsidR="00BC7DDA" w:rsidRPr="00BD6C5F" w:rsidRDefault="009B03E9" w:rsidP="00030632">
      <w:pPr>
        <w:pStyle w:val="AppendixText2"/>
      </w:pPr>
      <w:r w:rsidRPr="00BD6C5F">
        <w:t>The Sub-contractor must not transmit or disseminate the Authority Data to any other person unless specifically authorised by the Authority. Such authorisation must be in writing to be effective and may be subject to conditions.</w:t>
      </w:r>
    </w:p>
    <w:p w14:paraId="748B7FD9" w14:textId="174D589F" w:rsidR="00BC7DDA" w:rsidRPr="00BD6C5F" w:rsidRDefault="009B03E9" w:rsidP="00030632">
      <w:pPr>
        <w:pStyle w:val="AppendixText2"/>
      </w:pPr>
      <w:r w:rsidRPr="00BD6C5F">
        <w:t xml:space="preserve">The Sub-contractor must not, when performing any part of the Services, use any software to Process the Authority Data where the licence terms of that software purport to grant the licensor </w:t>
      </w:r>
      <w:r w:rsidRPr="00BD6C5F">
        <w:lastRenderedPageBreak/>
        <w:t>rights to Pro</w:t>
      </w:r>
      <w:r w:rsidR="00B64DB2" w:rsidRPr="00BD6C5F">
        <w:t>c</w:t>
      </w:r>
      <w:r w:rsidRPr="00BD6C5F">
        <w:t>ess the Authority Data greater than those rights strictly necessary for the use of the software.</w:t>
      </w:r>
    </w:p>
    <w:p w14:paraId="7DFEA43F" w14:textId="2CF00398" w:rsidR="00B30FB1" w:rsidRPr="00BD6C5F" w:rsidRDefault="00B30FB1" w:rsidP="00B30FB1">
      <w:pPr>
        <w:rPr>
          <w:rFonts w:asciiTheme="minorHAnsi" w:hAnsiTheme="minorHAnsi" w:cstheme="minorHAnsi"/>
        </w:rPr>
      </w:pPr>
    </w:p>
    <w:p w14:paraId="7A51C204" w14:textId="0CB00185" w:rsidR="00BC7DDA" w:rsidRPr="00BD6C5F" w:rsidRDefault="003123F6" w:rsidP="00A30EFE">
      <w:pPr>
        <w:pStyle w:val="Heading2"/>
        <w:pageBreakBefore/>
      </w:pPr>
      <w:bookmarkStart w:id="251" w:name="_Toc98332713"/>
      <w:bookmarkStart w:id="252" w:name="_Toc98852890"/>
      <w:bookmarkStart w:id="253" w:name="_Toc141720983"/>
      <w:r w:rsidRPr="00BD6C5F">
        <w:lastRenderedPageBreak/>
        <w:t xml:space="preserve">Annex </w:t>
      </w:r>
      <w:bookmarkStart w:id="254" w:name="Schedule_5_Part_A_Annex_3"/>
      <w:r w:rsidRPr="00BD6C5F">
        <w:t>3</w:t>
      </w:r>
      <w:bookmarkEnd w:id="254"/>
      <w:r w:rsidRPr="00BD6C5F">
        <w:t xml:space="preserve">: Security Management Plan Template for Part </w:t>
      </w:r>
      <w:r w:rsidR="00D7558D">
        <w:fldChar w:fldCharType="begin"/>
      </w:r>
      <w:r w:rsidR="00D7558D">
        <w:instrText xml:space="preserve"> REF Schedule_5_Part_A \h </w:instrText>
      </w:r>
      <w:r w:rsidR="00D7558D">
        <w:fldChar w:fldCharType="separate"/>
      </w:r>
      <w:r w:rsidR="009749A0" w:rsidRPr="00BD6C5F">
        <w:t>A</w:t>
      </w:r>
      <w:r w:rsidR="00D7558D">
        <w:fldChar w:fldCharType="end"/>
      </w:r>
      <w:r w:rsidRPr="00BD6C5F">
        <w:t xml:space="preserve"> and Part</w:t>
      </w:r>
      <w:r w:rsidR="00934722" w:rsidRPr="00BD6C5F">
        <w:t> </w:t>
      </w:r>
      <w:bookmarkEnd w:id="251"/>
      <w:bookmarkEnd w:id="252"/>
      <w:r w:rsidR="00D7558D">
        <w:fldChar w:fldCharType="begin"/>
      </w:r>
      <w:r w:rsidR="00D7558D">
        <w:instrText xml:space="preserve"> REF Schedule_5_Part_B \h </w:instrText>
      </w:r>
      <w:r w:rsidR="00D7558D">
        <w:fldChar w:fldCharType="separate"/>
      </w:r>
      <w:r w:rsidR="009749A0" w:rsidRPr="00BD6C5F">
        <w:t>B</w:t>
      </w:r>
      <w:bookmarkEnd w:id="253"/>
      <w:r w:rsidR="00D7558D">
        <w:fldChar w:fldCharType="end"/>
      </w:r>
    </w:p>
    <w:p w14:paraId="2A8525BD" w14:textId="71991204" w:rsidR="007206D4" w:rsidRPr="00BD6C5F" w:rsidRDefault="009B03E9" w:rsidP="00247692">
      <w:pPr>
        <w:keepNext/>
        <w:spacing w:before="100" w:after="200"/>
        <w:ind w:right="567"/>
        <w:rPr>
          <w:b/>
          <w:bCs/>
        </w:rPr>
      </w:pPr>
      <w:r w:rsidRPr="00BD6C5F">
        <w:rPr>
          <w:b/>
          <w:bCs/>
        </w:rPr>
        <w:t xml:space="preserve">Security Management Plan Template </w:t>
      </w:r>
    </w:p>
    <w:p w14:paraId="71F77B56" w14:textId="439AEA12" w:rsidR="00BC7DDA" w:rsidRPr="00BD6C5F" w:rsidRDefault="009B03E9" w:rsidP="00247692">
      <w:pPr>
        <w:keepNext/>
        <w:spacing w:before="100" w:after="200"/>
        <w:ind w:right="567"/>
        <w:rPr>
          <w:rFonts w:asciiTheme="minorHAnsi" w:hAnsiTheme="minorHAnsi" w:cstheme="minorHAnsi"/>
          <w:b/>
          <w:szCs w:val="24"/>
        </w:rPr>
      </w:pPr>
      <w:r w:rsidRPr="00BD6C5F">
        <w:rPr>
          <w:rFonts w:asciiTheme="minorHAnsi" w:hAnsiTheme="minorHAnsi" w:cstheme="minorHAnsi"/>
          <w:b/>
          <w:szCs w:val="24"/>
          <w:shd w:val="clear" w:color="auto" w:fill="FFFF00"/>
        </w:rPr>
        <w:t>[Project/Service and Supplier Name]</w:t>
      </w:r>
    </w:p>
    <w:p w14:paraId="4158D0F5" w14:textId="77777777" w:rsidR="00BC7DDA" w:rsidRPr="00D452D9" w:rsidRDefault="009B03E9" w:rsidP="00B71FC0">
      <w:pPr>
        <w:pStyle w:val="AppendixText1"/>
        <w:numPr>
          <w:ilvl w:val="0"/>
          <w:numId w:val="141"/>
        </w:numPr>
        <w:rPr>
          <w:bCs/>
        </w:rPr>
      </w:pPr>
      <w:r w:rsidRPr="00BD6C5F">
        <w:t>Executive Summary</w:t>
      </w:r>
    </w:p>
    <w:p w14:paraId="07551C47" w14:textId="553CFF31" w:rsidR="00BC7DDA" w:rsidRPr="00BD6C5F" w:rsidRDefault="00B05517" w:rsidP="00934722">
      <w:pPr>
        <w:pStyle w:val="AppendixText2"/>
      </w:pPr>
      <w:r w:rsidRPr="00BD6C5F">
        <w:rPr>
          <w:highlight w:val="yellow"/>
        </w:rPr>
        <w:t>[</w:t>
      </w:r>
      <w:r w:rsidR="009B03E9" w:rsidRPr="00BD6C5F">
        <w:rPr>
          <w:highlight w:val="yellow"/>
        </w:rPr>
        <w:t>This section should contain a brief summary of the business context of the system, any key IA controls, the assurance work done, any off-shoring considerations and any significant residual risks that need acceptance.</w:t>
      </w:r>
      <w:r w:rsidRPr="00BD6C5F">
        <w:rPr>
          <w:highlight w:val="yellow"/>
        </w:rPr>
        <w:t>]</w:t>
      </w:r>
    </w:p>
    <w:p w14:paraId="672A7807" w14:textId="77777777" w:rsidR="00BC7DDA" w:rsidRPr="00BD6C5F" w:rsidRDefault="009B03E9" w:rsidP="00F762C3">
      <w:pPr>
        <w:pStyle w:val="AppendixText1"/>
      </w:pPr>
      <w:r w:rsidRPr="00BD6C5F">
        <w:t>System Description</w:t>
      </w:r>
    </w:p>
    <w:p w14:paraId="634B9323" w14:textId="77777777" w:rsidR="00BC7DDA" w:rsidRPr="00BD6C5F" w:rsidRDefault="009B03E9" w:rsidP="00247692">
      <w:pPr>
        <w:pStyle w:val="AppendixText2"/>
        <w:keepNext/>
      </w:pPr>
      <w:r w:rsidRPr="00BD6C5F">
        <w:t>Background</w:t>
      </w:r>
    </w:p>
    <w:p w14:paraId="65588373" w14:textId="75F0F5DC"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short description of the project/product/system. Describe its purpose, functionality, aim and scope.</w:t>
      </w:r>
      <w:r w:rsidRPr="00BD6C5F">
        <w:rPr>
          <w:rFonts w:asciiTheme="minorHAnsi" w:hAnsiTheme="minorHAnsi" w:cstheme="minorHAnsi"/>
          <w:iCs/>
          <w:szCs w:val="24"/>
          <w:highlight w:val="yellow"/>
        </w:rPr>
        <w:t>]</w:t>
      </w:r>
    </w:p>
    <w:p w14:paraId="0FB7B589" w14:textId="77777777" w:rsidR="00BC7DDA" w:rsidRPr="00BD6C5F" w:rsidRDefault="009B03E9" w:rsidP="00247692">
      <w:pPr>
        <w:pStyle w:val="AppendixText2"/>
        <w:keepNext/>
        <w:rPr>
          <w:rFonts w:asciiTheme="minorHAnsi" w:hAnsiTheme="minorHAnsi" w:cstheme="minorHAnsi"/>
        </w:rPr>
      </w:pPr>
      <w:r w:rsidRPr="00BD6C5F">
        <w:t>Organisational</w:t>
      </w:r>
      <w:r w:rsidRPr="00BD6C5F">
        <w:rPr>
          <w:rFonts w:asciiTheme="minorHAnsi" w:hAnsiTheme="minorHAnsi" w:cstheme="minorHAnsi"/>
        </w:rPr>
        <w:t xml:space="preserve"> Ownership/Structure</w:t>
      </w:r>
    </w:p>
    <w:p w14:paraId="15BC0BAF" w14:textId="1B762386"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Who owns the system and operates the system and the organisational governance structure. This should include how any ongoing security management is integrated into the project governance e.g. how a Security Working Group reports to the project board.</w:t>
      </w:r>
      <w:r w:rsidRPr="00BD6C5F">
        <w:rPr>
          <w:rFonts w:asciiTheme="minorHAnsi" w:hAnsiTheme="minorHAnsi" w:cstheme="minorHAnsi"/>
          <w:iCs/>
          <w:szCs w:val="24"/>
          <w:highlight w:val="yellow"/>
        </w:rPr>
        <w:t>]</w:t>
      </w:r>
    </w:p>
    <w:p w14:paraId="6A18F3EA" w14:textId="77777777" w:rsidR="00BC7DDA" w:rsidRPr="00BD6C5F" w:rsidRDefault="009B03E9" w:rsidP="00247692">
      <w:pPr>
        <w:pStyle w:val="AppendixText2"/>
        <w:keepNext/>
        <w:rPr>
          <w:rFonts w:asciiTheme="minorHAnsi" w:hAnsiTheme="minorHAnsi" w:cstheme="minorHAnsi"/>
        </w:rPr>
      </w:pPr>
      <w:r w:rsidRPr="00BD6C5F">
        <w:t>Information</w:t>
      </w:r>
      <w:r w:rsidRPr="00BD6C5F">
        <w:rPr>
          <w:rFonts w:asciiTheme="minorHAnsi" w:hAnsiTheme="minorHAnsi" w:cstheme="minorHAnsi"/>
        </w:rPr>
        <w:t xml:space="preserve"> assets and flows</w:t>
      </w:r>
    </w:p>
    <w:p w14:paraId="5A5252D0" w14:textId="2DBD9708"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The information assets processed by the system which should include a simple high level diagram on one page. Include a list of the type and volumes of data that will be processed, managed and stored within the supplier system. If personal data, please include the fields used such as name, address, department DOB, NI number etc.</w:t>
      </w:r>
      <w:r w:rsidRPr="00BD6C5F">
        <w:rPr>
          <w:rFonts w:asciiTheme="minorHAnsi" w:hAnsiTheme="minorHAnsi" w:cstheme="minorHAnsi"/>
          <w:iCs/>
          <w:szCs w:val="24"/>
          <w:highlight w:val="yellow"/>
        </w:rPr>
        <w:t>]</w:t>
      </w:r>
    </w:p>
    <w:p w14:paraId="233FEA9A" w14:textId="77777777" w:rsidR="00BC7DDA" w:rsidRPr="00BD6C5F" w:rsidRDefault="009B03E9" w:rsidP="00247692">
      <w:pPr>
        <w:pStyle w:val="AppendixText2"/>
        <w:keepNext/>
        <w:rPr>
          <w:rFonts w:asciiTheme="minorHAnsi" w:hAnsiTheme="minorHAnsi" w:cstheme="minorHAnsi"/>
        </w:rPr>
      </w:pPr>
      <w:r w:rsidRPr="00BD6C5F">
        <w:t>System</w:t>
      </w:r>
      <w:r w:rsidRPr="00BD6C5F">
        <w:rPr>
          <w:rFonts w:asciiTheme="minorHAnsi" w:hAnsiTheme="minorHAnsi" w:cstheme="minorHAnsi"/>
        </w:rPr>
        <w:t xml:space="preserve"> Architecture</w:t>
      </w:r>
    </w:p>
    <w:p w14:paraId="6617E524" w14:textId="329CB09E"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description of the physical system architecture, to include the system management. A diagram will be needed here</w:t>
      </w:r>
      <w:r w:rsidRPr="00BD6C5F">
        <w:rPr>
          <w:rFonts w:asciiTheme="minorHAnsi" w:hAnsiTheme="minorHAnsi" w:cstheme="minorHAnsi"/>
          <w:iCs/>
          <w:szCs w:val="24"/>
          <w:highlight w:val="yellow"/>
        </w:rPr>
        <w:t>]</w:t>
      </w:r>
    </w:p>
    <w:p w14:paraId="3DBE960E" w14:textId="77777777" w:rsidR="00BC7DDA" w:rsidRPr="00BD6C5F" w:rsidRDefault="009B03E9" w:rsidP="00247692">
      <w:pPr>
        <w:pStyle w:val="AppendixText2"/>
        <w:keepNext/>
        <w:rPr>
          <w:rFonts w:asciiTheme="minorHAnsi" w:hAnsiTheme="minorHAnsi" w:cstheme="minorHAnsi"/>
        </w:rPr>
      </w:pPr>
      <w:r w:rsidRPr="00BD6C5F">
        <w:t>Users</w:t>
      </w:r>
    </w:p>
    <w:p w14:paraId="538F7A37" w14:textId="6E810E1F"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brief description of the system users, to include HMG users as well as any service provider users and system managers. If relevant, security clearance level requirements should be included.</w:t>
      </w:r>
      <w:r w:rsidRPr="00BD6C5F">
        <w:rPr>
          <w:rFonts w:asciiTheme="minorHAnsi" w:hAnsiTheme="minorHAnsi" w:cstheme="minorHAnsi"/>
          <w:iCs/>
          <w:szCs w:val="24"/>
          <w:highlight w:val="yellow"/>
        </w:rPr>
        <w:t>]</w:t>
      </w:r>
    </w:p>
    <w:p w14:paraId="425075BC" w14:textId="77777777" w:rsidR="00BC7DDA" w:rsidRPr="00BD6C5F" w:rsidRDefault="009B03E9" w:rsidP="00247692">
      <w:pPr>
        <w:pStyle w:val="AppendixText2"/>
        <w:keepNext/>
        <w:rPr>
          <w:rFonts w:asciiTheme="minorHAnsi" w:hAnsiTheme="minorHAnsi" w:cstheme="minorHAnsi"/>
        </w:rPr>
      </w:pPr>
      <w:r w:rsidRPr="00BD6C5F">
        <w:t>Locations</w:t>
      </w:r>
    </w:p>
    <w:p w14:paraId="23C17A66" w14:textId="08B2011B"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Where the data assets are stored and managed from. If any locations hold independent security certifications (e.g. ISO27001</w:t>
      </w:r>
      <w:r w:rsidR="00B66867" w:rsidRPr="00BD6C5F">
        <w:rPr>
          <w:rFonts w:asciiTheme="minorHAnsi" w:hAnsiTheme="minorHAnsi" w:cstheme="minorHAnsi"/>
          <w:iCs/>
          <w:szCs w:val="24"/>
          <w:highlight w:val="yellow"/>
        </w:rPr>
        <w:t xml:space="preserve"> (at least ISO/IEC 27001:2013</w:t>
      </w:r>
      <w:r w:rsidR="009B03E9" w:rsidRPr="00BD6C5F">
        <w:rPr>
          <w:rFonts w:asciiTheme="minorHAnsi" w:hAnsiTheme="minorHAnsi" w:cstheme="minorHAnsi"/>
          <w:iCs/>
          <w:szCs w:val="24"/>
          <w:highlight w:val="yellow"/>
        </w:rPr>
        <w:t>) these should be noted. Any off-shoring considerations should be detailed.</w:t>
      </w:r>
      <w:r w:rsidRPr="00BD6C5F">
        <w:rPr>
          <w:rFonts w:asciiTheme="minorHAnsi" w:hAnsiTheme="minorHAnsi" w:cstheme="minorHAnsi"/>
          <w:iCs/>
          <w:szCs w:val="24"/>
          <w:highlight w:val="yellow"/>
        </w:rPr>
        <w:t>]</w:t>
      </w:r>
    </w:p>
    <w:p w14:paraId="10E72CF2" w14:textId="4EE9E7C4" w:rsidR="00BC7DDA" w:rsidRPr="00BD6C5F" w:rsidRDefault="009B03E9" w:rsidP="00247692">
      <w:pPr>
        <w:pStyle w:val="AppendixText2"/>
        <w:keepNext/>
        <w:rPr>
          <w:rFonts w:asciiTheme="minorHAnsi" w:hAnsiTheme="minorHAnsi" w:cstheme="minorHAnsi"/>
        </w:rPr>
      </w:pPr>
      <w:r w:rsidRPr="00BD6C5F">
        <w:rPr>
          <w:rFonts w:asciiTheme="minorHAnsi" w:hAnsiTheme="minorHAnsi" w:cstheme="minorHAnsi"/>
        </w:rPr>
        <w:t xml:space="preserve">Test </w:t>
      </w:r>
      <w:r w:rsidRPr="00BD6C5F">
        <w:t>and</w:t>
      </w:r>
      <w:r w:rsidRPr="00BD6C5F">
        <w:rPr>
          <w:rFonts w:asciiTheme="minorHAnsi" w:hAnsiTheme="minorHAnsi" w:cstheme="minorHAnsi"/>
        </w:rPr>
        <w:t xml:space="preserve"> Development Systems</w:t>
      </w:r>
    </w:p>
    <w:p w14:paraId="0FB3F4D1" w14:textId="019D63A1"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Include information about any test and development systems, their locations and whether they contain live system data.</w:t>
      </w:r>
      <w:r w:rsidRPr="00BD6C5F">
        <w:rPr>
          <w:rFonts w:asciiTheme="minorHAnsi" w:hAnsiTheme="minorHAnsi" w:cstheme="minorHAnsi"/>
          <w:iCs/>
          <w:szCs w:val="24"/>
          <w:highlight w:val="yellow"/>
        </w:rPr>
        <w:t>]</w:t>
      </w:r>
    </w:p>
    <w:p w14:paraId="05C3B28C" w14:textId="77777777" w:rsidR="00BC7DDA" w:rsidRPr="00BD6C5F" w:rsidRDefault="009B03E9" w:rsidP="00247692">
      <w:pPr>
        <w:pStyle w:val="AppendixText2"/>
        <w:keepNext/>
        <w:rPr>
          <w:rFonts w:asciiTheme="minorHAnsi" w:hAnsiTheme="minorHAnsi" w:cstheme="minorHAnsi"/>
        </w:rPr>
      </w:pPr>
      <w:r w:rsidRPr="00BD6C5F">
        <w:rPr>
          <w:rFonts w:asciiTheme="minorHAnsi" w:hAnsiTheme="minorHAnsi" w:cstheme="minorHAnsi"/>
        </w:rPr>
        <w:lastRenderedPageBreak/>
        <w:t xml:space="preserve">Key </w:t>
      </w:r>
      <w:r w:rsidRPr="00BD6C5F">
        <w:t>roles</w:t>
      </w:r>
      <w:r w:rsidRPr="00BD6C5F">
        <w:rPr>
          <w:rFonts w:asciiTheme="minorHAnsi" w:hAnsiTheme="minorHAnsi" w:cstheme="minorHAnsi"/>
        </w:rPr>
        <w:t xml:space="preserve"> and responsibilities</w:t>
      </w:r>
    </w:p>
    <w:p w14:paraId="3FA55650" w14:textId="127A50A9"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brief description of the lead security roles such as that of the SIRO, IAO, Security manager, Accreditor</w:t>
      </w:r>
      <w:r w:rsidRPr="00BD6C5F">
        <w:rPr>
          <w:rFonts w:asciiTheme="minorHAnsi" w:hAnsiTheme="minorHAnsi" w:cstheme="minorHAnsi"/>
          <w:iCs/>
          <w:szCs w:val="24"/>
          <w:highlight w:val="yellow"/>
        </w:rPr>
        <w:t>]</w:t>
      </w:r>
    </w:p>
    <w:p w14:paraId="44ED1068" w14:textId="77777777" w:rsidR="00BC7DDA" w:rsidRPr="00BD6C5F" w:rsidRDefault="009B03E9" w:rsidP="00F762C3">
      <w:pPr>
        <w:pStyle w:val="AppendixText1"/>
      </w:pPr>
      <w:r w:rsidRPr="00BD6C5F">
        <w:t>Risk Assessment</w:t>
      </w:r>
    </w:p>
    <w:p w14:paraId="559B3B59" w14:textId="77777777" w:rsidR="00BC7DDA" w:rsidRPr="00BD6C5F" w:rsidRDefault="009B03E9" w:rsidP="00247692">
      <w:pPr>
        <w:pStyle w:val="AppendixText2"/>
        <w:keepNext/>
        <w:rPr>
          <w:rFonts w:asciiTheme="minorHAnsi" w:hAnsiTheme="minorHAnsi" w:cstheme="minorHAnsi"/>
        </w:rPr>
      </w:pPr>
      <w:r w:rsidRPr="00BD6C5F">
        <w:t>Accreditation</w:t>
      </w:r>
      <w:r w:rsidRPr="00BD6C5F">
        <w:rPr>
          <w:rFonts w:asciiTheme="minorHAnsi" w:hAnsiTheme="minorHAnsi" w:cstheme="minorHAnsi"/>
        </w:rPr>
        <w:t>/Assurance Scope</w:t>
      </w:r>
    </w:p>
    <w:p w14:paraId="3F40AFCE" w14:textId="1B9C285B"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logical diagram should be used along with a brief description of the components.</w:t>
      </w:r>
      <w:r w:rsidRPr="00BD6C5F">
        <w:rPr>
          <w:rFonts w:asciiTheme="minorHAnsi" w:hAnsiTheme="minorHAnsi" w:cstheme="minorHAnsi"/>
          <w:iCs/>
          <w:szCs w:val="24"/>
          <w:highlight w:val="yellow"/>
        </w:rPr>
        <w:t>]</w:t>
      </w:r>
    </w:p>
    <w:p w14:paraId="2FA54FF2" w14:textId="77777777" w:rsidR="00BC7DDA" w:rsidRPr="00BD6C5F" w:rsidRDefault="009B03E9" w:rsidP="00247692">
      <w:pPr>
        <w:pStyle w:val="AppendixText2"/>
        <w:keepNext/>
        <w:rPr>
          <w:rFonts w:asciiTheme="minorHAnsi" w:hAnsiTheme="minorHAnsi" w:cstheme="minorHAnsi"/>
        </w:rPr>
      </w:pPr>
      <w:r w:rsidRPr="00BD6C5F">
        <w:rPr>
          <w:rFonts w:asciiTheme="minorHAnsi" w:hAnsiTheme="minorHAnsi" w:cstheme="minorHAnsi"/>
        </w:rPr>
        <w:t xml:space="preserve">Risk </w:t>
      </w:r>
      <w:r w:rsidRPr="00BD6C5F">
        <w:t>appetite</w:t>
      </w:r>
    </w:p>
    <w:p w14:paraId="73F8D625" w14:textId="4A293FED"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risk appetite should be agreed with the SRO and included here.</w:t>
      </w:r>
      <w:r w:rsidRPr="00BD6C5F">
        <w:rPr>
          <w:rFonts w:asciiTheme="minorHAnsi" w:hAnsiTheme="minorHAnsi" w:cstheme="minorHAnsi"/>
          <w:iCs/>
          <w:szCs w:val="24"/>
          <w:highlight w:val="yellow"/>
        </w:rPr>
        <w:t>]</w:t>
      </w:r>
    </w:p>
    <w:p w14:paraId="2C3C447A" w14:textId="77777777" w:rsidR="00BC7DDA" w:rsidRPr="00BD6C5F" w:rsidRDefault="009B03E9" w:rsidP="00247692">
      <w:pPr>
        <w:pStyle w:val="AppendixText2"/>
        <w:keepNext/>
        <w:rPr>
          <w:rFonts w:asciiTheme="minorHAnsi" w:hAnsiTheme="minorHAnsi" w:cstheme="minorHAnsi"/>
        </w:rPr>
      </w:pPr>
      <w:r w:rsidRPr="00BD6C5F">
        <w:t>Business</w:t>
      </w:r>
      <w:r w:rsidRPr="00BD6C5F">
        <w:rPr>
          <w:rFonts w:asciiTheme="minorHAnsi" w:hAnsiTheme="minorHAnsi" w:cstheme="minorHAnsi"/>
        </w:rPr>
        <w:t xml:space="preserve"> impact assessment</w:t>
      </w:r>
    </w:p>
    <w:p w14:paraId="1F1BB9B0" w14:textId="375CDE43"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w:t>
      </w:r>
      <w:r w:rsidRPr="00BD6C5F">
        <w:rPr>
          <w:rFonts w:asciiTheme="minorHAnsi" w:hAnsiTheme="minorHAnsi" w:cstheme="minorHAnsi"/>
          <w:iCs/>
          <w:szCs w:val="24"/>
          <w:highlight w:val="yellow"/>
        </w:rPr>
        <w:t>]</w:t>
      </w:r>
    </w:p>
    <w:p w14:paraId="05AF65B7" w14:textId="77777777" w:rsidR="00BC7DDA" w:rsidRPr="00BD6C5F" w:rsidRDefault="009B03E9" w:rsidP="00247692">
      <w:pPr>
        <w:pStyle w:val="AppendixText2"/>
        <w:keepNext/>
        <w:rPr>
          <w:rFonts w:asciiTheme="minorHAnsi" w:hAnsiTheme="minorHAnsi" w:cstheme="minorHAnsi"/>
        </w:rPr>
      </w:pPr>
      <w:r w:rsidRPr="00BD6C5F">
        <w:rPr>
          <w:rFonts w:asciiTheme="minorHAnsi" w:hAnsiTheme="minorHAnsi" w:cstheme="minorHAnsi"/>
        </w:rPr>
        <w:t>Risk assessment</w:t>
      </w:r>
    </w:p>
    <w:p w14:paraId="34DDC99D" w14:textId="2F9F388E"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The content of this section will depend on the risk assessment methodology chosen</w:t>
      </w:r>
      <w:r w:rsidR="006F71A8" w:rsidRPr="00BD6C5F">
        <w:rPr>
          <w:rFonts w:asciiTheme="minorHAnsi" w:hAnsiTheme="minorHAnsi" w:cstheme="minorHAnsi"/>
          <w:iCs/>
          <w:szCs w:val="24"/>
          <w:highlight w:val="yellow"/>
        </w:rPr>
        <w:t xml:space="preserve"> </w:t>
      </w:r>
      <w:r w:rsidR="00B66867" w:rsidRPr="00BD6C5F">
        <w:rPr>
          <w:rFonts w:asciiTheme="minorHAnsi" w:hAnsiTheme="minorHAnsi" w:cstheme="minorHAnsi"/>
          <w:iCs/>
          <w:szCs w:val="24"/>
          <w:highlight w:val="yellow"/>
        </w:rPr>
        <w:t xml:space="preserve">and for </w:t>
      </w:r>
      <w:r w:rsidR="00D7558D" w:rsidRPr="00BD6C5F">
        <w:rPr>
          <w:rFonts w:asciiTheme="minorHAnsi" w:hAnsiTheme="minorHAnsi" w:cstheme="minorHAnsi"/>
          <w:iCs/>
          <w:szCs w:val="24"/>
          <w:highlight w:val="yellow"/>
        </w:rPr>
        <w:t xml:space="preserve">Part </w:t>
      </w:r>
      <w:r w:rsidR="00D7558D">
        <w:rPr>
          <w:rFonts w:asciiTheme="minorHAnsi" w:hAnsiTheme="minorHAnsi" w:cstheme="minorHAnsi"/>
          <w:iCs/>
          <w:szCs w:val="24"/>
          <w:highlight w:val="yellow"/>
        </w:rPr>
        <w:fldChar w:fldCharType="begin"/>
      </w:r>
      <w:r w:rsidR="00D7558D">
        <w:rPr>
          <w:rFonts w:asciiTheme="minorHAnsi" w:hAnsiTheme="minorHAnsi" w:cstheme="minorHAnsi"/>
          <w:iCs/>
          <w:szCs w:val="24"/>
          <w:highlight w:val="yellow"/>
        </w:rPr>
        <w:instrText xml:space="preserve"> REF Schedule_5_Part_B \h </w:instrText>
      </w:r>
      <w:r w:rsidR="00D7558D">
        <w:rPr>
          <w:rFonts w:asciiTheme="minorHAnsi" w:hAnsiTheme="minorHAnsi" w:cstheme="minorHAnsi"/>
          <w:iCs/>
          <w:szCs w:val="24"/>
          <w:highlight w:val="yellow"/>
        </w:rPr>
      </w:r>
      <w:r w:rsidR="00D7558D">
        <w:rPr>
          <w:rFonts w:asciiTheme="minorHAnsi" w:hAnsiTheme="minorHAnsi" w:cstheme="minorHAnsi"/>
          <w:iCs/>
          <w:szCs w:val="24"/>
          <w:highlight w:val="yellow"/>
        </w:rPr>
        <w:fldChar w:fldCharType="separate"/>
      </w:r>
      <w:r w:rsidR="009749A0" w:rsidRPr="00BD6C5F">
        <w:t>B</w:t>
      </w:r>
      <w:r w:rsidR="00D7558D">
        <w:rPr>
          <w:rFonts w:asciiTheme="minorHAnsi" w:hAnsiTheme="minorHAnsi" w:cstheme="minorHAnsi"/>
          <w:iCs/>
          <w:szCs w:val="24"/>
          <w:highlight w:val="yellow"/>
        </w:rPr>
        <w:fldChar w:fldCharType="end"/>
      </w:r>
      <w:r w:rsidR="009B03E9" w:rsidRPr="00BD6C5F">
        <w:rPr>
          <w:rFonts w:asciiTheme="minorHAnsi" w:hAnsiTheme="minorHAnsi" w:cstheme="minorHAnsi"/>
          <w:iCs/>
          <w:szCs w:val="24"/>
          <w:highlight w:val="yellow"/>
        </w:rPr>
        <w:t xml:space="preserve">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w:t>
      </w:r>
      <w:r w:rsidRPr="00BD6C5F">
        <w:rPr>
          <w:rFonts w:asciiTheme="minorHAnsi" w:hAnsiTheme="minorHAnsi" w:cstheme="minorHAnsi"/>
          <w:iCs/>
          <w:szCs w:val="24"/>
          <w:highlight w:val="yellow"/>
        </w:rPr>
        <w:t>]</w:t>
      </w:r>
    </w:p>
    <w:tbl>
      <w:tblPr>
        <w:tblStyle w:val="MSATable-header"/>
        <w:tblW w:w="9525" w:type="dxa"/>
        <w:tblInd w:w="720" w:type="dxa"/>
        <w:tblLayout w:type="fixed"/>
        <w:tblLook w:val="01E0" w:firstRow="1" w:lastRow="1" w:firstColumn="1" w:lastColumn="1" w:noHBand="0" w:noVBand="0"/>
      </w:tblPr>
      <w:tblGrid>
        <w:gridCol w:w="705"/>
        <w:gridCol w:w="1555"/>
        <w:gridCol w:w="1270"/>
        <w:gridCol w:w="2406"/>
        <w:gridCol w:w="2438"/>
        <w:gridCol w:w="1151"/>
      </w:tblGrid>
      <w:tr w:rsidR="00BC7DDA" w:rsidRPr="00BD6C5F" w14:paraId="5276EE51" w14:textId="77777777" w:rsidTr="00A30EFE">
        <w:trPr>
          <w:cnfStyle w:val="100000000000" w:firstRow="1" w:lastRow="0" w:firstColumn="0" w:lastColumn="0" w:oddVBand="0" w:evenVBand="0" w:oddHBand="0" w:evenHBand="0" w:firstRowFirstColumn="0" w:firstRowLastColumn="0" w:lastRowFirstColumn="0" w:lastRowLastColumn="0"/>
          <w:trHeight w:val="20"/>
          <w:tblHeader/>
        </w:trPr>
        <w:tc>
          <w:tcPr>
            <w:tcW w:w="705" w:type="dxa"/>
          </w:tcPr>
          <w:p w14:paraId="1418F4F5" w14:textId="77777777" w:rsidR="00BC7DDA" w:rsidRPr="00BD6C5F" w:rsidRDefault="009B03E9" w:rsidP="00A30EFE">
            <w:pPr>
              <w:pStyle w:val="Tabletext"/>
            </w:pPr>
            <w:r w:rsidRPr="00BD6C5F">
              <w:t>Risk ID</w:t>
            </w:r>
          </w:p>
        </w:tc>
        <w:tc>
          <w:tcPr>
            <w:tcW w:w="1555" w:type="dxa"/>
          </w:tcPr>
          <w:p w14:paraId="1C7A0484" w14:textId="77777777" w:rsidR="00BC7DDA" w:rsidRPr="00BD6C5F" w:rsidRDefault="009B03E9" w:rsidP="00A30EFE">
            <w:pPr>
              <w:pStyle w:val="Tabletext"/>
            </w:pPr>
            <w:r w:rsidRPr="00BD6C5F">
              <w:t>Inherent risk</w:t>
            </w:r>
          </w:p>
        </w:tc>
        <w:tc>
          <w:tcPr>
            <w:tcW w:w="1270" w:type="dxa"/>
          </w:tcPr>
          <w:p w14:paraId="100C078F" w14:textId="77777777" w:rsidR="00BC7DDA" w:rsidRPr="00BD6C5F" w:rsidRDefault="009B03E9" w:rsidP="00A30EFE">
            <w:pPr>
              <w:pStyle w:val="Tabletext"/>
            </w:pPr>
            <w:r w:rsidRPr="00BD6C5F">
              <w:t>Inherent risk level</w:t>
            </w:r>
          </w:p>
        </w:tc>
        <w:tc>
          <w:tcPr>
            <w:tcW w:w="2406" w:type="dxa"/>
          </w:tcPr>
          <w:p w14:paraId="388AB6FE" w14:textId="77777777" w:rsidR="00BC7DDA" w:rsidRPr="00BD6C5F" w:rsidRDefault="009B03E9" w:rsidP="00A30EFE">
            <w:pPr>
              <w:pStyle w:val="Tabletext"/>
            </w:pPr>
            <w:r w:rsidRPr="00BD6C5F">
              <w:t>Vulnerability</w:t>
            </w:r>
          </w:p>
        </w:tc>
        <w:tc>
          <w:tcPr>
            <w:tcW w:w="2438" w:type="dxa"/>
          </w:tcPr>
          <w:p w14:paraId="3C9AF109" w14:textId="77777777" w:rsidR="00BC7DDA" w:rsidRPr="00BD6C5F" w:rsidRDefault="009B03E9" w:rsidP="00A30EFE">
            <w:pPr>
              <w:pStyle w:val="Tabletext"/>
            </w:pPr>
            <w:r w:rsidRPr="00BD6C5F">
              <w:t>Controls</w:t>
            </w:r>
          </w:p>
        </w:tc>
        <w:tc>
          <w:tcPr>
            <w:tcW w:w="1151" w:type="dxa"/>
          </w:tcPr>
          <w:p w14:paraId="1F1DBA0B" w14:textId="77777777" w:rsidR="00BC7DDA" w:rsidRPr="00BD6C5F" w:rsidRDefault="009B03E9" w:rsidP="00A30EFE">
            <w:pPr>
              <w:pStyle w:val="Tabletext"/>
            </w:pPr>
            <w:r w:rsidRPr="00BD6C5F">
              <w:t>Residual risk level</w:t>
            </w:r>
          </w:p>
        </w:tc>
      </w:tr>
      <w:tr w:rsidR="00BC7DDA" w:rsidRPr="00BD6C5F" w14:paraId="122F806A" w14:textId="77777777" w:rsidTr="00A30EFE">
        <w:trPr>
          <w:trHeight w:val="20"/>
        </w:trPr>
        <w:tc>
          <w:tcPr>
            <w:tcW w:w="705" w:type="dxa"/>
          </w:tcPr>
          <w:p w14:paraId="37A18DB7" w14:textId="77777777" w:rsidR="00BC7DDA" w:rsidRPr="00BD6C5F" w:rsidRDefault="009B03E9" w:rsidP="00A30EFE">
            <w:pPr>
              <w:pStyle w:val="Tabletext"/>
            </w:pPr>
            <w:r w:rsidRPr="00BD6C5F">
              <w:t>R1</w:t>
            </w:r>
          </w:p>
        </w:tc>
        <w:tc>
          <w:tcPr>
            <w:tcW w:w="1555" w:type="dxa"/>
          </w:tcPr>
          <w:p w14:paraId="4BC67BB9" w14:textId="77777777" w:rsidR="00BC7DDA" w:rsidRPr="00BD6C5F" w:rsidRDefault="009B03E9" w:rsidP="00A30EFE">
            <w:pPr>
              <w:pStyle w:val="Tabletext"/>
            </w:pPr>
            <w:r w:rsidRPr="00BD6C5F">
              <w:t>Internet attackers could hack the system.</w:t>
            </w:r>
          </w:p>
        </w:tc>
        <w:tc>
          <w:tcPr>
            <w:tcW w:w="1270" w:type="dxa"/>
          </w:tcPr>
          <w:p w14:paraId="188544AC" w14:textId="77777777" w:rsidR="00BC7DDA" w:rsidRPr="00BD6C5F" w:rsidRDefault="009B03E9" w:rsidP="00A30EFE">
            <w:pPr>
              <w:pStyle w:val="Tabletext"/>
            </w:pPr>
            <w:r w:rsidRPr="00BD6C5F">
              <w:t>Medium</w:t>
            </w:r>
          </w:p>
        </w:tc>
        <w:tc>
          <w:tcPr>
            <w:tcW w:w="2406" w:type="dxa"/>
          </w:tcPr>
          <w:p w14:paraId="4BA83381" w14:textId="77777777" w:rsidR="00BC7DDA" w:rsidRPr="00BD6C5F" w:rsidRDefault="009B03E9" w:rsidP="00A30EFE">
            <w:pPr>
              <w:pStyle w:val="Tabletext"/>
            </w:pPr>
            <w:r w:rsidRPr="00BD6C5F">
              <w:t>The service systems are exposed to the internet via the web portal.</w:t>
            </w:r>
          </w:p>
        </w:tc>
        <w:tc>
          <w:tcPr>
            <w:tcW w:w="2438" w:type="dxa"/>
          </w:tcPr>
          <w:p w14:paraId="0ECCBE79" w14:textId="0D5FB53E" w:rsidR="00BC7DDA" w:rsidRPr="00BD6C5F" w:rsidRDefault="009B03E9" w:rsidP="00A30EFE">
            <w:pPr>
              <w:pStyle w:val="Tabletext"/>
            </w:pPr>
            <w:r w:rsidRPr="00BD6C5F">
              <w:t>C1: Internet-facing firewalls</w:t>
            </w:r>
          </w:p>
        </w:tc>
        <w:tc>
          <w:tcPr>
            <w:tcW w:w="1151" w:type="dxa"/>
          </w:tcPr>
          <w:p w14:paraId="5FB3DCEE" w14:textId="77777777" w:rsidR="00BC7DDA" w:rsidRPr="00BD6C5F" w:rsidRDefault="009B03E9" w:rsidP="00A30EFE">
            <w:pPr>
              <w:pStyle w:val="Tabletext"/>
            </w:pPr>
            <w:r w:rsidRPr="00BD6C5F">
              <w:t>Very low</w:t>
            </w:r>
          </w:p>
        </w:tc>
      </w:tr>
      <w:tr w:rsidR="00BC7DDA" w:rsidRPr="00BD6C5F" w14:paraId="48819078" w14:textId="77777777" w:rsidTr="00A30EFE">
        <w:trPr>
          <w:trHeight w:val="20"/>
        </w:trPr>
        <w:tc>
          <w:tcPr>
            <w:tcW w:w="705" w:type="dxa"/>
          </w:tcPr>
          <w:p w14:paraId="099D9C7E" w14:textId="77777777" w:rsidR="00BC7DDA" w:rsidRPr="00BD6C5F" w:rsidRDefault="00BC7DDA" w:rsidP="00A30EFE">
            <w:pPr>
              <w:pStyle w:val="Tabletext"/>
            </w:pPr>
          </w:p>
        </w:tc>
        <w:tc>
          <w:tcPr>
            <w:tcW w:w="1555" w:type="dxa"/>
          </w:tcPr>
          <w:p w14:paraId="7E893D33" w14:textId="77777777" w:rsidR="00BC7DDA" w:rsidRPr="00BD6C5F" w:rsidRDefault="00BC7DDA" w:rsidP="00A30EFE">
            <w:pPr>
              <w:pStyle w:val="Tabletext"/>
            </w:pPr>
          </w:p>
        </w:tc>
        <w:tc>
          <w:tcPr>
            <w:tcW w:w="1270" w:type="dxa"/>
          </w:tcPr>
          <w:p w14:paraId="71FDCCE7" w14:textId="77777777" w:rsidR="00BC7DDA" w:rsidRPr="00BD6C5F" w:rsidRDefault="00BC7DDA" w:rsidP="00A30EFE">
            <w:pPr>
              <w:pStyle w:val="Tabletext"/>
            </w:pPr>
          </w:p>
        </w:tc>
        <w:tc>
          <w:tcPr>
            <w:tcW w:w="2406" w:type="dxa"/>
          </w:tcPr>
          <w:p w14:paraId="30AAB207" w14:textId="77777777" w:rsidR="00BC7DDA" w:rsidRPr="00BD6C5F" w:rsidRDefault="00BC7DDA" w:rsidP="00A30EFE">
            <w:pPr>
              <w:pStyle w:val="Tabletext"/>
            </w:pPr>
          </w:p>
        </w:tc>
        <w:tc>
          <w:tcPr>
            <w:tcW w:w="2438" w:type="dxa"/>
          </w:tcPr>
          <w:p w14:paraId="1F7C96FA" w14:textId="2BB8C838" w:rsidR="00BC7DDA" w:rsidRPr="00BD6C5F" w:rsidRDefault="009B03E9" w:rsidP="003123F6">
            <w:pPr>
              <w:pStyle w:val="Tabletext"/>
            </w:pPr>
            <w:r w:rsidRPr="00BD6C5F">
              <w:t>C2: Internet-facing IP whitelist</w:t>
            </w:r>
          </w:p>
          <w:p w14:paraId="09B8C5E5" w14:textId="2DCA93DF" w:rsidR="00BC7DDA" w:rsidRPr="00BD6C5F" w:rsidRDefault="009B03E9" w:rsidP="003123F6">
            <w:pPr>
              <w:pStyle w:val="Tabletext"/>
            </w:pPr>
            <w:r w:rsidRPr="00BD6C5F">
              <w:t>C3: System hardening</w:t>
            </w:r>
          </w:p>
          <w:p w14:paraId="108CAA33" w14:textId="061EF919" w:rsidR="00BC7DDA" w:rsidRPr="00BD6C5F" w:rsidRDefault="009B03E9" w:rsidP="003123F6">
            <w:pPr>
              <w:pStyle w:val="Tabletext"/>
            </w:pPr>
            <w:r w:rsidRPr="00BD6C5F">
              <w:t>C4: Protective monitoring</w:t>
            </w:r>
          </w:p>
          <w:p w14:paraId="7F6A2F5B" w14:textId="55B51908" w:rsidR="00BC7DDA" w:rsidRPr="00BD6C5F" w:rsidRDefault="009B03E9" w:rsidP="003123F6">
            <w:pPr>
              <w:pStyle w:val="Tabletext"/>
            </w:pPr>
            <w:r w:rsidRPr="00BD6C5F">
              <w:lastRenderedPageBreak/>
              <w:t>C5: Application access control</w:t>
            </w:r>
          </w:p>
          <w:p w14:paraId="27A7A52E" w14:textId="2CE4D4B6" w:rsidR="00BC7DDA" w:rsidRPr="00BD6C5F" w:rsidRDefault="009B03E9" w:rsidP="003123F6">
            <w:pPr>
              <w:pStyle w:val="Tabletext"/>
            </w:pPr>
            <w:r w:rsidRPr="00BD6C5F">
              <w:t>C16: Anti-virus for incoming files</w:t>
            </w:r>
          </w:p>
          <w:p w14:paraId="65789792" w14:textId="492B8413" w:rsidR="00BC7DDA" w:rsidRPr="00BD6C5F" w:rsidRDefault="009B03E9" w:rsidP="003123F6">
            <w:pPr>
              <w:pStyle w:val="Tabletext"/>
            </w:pPr>
            <w:r w:rsidRPr="00BD6C5F">
              <w:t>C54: Files deleted when processed</w:t>
            </w:r>
          </w:p>
          <w:p w14:paraId="5E5BAF47" w14:textId="77777777" w:rsidR="00BC7DDA" w:rsidRPr="00BD6C5F" w:rsidRDefault="009B03E9" w:rsidP="00A30EFE">
            <w:pPr>
              <w:pStyle w:val="Tabletext"/>
            </w:pPr>
            <w:r w:rsidRPr="00BD6C5F">
              <w:t>C59: Removal of departmental identifier</w:t>
            </w:r>
          </w:p>
        </w:tc>
        <w:tc>
          <w:tcPr>
            <w:tcW w:w="1151" w:type="dxa"/>
          </w:tcPr>
          <w:p w14:paraId="7E601E91" w14:textId="77777777" w:rsidR="00BC7DDA" w:rsidRPr="00BD6C5F" w:rsidRDefault="00BC7DDA" w:rsidP="00A30EFE">
            <w:pPr>
              <w:pStyle w:val="Tabletext"/>
            </w:pPr>
          </w:p>
        </w:tc>
      </w:tr>
      <w:tr w:rsidR="00BC7DDA" w:rsidRPr="00BD6C5F" w14:paraId="0E9EDEA1" w14:textId="77777777" w:rsidTr="00A30EFE">
        <w:trPr>
          <w:trHeight w:val="20"/>
        </w:trPr>
        <w:tc>
          <w:tcPr>
            <w:tcW w:w="705" w:type="dxa"/>
          </w:tcPr>
          <w:p w14:paraId="2D9025BC" w14:textId="77777777" w:rsidR="00BC7DDA" w:rsidRPr="00BD6C5F" w:rsidRDefault="009B03E9" w:rsidP="00A30EFE">
            <w:pPr>
              <w:pStyle w:val="Tabletext"/>
            </w:pPr>
            <w:r w:rsidRPr="00BD6C5F">
              <w:t>R2</w:t>
            </w:r>
          </w:p>
        </w:tc>
        <w:tc>
          <w:tcPr>
            <w:tcW w:w="1555" w:type="dxa"/>
          </w:tcPr>
          <w:p w14:paraId="0E04647B" w14:textId="77777777" w:rsidR="00BC7DDA" w:rsidRPr="00BD6C5F" w:rsidRDefault="009B03E9" w:rsidP="00A30EFE">
            <w:pPr>
              <w:pStyle w:val="Tabletext"/>
            </w:pPr>
            <w:r w:rsidRPr="00BD6C5F">
              <w:t>Remote attackers could intercept or disrupt information crossing the internet.</w:t>
            </w:r>
          </w:p>
        </w:tc>
        <w:tc>
          <w:tcPr>
            <w:tcW w:w="1270" w:type="dxa"/>
          </w:tcPr>
          <w:p w14:paraId="598F8B96" w14:textId="77777777" w:rsidR="00BC7DDA" w:rsidRPr="00BD6C5F" w:rsidRDefault="009B03E9" w:rsidP="00A30EFE">
            <w:pPr>
              <w:pStyle w:val="Tabletext"/>
            </w:pPr>
            <w:r w:rsidRPr="00BD6C5F">
              <w:t>Medium</w:t>
            </w:r>
          </w:p>
        </w:tc>
        <w:tc>
          <w:tcPr>
            <w:tcW w:w="2406" w:type="dxa"/>
          </w:tcPr>
          <w:p w14:paraId="72EAEF94" w14:textId="77777777" w:rsidR="00BC7DDA" w:rsidRPr="00BD6C5F" w:rsidRDefault="009B03E9" w:rsidP="00A30EFE">
            <w:pPr>
              <w:pStyle w:val="Tabletext"/>
            </w:pPr>
            <w:r w:rsidRPr="00BD6C5F">
              <w:t>File sharing with organisations across the internet.</w:t>
            </w:r>
          </w:p>
        </w:tc>
        <w:tc>
          <w:tcPr>
            <w:tcW w:w="2438" w:type="dxa"/>
          </w:tcPr>
          <w:p w14:paraId="29572C78" w14:textId="4DAF9461" w:rsidR="00BC7DDA" w:rsidRPr="00BD6C5F" w:rsidRDefault="009B03E9" w:rsidP="003123F6">
            <w:pPr>
              <w:pStyle w:val="Tabletext"/>
            </w:pPr>
            <w:r w:rsidRPr="00BD6C5F">
              <w:t>C9: TLS</w:t>
            </w:r>
            <w:r w:rsidR="00A30EFE" w:rsidRPr="00BD6C5F">
              <w:t xml:space="preserve"> C</w:t>
            </w:r>
            <w:r w:rsidRPr="00BD6C5F">
              <w:t>ommunications</w:t>
            </w:r>
          </w:p>
          <w:p w14:paraId="1051C094" w14:textId="77777777" w:rsidR="00BC7DDA" w:rsidRPr="00BD6C5F" w:rsidRDefault="009B03E9" w:rsidP="00A30EFE">
            <w:pPr>
              <w:pStyle w:val="Tabletext"/>
            </w:pPr>
            <w:r w:rsidRPr="00BD6C5F">
              <w:t>C10: PGP file- sharing</w:t>
            </w:r>
          </w:p>
        </w:tc>
        <w:tc>
          <w:tcPr>
            <w:tcW w:w="1151" w:type="dxa"/>
          </w:tcPr>
          <w:p w14:paraId="2B559E19" w14:textId="77777777" w:rsidR="00BC7DDA" w:rsidRPr="00BD6C5F" w:rsidRDefault="009B03E9" w:rsidP="00A30EFE">
            <w:pPr>
              <w:pStyle w:val="Tabletext"/>
            </w:pPr>
            <w:r w:rsidRPr="00BD6C5F">
              <w:t>Very low</w:t>
            </w:r>
          </w:p>
        </w:tc>
      </w:tr>
      <w:tr w:rsidR="00BC7DDA" w:rsidRPr="00BD6C5F" w14:paraId="0F6613A0" w14:textId="77777777" w:rsidTr="00A30EFE">
        <w:trPr>
          <w:trHeight w:val="20"/>
        </w:trPr>
        <w:tc>
          <w:tcPr>
            <w:tcW w:w="705" w:type="dxa"/>
          </w:tcPr>
          <w:p w14:paraId="7FCF8D24" w14:textId="77777777" w:rsidR="00BC7DDA" w:rsidRPr="00BD6C5F" w:rsidRDefault="009B03E9" w:rsidP="00A30EFE">
            <w:pPr>
              <w:pStyle w:val="Tabletext"/>
            </w:pPr>
            <w:r w:rsidRPr="00BD6C5F">
              <w:t>R3</w:t>
            </w:r>
          </w:p>
        </w:tc>
        <w:tc>
          <w:tcPr>
            <w:tcW w:w="1555" w:type="dxa"/>
          </w:tcPr>
          <w:p w14:paraId="5866A94B" w14:textId="77777777" w:rsidR="00BC7DDA" w:rsidRPr="00BD6C5F" w:rsidRDefault="009B03E9" w:rsidP="00A30EFE">
            <w:pPr>
              <w:pStyle w:val="Tabletext"/>
            </w:pPr>
            <w:r w:rsidRPr="00BD6C5F">
              <w:t>Internal users could maliciously or accidentally alter bank details.</w:t>
            </w:r>
          </w:p>
        </w:tc>
        <w:tc>
          <w:tcPr>
            <w:tcW w:w="1270" w:type="dxa"/>
          </w:tcPr>
          <w:p w14:paraId="75798EF7" w14:textId="77777777" w:rsidR="00BC7DDA" w:rsidRPr="00BD6C5F" w:rsidRDefault="009B03E9" w:rsidP="00A30EFE">
            <w:pPr>
              <w:pStyle w:val="Tabletext"/>
            </w:pPr>
            <w:r w:rsidRPr="00BD6C5F">
              <w:t>Medium- High</w:t>
            </w:r>
          </w:p>
        </w:tc>
        <w:tc>
          <w:tcPr>
            <w:tcW w:w="2406" w:type="dxa"/>
          </w:tcPr>
          <w:p w14:paraId="536E8913" w14:textId="77777777" w:rsidR="00BC7DDA" w:rsidRPr="00BD6C5F" w:rsidRDefault="009B03E9" w:rsidP="00A30EFE">
            <w:pPr>
              <w:pStyle w:val="Tabletext"/>
            </w:pPr>
            <w:r w:rsidRPr="00BD6C5F">
              <w:t>Users bank details can be altered as part of the normal business function.</w:t>
            </w:r>
          </w:p>
        </w:tc>
        <w:tc>
          <w:tcPr>
            <w:tcW w:w="2438" w:type="dxa"/>
          </w:tcPr>
          <w:p w14:paraId="528D74BE" w14:textId="63DC3324" w:rsidR="00BC7DDA" w:rsidRPr="00BD6C5F" w:rsidRDefault="009B03E9" w:rsidP="003123F6">
            <w:pPr>
              <w:pStyle w:val="Tabletext"/>
            </w:pPr>
            <w:r w:rsidRPr="00BD6C5F">
              <w:t>C12. System administrators hold SC clearance.</w:t>
            </w:r>
          </w:p>
          <w:p w14:paraId="6A104B6D" w14:textId="3270B46F" w:rsidR="00BC7DDA" w:rsidRPr="00BD6C5F" w:rsidRDefault="009B03E9" w:rsidP="003123F6">
            <w:pPr>
              <w:pStyle w:val="Tabletext"/>
            </w:pPr>
            <w:r w:rsidRPr="00BD6C5F">
              <w:t>C13. All</w:t>
            </w:r>
            <w:r w:rsidR="00A30EFE" w:rsidRPr="00BD6C5F">
              <w:t xml:space="preserve"> </w:t>
            </w:r>
            <w:r w:rsidRPr="00BD6C5F">
              <w:t>changes to user information are logged and audited.</w:t>
            </w:r>
          </w:p>
          <w:p w14:paraId="05027D08" w14:textId="49E7EABA" w:rsidR="00A30EFE" w:rsidRPr="00BD6C5F" w:rsidRDefault="009B03E9" w:rsidP="003123F6">
            <w:pPr>
              <w:pStyle w:val="Tabletext"/>
            </w:pPr>
            <w:r w:rsidRPr="00BD6C5F">
              <w:t>C14. Letters are automatically</w:t>
            </w:r>
            <w:r w:rsidR="00A30EFE" w:rsidRPr="00BD6C5F">
              <w:t xml:space="preserve"> </w:t>
            </w:r>
            <w:r w:rsidRPr="00BD6C5F">
              <w:t>sent to users</w:t>
            </w:r>
            <w:r w:rsidR="00A4555C" w:rsidRPr="00BD6C5F">
              <w:t>’</w:t>
            </w:r>
            <w:r w:rsidRPr="00BD6C5F">
              <w:t xml:space="preserve"> home</w:t>
            </w:r>
            <w:r w:rsidR="00A30EFE" w:rsidRPr="00BD6C5F">
              <w:t xml:space="preserve"> addresses when bank details are altered.</w:t>
            </w:r>
          </w:p>
          <w:p w14:paraId="0E9EDC0F" w14:textId="0B86B55A" w:rsidR="00BC7DDA" w:rsidRPr="00BD6C5F" w:rsidRDefault="00A30EFE" w:rsidP="00A30EFE">
            <w:pPr>
              <w:pStyle w:val="Tabletext"/>
            </w:pPr>
            <w:r w:rsidRPr="00BD6C5F">
              <w:t>C15. Staff awareness training</w:t>
            </w:r>
          </w:p>
        </w:tc>
        <w:tc>
          <w:tcPr>
            <w:tcW w:w="1151" w:type="dxa"/>
          </w:tcPr>
          <w:p w14:paraId="7F6CE3A4" w14:textId="77777777" w:rsidR="00BC7DDA" w:rsidRPr="00BD6C5F" w:rsidRDefault="009B03E9" w:rsidP="00A30EFE">
            <w:pPr>
              <w:pStyle w:val="Tabletext"/>
            </w:pPr>
            <w:r w:rsidRPr="00BD6C5F">
              <w:t>Low</w:t>
            </w:r>
          </w:p>
        </w:tc>
      </w:tr>
    </w:tbl>
    <w:p w14:paraId="537466E9" w14:textId="77777777" w:rsidR="00BC7DDA" w:rsidRPr="00BD6C5F" w:rsidRDefault="00BC7DDA">
      <w:pPr>
        <w:pStyle w:val="BodyText"/>
        <w:rPr>
          <w:rFonts w:asciiTheme="minorHAnsi" w:hAnsiTheme="minorHAnsi" w:cstheme="minorHAnsi"/>
          <w:iCs/>
        </w:rPr>
      </w:pPr>
    </w:p>
    <w:p w14:paraId="21B11751" w14:textId="77777777" w:rsidR="00BC7DDA" w:rsidRPr="00BD6C5F" w:rsidRDefault="009B03E9" w:rsidP="00247692">
      <w:pPr>
        <w:pStyle w:val="AppendixText2"/>
        <w:keepNext/>
        <w:rPr>
          <w:rFonts w:asciiTheme="minorHAnsi" w:hAnsiTheme="minorHAnsi" w:cstheme="minorHAnsi"/>
        </w:rPr>
      </w:pPr>
      <w:r w:rsidRPr="00BD6C5F">
        <w:t>Controls</w:t>
      </w:r>
    </w:p>
    <w:p w14:paraId="21D843D0" w14:textId="1C5F18E9" w:rsidR="00BC7DDA" w:rsidRPr="00BD6C5F" w:rsidRDefault="00B05517"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w:t>
      </w:r>
      <w:r w:rsidRPr="00BD6C5F">
        <w:rPr>
          <w:rFonts w:asciiTheme="minorHAnsi" w:hAnsiTheme="minorHAnsi" w:cstheme="minorHAnsi"/>
          <w:iCs/>
          <w:szCs w:val="24"/>
          <w:highlight w:val="yellow"/>
        </w:rPr>
        <w:t>]</w:t>
      </w:r>
    </w:p>
    <w:p w14:paraId="00AE3DAF" w14:textId="77777777" w:rsidR="00BC7DDA" w:rsidRPr="00BD6C5F" w:rsidRDefault="00BC7DDA">
      <w:pPr>
        <w:pStyle w:val="BodyText"/>
        <w:spacing w:before="1"/>
        <w:rPr>
          <w:rFonts w:asciiTheme="minorHAnsi" w:hAnsiTheme="minorHAnsi" w:cstheme="minorHAnsi"/>
          <w:iCs/>
        </w:rPr>
      </w:pPr>
    </w:p>
    <w:tbl>
      <w:tblPr>
        <w:tblStyle w:val="MSATable-header"/>
        <w:tblW w:w="9519" w:type="dxa"/>
        <w:tblInd w:w="720" w:type="dxa"/>
        <w:tblLayout w:type="fixed"/>
        <w:tblLook w:val="01E0" w:firstRow="1" w:lastRow="1" w:firstColumn="1" w:lastColumn="1" w:noHBand="0" w:noVBand="0"/>
      </w:tblPr>
      <w:tblGrid>
        <w:gridCol w:w="655"/>
        <w:gridCol w:w="1835"/>
        <w:gridCol w:w="3118"/>
        <w:gridCol w:w="3911"/>
      </w:tblGrid>
      <w:tr w:rsidR="00BC7DDA" w:rsidRPr="00BD6C5F" w14:paraId="73F625DC" w14:textId="77777777" w:rsidTr="00BB6376">
        <w:trPr>
          <w:cnfStyle w:val="100000000000" w:firstRow="1" w:lastRow="0" w:firstColumn="0" w:lastColumn="0" w:oddVBand="0" w:evenVBand="0" w:oddHBand="0" w:evenHBand="0" w:firstRowFirstColumn="0" w:firstRowLastColumn="0" w:lastRowFirstColumn="0" w:lastRowLastColumn="0"/>
          <w:trHeight w:val="20"/>
          <w:tblHeader/>
        </w:trPr>
        <w:tc>
          <w:tcPr>
            <w:tcW w:w="655" w:type="dxa"/>
          </w:tcPr>
          <w:p w14:paraId="3781221D" w14:textId="77777777" w:rsidR="00BC7DDA" w:rsidRPr="00BD6C5F" w:rsidRDefault="009B03E9" w:rsidP="00BB6376">
            <w:pPr>
              <w:pStyle w:val="Tabletext"/>
            </w:pPr>
            <w:r w:rsidRPr="00BD6C5F">
              <w:lastRenderedPageBreak/>
              <w:t>ID</w:t>
            </w:r>
          </w:p>
        </w:tc>
        <w:tc>
          <w:tcPr>
            <w:tcW w:w="1835" w:type="dxa"/>
          </w:tcPr>
          <w:p w14:paraId="70068D92" w14:textId="77777777" w:rsidR="00BC7DDA" w:rsidRPr="00BD6C5F" w:rsidRDefault="009B03E9" w:rsidP="00BB6376">
            <w:pPr>
              <w:pStyle w:val="Tabletext"/>
            </w:pPr>
            <w:r w:rsidRPr="00BD6C5F">
              <w:t>Control title</w:t>
            </w:r>
          </w:p>
        </w:tc>
        <w:tc>
          <w:tcPr>
            <w:tcW w:w="3118" w:type="dxa"/>
          </w:tcPr>
          <w:p w14:paraId="467219F1" w14:textId="77777777" w:rsidR="00BC7DDA" w:rsidRPr="00BD6C5F" w:rsidRDefault="009B03E9" w:rsidP="00BB6376">
            <w:pPr>
              <w:pStyle w:val="Tabletext"/>
            </w:pPr>
            <w:r w:rsidRPr="00BD6C5F">
              <w:t>Control description</w:t>
            </w:r>
          </w:p>
        </w:tc>
        <w:tc>
          <w:tcPr>
            <w:tcW w:w="3911" w:type="dxa"/>
          </w:tcPr>
          <w:p w14:paraId="225A0ECA" w14:textId="77777777" w:rsidR="00BC7DDA" w:rsidRPr="00BD6C5F" w:rsidRDefault="009B03E9" w:rsidP="00BB6376">
            <w:pPr>
              <w:pStyle w:val="Tabletext"/>
            </w:pPr>
            <w:r w:rsidRPr="00BD6C5F">
              <w:t>Further information and assurance status</w:t>
            </w:r>
          </w:p>
        </w:tc>
      </w:tr>
      <w:tr w:rsidR="00BC7DDA" w:rsidRPr="00BD6C5F" w14:paraId="3687D328" w14:textId="77777777" w:rsidTr="00BB6376">
        <w:trPr>
          <w:trHeight w:val="20"/>
        </w:trPr>
        <w:tc>
          <w:tcPr>
            <w:tcW w:w="655" w:type="dxa"/>
          </w:tcPr>
          <w:p w14:paraId="451757E4" w14:textId="77777777" w:rsidR="00BC7DDA" w:rsidRPr="00BD6C5F" w:rsidRDefault="009B03E9" w:rsidP="00BB6376">
            <w:pPr>
              <w:pStyle w:val="Tabletext"/>
            </w:pPr>
            <w:r w:rsidRPr="00BD6C5F">
              <w:t>C1</w:t>
            </w:r>
          </w:p>
        </w:tc>
        <w:tc>
          <w:tcPr>
            <w:tcW w:w="1835" w:type="dxa"/>
          </w:tcPr>
          <w:p w14:paraId="2B93A01E" w14:textId="77777777" w:rsidR="00BC7DDA" w:rsidRPr="00BD6C5F" w:rsidRDefault="009B03E9" w:rsidP="00BB6376">
            <w:pPr>
              <w:pStyle w:val="Tabletext"/>
            </w:pPr>
            <w:r w:rsidRPr="00BD6C5F">
              <w:t>Internet-facing firewalls</w:t>
            </w:r>
          </w:p>
        </w:tc>
        <w:tc>
          <w:tcPr>
            <w:tcW w:w="3118" w:type="dxa"/>
          </w:tcPr>
          <w:p w14:paraId="59727404" w14:textId="0FCF0317" w:rsidR="00BC7DDA" w:rsidRPr="00BD6C5F" w:rsidRDefault="009B03E9" w:rsidP="00BB6376">
            <w:pPr>
              <w:pStyle w:val="Tabletext"/>
            </w:pPr>
            <w:r w:rsidRPr="00BD6C5F">
              <w:t>Internet-facing firewalls are in place between the internet and the system</w:t>
            </w:r>
            <w:r w:rsidR="00A4555C" w:rsidRPr="00BD6C5F">
              <w:t>’</w:t>
            </w:r>
            <w:r w:rsidRPr="00BD6C5F">
              <w:t>, which restrict access from the internet to the required ports only.</w:t>
            </w:r>
          </w:p>
        </w:tc>
        <w:tc>
          <w:tcPr>
            <w:tcW w:w="3911" w:type="dxa"/>
          </w:tcPr>
          <w:p w14:paraId="16D9A47B" w14:textId="77777777" w:rsidR="00BC7DDA" w:rsidRPr="00BD6C5F" w:rsidRDefault="009B03E9" w:rsidP="00BB6376">
            <w:pPr>
              <w:pStyle w:val="Tabletext"/>
            </w:pPr>
            <w:r w:rsidRPr="00BD6C5F">
              <w:t>Assured via ITHC firewall rule check</w:t>
            </w:r>
          </w:p>
        </w:tc>
      </w:tr>
      <w:tr w:rsidR="00BC7DDA" w:rsidRPr="00BD6C5F" w14:paraId="2E3AD9E8" w14:textId="77777777" w:rsidTr="00BB6376">
        <w:trPr>
          <w:trHeight w:val="20"/>
        </w:trPr>
        <w:tc>
          <w:tcPr>
            <w:tcW w:w="655" w:type="dxa"/>
          </w:tcPr>
          <w:p w14:paraId="13BC8285" w14:textId="77777777" w:rsidR="00BC7DDA" w:rsidRPr="00BD6C5F" w:rsidRDefault="009B03E9" w:rsidP="00BB6376">
            <w:pPr>
              <w:pStyle w:val="Tabletext"/>
            </w:pPr>
            <w:r w:rsidRPr="00BD6C5F">
              <w:t>C2</w:t>
            </w:r>
          </w:p>
        </w:tc>
        <w:tc>
          <w:tcPr>
            <w:tcW w:w="1835" w:type="dxa"/>
          </w:tcPr>
          <w:p w14:paraId="41E7EBC1" w14:textId="77777777" w:rsidR="00BC7DDA" w:rsidRPr="00BD6C5F" w:rsidRDefault="009B03E9" w:rsidP="00BB6376">
            <w:pPr>
              <w:pStyle w:val="Tabletext"/>
            </w:pPr>
            <w:r w:rsidRPr="00BD6C5F">
              <w:t>Internet-facing IP whitelist</w:t>
            </w:r>
          </w:p>
        </w:tc>
        <w:tc>
          <w:tcPr>
            <w:tcW w:w="3118" w:type="dxa"/>
          </w:tcPr>
          <w:p w14:paraId="794C10DE" w14:textId="77777777" w:rsidR="00BC7DDA" w:rsidRPr="00BD6C5F" w:rsidRDefault="009B03E9" w:rsidP="00BB6376">
            <w:pPr>
              <w:pStyle w:val="Tabletext"/>
            </w:pPr>
            <w:r w:rsidRPr="00BD6C5F">
              <w:t>An IP whitelist is in place for all access from the internet.</w:t>
            </w:r>
          </w:p>
        </w:tc>
        <w:tc>
          <w:tcPr>
            <w:tcW w:w="3911" w:type="dxa"/>
          </w:tcPr>
          <w:p w14:paraId="763018F8" w14:textId="77777777" w:rsidR="00BC7DDA" w:rsidRPr="00BD6C5F" w:rsidRDefault="009B03E9" w:rsidP="00BB6376">
            <w:pPr>
              <w:pStyle w:val="Tabletext"/>
            </w:pPr>
            <w:r w:rsidRPr="00BD6C5F">
              <w:t>Assured via ITHC</w:t>
            </w:r>
          </w:p>
        </w:tc>
      </w:tr>
      <w:tr w:rsidR="00BC7DDA" w:rsidRPr="00BD6C5F" w14:paraId="5D9AD736" w14:textId="77777777" w:rsidTr="00BB6376">
        <w:trPr>
          <w:trHeight w:val="20"/>
        </w:trPr>
        <w:tc>
          <w:tcPr>
            <w:tcW w:w="655" w:type="dxa"/>
          </w:tcPr>
          <w:p w14:paraId="22C65DD8" w14:textId="77777777" w:rsidR="00BC7DDA" w:rsidRPr="00BD6C5F" w:rsidRDefault="009B03E9" w:rsidP="00BB6376">
            <w:pPr>
              <w:pStyle w:val="Tabletext"/>
            </w:pPr>
            <w:r w:rsidRPr="00BD6C5F">
              <w:t>C15</w:t>
            </w:r>
          </w:p>
        </w:tc>
        <w:tc>
          <w:tcPr>
            <w:tcW w:w="1835" w:type="dxa"/>
          </w:tcPr>
          <w:p w14:paraId="2F0AE2AA" w14:textId="77777777" w:rsidR="00BC7DDA" w:rsidRPr="00BD6C5F" w:rsidRDefault="009B03E9" w:rsidP="00BB6376">
            <w:pPr>
              <w:pStyle w:val="Tabletext"/>
            </w:pPr>
            <w:r w:rsidRPr="00BD6C5F">
              <w:t>Staff awareness training</w:t>
            </w:r>
          </w:p>
        </w:tc>
        <w:tc>
          <w:tcPr>
            <w:tcW w:w="3118" w:type="dxa"/>
          </w:tcPr>
          <w:p w14:paraId="4FA65A44" w14:textId="77777777" w:rsidR="00BC7DDA" w:rsidRPr="00BD6C5F" w:rsidRDefault="009B03E9" w:rsidP="00BB6376">
            <w:pPr>
              <w:pStyle w:val="Tabletext"/>
            </w:pPr>
            <w:r w:rsidRPr="00BD6C5F">
              <w:t>All staff must undertake annual security awareness training and this process is audited and monitored by line managers.</w:t>
            </w:r>
          </w:p>
        </w:tc>
        <w:tc>
          <w:tcPr>
            <w:tcW w:w="3911" w:type="dxa"/>
          </w:tcPr>
          <w:p w14:paraId="3BE1B99F" w14:textId="67DABA30" w:rsidR="00BC7DDA" w:rsidRPr="00BD6C5F" w:rsidRDefault="009B03E9" w:rsidP="00BB6376">
            <w:pPr>
              <w:pStyle w:val="Tabletext"/>
            </w:pPr>
            <w:r w:rsidRPr="00BD6C5F">
              <w:t>Assured as part of ISO</w:t>
            </w:r>
            <w:r w:rsidR="005423E9" w:rsidRPr="00BD6C5F">
              <w:t xml:space="preserve">/IEC </w:t>
            </w:r>
            <w:r w:rsidRPr="00BD6C5F">
              <w:t xml:space="preserve">27001 </w:t>
            </w:r>
            <w:r w:rsidR="005423E9" w:rsidRPr="00BD6C5F">
              <w:t xml:space="preserve">(at least ISO/IEC 27001:2013) </w:t>
            </w:r>
            <w:r w:rsidRPr="00BD6C5F">
              <w:t>certification</w:t>
            </w:r>
          </w:p>
        </w:tc>
      </w:tr>
    </w:tbl>
    <w:p w14:paraId="183F1347" w14:textId="77777777" w:rsidR="00BC7DDA" w:rsidRPr="00BD6C5F" w:rsidRDefault="00BC7DDA">
      <w:pPr>
        <w:pStyle w:val="BodyText"/>
        <w:rPr>
          <w:rFonts w:asciiTheme="minorHAnsi" w:hAnsiTheme="minorHAnsi" w:cstheme="minorHAnsi"/>
          <w:iCs/>
        </w:rPr>
      </w:pPr>
    </w:p>
    <w:p w14:paraId="32DA59CA" w14:textId="77777777" w:rsidR="00BC7DDA" w:rsidRPr="00BD6C5F" w:rsidRDefault="009B03E9" w:rsidP="00247692">
      <w:pPr>
        <w:pStyle w:val="AppendixText2"/>
        <w:keepNext/>
        <w:rPr>
          <w:rFonts w:asciiTheme="minorHAnsi" w:hAnsiTheme="minorHAnsi" w:cstheme="minorHAnsi"/>
        </w:rPr>
      </w:pPr>
      <w:r w:rsidRPr="00BD6C5F">
        <w:rPr>
          <w:rFonts w:asciiTheme="minorHAnsi" w:hAnsiTheme="minorHAnsi" w:cstheme="minorHAnsi"/>
        </w:rPr>
        <w:t xml:space="preserve">Residual </w:t>
      </w:r>
      <w:r w:rsidRPr="00BD6C5F">
        <w:t>risks</w:t>
      </w:r>
      <w:r w:rsidRPr="00BD6C5F">
        <w:rPr>
          <w:rFonts w:asciiTheme="minorHAnsi" w:hAnsiTheme="minorHAnsi" w:cstheme="minorHAnsi"/>
        </w:rPr>
        <w:t xml:space="preserve"> and actions</w:t>
      </w:r>
    </w:p>
    <w:p w14:paraId="7DB36455" w14:textId="762E9470" w:rsidR="00BC7DDA" w:rsidRPr="00BD6C5F" w:rsidRDefault="00A455B2" w:rsidP="00A30EFE">
      <w:pPr>
        <w:spacing w:before="100" w:after="200"/>
        <w:ind w:left="720"/>
        <w:rPr>
          <w:rFonts w:asciiTheme="minorHAnsi" w:hAnsiTheme="minorHAnsi" w:cstheme="minorHAnsi"/>
          <w:iCs/>
          <w:szCs w:val="24"/>
        </w:rPr>
      </w:pPr>
      <w:r w:rsidRPr="00BD6C5F">
        <w:rPr>
          <w:rFonts w:asciiTheme="minorHAnsi" w:hAnsiTheme="minorHAnsi" w:cstheme="minorHAnsi"/>
          <w:iCs/>
          <w:szCs w:val="24"/>
          <w:highlight w:val="yellow"/>
        </w:rPr>
        <w:t>[</w:t>
      </w:r>
      <w:r w:rsidR="009B03E9" w:rsidRPr="00BD6C5F">
        <w:rPr>
          <w:rFonts w:asciiTheme="minorHAnsi" w:hAnsiTheme="minorHAnsi" w:cstheme="minorHAnsi"/>
          <w:iCs/>
          <w:szCs w:val="24"/>
          <w:highlight w:val="yellow"/>
        </w:rPr>
        <w:t>A summary of the residual risks which are likely to be above the risk appetite stated after all controls have been applied and verified should be listed with actions and timescales included.</w:t>
      </w:r>
      <w:r w:rsidRPr="00BD6C5F">
        <w:rPr>
          <w:rFonts w:asciiTheme="minorHAnsi" w:hAnsiTheme="minorHAnsi" w:cstheme="minorHAnsi"/>
          <w:iCs/>
          <w:szCs w:val="24"/>
          <w:highlight w:val="yellow"/>
        </w:rPr>
        <w:t>]</w:t>
      </w:r>
    </w:p>
    <w:p w14:paraId="05C031F6" w14:textId="347DF8AA" w:rsidR="00BC7DDA" w:rsidRPr="00BD6C5F" w:rsidRDefault="009B03E9" w:rsidP="00934722">
      <w:pPr>
        <w:pStyle w:val="AppendixText1"/>
        <w:rPr>
          <w:b w:val="0"/>
          <w:bCs/>
        </w:rPr>
      </w:pPr>
      <w:bookmarkStart w:id="255" w:name="_Ref98358736"/>
      <w:r w:rsidRPr="00BD6C5F">
        <w:t>In-service controls</w:t>
      </w:r>
      <w:bookmarkEnd w:id="255"/>
    </w:p>
    <w:p w14:paraId="39495D78" w14:textId="7C053E60" w:rsidR="00BC7DDA" w:rsidRPr="00BD6C5F" w:rsidRDefault="00A455B2" w:rsidP="00934722">
      <w:pPr>
        <w:pStyle w:val="AppendixText2"/>
        <w:rPr>
          <w:highlight w:val="yellow"/>
        </w:rPr>
      </w:pPr>
      <w:r w:rsidRPr="00BD6C5F">
        <w:rPr>
          <w:highlight w:val="yellow"/>
        </w:rPr>
        <w:t>[</w:t>
      </w:r>
      <w:r w:rsidR="009B03E9" w:rsidRPr="00BD6C5F">
        <w:rPr>
          <w:highlight w:val="yellow"/>
        </w:rPr>
        <w:t>This section should describe the controls relating to the information lifecycle, including development, testing, in-service, termination and on-going risk management and accreditation assurance. Details of any formal assurance requirements specified in the contract such as security CHECK testing or maintained ISO</w:t>
      </w:r>
      <w:r w:rsidR="005423E9" w:rsidRPr="00BD6C5F">
        <w:rPr>
          <w:highlight w:val="yellow"/>
        </w:rPr>
        <w:t>/IEC</w:t>
      </w:r>
      <w:r w:rsidR="009B03E9" w:rsidRPr="00BD6C5F">
        <w:rPr>
          <w:highlight w:val="yellow"/>
        </w:rPr>
        <w:t>27001</w:t>
      </w:r>
      <w:r w:rsidR="005423E9" w:rsidRPr="00BD6C5F">
        <w:rPr>
          <w:highlight w:val="yellow"/>
        </w:rPr>
        <w:t xml:space="preserve"> (at least ISO/IEC 27001:2013)</w:t>
      </w:r>
      <w:r w:rsidR="009B03E9" w:rsidRPr="00BD6C5F">
        <w:rPr>
          <w:highlight w:val="yellow"/>
        </w:rPr>
        <w:t xml:space="preserve"> certification should be included. This section should include at least:</w:t>
      </w:r>
    </w:p>
    <w:p w14:paraId="4E9399C9" w14:textId="4AB6EB25" w:rsidR="00BC7DDA" w:rsidRPr="00BD6C5F" w:rsidRDefault="007B7076" w:rsidP="00C73AC9">
      <w:pPr>
        <w:pStyle w:val="AppendixText3"/>
        <w:rPr>
          <w:highlight w:val="yellow"/>
        </w:rPr>
      </w:pPr>
      <w:r w:rsidRPr="00BD6C5F">
        <w:rPr>
          <w:highlight w:val="yellow"/>
        </w:rPr>
        <w:t>information risk management and timescales and triggers for a review;</w:t>
      </w:r>
    </w:p>
    <w:p w14:paraId="0F7FA204" w14:textId="77777777" w:rsidR="00BC7DDA" w:rsidRPr="00BD6C5F" w:rsidRDefault="009B03E9" w:rsidP="00C73AC9">
      <w:pPr>
        <w:pStyle w:val="AppendixText3"/>
        <w:rPr>
          <w:highlight w:val="yellow"/>
        </w:rPr>
      </w:pPr>
      <w:r w:rsidRPr="00BD6C5F">
        <w:rPr>
          <w:highlight w:val="yellow"/>
        </w:rPr>
        <w:t>contractual patching requirements and timescales for the different priorities of patch;</w:t>
      </w:r>
    </w:p>
    <w:p w14:paraId="2E773FCE" w14:textId="77777777" w:rsidR="00BC7DDA" w:rsidRPr="00BD6C5F" w:rsidRDefault="009B03E9" w:rsidP="00C73AC9">
      <w:pPr>
        <w:pStyle w:val="AppendixText3"/>
        <w:rPr>
          <w:highlight w:val="yellow"/>
        </w:rPr>
      </w:pPr>
      <w:r w:rsidRPr="00BD6C5F">
        <w:rPr>
          <w:highlight w:val="yellow"/>
        </w:rPr>
        <w:t>protective monitoring arrangements to include how anomalous behaviour is identified and acted upon as well as how logging and auditing of user activity is done;</w:t>
      </w:r>
    </w:p>
    <w:p w14:paraId="2FD79F33" w14:textId="77777777" w:rsidR="00BC7DDA" w:rsidRPr="00BD6C5F" w:rsidRDefault="009B03E9" w:rsidP="00C73AC9">
      <w:pPr>
        <w:pStyle w:val="AppendixText3"/>
        <w:rPr>
          <w:highlight w:val="yellow"/>
        </w:rPr>
      </w:pPr>
      <w:r w:rsidRPr="00BD6C5F">
        <w:rPr>
          <w:highlight w:val="yellow"/>
        </w:rPr>
        <w:t>configuration and change management;</w:t>
      </w:r>
    </w:p>
    <w:p w14:paraId="7E032770" w14:textId="77777777" w:rsidR="00BC7DDA" w:rsidRPr="00BD6C5F" w:rsidRDefault="009B03E9" w:rsidP="00C73AC9">
      <w:pPr>
        <w:pStyle w:val="AppendixText3"/>
        <w:rPr>
          <w:highlight w:val="yellow"/>
        </w:rPr>
      </w:pPr>
      <w:r w:rsidRPr="00BD6C5F">
        <w:rPr>
          <w:highlight w:val="yellow"/>
        </w:rPr>
        <w:t>incident management;</w:t>
      </w:r>
    </w:p>
    <w:p w14:paraId="5A0CF191" w14:textId="77777777" w:rsidR="00BC7DDA" w:rsidRPr="00BD6C5F" w:rsidRDefault="009B03E9" w:rsidP="00C73AC9">
      <w:pPr>
        <w:pStyle w:val="AppendixText3"/>
        <w:rPr>
          <w:highlight w:val="yellow"/>
        </w:rPr>
      </w:pPr>
      <w:r w:rsidRPr="00BD6C5F">
        <w:rPr>
          <w:highlight w:val="yellow"/>
        </w:rPr>
        <w:t>vulnerability management;</w:t>
      </w:r>
    </w:p>
    <w:p w14:paraId="3D9C2782" w14:textId="77777777" w:rsidR="00BC7DDA" w:rsidRPr="00BD6C5F" w:rsidRDefault="009B03E9" w:rsidP="00C73AC9">
      <w:pPr>
        <w:pStyle w:val="AppendixText3"/>
        <w:rPr>
          <w:highlight w:val="yellow"/>
        </w:rPr>
      </w:pPr>
      <w:r w:rsidRPr="00BD6C5F">
        <w:rPr>
          <w:highlight w:val="yellow"/>
        </w:rPr>
        <w:t>user access management; and</w:t>
      </w:r>
    </w:p>
    <w:p w14:paraId="2AA48C48" w14:textId="03930D4C" w:rsidR="00BC7DDA" w:rsidRPr="00BD6C5F" w:rsidRDefault="009B03E9" w:rsidP="00C73AC9">
      <w:pPr>
        <w:pStyle w:val="AppendixText3"/>
        <w:rPr>
          <w:highlight w:val="yellow"/>
        </w:rPr>
      </w:pPr>
      <w:r w:rsidRPr="00BD6C5F">
        <w:rPr>
          <w:highlight w:val="yellow"/>
        </w:rPr>
        <w:t>data sanitisation and disposal.</w:t>
      </w:r>
      <w:r w:rsidR="00A455B2" w:rsidRPr="00BD6C5F">
        <w:rPr>
          <w:highlight w:val="yellow"/>
        </w:rPr>
        <w:t>]</w:t>
      </w:r>
    </w:p>
    <w:p w14:paraId="05A668C5" w14:textId="77777777" w:rsidR="00BC7DDA" w:rsidRPr="00BD6C5F" w:rsidRDefault="009B03E9" w:rsidP="00C73AC9">
      <w:pPr>
        <w:pStyle w:val="AppendixText1"/>
      </w:pPr>
      <w:r w:rsidRPr="00BD6C5F">
        <w:lastRenderedPageBreak/>
        <w:t>Security Operating Procedures (SyOPs)</w:t>
      </w:r>
    </w:p>
    <w:p w14:paraId="5C0E1366" w14:textId="34FA88EF" w:rsidR="00BC7DDA" w:rsidRPr="00BD6C5F" w:rsidRDefault="00A455B2" w:rsidP="00C73AC9">
      <w:pPr>
        <w:pStyle w:val="AppendixText2"/>
      </w:pPr>
      <w:r w:rsidRPr="00BD6C5F">
        <w:rPr>
          <w:highlight w:val="yellow"/>
        </w:rPr>
        <w:t>[</w:t>
      </w:r>
      <w:r w:rsidR="009B03E9" w:rsidRPr="00BD6C5F">
        <w:rPr>
          <w:highlight w:val="yellow"/>
        </w:rPr>
        <w:t>If needed any SyOps requirements should be included and referenced here.</w:t>
      </w:r>
      <w:r w:rsidRPr="00BD6C5F">
        <w:rPr>
          <w:highlight w:val="yellow"/>
        </w:rPr>
        <w:t>]</w:t>
      </w:r>
    </w:p>
    <w:p w14:paraId="230B14FC" w14:textId="77777777" w:rsidR="00BC7DDA" w:rsidRPr="00BD6C5F" w:rsidRDefault="009B03E9" w:rsidP="00C73AC9">
      <w:pPr>
        <w:pStyle w:val="AppendixText1"/>
      </w:pPr>
      <w:r w:rsidRPr="00BD6C5F">
        <w:t>Major Hardware and Software and end of support dates</w:t>
      </w:r>
    </w:p>
    <w:p w14:paraId="7B30D4B8" w14:textId="070ED098" w:rsidR="00BC7DDA" w:rsidRPr="00BD6C5F" w:rsidRDefault="00A455B2" w:rsidP="00C73AC9">
      <w:pPr>
        <w:pStyle w:val="AppendixText2"/>
      </w:pPr>
      <w:r w:rsidRPr="00BD6C5F">
        <w:rPr>
          <w:highlight w:val="yellow"/>
        </w:rPr>
        <w:t>[</w:t>
      </w:r>
      <w:r w:rsidR="009B03E9" w:rsidRPr="00BD6C5F">
        <w:rPr>
          <w:highlight w:val="yellow"/>
        </w:rPr>
        <w:t>This should be a table which lists the end of support dates for hardware and software products and components. An example table is shown below.</w:t>
      </w:r>
      <w:r w:rsidRPr="00BD6C5F">
        <w:rPr>
          <w:highlight w:val="yellow"/>
        </w:rPr>
        <w:t>]</w:t>
      </w:r>
    </w:p>
    <w:p w14:paraId="1B5D9A7F" w14:textId="77777777" w:rsidR="00BC7DDA" w:rsidRPr="00BD6C5F" w:rsidRDefault="00BC7DDA">
      <w:pPr>
        <w:pStyle w:val="BodyText"/>
        <w:spacing w:before="2"/>
        <w:rPr>
          <w:rFonts w:asciiTheme="minorHAnsi" w:hAnsiTheme="minorHAnsi" w:cstheme="minorHAnsi"/>
          <w:iCs/>
        </w:rPr>
      </w:pPr>
    </w:p>
    <w:tbl>
      <w:tblPr>
        <w:tblStyle w:val="MSATable-header"/>
        <w:tblW w:w="0" w:type="auto"/>
        <w:tblInd w:w="720" w:type="dxa"/>
        <w:tblLayout w:type="fixed"/>
        <w:tblLook w:val="01E0" w:firstRow="1" w:lastRow="1" w:firstColumn="1" w:lastColumn="1" w:noHBand="0" w:noVBand="0"/>
      </w:tblPr>
      <w:tblGrid>
        <w:gridCol w:w="1518"/>
        <w:gridCol w:w="1655"/>
        <w:gridCol w:w="3624"/>
        <w:gridCol w:w="2266"/>
      </w:tblGrid>
      <w:tr w:rsidR="00BC7DDA" w:rsidRPr="00BD6C5F" w14:paraId="2D16782E" w14:textId="77777777" w:rsidTr="00BB6376">
        <w:trPr>
          <w:cnfStyle w:val="100000000000" w:firstRow="1" w:lastRow="0" w:firstColumn="0" w:lastColumn="0" w:oddVBand="0" w:evenVBand="0" w:oddHBand="0" w:evenHBand="0" w:firstRowFirstColumn="0" w:firstRowLastColumn="0" w:lastRowFirstColumn="0" w:lastRowLastColumn="0"/>
          <w:trHeight w:val="20"/>
          <w:tblHeader/>
        </w:trPr>
        <w:tc>
          <w:tcPr>
            <w:tcW w:w="1518" w:type="dxa"/>
          </w:tcPr>
          <w:p w14:paraId="70FCB328" w14:textId="77777777" w:rsidR="00BC7DDA" w:rsidRPr="00BD6C5F" w:rsidRDefault="009B03E9" w:rsidP="00BB6376">
            <w:pPr>
              <w:pStyle w:val="Tabletext"/>
            </w:pPr>
            <w:r w:rsidRPr="00BD6C5F">
              <w:t>Name</w:t>
            </w:r>
          </w:p>
        </w:tc>
        <w:tc>
          <w:tcPr>
            <w:tcW w:w="1655" w:type="dxa"/>
          </w:tcPr>
          <w:p w14:paraId="2971E823" w14:textId="77777777" w:rsidR="00BC7DDA" w:rsidRPr="00BD6C5F" w:rsidRDefault="009B03E9" w:rsidP="00BB6376">
            <w:pPr>
              <w:pStyle w:val="Tabletext"/>
            </w:pPr>
            <w:r w:rsidRPr="00BD6C5F">
              <w:t>Version</w:t>
            </w:r>
          </w:p>
        </w:tc>
        <w:tc>
          <w:tcPr>
            <w:tcW w:w="3624" w:type="dxa"/>
          </w:tcPr>
          <w:p w14:paraId="11E3620E" w14:textId="77777777" w:rsidR="00BC7DDA" w:rsidRPr="00BD6C5F" w:rsidRDefault="009B03E9" w:rsidP="00BB6376">
            <w:pPr>
              <w:pStyle w:val="Tabletext"/>
            </w:pPr>
            <w:r w:rsidRPr="00BD6C5F">
              <w:t>End of mainstream Support/Extended Support</w:t>
            </w:r>
          </w:p>
        </w:tc>
        <w:tc>
          <w:tcPr>
            <w:tcW w:w="2266" w:type="dxa"/>
          </w:tcPr>
          <w:p w14:paraId="5B3576AC" w14:textId="77777777" w:rsidR="00BC7DDA" w:rsidRPr="00BD6C5F" w:rsidRDefault="009B03E9" w:rsidP="00BB6376">
            <w:pPr>
              <w:pStyle w:val="Tabletext"/>
            </w:pPr>
            <w:r w:rsidRPr="00BD6C5F">
              <w:t>Notes/RAG Status</w:t>
            </w:r>
          </w:p>
        </w:tc>
      </w:tr>
      <w:tr w:rsidR="00BC7DDA" w:rsidRPr="00BD6C5F" w14:paraId="5E9C6D84" w14:textId="77777777" w:rsidTr="00BB6376">
        <w:trPr>
          <w:trHeight w:val="20"/>
        </w:trPr>
        <w:tc>
          <w:tcPr>
            <w:tcW w:w="1518" w:type="dxa"/>
          </w:tcPr>
          <w:p w14:paraId="520D526E" w14:textId="77777777" w:rsidR="00BC7DDA" w:rsidRPr="00BD6C5F" w:rsidRDefault="009B03E9" w:rsidP="00BB6376">
            <w:pPr>
              <w:pStyle w:val="Tabletext"/>
            </w:pPr>
            <w:r w:rsidRPr="00BD6C5F">
              <w:t>Server Host</w:t>
            </w:r>
          </w:p>
        </w:tc>
        <w:tc>
          <w:tcPr>
            <w:tcW w:w="1655" w:type="dxa"/>
          </w:tcPr>
          <w:p w14:paraId="64201801" w14:textId="77777777" w:rsidR="00BC7DDA" w:rsidRPr="00BD6C5F" w:rsidRDefault="009B03E9" w:rsidP="00BB6376">
            <w:pPr>
              <w:pStyle w:val="Tabletext"/>
            </w:pPr>
            <w:r w:rsidRPr="00BD6C5F">
              <w:t>HP XXXX</w:t>
            </w:r>
          </w:p>
        </w:tc>
        <w:tc>
          <w:tcPr>
            <w:tcW w:w="3624" w:type="dxa"/>
          </w:tcPr>
          <w:p w14:paraId="3E45DA98" w14:textId="77777777" w:rsidR="00BC7DDA" w:rsidRPr="00BD6C5F" w:rsidRDefault="009B03E9" w:rsidP="00BB6376">
            <w:pPr>
              <w:pStyle w:val="Tabletext"/>
            </w:pPr>
            <w:r w:rsidRPr="00BD6C5F">
              <w:t>Feb 2020/ March 2022</w:t>
            </w:r>
          </w:p>
        </w:tc>
        <w:tc>
          <w:tcPr>
            <w:tcW w:w="2266" w:type="dxa"/>
          </w:tcPr>
          <w:p w14:paraId="18DFD934" w14:textId="77777777" w:rsidR="00BC7DDA" w:rsidRPr="00BD6C5F" w:rsidRDefault="00BC7DDA" w:rsidP="00BB6376">
            <w:pPr>
              <w:pStyle w:val="Tabletext"/>
            </w:pPr>
          </w:p>
        </w:tc>
      </w:tr>
    </w:tbl>
    <w:p w14:paraId="322241B0" w14:textId="77777777" w:rsidR="00BC7DDA" w:rsidRPr="00BD6C5F" w:rsidRDefault="00BC7DDA">
      <w:pPr>
        <w:pStyle w:val="BodyText"/>
        <w:rPr>
          <w:rFonts w:asciiTheme="minorHAnsi" w:hAnsiTheme="minorHAnsi" w:cstheme="minorHAnsi"/>
          <w:iCs/>
        </w:rPr>
      </w:pPr>
    </w:p>
    <w:p w14:paraId="6DDFA333" w14:textId="77777777" w:rsidR="00BC7DDA" w:rsidRPr="00BD6C5F" w:rsidRDefault="009B03E9" w:rsidP="00C73AC9">
      <w:pPr>
        <w:pStyle w:val="AppendixText1"/>
      </w:pPr>
      <w:r w:rsidRPr="00BD6C5F">
        <w:t>Incident Management Process</w:t>
      </w:r>
    </w:p>
    <w:p w14:paraId="3784CC38" w14:textId="758F1C93" w:rsidR="00BC7DDA" w:rsidRPr="00BD6C5F" w:rsidRDefault="00A455B2" w:rsidP="00C73AC9">
      <w:pPr>
        <w:pStyle w:val="AppendixText2"/>
      </w:pPr>
      <w:r w:rsidRPr="00BD6C5F">
        <w:rPr>
          <w:highlight w:val="yellow"/>
        </w:rPr>
        <w:t>[</w:t>
      </w:r>
      <w:r w:rsidR="009B03E9" w:rsidRPr="00BD6C5F">
        <w:rPr>
          <w:highlight w:val="yellow"/>
        </w:rPr>
        <w:t xml:space="preserve">The </w:t>
      </w:r>
      <w:r w:rsidR="00816D2D" w:rsidRPr="00BD6C5F">
        <w:rPr>
          <w:highlight w:val="yellow"/>
        </w:rPr>
        <w:t>S</w:t>
      </w:r>
      <w:r w:rsidR="009B03E9" w:rsidRPr="00BD6C5F">
        <w:rPr>
          <w:highlight w:val="yellow"/>
        </w:rPr>
        <w:t>upplier</w:t>
      </w:r>
      <w:r w:rsidR="00A4555C" w:rsidRPr="00BD6C5F">
        <w:rPr>
          <w:highlight w:val="yellow"/>
        </w:rPr>
        <w:t>’</w:t>
      </w:r>
      <w:r w:rsidR="009B03E9" w:rsidRPr="00BD6C5F">
        <w:rPr>
          <w:highlight w:val="yellow"/>
        </w:rPr>
        <w:t>s process, as agreed with the Authority/Customer, should be included here. It must as a minimum include the protocol for how and when incidents will be reported to the Authority/customer and the process that will be undertaken to mitigate the incidents and investigate the root cause.</w:t>
      </w:r>
      <w:r w:rsidRPr="00BD6C5F">
        <w:rPr>
          <w:highlight w:val="yellow"/>
        </w:rPr>
        <w:t>]</w:t>
      </w:r>
    </w:p>
    <w:p w14:paraId="6FF38254" w14:textId="7D7591AA" w:rsidR="00BC7DDA" w:rsidRPr="00BD6C5F" w:rsidRDefault="009B03E9" w:rsidP="00C73AC9">
      <w:pPr>
        <w:pStyle w:val="AppendixText1"/>
      </w:pPr>
      <w:r w:rsidRPr="00BD6C5F">
        <w:t>Security Requirements for User Organisations</w:t>
      </w:r>
    </w:p>
    <w:p w14:paraId="6BDBC46D" w14:textId="48C7CFBD" w:rsidR="00BC7DDA" w:rsidRPr="00BD6C5F" w:rsidRDefault="00A455B2" w:rsidP="00C73AC9">
      <w:pPr>
        <w:pStyle w:val="AppendixText2"/>
      </w:pPr>
      <w:r w:rsidRPr="00BD6C5F">
        <w:rPr>
          <w:highlight w:val="yellow"/>
        </w:rPr>
        <w:t>[</w:t>
      </w:r>
      <w:r w:rsidR="009B03E9" w:rsidRPr="00BD6C5F">
        <w:rPr>
          <w:highlight w:val="yellow"/>
        </w:rPr>
        <w:t>Any security requirements for connecting organisations or departments should be included or referenced here.</w:t>
      </w:r>
      <w:r w:rsidRPr="00BD6C5F">
        <w:rPr>
          <w:highlight w:val="yellow"/>
        </w:rPr>
        <w:t>]</w:t>
      </w:r>
    </w:p>
    <w:p w14:paraId="690B89CC" w14:textId="77777777" w:rsidR="00BC7DDA" w:rsidRPr="00BD6C5F" w:rsidRDefault="009B03E9" w:rsidP="00C73AC9">
      <w:pPr>
        <w:pStyle w:val="AppendixText1"/>
      </w:pPr>
      <w:r w:rsidRPr="00BD6C5F">
        <w:t>Required Changes Register</w:t>
      </w:r>
    </w:p>
    <w:p w14:paraId="7AB24F37" w14:textId="5E44081F" w:rsidR="00BC7DDA" w:rsidRPr="00BD6C5F" w:rsidRDefault="00A455B2" w:rsidP="00C73AC9">
      <w:pPr>
        <w:pStyle w:val="AppendixText2"/>
      </w:pPr>
      <w:r w:rsidRPr="00BD6C5F">
        <w:rPr>
          <w:highlight w:val="yellow"/>
        </w:rPr>
        <w:t>[</w:t>
      </w:r>
      <w:r w:rsidR="009B03E9" w:rsidRPr="00BD6C5F">
        <w:rPr>
          <w:highlight w:val="yellow"/>
        </w:rPr>
        <w:t>The table below shows the headings for the Required Changes Register which should be maintained and used to update the contents of this document at least annually.</w:t>
      </w:r>
      <w:r w:rsidRPr="00BD6C5F">
        <w:rPr>
          <w:highlight w:val="yellow"/>
        </w:rPr>
        <w:t>]</w:t>
      </w:r>
    </w:p>
    <w:tbl>
      <w:tblPr>
        <w:tblStyle w:val="MSATable-header"/>
        <w:tblW w:w="0" w:type="auto"/>
        <w:tblInd w:w="720" w:type="dxa"/>
        <w:tblLayout w:type="fixed"/>
        <w:tblLook w:val="0620" w:firstRow="1" w:lastRow="0" w:firstColumn="0" w:lastColumn="0" w:noHBand="1" w:noVBand="1"/>
      </w:tblPr>
      <w:tblGrid>
        <w:gridCol w:w="680"/>
        <w:gridCol w:w="1134"/>
        <w:gridCol w:w="1814"/>
        <w:gridCol w:w="1247"/>
        <w:gridCol w:w="1474"/>
        <w:gridCol w:w="1928"/>
        <w:gridCol w:w="1134"/>
      </w:tblGrid>
      <w:tr w:rsidR="00BC7DDA" w:rsidRPr="00BD6C5F" w14:paraId="7CDF8D3D" w14:textId="77777777" w:rsidTr="00BB6376">
        <w:trPr>
          <w:cnfStyle w:val="100000000000" w:firstRow="1" w:lastRow="0" w:firstColumn="0" w:lastColumn="0" w:oddVBand="0" w:evenVBand="0" w:oddHBand="0" w:evenHBand="0" w:firstRowFirstColumn="0" w:firstRowLastColumn="0" w:lastRowFirstColumn="0" w:lastRowLastColumn="0"/>
          <w:trHeight w:val="20"/>
        </w:trPr>
        <w:tc>
          <w:tcPr>
            <w:tcW w:w="680" w:type="dxa"/>
          </w:tcPr>
          <w:p w14:paraId="054C7EA6" w14:textId="77777777" w:rsidR="00BC7DDA" w:rsidRPr="00BD6C5F" w:rsidRDefault="009B03E9" w:rsidP="00BB6376">
            <w:pPr>
              <w:pStyle w:val="Tabletext"/>
            </w:pPr>
            <w:r w:rsidRPr="00BD6C5F">
              <w:t>Ref</w:t>
            </w:r>
          </w:p>
        </w:tc>
        <w:tc>
          <w:tcPr>
            <w:tcW w:w="1134" w:type="dxa"/>
          </w:tcPr>
          <w:p w14:paraId="62A35A01" w14:textId="77777777" w:rsidR="00BC7DDA" w:rsidRPr="00BD6C5F" w:rsidRDefault="009B03E9" w:rsidP="00BB6376">
            <w:pPr>
              <w:pStyle w:val="Tabletext"/>
            </w:pPr>
            <w:r w:rsidRPr="00BD6C5F">
              <w:t>Section</w:t>
            </w:r>
          </w:p>
        </w:tc>
        <w:tc>
          <w:tcPr>
            <w:tcW w:w="1814" w:type="dxa"/>
          </w:tcPr>
          <w:p w14:paraId="2FC0BEF1" w14:textId="77777777" w:rsidR="00BC7DDA" w:rsidRPr="00BD6C5F" w:rsidRDefault="009B03E9" w:rsidP="00BB6376">
            <w:pPr>
              <w:pStyle w:val="Tabletext"/>
            </w:pPr>
            <w:r w:rsidRPr="00BD6C5F">
              <w:t>Change</w:t>
            </w:r>
          </w:p>
        </w:tc>
        <w:tc>
          <w:tcPr>
            <w:tcW w:w="1247" w:type="dxa"/>
          </w:tcPr>
          <w:p w14:paraId="1069F095" w14:textId="77777777" w:rsidR="00BC7DDA" w:rsidRPr="00BD6C5F" w:rsidRDefault="009B03E9" w:rsidP="00BB6376">
            <w:pPr>
              <w:pStyle w:val="Tabletext"/>
            </w:pPr>
            <w:r w:rsidRPr="00BD6C5F">
              <w:t>Agreed With</w:t>
            </w:r>
          </w:p>
        </w:tc>
        <w:tc>
          <w:tcPr>
            <w:tcW w:w="1474" w:type="dxa"/>
          </w:tcPr>
          <w:p w14:paraId="4B3F2D1D" w14:textId="77777777" w:rsidR="00BC7DDA" w:rsidRPr="00BD6C5F" w:rsidRDefault="009B03E9" w:rsidP="00BB6376">
            <w:pPr>
              <w:pStyle w:val="Tabletext"/>
            </w:pPr>
            <w:r w:rsidRPr="00BD6C5F">
              <w:t>Date agreed</w:t>
            </w:r>
          </w:p>
        </w:tc>
        <w:tc>
          <w:tcPr>
            <w:tcW w:w="1928" w:type="dxa"/>
          </w:tcPr>
          <w:p w14:paraId="51B29916" w14:textId="77777777" w:rsidR="00BC7DDA" w:rsidRPr="00BD6C5F" w:rsidRDefault="009B03E9" w:rsidP="00BB6376">
            <w:pPr>
              <w:pStyle w:val="Tabletext"/>
            </w:pPr>
            <w:r w:rsidRPr="00BD6C5F">
              <w:t>Documentation update</w:t>
            </w:r>
          </w:p>
        </w:tc>
        <w:tc>
          <w:tcPr>
            <w:tcW w:w="1134" w:type="dxa"/>
          </w:tcPr>
          <w:p w14:paraId="4BA7BBE1" w14:textId="77777777" w:rsidR="00BC7DDA" w:rsidRPr="00BD6C5F" w:rsidRDefault="009B03E9" w:rsidP="00BB6376">
            <w:pPr>
              <w:pStyle w:val="Tabletext"/>
            </w:pPr>
            <w:r w:rsidRPr="00BD6C5F">
              <w:t>Status</w:t>
            </w:r>
          </w:p>
        </w:tc>
      </w:tr>
      <w:tr w:rsidR="00BC7DDA" w:rsidRPr="00BD6C5F" w14:paraId="2F02CC5D" w14:textId="77777777" w:rsidTr="00BB6376">
        <w:trPr>
          <w:trHeight w:val="20"/>
        </w:trPr>
        <w:tc>
          <w:tcPr>
            <w:tcW w:w="680" w:type="dxa"/>
          </w:tcPr>
          <w:p w14:paraId="273A4995" w14:textId="77777777" w:rsidR="00BC7DDA" w:rsidRPr="00BD6C5F" w:rsidRDefault="009B03E9" w:rsidP="00BB6376">
            <w:pPr>
              <w:pStyle w:val="Tabletext"/>
            </w:pPr>
            <w:r w:rsidRPr="00BD6C5F">
              <w:rPr>
                <w:w w:val="99"/>
              </w:rPr>
              <w:t>1</w:t>
            </w:r>
          </w:p>
        </w:tc>
        <w:tc>
          <w:tcPr>
            <w:tcW w:w="1134" w:type="dxa"/>
          </w:tcPr>
          <w:p w14:paraId="0225ACAE" w14:textId="77777777" w:rsidR="00BC7DDA" w:rsidRPr="00BD6C5F" w:rsidRDefault="009B03E9" w:rsidP="00BB6376">
            <w:pPr>
              <w:pStyle w:val="Tabletext"/>
            </w:pPr>
            <w:r w:rsidRPr="00BD6C5F">
              <w:t>6.4</w:t>
            </w:r>
          </w:p>
        </w:tc>
        <w:tc>
          <w:tcPr>
            <w:tcW w:w="1814" w:type="dxa"/>
          </w:tcPr>
          <w:p w14:paraId="7A5E30A0" w14:textId="77777777" w:rsidR="00BC7DDA" w:rsidRPr="00BD6C5F" w:rsidRDefault="009B03E9" w:rsidP="00BB6376">
            <w:pPr>
              <w:pStyle w:val="Tabletext"/>
            </w:pPr>
            <w:r w:rsidRPr="00BD6C5F">
              <w:t>A new Third Party supplier XXXX will be performing the</w:t>
            </w:r>
          </w:p>
          <w:p w14:paraId="0A7C6AC8" w14:textId="77777777" w:rsidR="00BC7DDA" w:rsidRPr="00BD6C5F" w:rsidRDefault="009B03E9" w:rsidP="00BB6376">
            <w:pPr>
              <w:pStyle w:val="Tabletext"/>
            </w:pPr>
            <w:r w:rsidRPr="00BD6C5F">
              <w:t>print capability.</w:t>
            </w:r>
          </w:p>
        </w:tc>
        <w:tc>
          <w:tcPr>
            <w:tcW w:w="1247" w:type="dxa"/>
          </w:tcPr>
          <w:p w14:paraId="6219406A" w14:textId="77777777" w:rsidR="00BC7DDA" w:rsidRPr="00BD6C5F" w:rsidRDefault="009B03E9" w:rsidP="00BB6376">
            <w:pPr>
              <w:pStyle w:val="Tabletext"/>
            </w:pPr>
            <w:r w:rsidRPr="00BD6C5F">
              <w:t>Authority name</w:t>
            </w:r>
          </w:p>
        </w:tc>
        <w:tc>
          <w:tcPr>
            <w:tcW w:w="1474" w:type="dxa"/>
          </w:tcPr>
          <w:p w14:paraId="7DC90077" w14:textId="77777777" w:rsidR="00BC7DDA" w:rsidRPr="00BD6C5F" w:rsidRDefault="009B03E9" w:rsidP="00BB6376">
            <w:pPr>
              <w:pStyle w:val="Tabletext"/>
            </w:pPr>
            <w:r w:rsidRPr="00BD6C5F">
              <w:t>11/11/2018</w:t>
            </w:r>
          </w:p>
        </w:tc>
        <w:tc>
          <w:tcPr>
            <w:tcW w:w="1928" w:type="dxa"/>
          </w:tcPr>
          <w:p w14:paraId="2323CCE5" w14:textId="77777777" w:rsidR="00BC7DDA" w:rsidRPr="00BD6C5F" w:rsidRDefault="009B03E9" w:rsidP="00BB6376">
            <w:pPr>
              <w:pStyle w:val="Tabletext"/>
            </w:pPr>
            <w:r w:rsidRPr="00BD6C5F">
              <w:t>Jul-2019</w:t>
            </w:r>
          </w:p>
        </w:tc>
        <w:tc>
          <w:tcPr>
            <w:tcW w:w="1134" w:type="dxa"/>
          </w:tcPr>
          <w:p w14:paraId="2F7823D1" w14:textId="77777777" w:rsidR="00BC7DDA" w:rsidRPr="00BD6C5F" w:rsidRDefault="009B03E9" w:rsidP="00BB6376">
            <w:pPr>
              <w:pStyle w:val="Tabletext"/>
            </w:pPr>
            <w:r w:rsidRPr="00BD6C5F">
              <w:t>Open</w:t>
            </w:r>
          </w:p>
        </w:tc>
      </w:tr>
    </w:tbl>
    <w:p w14:paraId="1966D18C" w14:textId="77777777" w:rsidR="00BC7DDA" w:rsidRPr="00BD6C5F" w:rsidRDefault="00BC7DDA">
      <w:pPr>
        <w:pStyle w:val="BodyText"/>
        <w:rPr>
          <w:rFonts w:asciiTheme="minorHAnsi" w:hAnsiTheme="minorHAnsi" w:cstheme="minorHAnsi"/>
          <w:iCs/>
        </w:rPr>
      </w:pPr>
    </w:p>
    <w:p w14:paraId="6A893E9F" w14:textId="49BD3368" w:rsidR="00D24B35" w:rsidRPr="00BD6C5F" w:rsidRDefault="00D24B35" w:rsidP="00C73AC9">
      <w:pPr>
        <w:pStyle w:val="AppendixText1"/>
      </w:pPr>
      <w:r w:rsidRPr="00BD6C5F">
        <w:t>Sub-contractors</w:t>
      </w:r>
    </w:p>
    <w:p w14:paraId="0790C163" w14:textId="38BEBC03" w:rsidR="00BC7DDA" w:rsidRPr="00BD6C5F" w:rsidRDefault="00A455B2" w:rsidP="00C73AC9">
      <w:pPr>
        <w:pStyle w:val="AppendixText2"/>
      </w:pPr>
      <w:r w:rsidRPr="00BD6C5F">
        <w:rPr>
          <w:highlight w:val="yellow"/>
        </w:rPr>
        <w:t>[</w:t>
      </w:r>
      <w:r w:rsidR="00D24B35" w:rsidRPr="00BD6C5F">
        <w:rPr>
          <w:highlight w:val="yellow"/>
        </w:rPr>
        <w:t>This should include a table which shows for each Sub-contractor their name, the function that they are performing, the data and data volume being processed, the location, and their certification status</w:t>
      </w:r>
      <w:r w:rsidRPr="00BD6C5F">
        <w:rPr>
          <w:highlight w:val="yellow"/>
        </w:rPr>
        <w:t>]</w:t>
      </w:r>
    </w:p>
    <w:p w14:paraId="5757AF6E" w14:textId="7EC93B27" w:rsidR="00BC7DDA" w:rsidRPr="00BD6C5F" w:rsidRDefault="009B03E9" w:rsidP="00C73AC9">
      <w:pPr>
        <w:pStyle w:val="AppendixText1"/>
      </w:pPr>
      <w:r w:rsidRPr="00BD6C5F">
        <w:t>Annex A. ISO</w:t>
      </w:r>
      <w:r w:rsidR="00FC06EE" w:rsidRPr="00BD6C5F">
        <w:t xml:space="preserve">/IEC </w:t>
      </w:r>
      <w:r w:rsidRPr="00BD6C5F">
        <w:t>27001</w:t>
      </w:r>
      <w:r w:rsidR="00FC06EE" w:rsidRPr="00BD6C5F">
        <w:t xml:space="preserve"> (at least ISO/IEC 27001:2013)</w:t>
      </w:r>
      <w:r w:rsidRPr="00BD6C5F">
        <w:t xml:space="preserve"> and/or Cyber Essential Plus certificates</w:t>
      </w:r>
    </w:p>
    <w:p w14:paraId="59F1FF34" w14:textId="30F63D4D" w:rsidR="00BC7DDA" w:rsidRPr="00BD6C5F" w:rsidRDefault="00A455B2" w:rsidP="00C73AC9">
      <w:pPr>
        <w:pStyle w:val="AppendixText2"/>
      </w:pPr>
      <w:r w:rsidRPr="00BD6C5F">
        <w:rPr>
          <w:highlight w:val="yellow"/>
        </w:rPr>
        <w:t>[</w:t>
      </w:r>
      <w:r w:rsidR="009B03E9" w:rsidRPr="00BD6C5F">
        <w:rPr>
          <w:highlight w:val="yellow"/>
        </w:rPr>
        <w:t>Any certifications relied upon should have their certificates included</w:t>
      </w:r>
      <w:r w:rsidRPr="00BD6C5F">
        <w:rPr>
          <w:highlight w:val="yellow"/>
        </w:rPr>
        <w:t>]</w:t>
      </w:r>
    </w:p>
    <w:p w14:paraId="33D84B7A" w14:textId="77777777" w:rsidR="00BC7DDA" w:rsidRPr="00BD6C5F" w:rsidRDefault="009B03E9" w:rsidP="00C73AC9">
      <w:pPr>
        <w:pStyle w:val="AppendixText1"/>
      </w:pPr>
      <w:r w:rsidRPr="00BD6C5F">
        <w:lastRenderedPageBreak/>
        <w:t>Annex B. Cloud Security Principles assessment</w:t>
      </w:r>
    </w:p>
    <w:p w14:paraId="0BD45C25" w14:textId="670AB114" w:rsidR="00BC7DDA" w:rsidRPr="00BD6C5F" w:rsidRDefault="00A455B2" w:rsidP="00C73AC9">
      <w:pPr>
        <w:pStyle w:val="AppendixText2"/>
      </w:pPr>
      <w:r w:rsidRPr="00BD6C5F">
        <w:rPr>
          <w:highlight w:val="yellow"/>
        </w:rPr>
        <w:t>[</w:t>
      </w:r>
      <w:r w:rsidR="009B03E9" w:rsidRPr="00BD6C5F">
        <w:rPr>
          <w:highlight w:val="yellow"/>
        </w:rPr>
        <w:t>A spreadsheet may be attached</w:t>
      </w:r>
      <w:r w:rsidRPr="00BD6C5F">
        <w:rPr>
          <w:highlight w:val="yellow"/>
        </w:rPr>
        <w:t>]</w:t>
      </w:r>
    </w:p>
    <w:p w14:paraId="6CDF9C3B" w14:textId="77777777" w:rsidR="00BC7DDA" w:rsidRPr="00BD6C5F" w:rsidRDefault="009B03E9" w:rsidP="00C73AC9">
      <w:pPr>
        <w:pStyle w:val="AppendixText1"/>
      </w:pPr>
      <w:r w:rsidRPr="00BD6C5F">
        <w:t>Annex C. Protecting Bulk Data assessment if required by the Authority/Customer</w:t>
      </w:r>
    </w:p>
    <w:p w14:paraId="59796464" w14:textId="0236109F" w:rsidR="00BC7DDA" w:rsidRPr="00BD6C5F" w:rsidRDefault="00A455B2" w:rsidP="00C73AC9">
      <w:pPr>
        <w:pStyle w:val="AppendixText2"/>
      </w:pPr>
      <w:r w:rsidRPr="00BD6C5F">
        <w:rPr>
          <w:highlight w:val="yellow"/>
        </w:rPr>
        <w:t>[</w:t>
      </w:r>
      <w:r w:rsidR="009B03E9" w:rsidRPr="00BD6C5F">
        <w:rPr>
          <w:highlight w:val="yellow"/>
        </w:rPr>
        <w:t>A spreadsheet may be attached</w:t>
      </w:r>
      <w:r w:rsidRPr="00BD6C5F">
        <w:rPr>
          <w:highlight w:val="yellow"/>
        </w:rPr>
        <w:t>]</w:t>
      </w:r>
    </w:p>
    <w:p w14:paraId="210D2BF8" w14:textId="2813D901" w:rsidR="00BC7DDA" w:rsidRPr="00BD6C5F" w:rsidRDefault="009B03E9" w:rsidP="00C73AC9">
      <w:pPr>
        <w:pStyle w:val="AppendixText1"/>
      </w:pPr>
      <w:r w:rsidRPr="00BD6C5F">
        <w:t xml:space="preserve">Annex </w:t>
      </w:r>
      <w:r w:rsidR="00FC06EE" w:rsidRPr="00BD6C5F">
        <w:t>D</w:t>
      </w:r>
      <w:r w:rsidRPr="00BD6C5F">
        <w:t xml:space="preserve">. Latest ITHC report and </w:t>
      </w:r>
      <w:r w:rsidR="00FC06EE" w:rsidRPr="00BD6C5F">
        <w:t>Remediation Action</w:t>
      </w:r>
      <w:r w:rsidR="006F71A8" w:rsidRPr="00BD6C5F">
        <w:t xml:space="preserve"> </w:t>
      </w:r>
      <w:r w:rsidRPr="00BD6C5F">
        <w:t>Plan</w:t>
      </w:r>
    </w:p>
    <w:p w14:paraId="7FA94229" w14:textId="77777777" w:rsidR="00A30EFE" w:rsidRPr="00BD6C5F" w:rsidRDefault="00A30EFE" w:rsidP="00656ED9">
      <w:bookmarkStart w:id="256" w:name="_bookmark84"/>
      <w:bookmarkEnd w:id="256"/>
    </w:p>
    <w:p w14:paraId="46056AC4" w14:textId="75169D9B" w:rsidR="00F92E76" w:rsidRPr="00BD6C5F" w:rsidRDefault="00F92E76">
      <w:pPr>
        <w:rPr>
          <w:rFonts w:asciiTheme="minorHAnsi" w:hAnsiTheme="minorHAnsi" w:cstheme="minorHAnsi"/>
          <w:b/>
          <w:szCs w:val="24"/>
        </w:rPr>
      </w:pPr>
      <w:r w:rsidRPr="00BD6C5F">
        <w:rPr>
          <w:rFonts w:asciiTheme="minorHAnsi" w:hAnsiTheme="minorHAnsi" w:cstheme="minorHAnsi"/>
          <w:b/>
          <w:szCs w:val="24"/>
        </w:rPr>
        <w:br w:type="page"/>
      </w:r>
    </w:p>
    <w:p w14:paraId="24FB5503" w14:textId="3A8AEFF4" w:rsidR="00BC7DDA" w:rsidRPr="00BD6C5F" w:rsidRDefault="007B7076" w:rsidP="00BB6376">
      <w:pPr>
        <w:pStyle w:val="Heading2"/>
      </w:pPr>
      <w:bookmarkStart w:id="257" w:name="_Toc98332714"/>
      <w:bookmarkStart w:id="258" w:name="_Ref98355148"/>
      <w:bookmarkStart w:id="259" w:name="_Ref98358148"/>
      <w:bookmarkStart w:id="260" w:name="_Ref98451065"/>
      <w:bookmarkStart w:id="261" w:name="_Toc98852891"/>
      <w:bookmarkStart w:id="262" w:name="_Toc141720984"/>
      <w:r w:rsidRPr="00BD6C5F">
        <w:lastRenderedPageBreak/>
        <w:t xml:space="preserve">Part </w:t>
      </w:r>
      <w:bookmarkStart w:id="263" w:name="Schedule_5_Part_B"/>
      <w:r w:rsidRPr="00BD6C5F">
        <w:t>B</w:t>
      </w:r>
      <w:bookmarkEnd w:id="263"/>
      <w:r w:rsidRPr="00BD6C5F">
        <w:t>: Security Accreditation</w:t>
      </w:r>
      <w:bookmarkEnd w:id="257"/>
      <w:bookmarkEnd w:id="258"/>
      <w:bookmarkEnd w:id="259"/>
      <w:bookmarkEnd w:id="260"/>
      <w:bookmarkEnd w:id="261"/>
      <w:bookmarkEnd w:id="262"/>
    </w:p>
    <w:p w14:paraId="58F92B4E" w14:textId="77777777" w:rsidR="00BC7DDA" w:rsidRPr="00BD6C5F" w:rsidRDefault="009B03E9" w:rsidP="00B71FC0">
      <w:pPr>
        <w:pStyle w:val="Numbered1"/>
        <w:numPr>
          <w:ilvl w:val="0"/>
          <w:numId w:val="84"/>
        </w:numPr>
      </w:pPr>
      <w:r w:rsidRPr="00BD6C5F">
        <w:t>Definitions</w:t>
      </w:r>
    </w:p>
    <w:p w14:paraId="7F53D890" w14:textId="77777777" w:rsidR="00BC7DDA" w:rsidRPr="00BD6C5F" w:rsidRDefault="009B03E9" w:rsidP="00247692">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709008F8" w14:textId="77777777" w:rsidTr="00845F35">
        <w:tc>
          <w:tcPr>
            <w:tcW w:w="3572" w:type="dxa"/>
          </w:tcPr>
          <w:p w14:paraId="22001E2A" w14:textId="5660950D"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Accreditation</w:t>
            </w:r>
            <w:r w:rsidRPr="00BD6C5F">
              <w:rPr>
                <w:rFonts w:asciiTheme="minorHAnsi" w:hAnsiTheme="minorHAnsi" w:cstheme="minorHAnsi"/>
                <w:b/>
              </w:rPr>
              <w:t>”</w:t>
            </w:r>
          </w:p>
        </w:tc>
        <w:tc>
          <w:tcPr>
            <w:tcW w:w="5953" w:type="dxa"/>
          </w:tcPr>
          <w:p w14:paraId="7991FC7C" w14:textId="3C18268F" w:rsidR="00BC7DDA" w:rsidRPr="00BD6C5F" w:rsidRDefault="009B03E9" w:rsidP="00046EAD">
            <w:pPr>
              <w:pStyle w:val="Tabletext"/>
            </w:pPr>
            <w:r w:rsidRPr="00BD6C5F">
              <w:t xml:space="preserve">means the assessment of the Core Information Management System in accordance with Paragraph </w:t>
            </w:r>
            <w:r w:rsidR="004E7151" w:rsidRPr="00BD6C5F">
              <w:fldChar w:fldCharType="begin"/>
            </w:r>
            <w:r w:rsidR="004E7151" w:rsidRPr="00BD6C5F">
              <w:instrText xml:space="preserve"> REF _Ref98359275 \n \h </w:instrText>
            </w:r>
            <w:r w:rsidR="00AD7DD0" w:rsidRPr="00BD6C5F">
              <w:instrText xml:space="preserve"> \* MERGEFORMAT </w:instrText>
            </w:r>
            <w:r w:rsidR="004E7151" w:rsidRPr="00BD6C5F">
              <w:fldChar w:fldCharType="separate"/>
            </w:r>
            <w:r w:rsidR="009749A0">
              <w:t>6</w:t>
            </w:r>
            <w:r w:rsidR="004E7151" w:rsidRPr="00BD6C5F">
              <w:fldChar w:fldCharType="end"/>
            </w:r>
            <w:r w:rsidRPr="00BD6C5F">
              <w:t xml:space="preserve"> by the Authority or an independent information risk manager/professional appointed by the Authority, which results in an Accreditation Decision;</w:t>
            </w:r>
          </w:p>
        </w:tc>
      </w:tr>
      <w:tr w:rsidR="00BC7DDA" w:rsidRPr="00BD6C5F" w14:paraId="4C6BA9EA" w14:textId="77777777" w:rsidTr="00845F35">
        <w:tc>
          <w:tcPr>
            <w:tcW w:w="3572" w:type="dxa"/>
          </w:tcPr>
          <w:p w14:paraId="60B50FE6" w14:textId="5F3A58FF"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Accreditation Decision</w:t>
            </w:r>
            <w:r w:rsidRPr="00BD6C5F">
              <w:rPr>
                <w:rFonts w:asciiTheme="minorHAnsi" w:hAnsiTheme="minorHAnsi" w:cstheme="minorHAnsi"/>
                <w:b/>
              </w:rPr>
              <w:t>”</w:t>
            </w:r>
          </w:p>
        </w:tc>
        <w:tc>
          <w:tcPr>
            <w:tcW w:w="5953" w:type="dxa"/>
          </w:tcPr>
          <w:p w14:paraId="1D2FC37F" w14:textId="6AD6506C" w:rsidR="00BC7DDA" w:rsidRPr="00BD6C5F" w:rsidRDefault="009B03E9" w:rsidP="00046EAD">
            <w:pPr>
              <w:pStyle w:val="Tabletext"/>
            </w:pPr>
            <w:r w:rsidRPr="00BD6C5F">
              <w:t>means is the decision of the Authority, taken in accordance with the process set out in Paragraph</w:t>
            </w:r>
            <w:r w:rsidR="004E7151" w:rsidRPr="00BD6C5F">
              <w:t> </w:t>
            </w:r>
            <w:r w:rsidR="004E7151" w:rsidRPr="00BD6C5F">
              <w:fldChar w:fldCharType="begin"/>
            </w:r>
            <w:r w:rsidR="004E7151" w:rsidRPr="00BD6C5F">
              <w:instrText xml:space="preserve"> REF _Ref98359275 \n \h </w:instrText>
            </w:r>
            <w:r w:rsidR="00AD7DD0" w:rsidRPr="00BD6C5F">
              <w:instrText xml:space="preserve"> \* MERGEFORMAT </w:instrText>
            </w:r>
            <w:r w:rsidR="004E7151" w:rsidRPr="00BD6C5F">
              <w:fldChar w:fldCharType="separate"/>
            </w:r>
            <w:r w:rsidR="009749A0">
              <w:t>6</w:t>
            </w:r>
            <w:r w:rsidR="004E7151" w:rsidRPr="00BD6C5F">
              <w:fldChar w:fldCharType="end"/>
            </w:r>
            <w:r w:rsidRPr="00BD6C5F">
              <w:t xml:space="preserve">, to issue the Supplier with a </w:t>
            </w:r>
            <w:r w:rsidR="00B04A4D" w:rsidRPr="00BD6C5F">
              <w:t xml:space="preserve">Residual </w:t>
            </w:r>
            <w:r w:rsidRPr="00BD6C5F">
              <w:t>Risk Statement or a Risk Management Rejection Notice in respect of the Core Information Management System;</w:t>
            </w:r>
          </w:p>
        </w:tc>
      </w:tr>
      <w:tr w:rsidR="00BC7DDA" w:rsidRPr="00BD6C5F" w14:paraId="13EE2FBB" w14:textId="77777777" w:rsidTr="00845F35">
        <w:tc>
          <w:tcPr>
            <w:tcW w:w="3572" w:type="dxa"/>
          </w:tcPr>
          <w:p w14:paraId="59625A7C" w14:textId="1525B034"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Accreditation Plan</w:t>
            </w:r>
          </w:p>
        </w:tc>
        <w:tc>
          <w:tcPr>
            <w:tcW w:w="5953" w:type="dxa"/>
          </w:tcPr>
          <w:p w14:paraId="2D363724" w14:textId="7A7FD543"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means the Supplier</w:t>
            </w:r>
            <w:r w:rsidR="00A4555C" w:rsidRPr="00BD6C5F">
              <w:rPr>
                <w:rFonts w:asciiTheme="minorHAnsi" w:hAnsiTheme="minorHAnsi" w:cstheme="minorHAnsi"/>
              </w:rPr>
              <w:t>’</w:t>
            </w:r>
            <w:r w:rsidRPr="00BD6C5F">
              <w:rPr>
                <w:rFonts w:asciiTheme="minorHAnsi" w:hAnsiTheme="minorHAnsi" w:cstheme="minorHAnsi"/>
              </w:rPr>
              <w:t>s plan to attain a</w:t>
            </w:r>
            <w:r w:rsidR="00B04A4D" w:rsidRPr="00BD6C5F">
              <w:rPr>
                <w:rFonts w:asciiTheme="minorHAnsi" w:hAnsiTheme="minorHAnsi" w:cstheme="minorHAnsi"/>
              </w:rPr>
              <w:t xml:space="preserve"> Residual</w:t>
            </w:r>
            <w:r w:rsidRPr="00BD6C5F">
              <w:rPr>
                <w:rFonts w:asciiTheme="minorHAnsi" w:hAnsiTheme="minorHAnsi" w:cstheme="minorHAnsi"/>
              </w:rPr>
              <w:t xml:space="preserve"> Risk Statement from the Authority, which is prepared by the Supplier and approved by the Authority in accordance with Paragraph </w:t>
            </w:r>
            <w:r w:rsidR="004E7151" w:rsidRPr="00BD6C5F">
              <w:rPr>
                <w:rFonts w:asciiTheme="minorHAnsi" w:hAnsiTheme="minorHAnsi" w:cstheme="minorHAnsi"/>
              </w:rPr>
              <w:fldChar w:fldCharType="begin"/>
            </w:r>
            <w:r w:rsidR="004E7151" w:rsidRPr="00BD6C5F">
              <w:rPr>
                <w:rFonts w:asciiTheme="minorHAnsi" w:hAnsiTheme="minorHAnsi" w:cstheme="minorHAnsi"/>
              </w:rPr>
              <w:instrText xml:space="preserve"> REF _Ref98359300 \n \h </w:instrText>
            </w:r>
            <w:r w:rsidR="00AD7DD0" w:rsidRPr="00BD6C5F">
              <w:rPr>
                <w:rFonts w:asciiTheme="minorHAnsi" w:hAnsiTheme="minorHAnsi" w:cstheme="minorHAnsi"/>
              </w:rPr>
              <w:instrText xml:space="preserve"> \* MERGEFORMAT </w:instrText>
            </w:r>
            <w:r w:rsidR="004E7151" w:rsidRPr="00BD6C5F">
              <w:rPr>
                <w:rFonts w:asciiTheme="minorHAnsi" w:hAnsiTheme="minorHAnsi" w:cstheme="minorHAnsi"/>
              </w:rPr>
            </w:r>
            <w:r w:rsidR="004E7151" w:rsidRPr="00BD6C5F">
              <w:rPr>
                <w:rFonts w:asciiTheme="minorHAnsi" w:hAnsiTheme="minorHAnsi" w:cstheme="minorHAnsi"/>
              </w:rPr>
              <w:fldChar w:fldCharType="separate"/>
            </w:r>
            <w:r w:rsidR="009749A0">
              <w:rPr>
                <w:rFonts w:asciiTheme="minorHAnsi" w:hAnsiTheme="minorHAnsi" w:cstheme="minorHAnsi"/>
              </w:rPr>
              <w:t>6.6</w:t>
            </w:r>
            <w:r w:rsidR="004E715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573A599D" w14:textId="77777777" w:rsidTr="00845F35">
        <w:tc>
          <w:tcPr>
            <w:tcW w:w="3572" w:type="dxa"/>
          </w:tcPr>
          <w:p w14:paraId="33A9CFA2" w14:textId="06A504EF"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Anti-Malicious Software</w:t>
            </w:r>
            <w:r w:rsidRPr="00BD6C5F">
              <w:rPr>
                <w:rFonts w:asciiTheme="minorHAnsi" w:hAnsiTheme="minorHAnsi" w:cstheme="minorHAnsi"/>
                <w:b/>
              </w:rPr>
              <w:t>”</w:t>
            </w:r>
          </w:p>
        </w:tc>
        <w:tc>
          <w:tcPr>
            <w:tcW w:w="5953" w:type="dxa"/>
          </w:tcPr>
          <w:p w14:paraId="148F4442"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software that scans for and identifies possible Malicious </w:t>
            </w:r>
            <w:r w:rsidRPr="00BD6C5F">
              <w:t>Software</w:t>
            </w:r>
            <w:r w:rsidRPr="00BD6C5F">
              <w:rPr>
                <w:rFonts w:asciiTheme="minorHAnsi" w:hAnsiTheme="minorHAnsi" w:cstheme="minorHAnsi"/>
              </w:rPr>
              <w:t xml:space="preserve"> in the IT Environment;</w:t>
            </w:r>
          </w:p>
        </w:tc>
      </w:tr>
      <w:tr w:rsidR="00046EAD" w:rsidRPr="00BD6C5F" w14:paraId="1601242D" w14:textId="77777777" w:rsidTr="00845F35">
        <w:trPr>
          <w:trHeight w:val="5520"/>
        </w:trPr>
        <w:tc>
          <w:tcPr>
            <w:tcW w:w="3572" w:type="dxa"/>
          </w:tcPr>
          <w:p w14:paraId="748CBA5E" w14:textId="20986B48" w:rsidR="00046EAD" w:rsidRPr="00BD6C5F" w:rsidRDefault="00046EAD" w:rsidP="00046EAD">
            <w:pPr>
              <w:pStyle w:val="Tabletext"/>
              <w:rPr>
                <w:rFonts w:asciiTheme="minorHAnsi" w:hAnsiTheme="minorHAnsi" w:cstheme="minorHAnsi"/>
                <w:b/>
              </w:rPr>
            </w:pPr>
            <w:r w:rsidRPr="00BD6C5F">
              <w:rPr>
                <w:rFonts w:asciiTheme="minorHAnsi" w:hAnsiTheme="minorHAnsi" w:cstheme="minorHAnsi"/>
                <w:b/>
              </w:rPr>
              <w:t>“Breach of Security”</w:t>
            </w:r>
          </w:p>
        </w:tc>
        <w:tc>
          <w:tcPr>
            <w:tcW w:w="5953" w:type="dxa"/>
          </w:tcPr>
          <w:p w14:paraId="55D69C49" w14:textId="77777777" w:rsidR="00046EAD" w:rsidRPr="00BD6C5F" w:rsidRDefault="00046EAD" w:rsidP="00046EAD">
            <w:pPr>
              <w:pStyle w:val="Tabletext"/>
              <w:rPr>
                <w:rFonts w:asciiTheme="minorHAnsi" w:hAnsiTheme="minorHAnsi" w:cstheme="minorHAnsi"/>
              </w:rPr>
            </w:pPr>
            <w:r w:rsidRPr="00BD6C5F">
              <w:rPr>
                <w:rFonts w:asciiTheme="minorHAnsi" w:hAnsiTheme="minorHAnsi" w:cstheme="minorHAnsi"/>
              </w:rPr>
              <w:t>means the occurrence of:</w:t>
            </w:r>
          </w:p>
          <w:p w14:paraId="25368B57" w14:textId="3F16A677" w:rsidR="00046EAD" w:rsidRPr="00BD6C5F" w:rsidRDefault="00046EAD" w:rsidP="00845F35">
            <w:pPr>
              <w:pStyle w:val="Tablea"/>
            </w:pPr>
            <w:r w:rsidRPr="00BD6C5F">
              <w:t xml:space="preserve">any unauthorised access to or use of the Services, the Authority Premises, the Sites, the </w:t>
            </w:r>
            <w:r w:rsidRPr="00845F35">
              <w:t>Supplier</w:t>
            </w:r>
            <w:r w:rsidRPr="00BD6C5F">
              <w:t xml:space="preserve"> System, the Authority System and/or any information or data (including the Confidential Information and the Authority Data) used by the Authority, the Supplier or any Sub-contractor in connection with this Contract;</w:t>
            </w:r>
          </w:p>
          <w:p w14:paraId="1E61102B" w14:textId="77777777" w:rsidR="00046EAD" w:rsidRPr="00BD6C5F" w:rsidRDefault="00046EAD" w:rsidP="003A5D4B">
            <w:pPr>
              <w:pStyle w:val="Tablea"/>
            </w:pPr>
            <w:r w:rsidRPr="00BD6C5F">
              <w:t>the loss (physical or otherwise) and/or unauthorised disclosure of any information or data (including the Confidential Information and the Authority Data), including copies of such information or data, used by the Authority, the Supplier or any Sub-contractor in connection with this Contract; and/or</w:t>
            </w:r>
          </w:p>
          <w:p w14:paraId="0CB60429" w14:textId="77777777" w:rsidR="00046EAD" w:rsidRPr="00BD6C5F" w:rsidRDefault="00046EAD" w:rsidP="003A5D4B">
            <w:pPr>
              <w:pStyle w:val="Tablea"/>
            </w:pPr>
            <w:r w:rsidRPr="00BD6C5F">
              <w:t>any part of the Supplier System ceasing to be compliant with the Certification Requirements,</w:t>
            </w:r>
          </w:p>
          <w:p w14:paraId="7AA1387E" w14:textId="3AC3C21E" w:rsidR="00046EAD" w:rsidRPr="00BD6C5F" w:rsidRDefault="00046EAD" w:rsidP="00046EAD">
            <w:pPr>
              <w:pStyle w:val="Tabletext"/>
            </w:pPr>
            <w:r w:rsidRPr="00BD6C5F">
              <w:rPr>
                <w:rFonts w:asciiTheme="minorHAnsi" w:hAnsiTheme="minorHAnsi" w:cstheme="minorHAnsi"/>
              </w:rPr>
              <w:t xml:space="preserve">in </w:t>
            </w:r>
            <w:r w:rsidRPr="00BD6C5F">
              <w:t>each</w:t>
            </w:r>
            <w:r w:rsidRPr="00BD6C5F">
              <w:rPr>
                <w:rFonts w:asciiTheme="minorHAnsi" w:hAnsiTheme="minorHAnsi" w:cstheme="minorHAnsi"/>
              </w:rPr>
              <w:t xml:space="preserve"> case as more particularly set out in the security requirements in </w:t>
            </w:r>
            <w:r w:rsidR="00484523" w:rsidRPr="00484523">
              <w:rPr>
                <w:rFonts w:asciiTheme="minorHAnsi" w:hAnsiTheme="minorHAnsi" w:cstheme="minorHAnsi"/>
              </w:rPr>
              <w:t>Schedule </w:t>
            </w:r>
            <w:r w:rsidR="00484523" w:rsidRPr="00484523">
              <w:rPr>
                <w:rFonts w:asciiTheme="minorHAnsi" w:hAnsiTheme="minorHAnsi" w:cstheme="minorHAnsi"/>
              </w:rPr>
              <w:fldChar w:fldCharType="begin"/>
            </w:r>
            <w:r w:rsidR="00484523" w:rsidRPr="00484523">
              <w:rPr>
                <w:rFonts w:asciiTheme="minorHAnsi" w:hAnsiTheme="minorHAnsi" w:cstheme="minorHAnsi"/>
              </w:rPr>
              <w:instrText xml:space="preserve"> REF Schedule_2 \h  \* MERGEFORMAT </w:instrText>
            </w:r>
            <w:r w:rsidR="00484523" w:rsidRPr="00484523">
              <w:rPr>
                <w:rFonts w:asciiTheme="minorHAnsi" w:hAnsiTheme="minorHAnsi" w:cstheme="minorHAnsi"/>
              </w:rPr>
            </w:r>
            <w:r w:rsidR="00484523" w:rsidRPr="00484523">
              <w:rPr>
                <w:rFonts w:asciiTheme="minorHAnsi" w:hAnsiTheme="minorHAnsi" w:cstheme="minorHAnsi"/>
              </w:rPr>
              <w:fldChar w:fldCharType="separate"/>
            </w:r>
            <w:r w:rsidR="009749A0">
              <w:t>2</w:t>
            </w:r>
            <w:r w:rsidR="00484523" w:rsidRPr="00484523">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Services Description</w:t>
            </w:r>
            <w:r w:rsidRPr="00BD6C5F">
              <w:rPr>
                <w:rFonts w:asciiTheme="minorHAnsi" w:hAnsiTheme="minorHAnsi" w:cstheme="minorHAnsi"/>
              </w:rPr>
              <w:t>) and the Baseline Security Requirements;</w:t>
            </w:r>
          </w:p>
        </w:tc>
      </w:tr>
      <w:tr w:rsidR="00BC7DDA" w:rsidRPr="00BD6C5F" w14:paraId="0A0BF37C" w14:textId="77777777" w:rsidTr="00845F35">
        <w:tc>
          <w:tcPr>
            <w:tcW w:w="3572" w:type="dxa"/>
          </w:tcPr>
          <w:p w14:paraId="3F5864B7" w14:textId="32D93A6A"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Certification Requirements</w:t>
            </w:r>
            <w:r w:rsidRPr="00BD6C5F">
              <w:rPr>
                <w:rFonts w:asciiTheme="minorHAnsi" w:hAnsiTheme="minorHAnsi" w:cstheme="minorHAnsi"/>
                <w:b/>
              </w:rPr>
              <w:t>”</w:t>
            </w:r>
          </w:p>
        </w:tc>
        <w:tc>
          <w:tcPr>
            <w:tcW w:w="5953" w:type="dxa"/>
          </w:tcPr>
          <w:p w14:paraId="3D1C844B" w14:textId="27687C0A"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requirements set out in Paragraphs </w:t>
            </w:r>
            <w:r w:rsidR="004E7151" w:rsidRPr="00BD6C5F">
              <w:rPr>
                <w:rFonts w:asciiTheme="minorHAnsi" w:hAnsiTheme="minorHAnsi" w:cstheme="minorHAnsi"/>
              </w:rPr>
              <w:fldChar w:fldCharType="begin"/>
            </w:r>
            <w:r w:rsidR="004E7151" w:rsidRPr="00BD6C5F">
              <w:rPr>
                <w:rFonts w:asciiTheme="minorHAnsi" w:hAnsiTheme="minorHAnsi" w:cstheme="minorHAnsi"/>
              </w:rPr>
              <w:instrText xml:space="preserve"> REF _Ref98359316 \n \h </w:instrText>
            </w:r>
            <w:r w:rsidR="00AD7DD0" w:rsidRPr="00BD6C5F">
              <w:rPr>
                <w:rFonts w:asciiTheme="minorHAnsi" w:hAnsiTheme="minorHAnsi" w:cstheme="minorHAnsi"/>
              </w:rPr>
              <w:instrText xml:space="preserve"> \* MERGEFORMAT </w:instrText>
            </w:r>
            <w:r w:rsidR="004E7151" w:rsidRPr="00BD6C5F">
              <w:rPr>
                <w:rFonts w:asciiTheme="minorHAnsi" w:hAnsiTheme="minorHAnsi" w:cstheme="minorHAnsi"/>
              </w:rPr>
            </w:r>
            <w:r w:rsidR="004E7151" w:rsidRPr="00BD6C5F">
              <w:rPr>
                <w:rFonts w:asciiTheme="minorHAnsi" w:hAnsiTheme="minorHAnsi" w:cstheme="minorHAnsi"/>
              </w:rPr>
              <w:fldChar w:fldCharType="separate"/>
            </w:r>
            <w:r w:rsidR="009749A0">
              <w:rPr>
                <w:rFonts w:asciiTheme="minorHAnsi" w:hAnsiTheme="minorHAnsi" w:cstheme="minorHAnsi"/>
              </w:rPr>
              <w:t>7.1</w:t>
            </w:r>
            <w:r w:rsidR="004E7151" w:rsidRPr="00BD6C5F">
              <w:rPr>
                <w:rFonts w:asciiTheme="minorHAnsi" w:hAnsiTheme="minorHAnsi" w:cstheme="minorHAnsi"/>
              </w:rPr>
              <w:fldChar w:fldCharType="end"/>
            </w:r>
            <w:r w:rsidRPr="00BD6C5F">
              <w:rPr>
                <w:rFonts w:asciiTheme="minorHAnsi" w:hAnsiTheme="minorHAnsi" w:cstheme="minorHAnsi"/>
              </w:rPr>
              <w:t xml:space="preserve"> to </w:t>
            </w:r>
            <w:r w:rsidR="00511E01" w:rsidRPr="00BD6C5F">
              <w:rPr>
                <w:rFonts w:asciiTheme="minorHAnsi" w:hAnsiTheme="minorHAnsi" w:cstheme="minorHAnsi"/>
              </w:rPr>
              <w:fldChar w:fldCharType="begin"/>
            </w:r>
            <w:r w:rsidR="00511E01" w:rsidRPr="00BD6C5F">
              <w:rPr>
                <w:rFonts w:asciiTheme="minorHAnsi" w:hAnsiTheme="minorHAnsi" w:cstheme="minorHAnsi"/>
              </w:rPr>
              <w:instrText xml:space="preserve"> REF _Ref98846031 \w \h </w:instrText>
            </w:r>
            <w:r w:rsidR="00AD7DD0" w:rsidRPr="00BD6C5F">
              <w:rPr>
                <w:rFonts w:asciiTheme="minorHAnsi" w:hAnsiTheme="minorHAnsi" w:cstheme="minorHAnsi"/>
              </w:rPr>
              <w:instrText xml:space="preserve"> \* MERGEFORMAT </w:instrText>
            </w:r>
            <w:r w:rsidR="00511E01" w:rsidRPr="00BD6C5F">
              <w:rPr>
                <w:rFonts w:asciiTheme="minorHAnsi" w:hAnsiTheme="minorHAnsi" w:cstheme="minorHAnsi"/>
              </w:rPr>
            </w:r>
            <w:r w:rsidR="00511E01" w:rsidRPr="00BD6C5F">
              <w:rPr>
                <w:rFonts w:asciiTheme="minorHAnsi" w:hAnsiTheme="minorHAnsi" w:cstheme="minorHAnsi"/>
              </w:rPr>
              <w:fldChar w:fldCharType="separate"/>
            </w:r>
            <w:r w:rsidR="009749A0">
              <w:rPr>
                <w:rFonts w:asciiTheme="minorHAnsi" w:hAnsiTheme="minorHAnsi" w:cstheme="minorHAnsi"/>
              </w:rPr>
              <w:t>7.9</w:t>
            </w:r>
            <w:r w:rsidR="00511E01" w:rsidRPr="00BD6C5F">
              <w:rPr>
                <w:rFonts w:asciiTheme="minorHAnsi" w:hAnsiTheme="minorHAnsi" w:cstheme="minorHAnsi"/>
              </w:rPr>
              <w:fldChar w:fldCharType="end"/>
            </w:r>
            <w:r w:rsidRPr="00BD6C5F">
              <w:rPr>
                <w:rFonts w:asciiTheme="minorHAnsi" w:hAnsiTheme="minorHAnsi" w:cstheme="minorHAnsi"/>
              </w:rPr>
              <w:t>, inclusive;</w:t>
            </w:r>
          </w:p>
        </w:tc>
      </w:tr>
      <w:tr w:rsidR="00BC7DDA" w:rsidRPr="00BD6C5F" w14:paraId="0D4DF329" w14:textId="77777777" w:rsidTr="00845F35">
        <w:tc>
          <w:tcPr>
            <w:tcW w:w="3572" w:type="dxa"/>
          </w:tcPr>
          <w:p w14:paraId="0788A568" w14:textId="4D75D1D4"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CHECK Service Provider</w:t>
            </w:r>
            <w:r w:rsidRPr="00BD6C5F">
              <w:rPr>
                <w:rFonts w:asciiTheme="minorHAnsi" w:hAnsiTheme="minorHAnsi" w:cstheme="minorHAnsi"/>
                <w:b/>
              </w:rPr>
              <w:t>”</w:t>
            </w:r>
          </w:p>
        </w:tc>
        <w:tc>
          <w:tcPr>
            <w:tcW w:w="5953" w:type="dxa"/>
          </w:tcPr>
          <w:p w14:paraId="203E3397" w14:textId="27409A3A"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a </w:t>
            </w:r>
            <w:r w:rsidRPr="00BD6C5F">
              <w:t>company</w:t>
            </w:r>
            <w:r w:rsidRPr="00BD6C5F">
              <w:rPr>
                <w:rFonts w:asciiTheme="minorHAnsi" w:hAnsiTheme="minorHAnsi" w:cstheme="minorHAnsi"/>
              </w:rPr>
              <w:t xml:space="preserve"> which has been certified by the National Cyber Security Centre, holds </w:t>
            </w:r>
            <w:r w:rsidR="00A4555C" w:rsidRPr="00BD6C5F">
              <w:rPr>
                <w:rFonts w:asciiTheme="minorHAnsi" w:hAnsiTheme="minorHAnsi" w:cstheme="minorHAnsi"/>
              </w:rPr>
              <w:t>“</w:t>
            </w:r>
            <w:r w:rsidRPr="00BD6C5F">
              <w:rPr>
                <w:rFonts w:asciiTheme="minorHAnsi" w:hAnsiTheme="minorHAnsi" w:cstheme="minorHAnsi"/>
              </w:rPr>
              <w:t>Green Light</w:t>
            </w:r>
            <w:r w:rsidR="00A4555C" w:rsidRPr="00BD6C5F">
              <w:rPr>
                <w:rFonts w:asciiTheme="minorHAnsi" w:hAnsiTheme="minorHAnsi" w:cstheme="minorHAnsi"/>
              </w:rPr>
              <w:t>”</w:t>
            </w:r>
            <w:r w:rsidRPr="00BD6C5F">
              <w:rPr>
                <w:rFonts w:asciiTheme="minorHAnsi" w:hAnsiTheme="minorHAnsi" w:cstheme="minorHAnsi"/>
              </w:rPr>
              <w:t xml:space="preserve"> status and is authorised to provide the IT Health Check services required by the Paragraph</w:t>
            </w:r>
            <w:r w:rsidR="004E7151" w:rsidRPr="00BD6C5F">
              <w:rPr>
                <w:rFonts w:asciiTheme="minorHAnsi" w:hAnsiTheme="minorHAnsi" w:cstheme="minorHAnsi"/>
              </w:rPr>
              <w:t> </w:t>
            </w:r>
            <w:r w:rsidR="004E7151" w:rsidRPr="00BD6C5F">
              <w:rPr>
                <w:rFonts w:asciiTheme="minorHAnsi" w:hAnsiTheme="minorHAnsi" w:cstheme="minorHAnsi"/>
              </w:rPr>
              <w:fldChar w:fldCharType="begin"/>
            </w:r>
            <w:r w:rsidR="004E7151" w:rsidRPr="00BD6C5F">
              <w:rPr>
                <w:rFonts w:asciiTheme="minorHAnsi" w:hAnsiTheme="minorHAnsi" w:cstheme="minorHAnsi"/>
              </w:rPr>
              <w:instrText xml:space="preserve"> REF _Ref98359337 \n \h </w:instrText>
            </w:r>
            <w:r w:rsidR="00AD7DD0" w:rsidRPr="00BD6C5F">
              <w:rPr>
                <w:rFonts w:asciiTheme="minorHAnsi" w:hAnsiTheme="minorHAnsi" w:cstheme="minorHAnsi"/>
              </w:rPr>
              <w:instrText xml:space="preserve"> \* MERGEFORMAT </w:instrText>
            </w:r>
            <w:r w:rsidR="004E7151" w:rsidRPr="00BD6C5F">
              <w:rPr>
                <w:rFonts w:asciiTheme="minorHAnsi" w:hAnsiTheme="minorHAnsi" w:cstheme="minorHAnsi"/>
              </w:rPr>
            </w:r>
            <w:r w:rsidR="004E7151" w:rsidRPr="00BD6C5F">
              <w:rPr>
                <w:rFonts w:asciiTheme="minorHAnsi" w:hAnsiTheme="minorHAnsi" w:cstheme="minorHAnsi"/>
              </w:rPr>
              <w:fldChar w:fldCharType="separate"/>
            </w:r>
            <w:r w:rsidR="009749A0">
              <w:rPr>
                <w:rFonts w:asciiTheme="minorHAnsi" w:hAnsiTheme="minorHAnsi" w:cstheme="minorHAnsi"/>
              </w:rPr>
              <w:t>8.1</w:t>
            </w:r>
            <w:r w:rsidR="004E715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190F306E" w14:textId="77777777" w:rsidTr="00845F35">
        <w:tc>
          <w:tcPr>
            <w:tcW w:w="3572" w:type="dxa"/>
          </w:tcPr>
          <w:p w14:paraId="0276346E" w14:textId="1F2E7D59"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CIMS Sub-</w:t>
            </w:r>
          </w:p>
          <w:p w14:paraId="0BC60CD9" w14:textId="6501DB5D" w:rsidR="00BC7DDA" w:rsidRPr="00BD6C5F" w:rsidRDefault="009B03E9" w:rsidP="00046EAD">
            <w:pPr>
              <w:pStyle w:val="Tabletext"/>
              <w:rPr>
                <w:rFonts w:asciiTheme="minorHAnsi" w:hAnsiTheme="minorHAnsi" w:cstheme="minorHAnsi"/>
                <w:b/>
              </w:rPr>
            </w:pPr>
            <w:r w:rsidRPr="00BD6C5F">
              <w:rPr>
                <w:rFonts w:asciiTheme="minorHAnsi" w:hAnsiTheme="minorHAnsi" w:cstheme="minorHAnsi"/>
                <w:b/>
              </w:rPr>
              <w:t>contractor</w:t>
            </w:r>
            <w:r w:rsidR="00A4555C" w:rsidRPr="00BD6C5F">
              <w:rPr>
                <w:rFonts w:asciiTheme="minorHAnsi" w:hAnsiTheme="minorHAnsi" w:cstheme="minorHAnsi"/>
                <w:b/>
              </w:rPr>
              <w:t>”</w:t>
            </w:r>
          </w:p>
        </w:tc>
        <w:tc>
          <w:tcPr>
            <w:tcW w:w="5953" w:type="dxa"/>
          </w:tcPr>
          <w:p w14:paraId="47E78CBE"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means a Sub-contractor that provides or operates the whole, or a substantial part, of the Core Information Management System;</w:t>
            </w:r>
          </w:p>
        </w:tc>
      </w:tr>
      <w:tr w:rsidR="00BC7DDA" w:rsidRPr="00BD6C5F" w14:paraId="77BB7096" w14:textId="77777777" w:rsidTr="00845F35">
        <w:tc>
          <w:tcPr>
            <w:tcW w:w="3572" w:type="dxa"/>
          </w:tcPr>
          <w:p w14:paraId="76C1A73A" w14:textId="7F82EDB1"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Commercial off the shelf Software</w:t>
            </w:r>
            <w:r w:rsidRPr="00BD6C5F">
              <w:rPr>
                <w:rFonts w:asciiTheme="minorHAnsi" w:hAnsiTheme="minorHAnsi" w:cstheme="minorHAnsi"/>
                <w:b/>
              </w:rPr>
              <w:t>”</w:t>
            </w:r>
            <w:r w:rsidR="009B03E9" w:rsidRPr="00BD6C5F">
              <w:rPr>
                <w:rFonts w:asciiTheme="minorHAnsi" w:hAnsiTheme="minorHAnsi" w:cstheme="minorHAnsi"/>
                <w:b/>
              </w:rPr>
              <w:t xml:space="preserve"> or </w:t>
            </w:r>
            <w:r w:rsidRPr="00BD6C5F">
              <w:rPr>
                <w:rFonts w:asciiTheme="minorHAnsi" w:hAnsiTheme="minorHAnsi" w:cstheme="minorHAnsi"/>
                <w:b/>
              </w:rPr>
              <w:t>“</w:t>
            </w:r>
            <w:r w:rsidR="009B03E9" w:rsidRPr="00BD6C5F">
              <w:rPr>
                <w:rFonts w:asciiTheme="minorHAnsi" w:hAnsiTheme="minorHAnsi" w:cstheme="minorHAnsi"/>
                <w:b/>
              </w:rPr>
              <w:t>COTS Software</w:t>
            </w:r>
            <w:r w:rsidRPr="00BD6C5F">
              <w:rPr>
                <w:rFonts w:asciiTheme="minorHAnsi" w:hAnsiTheme="minorHAnsi" w:cstheme="minorHAnsi"/>
                <w:b/>
              </w:rPr>
              <w:t>”</w:t>
            </w:r>
          </w:p>
        </w:tc>
        <w:tc>
          <w:tcPr>
            <w:tcW w:w="5953" w:type="dxa"/>
          </w:tcPr>
          <w:p w14:paraId="7E394FE8"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means the Supplier COTS Software and the Third Party COTS Software;</w:t>
            </w:r>
          </w:p>
        </w:tc>
      </w:tr>
      <w:tr w:rsidR="00BC7DDA" w:rsidRPr="00BD6C5F" w14:paraId="2C3FE835" w14:textId="77777777" w:rsidTr="00845F35">
        <w:tc>
          <w:tcPr>
            <w:tcW w:w="3572" w:type="dxa"/>
          </w:tcPr>
          <w:p w14:paraId="6CDB2DB0" w14:textId="34EC4986"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Core Information Management System</w:t>
            </w:r>
            <w:r w:rsidRPr="00BD6C5F">
              <w:rPr>
                <w:rFonts w:asciiTheme="minorHAnsi" w:hAnsiTheme="minorHAnsi" w:cstheme="minorHAnsi"/>
                <w:b/>
              </w:rPr>
              <w:t>”</w:t>
            </w:r>
            <w:r w:rsidR="00D61E2C" w:rsidRPr="00BD6C5F">
              <w:rPr>
                <w:rFonts w:asciiTheme="minorHAnsi" w:hAnsiTheme="minorHAnsi" w:cstheme="minorHAnsi"/>
                <w:b/>
              </w:rPr>
              <w:t xml:space="preserve"> or </w:t>
            </w:r>
            <w:r w:rsidRPr="00BD6C5F">
              <w:rPr>
                <w:rFonts w:asciiTheme="minorHAnsi" w:hAnsiTheme="minorHAnsi" w:cstheme="minorHAnsi"/>
                <w:b/>
              </w:rPr>
              <w:t>“</w:t>
            </w:r>
            <w:r w:rsidR="00D61E2C" w:rsidRPr="00BD6C5F">
              <w:rPr>
                <w:rFonts w:asciiTheme="minorHAnsi" w:hAnsiTheme="minorHAnsi" w:cstheme="minorHAnsi"/>
                <w:b/>
              </w:rPr>
              <w:t>CIMS</w:t>
            </w:r>
            <w:r w:rsidRPr="00BD6C5F">
              <w:rPr>
                <w:rFonts w:asciiTheme="minorHAnsi" w:hAnsiTheme="minorHAnsi" w:cstheme="minorHAnsi"/>
                <w:b/>
              </w:rPr>
              <w:t>”</w:t>
            </w:r>
          </w:p>
        </w:tc>
        <w:tc>
          <w:tcPr>
            <w:tcW w:w="5953" w:type="dxa"/>
          </w:tcPr>
          <w:p w14:paraId="2F74BB3D" w14:textId="0D824CFA"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those information assets, IT systems and/or Sites which will be used by the Supplier and/or its Sub-contractors to Process Authority Data, together with the associated information management system (including organisational structure, controls, policies, practices, procedures, processes and resources) which the Authority has determined in accordance with Paragraph </w:t>
            </w:r>
            <w:r w:rsidR="004E7151" w:rsidRPr="00BD6C5F">
              <w:rPr>
                <w:rFonts w:asciiTheme="minorHAnsi" w:hAnsiTheme="minorHAnsi" w:cstheme="minorHAnsi"/>
              </w:rPr>
              <w:fldChar w:fldCharType="begin"/>
            </w:r>
            <w:r w:rsidR="004E7151" w:rsidRPr="00BD6C5F">
              <w:rPr>
                <w:rFonts w:asciiTheme="minorHAnsi" w:hAnsiTheme="minorHAnsi" w:cstheme="minorHAnsi"/>
              </w:rPr>
              <w:instrText xml:space="preserve"> REF _Ref98359362 \n \h </w:instrText>
            </w:r>
            <w:r w:rsidR="00AD7DD0" w:rsidRPr="00BD6C5F">
              <w:rPr>
                <w:rFonts w:asciiTheme="minorHAnsi" w:hAnsiTheme="minorHAnsi" w:cstheme="minorHAnsi"/>
              </w:rPr>
              <w:instrText xml:space="preserve"> \* MERGEFORMAT </w:instrText>
            </w:r>
            <w:r w:rsidR="004E7151" w:rsidRPr="00BD6C5F">
              <w:rPr>
                <w:rFonts w:asciiTheme="minorHAnsi" w:hAnsiTheme="minorHAnsi" w:cstheme="minorHAnsi"/>
              </w:rPr>
            </w:r>
            <w:r w:rsidR="004E7151" w:rsidRPr="00BD6C5F">
              <w:rPr>
                <w:rFonts w:asciiTheme="minorHAnsi" w:hAnsiTheme="minorHAnsi" w:cstheme="minorHAnsi"/>
              </w:rPr>
              <w:fldChar w:fldCharType="separate"/>
            </w:r>
            <w:r w:rsidR="009749A0">
              <w:rPr>
                <w:rFonts w:asciiTheme="minorHAnsi" w:hAnsiTheme="minorHAnsi" w:cstheme="minorHAnsi"/>
              </w:rPr>
              <w:t>4.2</w:t>
            </w:r>
            <w:r w:rsidR="004E7151" w:rsidRPr="00BD6C5F">
              <w:rPr>
                <w:rFonts w:asciiTheme="minorHAnsi" w:hAnsiTheme="minorHAnsi" w:cstheme="minorHAnsi"/>
              </w:rPr>
              <w:fldChar w:fldCharType="end"/>
            </w:r>
            <w:r w:rsidRPr="00BD6C5F">
              <w:rPr>
                <w:rFonts w:asciiTheme="minorHAnsi" w:hAnsiTheme="minorHAnsi" w:cstheme="minorHAnsi"/>
              </w:rPr>
              <w:t xml:space="preserve"> shall be subject to Accreditation;</w:t>
            </w:r>
          </w:p>
        </w:tc>
      </w:tr>
      <w:tr w:rsidR="00BC7DDA" w:rsidRPr="00BD6C5F" w14:paraId="2880CFA0" w14:textId="77777777" w:rsidTr="00845F35">
        <w:tc>
          <w:tcPr>
            <w:tcW w:w="3572" w:type="dxa"/>
          </w:tcPr>
          <w:p w14:paraId="2ABBF2F3" w14:textId="73D5F7CB"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CREST Service Provider</w:t>
            </w:r>
            <w:r w:rsidRPr="00BD6C5F">
              <w:rPr>
                <w:rFonts w:asciiTheme="minorHAnsi" w:hAnsiTheme="minorHAnsi" w:cstheme="minorHAnsi"/>
                <w:b/>
              </w:rPr>
              <w:t>”</w:t>
            </w:r>
          </w:p>
        </w:tc>
        <w:tc>
          <w:tcPr>
            <w:tcW w:w="5953" w:type="dxa"/>
          </w:tcPr>
          <w:p w14:paraId="076428E0"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a company with a SOC Accreditation from CREST </w:t>
            </w:r>
            <w:r w:rsidRPr="00BD6C5F">
              <w:t>International</w:t>
            </w:r>
            <w:r w:rsidRPr="00BD6C5F">
              <w:rPr>
                <w:rFonts w:asciiTheme="minorHAnsi" w:hAnsiTheme="minorHAnsi" w:cstheme="minorHAnsi"/>
              </w:rPr>
              <w:t>;</w:t>
            </w:r>
          </w:p>
        </w:tc>
      </w:tr>
      <w:tr w:rsidR="00BC7DDA" w:rsidRPr="00BD6C5F" w14:paraId="4A712383" w14:textId="77777777" w:rsidTr="00845F35">
        <w:tc>
          <w:tcPr>
            <w:tcW w:w="3572" w:type="dxa"/>
          </w:tcPr>
          <w:p w14:paraId="70A9F414" w14:textId="2C9F741F"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Cyber Essentials</w:t>
            </w:r>
            <w:r w:rsidRPr="00BD6C5F">
              <w:rPr>
                <w:rFonts w:asciiTheme="minorHAnsi" w:hAnsiTheme="minorHAnsi" w:cstheme="minorHAnsi"/>
                <w:b/>
              </w:rPr>
              <w:t>”</w:t>
            </w:r>
          </w:p>
        </w:tc>
        <w:tc>
          <w:tcPr>
            <w:tcW w:w="5953" w:type="dxa"/>
          </w:tcPr>
          <w:p w14:paraId="4305A3FE"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Cyber Essentials certificate </w:t>
            </w:r>
            <w:r w:rsidRPr="00BD6C5F">
              <w:t>issued</w:t>
            </w:r>
            <w:r w:rsidRPr="00BD6C5F">
              <w:rPr>
                <w:rFonts w:asciiTheme="minorHAnsi" w:hAnsiTheme="minorHAnsi" w:cstheme="minorHAnsi"/>
              </w:rPr>
              <w:t xml:space="preserve"> under the Cyber Essentials Scheme;</w:t>
            </w:r>
          </w:p>
        </w:tc>
      </w:tr>
      <w:tr w:rsidR="00BC7DDA" w:rsidRPr="00BD6C5F" w14:paraId="3CB28FBB" w14:textId="77777777" w:rsidTr="00845F35">
        <w:tc>
          <w:tcPr>
            <w:tcW w:w="3572" w:type="dxa"/>
          </w:tcPr>
          <w:p w14:paraId="716C2311" w14:textId="5E1188C9"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Cyber Essentials Plus</w:t>
            </w:r>
            <w:r w:rsidRPr="00BD6C5F">
              <w:rPr>
                <w:rFonts w:asciiTheme="minorHAnsi" w:hAnsiTheme="minorHAnsi" w:cstheme="minorHAnsi"/>
                <w:b/>
              </w:rPr>
              <w:t>”</w:t>
            </w:r>
          </w:p>
        </w:tc>
        <w:tc>
          <w:tcPr>
            <w:tcW w:w="5953" w:type="dxa"/>
          </w:tcPr>
          <w:p w14:paraId="5C8A3225"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Cyber Essentials Plus certificate issued </w:t>
            </w:r>
            <w:r w:rsidRPr="00BD6C5F">
              <w:t>under</w:t>
            </w:r>
            <w:r w:rsidRPr="00BD6C5F">
              <w:rPr>
                <w:rFonts w:asciiTheme="minorHAnsi" w:hAnsiTheme="minorHAnsi" w:cstheme="minorHAnsi"/>
              </w:rPr>
              <w:t xml:space="preserve"> the Cyber Essentials Scheme;</w:t>
            </w:r>
          </w:p>
        </w:tc>
      </w:tr>
      <w:tr w:rsidR="00BC7DDA" w:rsidRPr="00BD6C5F" w14:paraId="11BC293A" w14:textId="77777777" w:rsidTr="00845F35">
        <w:tc>
          <w:tcPr>
            <w:tcW w:w="3572" w:type="dxa"/>
          </w:tcPr>
          <w:p w14:paraId="2940CE0E" w14:textId="51555231"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Cyber Essentials Scheme</w:t>
            </w:r>
            <w:r w:rsidRPr="00BD6C5F">
              <w:rPr>
                <w:rFonts w:asciiTheme="minorHAnsi" w:hAnsiTheme="minorHAnsi" w:cstheme="minorHAnsi"/>
                <w:b/>
              </w:rPr>
              <w:t>”</w:t>
            </w:r>
          </w:p>
        </w:tc>
        <w:tc>
          <w:tcPr>
            <w:tcW w:w="5953" w:type="dxa"/>
          </w:tcPr>
          <w:p w14:paraId="362DAFC0"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Cyber Essentials scheme operated by the </w:t>
            </w:r>
            <w:r w:rsidRPr="00BD6C5F">
              <w:t>National</w:t>
            </w:r>
            <w:r w:rsidRPr="00BD6C5F">
              <w:rPr>
                <w:rFonts w:asciiTheme="minorHAnsi" w:hAnsiTheme="minorHAnsi" w:cstheme="minorHAnsi"/>
              </w:rPr>
              <w:t xml:space="preserve"> Cyber Security Centre;</w:t>
            </w:r>
          </w:p>
        </w:tc>
      </w:tr>
      <w:tr w:rsidR="00046EAD" w:rsidRPr="00BD6C5F" w14:paraId="26C7940D" w14:textId="77777777" w:rsidTr="00845F35">
        <w:trPr>
          <w:trHeight w:val="20"/>
        </w:trPr>
        <w:tc>
          <w:tcPr>
            <w:tcW w:w="3572" w:type="dxa"/>
          </w:tcPr>
          <w:p w14:paraId="28B82202" w14:textId="5C110ED3" w:rsidR="00046EAD" w:rsidRPr="00BD6C5F" w:rsidRDefault="00046EAD" w:rsidP="00046EAD">
            <w:pPr>
              <w:pStyle w:val="Tabletext"/>
              <w:rPr>
                <w:rFonts w:asciiTheme="minorHAnsi" w:hAnsiTheme="minorHAnsi" w:cstheme="minorHAnsi"/>
                <w:b/>
                <w:bCs/>
              </w:rPr>
            </w:pPr>
            <w:r w:rsidRPr="00BD6C5F">
              <w:rPr>
                <w:rFonts w:asciiTheme="minorHAnsi" w:hAnsiTheme="minorHAnsi" w:cstheme="minorHAnsi"/>
                <w:b/>
                <w:bCs/>
              </w:rPr>
              <w:t>“Higher Risk Sub-contractor”</w:t>
            </w:r>
          </w:p>
        </w:tc>
        <w:tc>
          <w:tcPr>
            <w:tcW w:w="5953" w:type="dxa"/>
          </w:tcPr>
          <w:p w14:paraId="0D89A839" w14:textId="77777777" w:rsidR="00046EAD" w:rsidRPr="00BD6C5F" w:rsidRDefault="00046EAD" w:rsidP="00046EAD">
            <w:pPr>
              <w:pStyle w:val="Tabletext"/>
              <w:rPr>
                <w:rFonts w:asciiTheme="minorHAnsi" w:hAnsiTheme="minorHAnsi" w:cstheme="minorHAnsi"/>
                <w:highlight w:val="yellow"/>
              </w:rPr>
            </w:pPr>
            <w:r w:rsidRPr="00BD6C5F">
              <w:rPr>
                <w:rFonts w:asciiTheme="minorHAnsi" w:hAnsiTheme="minorHAnsi" w:cstheme="minorHAnsi"/>
              </w:rPr>
              <w:t>means a Sub-contractor that Processes Authority Data</w:t>
            </w:r>
            <w:r w:rsidRPr="00BD6C5F">
              <w:rPr>
                <w:rFonts w:asciiTheme="minorHAnsi" w:hAnsiTheme="minorHAnsi" w:cstheme="minorHAnsi"/>
                <w:highlight w:val="yellow"/>
                <w:shd w:val="clear" w:color="auto" w:fill="FFFF00"/>
              </w:rPr>
              <w:t>[, where that data includes either:</w:t>
            </w:r>
          </w:p>
          <w:p w14:paraId="7507388B" w14:textId="212C03CE" w:rsidR="00046EAD" w:rsidRPr="00BD6C5F" w:rsidRDefault="00046EAD" w:rsidP="00845F35">
            <w:pPr>
              <w:pStyle w:val="Tablea"/>
              <w:rPr>
                <w:highlight w:val="yellow"/>
              </w:rPr>
            </w:pPr>
            <w:bookmarkStart w:id="264" w:name="_Ref98360459"/>
            <w:r w:rsidRPr="00BD6C5F">
              <w:rPr>
                <w:highlight w:val="yellow"/>
              </w:rPr>
              <w:t>the Personal Data of 1000 or more</w:t>
            </w:r>
            <w:r w:rsidRPr="00BD6C5F">
              <w:rPr>
                <w:highlight w:val="yellow"/>
                <w:shd w:val="clear" w:color="auto" w:fill="FFFF00"/>
              </w:rPr>
              <w:t xml:space="preserve"> individuals in aggregate during the period between the first Operational Service Commencement Date and the date on which this Contract terminates in accordance with Clause 4.1</w:t>
            </w:r>
            <w:r w:rsidR="006509FE">
              <w:rPr>
                <w:highlight w:val="yellow"/>
                <w:shd w:val="clear" w:color="auto" w:fill="FFFF00"/>
              </w:rPr>
              <w:t>.2</w:t>
            </w:r>
            <w:r w:rsidRPr="00BD6C5F">
              <w:rPr>
                <w:highlight w:val="yellow"/>
                <w:shd w:val="clear" w:color="auto" w:fill="FFFF00"/>
              </w:rPr>
              <w:t>; or</w:t>
            </w:r>
          </w:p>
          <w:bookmarkEnd w:id="264"/>
          <w:p w14:paraId="31112249" w14:textId="77777777" w:rsidR="00046EAD" w:rsidRPr="00BD6C5F" w:rsidRDefault="00046EAD" w:rsidP="003A5D4B">
            <w:pPr>
              <w:pStyle w:val="Tablea"/>
              <w:rPr>
                <w:highlight w:val="yellow"/>
              </w:rPr>
            </w:pPr>
            <w:r w:rsidRPr="00BD6C5F">
              <w:rPr>
                <w:highlight w:val="yellow"/>
              </w:rPr>
              <w:t xml:space="preserve">any </w:t>
            </w:r>
            <w:r w:rsidRPr="00BD6C5F">
              <w:rPr>
                <w:highlight w:val="yellow"/>
                <w:shd w:val="clear" w:color="auto" w:fill="FFFF00"/>
              </w:rPr>
              <w:t>part</w:t>
            </w:r>
            <w:r w:rsidRPr="00BD6C5F">
              <w:rPr>
                <w:highlight w:val="yellow"/>
              </w:rPr>
              <w:t xml:space="preserve"> of that data includes any of the following:</w:t>
            </w:r>
          </w:p>
          <w:p w14:paraId="795D12AC" w14:textId="284DA5A9" w:rsidR="00046EAD" w:rsidRPr="00BD6C5F" w:rsidRDefault="00046EAD" w:rsidP="007B7076">
            <w:pPr>
              <w:pStyle w:val="Tableai"/>
              <w:rPr>
                <w:highlight w:val="yellow"/>
              </w:rPr>
            </w:pPr>
            <w:r w:rsidRPr="00BD6C5F">
              <w:rPr>
                <w:highlight w:val="yellow"/>
              </w:rPr>
              <w:t>financial information (including any tax and/or welfare information) relating to any person;</w:t>
            </w:r>
          </w:p>
          <w:p w14:paraId="02A24D9E" w14:textId="45D907E8" w:rsidR="00046EAD" w:rsidRPr="00BD6C5F" w:rsidRDefault="00046EAD" w:rsidP="007B7076">
            <w:pPr>
              <w:pStyle w:val="Tableai"/>
              <w:rPr>
                <w:highlight w:val="yellow"/>
              </w:rPr>
            </w:pPr>
            <w:r w:rsidRPr="00BD6C5F">
              <w:rPr>
                <w:highlight w:val="yellow"/>
              </w:rPr>
              <w:t>any information relating to actual or alleged criminal offences (including criminal records);</w:t>
            </w:r>
          </w:p>
          <w:p w14:paraId="27886710" w14:textId="32111C02" w:rsidR="00046EAD" w:rsidRPr="00BD6C5F" w:rsidRDefault="00046EAD" w:rsidP="007B7076">
            <w:pPr>
              <w:pStyle w:val="Tableai"/>
              <w:rPr>
                <w:highlight w:val="yellow"/>
              </w:rPr>
            </w:pPr>
            <w:r w:rsidRPr="00BD6C5F">
              <w:rPr>
                <w:highlight w:val="yellow"/>
              </w:rPr>
              <w:lastRenderedPageBreak/>
              <w:t>any information relating to children and/or vulnerable persons;</w:t>
            </w:r>
          </w:p>
          <w:p w14:paraId="36E6A14A" w14:textId="556C5291" w:rsidR="00046EAD" w:rsidRPr="00BD6C5F" w:rsidRDefault="00046EAD" w:rsidP="007B7076">
            <w:pPr>
              <w:pStyle w:val="Tableai"/>
              <w:rPr>
                <w:highlight w:val="yellow"/>
              </w:rPr>
            </w:pPr>
            <w:r w:rsidRPr="00BD6C5F">
              <w:rPr>
                <w:highlight w:val="yellow"/>
              </w:rPr>
              <w:t>any information relating to social care;</w:t>
            </w:r>
          </w:p>
          <w:p w14:paraId="48C66182" w14:textId="37A85659" w:rsidR="00046EAD" w:rsidRPr="00BD6C5F" w:rsidRDefault="00046EAD" w:rsidP="007B7076">
            <w:pPr>
              <w:pStyle w:val="Tableai"/>
              <w:rPr>
                <w:highlight w:val="yellow"/>
              </w:rPr>
            </w:pPr>
            <w:r w:rsidRPr="00BD6C5F">
              <w:rPr>
                <w:highlight w:val="yellow"/>
              </w:rPr>
              <w:t>any information relating to a person’s current or past employment; or</w:t>
            </w:r>
          </w:p>
          <w:p w14:paraId="7D9798F5" w14:textId="50056DB9" w:rsidR="00046EAD" w:rsidRPr="00BD6C5F" w:rsidRDefault="00046EAD" w:rsidP="007B7076">
            <w:pPr>
              <w:pStyle w:val="Tableai"/>
              <w:rPr>
                <w:highlight w:val="yellow"/>
              </w:rPr>
            </w:pPr>
            <w:r w:rsidRPr="00BD6C5F">
              <w:rPr>
                <w:highlight w:val="yellow"/>
              </w:rPr>
              <w:t>Special Category Personal Data; or</w:t>
            </w:r>
          </w:p>
          <w:p w14:paraId="3BD3DBF3" w14:textId="77777777" w:rsidR="00046EAD" w:rsidRPr="00BD6C5F" w:rsidRDefault="00046EAD" w:rsidP="003A5D4B">
            <w:pPr>
              <w:pStyle w:val="Tablea"/>
              <w:rPr>
                <w:highlight w:val="yellow"/>
              </w:rPr>
            </w:pPr>
            <w:r w:rsidRPr="00BD6C5F">
              <w:rPr>
                <w:highlight w:val="yellow"/>
              </w:rPr>
              <w:t>the Authority in its discretion, designates a Sub-contractor as a Higher Risk Sub-Contractor in any procurement document related to this Contract; or</w:t>
            </w:r>
          </w:p>
          <w:p w14:paraId="3AFD6990" w14:textId="6CDA4D8F" w:rsidR="00046EAD" w:rsidRPr="00BD6C5F" w:rsidRDefault="00046EAD" w:rsidP="003A5D4B">
            <w:pPr>
              <w:pStyle w:val="Tablea"/>
              <w:rPr>
                <w:highlight w:val="yellow"/>
              </w:rPr>
            </w:pPr>
            <w:r w:rsidRPr="00BD6C5F">
              <w:rPr>
                <w:highlight w:val="yellow"/>
              </w:rPr>
              <w:t>the Authority considers in its discretion, that any actual or potential Processing carried out by the Sub-contractor is high risk.</w:t>
            </w:r>
          </w:p>
        </w:tc>
      </w:tr>
      <w:tr w:rsidR="00360C81" w:rsidRPr="00BD6C5F" w14:paraId="47FA74B1" w14:textId="77777777" w:rsidTr="00845F35">
        <w:tc>
          <w:tcPr>
            <w:tcW w:w="3572" w:type="dxa"/>
          </w:tcPr>
          <w:p w14:paraId="70668AF5" w14:textId="5AC95E87" w:rsidR="00360C81" w:rsidRPr="0077211A" w:rsidRDefault="00360C81" w:rsidP="00046EAD">
            <w:pPr>
              <w:pStyle w:val="Tabletext"/>
              <w:rPr>
                <w:rFonts w:asciiTheme="minorHAnsi" w:hAnsiTheme="minorHAnsi" w:cstheme="minorHAnsi"/>
                <w:b/>
                <w:bCs/>
                <w:i/>
                <w:highlight w:val="yellow"/>
              </w:rPr>
            </w:pPr>
            <w:r w:rsidRPr="0077211A">
              <w:rPr>
                <w:rFonts w:asciiTheme="minorHAnsi" w:hAnsiTheme="minorHAnsi" w:cstheme="minorHAnsi"/>
                <w:b/>
                <w:bCs/>
                <w:i/>
                <w:highlight w:val="yellow"/>
              </w:rPr>
              <w:lastRenderedPageBreak/>
              <w:t>[Guidance:</w:t>
            </w:r>
          </w:p>
        </w:tc>
        <w:tc>
          <w:tcPr>
            <w:tcW w:w="5953" w:type="dxa"/>
          </w:tcPr>
          <w:p w14:paraId="28EDDB15" w14:textId="35BB76D7" w:rsidR="00360C81" w:rsidRPr="0077211A" w:rsidRDefault="00360C81" w:rsidP="00046EAD">
            <w:pPr>
              <w:pStyle w:val="Tabletext"/>
              <w:rPr>
                <w:rFonts w:asciiTheme="minorHAnsi" w:hAnsiTheme="minorHAnsi" w:cstheme="minorHAnsi"/>
                <w:b/>
                <w:bCs/>
                <w:i/>
                <w:highlight w:val="yellow"/>
              </w:rPr>
            </w:pPr>
            <w:r w:rsidRPr="0077211A">
              <w:rPr>
                <w:rFonts w:asciiTheme="minorHAnsi" w:hAnsiTheme="minorHAnsi" w:cstheme="minorHAnsi"/>
                <w:b/>
                <w:bCs/>
                <w:i/>
                <w:highlight w:val="yellow"/>
              </w:rPr>
              <w:t>This definition is provided as an example only and should be modified to take into account the circumstances of the individual Contract.]</w:t>
            </w:r>
          </w:p>
        </w:tc>
      </w:tr>
      <w:tr w:rsidR="00360C81" w:rsidRPr="00BD6C5F" w14:paraId="36E9549D" w14:textId="77777777" w:rsidTr="00845F35">
        <w:tc>
          <w:tcPr>
            <w:tcW w:w="3572" w:type="dxa"/>
          </w:tcPr>
          <w:p w14:paraId="0950ECEA" w14:textId="7D5E4675" w:rsidR="00360C81" w:rsidRPr="00BD6C5F" w:rsidRDefault="00A4555C" w:rsidP="00046EAD">
            <w:pPr>
              <w:pStyle w:val="Tabletext"/>
              <w:rPr>
                <w:rFonts w:asciiTheme="minorHAnsi" w:hAnsiTheme="minorHAnsi" w:cstheme="minorHAnsi"/>
                <w:b/>
                <w:bCs/>
              </w:rPr>
            </w:pPr>
            <w:r w:rsidRPr="00BD6C5F">
              <w:rPr>
                <w:rFonts w:asciiTheme="minorHAnsi" w:hAnsiTheme="minorHAnsi" w:cstheme="minorHAnsi"/>
                <w:b/>
                <w:bCs/>
              </w:rPr>
              <w:t>“</w:t>
            </w:r>
            <w:r w:rsidR="00C12E48" w:rsidRPr="00BD6C5F">
              <w:rPr>
                <w:rFonts w:asciiTheme="minorHAnsi" w:hAnsiTheme="minorHAnsi" w:cstheme="minorHAnsi"/>
                <w:b/>
                <w:bCs/>
              </w:rPr>
              <w:t>Information Management System</w:t>
            </w:r>
            <w:r w:rsidRPr="00BD6C5F">
              <w:rPr>
                <w:rFonts w:asciiTheme="minorHAnsi" w:hAnsiTheme="minorHAnsi" w:cstheme="minorHAnsi"/>
                <w:b/>
                <w:bCs/>
              </w:rPr>
              <w:t>”</w:t>
            </w:r>
          </w:p>
        </w:tc>
        <w:tc>
          <w:tcPr>
            <w:tcW w:w="5953" w:type="dxa"/>
          </w:tcPr>
          <w:p w14:paraId="009D8AFA" w14:textId="74174975" w:rsidR="00360C81" w:rsidRPr="00BD6C5F" w:rsidRDefault="00C12E48" w:rsidP="00046EAD">
            <w:pPr>
              <w:pStyle w:val="Tabletext"/>
              <w:rPr>
                <w:rFonts w:asciiTheme="minorHAnsi" w:hAnsiTheme="minorHAnsi" w:cstheme="minorHAnsi"/>
                <w:shd w:val="clear" w:color="auto" w:fill="FFFF00"/>
              </w:rPr>
            </w:pPr>
            <w:r w:rsidRPr="00BD6C5F">
              <w:rPr>
                <w:rFonts w:asciiTheme="minorHAnsi" w:hAnsiTheme="minorHAnsi" w:cstheme="minorHAnsi"/>
              </w:rPr>
              <w:t>means the Core Information Management System and the Wider Information Management System;</w:t>
            </w:r>
          </w:p>
        </w:tc>
      </w:tr>
      <w:tr w:rsidR="00C12E48" w:rsidRPr="00BD6C5F" w14:paraId="1B63FAED" w14:textId="77777777" w:rsidTr="00845F35">
        <w:tc>
          <w:tcPr>
            <w:tcW w:w="3572" w:type="dxa"/>
          </w:tcPr>
          <w:p w14:paraId="0BF508CA" w14:textId="1A248DCE" w:rsidR="00C12E48" w:rsidRPr="00BD6C5F" w:rsidRDefault="00A4555C" w:rsidP="00046EAD">
            <w:pPr>
              <w:pStyle w:val="Tabletext"/>
              <w:rPr>
                <w:rFonts w:asciiTheme="minorHAnsi" w:hAnsiTheme="minorHAnsi" w:cstheme="minorHAnsi"/>
                <w:b/>
                <w:bCs/>
              </w:rPr>
            </w:pPr>
            <w:r w:rsidRPr="00BD6C5F">
              <w:rPr>
                <w:rFonts w:asciiTheme="minorHAnsi" w:hAnsiTheme="minorHAnsi" w:cstheme="minorHAnsi"/>
                <w:b/>
              </w:rPr>
              <w:t>“</w:t>
            </w:r>
            <w:r w:rsidR="00C12E48" w:rsidRPr="00BD6C5F">
              <w:rPr>
                <w:rFonts w:asciiTheme="minorHAnsi" w:hAnsiTheme="minorHAnsi" w:cstheme="minorHAnsi"/>
                <w:b/>
              </w:rPr>
              <w:t>IT Health Check</w:t>
            </w:r>
            <w:r w:rsidRPr="00BD6C5F">
              <w:rPr>
                <w:rFonts w:asciiTheme="minorHAnsi" w:hAnsiTheme="minorHAnsi" w:cstheme="minorHAnsi"/>
                <w:b/>
              </w:rPr>
              <w:t>”</w:t>
            </w:r>
          </w:p>
        </w:tc>
        <w:tc>
          <w:tcPr>
            <w:tcW w:w="5953" w:type="dxa"/>
          </w:tcPr>
          <w:p w14:paraId="525ED6D1" w14:textId="6F282C97" w:rsidR="00C12E48" w:rsidRPr="00BD6C5F" w:rsidRDefault="00C12E48" w:rsidP="00046EAD">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Paragraph</w:t>
            </w:r>
            <w:r w:rsidR="00D02F86">
              <w:rPr>
                <w:rFonts w:asciiTheme="minorHAnsi" w:hAnsiTheme="minorHAnsi" w:cstheme="minorHAnsi"/>
              </w:rPr>
              <w:t> </w:t>
            </w:r>
            <w:r w:rsidR="00D02F86">
              <w:rPr>
                <w:rFonts w:asciiTheme="minorHAnsi" w:hAnsiTheme="minorHAnsi" w:cstheme="minorHAnsi"/>
              </w:rPr>
              <w:fldChar w:fldCharType="begin"/>
            </w:r>
            <w:r w:rsidR="00D02F86">
              <w:rPr>
                <w:rFonts w:asciiTheme="minorHAnsi" w:hAnsiTheme="minorHAnsi" w:cstheme="minorHAnsi"/>
              </w:rPr>
              <w:instrText xml:space="preserve"> REF _Ref98359337 \w \h </w:instrText>
            </w:r>
            <w:r w:rsidR="00D02F86">
              <w:rPr>
                <w:rFonts w:asciiTheme="minorHAnsi" w:hAnsiTheme="minorHAnsi" w:cstheme="minorHAnsi"/>
              </w:rPr>
            </w:r>
            <w:r w:rsidR="00D02F86">
              <w:rPr>
                <w:rFonts w:asciiTheme="minorHAnsi" w:hAnsiTheme="minorHAnsi" w:cstheme="minorHAnsi"/>
              </w:rPr>
              <w:fldChar w:fldCharType="separate"/>
            </w:r>
            <w:r w:rsidR="009749A0">
              <w:rPr>
                <w:rFonts w:asciiTheme="minorHAnsi" w:hAnsiTheme="minorHAnsi" w:cstheme="minorHAnsi"/>
              </w:rPr>
              <w:t>8.1</w:t>
            </w:r>
            <w:r w:rsidR="00D02F86">
              <w:rPr>
                <w:rFonts w:asciiTheme="minorHAnsi" w:hAnsiTheme="minorHAnsi" w:cstheme="minorHAnsi"/>
              </w:rPr>
              <w:fldChar w:fldCharType="end"/>
            </w:r>
            <w:r w:rsidRPr="00BD6C5F">
              <w:rPr>
                <w:rFonts w:asciiTheme="minorHAnsi" w:hAnsiTheme="minorHAnsi" w:cstheme="minorHAnsi"/>
              </w:rPr>
              <w:t>;</w:t>
            </w:r>
          </w:p>
        </w:tc>
      </w:tr>
      <w:tr w:rsidR="00046EAD" w:rsidRPr="00BD6C5F" w14:paraId="6F3B9A29" w14:textId="77777777" w:rsidTr="00845F35">
        <w:trPr>
          <w:trHeight w:val="20"/>
        </w:trPr>
        <w:tc>
          <w:tcPr>
            <w:tcW w:w="3572" w:type="dxa"/>
          </w:tcPr>
          <w:p w14:paraId="68875CDC" w14:textId="4779A362" w:rsidR="00046EAD" w:rsidRPr="00BD6C5F" w:rsidRDefault="00046EAD" w:rsidP="00046EAD">
            <w:pPr>
              <w:pStyle w:val="Tabletext"/>
              <w:rPr>
                <w:rFonts w:asciiTheme="minorHAnsi" w:hAnsiTheme="minorHAnsi" w:cstheme="minorHAnsi"/>
                <w:b/>
                <w:bCs/>
              </w:rPr>
            </w:pPr>
            <w:r w:rsidRPr="00BD6C5F">
              <w:rPr>
                <w:rFonts w:asciiTheme="minorHAnsi" w:hAnsiTheme="minorHAnsi" w:cstheme="minorHAnsi"/>
                <w:b/>
                <w:bCs/>
              </w:rPr>
              <w:t>“Medium Risk Sub-contractor”</w:t>
            </w:r>
          </w:p>
        </w:tc>
        <w:tc>
          <w:tcPr>
            <w:tcW w:w="5953" w:type="dxa"/>
          </w:tcPr>
          <w:p w14:paraId="073C10B0" w14:textId="77777777" w:rsidR="00046EAD" w:rsidRPr="00BD6C5F" w:rsidRDefault="00046EAD" w:rsidP="00046EAD">
            <w:pPr>
              <w:pStyle w:val="Tabletext"/>
              <w:rPr>
                <w:rFonts w:asciiTheme="minorHAnsi" w:hAnsiTheme="minorHAnsi" w:cstheme="minorHAnsi"/>
              </w:rPr>
            </w:pPr>
            <w:r w:rsidRPr="00BD6C5F">
              <w:rPr>
                <w:rFonts w:asciiTheme="minorHAnsi" w:hAnsiTheme="minorHAnsi" w:cstheme="minorHAnsi"/>
              </w:rPr>
              <w:t xml:space="preserve">means a Sub-contractor that Processes </w:t>
            </w:r>
            <w:r w:rsidRPr="00BD6C5F">
              <w:t>Authority</w:t>
            </w:r>
            <w:r w:rsidRPr="00BD6C5F">
              <w:rPr>
                <w:rFonts w:asciiTheme="minorHAnsi" w:hAnsiTheme="minorHAnsi" w:cstheme="minorHAnsi"/>
              </w:rPr>
              <w:t xml:space="preserve"> Data[</w:t>
            </w:r>
            <w:r w:rsidRPr="00BD6C5F">
              <w:rPr>
                <w:rFonts w:asciiTheme="minorHAnsi" w:hAnsiTheme="minorHAnsi" w:cstheme="minorHAnsi"/>
                <w:shd w:val="clear" w:color="auto" w:fill="FFFF00"/>
              </w:rPr>
              <w:t>, where that data:</w:t>
            </w:r>
          </w:p>
          <w:p w14:paraId="2658D900" w14:textId="33C08206" w:rsidR="00046EAD" w:rsidRPr="00BD6C5F" w:rsidRDefault="00046EAD" w:rsidP="00845F35">
            <w:pPr>
              <w:pStyle w:val="Tablea"/>
              <w:rPr>
                <w:highlight w:val="yellow"/>
              </w:rPr>
            </w:pPr>
            <w:r w:rsidRPr="00BD6C5F">
              <w:rPr>
                <w:highlight w:val="yellow"/>
              </w:rPr>
              <w:t>includes the Personal Data of between 100 and 999 individuals (inclusive) in the period between the first Operational Service Commencement Date and the date on which this Contract terminates in accordance with Clause 4.1</w:t>
            </w:r>
            <w:r w:rsidR="006509FE">
              <w:rPr>
                <w:highlight w:val="yellow"/>
              </w:rPr>
              <w:t>.2</w:t>
            </w:r>
            <w:r w:rsidRPr="00BD6C5F">
              <w:rPr>
                <w:highlight w:val="yellow"/>
              </w:rPr>
              <w:t>; and</w:t>
            </w:r>
          </w:p>
          <w:p w14:paraId="2C024C73" w14:textId="39899D28" w:rsidR="00046EAD" w:rsidRPr="00BD6C5F" w:rsidRDefault="00046EAD" w:rsidP="003A5D4B">
            <w:pPr>
              <w:pStyle w:val="Tablea"/>
            </w:pPr>
            <w:r w:rsidRPr="00BD6C5F">
              <w:rPr>
                <w:highlight w:val="yellow"/>
              </w:rPr>
              <w:t>does not include Special Category Personal Data;]</w:t>
            </w:r>
          </w:p>
        </w:tc>
      </w:tr>
      <w:tr w:rsidR="00BC7DDA" w:rsidRPr="00BD6C5F" w14:paraId="5FF3858B" w14:textId="77777777" w:rsidTr="00845F35">
        <w:tc>
          <w:tcPr>
            <w:tcW w:w="3572" w:type="dxa"/>
          </w:tcPr>
          <w:p w14:paraId="2CE84F25" w14:textId="68CDC433"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Process</w:t>
            </w:r>
            <w:r w:rsidRPr="00BD6C5F">
              <w:rPr>
                <w:rFonts w:asciiTheme="minorHAnsi" w:hAnsiTheme="minorHAnsi" w:cstheme="minorHAnsi"/>
                <w:b/>
              </w:rPr>
              <w:t>”</w:t>
            </w:r>
          </w:p>
        </w:tc>
        <w:tc>
          <w:tcPr>
            <w:tcW w:w="5953" w:type="dxa"/>
          </w:tcPr>
          <w:p w14:paraId="67310E03"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means any operation which is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p>
        </w:tc>
      </w:tr>
      <w:tr w:rsidR="007813CD" w:rsidRPr="00BD6C5F" w14:paraId="6E6F11ED" w14:textId="77777777" w:rsidTr="00845F35">
        <w:tc>
          <w:tcPr>
            <w:tcW w:w="3572" w:type="dxa"/>
          </w:tcPr>
          <w:p w14:paraId="1E9D72A8" w14:textId="1730CB3D" w:rsidR="007813CD"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7813CD" w:rsidRPr="00BD6C5F">
              <w:rPr>
                <w:rFonts w:asciiTheme="minorHAnsi" w:hAnsiTheme="minorHAnsi" w:cstheme="minorHAnsi"/>
                <w:b/>
              </w:rPr>
              <w:t>Remediation Action Plan</w:t>
            </w:r>
            <w:r w:rsidRPr="00BD6C5F">
              <w:rPr>
                <w:rFonts w:asciiTheme="minorHAnsi" w:hAnsiTheme="minorHAnsi" w:cstheme="minorHAnsi"/>
                <w:b/>
              </w:rPr>
              <w:t>”</w:t>
            </w:r>
          </w:p>
        </w:tc>
        <w:tc>
          <w:tcPr>
            <w:tcW w:w="5953" w:type="dxa"/>
          </w:tcPr>
          <w:p w14:paraId="19445B4B" w14:textId="0254EC90" w:rsidR="007813CD" w:rsidRPr="00BD6C5F" w:rsidRDefault="007813CD" w:rsidP="00046EAD">
            <w:pPr>
              <w:pStyle w:val="Tabletext"/>
              <w:rPr>
                <w:rFonts w:asciiTheme="minorHAnsi" w:hAnsiTheme="minorHAnsi" w:cstheme="minorHAnsi"/>
              </w:rPr>
            </w:pPr>
            <w:r w:rsidRPr="00BD6C5F">
              <w:rPr>
                <w:rFonts w:asciiTheme="minorHAnsi" w:hAnsiTheme="minorHAnsi" w:cstheme="minorHAnsi"/>
              </w:rPr>
              <w:t xml:space="preserve">has </w:t>
            </w:r>
            <w:r w:rsidRPr="00BD6C5F">
              <w:t>the</w:t>
            </w:r>
            <w:r w:rsidRPr="00BD6C5F">
              <w:rPr>
                <w:rFonts w:asciiTheme="minorHAnsi" w:hAnsiTheme="minorHAnsi" w:cstheme="minorHAnsi"/>
              </w:rPr>
              <w:t xml:space="preserve"> meaning given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_Ref98360534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8.3.3(a)</w:t>
            </w:r>
            <w:r w:rsidR="00C12E48"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011AD7EE" w14:textId="77777777" w:rsidTr="00845F35">
        <w:tc>
          <w:tcPr>
            <w:tcW w:w="3572" w:type="dxa"/>
          </w:tcPr>
          <w:p w14:paraId="1C571A63" w14:textId="427A44CD"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Required Changes Register</w:t>
            </w:r>
            <w:r w:rsidRPr="00BD6C5F">
              <w:rPr>
                <w:rFonts w:asciiTheme="minorHAnsi" w:hAnsiTheme="minorHAnsi" w:cstheme="minorHAnsi"/>
                <w:b/>
              </w:rPr>
              <w:t>”</w:t>
            </w:r>
          </w:p>
        </w:tc>
        <w:tc>
          <w:tcPr>
            <w:tcW w:w="5953" w:type="dxa"/>
          </w:tcPr>
          <w:p w14:paraId="549C093A" w14:textId="2A84D1DE"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register forming part of the Security </w:t>
            </w:r>
            <w:r w:rsidRPr="00BD6C5F">
              <w:t>Management</w:t>
            </w:r>
            <w:r w:rsidRPr="00BD6C5F">
              <w:rPr>
                <w:rFonts w:asciiTheme="minorHAnsi" w:hAnsiTheme="minorHAnsi" w:cstheme="minorHAnsi"/>
              </w:rPr>
              <w:t xml:space="preserve"> Plan which records each of the changes that the Supplier has agreed with the Authority shall be made to the Core Information Management System </w:t>
            </w:r>
            <w:r w:rsidRPr="00BD6C5F">
              <w:rPr>
                <w:rFonts w:asciiTheme="minorHAnsi" w:hAnsiTheme="minorHAnsi" w:cstheme="minorHAnsi"/>
              </w:rPr>
              <w:lastRenderedPageBreak/>
              <w:t xml:space="preserve">and/or the Security Management Plan as a consequence of the occurrence of any of the events set out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_Ref98360556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6.15.1</w:t>
            </w:r>
            <w:r w:rsidR="00C12E48" w:rsidRPr="00BD6C5F">
              <w:rPr>
                <w:rFonts w:asciiTheme="minorHAnsi" w:hAnsiTheme="minorHAnsi" w:cstheme="minorHAnsi"/>
              </w:rPr>
              <w:fldChar w:fldCharType="end"/>
            </w:r>
            <w:r w:rsidRPr="00BD6C5F">
              <w:rPr>
                <w:rFonts w:asciiTheme="minorHAnsi" w:hAnsiTheme="minorHAnsi" w:cstheme="minorHAnsi"/>
              </w:rPr>
              <w:t xml:space="preserve"> together with the date on which each such change shall be implemented and the date on which each such change was implemented;</w:t>
            </w:r>
          </w:p>
        </w:tc>
      </w:tr>
      <w:tr w:rsidR="00BC7DDA" w:rsidRPr="00BD6C5F" w14:paraId="7811E462" w14:textId="77777777" w:rsidTr="00845F35">
        <w:tc>
          <w:tcPr>
            <w:tcW w:w="3572" w:type="dxa"/>
          </w:tcPr>
          <w:p w14:paraId="7DDA817A" w14:textId="38D158E0"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lastRenderedPageBreak/>
              <w:t>“</w:t>
            </w:r>
            <w:r w:rsidR="007813CD" w:rsidRPr="00BD6C5F">
              <w:rPr>
                <w:rFonts w:asciiTheme="minorHAnsi" w:hAnsiTheme="minorHAnsi" w:cstheme="minorHAnsi"/>
                <w:b/>
                <w:bCs/>
              </w:rPr>
              <w:t xml:space="preserve">Residual </w:t>
            </w:r>
            <w:r w:rsidR="009B03E9" w:rsidRPr="00BD6C5F">
              <w:rPr>
                <w:rFonts w:asciiTheme="minorHAnsi" w:hAnsiTheme="minorHAnsi" w:cstheme="minorHAnsi"/>
                <w:b/>
              </w:rPr>
              <w:t>Risk Statement</w:t>
            </w:r>
            <w:r w:rsidRPr="00BD6C5F">
              <w:rPr>
                <w:rFonts w:asciiTheme="minorHAnsi" w:hAnsiTheme="minorHAnsi" w:cstheme="minorHAnsi"/>
                <w:b/>
              </w:rPr>
              <w:t>”</w:t>
            </w:r>
          </w:p>
        </w:tc>
        <w:tc>
          <w:tcPr>
            <w:tcW w:w="5953" w:type="dxa"/>
          </w:tcPr>
          <w:p w14:paraId="42A6121E" w14:textId="7777777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a notice issued by the Authority which sets out the information risks associated with using the Core Information Management System and confirms that the Authority is satisfied that the </w:t>
            </w:r>
            <w:r w:rsidRPr="00BD6C5F">
              <w:t>identified</w:t>
            </w:r>
            <w:r w:rsidRPr="00BD6C5F">
              <w:rPr>
                <w:rFonts w:asciiTheme="minorHAnsi" w:hAnsiTheme="minorHAnsi" w:cstheme="minorHAnsi"/>
              </w:rPr>
              <w:t xml:space="preserve"> risks have been adequately and appropriately addressed and that the residual risks are understood and accepted by the Authority;</w:t>
            </w:r>
          </w:p>
        </w:tc>
      </w:tr>
      <w:tr w:rsidR="00BC7DDA" w:rsidRPr="00BD6C5F" w14:paraId="2E0035C1" w14:textId="77777777" w:rsidTr="00845F35">
        <w:tc>
          <w:tcPr>
            <w:tcW w:w="3572" w:type="dxa"/>
          </w:tcPr>
          <w:p w14:paraId="61737B7C" w14:textId="4B2BAA2D"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Risk Management Reject Notice</w:t>
            </w:r>
            <w:r w:rsidRPr="00BD6C5F">
              <w:rPr>
                <w:rFonts w:asciiTheme="minorHAnsi" w:hAnsiTheme="minorHAnsi" w:cstheme="minorHAnsi"/>
                <w:b/>
              </w:rPr>
              <w:t>”</w:t>
            </w:r>
          </w:p>
        </w:tc>
        <w:tc>
          <w:tcPr>
            <w:tcW w:w="5953" w:type="dxa"/>
          </w:tcPr>
          <w:p w14:paraId="265535DD" w14:textId="2E23E30C"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has </w:t>
            </w:r>
            <w:r w:rsidRPr="00BD6C5F">
              <w:t>the</w:t>
            </w:r>
            <w:r w:rsidRPr="00BD6C5F">
              <w:rPr>
                <w:rFonts w:asciiTheme="minorHAnsi" w:hAnsiTheme="minorHAnsi" w:cstheme="minorHAnsi"/>
              </w:rPr>
              <w:t xml:space="preserve"> meaning given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_Ref98355125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6.8.2</w:t>
            </w:r>
            <w:r w:rsidR="00C12E48"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9C54019" w14:textId="77777777" w:rsidTr="00845F35">
        <w:tc>
          <w:tcPr>
            <w:tcW w:w="3572" w:type="dxa"/>
          </w:tcPr>
          <w:p w14:paraId="591AF81E" w14:textId="51F34AC7"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Security Management Plan</w:t>
            </w:r>
            <w:r w:rsidRPr="00BD6C5F">
              <w:rPr>
                <w:rFonts w:asciiTheme="minorHAnsi" w:hAnsiTheme="minorHAnsi" w:cstheme="minorHAnsi"/>
                <w:b/>
              </w:rPr>
              <w:t>”</w:t>
            </w:r>
          </w:p>
        </w:tc>
        <w:tc>
          <w:tcPr>
            <w:tcW w:w="5953" w:type="dxa"/>
          </w:tcPr>
          <w:p w14:paraId="7AAD69EA" w14:textId="4F6B507D"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_Ref98360583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6.5</w:t>
            </w:r>
            <w:r w:rsidR="00C12E48"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51833F4F" w14:textId="77777777" w:rsidTr="00845F35">
        <w:tc>
          <w:tcPr>
            <w:tcW w:w="3572" w:type="dxa"/>
          </w:tcPr>
          <w:p w14:paraId="4F38F64B" w14:textId="3CB8A20B"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Security Test</w:t>
            </w:r>
            <w:r w:rsidRPr="00BD6C5F">
              <w:rPr>
                <w:rFonts w:asciiTheme="minorHAnsi" w:hAnsiTheme="minorHAnsi" w:cstheme="minorHAnsi"/>
                <w:b/>
              </w:rPr>
              <w:t>”</w:t>
            </w:r>
          </w:p>
        </w:tc>
        <w:tc>
          <w:tcPr>
            <w:tcW w:w="5953" w:type="dxa"/>
          </w:tcPr>
          <w:p w14:paraId="574D74B6" w14:textId="6D7A9D57"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_Ref98359337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8.1</w:t>
            </w:r>
            <w:r w:rsidR="00C12E48" w:rsidRPr="00BD6C5F">
              <w:rPr>
                <w:rFonts w:asciiTheme="minorHAnsi" w:hAnsiTheme="minorHAnsi" w:cstheme="minorHAnsi"/>
              </w:rPr>
              <w:fldChar w:fldCharType="end"/>
            </w:r>
            <w:r w:rsidRPr="00BD6C5F">
              <w:rPr>
                <w:rFonts w:asciiTheme="minorHAnsi" w:hAnsiTheme="minorHAnsi" w:cstheme="minorHAnsi"/>
              </w:rPr>
              <w:t>; and</w:t>
            </w:r>
          </w:p>
        </w:tc>
      </w:tr>
      <w:tr w:rsidR="00BC7DDA" w:rsidRPr="00BD6C5F" w14:paraId="530233D7" w14:textId="77777777" w:rsidTr="00845F35">
        <w:tc>
          <w:tcPr>
            <w:tcW w:w="3572" w:type="dxa"/>
          </w:tcPr>
          <w:p w14:paraId="06CE2405" w14:textId="24A47B66"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Special Category Personal Data</w:t>
            </w:r>
            <w:r w:rsidRPr="00BD6C5F">
              <w:rPr>
                <w:rFonts w:asciiTheme="minorHAnsi" w:hAnsiTheme="minorHAnsi" w:cstheme="minorHAnsi"/>
                <w:b/>
              </w:rPr>
              <w:t>”</w:t>
            </w:r>
          </w:p>
        </w:tc>
        <w:tc>
          <w:tcPr>
            <w:tcW w:w="5953" w:type="dxa"/>
          </w:tcPr>
          <w:p w14:paraId="2D488AD1" w14:textId="4E01C321"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the categories of Personal Data set out in </w:t>
            </w:r>
            <w:r w:rsidRPr="00BD6C5F">
              <w:t>article</w:t>
            </w:r>
            <w:r w:rsidRPr="00BD6C5F">
              <w:rPr>
                <w:rFonts w:asciiTheme="minorHAnsi" w:hAnsiTheme="minorHAnsi" w:cstheme="minorHAnsi"/>
              </w:rPr>
              <w:t xml:space="preserve"> 9(1)</w:t>
            </w:r>
            <w:r w:rsidR="00574273">
              <w:rPr>
                <w:rFonts w:asciiTheme="minorHAnsi" w:hAnsiTheme="minorHAnsi" w:cstheme="minorHAnsi"/>
              </w:rPr>
              <w:t xml:space="preserve"> and article 10</w:t>
            </w:r>
            <w:r w:rsidRPr="00BD6C5F">
              <w:rPr>
                <w:rFonts w:asciiTheme="minorHAnsi" w:hAnsiTheme="minorHAnsi" w:cstheme="minorHAnsi"/>
              </w:rPr>
              <w:t xml:space="preserve"> of the</w:t>
            </w:r>
            <w:r w:rsidR="007813CD" w:rsidRPr="00BD6C5F">
              <w:rPr>
                <w:rFonts w:asciiTheme="minorHAnsi" w:hAnsiTheme="minorHAnsi" w:cstheme="minorHAnsi"/>
              </w:rPr>
              <w:t xml:space="preserve"> UK</w:t>
            </w:r>
            <w:r w:rsidRPr="00BD6C5F">
              <w:rPr>
                <w:rFonts w:asciiTheme="minorHAnsi" w:hAnsiTheme="minorHAnsi" w:cstheme="minorHAnsi"/>
              </w:rPr>
              <w:t xml:space="preserve"> GDPR.</w:t>
            </w:r>
          </w:p>
        </w:tc>
      </w:tr>
      <w:tr w:rsidR="00BC7DDA" w:rsidRPr="00BD6C5F" w14:paraId="15617A46" w14:textId="77777777" w:rsidTr="00845F35">
        <w:tc>
          <w:tcPr>
            <w:tcW w:w="3572" w:type="dxa"/>
          </w:tcPr>
          <w:p w14:paraId="168B96A0" w14:textId="4DA09559"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Statement of Information Risk Appetite</w:t>
            </w:r>
            <w:r w:rsidRPr="00BD6C5F">
              <w:rPr>
                <w:rFonts w:asciiTheme="minorHAnsi" w:hAnsiTheme="minorHAnsi" w:cstheme="minorHAnsi"/>
                <w:b/>
              </w:rPr>
              <w:t>”</w:t>
            </w:r>
          </w:p>
        </w:tc>
        <w:tc>
          <w:tcPr>
            <w:tcW w:w="5953" w:type="dxa"/>
          </w:tcPr>
          <w:p w14:paraId="041E3199" w14:textId="6AD2B2CF"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has </w:t>
            </w:r>
            <w:r w:rsidRPr="00BD6C5F">
              <w:t>the</w:t>
            </w:r>
            <w:r w:rsidRPr="00BD6C5F">
              <w:rPr>
                <w:rFonts w:asciiTheme="minorHAnsi" w:hAnsiTheme="minorHAnsi" w:cstheme="minorHAnsi"/>
              </w:rPr>
              <w:t xml:space="preserve"> meaning given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_Ref98360611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5.1</w:t>
            </w:r>
            <w:r w:rsidR="00C12E48"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3042AF1" w14:textId="77777777" w:rsidTr="00845F35">
        <w:tc>
          <w:tcPr>
            <w:tcW w:w="3572" w:type="dxa"/>
          </w:tcPr>
          <w:p w14:paraId="579C920A" w14:textId="29930831"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Sub-contractor Security Requirements</w:t>
            </w:r>
            <w:r w:rsidRPr="00BD6C5F">
              <w:rPr>
                <w:rFonts w:asciiTheme="minorHAnsi" w:hAnsiTheme="minorHAnsi" w:cstheme="minorHAnsi"/>
                <w:b/>
              </w:rPr>
              <w:t>”</w:t>
            </w:r>
          </w:p>
        </w:tc>
        <w:tc>
          <w:tcPr>
            <w:tcW w:w="5953" w:type="dxa"/>
          </w:tcPr>
          <w:p w14:paraId="2C9B75D5" w14:textId="7CBF84D2"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 xml:space="preserve">means those </w:t>
            </w:r>
            <w:r w:rsidRPr="00BD6C5F">
              <w:t>requirements</w:t>
            </w:r>
            <w:r w:rsidRPr="00BD6C5F">
              <w:rPr>
                <w:rFonts w:asciiTheme="minorHAnsi" w:hAnsiTheme="minorHAnsi" w:cstheme="minorHAnsi"/>
              </w:rPr>
              <w:t xml:space="preserve"> set out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Schedule_5_Part_A_Annex_2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2</w:t>
            </w:r>
            <w:r w:rsidR="00C101F7">
              <w:rPr>
                <w:rFonts w:asciiTheme="minorHAnsi" w:hAnsiTheme="minorHAnsi" w:cstheme="minorHAnsi"/>
              </w:rPr>
              <w:fldChar w:fldCharType="end"/>
            </w:r>
            <w:r w:rsidR="00C101F7">
              <w:t xml:space="preserve"> of this Part </w:t>
            </w:r>
            <w:r w:rsidR="00C101F7">
              <w:fldChar w:fldCharType="begin"/>
            </w:r>
            <w:r w:rsidR="00C101F7">
              <w:instrText xml:space="preserve"> REF Schedule_5_Part_A \h </w:instrText>
            </w:r>
            <w:r w:rsidR="00C101F7">
              <w:fldChar w:fldCharType="separate"/>
            </w:r>
            <w:r w:rsidR="009749A0" w:rsidRPr="00BD6C5F">
              <w:t>A</w:t>
            </w:r>
            <w:r w:rsidR="00C101F7">
              <w:fldChar w:fldCharType="end"/>
            </w:r>
            <w:r w:rsidR="007813CD" w:rsidRPr="00BD6C5F">
              <w:rPr>
                <w:rFonts w:asciiTheme="minorHAnsi" w:hAnsiTheme="minorHAnsi" w:cstheme="minorHAnsi"/>
              </w:rPr>
              <w:t>; and</w:t>
            </w:r>
          </w:p>
        </w:tc>
      </w:tr>
      <w:tr w:rsidR="00BC7DDA" w:rsidRPr="00BD6C5F" w14:paraId="12F1C1E2" w14:textId="77777777" w:rsidTr="00845F35">
        <w:tc>
          <w:tcPr>
            <w:tcW w:w="3572" w:type="dxa"/>
          </w:tcPr>
          <w:p w14:paraId="655FF01A" w14:textId="675B6E53" w:rsidR="00BC7DDA" w:rsidRPr="00BD6C5F" w:rsidRDefault="00A4555C" w:rsidP="00046E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Wider Information Management System</w:t>
            </w:r>
            <w:r w:rsidRPr="00BD6C5F">
              <w:rPr>
                <w:rFonts w:asciiTheme="minorHAnsi" w:hAnsiTheme="minorHAnsi" w:cstheme="minorHAnsi"/>
                <w:b/>
              </w:rPr>
              <w:t>”</w:t>
            </w:r>
          </w:p>
        </w:tc>
        <w:tc>
          <w:tcPr>
            <w:tcW w:w="5953" w:type="dxa"/>
          </w:tcPr>
          <w:p w14:paraId="69E50B5C" w14:textId="1481460F" w:rsidR="00BC7DDA" w:rsidRPr="00BD6C5F" w:rsidRDefault="009B03E9" w:rsidP="00046EAD">
            <w:pPr>
              <w:pStyle w:val="Tabletext"/>
              <w:rPr>
                <w:rFonts w:asciiTheme="minorHAnsi" w:hAnsiTheme="minorHAnsi" w:cstheme="minorHAnsi"/>
              </w:rPr>
            </w:pPr>
            <w:r w:rsidRPr="00BD6C5F">
              <w:rPr>
                <w:rFonts w:asciiTheme="minorHAnsi" w:hAnsiTheme="minorHAnsi" w:cstheme="minorHAnsi"/>
              </w:rPr>
              <w:t>means those information assets, IT systems and/or Sites which will be used by the Supplier and/or its Sub-contractors to Process Authority Data which have not been determined by the Authority to form part of the Core Information Management System, together with the associated information management system (including organisational structure, controls, policies, practices, procedures,</w:t>
            </w:r>
            <w:r w:rsidR="00046EAD" w:rsidRPr="00BD6C5F">
              <w:rPr>
                <w:rFonts w:asciiTheme="minorHAnsi" w:hAnsiTheme="minorHAnsi" w:cstheme="minorHAnsi"/>
              </w:rPr>
              <w:t xml:space="preserve"> </w:t>
            </w:r>
            <w:r w:rsidRPr="00BD6C5F">
              <w:rPr>
                <w:rFonts w:asciiTheme="minorHAnsi" w:hAnsiTheme="minorHAnsi" w:cstheme="minorHAnsi"/>
              </w:rPr>
              <w:t>processes and resources).</w:t>
            </w:r>
          </w:p>
        </w:tc>
      </w:tr>
    </w:tbl>
    <w:p w14:paraId="4167F857" w14:textId="77777777" w:rsidR="00BC7DDA" w:rsidRPr="00BD6C5F" w:rsidRDefault="009B03E9" w:rsidP="007B7076">
      <w:pPr>
        <w:pStyle w:val="Numbered1"/>
      </w:pPr>
      <w:r w:rsidRPr="00BD6C5F">
        <w:t>Introduction</w:t>
      </w:r>
    </w:p>
    <w:p w14:paraId="4CAEF47A" w14:textId="56F196CA" w:rsidR="00BC7DDA" w:rsidRPr="00BD6C5F" w:rsidRDefault="009B03E9" w:rsidP="00247692">
      <w:pPr>
        <w:pStyle w:val="Numbered11"/>
        <w:keepNext/>
      </w:pPr>
      <w:r w:rsidRPr="00BD6C5F">
        <w:t>This</w:t>
      </w:r>
      <w:r w:rsidR="000E1EDB">
        <w:t xml:space="preserve"> Part </w:t>
      </w:r>
      <w:r w:rsidR="000E1EDB">
        <w:fldChar w:fldCharType="begin"/>
      </w:r>
      <w:r w:rsidR="000E1EDB">
        <w:instrText xml:space="preserve"> REF Schedule_5_Part_B \h </w:instrText>
      </w:r>
      <w:r w:rsidR="000E1EDB">
        <w:fldChar w:fldCharType="separate"/>
      </w:r>
      <w:r w:rsidR="009749A0" w:rsidRPr="00BD6C5F">
        <w:t>B</w:t>
      </w:r>
      <w:r w:rsidR="000E1EDB">
        <w:fldChar w:fldCharType="end"/>
      </w:r>
      <w:r w:rsidR="00AC1ECE" w:rsidRPr="00BD6C5F">
        <w:t xml:space="preserve"> of this</w:t>
      </w:r>
      <w:r w:rsidRPr="00BD6C5F">
        <w:t xml:space="preserve"> Schedule sets out:</w:t>
      </w:r>
    </w:p>
    <w:p w14:paraId="6EE5C21C" w14:textId="6CCFA23C" w:rsidR="00BC7DDA" w:rsidRPr="00BD6C5F" w:rsidRDefault="009B03E9" w:rsidP="007B7076">
      <w:pPr>
        <w:pStyle w:val="Numbered111"/>
      </w:pPr>
      <w:r w:rsidRPr="00BD6C5F">
        <w:t xml:space="preserve">the arrangements the Supplier must implement before, and comply with when, providing the Services and performing its other obligations under this </w:t>
      </w:r>
      <w:r w:rsidR="00AC1ECE" w:rsidRPr="00BD6C5F">
        <w:t>Contract</w:t>
      </w:r>
      <w:r w:rsidRPr="00BD6C5F">
        <w:t xml:space="preserve"> to ensure the security of the Authority Data, the IT Environment, the Services and the Information Management System;</w:t>
      </w:r>
    </w:p>
    <w:p w14:paraId="7F54AB8C" w14:textId="6BD46DB6" w:rsidR="00BC7DDA" w:rsidRPr="00BD6C5F" w:rsidRDefault="009B03E9" w:rsidP="007B7076">
      <w:pPr>
        <w:pStyle w:val="Numbered111"/>
      </w:pPr>
      <w:r w:rsidRPr="00BD6C5F">
        <w:t xml:space="preserve">the process which shall apply to the Accreditation of the Core Information Management System in Paragraph </w:t>
      </w:r>
      <w:r w:rsidR="00C12E48" w:rsidRPr="00BD6C5F">
        <w:fldChar w:fldCharType="begin"/>
      </w:r>
      <w:r w:rsidR="00C12E48" w:rsidRPr="00BD6C5F">
        <w:instrText xml:space="preserve"> REF _Ref98359275 \w \h </w:instrText>
      </w:r>
      <w:r w:rsidR="00914D6B" w:rsidRPr="00BD6C5F">
        <w:instrText xml:space="preserve"> \* MERGEFORMAT </w:instrText>
      </w:r>
      <w:r w:rsidR="00C12E48" w:rsidRPr="00BD6C5F">
        <w:fldChar w:fldCharType="separate"/>
      </w:r>
      <w:r w:rsidR="009749A0">
        <w:t>6</w:t>
      </w:r>
      <w:r w:rsidR="00C12E48" w:rsidRPr="00BD6C5F">
        <w:fldChar w:fldCharType="end"/>
      </w:r>
      <w:r w:rsidRPr="00BD6C5F">
        <w:t>;</w:t>
      </w:r>
    </w:p>
    <w:p w14:paraId="6E4611F8" w14:textId="40872AD2" w:rsidR="00BC7DDA" w:rsidRPr="00BD6C5F" w:rsidRDefault="009B03E9" w:rsidP="007B7076">
      <w:pPr>
        <w:pStyle w:val="Numbered111"/>
      </w:pPr>
      <w:r w:rsidRPr="00BD6C5F">
        <w:t xml:space="preserve">the Certification Requirements applicable to the Wider Information </w:t>
      </w:r>
      <w:r w:rsidRPr="00BD6C5F">
        <w:lastRenderedPageBreak/>
        <w:t xml:space="preserve">Management System in Paragraph </w:t>
      </w:r>
      <w:r w:rsidR="00C12E48" w:rsidRPr="00BD6C5F">
        <w:fldChar w:fldCharType="begin"/>
      </w:r>
      <w:r w:rsidR="00C12E48" w:rsidRPr="00BD6C5F">
        <w:instrText xml:space="preserve"> REF _Ref98360646 \w \h </w:instrText>
      </w:r>
      <w:r w:rsidR="00914D6B" w:rsidRPr="00BD6C5F">
        <w:instrText xml:space="preserve"> \* MERGEFORMAT </w:instrText>
      </w:r>
      <w:r w:rsidR="00C12E48" w:rsidRPr="00BD6C5F">
        <w:fldChar w:fldCharType="separate"/>
      </w:r>
      <w:r w:rsidR="009749A0">
        <w:t>7</w:t>
      </w:r>
      <w:r w:rsidR="00C12E48" w:rsidRPr="00BD6C5F">
        <w:fldChar w:fldCharType="end"/>
      </w:r>
      <w:r w:rsidRPr="00BD6C5F">
        <w:t>;</w:t>
      </w:r>
    </w:p>
    <w:p w14:paraId="112C3788" w14:textId="578532A7" w:rsidR="00BC7DDA" w:rsidRPr="00BD6C5F" w:rsidRDefault="009B03E9" w:rsidP="007B7076">
      <w:pPr>
        <w:pStyle w:val="Numbered111"/>
      </w:pPr>
      <w:r w:rsidRPr="00BD6C5F">
        <w:t xml:space="preserve">the Security Tests which the Supplier shall conduct during the </w:t>
      </w:r>
      <w:r w:rsidR="00AC1ECE" w:rsidRPr="00BD6C5F">
        <w:t>Contract</w:t>
      </w:r>
      <w:r w:rsidRPr="00BD6C5F">
        <w:t xml:space="preserve"> Period in Paragraph </w:t>
      </w:r>
      <w:r w:rsidR="00C12E48" w:rsidRPr="00BD6C5F">
        <w:fldChar w:fldCharType="begin"/>
      </w:r>
      <w:r w:rsidR="00C12E48" w:rsidRPr="00BD6C5F">
        <w:instrText xml:space="preserve"> REF _Ref98360656 \w \h </w:instrText>
      </w:r>
      <w:r w:rsidR="00914D6B" w:rsidRPr="00BD6C5F">
        <w:instrText xml:space="preserve"> \* MERGEFORMAT </w:instrText>
      </w:r>
      <w:r w:rsidR="00C12E48" w:rsidRPr="00BD6C5F">
        <w:fldChar w:fldCharType="separate"/>
      </w:r>
      <w:r w:rsidR="009749A0">
        <w:t>8</w:t>
      </w:r>
      <w:r w:rsidR="00C12E48" w:rsidRPr="00BD6C5F">
        <w:fldChar w:fldCharType="end"/>
      </w:r>
      <w:r w:rsidRPr="00BD6C5F">
        <w:t>;</w:t>
      </w:r>
    </w:p>
    <w:p w14:paraId="685B0730" w14:textId="73504702" w:rsidR="00BC7DDA" w:rsidRPr="00BD6C5F" w:rsidRDefault="009B03E9" w:rsidP="007B7076">
      <w:pPr>
        <w:pStyle w:val="Numbered111"/>
      </w:pPr>
      <w:r w:rsidRPr="00BD6C5F">
        <w:t xml:space="preserve">the Security Tests which the Authority may conduct during the </w:t>
      </w:r>
      <w:r w:rsidR="00AC1ECE" w:rsidRPr="00BD6C5F">
        <w:t>Contract</w:t>
      </w:r>
      <w:r w:rsidR="00522E39" w:rsidRPr="00BD6C5F">
        <w:t xml:space="preserve"> </w:t>
      </w:r>
      <w:r w:rsidRPr="00BD6C5F">
        <w:t xml:space="preserve">Period in Paragraph </w:t>
      </w:r>
      <w:r w:rsidR="00C12E48" w:rsidRPr="00BD6C5F">
        <w:fldChar w:fldCharType="begin"/>
      </w:r>
      <w:r w:rsidR="00C12E48" w:rsidRPr="00BD6C5F">
        <w:instrText xml:space="preserve"> REF _Ref98360668 \w \h </w:instrText>
      </w:r>
      <w:r w:rsidR="00AD7DD0" w:rsidRPr="00BD6C5F">
        <w:instrText xml:space="preserve"> \* MERGEFORMAT </w:instrText>
      </w:r>
      <w:r w:rsidR="00C12E48" w:rsidRPr="00BD6C5F">
        <w:fldChar w:fldCharType="separate"/>
      </w:r>
      <w:r w:rsidR="009749A0">
        <w:t>8.6</w:t>
      </w:r>
      <w:r w:rsidR="00C12E48" w:rsidRPr="00BD6C5F">
        <w:fldChar w:fldCharType="end"/>
      </w:r>
      <w:r w:rsidRPr="00BD6C5F">
        <w:t>;</w:t>
      </w:r>
    </w:p>
    <w:p w14:paraId="072FB1C7" w14:textId="2C811CA9" w:rsidR="00BC7DDA" w:rsidRPr="00BD6C5F" w:rsidRDefault="009B03E9" w:rsidP="007B7076">
      <w:pPr>
        <w:pStyle w:val="Numbered111"/>
        <w:rPr>
          <w:rFonts w:asciiTheme="minorHAnsi" w:hAnsiTheme="minorHAnsi" w:cstheme="minorHAnsi"/>
        </w:rPr>
      </w:pPr>
      <w:r w:rsidRPr="00BD6C5F">
        <w:t>the requirements to patch vulnerabilities in the Core Information Management S</w:t>
      </w:r>
      <w:r w:rsidRPr="00BD6C5F">
        <w:rPr>
          <w:rFonts w:asciiTheme="minorHAnsi" w:hAnsiTheme="minorHAnsi" w:cstheme="minorHAnsi"/>
        </w:rPr>
        <w:t xml:space="preserve">ystem in Paragraph </w:t>
      </w:r>
      <w:r w:rsidR="00C12E48" w:rsidRPr="00BD6C5F">
        <w:rPr>
          <w:rFonts w:asciiTheme="minorHAnsi" w:hAnsiTheme="minorHAnsi" w:cstheme="minorHAnsi"/>
        </w:rPr>
        <w:fldChar w:fldCharType="begin"/>
      </w:r>
      <w:r w:rsidR="00C12E48" w:rsidRPr="00BD6C5F">
        <w:rPr>
          <w:rFonts w:asciiTheme="minorHAnsi" w:hAnsiTheme="minorHAnsi" w:cstheme="minorHAnsi"/>
        </w:rPr>
        <w:instrText xml:space="preserve"> REF _Ref98360677 \w \h </w:instrText>
      </w:r>
      <w:r w:rsidR="00AD7DD0" w:rsidRPr="00BD6C5F">
        <w:rPr>
          <w:rFonts w:asciiTheme="minorHAnsi" w:hAnsiTheme="minorHAnsi" w:cstheme="minorHAnsi"/>
        </w:rPr>
        <w:instrText xml:space="preserve"> \* MERGEFORMAT </w:instrText>
      </w:r>
      <w:r w:rsidR="00C12E48" w:rsidRPr="00BD6C5F">
        <w:rPr>
          <w:rFonts w:asciiTheme="minorHAnsi" w:hAnsiTheme="minorHAnsi" w:cstheme="minorHAnsi"/>
        </w:rPr>
      </w:r>
      <w:r w:rsidR="00C12E48" w:rsidRPr="00BD6C5F">
        <w:rPr>
          <w:rFonts w:asciiTheme="minorHAnsi" w:hAnsiTheme="minorHAnsi" w:cstheme="minorHAnsi"/>
        </w:rPr>
        <w:fldChar w:fldCharType="separate"/>
      </w:r>
      <w:r w:rsidR="009749A0">
        <w:rPr>
          <w:rFonts w:asciiTheme="minorHAnsi" w:hAnsiTheme="minorHAnsi" w:cstheme="minorHAnsi"/>
        </w:rPr>
        <w:t>9</w:t>
      </w:r>
      <w:r w:rsidR="00C12E48" w:rsidRPr="00BD6C5F">
        <w:rPr>
          <w:rFonts w:asciiTheme="minorHAnsi" w:hAnsiTheme="minorHAnsi" w:cstheme="minorHAnsi"/>
        </w:rPr>
        <w:fldChar w:fldCharType="end"/>
      </w:r>
      <w:r w:rsidRPr="00BD6C5F">
        <w:rPr>
          <w:rFonts w:asciiTheme="minorHAnsi" w:hAnsiTheme="minorHAnsi" w:cstheme="minorHAnsi"/>
        </w:rPr>
        <w:t>;</w:t>
      </w:r>
    </w:p>
    <w:p w14:paraId="126E9D68" w14:textId="4634EC6E" w:rsidR="00BC7DDA" w:rsidRPr="00BD6C5F" w:rsidRDefault="009B03E9" w:rsidP="007B7076">
      <w:pPr>
        <w:pStyle w:val="Numbered111"/>
      </w:pPr>
      <w:r w:rsidRPr="00BD6C5F">
        <w:t>the obligations on the Supplier to prevent the introduction of Malicious Software into the Information Management System and to scan for, contain the spread of, and minimise the impact of</w:t>
      </w:r>
      <w:r w:rsidR="00C12E48" w:rsidRPr="00BD6C5F">
        <w:t xml:space="preserve"> </w:t>
      </w:r>
      <w:r w:rsidRPr="00BD6C5F">
        <w:t xml:space="preserve">Malicious Software which is introduced into the Information Management System in Paragraph </w:t>
      </w:r>
      <w:r w:rsidR="00C12E48" w:rsidRPr="00BD6C5F">
        <w:fldChar w:fldCharType="begin"/>
      </w:r>
      <w:r w:rsidR="00C12E48" w:rsidRPr="00BD6C5F">
        <w:instrText xml:space="preserve"> REF _Ref98360715 \w \h </w:instrText>
      </w:r>
      <w:r w:rsidR="00AD7DD0" w:rsidRPr="00BD6C5F">
        <w:instrText xml:space="preserve"> \* MERGEFORMAT </w:instrText>
      </w:r>
      <w:r w:rsidR="00C12E48" w:rsidRPr="00BD6C5F">
        <w:fldChar w:fldCharType="separate"/>
      </w:r>
      <w:r w:rsidR="009749A0">
        <w:t>10</w:t>
      </w:r>
      <w:r w:rsidR="00C12E48" w:rsidRPr="00BD6C5F">
        <w:fldChar w:fldCharType="end"/>
      </w:r>
      <w:r w:rsidRPr="00BD6C5F">
        <w:t>; and</w:t>
      </w:r>
    </w:p>
    <w:p w14:paraId="38995016" w14:textId="1648EAFE" w:rsidR="00BC7DDA" w:rsidRPr="00BD6C5F" w:rsidRDefault="009B03E9" w:rsidP="007B7076">
      <w:pPr>
        <w:pStyle w:val="Numbered111"/>
      </w:pPr>
      <w:r w:rsidRPr="00BD6C5F">
        <w:t>each Party</w:t>
      </w:r>
      <w:r w:rsidR="00A4555C" w:rsidRPr="00BD6C5F">
        <w:t>’</w:t>
      </w:r>
      <w:r w:rsidRPr="00BD6C5F">
        <w:t xml:space="preserve">s obligations in the event of an actual or attempted Breach of Security in Paragraph </w:t>
      </w:r>
      <w:r w:rsidR="00C12E48" w:rsidRPr="00BD6C5F">
        <w:fldChar w:fldCharType="begin"/>
      </w:r>
      <w:r w:rsidR="00C12E48" w:rsidRPr="00BD6C5F">
        <w:instrText xml:space="preserve"> REF _Ref98360725 \w \h </w:instrText>
      </w:r>
      <w:r w:rsidR="00AD7DD0" w:rsidRPr="00BD6C5F">
        <w:instrText xml:space="preserve"> \* MERGEFORMAT </w:instrText>
      </w:r>
      <w:r w:rsidR="00C12E48" w:rsidRPr="00BD6C5F">
        <w:fldChar w:fldCharType="separate"/>
      </w:r>
      <w:r w:rsidR="009749A0">
        <w:t>11</w:t>
      </w:r>
      <w:r w:rsidR="00C12E48" w:rsidRPr="00BD6C5F">
        <w:fldChar w:fldCharType="end"/>
      </w:r>
      <w:r w:rsidRPr="00BD6C5F">
        <w:t>.</w:t>
      </w:r>
    </w:p>
    <w:p w14:paraId="6CA22365" w14:textId="77777777" w:rsidR="00BC7DDA" w:rsidRPr="00BD6C5F" w:rsidRDefault="009B03E9" w:rsidP="007B7076">
      <w:pPr>
        <w:pStyle w:val="Numbered1"/>
      </w:pPr>
      <w:r w:rsidRPr="00BD6C5F">
        <w:t>Principles of Security</w:t>
      </w:r>
    </w:p>
    <w:p w14:paraId="2334DDDE" w14:textId="77777777" w:rsidR="00BC7DDA" w:rsidRPr="00BD6C5F" w:rsidRDefault="009B03E9" w:rsidP="00247692">
      <w:pPr>
        <w:pStyle w:val="Numbered11"/>
        <w:keepNext/>
      </w:pPr>
      <w:r w:rsidRPr="00BD6C5F">
        <w:t>The Supplier acknowledges that the Authority places great emphasis on the confidentiality, integrity and availability of the Authority Data and, consequently on the security of:</w:t>
      </w:r>
    </w:p>
    <w:p w14:paraId="3E305102" w14:textId="77777777" w:rsidR="00BC7DDA" w:rsidRPr="00BD6C5F" w:rsidRDefault="009B03E9" w:rsidP="007B7076">
      <w:pPr>
        <w:pStyle w:val="Numbered111"/>
      </w:pPr>
      <w:r w:rsidRPr="00BD6C5F">
        <w:t>the Sites;</w:t>
      </w:r>
    </w:p>
    <w:p w14:paraId="5EA09EE1" w14:textId="77777777" w:rsidR="00BC7DDA" w:rsidRPr="00BD6C5F" w:rsidRDefault="009B03E9" w:rsidP="007B7076">
      <w:pPr>
        <w:pStyle w:val="Numbered111"/>
      </w:pPr>
      <w:r w:rsidRPr="00BD6C5F">
        <w:t>the IT Environment;</w:t>
      </w:r>
    </w:p>
    <w:p w14:paraId="52FBFFD2" w14:textId="77777777" w:rsidR="00BC7DDA" w:rsidRPr="00BD6C5F" w:rsidRDefault="009B03E9" w:rsidP="007B7076">
      <w:pPr>
        <w:pStyle w:val="Numbered111"/>
      </w:pPr>
      <w:r w:rsidRPr="00BD6C5F">
        <w:t>the Services; and</w:t>
      </w:r>
    </w:p>
    <w:p w14:paraId="2891EC37" w14:textId="77777777" w:rsidR="00BC7DDA" w:rsidRPr="00BD6C5F" w:rsidRDefault="009B03E9" w:rsidP="007B7076">
      <w:pPr>
        <w:pStyle w:val="Numbered111"/>
      </w:pPr>
      <w:r w:rsidRPr="00BD6C5F">
        <w:t>the Core Information Management System.</w:t>
      </w:r>
    </w:p>
    <w:p w14:paraId="011FB40E" w14:textId="77777777" w:rsidR="00BC7DDA" w:rsidRPr="00BD6C5F" w:rsidRDefault="009B03E9" w:rsidP="00247692">
      <w:pPr>
        <w:pStyle w:val="Numbered11"/>
        <w:keepNext/>
      </w:pPr>
      <w:r w:rsidRPr="00BD6C5F">
        <w:t>Notwithstanding the involvement of the Authority in the Accreditation of the Core Information Management System, the Supplier shall be and shall remain responsible for:</w:t>
      </w:r>
    </w:p>
    <w:p w14:paraId="384B27CC" w14:textId="77777777" w:rsidR="00BC7DDA" w:rsidRPr="00BD6C5F" w:rsidRDefault="009B03E9" w:rsidP="007B7076">
      <w:pPr>
        <w:pStyle w:val="Numbered111"/>
      </w:pPr>
      <w:r w:rsidRPr="00BD6C5F">
        <w:t>the security, confidentiality, integrity and availability of the Authority Data whilst that Authority Data is under the control of the Supplier or any of its Sub-contractors; and</w:t>
      </w:r>
    </w:p>
    <w:p w14:paraId="3642851E" w14:textId="77777777" w:rsidR="00BC7DDA" w:rsidRPr="00BD6C5F" w:rsidRDefault="009B03E9" w:rsidP="007B7076">
      <w:pPr>
        <w:pStyle w:val="Numbered111"/>
      </w:pPr>
      <w:r w:rsidRPr="00BD6C5F">
        <w:t>the security of the Information Management System.</w:t>
      </w:r>
    </w:p>
    <w:p w14:paraId="30F9A432" w14:textId="77777777" w:rsidR="00BC7DDA" w:rsidRPr="00BD6C5F" w:rsidRDefault="009B03E9" w:rsidP="00247692">
      <w:pPr>
        <w:pStyle w:val="Numbered11"/>
        <w:keepNext/>
      </w:pPr>
      <w:r w:rsidRPr="00BD6C5F">
        <w:t>The Supplier shall:</w:t>
      </w:r>
    </w:p>
    <w:p w14:paraId="741CD2E6" w14:textId="77777777" w:rsidR="00BC7DDA" w:rsidRPr="00BD6C5F" w:rsidRDefault="009B03E9" w:rsidP="007B7076">
      <w:pPr>
        <w:pStyle w:val="Numbered111"/>
      </w:pPr>
      <w:r w:rsidRPr="00BD6C5F">
        <w:t>comply with the Baseline Security Requirements; and</w:t>
      </w:r>
    </w:p>
    <w:p w14:paraId="10D3BF5D" w14:textId="77777777" w:rsidR="00BC7DDA" w:rsidRPr="00BD6C5F" w:rsidRDefault="009B03E9" w:rsidP="007B7076">
      <w:pPr>
        <w:pStyle w:val="Numbered111"/>
      </w:pPr>
      <w:r w:rsidRPr="00BD6C5F">
        <w:t>ensure that each Sub-contractor that Processes Authority Data complies with the Sub-contractor Security Requirements.</w:t>
      </w:r>
    </w:p>
    <w:p w14:paraId="2661055D" w14:textId="6D548D11" w:rsidR="00BC7DDA" w:rsidRPr="00BD6C5F" w:rsidRDefault="009B03E9" w:rsidP="007B7076">
      <w:pPr>
        <w:pStyle w:val="Numbered11"/>
      </w:pPr>
      <w:r w:rsidRPr="00BD6C5F">
        <w:t>The</w:t>
      </w:r>
      <w:r w:rsidRPr="006D1202">
        <w:t xml:space="preserve"> [</w:t>
      </w:r>
      <w:r w:rsidRPr="006D1202">
        <w:rPr>
          <w:shd w:val="clear" w:color="auto" w:fill="FFFF00"/>
        </w:rPr>
        <w:t>Board Name</w:t>
      </w:r>
      <w:r w:rsidRPr="006D1202">
        <w:t>] established under Paragraph [</w:t>
      </w:r>
      <w:r w:rsidRPr="006D1202">
        <w:rPr>
          <w:shd w:val="clear" w:color="auto" w:fill="FFFF00"/>
        </w:rPr>
        <w:t>number</w:t>
      </w:r>
      <w:r w:rsidRPr="006D1202">
        <w:t xml:space="preserve">] </w:t>
      </w:r>
      <w:r w:rsidRPr="00BD6C5F">
        <w:t xml:space="preserve">of </w:t>
      </w:r>
      <w:r w:rsidR="00346653" w:rsidRPr="00BD6C5F">
        <w:t>Schedule </w:t>
      </w:r>
      <w:r w:rsidR="00346653">
        <w:fldChar w:fldCharType="begin"/>
      </w:r>
      <w:r w:rsidR="00346653">
        <w:instrText xml:space="preserve"> REF Schedule_21 \h </w:instrText>
      </w:r>
      <w:r w:rsidR="00346653">
        <w:fldChar w:fldCharType="separate"/>
      </w:r>
      <w:r w:rsidR="009749A0">
        <w:t>21</w:t>
      </w:r>
      <w:r w:rsidR="00346653">
        <w:fldChar w:fldCharType="end"/>
      </w:r>
      <w:r w:rsidRPr="00BD6C5F">
        <w:t xml:space="preserve"> (</w:t>
      </w:r>
      <w:r w:rsidRPr="00BD6C5F">
        <w:rPr>
          <w:i/>
        </w:rPr>
        <w:t>Governance</w:t>
      </w:r>
      <w:r w:rsidRPr="00BD6C5F">
        <w:t>) shall, in addition to its responsibilities set out in that Schedule, monitor and may also provide recommendations to the Supplier on the Accreditation of the Core Information Management System.</w:t>
      </w:r>
    </w:p>
    <w:p w14:paraId="73178B90" w14:textId="78DCF585" w:rsidR="00BC7DDA" w:rsidRPr="00BD6C5F" w:rsidRDefault="009B03E9" w:rsidP="007B7076">
      <w:pPr>
        <w:pStyle w:val="Numbered11"/>
      </w:pPr>
      <w:r w:rsidRPr="00BD6C5F">
        <w:t>To facilitate the Supplier</w:t>
      </w:r>
      <w:r w:rsidR="00A4555C" w:rsidRPr="00BD6C5F">
        <w:t>’</w:t>
      </w:r>
      <w:r w:rsidRPr="00BD6C5F">
        <w:t xml:space="preserve">s design, implementation, operation, management and continual </w:t>
      </w:r>
      <w:r w:rsidRPr="00BD6C5F">
        <w:lastRenderedPageBreak/>
        <w:t>improvement of the Security Management Plan and the security of the Services and Information Management System and otherwise:</w:t>
      </w:r>
    </w:p>
    <w:p w14:paraId="6951F7CA" w14:textId="77777777" w:rsidR="00BC7DDA" w:rsidRPr="00BD6C5F" w:rsidRDefault="009B03E9" w:rsidP="007B7076">
      <w:pPr>
        <w:pStyle w:val="Numbered111"/>
      </w:pPr>
      <w:r w:rsidRPr="00BD6C5F">
        <w:t>the Supplier shall provide access to the Supplier Personnel responsible for information assurance; and</w:t>
      </w:r>
    </w:p>
    <w:p w14:paraId="089BF08E" w14:textId="77777777" w:rsidR="00BC7DDA" w:rsidRPr="00BD6C5F" w:rsidRDefault="009B03E9" w:rsidP="007B7076">
      <w:pPr>
        <w:pStyle w:val="Numbered111"/>
      </w:pPr>
      <w:r w:rsidRPr="00BD6C5F">
        <w:t>the Authority shall provide access to its personnel responsible for information assurance</w:t>
      </w:r>
    </w:p>
    <w:p w14:paraId="616827D7" w14:textId="77777777" w:rsidR="00BC7DDA" w:rsidRPr="00BD6C5F" w:rsidRDefault="009B03E9" w:rsidP="004C0DF5">
      <w:pPr>
        <w:pStyle w:val="BodyText"/>
        <w:spacing w:before="100" w:after="200"/>
        <w:ind w:left="720"/>
        <w:rPr>
          <w:rFonts w:asciiTheme="minorHAnsi" w:hAnsiTheme="minorHAnsi" w:cstheme="minorHAnsi"/>
        </w:rPr>
      </w:pPr>
      <w:r w:rsidRPr="00BD6C5F">
        <w:rPr>
          <w:rFonts w:asciiTheme="minorHAnsi" w:hAnsiTheme="minorHAnsi" w:cstheme="minorHAnsi"/>
        </w:rPr>
        <w:t>in each case at reasonable times on reasonable notice.</w:t>
      </w:r>
    </w:p>
    <w:p w14:paraId="23856324" w14:textId="24BB8864" w:rsidR="00BC7DDA" w:rsidRPr="00BD6C5F" w:rsidRDefault="009B03E9" w:rsidP="007B7076">
      <w:pPr>
        <w:pStyle w:val="Numbered1"/>
      </w:pPr>
      <w:r w:rsidRPr="00BD6C5F">
        <w:t>Information Management System</w:t>
      </w:r>
    </w:p>
    <w:p w14:paraId="4F391A58" w14:textId="77777777" w:rsidR="00BC7DDA" w:rsidRPr="00BD6C5F" w:rsidRDefault="009B03E9" w:rsidP="007B7076">
      <w:pPr>
        <w:pStyle w:val="Numbered11"/>
      </w:pPr>
      <w:r w:rsidRPr="00BD6C5F">
        <w:t>The Information Management System comprises the Core Information Management System and the Wider Information Management System.</w:t>
      </w:r>
    </w:p>
    <w:p w14:paraId="5CB479A2" w14:textId="627D1F7D" w:rsidR="00BC7DDA" w:rsidRPr="00BD6C5F" w:rsidRDefault="009B03E9" w:rsidP="007B7076">
      <w:pPr>
        <w:pStyle w:val="Numbered11"/>
      </w:pPr>
      <w:bookmarkStart w:id="265" w:name="_bookmark85"/>
      <w:bookmarkStart w:id="266" w:name="_Ref98359362"/>
      <w:bookmarkEnd w:id="265"/>
      <w:r w:rsidRPr="00BD6C5F">
        <w:t>[</w:t>
      </w:r>
      <w:r w:rsidRPr="00BD6C5F">
        <w:rPr>
          <w:shd w:val="clear" w:color="auto" w:fill="FFFF00"/>
        </w:rPr>
        <w:t>The component parts of the Core Information Management System and its boundary with the Wider Information Management System are shown in the diagram in Annex 4.</w:t>
      </w:r>
      <w:bookmarkEnd w:id="266"/>
    </w:p>
    <w:p w14:paraId="12AB29A0" w14:textId="77777777" w:rsidR="00BC7DDA" w:rsidRPr="00BD6C5F" w:rsidRDefault="009B03E9" w:rsidP="004C0DF5">
      <w:pPr>
        <w:pStyle w:val="BodyText"/>
        <w:spacing w:before="100" w:after="200"/>
        <w:ind w:left="720"/>
        <w:rPr>
          <w:rFonts w:asciiTheme="minorHAnsi" w:hAnsiTheme="minorHAnsi" w:cstheme="minorHAnsi"/>
        </w:rPr>
      </w:pPr>
      <w:r w:rsidRPr="00BD6C5F">
        <w:rPr>
          <w:rFonts w:asciiTheme="minorHAnsi" w:hAnsiTheme="minorHAnsi" w:cstheme="minorHAnsi"/>
          <w:shd w:val="clear" w:color="auto" w:fill="FFFF00"/>
        </w:rPr>
        <w:t>OR</w:t>
      </w:r>
    </w:p>
    <w:p w14:paraId="4B689692" w14:textId="3ABFF2B6" w:rsidR="00BC7DDA" w:rsidRPr="00BD6C5F" w:rsidRDefault="00A455B2" w:rsidP="004C0DF5">
      <w:pPr>
        <w:pStyle w:val="BodyText"/>
        <w:spacing w:before="100" w:after="200"/>
        <w:ind w:left="720"/>
        <w:rPr>
          <w:rFonts w:asciiTheme="minorHAnsi" w:hAnsiTheme="minorHAnsi" w:cstheme="minorHAnsi"/>
        </w:rPr>
      </w:pPr>
      <w:r w:rsidRPr="00BD6C5F">
        <w:rPr>
          <w:rFonts w:asciiTheme="minorHAnsi" w:hAnsiTheme="minorHAnsi" w:cstheme="minorHAnsi"/>
          <w:highlight w:val="yellow"/>
        </w:rPr>
        <w:t>The Authority shall be responsible for determining the boundary between the Core Information Management System and the Wider Information Management System. In order to enable the Authority to make such determination, the Supplier shall provide the Authority with such documentation and information that the Authority may reasonably require regarding any information assets, IT systems and/or Sites which will be used by the Supplier or any Sub-contractor to Process Authority Data together with the associated information management system (including organisational structure, controls, policies, practices, procedures, processes and resources). The Authority shall notify the Supplier, as soon as reasonably practical following the receipt of such documentation and information, of its decision regarding the component parts of the Core Information Management System and its boundary with the Wider Information Management System. The Supplier shall reproduce the Authority’s decision as a diagram documenting the Core Information Management System, the Wider Information Management system and the boundary between the two. This diagram shall form part of the Security Management Plan.</w:t>
      </w:r>
      <w:r w:rsidRPr="00BD6C5F">
        <w:rPr>
          <w:rFonts w:asciiTheme="minorHAnsi" w:hAnsiTheme="minorHAnsi" w:cstheme="minorHAnsi"/>
        </w:rPr>
        <w:t>]</w:t>
      </w:r>
    </w:p>
    <w:p w14:paraId="066548C4" w14:textId="77777777" w:rsidR="00BC7DDA" w:rsidRPr="00BD6C5F" w:rsidRDefault="009B03E9" w:rsidP="007B7076">
      <w:pPr>
        <w:pStyle w:val="Numbered11"/>
      </w:pPr>
      <w:r w:rsidRPr="00BD6C5F">
        <w:t>Any proposed change to the component parts of the Core Information Management System or the boundary between the Core Information Management System and the Wider Information Management System shall be notified and processed in accordance with the Change Control Procedure.</w:t>
      </w:r>
    </w:p>
    <w:p w14:paraId="76A545FD" w14:textId="77777777" w:rsidR="00BC7DDA" w:rsidRPr="00BD6C5F" w:rsidRDefault="009B03E9" w:rsidP="007B7076">
      <w:pPr>
        <w:pStyle w:val="Numbered1"/>
      </w:pPr>
      <w:r w:rsidRPr="00BD6C5F">
        <w:t>Statement of Information Risk Appetite and Baseline Security Requirements</w:t>
      </w:r>
    </w:p>
    <w:p w14:paraId="3D7B035B" w14:textId="3833CE96" w:rsidR="00BC7DDA" w:rsidRPr="00BD6C5F" w:rsidRDefault="009B03E9" w:rsidP="007B7076">
      <w:pPr>
        <w:pStyle w:val="Numbered11"/>
      </w:pPr>
      <w:bookmarkStart w:id="267" w:name="_bookmark86"/>
      <w:bookmarkStart w:id="268" w:name="_Ref98360611"/>
      <w:bookmarkEnd w:id="267"/>
      <w:r w:rsidRPr="00BD6C5F">
        <w:t xml:space="preserve">The Supplier acknowledges that the Authority has provided and the Supplier has received a statement of information risk appetite for the Supplier System and the Services (the </w:t>
      </w:r>
      <w:r w:rsidR="00A4555C" w:rsidRPr="00BD6C5F">
        <w:t>“</w:t>
      </w:r>
      <w:r w:rsidRPr="00BD6C5F">
        <w:rPr>
          <w:b/>
        </w:rPr>
        <w:t>Statement of Information Risk Appetite</w:t>
      </w:r>
      <w:r w:rsidR="00A4555C" w:rsidRPr="00BD6C5F">
        <w:t>”</w:t>
      </w:r>
      <w:r w:rsidRPr="00BD6C5F">
        <w:t>).</w:t>
      </w:r>
      <w:bookmarkEnd w:id="268"/>
    </w:p>
    <w:p w14:paraId="333C8B0F" w14:textId="77C4C421" w:rsidR="00BC7DDA" w:rsidRPr="00BD6C5F" w:rsidRDefault="009B03E9" w:rsidP="007B7076">
      <w:pPr>
        <w:pStyle w:val="Numbered11"/>
      </w:pPr>
      <w:r w:rsidRPr="00BD6C5F">
        <w:t>The Authority</w:t>
      </w:r>
      <w:r w:rsidR="00A4555C" w:rsidRPr="00BD6C5F">
        <w:t>’</w:t>
      </w:r>
      <w:r w:rsidRPr="00BD6C5F">
        <w:t xml:space="preserve">s Baseline Security Requirements in respect of the Core Information Management System are set out in </w:t>
      </w:r>
      <w:r w:rsidR="00C101F7">
        <w:t>Annex </w:t>
      </w:r>
      <w:r w:rsidR="00C101F7">
        <w:fldChar w:fldCharType="begin"/>
      </w:r>
      <w:r w:rsidR="00C101F7">
        <w:instrText xml:space="preserve"> REF Schedule_5_Part_B_Annex_1 \h </w:instrText>
      </w:r>
      <w:r w:rsidR="00C101F7">
        <w:fldChar w:fldCharType="separate"/>
      </w:r>
      <w:r w:rsidR="009749A0" w:rsidRPr="00BD6C5F">
        <w:t>1</w:t>
      </w:r>
      <w:r w:rsidR="00C101F7">
        <w:fldChar w:fldCharType="end"/>
      </w:r>
      <w:r w:rsidR="00C101F7">
        <w:t xml:space="preserve"> of this Part </w:t>
      </w:r>
      <w:r w:rsidR="00915497">
        <w:fldChar w:fldCharType="begin"/>
      </w:r>
      <w:r w:rsidR="00915497">
        <w:instrText xml:space="preserve"> REF Schedule_5_Part_B \h </w:instrText>
      </w:r>
      <w:r w:rsidR="00915497">
        <w:fldChar w:fldCharType="separate"/>
      </w:r>
      <w:r w:rsidR="009749A0" w:rsidRPr="00BD6C5F">
        <w:t>B</w:t>
      </w:r>
      <w:r w:rsidR="00915497">
        <w:fldChar w:fldCharType="end"/>
      </w:r>
      <w:r w:rsidRPr="00BD6C5F">
        <w:t>.</w:t>
      </w:r>
    </w:p>
    <w:p w14:paraId="34AF7F7D" w14:textId="77777777" w:rsidR="00BC7DDA" w:rsidRPr="00BD6C5F" w:rsidRDefault="009B03E9" w:rsidP="007B7076">
      <w:pPr>
        <w:pStyle w:val="Numbered1"/>
      </w:pPr>
      <w:bookmarkStart w:id="269" w:name="_bookmark87"/>
      <w:bookmarkStart w:id="270" w:name="_Ref98359275"/>
      <w:bookmarkEnd w:id="269"/>
      <w:r w:rsidRPr="00BD6C5F">
        <w:t>Accreditation of the Core Information Management System</w:t>
      </w:r>
      <w:bookmarkEnd w:id="270"/>
    </w:p>
    <w:p w14:paraId="4BBAAB5C" w14:textId="24E7D547" w:rsidR="00BC7DDA" w:rsidRPr="00BD6C5F" w:rsidRDefault="009B03E9" w:rsidP="007B7076">
      <w:pPr>
        <w:pStyle w:val="Numbered11"/>
      </w:pPr>
      <w:r w:rsidRPr="00BD6C5F">
        <w:t xml:space="preserve">The Core Information Management System shall be subject to Accreditation in </w:t>
      </w:r>
      <w:r w:rsidRPr="00BD6C5F">
        <w:lastRenderedPageBreak/>
        <w:t xml:space="preserve">accordance with this Paragraph </w:t>
      </w:r>
      <w:r w:rsidR="00C12E48" w:rsidRPr="00BD6C5F">
        <w:fldChar w:fldCharType="begin"/>
      </w:r>
      <w:r w:rsidR="00C12E48" w:rsidRPr="00BD6C5F">
        <w:instrText xml:space="preserve"> REF _Ref98359275 \w \h </w:instrText>
      </w:r>
      <w:r w:rsidR="00AD7DD0" w:rsidRPr="00BD6C5F">
        <w:instrText xml:space="preserve"> \* MERGEFORMAT </w:instrText>
      </w:r>
      <w:r w:rsidR="00C12E48" w:rsidRPr="00BD6C5F">
        <w:fldChar w:fldCharType="separate"/>
      </w:r>
      <w:r w:rsidR="009749A0">
        <w:t>6</w:t>
      </w:r>
      <w:r w:rsidR="00C12E48" w:rsidRPr="00BD6C5F">
        <w:fldChar w:fldCharType="end"/>
      </w:r>
      <w:r w:rsidRPr="00BD6C5F">
        <w:t>.</w:t>
      </w:r>
    </w:p>
    <w:p w14:paraId="534CD72A" w14:textId="77777777" w:rsidR="00BC7DDA" w:rsidRPr="00BD6C5F" w:rsidRDefault="009B03E9" w:rsidP="00247692">
      <w:pPr>
        <w:pStyle w:val="Numbered11"/>
        <w:keepNext/>
      </w:pPr>
      <w:r w:rsidRPr="00BD6C5F">
        <w:t>The Supplier acknowledges that the purpose of Accreditation is to ensure that:</w:t>
      </w:r>
    </w:p>
    <w:p w14:paraId="45E751EE" w14:textId="77777777" w:rsidR="00BC7DDA" w:rsidRPr="00BD6C5F" w:rsidRDefault="009B03E9" w:rsidP="007B7076">
      <w:pPr>
        <w:pStyle w:val="Numbered111"/>
      </w:pPr>
      <w:r w:rsidRPr="00BD6C5F">
        <w:t>the Security Management Plan accurately represents the Core Information Management System;</w:t>
      </w:r>
    </w:p>
    <w:p w14:paraId="47D5C77B" w14:textId="62A60CFE" w:rsidR="00BC7DDA" w:rsidRPr="00BD6C5F" w:rsidRDefault="009B03E9" w:rsidP="007B7076">
      <w:pPr>
        <w:pStyle w:val="Numbered111"/>
      </w:pPr>
      <w:r w:rsidRPr="00BD6C5F">
        <w:t>the Accreditation Plan, if followed, provides the Authority with sufficient confidence that the CIMS will meet the requirements of the Baseline Security Requirements and the Statement of Risk Appetite; and</w:t>
      </w:r>
    </w:p>
    <w:p w14:paraId="6F529458" w14:textId="77777777" w:rsidR="00BC7DDA" w:rsidRPr="00BD6C5F" w:rsidRDefault="009B03E9" w:rsidP="007B7076">
      <w:pPr>
        <w:pStyle w:val="Numbered111"/>
      </w:pPr>
      <w:r w:rsidRPr="00BD6C5F">
        <w:t>the residual risks of the Core Information Management System are no greater than those provided for in the Statement of Risk Appetite and Baseline Security Requirements.</w:t>
      </w:r>
    </w:p>
    <w:p w14:paraId="4E11EBEE" w14:textId="77777777" w:rsidR="00BC7DDA" w:rsidRPr="00BD6C5F" w:rsidRDefault="009B03E9" w:rsidP="007B7076">
      <w:pPr>
        <w:pStyle w:val="Numbered11"/>
      </w:pPr>
      <w:r w:rsidRPr="00BD6C5F">
        <w:t>The Accreditation shall be performed by the Authority or by representatives appointed by the Authority.</w:t>
      </w:r>
    </w:p>
    <w:p w14:paraId="2094DBF6" w14:textId="02C5190F" w:rsidR="00BC7DDA" w:rsidRPr="00BD6C5F" w:rsidRDefault="009B03E9" w:rsidP="007B7076">
      <w:pPr>
        <w:pStyle w:val="Numbered11"/>
      </w:pPr>
      <w:r w:rsidRPr="00BD6C5F">
        <w:t xml:space="preserve">In addition to any obligations imposed by </w:t>
      </w:r>
      <w:r w:rsidR="0019439D" w:rsidRPr="00BD6C5F">
        <w:t>Schedule </w:t>
      </w:r>
      <w:r w:rsidR="0019439D">
        <w:fldChar w:fldCharType="begin"/>
      </w:r>
      <w:r w:rsidR="0019439D">
        <w:instrText xml:space="preserve"> REF Schedule_13 \h </w:instrText>
      </w:r>
      <w:r w:rsidR="0019439D">
        <w:fldChar w:fldCharType="separate"/>
      </w:r>
      <w:r w:rsidR="009749A0">
        <w:t>13</w:t>
      </w:r>
      <w:r w:rsidR="0019439D">
        <w:fldChar w:fldCharType="end"/>
      </w:r>
      <w:r w:rsidRPr="00BD6C5F">
        <w:t xml:space="preserve"> (</w:t>
      </w:r>
      <w:r w:rsidRPr="00BD6C5F">
        <w:rPr>
          <w:i/>
        </w:rPr>
        <w:t>Implementation Plan</w:t>
      </w:r>
      <w:r w:rsidRPr="00BD6C5F">
        <w:t>) or Schedule</w:t>
      </w:r>
      <w:r w:rsidR="00842AED" w:rsidRPr="00BD6C5F">
        <w:t> </w:t>
      </w:r>
      <w:r w:rsidR="00C80B2C">
        <w:fldChar w:fldCharType="begin"/>
      </w:r>
      <w:r w:rsidR="00C80B2C">
        <w:instrText xml:space="preserve"> REF Schedule_14 \h </w:instrText>
      </w:r>
      <w:r w:rsidR="00C80B2C">
        <w:fldChar w:fldCharType="separate"/>
      </w:r>
      <w:r w:rsidR="009749A0">
        <w:t>14</w:t>
      </w:r>
      <w:r w:rsidR="00C80B2C">
        <w:fldChar w:fldCharType="end"/>
      </w:r>
      <w:r w:rsidR="006C1FFC" w:rsidRPr="00BD6C5F">
        <w:t xml:space="preserve"> </w:t>
      </w:r>
      <w:r w:rsidRPr="00BD6C5F">
        <w:t>(</w:t>
      </w:r>
      <w:r w:rsidRPr="00BD6C5F">
        <w:rPr>
          <w:i/>
        </w:rPr>
        <w:t>Testing</w:t>
      </w:r>
      <w:r w:rsidR="00C80B2C">
        <w:rPr>
          <w:i/>
        </w:rPr>
        <w:t xml:space="preserve"> Procedure</w:t>
      </w:r>
      <w:r w:rsidRPr="00BD6C5F">
        <w:t xml:space="preserve">) the Supplier must ensure that its Detailed Implementation Plan sets out in sufficient detail how it will ensure compliance with the requirements of this </w:t>
      </w:r>
      <w:r w:rsidR="0019439D" w:rsidRPr="00BD6C5F">
        <w:t>Schedule </w:t>
      </w:r>
      <w:r w:rsidR="0019439D">
        <w:fldChar w:fldCharType="begin"/>
      </w:r>
      <w:r w:rsidR="0019439D">
        <w:instrText xml:space="preserve"> REF Schedule_5 \h </w:instrText>
      </w:r>
      <w:r w:rsidR="0019439D">
        <w:fldChar w:fldCharType="separate"/>
      </w:r>
      <w:r w:rsidR="009749A0">
        <w:t>5</w:t>
      </w:r>
      <w:r w:rsidR="0019439D">
        <w:fldChar w:fldCharType="end"/>
      </w:r>
      <w:r w:rsidR="006C1FFC" w:rsidRPr="00BD6C5F">
        <w:t xml:space="preserve"> </w:t>
      </w:r>
      <w:r w:rsidRPr="00BD6C5F">
        <w:t>(</w:t>
      </w:r>
      <w:r w:rsidRPr="00BD6C5F">
        <w:rPr>
          <w:i/>
        </w:rPr>
        <w:t>Security Management</w:t>
      </w:r>
      <w:r w:rsidRPr="00BD6C5F">
        <w:t xml:space="preserve">), including any requirements imposed on Sub-contractors by </w:t>
      </w:r>
      <w:r w:rsidR="00C101F7">
        <w:t>Annex </w:t>
      </w:r>
      <w:r w:rsidR="00C101F7">
        <w:fldChar w:fldCharType="begin"/>
      </w:r>
      <w:r w:rsidR="00C101F7">
        <w:instrText xml:space="preserve"> REF Schedule_5_Part_B_Annex_2 \h </w:instrText>
      </w:r>
      <w:r w:rsidR="00C101F7">
        <w:fldChar w:fldCharType="separate"/>
      </w:r>
      <w:r w:rsidR="009749A0" w:rsidRPr="00BD6C5F">
        <w:t>2</w:t>
      </w:r>
      <w:r w:rsidR="00C101F7">
        <w:fldChar w:fldCharType="end"/>
      </w:r>
      <w:r w:rsidR="00C101F7">
        <w:t xml:space="preserve"> of this Part </w:t>
      </w:r>
      <w:r w:rsidR="00C101F7">
        <w:fldChar w:fldCharType="begin"/>
      </w:r>
      <w:r w:rsidR="00C101F7">
        <w:instrText xml:space="preserve"> REF Schedule_5_Part_B \h </w:instrText>
      </w:r>
      <w:r w:rsidR="00C101F7">
        <w:fldChar w:fldCharType="separate"/>
      </w:r>
      <w:r w:rsidR="009749A0" w:rsidRPr="00BD6C5F">
        <w:t>B</w:t>
      </w:r>
      <w:r w:rsidR="00C101F7">
        <w:fldChar w:fldCharType="end"/>
      </w:r>
      <w:r w:rsidRPr="00BD6C5F">
        <w:t>, from any relevant Operational Service Commencement Date.</w:t>
      </w:r>
    </w:p>
    <w:p w14:paraId="09C71F52" w14:textId="2FC0F6DE" w:rsidR="00BC7DDA" w:rsidRPr="00BD6C5F" w:rsidRDefault="009B03E9" w:rsidP="007B7076">
      <w:pPr>
        <w:pStyle w:val="Numbered11"/>
      </w:pPr>
      <w:bookmarkStart w:id="271" w:name="_bookmark88"/>
      <w:bookmarkStart w:id="272" w:name="_Ref98360583"/>
      <w:bookmarkEnd w:id="271"/>
      <w:r w:rsidRPr="00BD6C5F">
        <w:t xml:space="preserve">By the date specified in the Detailed Implementation Plan, the Supplier shall prepare and submit to the Authority the risk management documentation for the Core Information Management System, which shall be subject to approval by the Authority in accordance with, this Paragraph </w:t>
      </w:r>
      <w:r w:rsidR="00C12E48" w:rsidRPr="00BD6C5F">
        <w:fldChar w:fldCharType="begin"/>
      </w:r>
      <w:r w:rsidR="00C12E48" w:rsidRPr="00BD6C5F">
        <w:instrText xml:space="preserve"> REF _Ref98359275 \w \h </w:instrText>
      </w:r>
      <w:r w:rsidR="00AD7DD0" w:rsidRPr="00BD6C5F">
        <w:instrText xml:space="preserve"> \* MERGEFORMAT </w:instrText>
      </w:r>
      <w:r w:rsidR="00C12E48" w:rsidRPr="00BD6C5F">
        <w:fldChar w:fldCharType="separate"/>
      </w:r>
      <w:r w:rsidR="009749A0">
        <w:t>6</w:t>
      </w:r>
      <w:r w:rsidR="00C12E48" w:rsidRPr="00BD6C5F">
        <w:fldChar w:fldCharType="end"/>
      </w:r>
      <w:r w:rsidRPr="00BD6C5F">
        <w:t xml:space="preserve"> (the </w:t>
      </w:r>
      <w:r w:rsidR="00A4555C" w:rsidRPr="00BD6C5F">
        <w:t>“</w:t>
      </w:r>
      <w:r w:rsidRPr="00BD6C5F">
        <w:rPr>
          <w:b/>
          <w:bCs/>
        </w:rPr>
        <w:t>Security Management Plan</w:t>
      </w:r>
      <w:r w:rsidR="00A4555C" w:rsidRPr="00BD6C5F">
        <w:t>”</w:t>
      </w:r>
      <w:r w:rsidRPr="00BD6C5F">
        <w:t>).</w:t>
      </w:r>
      <w:bookmarkEnd w:id="272"/>
    </w:p>
    <w:p w14:paraId="3709540C" w14:textId="154B085C" w:rsidR="00BC7DDA" w:rsidRPr="00BD6C5F" w:rsidRDefault="009B03E9" w:rsidP="00247692">
      <w:pPr>
        <w:pStyle w:val="Numbered11"/>
        <w:keepNext/>
      </w:pPr>
      <w:bookmarkStart w:id="273" w:name="_bookmark89"/>
      <w:bookmarkStart w:id="274" w:name="_Ref98359300"/>
      <w:bookmarkEnd w:id="273"/>
      <w:r w:rsidRPr="00BD6C5F">
        <w:t xml:space="preserve">The Security Management Plan shall be structured in accordance with the template as set out in Annex </w:t>
      </w:r>
      <w:r w:rsidR="00915497">
        <w:fldChar w:fldCharType="begin"/>
      </w:r>
      <w:r w:rsidR="00915497">
        <w:instrText xml:space="preserve"> REF Schedule_5_Part_A_Annex_3 \h </w:instrText>
      </w:r>
      <w:r w:rsidR="00915497">
        <w:fldChar w:fldCharType="separate"/>
      </w:r>
      <w:r w:rsidR="009749A0" w:rsidRPr="00BD6C5F">
        <w:t>3</w:t>
      </w:r>
      <w:r w:rsidR="00915497">
        <w:fldChar w:fldCharType="end"/>
      </w:r>
      <w:r w:rsidRPr="00BD6C5F">
        <w:t xml:space="preserve"> </w:t>
      </w:r>
      <w:r w:rsidR="006C1FFC" w:rsidRPr="00BD6C5F">
        <w:t xml:space="preserve">of </w:t>
      </w:r>
      <w:r w:rsidR="00915497" w:rsidRPr="00BD6C5F">
        <w:t xml:space="preserve">Part </w:t>
      </w:r>
      <w:r w:rsidR="00915497">
        <w:fldChar w:fldCharType="begin"/>
      </w:r>
      <w:r w:rsidR="00915497">
        <w:instrText xml:space="preserve"> REF Schedule_5_Part_A \h </w:instrText>
      </w:r>
      <w:r w:rsidR="00915497">
        <w:fldChar w:fldCharType="separate"/>
      </w:r>
      <w:r w:rsidR="009749A0" w:rsidRPr="00BD6C5F">
        <w:t>A</w:t>
      </w:r>
      <w:r w:rsidR="00915497">
        <w:fldChar w:fldCharType="end"/>
      </w:r>
      <w:r w:rsidR="006C1FFC" w:rsidRPr="00BD6C5F">
        <w:t xml:space="preserve"> </w:t>
      </w:r>
      <w:r w:rsidRPr="00BD6C5F">
        <w:t>and include:</w:t>
      </w:r>
      <w:bookmarkEnd w:id="274"/>
    </w:p>
    <w:p w14:paraId="7BEA203B" w14:textId="77777777" w:rsidR="00BC7DDA" w:rsidRPr="00BD6C5F" w:rsidRDefault="009B03E9" w:rsidP="00247692">
      <w:pPr>
        <w:pStyle w:val="Numbered111"/>
        <w:keepNext/>
      </w:pPr>
      <w:r w:rsidRPr="00BD6C5F">
        <w:t>the Accreditation Plan, which shall include:</w:t>
      </w:r>
    </w:p>
    <w:p w14:paraId="5FE36966" w14:textId="77777777" w:rsidR="00BC7DDA" w:rsidRPr="00BD6C5F" w:rsidRDefault="009B03E9" w:rsidP="00845F35">
      <w:pPr>
        <w:pStyle w:val="Numbered111a"/>
      </w:pPr>
      <w:r w:rsidRPr="00BD6C5F">
        <w:t>the dates on which each subsequent iteration of the Security Management Plan will be delivered to the Authority for review and staged approval; and</w:t>
      </w:r>
    </w:p>
    <w:p w14:paraId="324F5289" w14:textId="2560984B" w:rsidR="00BC7DDA" w:rsidRPr="00BD6C5F" w:rsidRDefault="009B03E9" w:rsidP="00845F35">
      <w:pPr>
        <w:pStyle w:val="Numbered111a"/>
      </w:pPr>
      <w:r w:rsidRPr="00BD6C5F">
        <w:t xml:space="preserve">the date by which the Supplier is required to have received a </w:t>
      </w:r>
      <w:r w:rsidR="00734E77" w:rsidRPr="00BD6C5F">
        <w:t xml:space="preserve">Residual </w:t>
      </w:r>
      <w:r w:rsidRPr="00BD6C5F">
        <w:t xml:space="preserve">Risk Statement from the Authority together with details of each of the tasks which must be completed by the Supplier, Milestones which must be Achieved and the Authority Responsibilities which must be completed in order for the Supplier to receive a </w:t>
      </w:r>
      <w:r w:rsidR="00734E77" w:rsidRPr="00BD6C5F">
        <w:t xml:space="preserve">Residual </w:t>
      </w:r>
      <w:r w:rsidRPr="00BD6C5F">
        <w:t xml:space="preserve">Risk Statement pursuant to Paragraph </w:t>
      </w:r>
      <w:r w:rsidR="00C12E48" w:rsidRPr="00BD6C5F">
        <w:fldChar w:fldCharType="begin"/>
      </w:r>
      <w:r w:rsidR="00C12E48" w:rsidRPr="00BD6C5F">
        <w:instrText xml:space="preserve"> REF _Ref98360858 \w \h </w:instrText>
      </w:r>
      <w:r w:rsidR="00AD7DD0" w:rsidRPr="00BD6C5F">
        <w:instrText xml:space="preserve"> \* MERGEFORMAT </w:instrText>
      </w:r>
      <w:r w:rsidR="00C12E48" w:rsidRPr="00BD6C5F">
        <w:fldChar w:fldCharType="separate"/>
      </w:r>
      <w:r w:rsidR="009749A0">
        <w:t>6.11</w:t>
      </w:r>
      <w:r w:rsidR="00C12E48" w:rsidRPr="00BD6C5F">
        <w:fldChar w:fldCharType="end"/>
      </w:r>
      <w:r w:rsidRPr="00BD6C5F">
        <w:t>;</w:t>
      </w:r>
    </w:p>
    <w:p w14:paraId="281E1B80" w14:textId="77777777" w:rsidR="00BC7DDA" w:rsidRPr="00BD6C5F" w:rsidRDefault="009B03E9" w:rsidP="007B7076">
      <w:pPr>
        <w:pStyle w:val="Numbered111"/>
      </w:pPr>
      <w:r w:rsidRPr="00BD6C5F">
        <w:t>a formal risk assessment of the Core Information Management System and a risk treatment plan for the Core Information Management System;</w:t>
      </w:r>
    </w:p>
    <w:p w14:paraId="2D529A0E" w14:textId="003B6A87" w:rsidR="00BC7DDA" w:rsidRPr="00BD6C5F" w:rsidRDefault="009B03E9" w:rsidP="007B7076">
      <w:pPr>
        <w:pStyle w:val="Numbered111"/>
      </w:pPr>
      <w:r w:rsidRPr="00BD6C5F">
        <w:t>a completed ISO</w:t>
      </w:r>
      <w:r w:rsidR="00734E77" w:rsidRPr="00BD6C5F">
        <w:t>/IEC</w:t>
      </w:r>
      <w:r w:rsidRPr="00BD6C5F">
        <w:t xml:space="preserve"> 27001:</w:t>
      </w:r>
      <w:r w:rsidR="00734E77" w:rsidRPr="00BD6C5F">
        <w:t xml:space="preserve"> (at least ISO/IEC 27001:2013) </w:t>
      </w:r>
      <w:r w:rsidRPr="00BD6C5F">
        <w:t xml:space="preserve">Statement of Applicability for the Core Information Management System; the process for managing any security risks from Sub-contractors and third parties authorised by the Authority with access to the Services, processes associated with the delivery of the Services, the Authority Premises, the Sites, the Supplier </w:t>
      </w:r>
      <w:r w:rsidRPr="00BD6C5F">
        <w:lastRenderedPageBreak/>
        <w:t>System, the Authority System (to extent that it is under the</w:t>
      </w:r>
      <w:r w:rsidR="00DB2677" w:rsidRPr="00BD6C5F">
        <w:t xml:space="preserve"> </w:t>
      </w:r>
      <w:r w:rsidRPr="00BD6C5F">
        <w:t>control of the Supplier) and any IT, Information and data (including the Confidential Information of the Authority and the Authority Data) and any system that could directly or indirectly have an impact on that Information, data and/or the Services;</w:t>
      </w:r>
    </w:p>
    <w:p w14:paraId="54ECCCB9" w14:textId="6C3B2D18" w:rsidR="00BC7DDA" w:rsidRPr="00BD6C5F" w:rsidRDefault="009B03E9" w:rsidP="007B7076">
      <w:pPr>
        <w:pStyle w:val="Numbered111"/>
      </w:pPr>
      <w:r w:rsidRPr="00BD6C5F">
        <w:t xml:space="preserve">unless such requirement is waived by the Authority, proposed controls that will be implemented in respect of all aspects of the Services and all processes associated with the delivery of the Services, including the Authority Premises, the Sites, the Supplier System, the Authority System (to the extent that it is under the control of the Supplier) and any IT, Information and data (including the Confidential Information of the Authority and the Authority Data) to the extent used by the Authority or the Supplier in connection with this </w:t>
      </w:r>
      <w:r w:rsidR="00734E77" w:rsidRPr="00BD6C5F">
        <w:t>Contract</w:t>
      </w:r>
      <w:r w:rsidRPr="00BD6C5F">
        <w:t xml:space="preserve"> or in connection with any system that could directly or indirectly have an impact on that Information, data and/or the Services;</w:t>
      </w:r>
    </w:p>
    <w:p w14:paraId="1B76B38B" w14:textId="77777777" w:rsidR="00BC7DDA" w:rsidRPr="00BD6C5F" w:rsidRDefault="009B03E9" w:rsidP="007B7076">
      <w:pPr>
        <w:pStyle w:val="Numbered111"/>
      </w:pPr>
      <w:r w:rsidRPr="00BD6C5F">
        <w:t>the Required Changes Register;</w:t>
      </w:r>
    </w:p>
    <w:p w14:paraId="33D2A946" w14:textId="6A30EED1" w:rsidR="00BC7DDA" w:rsidRPr="00BD6C5F" w:rsidRDefault="009B03E9" w:rsidP="007B7076">
      <w:pPr>
        <w:pStyle w:val="Numbered111"/>
      </w:pPr>
      <w:r w:rsidRPr="00BD6C5F">
        <w:t>evidence that the Supplier and each applicable Sub-contractor is compliant with the Certification Requirements;</w:t>
      </w:r>
      <w:r w:rsidR="00734E77" w:rsidRPr="00BD6C5F">
        <w:t xml:space="preserve"> and</w:t>
      </w:r>
    </w:p>
    <w:p w14:paraId="3506D300" w14:textId="14C8CD82" w:rsidR="00BC7DDA" w:rsidRPr="00BD6C5F" w:rsidRDefault="009B03E9" w:rsidP="007B7076">
      <w:pPr>
        <w:pStyle w:val="Numbered111"/>
      </w:pPr>
      <w:r w:rsidRPr="00BD6C5F">
        <w:t xml:space="preserve">the diagram documenting the Core Information Management System, the Wider Information Management System and the boundary between them </w:t>
      </w:r>
      <w:r w:rsidRPr="006D1202">
        <w:t>[</w:t>
      </w:r>
      <w:r w:rsidRPr="006D1202">
        <w:rPr>
          <w:shd w:val="clear" w:color="auto" w:fill="FFFF00"/>
        </w:rPr>
        <w:t xml:space="preserve">created under Paragraph </w:t>
      </w:r>
      <w:r w:rsidR="003B6E4B">
        <w:rPr>
          <w:shd w:val="clear" w:color="auto" w:fill="FFFF00"/>
        </w:rPr>
        <w:fldChar w:fldCharType="begin"/>
      </w:r>
      <w:r w:rsidR="003B6E4B">
        <w:rPr>
          <w:shd w:val="clear" w:color="auto" w:fill="FFFF00"/>
        </w:rPr>
        <w:instrText xml:space="preserve"> REF _Ref98359362 \w \h </w:instrText>
      </w:r>
      <w:r w:rsidR="003B6E4B">
        <w:rPr>
          <w:shd w:val="clear" w:color="auto" w:fill="FFFF00"/>
        </w:rPr>
      </w:r>
      <w:r w:rsidR="003B6E4B">
        <w:rPr>
          <w:shd w:val="clear" w:color="auto" w:fill="FFFF00"/>
        </w:rPr>
        <w:fldChar w:fldCharType="separate"/>
      </w:r>
      <w:r w:rsidR="009749A0">
        <w:rPr>
          <w:shd w:val="clear" w:color="auto" w:fill="FFFF00"/>
        </w:rPr>
        <w:t>4.2</w:t>
      </w:r>
      <w:r w:rsidR="003B6E4B">
        <w:rPr>
          <w:shd w:val="clear" w:color="auto" w:fill="FFFF00"/>
        </w:rPr>
        <w:fldChar w:fldCharType="end"/>
      </w:r>
      <w:r w:rsidRPr="006D1202">
        <w:rPr>
          <w:shd w:val="clear" w:color="auto" w:fill="FFFF00"/>
        </w:rPr>
        <w:t xml:space="preserve"> OR contained in Annex 4</w:t>
      </w:r>
      <w:r w:rsidRPr="006D1202">
        <w:t>].</w:t>
      </w:r>
    </w:p>
    <w:p w14:paraId="61D985A2" w14:textId="77777777" w:rsidR="00BC7DDA" w:rsidRPr="00BD6C5F" w:rsidRDefault="009B03E9" w:rsidP="00247692">
      <w:pPr>
        <w:pStyle w:val="Numbered11"/>
        <w:keepNext/>
      </w:pPr>
      <w:r w:rsidRPr="00BD6C5F">
        <w:t>To facilitate Accreditation of the Core Information Management System, the Supplier shall provide the Authority and its authorised representatives with:</w:t>
      </w:r>
    </w:p>
    <w:p w14:paraId="70E8817F" w14:textId="77777777" w:rsidR="00BC7DDA" w:rsidRPr="00BD6C5F" w:rsidRDefault="009B03E9" w:rsidP="007B7076">
      <w:pPr>
        <w:pStyle w:val="Numbered111"/>
      </w:pPr>
      <w:r w:rsidRPr="00BD6C5F">
        <w:t>access to the Sites, ICT information assets and ICT systems within the Core Information Management System on request or in accordance with the Accreditation Plan; and</w:t>
      </w:r>
    </w:p>
    <w:p w14:paraId="22BCE9B0" w14:textId="77777777" w:rsidR="00BC7DDA" w:rsidRPr="00BD6C5F" w:rsidRDefault="009B03E9" w:rsidP="007B7076">
      <w:pPr>
        <w:pStyle w:val="Numbered111"/>
      </w:pPr>
      <w:r w:rsidRPr="00BD6C5F">
        <w:t>such other information and/or documentation that the Authority or its authorised representatives may reasonably require, to enable the Authority to establish that the Core Information Management System is compliant with the Security Management Plan.</w:t>
      </w:r>
    </w:p>
    <w:p w14:paraId="445DC4DA" w14:textId="77777777" w:rsidR="00BC7DDA" w:rsidRPr="00BD6C5F" w:rsidRDefault="009B03E9" w:rsidP="00247692">
      <w:pPr>
        <w:pStyle w:val="Numbered11"/>
        <w:keepNext/>
      </w:pPr>
      <w:bookmarkStart w:id="275" w:name="_bookmark90"/>
      <w:bookmarkStart w:id="276" w:name="_Ref98360981"/>
      <w:bookmarkEnd w:id="275"/>
      <w:r w:rsidRPr="00BD6C5F">
        <w:t>The Authority shall, by the relevant date set out in the Accreditation Plan, review the Security Management Plan and issue to the Supplier either:</w:t>
      </w:r>
      <w:bookmarkEnd w:id="276"/>
    </w:p>
    <w:p w14:paraId="5C55B6B6" w14:textId="4040EF0E" w:rsidR="00BC7DDA" w:rsidRPr="00BD6C5F" w:rsidRDefault="00FB2382" w:rsidP="007B7076">
      <w:pPr>
        <w:pStyle w:val="Numbered111"/>
      </w:pPr>
      <w:r w:rsidRPr="00BD6C5F">
        <w:t xml:space="preserve">a Residual </w:t>
      </w:r>
      <w:r w:rsidR="009B03E9" w:rsidRPr="00BD6C5F">
        <w:t>Risk Statement which will then form part of the Security Management Plan, confirming that the Authority is satisfied that the identified risks to the Core Information Management System have been adequately and appropriately addressed and that the residual risks are understood and accepted by the Authority; or</w:t>
      </w:r>
    </w:p>
    <w:p w14:paraId="24962A7E" w14:textId="5663EC8A" w:rsidR="00BC7DDA" w:rsidRPr="00BD6C5F" w:rsidRDefault="009B03E9" w:rsidP="007B7076">
      <w:pPr>
        <w:pStyle w:val="Numbered111"/>
      </w:pPr>
      <w:bookmarkStart w:id="277" w:name="_bookmark91"/>
      <w:bookmarkStart w:id="278" w:name="_Ref98355125"/>
      <w:bookmarkStart w:id="279" w:name="_Ref141213293"/>
      <w:bookmarkEnd w:id="277"/>
      <w:r w:rsidRPr="00BD6C5F">
        <w:t>a rejection notice stating that the Authority considers that the identified risks to the Core Information Management System have</w:t>
      </w:r>
      <w:bookmarkEnd w:id="278"/>
      <w:r w:rsidR="00DB2677" w:rsidRPr="00BD6C5F">
        <w:t xml:space="preserve"> </w:t>
      </w:r>
      <w:r w:rsidRPr="00BD6C5F">
        <w:t>not been adequately or appropriately addressed, or the residual risks to the Core Information Management System have not been reduced to the level anticipated by the Statement of Information Risk Appetite, and the reasons why (</w:t>
      </w:r>
      <w:r w:rsidR="00A4555C" w:rsidRPr="00BD6C5F">
        <w:t>“</w:t>
      </w:r>
      <w:r w:rsidRPr="00BD6C5F">
        <w:rPr>
          <w:b/>
        </w:rPr>
        <w:t>Risk Management Rejection Notice</w:t>
      </w:r>
      <w:r w:rsidR="00A4555C" w:rsidRPr="00BD6C5F">
        <w:t>”</w:t>
      </w:r>
      <w:r w:rsidRPr="00BD6C5F">
        <w:t>).</w:t>
      </w:r>
      <w:bookmarkEnd w:id="279"/>
    </w:p>
    <w:p w14:paraId="2FE8E9AF" w14:textId="77777777" w:rsidR="00BC7DDA" w:rsidRPr="00BD6C5F" w:rsidRDefault="009B03E9" w:rsidP="00247692">
      <w:pPr>
        <w:pStyle w:val="Numbered11"/>
        <w:keepNext/>
      </w:pPr>
      <w:r w:rsidRPr="00BD6C5F">
        <w:lastRenderedPageBreak/>
        <w:t>If the Authority issues a Risk Management Rejection Notice, the Supplier shall, within 20 Working Days of the date of the Risk Management Rejection Notice:</w:t>
      </w:r>
    </w:p>
    <w:p w14:paraId="1559A41C" w14:textId="77777777" w:rsidR="00BC7DDA" w:rsidRPr="00BD6C5F" w:rsidRDefault="009B03E9" w:rsidP="007B7076">
      <w:pPr>
        <w:pStyle w:val="Numbered111"/>
      </w:pPr>
      <w:r w:rsidRPr="00BD6C5F">
        <w:t>address all of the issues raised by the Authority in such notice;</w:t>
      </w:r>
    </w:p>
    <w:p w14:paraId="2AF98F3B" w14:textId="77777777" w:rsidR="00BC7DDA" w:rsidRPr="00BD6C5F" w:rsidRDefault="009B03E9" w:rsidP="007B7076">
      <w:pPr>
        <w:pStyle w:val="Numbered111"/>
      </w:pPr>
      <w:r w:rsidRPr="00BD6C5F">
        <w:t>update the Security Management Plan, as appropriate, and</w:t>
      </w:r>
    </w:p>
    <w:p w14:paraId="42F881BB" w14:textId="77777777" w:rsidR="00BC7DDA" w:rsidRPr="00BD6C5F" w:rsidRDefault="009B03E9" w:rsidP="007B7076">
      <w:pPr>
        <w:pStyle w:val="Numbered111"/>
      </w:pPr>
      <w:r w:rsidRPr="00BD6C5F">
        <w:t>notify the Authority that the Core Information Management System is ready for an Accreditation Decision.</w:t>
      </w:r>
    </w:p>
    <w:p w14:paraId="5295BEB8" w14:textId="2B76E85F" w:rsidR="00BC7DDA" w:rsidRPr="00BD6C5F" w:rsidRDefault="009B03E9" w:rsidP="007B7076">
      <w:pPr>
        <w:pStyle w:val="Numbered11"/>
      </w:pPr>
      <w:bookmarkStart w:id="280" w:name="_bookmark92"/>
      <w:bookmarkStart w:id="281" w:name="_Ref98360969"/>
      <w:bookmarkEnd w:id="280"/>
      <w:r w:rsidRPr="00BD6C5F">
        <w:t xml:space="preserve">If the Authority issues a two or more Risk Management Rejection Notices, the failure to receive a </w:t>
      </w:r>
      <w:r w:rsidR="00FB2382" w:rsidRPr="00BD6C5F">
        <w:t xml:space="preserve">Residual </w:t>
      </w:r>
      <w:r w:rsidRPr="00BD6C5F">
        <w:t xml:space="preserve">Risk Statement shall constitute a material Default and the Authority may by terminate this </w:t>
      </w:r>
      <w:r w:rsidR="00B3628F" w:rsidRPr="00BD6C5F">
        <w:t>Contract</w:t>
      </w:r>
      <w:r w:rsidR="00C12E48" w:rsidRPr="00BD6C5F">
        <w:t xml:space="preserve"> </w:t>
      </w:r>
      <w:r w:rsidRPr="00BD6C5F">
        <w:t xml:space="preserve">with immediate effect by issuing a Termination Notice to the Supplier in accordance with </w:t>
      </w:r>
      <w:r w:rsidR="005E736B" w:rsidRPr="00BD6C5F">
        <w:t>Clause </w:t>
      </w:r>
      <w:r w:rsidRPr="00BD6C5F">
        <w:t>3</w:t>
      </w:r>
      <w:r w:rsidR="00B3628F" w:rsidRPr="00BD6C5F">
        <w:t>1</w:t>
      </w:r>
      <w:r w:rsidRPr="00BD6C5F">
        <w:t>.1</w:t>
      </w:r>
      <w:r w:rsidR="00C20F85">
        <w:t>.2</w:t>
      </w:r>
      <w:r w:rsidRPr="00BD6C5F">
        <w:t>.</w:t>
      </w:r>
      <w:bookmarkEnd w:id="281"/>
    </w:p>
    <w:p w14:paraId="55C2863D" w14:textId="6BFA853B" w:rsidR="00BC7DDA" w:rsidRPr="00BD6C5F" w:rsidRDefault="009B03E9" w:rsidP="007B7076">
      <w:pPr>
        <w:pStyle w:val="Numbered11"/>
      </w:pPr>
      <w:bookmarkStart w:id="282" w:name="_bookmark93"/>
      <w:bookmarkStart w:id="283" w:name="_Ref98360858"/>
      <w:bookmarkEnd w:id="282"/>
      <w:r w:rsidRPr="00BD6C5F">
        <w:t xml:space="preserve">Subject to Paragraph </w:t>
      </w:r>
      <w:r w:rsidR="00C12E48" w:rsidRPr="00BD6C5F">
        <w:fldChar w:fldCharType="begin"/>
      </w:r>
      <w:r w:rsidR="00C12E48" w:rsidRPr="00BD6C5F">
        <w:instrText xml:space="preserve"> REF _Ref98360969 \w \h </w:instrText>
      </w:r>
      <w:r w:rsidR="00AD7DD0" w:rsidRPr="00BD6C5F">
        <w:instrText xml:space="preserve"> \* MERGEFORMAT </w:instrText>
      </w:r>
      <w:r w:rsidR="00C12E48" w:rsidRPr="00BD6C5F">
        <w:fldChar w:fldCharType="separate"/>
      </w:r>
      <w:r w:rsidR="009749A0">
        <w:t>6.10</w:t>
      </w:r>
      <w:r w:rsidR="00C12E48" w:rsidRPr="00BD6C5F">
        <w:fldChar w:fldCharType="end"/>
      </w:r>
      <w:r w:rsidRPr="00BD6C5F">
        <w:t xml:space="preserve">, the process set out in Paragraphs </w:t>
      </w:r>
      <w:r w:rsidR="00C12E48" w:rsidRPr="00BD6C5F">
        <w:fldChar w:fldCharType="begin"/>
      </w:r>
      <w:r w:rsidR="00C12E48" w:rsidRPr="00BD6C5F">
        <w:instrText xml:space="preserve"> REF _Ref98360981 \w \h </w:instrText>
      </w:r>
      <w:r w:rsidR="00AD7DD0" w:rsidRPr="00BD6C5F">
        <w:instrText xml:space="preserve"> \* MERGEFORMAT </w:instrText>
      </w:r>
      <w:r w:rsidR="00C12E48" w:rsidRPr="00BD6C5F">
        <w:fldChar w:fldCharType="separate"/>
      </w:r>
      <w:r w:rsidR="009749A0">
        <w:t>6.8</w:t>
      </w:r>
      <w:r w:rsidR="00C12E48" w:rsidRPr="00BD6C5F">
        <w:fldChar w:fldCharType="end"/>
      </w:r>
      <w:r w:rsidRPr="00BD6C5F">
        <w:t xml:space="preserve"> to </w:t>
      </w:r>
      <w:r w:rsidR="00C12E48" w:rsidRPr="00BD6C5F">
        <w:fldChar w:fldCharType="begin"/>
      </w:r>
      <w:r w:rsidR="00C12E48" w:rsidRPr="00BD6C5F">
        <w:instrText xml:space="preserve"> REF _Ref98360969 \w \h </w:instrText>
      </w:r>
      <w:r w:rsidR="00AD7DD0" w:rsidRPr="00BD6C5F">
        <w:instrText xml:space="preserve"> \* MERGEFORMAT </w:instrText>
      </w:r>
      <w:r w:rsidR="00C12E48" w:rsidRPr="00BD6C5F">
        <w:fldChar w:fldCharType="separate"/>
      </w:r>
      <w:r w:rsidR="009749A0">
        <w:t>6.10</w:t>
      </w:r>
      <w:r w:rsidR="00C12E48" w:rsidRPr="00BD6C5F">
        <w:fldChar w:fldCharType="end"/>
      </w:r>
      <w:r w:rsidRPr="00BD6C5F">
        <w:t xml:space="preserve"> shall be repeated until such time as the Authority issues a</w:t>
      </w:r>
      <w:r w:rsidR="00B76C7C" w:rsidRPr="00BD6C5F">
        <w:t xml:space="preserve"> Residual</w:t>
      </w:r>
      <w:r w:rsidRPr="00BD6C5F">
        <w:t xml:space="preserve"> Risk Statement to the Supplier or terminates this </w:t>
      </w:r>
      <w:r w:rsidR="00B76C7C" w:rsidRPr="00BD6C5F">
        <w:t>Contract</w:t>
      </w:r>
      <w:r w:rsidRPr="00BD6C5F">
        <w:t>.</w:t>
      </w:r>
      <w:bookmarkEnd w:id="283"/>
    </w:p>
    <w:p w14:paraId="22A4B37E" w14:textId="10358235" w:rsidR="00BC7DDA" w:rsidRPr="00BD6C5F" w:rsidRDefault="009B03E9" w:rsidP="007B7076">
      <w:pPr>
        <w:pStyle w:val="Numbered11"/>
      </w:pPr>
      <w:r w:rsidRPr="00BD6C5F">
        <w:t>The Supplier shall not use the Core Information Management System to Process Authority Data before receiving a</w:t>
      </w:r>
      <w:r w:rsidR="00B76C7C" w:rsidRPr="00BD6C5F">
        <w:t xml:space="preserve"> Residual</w:t>
      </w:r>
      <w:r w:rsidRPr="00BD6C5F">
        <w:t xml:space="preserve"> Risk Statement.</w:t>
      </w:r>
    </w:p>
    <w:p w14:paraId="2386C0BE" w14:textId="405B19D0" w:rsidR="00BC7DDA" w:rsidRPr="00BD6C5F" w:rsidRDefault="009B03E9" w:rsidP="007B7076">
      <w:pPr>
        <w:pStyle w:val="Numbered11"/>
      </w:pPr>
      <w:r w:rsidRPr="00BD6C5F">
        <w:t xml:space="preserve">The Supplier shall keep the Core Information Management System and Security Management Plan under review and shall update the Security Management Plan annually in accordance with this Paragraph and the Authority shall review the Accreditation Decision annually and following the occurrence of any of the events set out in Paragraph </w:t>
      </w:r>
      <w:r w:rsidR="00C12E48" w:rsidRPr="00BD6C5F">
        <w:fldChar w:fldCharType="begin"/>
      </w:r>
      <w:r w:rsidR="00C12E48" w:rsidRPr="00BD6C5F">
        <w:instrText xml:space="preserve"> REF _Ref98361005 \w \h </w:instrText>
      </w:r>
      <w:r w:rsidR="00AD7DD0" w:rsidRPr="00BD6C5F">
        <w:instrText xml:space="preserve"> \* MERGEFORMAT </w:instrText>
      </w:r>
      <w:r w:rsidR="00C12E48" w:rsidRPr="00BD6C5F">
        <w:fldChar w:fldCharType="separate"/>
      </w:r>
      <w:r w:rsidR="009749A0">
        <w:t>6.15</w:t>
      </w:r>
      <w:r w:rsidR="00C12E48" w:rsidRPr="00BD6C5F">
        <w:fldChar w:fldCharType="end"/>
      </w:r>
      <w:r w:rsidRPr="00BD6C5F">
        <w:t>.</w:t>
      </w:r>
    </w:p>
    <w:p w14:paraId="039CF5F2" w14:textId="77777777" w:rsidR="00BC7DDA" w:rsidRPr="00BD6C5F" w:rsidRDefault="009B03E9" w:rsidP="00247692">
      <w:pPr>
        <w:pStyle w:val="Numbered11"/>
        <w:keepNext/>
      </w:pPr>
      <w:r w:rsidRPr="00BD6C5F">
        <w:t xml:space="preserve">The Supplier shall notify the Authority within </w:t>
      </w:r>
      <w:r w:rsidRPr="006D1202">
        <w:t>[</w:t>
      </w:r>
      <w:r w:rsidRPr="006D1202">
        <w:rPr>
          <w:shd w:val="clear" w:color="auto" w:fill="FFFF00"/>
        </w:rPr>
        <w:t>2</w:t>
      </w:r>
      <w:r w:rsidRPr="006D1202">
        <w:t xml:space="preserve">] </w:t>
      </w:r>
      <w:r w:rsidRPr="00BD6C5F">
        <w:t>Working Days after becoming aware of:</w:t>
      </w:r>
    </w:p>
    <w:p w14:paraId="3793EBE1" w14:textId="77777777" w:rsidR="00BC7DDA" w:rsidRPr="00BD6C5F" w:rsidRDefault="009B03E9" w:rsidP="007B7076">
      <w:pPr>
        <w:pStyle w:val="Numbered111"/>
      </w:pPr>
      <w:r w:rsidRPr="00BD6C5F">
        <w:t>a significant change, or a significant planned change, to the components or architecture of the Core Information Management System;</w:t>
      </w:r>
    </w:p>
    <w:p w14:paraId="40CCDB99" w14:textId="77777777" w:rsidR="00BC7DDA" w:rsidRPr="00BD6C5F" w:rsidRDefault="009B03E9" w:rsidP="007B7076">
      <w:pPr>
        <w:pStyle w:val="Numbered111"/>
      </w:pPr>
      <w:r w:rsidRPr="00BD6C5F">
        <w:t>a new risk or vulnerability is identified to the components or architecture of the Core Information Management System;</w:t>
      </w:r>
    </w:p>
    <w:p w14:paraId="0E1153A7" w14:textId="77777777" w:rsidR="00BC7DDA" w:rsidRPr="00BD6C5F" w:rsidRDefault="009B03E9" w:rsidP="007B7076">
      <w:pPr>
        <w:pStyle w:val="Numbered111"/>
      </w:pPr>
      <w:r w:rsidRPr="00BD6C5F">
        <w:t>a change in the threat profile;</w:t>
      </w:r>
    </w:p>
    <w:p w14:paraId="49C2E3B1" w14:textId="77777777" w:rsidR="00BC7DDA" w:rsidRPr="00BD6C5F" w:rsidRDefault="009B03E9" w:rsidP="007B7076">
      <w:pPr>
        <w:pStyle w:val="Numbered111"/>
      </w:pPr>
      <w:r w:rsidRPr="00BD6C5F">
        <w:t>a Sub-contractor failure to comply with the Core Information Management System code of connection;</w:t>
      </w:r>
    </w:p>
    <w:p w14:paraId="54A5D5B7" w14:textId="77777777" w:rsidR="00BC7DDA" w:rsidRPr="00BD6C5F" w:rsidRDefault="009B03E9" w:rsidP="007B7076">
      <w:pPr>
        <w:pStyle w:val="Numbered111"/>
      </w:pPr>
      <w:r w:rsidRPr="00BD6C5F">
        <w:t>a significant change to any risk component;</w:t>
      </w:r>
    </w:p>
    <w:p w14:paraId="44823038" w14:textId="601BF52D" w:rsidR="00BC7DDA" w:rsidRPr="00BD6C5F" w:rsidRDefault="00DB2677" w:rsidP="007B7076">
      <w:pPr>
        <w:pStyle w:val="Numbered111"/>
      </w:pPr>
      <w:r w:rsidRPr="00BD6C5F">
        <w:t xml:space="preserve"> </w:t>
      </w:r>
      <w:r w:rsidR="009B03E9" w:rsidRPr="00BD6C5F">
        <w:t>a significant change in the quantity of Personal Data held within the Core Information Management System;</w:t>
      </w:r>
    </w:p>
    <w:p w14:paraId="51809B9A" w14:textId="6FD0E6E5" w:rsidR="00BC7DDA" w:rsidRPr="00BD6C5F" w:rsidRDefault="009B03E9" w:rsidP="007B7076">
      <w:pPr>
        <w:pStyle w:val="Numbered111"/>
      </w:pPr>
      <w:r w:rsidRPr="00BD6C5F">
        <w:t xml:space="preserve">where the Supplier has previously Processed Personal Data that does not include Special Category Personal Data, it starts to, or proposes to start to, Process Special Category Personal Data under this </w:t>
      </w:r>
      <w:r w:rsidR="00B76C7C" w:rsidRPr="00BD6C5F">
        <w:t>Contract</w:t>
      </w:r>
      <w:r w:rsidRPr="00BD6C5F">
        <w:t>;</w:t>
      </w:r>
    </w:p>
    <w:p w14:paraId="4DDE32D1" w14:textId="77777777" w:rsidR="00BC7DDA" w:rsidRPr="00BD6C5F" w:rsidRDefault="009B03E9" w:rsidP="007B7076">
      <w:pPr>
        <w:pStyle w:val="Numbered111"/>
      </w:pPr>
      <w:r w:rsidRPr="00BD6C5F">
        <w:t>a proposal to change any of the Sites from which any part of the Services are provided; and/or</w:t>
      </w:r>
    </w:p>
    <w:p w14:paraId="60506DE4" w14:textId="0272789D" w:rsidR="00BC7DDA" w:rsidRPr="00BD6C5F" w:rsidRDefault="009B03E9" w:rsidP="007B7076">
      <w:pPr>
        <w:pStyle w:val="Numbered111"/>
      </w:pPr>
      <w:r w:rsidRPr="00BD6C5F">
        <w:t>an ISO</w:t>
      </w:r>
      <w:r w:rsidR="00772854" w:rsidRPr="00BD6C5F">
        <w:t xml:space="preserve">/IEC </w:t>
      </w:r>
      <w:r w:rsidRPr="00BD6C5F">
        <w:t>27001</w:t>
      </w:r>
      <w:r w:rsidR="00772854" w:rsidRPr="00BD6C5F">
        <w:t xml:space="preserve">(at least ISO/IEC 27001:2013) </w:t>
      </w:r>
      <w:r w:rsidRPr="00BD6C5F">
        <w:t xml:space="preserve">audit report produced in connection with the Certification Requirements indicates significant concerns; </w:t>
      </w:r>
      <w:r w:rsidRPr="00BD6C5F">
        <w:lastRenderedPageBreak/>
        <w:t>and</w:t>
      </w:r>
    </w:p>
    <w:p w14:paraId="0894A83C" w14:textId="77777777" w:rsidR="00BC7DDA" w:rsidRPr="00BD6C5F" w:rsidRDefault="009B03E9" w:rsidP="007B7076">
      <w:pPr>
        <w:pStyle w:val="Numbered111"/>
      </w:pPr>
      <w:r w:rsidRPr="00BD6C5F">
        <w:t xml:space="preserve">update the Required Changes Register and provide the updated Required Changes Register to the Authority for review and approval within </w:t>
      </w:r>
      <w:r w:rsidRPr="006D1202">
        <w:t>[</w:t>
      </w:r>
      <w:r w:rsidRPr="006D1202">
        <w:rPr>
          <w:shd w:val="clear" w:color="auto" w:fill="FFFF00"/>
        </w:rPr>
        <w:t>10</w:t>
      </w:r>
      <w:r w:rsidRPr="006D1202">
        <w:t xml:space="preserve">] </w:t>
      </w:r>
      <w:r w:rsidRPr="00BD6C5F">
        <w:t>Working Days after the initial notification or such other timescale as may be agreed with the Authority.</w:t>
      </w:r>
    </w:p>
    <w:p w14:paraId="4A06C88F" w14:textId="77777777" w:rsidR="00BC7DDA" w:rsidRPr="00BD6C5F" w:rsidRDefault="009B03E9" w:rsidP="00247692">
      <w:pPr>
        <w:pStyle w:val="Numbered11"/>
        <w:keepNext/>
      </w:pPr>
      <w:bookmarkStart w:id="284" w:name="_bookmark94"/>
      <w:bookmarkStart w:id="285" w:name="_Ref98361005"/>
      <w:bookmarkEnd w:id="284"/>
      <w:r w:rsidRPr="00BD6C5F">
        <w:t>If the Supplier fails to implement a change set out in the Required Changes Register by the date agreed with the Authority, such failure shall constitute a material Default and the Supplier shall:</w:t>
      </w:r>
      <w:bookmarkEnd w:id="285"/>
    </w:p>
    <w:p w14:paraId="0148E9B9" w14:textId="1E75918A" w:rsidR="00BC7DDA" w:rsidRPr="00BD6C5F" w:rsidRDefault="009B03E9" w:rsidP="007B7076">
      <w:pPr>
        <w:pStyle w:val="Numbered111"/>
      </w:pPr>
      <w:bookmarkStart w:id="286" w:name="_bookmark95"/>
      <w:bookmarkStart w:id="287" w:name="_Ref98360556"/>
      <w:bookmarkEnd w:id="286"/>
      <w:r w:rsidRPr="00BD6C5F">
        <w:t>immediately cease using the Core Information Management System to Process Authority Data until the Default is remedied, unless directed otherwise by the Authority in writing and then it may only continue to Process Authority Data in accordance with the Authority</w:t>
      </w:r>
      <w:r w:rsidR="00A4555C" w:rsidRPr="00BD6C5F">
        <w:t>’</w:t>
      </w:r>
      <w:r w:rsidRPr="00BD6C5F">
        <w:t>s written directions; and</w:t>
      </w:r>
      <w:bookmarkEnd w:id="287"/>
    </w:p>
    <w:p w14:paraId="653B1487" w14:textId="180DCD3C" w:rsidR="00BC7DDA" w:rsidRPr="00BD6C5F" w:rsidRDefault="009B03E9" w:rsidP="007B7076">
      <w:pPr>
        <w:pStyle w:val="Numbered111"/>
      </w:pPr>
      <w:r w:rsidRPr="00BD6C5F">
        <w:t xml:space="preserve">where such Default is capable of remedy, the Supplier shall remedy such Default within the timescales set by the Authority and, should the Supplier fail to remedy the Default within such timescales, the Authority may terminate this </w:t>
      </w:r>
      <w:r w:rsidR="00DE54CD" w:rsidRPr="00BD6C5F">
        <w:t>Contract</w:t>
      </w:r>
      <w:r w:rsidRPr="00BD6C5F">
        <w:t xml:space="preserve"> with immediate effect by issuing a Termination Notice to the Supplier in accordance with </w:t>
      </w:r>
      <w:r w:rsidR="005E736B" w:rsidRPr="00BD6C5F">
        <w:t>Clause </w:t>
      </w:r>
      <w:r w:rsidRPr="00BD6C5F">
        <w:t>3</w:t>
      </w:r>
      <w:r w:rsidR="00D61E2C" w:rsidRPr="00BD6C5F">
        <w:t>1</w:t>
      </w:r>
      <w:r w:rsidRPr="00BD6C5F">
        <w:t>.1</w:t>
      </w:r>
      <w:r w:rsidR="00C20F85">
        <w:t>.2</w:t>
      </w:r>
      <w:r w:rsidRPr="00BD6C5F">
        <w:t>.</w:t>
      </w:r>
    </w:p>
    <w:p w14:paraId="268F7356" w14:textId="77777777" w:rsidR="00BC7DDA" w:rsidRPr="00BD6C5F" w:rsidRDefault="009B03E9" w:rsidP="007B7076">
      <w:pPr>
        <w:pStyle w:val="Numbered11"/>
      </w:pPr>
      <w:r w:rsidRPr="00BD6C5F">
        <w:t>The Supplier shall review each Change Request against the Security Management Plan to establish whether the documentation would need to be amended should such Change Request be agreed and, where a Change Request would require an amendment to the Security Management Plan, the Supplier shall set out any proposed amendments to the documentation in the Impact Assessment associated with such Change Request for consideration and approval by the Authority.</w:t>
      </w:r>
    </w:p>
    <w:p w14:paraId="68486595" w14:textId="77777777" w:rsidR="00BC7DDA" w:rsidRPr="00BD6C5F" w:rsidRDefault="009B03E9" w:rsidP="007B7076">
      <w:pPr>
        <w:pStyle w:val="Numbered11"/>
      </w:pPr>
      <w:r w:rsidRPr="00BD6C5F">
        <w:t>The Supplier shall be solely responsible for the costs associated with developing and updating the Security Management Plan and carrying out any remedial action required by the Authority as part of the Accreditation process.</w:t>
      </w:r>
    </w:p>
    <w:p w14:paraId="3C6DFFF0" w14:textId="77777777" w:rsidR="00BC7DDA" w:rsidRPr="00BD6C5F" w:rsidRDefault="009B03E9" w:rsidP="007B7076">
      <w:pPr>
        <w:pStyle w:val="Numbered1"/>
      </w:pPr>
      <w:bookmarkStart w:id="288" w:name="_bookmark96"/>
      <w:bookmarkStart w:id="289" w:name="_Ref98360646"/>
      <w:bookmarkEnd w:id="288"/>
      <w:r w:rsidRPr="00BD6C5F">
        <w:t>Certification Requirements</w:t>
      </w:r>
      <w:bookmarkEnd w:id="289"/>
    </w:p>
    <w:p w14:paraId="630068DC" w14:textId="77777777" w:rsidR="00BC7DDA" w:rsidRPr="00BD6C5F" w:rsidRDefault="009B03E9" w:rsidP="00247692">
      <w:pPr>
        <w:pStyle w:val="Numbered11"/>
        <w:keepNext/>
      </w:pPr>
      <w:bookmarkStart w:id="290" w:name="_bookmark97"/>
      <w:bookmarkStart w:id="291" w:name="_Ref98359316"/>
      <w:bookmarkEnd w:id="290"/>
      <w:r w:rsidRPr="00BD6C5F">
        <w:t>The Supplier shall ensure, at all times during the Term, that it is certified as compliant with:</w:t>
      </w:r>
      <w:bookmarkEnd w:id="291"/>
    </w:p>
    <w:p w14:paraId="6C162FA9" w14:textId="5B9E18D3" w:rsidR="00BC7DDA" w:rsidRPr="00BD6C5F" w:rsidRDefault="009B03E9" w:rsidP="007B7076">
      <w:pPr>
        <w:pStyle w:val="Numbered111"/>
      </w:pPr>
      <w:r w:rsidRPr="00BD6C5F">
        <w:t>ISO/IEC 27001:</w:t>
      </w:r>
      <w:r w:rsidR="00772854" w:rsidRPr="00BD6C5F">
        <w:t xml:space="preserve"> (at least ISO/IEC 27001:2013) </w:t>
      </w:r>
      <w:r w:rsidRPr="00BD6C5F">
        <w:t xml:space="preserve">by a </w:t>
      </w:r>
      <w:r w:rsidR="00772854" w:rsidRPr="00BD6C5F">
        <w:t xml:space="preserve">UK </w:t>
      </w:r>
      <w:r w:rsidRPr="00BD6C5F">
        <w:t>Accreditation Service (UKAS)-approved certification body or are included within the scope of an existing certification of compliance with ISO/IEC 27001</w:t>
      </w:r>
      <w:r w:rsidR="00772854" w:rsidRPr="00BD6C5F">
        <w:t>(at least ISO/IEC 27001:2013)</w:t>
      </w:r>
      <w:r w:rsidRPr="00BD6C5F">
        <w:t>; and</w:t>
      </w:r>
    </w:p>
    <w:p w14:paraId="2A2F4987" w14:textId="77777777" w:rsidR="00BC7DDA" w:rsidRPr="00BD6C5F" w:rsidRDefault="009B03E9" w:rsidP="007B7076">
      <w:pPr>
        <w:pStyle w:val="Numbered111"/>
      </w:pPr>
      <w:r w:rsidRPr="00BD6C5F">
        <w:t>Cyber Essentials Plus,</w:t>
      </w:r>
    </w:p>
    <w:p w14:paraId="73247F81" w14:textId="77777777" w:rsidR="00BC7DDA" w:rsidRPr="00BD6C5F" w:rsidRDefault="009B03E9" w:rsidP="00163594">
      <w:pPr>
        <w:pStyle w:val="BodyText"/>
        <w:spacing w:before="100" w:after="200"/>
        <w:ind w:left="720"/>
        <w:rPr>
          <w:rFonts w:asciiTheme="minorHAnsi" w:hAnsiTheme="minorHAnsi" w:cstheme="minorHAnsi"/>
        </w:rPr>
      </w:pPr>
      <w:r w:rsidRPr="00BD6C5F">
        <w:rPr>
          <w:rFonts w:asciiTheme="minorHAnsi" w:hAnsiTheme="minorHAnsi" w:cstheme="minorHAnsi"/>
        </w:rPr>
        <w:t>and shall provide the Authority with a copy of each such certificate of compliance before the Supplier shall be permitted to use the Core Information Management System to receive or Process Authority Data.</w:t>
      </w:r>
    </w:p>
    <w:p w14:paraId="5A3C724B" w14:textId="7A3C4934" w:rsidR="00BC7DDA" w:rsidRPr="00BD6C5F" w:rsidRDefault="009B03E9" w:rsidP="007B7076">
      <w:pPr>
        <w:pStyle w:val="Numbered11"/>
      </w:pPr>
      <w:r w:rsidRPr="00BD6C5F">
        <w:t>Notwithstanding anything else in this Contract, a C</w:t>
      </w:r>
      <w:r w:rsidR="00772854" w:rsidRPr="00BD6C5F">
        <w:t>IM</w:t>
      </w:r>
      <w:r w:rsidRPr="00BD6C5F">
        <w:t>S Sub-contractor shall be treated for all purposes as a Key Sub-contractor.</w:t>
      </w:r>
    </w:p>
    <w:p w14:paraId="5BF99FF4" w14:textId="66DB4D78" w:rsidR="00BC7DDA" w:rsidRPr="00BD6C5F" w:rsidRDefault="009B03E9" w:rsidP="00247692">
      <w:pPr>
        <w:pStyle w:val="Numbered11"/>
        <w:keepNext/>
      </w:pPr>
      <w:r w:rsidRPr="00BD6C5F">
        <w:t xml:space="preserve">In addition to the obligations contained in </w:t>
      </w:r>
      <w:r w:rsidR="005E736B" w:rsidRPr="00BD6C5F">
        <w:t>Clause </w:t>
      </w:r>
      <w:r w:rsidRPr="00BD6C5F">
        <w:t xml:space="preserve">15, the Supplier must ensure that the </w:t>
      </w:r>
      <w:r w:rsidRPr="00BD6C5F">
        <w:lastRenderedPageBreak/>
        <w:t>Key Subcontract with each CIMS Sub-contractor:</w:t>
      </w:r>
    </w:p>
    <w:p w14:paraId="127A4563" w14:textId="0DAE3991" w:rsidR="00BC7DDA" w:rsidRPr="00BD6C5F" w:rsidRDefault="009B03E9" w:rsidP="007B7076">
      <w:pPr>
        <w:pStyle w:val="Numbered111"/>
      </w:pPr>
      <w:r w:rsidRPr="00BD6C5F">
        <w:t xml:space="preserve">contains obligations no less onerous on the Key Sub-contractor than those imposed on the Supplier under this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Pr="00BD6C5F">
        <w:t xml:space="preserve"> (</w:t>
      </w:r>
      <w:r w:rsidRPr="00BD6C5F">
        <w:rPr>
          <w:i/>
        </w:rPr>
        <w:t>Security Management</w:t>
      </w:r>
      <w:r w:rsidRPr="00BD6C5F">
        <w:t>); but</w:t>
      </w:r>
    </w:p>
    <w:p w14:paraId="77C49019" w14:textId="4B87AF15" w:rsidR="00BC7DDA" w:rsidRPr="00BD6C5F" w:rsidRDefault="009B03E9" w:rsidP="007B7076">
      <w:pPr>
        <w:pStyle w:val="Numbered111"/>
      </w:pPr>
      <w:r w:rsidRPr="00BD6C5F">
        <w:t xml:space="preserve">provides for the Authority to perform Accreditation of any part of the Core Information Management System that the CIMS Sub-contractor provides or operates which is not otherwise subject to Accreditation under this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00842AED" w:rsidRPr="00BD6C5F">
        <w:t xml:space="preserve"> </w:t>
      </w:r>
      <w:r w:rsidRPr="00BD6C5F">
        <w:t>(</w:t>
      </w:r>
      <w:r w:rsidRPr="00BD6C5F">
        <w:rPr>
          <w:i/>
        </w:rPr>
        <w:t>Security Management</w:t>
      </w:r>
      <w:r w:rsidRPr="00BD6C5F">
        <w:t>).</w:t>
      </w:r>
    </w:p>
    <w:p w14:paraId="4AD90492" w14:textId="77777777" w:rsidR="00BC7DDA" w:rsidRPr="00BD6C5F" w:rsidRDefault="009B03E9" w:rsidP="00247692">
      <w:pPr>
        <w:pStyle w:val="Numbered11"/>
        <w:keepNext/>
      </w:pPr>
      <w:bookmarkStart w:id="292" w:name="_bookmark98"/>
      <w:bookmarkStart w:id="293" w:name="_Ref141215486"/>
      <w:bookmarkEnd w:id="292"/>
      <w:r w:rsidRPr="00BD6C5F">
        <w:t>The Supplier shall ensure that each Higher Risk Sub-contractor is certified as compliant with either:</w:t>
      </w:r>
      <w:bookmarkEnd w:id="293"/>
    </w:p>
    <w:p w14:paraId="029127B0" w14:textId="4494765E" w:rsidR="00BC7DDA" w:rsidRPr="00BD6C5F" w:rsidRDefault="009B03E9" w:rsidP="007B7076">
      <w:pPr>
        <w:pStyle w:val="Numbered111"/>
      </w:pPr>
      <w:r w:rsidRPr="00BD6C5F">
        <w:t>ISO/IEC 27001:</w:t>
      </w:r>
      <w:r w:rsidR="00772854" w:rsidRPr="00BD6C5F">
        <w:t xml:space="preserve"> (at least ISO/IEC 27001:2013) </w:t>
      </w:r>
      <w:r w:rsidRPr="00BD6C5F">
        <w:t xml:space="preserve">by a </w:t>
      </w:r>
      <w:r w:rsidR="00772854" w:rsidRPr="00BD6C5F">
        <w:t xml:space="preserve">UK </w:t>
      </w:r>
      <w:r w:rsidRPr="00BD6C5F">
        <w:t>Accreditation Service (UKAS)-approved certification body or is included within the scope of an existing certification of compliance with ISO/IEC 27001</w:t>
      </w:r>
      <w:r w:rsidR="00303F34" w:rsidRPr="00BD6C5F">
        <w:t xml:space="preserve">(at least ISO/IEC 27001:2013); </w:t>
      </w:r>
      <w:r w:rsidRPr="00BD6C5F">
        <w:t>or</w:t>
      </w:r>
    </w:p>
    <w:p w14:paraId="15AC4BD4" w14:textId="77777777" w:rsidR="00BC7DDA" w:rsidRPr="00BD6C5F" w:rsidRDefault="009B03E9" w:rsidP="007B7076">
      <w:pPr>
        <w:pStyle w:val="Numbered111"/>
      </w:pPr>
      <w:r w:rsidRPr="00BD6C5F">
        <w:t>Cyber Essentials Plus,</w:t>
      </w:r>
    </w:p>
    <w:p w14:paraId="0DE5C309" w14:textId="77777777" w:rsidR="00BC7DDA" w:rsidRPr="00BD6C5F" w:rsidRDefault="009B03E9" w:rsidP="00163594">
      <w:pPr>
        <w:pStyle w:val="BodyText"/>
        <w:spacing w:before="100" w:after="200"/>
        <w:ind w:left="720"/>
        <w:rPr>
          <w:rFonts w:asciiTheme="minorHAnsi" w:hAnsiTheme="minorHAnsi" w:cstheme="minorHAnsi"/>
        </w:rPr>
      </w:pPr>
      <w:r w:rsidRPr="00BD6C5F">
        <w:rPr>
          <w:rFonts w:asciiTheme="minorHAnsi" w:hAnsiTheme="minorHAnsi" w:cstheme="minorHAnsi"/>
        </w:rPr>
        <w:t>and shall provide the Authority with a copy of each such certificate of compliance before the Higher-Risk Sub-contractor shall be permitted to receive or Process Authority Data.</w:t>
      </w:r>
    </w:p>
    <w:p w14:paraId="4277F188" w14:textId="77777777" w:rsidR="00BC7DDA" w:rsidRPr="00BD6C5F" w:rsidRDefault="009B03E9" w:rsidP="007B7076">
      <w:pPr>
        <w:pStyle w:val="Numbered11"/>
      </w:pPr>
      <w:r w:rsidRPr="00BD6C5F">
        <w:t>The Supplier shall ensure that each Medium Risk Sub-contractor is certified compliant with Cyber Essentials.</w:t>
      </w:r>
    </w:p>
    <w:p w14:paraId="0E79D044" w14:textId="77777777" w:rsidR="00BC7DDA" w:rsidRPr="00BD6C5F" w:rsidRDefault="009B03E9" w:rsidP="00247692">
      <w:pPr>
        <w:pStyle w:val="Numbered11"/>
        <w:keepNext/>
      </w:pPr>
      <w:bookmarkStart w:id="294" w:name="_bookmark99"/>
      <w:bookmarkStart w:id="295" w:name="_Ref141215492"/>
      <w:bookmarkEnd w:id="294"/>
      <w:r w:rsidRPr="00BD6C5F">
        <w:t>The Supplier shall ensure that the Supplier and each Sub-contractor who is responsible for the secure destruction of Authority Data:</w:t>
      </w:r>
      <w:bookmarkEnd w:id="295"/>
    </w:p>
    <w:p w14:paraId="72377CB8" w14:textId="6354BB84" w:rsidR="00BC7DDA" w:rsidRPr="00BD6C5F" w:rsidRDefault="009B03E9" w:rsidP="007B7076">
      <w:pPr>
        <w:pStyle w:val="Numbered111"/>
      </w:pPr>
      <w:r w:rsidRPr="00BD6C5F">
        <w:t>securely destroys Authority Data only on Sites which are included within the scope of an existing certification of compliance with ISO/IEC 27001</w:t>
      </w:r>
      <w:r w:rsidR="00303F34" w:rsidRPr="00BD6C5F">
        <w:t>(at least ISO/IEC 27001:2013)</w:t>
      </w:r>
      <w:r w:rsidRPr="00BD6C5F">
        <w:t xml:space="preserve">; </w:t>
      </w:r>
    </w:p>
    <w:p w14:paraId="16D7525F" w14:textId="77777777" w:rsidR="00303F34" w:rsidRPr="00BD6C5F" w:rsidRDefault="00303F34" w:rsidP="007B7076">
      <w:pPr>
        <w:pStyle w:val="Numbered111"/>
      </w:pPr>
      <w:r w:rsidRPr="00BD6C5F">
        <w:t>should satisfy the Authority that their data destruction/deletion practices comply with UK GDPR requirements and follows all relevant NCSC guidance; and</w:t>
      </w:r>
    </w:p>
    <w:p w14:paraId="32EE0F5F" w14:textId="77777777" w:rsidR="00303F34" w:rsidRPr="00BD6C5F" w:rsidRDefault="00303F34" w:rsidP="007B7076">
      <w:pPr>
        <w:pStyle w:val="Numbered111"/>
      </w:pPr>
      <w:r w:rsidRPr="00BD6C5F">
        <w:t>must maintain an asset register of all Authority supplied information, data and equipment to ensure Authority assets are returned and/or deleted.</w:t>
      </w:r>
    </w:p>
    <w:p w14:paraId="45EC279D" w14:textId="139A1D3C" w:rsidR="00BC7DDA" w:rsidRPr="00BD6C5F" w:rsidRDefault="009B03E9" w:rsidP="007B7076">
      <w:pPr>
        <w:pStyle w:val="Numbered11"/>
      </w:pPr>
      <w:r w:rsidRPr="00BD6C5F">
        <w:t>The Supplier shall provide the Authority with evidence of its and its Sub-contractor</w:t>
      </w:r>
      <w:r w:rsidR="00A4555C" w:rsidRPr="00BD6C5F">
        <w:t>’</w:t>
      </w:r>
      <w:r w:rsidRPr="00BD6C5F">
        <w:t>s compliance with the requirements set out in this Paragraph before the Supplier or the relevant Sub-contractor (as applicable) shall be permitted to carry out the secure destruction of the Authority Data.</w:t>
      </w:r>
    </w:p>
    <w:p w14:paraId="0FB89252" w14:textId="6A58EA95" w:rsidR="00BC7DDA" w:rsidRPr="00BD6C5F" w:rsidRDefault="009B03E9" w:rsidP="007B7076">
      <w:pPr>
        <w:pStyle w:val="Numbered11"/>
      </w:pPr>
      <w:bookmarkStart w:id="296" w:name="_bookmark100"/>
      <w:bookmarkStart w:id="297" w:name="_Ref98359327"/>
      <w:bookmarkEnd w:id="296"/>
      <w:r w:rsidRPr="00BD6C5F">
        <w:t>The Supplier shall notify the Authority as soon as reasonably practicable and, in any event within 2 Working Days, if the Supplier or any Sub-contractor ceases to be compliant with the Certification Requirements and shall or shall procure that the relevant Sub-contractor shall:</w:t>
      </w:r>
      <w:bookmarkEnd w:id="297"/>
    </w:p>
    <w:p w14:paraId="36D216ED" w14:textId="77777777" w:rsidR="00BC7DDA" w:rsidRPr="00BD6C5F" w:rsidRDefault="009B03E9" w:rsidP="007B7076">
      <w:pPr>
        <w:pStyle w:val="Numbered111"/>
      </w:pPr>
      <w:r w:rsidRPr="00BD6C5F">
        <w:t>immediately ceases receiving or Processing Authority Data; and</w:t>
      </w:r>
    </w:p>
    <w:p w14:paraId="34C65259" w14:textId="77777777" w:rsidR="00BC7DDA" w:rsidRPr="00BD6C5F" w:rsidRDefault="009B03E9" w:rsidP="007B7076">
      <w:pPr>
        <w:pStyle w:val="Numbered111"/>
      </w:pPr>
      <w:r w:rsidRPr="00BD6C5F">
        <w:t>procure that the relevant Sub-contractor promptly returns, destroys and/or erases the Authority Data in accordance with Baseline Security Requirements.</w:t>
      </w:r>
    </w:p>
    <w:p w14:paraId="3751E86A" w14:textId="1A603DA6" w:rsidR="00BC7DDA" w:rsidRPr="00BD6C5F" w:rsidRDefault="009B03E9" w:rsidP="007B7076">
      <w:pPr>
        <w:pStyle w:val="Numbered11"/>
      </w:pPr>
      <w:bookmarkStart w:id="298" w:name="_Ref98846031"/>
      <w:r w:rsidRPr="00BD6C5F">
        <w:t xml:space="preserve">The Authority may agree to exempt in whole or part the Supplier or any Sub-contractor </w:t>
      </w:r>
      <w:r w:rsidRPr="00BD6C5F">
        <w:lastRenderedPageBreak/>
        <w:t>from the Certification Requirements. Any exemption must be in writing to be effective. The Supplier must include the exemption in the Security Management Plan.</w:t>
      </w:r>
      <w:bookmarkEnd w:id="298"/>
    </w:p>
    <w:p w14:paraId="5C4DFA4E" w14:textId="77777777" w:rsidR="00BC7DDA" w:rsidRPr="00BD6C5F" w:rsidRDefault="009B03E9" w:rsidP="007B7076">
      <w:pPr>
        <w:pStyle w:val="Numbered1"/>
      </w:pPr>
      <w:bookmarkStart w:id="299" w:name="_bookmark101"/>
      <w:bookmarkStart w:id="300" w:name="_Ref98360656"/>
      <w:bookmarkEnd w:id="299"/>
      <w:r w:rsidRPr="00BD6C5F">
        <w:t>Security Testing</w:t>
      </w:r>
      <w:bookmarkEnd w:id="300"/>
    </w:p>
    <w:p w14:paraId="36886D56" w14:textId="77777777" w:rsidR="00BC7DDA" w:rsidRPr="00BD6C5F" w:rsidRDefault="009B03E9" w:rsidP="00247692">
      <w:pPr>
        <w:pStyle w:val="Numbered11"/>
        <w:keepNext/>
      </w:pPr>
      <w:bookmarkStart w:id="301" w:name="_bookmark102"/>
      <w:bookmarkStart w:id="302" w:name="_Ref98359337"/>
      <w:bookmarkEnd w:id="301"/>
      <w:r w:rsidRPr="00BD6C5F">
        <w:t>The Supplier shall, at its own cost and expense:</w:t>
      </w:r>
      <w:bookmarkEnd w:id="302"/>
    </w:p>
    <w:p w14:paraId="2AD73E68" w14:textId="1DA7B7B7" w:rsidR="00BC7DDA" w:rsidRPr="00BD6C5F" w:rsidRDefault="009B03E9" w:rsidP="00247692">
      <w:pPr>
        <w:pStyle w:val="Numbered111"/>
        <w:keepNext/>
      </w:pPr>
      <w:bookmarkStart w:id="303" w:name="_bookmark103"/>
      <w:bookmarkEnd w:id="303"/>
      <w:r w:rsidRPr="00BD6C5F">
        <w:t xml:space="preserve">procure testing of the Core Information Management System by a CHECK Service Provider or a CREST Service Provider (an </w:t>
      </w:r>
      <w:r w:rsidR="00A4555C" w:rsidRPr="00BD6C5F">
        <w:t>“</w:t>
      </w:r>
      <w:r w:rsidRPr="00BD6C5F">
        <w:rPr>
          <w:b/>
        </w:rPr>
        <w:t xml:space="preserve">IT </w:t>
      </w:r>
      <w:r w:rsidRPr="00BD6C5F">
        <w:t>Health Check</w:t>
      </w:r>
      <w:r w:rsidR="00A4555C" w:rsidRPr="00BD6C5F">
        <w:t>”</w:t>
      </w:r>
      <w:r w:rsidRPr="00BD6C5F">
        <w:t>):</w:t>
      </w:r>
    </w:p>
    <w:p w14:paraId="1E81DE2C" w14:textId="0CB82FF6" w:rsidR="00BC7DDA" w:rsidRPr="00BD6C5F" w:rsidRDefault="009B03E9" w:rsidP="002B3242">
      <w:pPr>
        <w:pStyle w:val="Numbered111a"/>
        <w:rPr>
          <w:lang w:val="en-GB"/>
        </w:rPr>
      </w:pPr>
      <w:r w:rsidRPr="00BD6C5F">
        <w:rPr>
          <w:lang w:val="en-GB"/>
        </w:rPr>
        <w:t>prior to it submitting the Security Management Plan to the Authority for an Accreditation Decision;</w:t>
      </w:r>
    </w:p>
    <w:p w14:paraId="1114A3D9" w14:textId="3254BEED" w:rsidR="00303F34" w:rsidRPr="00BD6C5F" w:rsidRDefault="00303F34" w:rsidP="007B7076">
      <w:pPr>
        <w:pStyle w:val="Numbered111a"/>
        <w:rPr>
          <w:lang w:val="en-GB"/>
        </w:rPr>
      </w:pPr>
      <w:r w:rsidRPr="00BD6C5F">
        <w:rPr>
          <w:lang w:val="en-GB"/>
        </w:rPr>
        <w:t>before the Supplier is given permission by the Authority to Process or manage any Authority Data;</w:t>
      </w:r>
    </w:p>
    <w:p w14:paraId="7734EEE9" w14:textId="77777777" w:rsidR="00BC7DDA" w:rsidRPr="00BD6C5F" w:rsidRDefault="009B03E9" w:rsidP="007B7076">
      <w:pPr>
        <w:pStyle w:val="Numbered111a"/>
        <w:rPr>
          <w:lang w:val="en-GB"/>
        </w:rPr>
      </w:pPr>
      <w:r w:rsidRPr="00BD6C5F">
        <w:rPr>
          <w:lang w:val="en-GB"/>
        </w:rPr>
        <w:t>if directed to do so by the Authority; and</w:t>
      </w:r>
    </w:p>
    <w:p w14:paraId="44BE51F0" w14:textId="77777777" w:rsidR="00BC7DDA" w:rsidRPr="00BD6C5F" w:rsidRDefault="009B03E9" w:rsidP="007B7076">
      <w:pPr>
        <w:pStyle w:val="Numbered111a"/>
        <w:rPr>
          <w:lang w:val="en-GB"/>
        </w:rPr>
      </w:pPr>
      <w:r w:rsidRPr="00BD6C5F">
        <w:rPr>
          <w:lang w:val="en-GB"/>
        </w:rPr>
        <w:t>once every 12 months during the Term.</w:t>
      </w:r>
    </w:p>
    <w:p w14:paraId="545A303D" w14:textId="77777777" w:rsidR="00BC7DDA" w:rsidRPr="00BD6C5F" w:rsidRDefault="009B03E9" w:rsidP="007B7076">
      <w:pPr>
        <w:pStyle w:val="Numbered111"/>
      </w:pPr>
      <w:r w:rsidRPr="00BD6C5F">
        <w:t>conduct vulnerability scanning and assessments of the Core Information Management System monthly;</w:t>
      </w:r>
    </w:p>
    <w:p w14:paraId="22F97C03" w14:textId="77777777" w:rsidR="00BC7DDA" w:rsidRPr="00BD6C5F" w:rsidRDefault="009B03E9" w:rsidP="007B7076">
      <w:pPr>
        <w:pStyle w:val="Numbered111"/>
      </w:pPr>
      <w:r w:rsidRPr="00BD6C5F">
        <w:t>conduct an assessment as soon as reasonably practicable following receipt by the Supplier or any of its Sub-contractors of a critical vulnerability alert from a supplier of any software or other component of the Core Information Management System to determine whether the vulnerability affects the Core Information Management System; and</w:t>
      </w:r>
    </w:p>
    <w:p w14:paraId="58174F7D" w14:textId="77777777" w:rsidR="00BC7DDA" w:rsidRPr="00BD6C5F" w:rsidRDefault="009B03E9" w:rsidP="00247692">
      <w:pPr>
        <w:pStyle w:val="Numbered111"/>
        <w:keepNext/>
      </w:pPr>
      <w:r w:rsidRPr="00BD6C5F">
        <w:t>conduct such other tests as are required by:</w:t>
      </w:r>
    </w:p>
    <w:p w14:paraId="1151446E" w14:textId="52F2F6C0" w:rsidR="00BC7DDA" w:rsidRPr="00BD6C5F" w:rsidRDefault="009B03E9" w:rsidP="00845F35">
      <w:pPr>
        <w:pStyle w:val="Numbered111a"/>
        <w:rPr>
          <w:lang w:val="en-GB"/>
        </w:rPr>
      </w:pPr>
      <w:r w:rsidRPr="00BD6C5F">
        <w:rPr>
          <w:lang w:val="en-GB"/>
        </w:rPr>
        <w:t xml:space="preserve">any </w:t>
      </w:r>
      <w:r w:rsidR="00CC5D55" w:rsidRPr="00BD6C5F">
        <w:rPr>
          <w:lang w:val="en-GB"/>
        </w:rPr>
        <w:t xml:space="preserve">Remediation Action </w:t>
      </w:r>
      <w:r w:rsidRPr="00BD6C5F">
        <w:rPr>
          <w:lang w:val="en-GB"/>
        </w:rPr>
        <w:t>Plans;</w:t>
      </w:r>
    </w:p>
    <w:p w14:paraId="75BAF784" w14:textId="3DE422E1" w:rsidR="00BC7DDA" w:rsidRPr="00BD6C5F" w:rsidRDefault="009B03E9" w:rsidP="007B7076">
      <w:pPr>
        <w:pStyle w:val="Numbered111a"/>
        <w:rPr>
          <w:lang w:val="en-GB"/>
        </w:rPr>
      </w:pPr>
      <w:r w:rsidRPr="00BD6C5F">
        <w:rPr>
          <w:lang w:val="en-GB"/>
        </w:rPr>
        <w:t>the ISO</w:t>
      </w:r>
      <w:r w:rsidR="00CC5D55" w:rsidRPr="00BD6C5F">
        <w:rPr>
          <w:lang w:val="en-GB"/>
        </w:rPr>
        <w:t>/IEC</w:t>
      </w:r>
      <w:r w:rsidRPr="00BD6C5F">
        <w:rPr>
          <w:lang w:val="en-GB"/>
        </w:rPr>
        <w:t xml:space="preserve">27001 </w:t>
      </w:r>
      <w:r w:rsidR="00CC5D55" w:rsidRPr="00BD6C5F">
        <w:rPr>
          <w:lang w:val="en-GB"/>
        </w:rPr>
        <w:t xml:space="preserve">(at least ISO/IEC 27001:2013) </w:t>
      </w:r>
      <w:r w:rsidRPr="00BD6C5F">
        <w:rPr>
          <w:lang w:val="en-GB"/>
        </w:rPr>
        <w:t>certification requirements;</w:t>
      </w:r>
    </w:p>
    <w:p w14:paraId="20B66EB4" w14:textId="77777777" w:rsidR="00BC7DDA" w:rsidRPr="00BD6C5F" w:rsidRDefault="009B03E9" w:rsidP="007B7076">
      <w:pPr>
        <w:pStyle w:val="Numbered111a"/>
        <w:rPr>
          <w:lang w:val="en-GB"/>
        </w:rPr>
      </w:pPr>
      <w:r w:rsidRPr="00BD6C5F">
        <w:rPr>
          <w:lang w:val="en-GB"/>
        </w:rPr>
        <w:t>the Security Management Plan; and</w:t>
      </w:r>
    </w:p>
    <w:p w14:paraId="4DBCE2DF" w14:textId="2DF20DA6" w:rsidR="00BC7DDA" w:rsidRPr="00BD6C5F" w:rsidRDefault="009B03E9" w:rsidP="00247692">
      <w:pPr>
        <w:pStyle w:val="Numbered111a"/>
        <w:keepNext/>
        <w:rPr>
          <w:lang w:val="en-GB"/>
        </w:rPr>
      </w:pPr>
      <w:r w:rsidRPr="00BD6C5F">
        <w:rPr>
          <w:lang w:val="en-GB"/>
        </w:rPr>
        <w:t>the Authority following a Breach of Security or a significant change to the components or architecture of the Core Information Management System,</w:t>
      </w:r>
    </w:p>
    <w:p w14:paraId="625857CE" w14:textId="10CE805D" w:rsidR="00BC7DDA" w:rsidRPr="00BD6C5F" w:rsidRDefault="009B03E9" w:rsidP="00163594">
      <w:pPr>
        <w:spacing w:before="100" w:after="200"/>
        <w:ind w:left="1803"/>
        <w:rPr>
          <w:rFonts w:asciiTheme="minorHAnsi" w:hAnsiTheme="minorHAnsi" w:cstheme="minorHAnsi"/>
          <w:szCs w:val="24"/>
        </w:rPr>
      </w:pPr>
      <w:r w:rsidRPr="00BD6C5F">
        <w:rPr>
          <w:rFonts w:asciiTheme="minorHAnsi" w:hAnsiTheme="minorHAnsi" w:cstheme="minorHAnsi"/>
          <w:szCs w:val="24"/>
        </w:rPr>
        <w:t xml:space="preserve">(each a </w:t>
      </w:r>
      <w:r w:rsidR="00A4555C" w:rsidRPr="00BD6C5F">
        <w:rPr>
          <w:rFonts w:asciiTheme="minorHAnsi" w:hAnsiTheme="minorHAnsi" w:cstheme="minorHAnsi"/>
          <w:szCs w:val="24"/>
        </w:rPr>
        <w:t>“</w:t>
      </w:r>
      <w:r w:rsidRPr="00BD6C5F">
        <w:rPr>
          <w:rFonts w:asciiTheme="minorHAnsi" w:hAnsiTheme="minorHAnsi" w:cstheme="minorHAnsi"/>
          <w:b/>
          <w:szCs w:val="24"/>
        </w:rPr>
        <w:t>Security Test</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722D6F05" w14:textId="77777777" w:rsidR="00BC7DDA" w:rsidRPr="00BD6C5F" w:rsidRDefault="009B03E9" w:rsidP="007B7076">
      <w:pPr>
        <w:pStyle w:val="Numbered11"/>
      </w:pPr>
      <w:r w:rsidRPr="00BD6C5F">
        <w:t>The Supplier shall provide the Authority with the results of such Security Tests (in a form approved by the Authority in advance) as soon as practicable, and in any case within 10 Working Days, after completion of each Security Test.</w:t>
      </w:r>
    </w:p>
    <w:p w14:paraId="54091651" w14:textId="77777777" w:rsidR="00BC7DDA" w:rsidRPr="00BD6C5F" w:rsidRDefault="009B03E9" w:rsidP="00247692">
      <w:pPr>
        <w:pStyle w:val="Numbered11"/>
        <w:keepNext/>
      </w:pPr>
      <w:bookmarkStart w:id="304" w:name="_bookmark104"/>
      <w:bookmarkStart w:id="305" w:name="_Ref98361112"/>
      <w:bookmarkEnd w:id="304"/>
      <w:r w:rsidRPr="00BD6C5F">
        <w:t>In relation to each IT Health Check, the Supplier shall:</w:t>
      </w:r>
      <w:bookmarkEnd w:id="305"/>
    </w:p>
    <w:p w14:paraId="7BA9F2DF" w14:textId="77777777" w:rsidR="00BC7DDA" w:rsidRPr="00BD6C5F" w:rsidRDefault="009B03E9" w:rsidP="007B7076">
      <w:pPr>
        <w:pStyle w:val="Numbered111"/>
      </w:pPr>
      <w:r w:rsidRPr="00BD6C5F">
        <w:t>agree with the Authority the aim and scope of the IT Health Check;</w:t>
      </w:r>
    </w:p>
    <w:p w14:paraId="41D73FDC" w14:textId="77777777" w:rsidR="00BC7DDA" w:rsidRPr="00BD6C5F" w:rsidRDefault="009B03E9" w:rsidP="007B7076">
      <w:pPr>
        <w:pStyle w:val="Numbered111"/>
      </w:pPr>
      <w:r w:rsidRPr="00BD6C5F">
        <w:t>promptly, and in any case no later than [</w:t>
      </w:r>
      <w:r w:rsidRPr="006D1202">
        <w:rPr>
          <w:shd w:val="clear" w:color="auto" w:fill="FFFF00"/>
        </w:rPr>
        <w:t>10</w:t>
      </w:r>
      <w:r w:rsidRPr="006D1202">
        <w:t>]</w:t>
      </w:r>
      <w:r w:rsidRPr="00BD6C5F">
        <w:t xml:space="preserve"> Working Days, following receipt of each IT Health Check report, provide the Authority with a copy of the IT Health Check report;</w:t>
      </w:r>
    </w:p>
    <w:p w14:paraId="79B9B5A8" w14:textId="77777777" w:rsidR="00BC7DDA" w:rsidRPr="00BD6C5F" w:rsidRDefault="009B03E9" w:rsidP="00247692">
      <w:pPr>
        <w:pStyle w:val="Numbered111"/>
        <w:keepNext/>
      </w:pPr>
      <w:bookmarkStart w:id="306" w:name="_bookmark105"/>
      <w:bookmarkStart w:id="307" w:name="_Ref98361132"/>
      <w:bookmarkEnd w:id="306"/>
      <w:r w:rsidRPr="00BD6C5F">
        <w:lastRenderedPageBreak/>
        <w:t>in the event that the IT Health Check report identifies any vulnerabilities, the Supplier shall:</w:t>
      </w:r>
      <w:bookmarkEnd w:id="307"/>
    </w:p>
    <w:p w14:paraId="647AECF5" w14:textId="476FE5E6" w:rsidR="00BC7DDA" w:rsidRPr="00BD6C5F" w:rsidRDefault="009B03E9" w:rsidP="00247692">
      <w:pPr>
        <w:pStyle w:val="Numbered111a"/>
        <w:keepNext/>
        <w:rPr>
          <w:lang w:val="en-GB"/>
        </w:rPr>
      </w:pPr>
      <w:bookmarkStart w:id="308" w:name="_bookmark106"/>
      <w:bookmarkStart w:id="309" w:name="_Ref98360534"/>
      <w:bookmarkEnd w:id="308"/>
      <w:r w:rsidRPr="00BD6C5F">
        <w:rPr>
          <w:lang w:val="en-GB"/>
        </w:rPr>
        <w:t xml:space="preserve">prepare a remedial plan for approval by the Authority (each a </w:t>
      </w:r>
      <w:r w:rsidR="00A4555C" w:rsidRPr="00BD6C5F">
        <w:rPr>
          <w:lang w:val="en-GB"/>
        </w:rPr>
        <w:t>“</w:t>
      </w:r>
      <w:r w:rsidR="00CC5D55" w:rsidRPr="00BD6C5F">
        <w:rPr>
          <w:rStyle w:val="StdBodyTextBoldChar"/>
          <w:rFonts w:asciiTheme="minorHAnsi" w:eastAsia="Arial" w:hAnsiTheme="minorHAnsi" w:cstheme="minorHAnsi"/>
        </w:rPr>
        <w:t>Remediation Action</w:t>
      </w:r>
      <w:r w:rsidR="00096028" w:rsidRPr="00BD6C5F">
        <w:rPr>
          <w:rStyle w:val="StdBodyTextBoldChar"/>
          <w:rFonts w:asciiTheme="minorHAnsi" w:eastAsia="Arial" w:hAnsiTheme="minorHAnsi" w:cstheme="minorHAnsi"/>
        </w:rPr>
        <w:t xml:space="preserve"> </w:t>
      </w:r>
      <w:r w:rsidRPr="00BD6C5F">
        <w:rPr>
          <w:b/>
          <w:lang w:val="en-GB"/>
        </w:rPr>
        <w:t>Plan</w:t>
      </w:r>
      <w:r w:rsidR="00A4555C" w:rsidRPr="00BD6C5F">
        <w:rPr>
          <w:lang w:val="en-GB"/>
        </w:rPr>
        <w:t>”</w:t>
      </w:r>
      <w:r w:rsidRPr="00BD6C5F">
        <w:rPr>
          <w:lang w:val="en-GB"/>
        </w:rPr>
        <w:t>) which sets out in respect of each vulnerability identified in the IT Health Check report:</w:t>
      </w:r>
      <w:bookmarkEnd w:id="309"/>
    </w:p>
    <w:p w14:paraId="5AE167D1" w14:textId="77777777" w:rsidR="00BC7DDA" w:rsidRPr="00BD6C5F" w:rsidRDefault="009B03E9" w:rsidP="007B7076">
      <w:pPr>
        <w:pStyle w:val="Numbered111ai"/>
      </w:pPr>
      <w:r w:rsidRPr="00BD6C5F">
        <w:t>how the vulnerability will be remedied;</w:t>
      </w:r>
    </w:p>
    <w:p w14:paraId="14589D96" w14:textId="77777777" w:rsidR="00BC7DDA" w:rsidRPr="00BD6C5F" w:rsidRDefault="009B03E9" w:rsidP="00247692">
      <w:pPr>
        <w:pStyle w:val="Numbered111ai"/>
        <w:keepNext/>
      </w:pPr>
      <w:r w:rsidRPr="00BD6C5F">
        <w:t>unless otherwise agreed in writing between the Parties, the date by which the vulnerability will be remedied, which must be:</w:t>
      </w:r>
    </w:p>
    <w:p w14:paraId="26A2431C" w14:textId="3C86EEAA" w:rsidR="00BC7DDA" w:rsidRPr="00BD6C5F" w:rsidRDefault="009B03E9" w:rsidP="007B7076">
      <w:pPr>
        <w:pStyle w:val="Numbered111aiA"/>
      </w:pPr>
      <w:r w:rsidRPr="00BD6C5F">
        <w:t xml:space="preserve">within three months of the date the Supplier received the IT Health Check report in the case of any vulnerability categorised with a severity of </w:t>
      </w:r>
      <w:r w:rsidR="00A4555C" w:rsidRPr="00BD6C5F">
        <w:t>“</w:t>
      </w:r>
      <w:r w:rsidRPr="00BD6C5F">
        <w:t>medium</w:t>
      </w:r>
      <w:r w:rsidR="00A4555C" w:rsidRPr="00BD6C5F">
        <w:t>”</w:t>
      </w:r>
      <w:r w:rsidRPr="00BD6C5F">
        <w:t>;</w:t>
      </w:r>
    </w:p>
    <w:p w14:paraId="39F544D1" w14:textId="0C4726A7" w:rsidR="00BC7DDA" w:rsidRPr="00BD6C5F" w:rsidRDefault="009B03E9" w:rsidP="007B7076">
      <w:pPr>
        <w:pStyle w:val="Numbered111aiA"/>
      </w:pPr>
      <w:r w:rsidRPr="00BD6C5F">
        <w:t xml:space="preserve">within one month of the date the Supplier received the IT Health Check report in the case of any vulnerability categorised with a severity of </w:t>
      </w:r>
      <w:r w:rsidR="00A4555C" w:rsidRPr="00BD6C5F">
        <w:t>“</w:t>
      </w:r>
      <w:r w:rsidRPr="00BD6C5F">
        <w:t>high</w:t>
      </w:r>
      <w:r w:rsidR="00A4555C" w:rsidRPr="00BD6C5F">
        <w:t>”</w:t>
      </w:r>
      <w:r w:rsidRPr="00BD6C5F">
        <w:t>; and</w:t>
      </w:r>
    </w:p>
    <w:p w14:paraId="115DCFE2" w14:textId="6CCE6CBA" w:rsidR="00BC7DDA" w:rsidRPr="00BD6C5F" w:rsidRDefault="009B03E9" w:rsidP="007B7076">
      <w:pPr>
        <w:pStyle w:val="Numbered111aiA"/>
      </w:pPr>
      <w:r w:rsidRPr="00BD6C5F">
        <w:t xml:space="preserve">within </w:t>
      </w:r>
      <w:r w:rsidR="00CC5D55" w:rsidRPr="00BD6C5F">
        <w:t xml:space="preserve">7 </w:t>
      </w:r>
      <w:r w:rsidRPr="00BD6C5F">
        <w:t xml:space="preserve">Working Days of the date the Supplier received the IT Health Check report in the case of any vulnerability categorised with a severity of </w:t>
      </w:r>
      <w:r w:rsidR="00A4555C" w:rsidRPr="00BD6C5F">
        <w:t>“</w:t>
      </w:r>
      <w:r w:rsidRPr="00BD6C5F">
        <w:t>critical</w:t>
      </w:r>
      <w:r w:rsidR="00A4555C" w:rsidRPr="00BD6C5F">
        <w:t>”</w:t>
      </w:r>
      <w:r w:rsidRPr="00BD6C5F">
        <w:t>;</w:t>
      </w:r>
    </w:p>
    <w:p w14:paraId="56FCCF4A" w14:textId="77777777" w:rsidR="00BC7DDA" w:rsidRPr="00BD6C5F" w:rsidRDefault="009B03E9" w:rsidP="007B7076">
      <w:pPr>
        <w:pStyle w:val="Numbered111ai"/>
      </w:pPr>
      <w:r w:rsidRPr="00BD6C5F">
        <w:t>the tests which the Supplier shall perform or procure to be performed (which may, at the discretion of the Authority, include a further IT Health Check) to confirm that the vulnerability has been remedied;</w:t>
      </w:r>
    </w:p>
    <w:p w14:paraId="3BA940F2" w14:textId="69A9EE66" w:rsidR="00BC7DDA" w:rsidRPr="00BD6C5F" w:rsidRDefault="009B03E9" w:rsidP="007B7076">
      <w:pPr>
        <w:pStyle w:val="Numbered111ai"/>
      </w:pPr>
      <w:r w:rsidRPr="00BD6C5F">
        <w:t xml:space="preserve">comply with the </w:t>
      </w:r>
      <w:r w:rsidR="0029486A" w:rsidRPr="00BD6C5F">
        <w:t xml:space="preserve">Remediation </w:t>
      </w:r>
      <w:r w:rsidR="00971138" w:rsidRPr="00BD6C5F">
        <w:t>Action Plan</w:t>
      </w:r>
      <w:r w:rsidRPr="00BD6C5F">
        <w:t>; and</w:t>
      </w:r>
    </w:p>
    <w:p w14:paraId="504D7F7C" w14:textId="3201D13A" w:rsidR="00BC7DDA" w:rsidRPr="00BD6C5F" w:rsidRDefault="009B03E9" w:rsidP="007B7076">
      <w:pPr>
        <w:pStyle w:val="Numbered111ai"/>
      </w:pPr>
      <w:r w:rsidRPr="00BD6C5F">
        <w:t xml:space="preserve">conduct such further Security Tests on the Core Information Management System </w:t>
      </w:r>
      <w:r w:rsidR="0029486A" w:rsidRPr="00BD6C5F">
        <w:t>to provide independent evidence that the Supplier has complied with</w:t>
      </w:r>
      <w:r w:rsidRPr="00BD6C5F">
        <w:t xml:space="preserve"> Plan.</w:t>
      </w:r>
    </w:p>
    <w:p w14:paraId="4820A54B" w14:textId="5A80F765" w:rsidR="00BC7DDA" w:rsidRPr="00BD6C5F" w:rsidRDefault="009B03E9" w:rsidP="007B7076">
      <w:pPr>
        <w:pStyle w:val="Numbered11"/>
      </w:pPr>
      <w:bookmarkStart w:id="310" w:name="_bookmark107"/>
      <w:bookmarkStart w:id="311" w:name="_Ref98361098"/>
      <w:bookmarkEnd w:id="310"/>
      <w:r w:rsidRPr="00BD6C5F">
        <w:t xml:space="preserve">The Security Tests shall be designed and implemented by the Supplier so as to minimise the impact on the delivery of the Services and the date, timing, content and conduct of such Security Tests shall be agreed in advance with the Authority. Subject to the Supplier complying with this Paragraph </w:t>
      </w:r>
      <w:r w:rsidR="00C12E48" w:rsidRPr="00BD6C5F">
        <w:fldChar w:fldCharType="begin"/>
      </w:r>
      <w:r w:rsidR="00C12E48" w:rsidRPr="00BD6C5F">
        <w:instrText xml:space="preserve"> REF _Ref98361098 \w \h </w:instrText>
      </w:r>
      <w:r w:rsidR="00AD7DD0" w:rsidRPr="00BD6C5F">
        <w:instrText xml:space="preserve"> \* MERGEFORMAT </w:instrText>
      </w:r>
      <w:r w:rsidR="00C12E48" w:rsidRPr="00BD6C5F">
        <w:fldChar w:fldCharType="separate"/>
      </w:r>
      <w:r w:rsidR="009749A0">
        <w:t>8.4</w:t>
      </w:r>
      <w:r w:rsidR="00C12E48" w:rsidRPr="00BD6C5F">
        <w:fldChar w:fldCharType="end"/>
      </w:r>
      <w:r w:rsidRPr="00BD6C5F">
        <w:t>, if a Security Test causes a Performance Failure in a particular Measurement Period, the Supplier shall be granted relief in respect of such Performance Failure for that Measurement Period.</w:t>
      </w:r>
      <w:bookmarkEnd w:id="311"/>
    </w:p>
    <w:p w14:paraId="277201A5" w14:textId="2ADD87BE" w:rsidR="00BC7DDA" w:rsidRPr="00BD6C5F" w:rsidRDefault="009B03E9" w:rsidP="007B7076">
      <w:pPr>
        <w:pStyle w:val="Numbered11"/>
      </w:pPr>
      <w:r w:rsidRPr="00BD6C5F">
        <w:t>The Authority shall be entitled to send a representative to witness the conduct of the Security Tests. Without prejudice to the Supplier</w:t>
      </w:r>
      <w:r w:rsidR="00A4555C" w:rsidRPr="00BD6C5F">
        <w:t>’</w:t>
      </w:r>
      <w:r w:rsidRPr="00BD6C5F">
        <w:t xml:space="preserve">s obligations under Paragraph </w:t>
      </w:r>
      <w:r w:rsidR="00C12E48" w:rsidRPr="00BD6C5F">
        <w:fldChar w:fldCharType="begin"/>
      </w:r>
      <w:r w:rsidR="00C12E48" w:rsidRPr="00BD6C5F">
        <w:instrText xml:space="preserve"> REF _Ref98361112 \w \h </w:instrText>
      </w:r>
      <w:r w:rsidR="00AD7DD0" w:rsidRPr="00BD6C5F">
        <w:instrText xml:space="preserve"> \* MERGEFORMAT </w:instrText>
      </w:r>
      <w:r w:rsidR="00C12E48" w:rsidRPr="00BD6C5F">
        <w:fldChar w:fldCharType="separate"/>
      </w:r>
      <w:r w:rsidR="009749A0">
        <w:t>8.3</w:t>
      </w:r>
      <w:r w:rsidR="00C12E48" w:rsidRPr="00BD6C5F">
        <w:fldChar w:fldCharType="end"/>
      </w:r>
      <w:r w:rsidRPr="00BD6C5F">
        <w:t>, the Supplier shall provide the Authority with the results of such Security Tests (in a form approved by the Authority in advance) as soon as practicable, and in any case no later than 10 Working Days, after completion of each Security Test.</w:t>
      </w:r>
    </w:p>
    <w:p w14:paraId="5BB5D0C9" w14:textId="3ACBF883" w:rsidR="00BC7DDA" w:rsidRPr="00BD6C5F" w:rsidRDefault="009B03E9" w:rsidP="007B7076">
      <w:pPr>
        <w:pStyle w:val="Numbered11"/>
      </w:pPr>
      <w:bookmarkStart w:id="312" w:name="_bookmark108"/>
      <w:bookmarkStart w:id="313" w:name="_Ref98360668"/>
      <w:bookmarkEnd w:id="312"/>
      <w:r w:rsidRPr="00BD6C5F">
        <w:t>The Authority and/or its authorised representatives shall be entitled, at any time and without giving notice to the Supplier, to carry out such tests (including penetration tests) as it may deem necessary in relation to the Service, the Information Management System and/or the Supplier</w:t>
      </w:r>
      <w:r w:rsidR="00A4555C" w:rsidRPr="00BD6C5F">
        <w:t>’</w:t>
      </w:r>
      <w:r w:rsidRPr="00BD6C5F">
        <w:t>s compliance with the Security Management Plan (</w:t>
      </w:r>
      <w:r w:rsidR="00A4555C" w:rsidRPr="00BD6C5F">
        <w:t>“</w:t>
      </w:r>
      <w:r w:rsidRPr="00BD6C5F">
        <w:rPr>
          <w:b/>
        </w:rPr>
        <w:t>Authority Security Tests</w:t>
      </w:r>
      <w:r w:rsidR="00A4555C" w:rsidRPr="00BD6C5F">
        <w:t>”</w:t>
      </w:r>
      <w:r w:rsidRPr="00BD6C5F">
        <w:t xml:space="preserve">). The Authority shall take reasonable steps to notify the Supplier prior to carrying out such Authority Security Test to the extent that it is reasonably practicable for </w:t>
      </w:r>
      <w:r w:rsidRPr="00BD6C5F">
        <w:lastRenderedPageBreak/>
        <w:t>it to do so taking into account the nature of the Authority Security Test.</w:t>
      </w:r>
      <w:bookmarkEnd w:id="313"/>
    </w:p>
    <w:p w14:paraId="6917918C" w14:textId="77777777" w:rsidR="00BC7DDA" w:rsidRPr="00BD6C5F" w:rsidRDefault="009B03E9" w:rsidP="007B7076">
      <w:pPr>
        <w:pStyle w:val="Numbered11"/>
      </w:pPr>
      <w:r w:rsidRPr="00BD6C5F">
        <w:t>The Authority shall notify the Supplier of the results of such Authority Security Tests after completion of each Authority Security Test.</w:t>
      </w:r>
    </w:p>
    <w:p w14:paraId="4837A297" w14:textId="77777777" w:rsidR="00BC7DDA" w:rsidRPr="00BD6C5F" w:rsidRDefault="009B03E9" w:rsidP="007B7076">
      <w:pPr>
        <w:pStyle w:val="Numbered11"/>
      </w:pPr>
      <w:bookmarkStart w:id="314" w:name="_bookmark109"/>
      <w:bookmarkEnd w:id="314"/>
      <w:r w:rsidRPr="00BD6C5F">
        <w:t>The Authority Security Tests shall be designed and implemented so as to minimise their impact on the delivery of the Services. If an Authority Security Test causes Supplier Non-Performance, the Authority Security Test shall be treated as an Authority Cause, except where the root cause of the Supplier Non-Performance was a weakness or vulnerability exposed by the Authority Security Test.</w:t>
      </w:r>
    </w:p>
    <w:p w14:paraId="196568EE" w14:textId="7E038C53" w:rsidR="00BC7DDA" w:rsidRPr="00BD6C5F" w:rsidRDefault="009B03E9" w:rsidP="007B7076">
      <w:pPr>
        <w:pStyle w:val="Numbered11"/>
      </w:pPr>
      <w:bookmarkStart w:id="315" w:name="_bookmark110"/>
      <w:bookmarkStart w:id="316" w:name="_Ref98361167"/>
      <w:bookmarkEnd w:id="315"/>
      <w:r w:rsidRPr="00BD6C5F">
        <w:t xml:space="preserve">Without prejudice to the provisions of Paragraph </w:t>
      </w:r>
      <w:r w:rsidR="00C12E48" w:rsidRPr="00BD6C5F">
        <w:fldChar w:fldCharType="begin"/>
      </w:r>
      <w:r w:rsidR="00C12E48" w:rsidRPr="00BD6C5F">
        <w:instrText xml:space="preserve"> REF _Ref98361132 \w \h </w:instrText>
      </w:r>
      <w:r w:rsidR="00AD7DD0" w:rsidRPr="00BD6C5F">
        <w:instrText xml:space="preserve"> \* MERGEFORMAT </w:instrText>
      </w:r>
      <w:r w:rsidR="00C12E48" w:rsidRPr="00BD6C5F">
        <w:fldChar w:fldCharType="separate"/>
      </w:r>
      <w:r w:rsidR="009749A0">
        <w:t>8.3.3</w:t>
      </w:r>
      <w:r w:rsidR="00C12E48" w:rsidRPr="00BD6C5F">
        <w:fldChar w:fldCharType="end"/>
      </w:r>
      <w:r w:rsidRPr="00BD6C5F">
        <w:t xml:space="preserve">, where any Security Test carried out pursuant to this Paragraph </w:t>
      </w:r>
      <w:r w:rsidR="00C12E48" w:rsidRPr="00BD6C5F">
        <w:fldChar w:fldCharType="begin"/>
      </w:r>
      <w:r w:rsidR="00C12E48" w:rsidRPr="00BD6C5F">
        <w:instrText xml:space="preserve"> REF _Ref98360656 \w \h </w:instrText>
      </w:r>
      <w:r w:rsidR="00AD7DD0" w:rsidRPr="00BD6C5F">
        <w:instrText xml:space="preserve"> \* MERGEFORMAT </w:instrText>
      </w:r>
      <w:r w:rsidR="00C12E48" w:rsidRPr="00BD6C5F">
        <w:fldChar w:fldCharType="separate"/>
      </w:r>
      <w:r w:rsidR="009749A0">
        <w:t>8</w:t>
      </w:r>
      <w:r w:rsidR="00C12E48" w:rsidRPr="00BD6C5F">
        <w:fldChar w:fldCharType="end"/>
      </w:r>
      <w:r w:rsidRPr="00BD6C5F">
        <w:t xml:space="preserve"> reveals any actual or potential Breach of Security or weaknesses (including un-patched vulnerabilities, poor configuration and/or incorrect system management), the Supplier shall promptly notify the Authority of any changes to the Core Information Management System and/or the Security Management Plan (and the implementation thereof) which the Supplier proposes to make in order to correct such failure or weakness. Subject to the Authority</w:t>
      </w:r>
      <w:r w:rsidR="00A4555C" w:rsidRPr="00BD6C5F">
        <w:t>’</w:t>
      </w:r>
      <w:r w:rsidRPr="00BD6C5F">
        <w:t>s prior written approval, the Supplier shall implement such changes to the Core Information Management System and/or the Security Management Plan and repeat the relevant Security Tests in accordance with the timetable agreed with the Authority or, otherwise, as soon as reasonably possible.</w:t>
      </w:r>
      <w:bookmarkEnd w:id="316"/>
    </w:p>
    <w:p w14:paraId="0EFD251D" w14:textId="3AAD4CF2" w:rsidR="00BC7DDA" w:rsidRPr="00BD6C5F" w:rsidRDefault="009B03E9" w:rsidP="007B7076">
      <w:pPr>
        <w:pStyle w:val="Numbered11"/>
      </w:pPr>
      <w:r w:rsidRPr="00BD6C5F">
        <w:t xml:space="preserve">If the Authority unreasonably withholds its approval to the implementation of any changes proposed by the Supplier to the Security Management Plan in accordance with Paragraph </w:t>
      </w:r>
      <w:r w:rsidR="003B6E4B">
        <w:fldChar w:fldCharType="begin"/>
      </w:r>
      <w:r w:rsidR="003B6E4B">
        <w:instrText xml:space="preserve"> REF _Ref98361167 \w \h </w:instrText>
      </w:r>
      <w:r w:rsidR="003B6E4B">
        <w:fldChar w:fldCharType="separate"/>
      </w:r>
      <w:r w:rsidR="009749A0">
        <w:t>8.9</w:t>
      </w:r>
      <w:r w:rsidR="003B6E4B">
        <w:fldChar w:fldCharType="end"/>
      </w:r>
      <w:r w:rsidRPr="00BD6C5F">
        <w:t xml:space="preserve"> above, the Supplier shall not be deemed to be in breach of this </w:t>
      </w:r>
      <w:r w:rsidR="0029486A" w:rsidRPr="00BD6C5F">
        <w:t xml:space="preserve">Contract </w:t>
      </w:r>
      <w:r w:rsidRPr="00BD6C5F">
        <w:t>to the extent it can be shown that such breach:</w:t>
      </w:r>
    </w:p>
    <w:p w14:paraId="208589D3" w14:textId="77777777" w:rsidR="00BC7DDA" w:rsidRPr="00BD6C5F" w:rsidRDefault="009B03E9" w:rsidP="007B7076">
      <w:pPr>
        <w:pStyle w:val="Numbered111"/>
      </w:pPr>
      <w:r w:rsidRPr="00BD6C5F">
        <w:t>has arisen as a direct result of the Authority unreasonably withholding its approval to the implementation of such proposed changes; and</w:t>
      </w:r>
    </w:p>
    <w:p w14:paraId="3E0537A6" w14:textId="77777777" w:rsidR="00BC7DDA" w:rsidRPr="00BD6C5F" w:rsidRDefault="009B03E9" w:rsidP="007B7076">
      <w:pPr>
        <w:pStyle w:val="Numbered111"/>
      </w:pPr>
      <w:r w:rsidRPr="00BD6C5F">
        <w:t>would have been avoided had the Authority given its approval to the implementation of such proposed changes.</w:t>
      </w:r>
    </w:p>
    <w:p w14:paraId="6934A688" w14:textId="5FB22D92" w:rsidR="00BC7DDA" w:rsidRPr="00BD6C5F" w:rsidRDefault="009B03E9" w:rsidP="007B7076">
      <w:pPr>
        <w:pStyle w:val="Numbered11"/>
      </w:pPr>
      <w:r w:rsidRPr="00BD6C5F">
        <w:t xml:space="preserve">For the avoidance of doubt, where a change to the Core Information Management System and/or the Security Management Plan is required to remedy non-compliance with the Risk Management Documentation, the Baseline Security Requirements and/or any obligation in this </w:t>
      </w:r>
      <w:r w:rsidR="0029486A" w:rsidRPr="00BD6C5F">
        <w:t>Contract</w:t>
      </w:r>
      <w:r w:rsidRPr="00BD6C5F">
        <w:t>, the Supplier shall effect such change at its own cost and expense.</w:t>
      </w:r>
    </w:p>
    <w:p w14:paraId="23E59755" w14:textId="7B8AA928" w:rsidR="00BC7DDA" w:rsidRPr="00BD6C5F" w:rsidRDefault="009B03E9" w:rsidP="007B7076">
      <w:pPr>
        <w:pStyle w:val="Numbered11"/>
      </w:pPr>
      <w:r w:rsidRPr="00BD6C5F">
        <w:t xml:space="preserve">If any repeat Security Test carried out pursuant to Paragraph </w:t>
      </w:r>
      <w:r w:rsidR="00C12E48" w:rsidRPr="00BD6C5F">
        <w:fldChar w:fldCharType="begin"/>
      </w:r>
      <w:r w:rsidR="00C12E48" w:rsidRPr="00BD6C5F">
        <w:instrText xml:space="preserve"> REF _Ref98361167 \w \h </w:instrText>
      </w:r>
      <w:r w:rsidR="00AD7DD0" w:rsidRPr="00BD6C5F">
        <w:instrText xml:space="preserve"> \* MERGEFORMAT </w:instrText>
      </w:r>
      <w:r w:rsidR="00C12E48" w:rsidRPr="00BD6C5F">
        <w:fldChar w:fldCharType="separate"/>
      </w:r>
      <w:r w:rsidR="009749A0">
        <w:t>8.9</w:t>
      </w:r>
      <w:r w:rsidR="00C12E48" w:rsidRPr="00BD6C5F">
        <w:fldChar w:fldCharType="end"/>
      </w:r>
      <w:r w:rsidRPr="00BD6C5F">
        <w:t xml:space="preserve"> reveals an actual or potential Breach of Security or weakness exploiting the same root cause failure, such circumstance shall constitute a material Default and the Authority may by terminate this </w:t>
      </w:r>
      <w:r w:rsidR="0029486A" w:rsidRPr="00BD6C5F">
        <w:t xml:space="preserve">Contract </w:t>
      </w:r>
      <w:r w:rsidRPr="00BD6C5F">
        <w:t xml:space="preserve">with immediate effect by issuing a Termination Notice to the Supplier in accordance with </w:t>
      </w:r>
      <w:r w:rsidR="005E736B" w:rsidRPr="00BD6C5F">
        <w:t>Clause </w:t>
      </w:r>
      <w:r w:rsidRPr="00BD6C5F">
        <w:t>3</w:t>
      </w:r>
      <w:r w:rsidR="00B71B5B" w:rsidRPr="00BD6C5F">
        <w:t>1</w:t>
      </w:r>
      <w:r w:rsidRPr="00BD6C5F">
        <w:t>.1</w:t>
      </w:r>
      <w:r w:rsidR="00C20F85">
        <w:t>.2</w:t>
      </w:r>
      <w:r w:rsidRPr="00BD6C5F">
        <w:t>.</w:t>
      </w:r>
    </w:p>
    <w:p w14:paraId="39EB6F3F" w14:textId="77777777" w:rsidR="00BC7DDA" w:rsidRPr="00BD6C5F" w:rsidRDefault="009B03E9" w:rsidP="00247692">
      <w:pPr>
        <w:pStyle w:val="Numbered11"/>
        <w:keepNext/>
      </w:pPr>
      <w:r w:rsidRPr="00BD6C5F">
        <w:t xml:space="preserve">The Supplier shall, by </w:t>
      </w:r>
      <w:r w:rsidRPr="006D1202">
        <w:t>[</w:t>
      </w:r>
      <w:r w:rsidRPr="006D1202">
        <w:rPr>
          <w:shd w:val="clear" w:color="auto" w:fill="FFFF00"/>
        </w:rPr>
        <w:t>31 March</w:t>
      </w:r>
      <w:r w:rsidRPr="006D1202">
        <w:t xml:space="preserve">] </w:t>
      </w:r>
      <w:r w:rsidRPr="00BD6C5F">
        <w:t>of each year during the Term, provide to the Authority a letter from its chief executive officer (or equivalent officer) confirming that having made due and careful enquiry:</w:t>
      </w:r>
    </w:p>
    <w:p w14:paraId="181795C9" w14:textId="60F46E3D" w:rsidR="00BC7DDA" w:rsidRPr="00BD6C5F" w:rsidRDefault="009B03E9" w:rsidP="007B7076">
      <w:pPr>
        <w:pStyle w:val="Numbered111"/>
      </w:pPr>
      <w:r w:rsidRPr="00BD6C5F">
        <w:t xml:space="preserve">the Supplier has in the previous year carried out all tests and has in place all procedures required in relation to security matters under this </w:t>
      </w:r>
      <w:r w:rsidR="00B71B5B" w:rsidRPr="00BD6C5F">
        <w:t>Contract</w:t>
      </w:r>
      <w:r w:rsidRPr="00BD6C5F">
        <w:t>; and</w:t>
      </w:r>
    </w:p>
    <w:p w14:paraId="5BDA07F3" w14:textId="77777777" w:rsidR="00BC7DDA" w:rsidRPr="00BD6C5F" w:rsidRDefault="009B03E9" w:rsidP="007B7076">
      <w:pPr>
        <w:pStyle w:val="Numbered111"/>
      </w:pPr>
      <w:r w:rsidRPr="00BD6C5F">
        <w:t xml:space="preserve">the Supplier is confident that its security and risk mitigation procedures with </w:t>
      </w:r>
      <w:r w:rsidRPr="00BD6C5F">
        <w:lastRenderedPageBreak/>
        <w:t>respect to the Services remain effective.</w:t>
      </w:r>
    </w:p>
    <w:p w14:paraId="566FDD80" w14:textId="77777777" w:rsidR="00BC7DDA" w:rsidRPr="00BD6C5F" w:rsidRDefault="009B03E9" w:rsidP="007B7076">
      <w:pPr>
        <w:pStyle w:val="Numbered1"/>
      </w:pPr>
      <w:bookmarkStart w:id="317" w:name="_bookmark111"/>
      <w:bookmarkStart w:id="318" w:name="_Ref98360677"/>
      <w:bookmarkEnd w:id="317"/>
      <w:r w:rsidRPr="00BD6C5F">
        <w:t>Vulnerabilities and Corrective Action</w:t>
      </w:r>
      <w:bookmarkEnd w:id="318"/>
    </w:p>
    <w:p w14:paraId="1C916ABE" w14:textId="77777777" w:rsidR="00BC7DDA" w:rsidRPr="00BD6C5F" w:rsidRDefault="009B03E9" w:rsidP="007B7076">
      <w:pPr>
        <w:pStyle w:val="Numbered11"/>
      </w:pPr>
      <w:r w:rsidRPr="00BD6C5F">
        <w:t>The Authority and the Supplier acknowledge that from time to time vulnerabilities in the Information Management System will be discovered which unless mitigated will present an unacceptable risk to the Authority Data.</w:t>
      </w:r>
    </w:p>
    <w:p w14:paraId="11B8BC70" w14:textId="115854C1" w:rsidR="00BC7DDA" w:rsidRPr="00BD6C5F" w:rsidRDefault="009B03E9" w:rsidP="007B7076">
      <w:pPr>
        <w:pStyle w:val="Numbered11"/>
      </w:pPr>
      <w:r w:rsidRPr="00BD6C5F">
        <w:t xml:space="preserve">The severity of vulnerabilities for Supplier COTS Software and Third Party COTS Software shall be categorised by the Supplier as </w:t>
      </w:r>
      <w:r w:rsidR="00A4555C" w:rsidRPr="00BD6C5F">
        <w:t>‘</w:t>
      </w:r>
      <w:r w:rsidRPr="00BD6C5F">
        <w:t>Critical</w:t>
      </w:r>
      <w:r w:rsidR="00A4555C" w:rsidRPr="00BD6C5F">
        <w:t>’</w:t>
      </w:r>
      <w:r w:rsidRPr="00BD6C5F">
        <w:t xml:space="preserve">, </w:t>
      </w:r>
      <w:r w:rsidR="00A4555C" w:rsidRPr="00BD6C5F">
        <w:t>‘</w:t>
      </w:r>
      <w:r w:rsidRPr="00BD6C5F">
        <w:t>Important</w:t>
      </w:r>
      <w:r w:rsidR="00A4555C" w:rsidRPr="00BD6C5F">
        <w:t>’</w:t>
      </w:r>
      <w:r w:rsidRPr="00BD6C5F">
        <w:t xml:space="preserve"> and </w:t>
      </w:r>
      <w:r w:rsidR="00A4555C" w:rsidRPr="00BD6C5F">
        <w:t>‘</w:t>
      </w:r>
      <w:r w:rsidRPr="00BD6C5F">
        <w:t>Other</w:t>
      </w:r>
      <w:r w:rsidR="00A4555C" w:rsidRPr="00BD6C5F">
        <w:t>’</w:t>
      </w:r>
      <w:r w:rsidRPr="00BD6C5F">
        <w:t xml:space="preserve"> by aligning these categories to the vulnerability scoring according to the agreed method in the Security Management Plan and using the appropriate vulnerability scoring systems including:</w:t>
      </w:r>
    </w:p>
    <w:p w14:paraId="7721DE1D" w14:textId="35F1714B" w:rsidR="00BC7DDA" w:rsidRPr="00BD6C5F" w:rsidRDefault="009B03E9" w:rsidP="007B7076">
      <w:pPr>
        <w:pStyle w:val="Numbered111"/>
      </w:pPr>
      <w:r w:rsidRPr="00BD6C5F">
        <w:t xml:space="preserve">the </w:t>
      </w:r>
      <w:r w:rsidR="00A4555C" w:rsidRPr="00BD6C5F">
        <w:t>‘</w:t>
      </w:r>
      <w:r w:rsidRPr="00BD6C5F">
        <w:t>National Vulnerability Database</w:t>
      </w:r>
      <w:r w:rsidR="00A4555C" w:rsidRPr="00BD6C5F">
        <w:t>’</w:t>
      </w:r>
      <w:r w:rsidRPr="00BD6C5F">
        <w:t xml:space="preserve"> </w:t>
      </w:r>
      <w:r w:rsidR="00A4555C" w:rsidRPr="00BD6C5F">
        <w:t>‘</w:t>
      </w:r>
      <w:r w:rsidRPr="00BD6C5F">
        <w:t>Vulnerability Severity Ratings</w:t>
      </w:r>
      <w:r w:rsidR="00A4555C" w:rsidRPr="00BD6C5F">
        <w:t>’</w:t>
      </w:r>
      <w:r w:rsidRPr="00BD6C5F">
        <w:t xml:space="preserve">: </w:t>
      </w:r>
      <w:r w:rsidR="00A4555C" w:rsidRPr="00BD6C5F">
        <w:t>‘</w:t>
      </w:r>
      <w:r w:rsidRPr="00BD6C5F">
        <w:t>High</w:t>
      </w:r>
      <w:r w:rsidR="00A4555C" w:rsidRPr="00BD6C5F">
        <w:t>’</w:t>
      </w:r>
      <w:r w:rsidRPr="00BD6C5F">
        <w:t xml:space="preserve">, </w:t>
      </w:r>
      <w:r w:rsidR="00A4555C" w:rsidRPr="00BD6C5F">
        <w:t>‘</w:t>
      </w:r>
      <w:r w:rsidRPr="00BD6C5F">
        <w:t>Medium</w:t>
      </w:r>
      <w:r w:rsidR="00A4555C" w:rsidRPr="00BD6C5F">
        <w:t>’</w:t>
      </w:r>
      <w:r w:rsidRPr="00BD6C5F">
        <w:t xml:space="preserve"> and </w:t>
      </w:r>
      <w:r w:rsidR="00A4555C" w:rsidRPr="00BD6C5F">
        <w:t>‘</w:t>
      </w:r>
      <w:r w:rsidRPr="00BD6C5F">
        <w:t>Low</w:t>
      </w:r>
      <w:r w:rsidR="00A4555C" w:rsidRPr="00BD6C5F">
        <w:t>’</w:t>
      </w:r>
      <w:r w:rsidRPr="00BD6C5F">
        <w:t xml:space="preserve"> respectively (these in turn are aligned to CVSS scores as set out by NIST at </w:t>
      </w:r>
      <w:hyperlink r:id="rId53" w:history="1">
        <w:r w:rsidR="00953E45" w:rsidRPr="00BD6C5F">
          <w:rPr>
            <w:rStyle w:val="Hyperlink"/>
          </w:rPr>
          <w:t>http://nvd.nist.gov/cvss.cfm</w:t>
        </w:r>
      </w:hyperlink>
      <w:r w:rsidRPr="00BD6C5F">
        <w:t>); and</w:t>
      </w:r>
    </w:p>
    <w:p w14:paraId="300EE9E4" w14:textId="2D26EC95" w:rsidR="00BC7DDA" w:rsidRPr="00BD6C5F" w:rsidRDefault="009B03E9" w:rsidP="007B7076">
      <w:pPr>
        <w:pStyle w:val="Numbered111"/>
      </w:pPr>
      <w:r w:rsidRPr="00BD6C5F">
        <w:t>Microsoft</w:t>
      </w:r>
      <w:r w:rsidR="00A4555C" w:rsidRPr="00BD6C5F">
        <w:t>’</w:t>
      </w:r>
      <w:r w:rsidRPr="00BD6C5F">
        <w:t xml:space="preserve">s </w:t>
      </w:r>
      <w:r w:rsidR="00A4555C" w:rsidRPr="00BD6C5F">
        <w:t>‘</w:t>
      </w:r>
      <w:r w:rsidRPr="00BD6C5F">
        <w:t>Security Bulletin Severity Rating System</w:t>
      </w:r>
      <w:r w:rsidR="00A4555C" w:rsidRPr="00BD6C5F">
        <w:t>’</w:t>
      </w:r>
      <w:r w:rsidRPr="00BD6C5F">
        <w:t xml:space="preserve"> ratings </w:t>
      </w:r>
      <w:r w:rsidR="00A4555C" w:rsidRPr="00BD6C5F">
        <w:t>‘</w:t>
      </w:r>
      <w:r w:rsidRPr="00BD6C5F">
        <w:t>Critical</w:t>
      </w:r>
      <w:r w:rsidR="00A4555C" w:rsidRPr="00BD6C5F">
        <w:t>’</w:t>
      </w:r>
      <w:r w:rsidRPr="00BD6C5F">
        <w:t xml:space="preserve">, </w:t>
      </w:r>
      <w:r w:rsidR="00A4555C" w:rsidRPr="00BD6C5F">
        <w:t>‘</w:t>
      </w:r>
      <w:r w:rsidRPr="00BD6C5F">
        <w:t>Important</w:t>
      </w:r>
      <w:r w:rsidR="00A4555C" w:rsidRPr="00BD6C5F">
        <w:t>’</w:t>
      </w:r>
      <w:r w:rsidRPr="00BD6C5F">
        <w:t>, and the two remaining levels (</w:t>
      </w:r>
      <w:r w:rsidR="00A4555C" w:rsidRPr="00BD6C5F">
        <w:t>‘</w:t>
      </w:r>
      <w:r w:rsidRPr="00BD6C5F">
        <w:t>Moderate</w:t>
      </w:r>
      <w:r w:rsidR="00A4555C" w:rsidRPr="00BD6C5F">
        <w:t>’</w:t>
      </w:r>
      <w:r w:rsidRPr="00BD6C5F">
        <w:t xml:space="preserve"> and </w:t>
      </w:r>
      <w:r w:rsidR="00A4555C" w:rsidRPr="00BD6C5F">
        <w:t>‘</w:t>
      </w:r>
      <w:r w:rsidRPr="00BD6C5F">
        <w:t>Low</w:t>
      </w:r>
      <w:r w:rsidR="00A4555C" w:rsidRPr="00BD6C5F">
        <w:t>’</w:t>
      </w:r>
      <w:r w:rsidRPr="00BD6C5F">
        <w:t>) respectively.</w:t>
      </w:r>
    </w:p>
    <w:p w14:paraId="472F9FB4" w14:textId="6D6D71DD" w:rsidR="00BC7DDA" w:rsidRPr="00BD6C5F" w:rsidRDefault="009B03E9" w:rsidP="00247692">
      <w:pPr>
        <w:pStyle w:val="Numbered11"/>
        <w:keepNext/>
      </w:pPr>
      <w:bookmarkStart w:id="319" w:name="_bookmark112"/>
      <w:bookmarkStart w:id="320" w:name="_Ref98361206"/>
      <w:bookmarkEnd w:id="319"/>
      <w:r w:rsidRPr="00BD6C5F">
        <w:t xml:space="preserve">Subject to Paragraph </w:t>
      </w:r>
      <w:r w:rsidR="00C12E48" w:rsidRPr="00BD6C5F">
        <w:fldChar w:fldCharType="begin"/>
      </w:r>
      <w:r w:rsidR="00C12E48" w:rsidRPr="00BD6C5F">
        <w:instrText xml:space="preserve"> REF _Ref98361190 \w \h </w:instrText>
      </w:r>
      <w:r w:rsidR="00AD7DD0" w:rsidRPr="00BD6C5F">
        <w:instrText xml:space="preserve"> \* MERGEFORMAT </w:instrText>
      </w:r>
      <w:r w:rsidR="00C12E48" w:rsidRPr="00BD6C5F">
        <w:fldChar w:fldCharType="separate"/>
      </w:r>
      <w:r w:rsidR="009749A0">
        <w:t>9.4</w:t>
      </w:r>
      <w:r w:rsidR="00C12E48" w:rsidRPr="00BD6C5F">
        <w:fldChar w:fldCharType="end"/>
      </w:r>
      <w:r w:rsidRPr="00BD6C5F">
        <w:t>, the Supplier shall procure the application of security patches to vulnerabilities in the Core Information Management System within:</w:t>
      </w:r>
      <w:bookmarkEnd w:id="320"/>
    </w:p>
    <w:p w14:paraId="090E87FF" w14:textId="714B8F3B" w:rsidR="00BC7DDA" w:rsidRPr="00BD6C5F" w:rsidRDefault="009B03E9" w:rsidP="007B7076">
      <w:pPr>
        <w:pStyle w:val="Numbered111"/>
      </w:pPr>
      <w:r w:rsidRPr="00BD6C5F">
        <w:t xml:space="preserve">7 days after the public release of patches for those vulnerabilities categorised as </w:t>
      </w:r>
      <w:r w:rsidR="00A4555C" w:rsidRPr="00BD6C5F">
        <w:t>‘</w:t>
      </w:r>
      <w:r w:rsidRPr="00BD6C5F">
        <w:t>Critical</w:t>
      </w:r>
      <w:r w:rsidR="00A4555C" w:rsidRPr="00BD6C5F">
        <w:t>’</w:t>
      </w:r>
      <w:r w:rsidRPr="00BD6C5F">
        <w:t>;</w:t>
      </w:r>
    </w:p>
    <w:p w14:paraId="0D83FFAE" w14:textId="24EEE8EB" w:rsidR="00BC7DDA" w:rsidRPr="00BD6C5F" w:rsidRDefault="009B03E9" w:rsidP="007B7076">
      <w:pPr>
        <w:pStyle w:val="Numbered111"/>
      </w:pPr>
      <w:r w:rsidRPr="00BD6C5F">
        <w:t xml:space="preserve">30 days after the public release of patches for those vulnerabilities categorised as </w:t>
      </w:r>
      <w:r w:rsidR="00A4555C" w:rsidRPr="00BD6C5F">
        <w:t>‘</w:t>
      </w:r>
      <w:r w:rsidRPr="00BD6C5F">
        <w:t>Important</w:t>
      </w:r>
      <w:r w:rsidR="00A4555C" w:rsidRPr="00BD6C5F">
        <w:t>’</w:t>
      </w:r>
      <w:r w:rsidRPr="00BD6C5F">
        <w:t>; and</w:t>
      </w:r>
    </w:p>
    <w:p w14:paraId="1BF478F9" w14:textId="16BD4DC0" w:rsidR="00BC7DDA" w:rsidRPr="00BD6C5F" w:rsidRDefault="009B03E9" w:rsidP="007B7076">
      <w:pPr>
        <w:pStyle w:val="Numbered111"/>
      </w:pPr>
      <w:r w:rsidRPr="00BD6C5F">
        <w:t xml:space="preserve">60 days after the public release of patches for those vulnerabilities categorised as </w:t>
      </w:r>
      <w:r w:rsidR="00A4555C" w:rsidRPr="00BD6C5F">
        <w:t>‘</w:t>
      </w:r>
      <w:r w:rsidRPr="00BD6C5F">
        <w:t>Other</w:t>
      </w:r>
      <w:r w:rsidR="00A4555C" w:rsidRPr="00BD6C5F">
        <w:t>’</w:t>
      </w:r>
      <w:r w:rsidRPr="00BD6C5F">
        <w:t>.</w:t>
      </w:r>
    </w:p>
    <w:p w14:paraId="0CD1BC3B" w14:textId="582B1D8A" w:rsidR="00BC7DDA" w:rsidRPr="00BD6C5F" w:rsidRDefault="009B03E9" w:rsidP="00247692">
      <w:pPr>
        <w:pStyle w:val="Numbered11"/>
        <w:keepNext/>
      </w:pPr>
      <w:bookmarkStart w:id="321" w:name="_bookmark113"/>
      <w:bookmarkStart w:id="322" w:name="_Ref98361190"/>
      <w:bookmarkEnd w:id="321"/>
      <w:r w:rsidRPr="00BD6C5F">
        <w:t xml:space="preserve">The timescales for applying patches to vulnerabilities in the Core Information Management System set out in Paragraph </w:t>
      </w:r>
      <w:r w:rsidR="00C12E48" w:rsidRPr="00BD6C5F">
        <w:fldChar w:fldCharType="begin"/>
      </w:r>
      <w:r w:rsidR="00C12E48" w:rsidRPr="00BD6C5F">
        <w:instrText xml:space="preserve"> REF _Ref98361206 \w \h </w:instrText>
      </w:r>
      <w:r w:rsidR="00AD7DD0" w:rsidRPr="00BD6C5F">
        <w:instrText xml:space="preserve"> \* MERGEFORMAT </w:instrText>
      </w:r>
      <w:r w:rsidR="00C12E48" w:rsidRPr="00BD6C5F">
        <w:fldChar w:fldCharType="separate"/>
      </w:r>
      <w:r w:rsidR="009749A0">
        <w:t>9.3</w:t>
      </w:r>
      <w:r w:rsidR="00C12E48" w:rsidRPr="00BD6C5F">
        <w:fldChar w:fldCharType="end"/>
      </w:r>
      <w:r w:rsidRPr="00BD6C5F">
        <w:t xml:space="preserve"> shall be extended where:</w:t>
      </w:r>
      <w:bookmarkEnd w:id="322"/>
    </w:p>
    <w:p w14:paraId="652ED9C1" w14:textId="247E71AC" w:rsidR="00BC7DDA" w:rsidRPr="00BD6C5F" w:rsidRDefault="009B03E9" w:rsidP="007B7076">
      <w:pPr>
        <w:pStyle w:val="Numbered111"/>
      </w:pPr>
      <w:r w:rsidRPr="00BD6C5F">
        <w:t xml:space="preserve">the Supplier can demonstrate that a vulnerability in the Core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w:t>
      </w:r>
      <w:r w:rsidR="000378D2" w:rsidRPr="00BD6C5F">
        <w:fldChar w:fldCharType="begin"/>
      </w:r>
      <w:r w:rsidR="000378D2" w:rsidRPr="00BD6C5F">
        <w:instrText xml:space="preserve"> REF _Ref98361206 \w \h </w:instrText>
      </w:r>
      <w:r w:rsidR="00AD7DD0" w:rsidRPr="00BD6C5F">
        <w:instrText xml:space="preserve"> \* MERGEFORMAT </w:instrText>
      </w:r>
      <w:r w:rsidR="000378D2" w:rsidRPr="00BD6C5F">
        <w:fldChar w:fldCharType="separate"/>
      </w:r>
      <w:r w:rsidR="009749A0">
        <w:t>9.3</w:t>
      </w:r>
      <w:r w:rsidR="000378D2" w:rsidRPr="00BD6C5F">
        <w:fldChar w:fldCharType="end"/>
      </w:r>
      <w:r w:rsidRPr="00BD6C5F">
        <w:t xml:space="preserve"> if the vulnerability becomes exploitable within the context of the Services;</w:t>
      </w:r>
    </w:p>
    <w:p w14:paraId="5164B567" w14:textId="446ABFED" w:rsidR="00BC7DDA" w:rsidRPr="00BD6C5F" w:rsidRDefault="009B03E9" w:rsidP="007B7076">
      <w:pPr>
        <w:pStyle w:val="Numbered111"/>
      </w:pPr>
      <w:r w:rsidRPr="00BD6C5F">
        <w:t xml:space="preserve">the application of a </w:t>
      </w:r>
      <w:r w:rsidR="00A4555C" w:rsidRPr="00BD6C5F">
        <w:t>‘</w:t>
      </w:r>
      <w:r w:rsidRPr="00BD6C5F">
        <w:t>Critical</w:t>
      </w:r>
      <w:r w:rsidR="00A4555C" w:rsidRPr="00BD6C5F">
        <w:t>’</w:t>
      </w:r>
      <w:r w:rsidRPr="00BD6C5F">
        <w:t xml:space="preserve"> or </w:t>
      </w:r>
      <w:r w:rsidR="00A4555C" w:rsidRPr="00BD6C5F">
        <w:t>‘</w:t>
      </w:r>
      <w:r w:rsidRPr="00BD6C5F">
        <w:t>Important</w:t>
      </w:r>
      <w:r w:rsidR="00A4555C" w:rsidRPr="00BD6C5F">
        <w:t>’</w:t>
      </w:r>
      <w:r w:rsidRPr="00BD6C5F">
        <w:t xml:space="preserve"> security patch adversely affects the Supplier</w:t>
      </w:r>
      <w:r w:rsidR="00A4555C" w:rsidRPr="00BD6C5F">
        <w:t>’</w:t>
      </w:r>
      <w:r w:rsidRPr="00BD6C5F">
        <w:t>s ability to deliver the Services in which case the Supplier shall be granted an extension to such timescales of 5 days, provided the Supplier had followed and continues to follow the security patch test plan agreed with the Authority; or</w:t>
      </w:r>
    </w:p>
    <w:p w14:paraId="1F9006AA" w14:textId="77777777" w:rsidR="00BC7DDA" w:rsidRPr="00BD6C5F" w:rsidRDefault="009B03E9" w:rsidP="007B7076">
      <w:pPr>
        <w:pStyle w:val="Numbered111"/>
      </w:pPr>
      <w:r w:rsidRPr="00BD6C5F">
        <w:t>the Authority agrees a different maximum period after a case-by- case consultation with the Supplier under the processes defined in the Security Management Plan.</w:t>
      </w:r>
    </w:p>
    <w:p w14:paraId="735C5DDA" w14:textId="0D663911" w:rsidR="00BC7DDA" w:rsidRPr="00BD6C5F" w:rsidRDefault="009B03E9" w:rsidP="007B7076">
      <w:pPr>
        <w:pStyle w:val="Numbered11"/>
      </w:pPr>
      <w:r w:rsidRPr="00BD6C5F">
        <w:t xml:space="preserve">The Security Management Plan shall include provisions for major version upgrades of all </w:t>
      </w:r>
      <w:r w:rsidRPr="00BD6C5F">
        <w:lastRenderedPageBreak/>
        <w:t xml:space="preserve">Supplier COTS Software and Third Party COTS Software to be kept up to date such that all Supplier COTS Software and Third Party COTS Software are always </w:t>
      </w:r>
      <w:r w:rsidR="00B71B5B" w:rsidRPr="00BD6C5F">
        <w:t>with</w:t>
      </w:r>
      <w:r w:rsidR="000378D2" w:rsidRPr="00BD6C5F">
        <w:t xml:space="preserve"> </w:t>
      </w:r>
      <w:r w:rsidRPr="00BD6C5F">
        <w:t xml:space="preserve">support throughout the </w:t>
      </w:r>
      <w:r w:rsidR="00B71B5B" w:rsidRPr="00BD6C5F">
        <w:t xml:space="preserve">Term </w:t>
      </w:r>
      <w:r w:rsidRPr="00BD6C5F">
        <w:t>unless otherwise agreed by the Authority in writing.</w:t>
      </w:r>
    </w:p>
    <w:p w14:paraId="398979F1" w14:textId="77777777" w:rsidR="00BC7DDA" w:rsidRPr="00BD6C5F" w:rsidRDefault="009B03E9" w:rsidP="00247692">
      <w:pPr>
        <w:pStyle w:val="Numbered11"/>
        <w:keepNext/>
      </w:pPr>
      <w:r w:rsidRPr="00BD6C5F">
        <w:t>The Supplier shall:</w:t>
      </w:r>
    </w:p>
    <w:p w14:paraId="6A17F53B" w14:textId="66C4BE92" w:rsidR="00BC7DDA" w:rsidRPr="00BD6C5F" w:rsidRDefault="009B03E9" w:rsidP="007B7076">
      <w:pPr>
        <w:pStyle w:val="Numbered111"/>
      </w:pPr>
      <w:r w:rsidRPr="00BD6C5F">
        <w:t>implement a mechanism for receiving, analysing and acting upon threat information supplied by NCSC, or any other competent C</w:t>
      </w:r>
      <w:r w:rsidR="006811ED">
        <w:t>rown</w:t>
      </w:r>
      <w:r w:rsidRPr="00BD6C5F">
        <w:t xml:space="preserve"> Body;</w:t>
      </w:r>
    </w:p>
    <w:p w14:paraId="3427BABE" w14:textId="77777777" w:rsidR="00BC7DDA" w:rsidRPr="00BD6C5F" w:rsidRDefault="009B03E9" w:rsidP="007B7076">
      <w:pPr>
        <w:pStyle w:val="Numbered111"/>
      </w:pPr>
      <w:r w:rsidRPr="00BD6C5F">
        <w:t>promptly notify NCSC of any actual or sustained attempted Breach of Security;</w:t>
      </w:r>
    </w:p>
    <w:p w14:paraId="24EBF17B" w14:textId="25A7F0C2" w:rsidR="00BC7DDA" w:rsidRPr="00BD6C5F" w:rsidRDefault="009B03E9" w:rsidP="007B7076">
      <w:pPr>
        <w:pStyle w:val="Numbered111"/>
      </w:pPr>
      <w:r w:rsidRPr="00BD6C5F">
        <w:t>ensure that the Core Information Management System is monitored to facilitate the detection of anomalous behaviour that would be indicative of system compromise;</w:t>
      </w:r>
    </w:p>
    <w:p w14:paraId="0A9BCE09" w14:textId="77777777" w:rsidR="00BC7DDA" w:rsidRPr="00BD6C5F" w:rsidRDefault="009B03E9" w:rsidP="007B7076">
      <w:pPr>
        <w:pStyle w:val="Numbered111"/>
      </w:pPr>
      <w:r w:rsidRPr="00BD6C5F">
        <w:t>ensure it is knowledgeable about the latest trends in threat, vulnerability and exploitation that are relevant to the Core Information Management System by actively monitoring the threat landscape during the Agreement Period;</w:t>
      </w:r>
    </w:p>
    <w:p w14:paraId="163BD449" w14:textId="77777777" w:rsidR="00BC7DDA" w:rsidRPr="00BD6C5F" w:rsidRDefault="009B03E9" w:rsidP="007B7076">
      <w:pPr>
        <w:pStyle w:val="Numbered111"/>
      </w:pPr>
      <w:r w:rsidRPr="00BD6C5F">
        <w:t>pro-actively scan the Core Information Management System for vulnerable components and address discovered vulnerabilities through the processes described in the Security Management Plan;</w:t>
      </w:r>
    </w:p>
    <w:p w14:paraId="104BC406" w14:textId="7DFABB5B" w:rsidR="00BC7DDA" w:rsidRPr="00BD6C5F" w:rsidRDefault="009B03E9" w:rsidP="007B7076">
      <w:pPr>
        <w:pStyle w:val="Numbered111"/>
      </w:pPr>
      <w:r w:rsidRPr="00BD6C5F">
        <w:t xml:space="preserve">from the date specified in the Accreditation Plan and within 5 Working Days of the end of each subsequent month during the </w:t>
      </w:r>
      <w:r w:rsidR="00B71B5B" w:rsidRPr="00BD6C5F">
        <w:t>Term</w:t>
      </w:r>
      <w:r w:rsidRPr="00BD6C5F">
        <w:t xml:space="preserve">, provide the Authority with a written report which details both patched and outstanding vulnerabilities in the Core Information Management System, the elapsed time between the public release date of patches and either time of application or for outstanding vulnerabilities the time of issue of such report and any failure to comply with the timescales set out in Paragraph </w:t>
      </w:r>
      <w:r w:rsidR="000378D2" w:rsidRPr="00BD6C5F">
        <w:fldChar w:fldCharType="begin"/>
      </w:r>
      <w:r w:rsidR="000378D2" w:rsidRPr="00BD6C5F">
        <w:instrText xml:space="preserve"> REF _Ref98361206 \w \h </w:instrText>
      </w:r>
      <w:r w:rsidR="00AD7DD0" w:rsidRPr="00BD6C5F">
        <w:instrText xml:space="preserve"> \* MERGEFORMAT </w:instrText>
      </w:r>
      <w:r w:rsidR="000378D2" w:rsidRPr="00BD6C5F">
        <w:fldChar w:fldCharType="separate"/>
      </w:r>
      <w:r w:rsidR="009749A0">
        <w:t>9.3</w:t>
      </w:r>
      <w:r w:rsidR="000378D2" w:rsidRPr="00BD6C5F">
        <w:fldChar w:fldCharType="end"/>
      </w:r>
      <w:r w:rsidRPr="00BD6C5F">
        <w:t xml:space="preserve"> for applying patches to vulnerabilities in the Core Information Management System;</w:t>
      </w:r>
    </w:p>
    <w:p w14:paraId="45ABC2F1" w14:textId="77777777" w:rsidR="00BC7DDA" w:rsidRPr="00BD6C5F" w:rsidRDefault="009B03E9" w:rsidP="007B7076">
      <w:pPr>
        <w:pStyle w:val="Numbered111"/>
      </w:pPr>
      <w:r w:rsidRPr="00BD6C5F">
        <w:t>propose interim mitigation measures to vulnerabilities in the Core Information Management System known to be exploitable where a security patch is not immediately available;</w:t>
      </w:r>
    </w:p>
    <w:p w14:paraId="69626A32" w14:textId="77777777" w:rsidR="00BC7DDA" w:rsidRPr="00BD6C5F" w:rsidRDefault="009B03E9" w:rsidP="007B7076">
      <w:pPr>
        <w:pStyle w:val="Numbered111"/>
      </w:pPr>
      <w:r w:rsidRPr="00BD6C5F">
        <w:t>remove or disable any extraneous interfaces, services or capabilities that are not needed for the provision of the Services (in order to reduce the attack surface of the Core Information Management System); and</w:t>
      </w:r>
    </w:p>
    <w:p w14:paraId="7F90E769" w14:textId="77777777" w:rsidR="00BC7DDA" w:rsidRPr="00BD6C5F" w:rsidRDefault="009B03E9" w:rsidP="007B7076">
      <w:pPr>
        <w:pStyle w:val="Numbered111"/>
      </w:pPr>
      <w:r w:rsidRPr="00BD6C5F">
        <w:t>inform the Authority when it becomes aware of any new threat, vulnerability or exploitation technique that has the potential to affect the security of the Core Information Management System and provide initial indications of possible mitigations.</w:t>
      </w:r>
    </w:p>
    <w:p w14:paraId="750AB2E2" w14:textId="70892130" w:rsidR="00BC7DDA" w:rsidRPr="00BD6C5F" w:rsidRDefault="009B03E9" w:rsidP="007B7076">
      <w:pPr>
        <w:pStyle w:val="Numbered11"/>
      </w:pPr>
      <w:r w:rsidRPr="00BD6C5F">
        <w:t xml:space="preserve">If the Supplier is unlikely to be able to mitigate the vulnerability within the timescales under Paragraph </w:t>
      </w:r>
      <w:r w:rsidR="000378D2" w:rsidRPr="00BD6C5F">
        <w:fldChar w:fldCharType="begin"/>
      </w:r>
      <w:r w:rsidR="000378D2" w:rsidRPr="00BD6C5F">
        <w:instrText xml:space="preserve"> REF _Ref98360715 \w \h </w:instrText>
      </w:r>
      <w:r w:rsidR="00AD7DD0" w:rsidRPr="00BD6C5F">
        <w:instrText xml:space="preserve"> \* MERGEFORMAT </w:instrText>
      </w:r>
      <w:r w:rsidR="000378D2" w:rsidRPr="00BD6C5F">
        <w:fldChar w:fldCharType="separate"/>
      </w:r>
      <w:r w:rsidR="009749A0">
        <w:t>10</w:t>
      </w:r>
      <w:r w:rsidR="000378D2" w:rsidRPr="00BD6C5F">
        <w:fldChar w:fldCharType="end"/>
      </w:r>
      <w:r w:rsidRPr="00BD6C5F">
        <w:t>, the Supplier shall immediately notify the Authority.</w:t>
      </w:r>
    </w:p>
    <w:p w14:paraId="367D7F2A" w14:textId="27A6C877" w:rsidR="00BC7DDA" w:rsidRPr="00BD6C5F" w:rsidRDefault="009B03E9" w:rsidP="007B7076">
      <w:pPr>
        <w:pStyle w:val="Numbered11"/>
      </w:pPr>
      <w:r w:rsidRPr="00BD6C5F">
        <w:t xml:space="preserve">If the Supplier fails to patch vulnerabilities in the Core Information Management System in accordance with Paragraph </w:t>
      </w:r>
      <w:r w:rsidR="000378D2" w:rsidRPr="00BD6C5F">
        <w:fldChar w:fldCharType="begin"/>
      </w:r>
      <w:r w:rsidR="000378D2" w:rsidRPr="00BD6C5F">
        <w:instrText xml:space="preserve"> REF _Ref98361206 \w \h </w:instrText>
      </w:r>
      <w:r w:rsidR="00AD7DD0" w:rsidRPr="00BD6C5F">
        <w:instrText xml:space="preserve"> \* MERGEFORMAT </w:instrText>
      </w:r>
      <w:r w:rsidR="000378D2" w:rsidRPr="00BD6C5F">
        <w:fldChar w:fldCharType="separate"/>
      </w:r>
      <w:r w:rsidR="009749A0">
        <w:t>9.3</w:t>
      </w:r>
      <w:r w:rsidR="000378D2" w:rsidRPr="00BD6C5F">
        <w:fldChar w:fldCharType="end"/>
      </w:r>
      <w:r w:rsidRPr="00BD6C5F">
        <w:t xml:space="preserve">, such failure shall constitute a material Default and the Authority may by terminate this </w:t>
      </w:r>
      <w:r w:rsidR="00B71B5B" w:rsidRPr="00BD6C5F">
        <w:t xml:space="preserve">Contract </w:t>
      </w:r>
      <w:r w:rsidRPr="00BD6C5F">
        <w:t>with immediate effect by issuing a Termination Notice to the Supplier</w:t>
      </w:r>
      <w:r w:rsidR="000E3023">
        <w:t xml:space="preserve"> in accordance with Clause 31.1</w:t>
      </w:r>
      <w:r w:rsidR="00C20F85">
        <w:t>.2</w:t>
      </w:r>
      <w:r w:rsidRPr="00BD6C5F">
        <w:t>.</w:t>
      </w:r>
    </w:p>
    <w:p w14:paraId="078439DD" w14:textId="77777777" w:rsidR="00BC7DDA" w:rsidRPr="00BD6C5F" w:rsidRDefault="009B03E9" w:rsidP="007B7076">
      <w:pPr>
        <w:pStyle w:val="Numbered1"/>
      </w:pPr>
      <w:bookmarkStart w:id="323" w:name="_bookmark114"/>
      <w:bookmarkStart w:id="324" w:name="_Ref98360715"/>
      <w:bookmarkEnd w:id="323"/>
      <w:r w:rsidRPr="00BD6C5F">
        <w:lastRenderedPageBreak/>
        <w:t>Malicious Software</w:t>
      </w:r>
      <w:bookmarkEnd w:id="324"/>
    </w:p>
    <w:p w14:paraId="7A0DA5A2" w14:textId="7C89E205" w:rsidR="00BC7DDA" w:rsidRPr="00BD6C5F" w:rsidRDefault="009B03E9" w:rsidP="007B7076">
      <w:pPr>
        <w:pStyle w:val="Numbered11"/>
      </w:pPr>
      <w:r w:rsidRPr="00BD6C5F">
        <w:t>The Supplier shall install and maintain Anti-Malicious Software or procure that Anti-Malicious Software is installed and maintained on any part of the Information Management System which may Process Authority Data and</w:t>
      </w:r>
      <w:r w:rsidR="000378D2" w:rsidRPr="00BD6C5F">
        <w:t xml:space="preserve"> </w:t>
      </w:r>
      <w:r w:rsidRPr="00BD6C5F">
        <w:t>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789841DE" w14:textId="77777777" w:rsidR="00BC7DDA" w:rsidRPr="00BD6C5F" w:rsidRDefault="009B03E9" w:rsidP="007B7076">
      <w:pPr>
        <w:pStyle w:val="Numbered11"/>
      </w:pPr>
      <w:bookmarkStart w:id="325" w:name="_bookmark115"/>
      <w:bookmarkStart w:id="326" w:name="_Ref98361312"/>
      <w:bookmarkEnd w:id="325"/>
      <w:r w:rsidRPr="00BD6C5F">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326"/>
    </w:p>
    <w:p w14:paraId="0423D1F8" w14:textId="7A32741A" w:rsidR="00BC7DDA" w:rsidRPr="00BD6C5F" w:rsidRDefault="009B03E9" w:rsidP="00247692">
      <w:pPr>
        <w:pStyle w:val="Numbered11"/>
        <w:keepNext/>
      </w:pPr>
      <w:r w:rsidRPr="00BD6C5F">
        <w:t xml:space="preserve">any cost arising out of the actions of the Parties taken in compliance with the provisions of Paragraph </w:t>
      </w:r>
      <w:r w:rsidR="000378D2" w:rsidRPr="00BD6C5F">
        <w:fldChar w:fldCharType="begin"/>
      </w:r>
      <w:r w:rsidR="000378D2" w:rsidRPr="00BD6C5F">
        <w:instrText xml:space="preserve"> REF _Ref98361312 \w \h </w:instrText>
      </w:r>
      <w:r w:rsidR="00AD7DD0" w:rsidRPr="00BD6C5F">
        <w:instrText xml:space="preserve"> \* MERGEFORMAT </w:instrText>
      </w:r>
      <w:r w:rsidR="000378D2" w:rsidRPr="00BD6C5F">
        <w:fldChar w:fldCharType="separate"/>
      </w:r>
      <w:r w:rsidR="009749A0">
        <w:t>10.2</w:t>
      </w:r>
      <w:r w:rsidR="000378D2" w:rsidRPr="00BD6C5F">
        <w:fldChar w:fldCharType="end"/>
      </w:r>
      <w:r w:rsidRPr="00BD6C5F">
        <w:t xml:space="preserve"> shall be borne by the Parties as follows:</w:t>
      </w:r>
    </w:p>
    <w:p w14:paraId="7D02B36E" w14:textId="77777777" w:rsidR="003A72AA" w:rsidRPr="00BD6C5F" w:rsidRDefault="009B03E9" w:rsidP="00247692">
      <w:pPr>
        <w:pStyle w:val="Numbered111"/>
        <w:keepNext/>
      </w:pPr>
      <w:r w:rsidRPr="00BD6C5F">
        <w:t>by the Supplier where the Malicious Software originates from</w:t>
      </w:r>
    </w:p>
    <w:p w14:paraId="4D8D7362" w14:textId="4D5D2AE0" w:rsidR="003A72AA" w:rsidRPr="00BD6C5F" w:rsidRDefault="009B03E9" w:rsidP="002B3242">
      <w:pPr>
        <w:pStyle w:val="Numbered111a"/>
        <w:rPr>
          <w:lang w:val="en-GB"/>
        </w:rPr>
      </w:pPr>
      <w:r w:rsidRPr="00BD6C5F">
        <w:rPr>
          <w:lang w:val="en-GB"/>
        </w:rPr>
        <w:t>the Supplier Software</w:t>
      </w:r>
      <w:r w:rsidR="003A72AA" w:rsidRPr="00BD6C5F">
        <w:rPr>
          <w:lang w:val="en-GB"/>
        </w:rPr>
        <w:t>;</w:t>
      </w:r>
    </w:p>
    <w:p w14:paraId="718790AB" w14:textId="0A42AC3E" w:rsidR="003A72AA" w:rsidRPr="00BD6C5F" w:rsidRDefault="009B03E9" w:rsidP="00BA2B53">
      <w:pPr>
        <w:pStyle w:val="Numbered111a"/>
        <w:rPr>
          <w:lang w:val="en-GB"/>
        </w:rPr>
      </w:pPr>
      <w:r w:rsidRPr="00BD6C5F">
        <w:rPr>
          <w:lang w:val="en-GB"/>
        </w:rPr>
        <w:t>the Third-Party Software supplied by the Supplier</w:t>
      </w:r>
      <w:r w:rsidR="003A72AA" w:rsidRPr="00BD6C5F">
        <w:rPr>
          <w:lang w:val="en-GB"/>
        </w:rPr>
        <w:t>;</w:t>
      </w:r>
      <w:r w:rsidRPr="00BD6C5F">
        <w:rPr>
          <w:lang w:val="en-GB"/>
        </w:rPr>
        <w:t xml:space="preserve"> or</w:t>
      </w:r>
    </w:p>
    <w:p w14:paraId="69D109A2" w14:textId="3AD68A56" w:rsidR="003A72AA" w:rsidRPr="00BD6C5F" w:rsidRDefault="009B03E9" w:rsidP="00247692">
      <w:pPr>
        <w:pStyle w:val="Numbered111a"/>
        <w:keepNext/>
        <w:rPr>
          <w:lang w:val="en-GB"/>
        </w:rPr>
      </w:pPr>
      <w:r w:rsidRPr="00BD6C5F">
        <w:rPr>
          <w:lang w:val="en-GB"/>
        </w:rPr>
        <w:t>the Authority Data whilst the Authority Data was under the control of the Supplier</w:t>
      </w:r>
    </w:p>
    <w:p w14:paraId="6D3AD55B" w14:textId="50B0D0DD" w:rsidR="00BC7DDA" w:rsidRPr="00BD6C5F" w:rsidRDefault="009B03E9" w:rsidP="00163594">
      <w:pPr>
        <w:tabs>
          <w:tab w:val="left" w:pos="1906"/>
          <w:tab w:val="left" w:pos="1907"/>
        </w:tabs>
        <w:spacing w:before="100" w:after="200"/>
        <w:ind w:left="1803"/>
        <w:rPr>
          <w:rFonts w:asciiTheme="minorHAnsi" w:hAnsiTheme="minorHAnsi" w:cstheme="minorHAnsi"/>
          <w:szCs w:val="24"/>
        </w:rPr>
      </w:pPr>
      <w:r w:rsidRPr="00BD6C5F">
        <w:rPr>
          <w:rFonts w:asciiTheme="minorHAnsi" w:hAnsiTheme="minorHAnsi" w:cstheme="minorHAnsi"/>
          <w:szCs w:val="24"/>
        </w:rPr>
        <w:t>unless</w:t>
      </w:r>
      <w:r w:rsidR="003A72AA" w:rsidRPr="00BD6C5F">
        <w:rPr>
          <w:rFonts w:asciiTheme="minorHAnsi" w:hAnsiTheme="minorHAnsi" w:cstheme="minorHAnsi"/>
          <w:szCs w:val="24"/>
        </w:rPr>
        <w:t xml:space="preserve"> in the case of the Authority Data,</w:t>
      </w:r>
      <w:r w:rsidRPr="00BD6C5F">
        <w:rPr>
          <w:rFonts w:asciiTheme="minorHAnsi" w:hAnsiTheme="minorHAnsi" w:cstheme="minorHAnsi"/>
          <w:szCs w:val="24"/>
        </w:rPr>
        <w:t xml:space="preserve"> the Supplier can demonstrate that such Malicious Software was present </w:t>
      </w:r>
      <w:r w:rsidR="003A72AA" w:rsidRPr="00BD6C5F">
        <w:rPr>
          <w:rFonts w:asciiTheme="minorHAnsi" w:hAnsiTheme="minorHAnsi" w:cstheme="minorHAnsi"/>
          <w:szCs w:val="24"/>
        </w:rPr>
        <w:t xml:space="preserve">in the Authority Data </w:t>
      </w:r>
      <w:r w:rsidRPr="00BD6C5F">
        <w:rPr>
          <w:rFonts w:asciiTheme="minorHAnsi" w:hAnsiTheme="minorHAnsi" w:cstheme="minorHAnsi"/>
          <w:szCs w:val="24"/>
        </w:rPr>
        <w:t>and not quarantined or otherwise identified by the Authority when</w:t>
      </w:r>
      <w:r w:rsidR="003A72AA" w:rsidRPr="00BD6C5F">
        <w:rPr>
          <w:rFonts w:asciiTheme="minorHAnsi" w:hAnsiTheme="minorHAnsi" w:cstheme="minorHAnsi"/>
          <w:szCs w:val="24"/>
        </w:rPr>
        <w:t xml:space="preserve"> the Authority</w:t>
      </w:r>
      <w:r w:rsidRPr="00BD6C5F">
        <w:rPr>
          <w:rFonts w:asciiTheme="minorHAnsi" w:hAnsiTheme="minorHAnsi" w:cstheme="minorHAnsi"/>
          <w:szCs w:val="24"/>
        </w:rPr>
        <w:t xml:space="preserve"> provided</w:t>
      </w:r>
      <w:r w:rsidR="003A72AA" w:rsidRPr="00BD6C5F">
        <w:rPr>
          <w:rFonts w:asciiTheme="minorHAnsi" w:hAnsiTheme="minorHAnsi" w:cstheme="minorHAnsi"/>
          <w:szCs w:val="24"/>
        </w:rPr>
        <w:t xml:space="preserve"> the Authority Data</w:t>
      </w:r>
      <w:r w:rsidRPr="00BD6C5F">
        <w:rPr>
          <w:rFonts w:asciiTheme="minorHAnsi" w:hAnsiTheme="minorHAnsi" w:cstheme="minorHAnsi"/>
          <w:szCs w:val="24"/>
        </w:rPr>
        <w:t xml:space="preserve"> to the Supplier; and</w:t>
      </w:r>
    </w:p>
    <w:p w14:paraId="05180218" w14:textId="77777777" w:rsidR="00BC7DDA" w:rsidRPr="00BD6C5F" w:rsidRDefault="009B03E9" w:rsidP="00BA2B53">
      <w:pPr>
        <w:pStyle w:val="Numbered111"/>
      </w:pPr>
      <w:r w:rsidRPr="00BD6C5F">
        <w:t>otherwise by the Authority.</w:t>
      </w:r>
    </w:p>
    <w:p w14:paraId="0514F3EA" w14:textId="77777777" w:rsidR="00BC7DDA" w:rsidRPr="00BD6C5F" w:rsidRDefault="009B03E9" w:rsidP="00BA2B53">
      <w:pPr>
        <w:pStyle w:val="Numbered1"/>
      </w:pPr>
      <w:bookmarkStart w:id="327" w:name="_bookmark116"/>
      <w:bookmarkStart w:id="328" w:name="_Ref98360725"/>
      <w:bookmarkEnd w:id="327"/>
      <w:r w:rsidRPr="00BD6C5F">
        <w:t>Breach of Security</w:t>
      </w:r>
      <w:bookmarkEnd w:id="328"/>
    </w:p>
    <w:p w14:paraId="0FDE1D65" w14:textId="77777777" w:rsidR="00BC7DDA" w:rsidRPr="00BD6C5F" w:rsidRDefault="009B03E9" w:rsidP="00BA2B53">
      <w:pPr>
        <w:pStyle w:val="Numbered11"/>
      </w:pPr>
      <w:r w:rsidRPr="00BD6C5F">
        <w:t>If either Party becomes aware of a Breach of Security or an attempted Breach of Security it shall notify the other in accordance with the security incident management process as set out in the Security Management Plan.</w:t>
      </w:r>
    </w:p>
    <w:p w14:paraId="571A66CF" w14:textId="77777777" w:rsidR="00BC7DDA" w:rsidRPr="00BD6C5F" w:rsidRDefault="009B03E9" w:rsidP="00247692">
      <w:pPr>
        <w:pStyle w:val="Numbered11"/>
        <w:keepNext/>
      </w:pPr>
      <w:r w:rsidRPr="00BD6C5F">
        <w:t>The security incident management process set out in the Security Management Plan shall, as a minimum, require the Supplier upon becoming aware of a Breach of Security or an attempted Breach of Security to:</w:t>
      </w:r>
    </w:p>
    <w:p w14:paraId="2AE6F91A" w14:textId="77777777" w:rsidR="00BC7DDA" w:rsidRPr="00BD6C5F" w:rsidRDefault="009B03E9" w:rsidP="00247692">
      <w:pPr>
        <w:pStyle w:val="Numbered111"/>
        <w:keepNext/>
      </w:pPr>
      <w:r w:rsidRPr="00BD6C5F">
        <w:t>immediately take all reasonable steps (which shall include any action or changes reasonably required by the Authority which shall be completed within such timescales as the Authority may reasonably require) necessary to:</w:t>
      </w:r>
    </w:p>
    <w:p w14:paraId="79EF357B" w14:textId="77777777" w:rsidR="00BC7DDA" w:rsidRPr="00BD6C5F" w:rsidRDefault="009B03E9" w:rsidP="002B3242">
      <w:pPr>
        <w:pStyle w:val="Numbered111a"/>
        <w:rPr>
          <w:lang w:val="en-GB"/>
        </w:rPr>
      </w:pPr>
      <w:r w:rsidRPr="00BD6C5F">
        <w:rPr>
          <w:lang w:val="en-GB"/>
        </w:rPr>
        <w:t>minimise the extent of actual or potential harm caused by such Breach of Security;</w:t>
      </w:r>
    </w:p>
    <w:p w14:paraId="68E3A41F" w14:textId="77777777" w:rsidR="00BC7DDA" w:rsidRPr="00BD6C5F" w:rsidRDefault="009B03E9" w:rsidP="00BA2B53">
      <w:pPr>
        <w:pStyle w:val="Numbered111a"/>
        <w:rPr>
          <w:lang w:val="en-GB"/>
        </w:rPr>
      </w:pPr>
      <w:r w:rsidRPr="00BD6C5F">
        <w:rPr>
          <w:lang w:val="en-GB"/>
        </w:rPr>
        <w:t xml:space="preserve">remedy such Breach of Security to the extent possible and protect the integrity of the Information Management System against any such </w:t>
      </w:r>
      <w:r w:rsidRPr="00BD6C5F">
        <w:rPr>
          <w:lang w:val="en-GB"/>
        </w:rPr>
        <w:lastRenderedPageBreak/>
        <w:t>potential or attempted Breach of Security;</w:t>
      </w:r>
    </w:p>
    <w:p w14:paraId="36E1A6FC" w14:textId="2F24B9BB" w:rsidR="00BC7DDA" w:rsidRPr="00BD6C5F" w:rsidRDefault="009B03E9" w:rsidP="00BA2B53">
      <w:pPr>
        <w:pStyle w:val="Numbered111a"/>
        <w:rPr>
          <w:lang w:val="en-GB"/>
        </w:rPr>
      </w:pPr>
      <w:r w:rsidRPr="00BD6C5F">
        <w:rPr>
          <w:lang w:val="en-GB"/>
        </w:rPr>
        <w:t>apply a tested mitigation against any such Breach of Security or potential or attempted Breach of Security and, provided that reasonable testing has been undertaken by the Supplier, if the mitigation adversely affects the Supplier</w:t>
      </w:r>
      <w:r w:rsidR="00A4555C" w:rsidRPr="00BD6C5F">
        <w:rPr>
          <w:lang w:val="en-GB"/>
        </w:rPr>
        <w:t>’</w:t>
      </w:r>
      <w:r w:rsidRPr="00BD6C5F">
        <w:rPr>
          <w:lang w:val="en-GB"/>
        </w:rPr>
        <w:t>s ability to deliver the Services so as to meet any Performance Indicator,</w:t>
      </w:r>
      <w:r w:rsidR="000378D2" w:rsidRPr="00BD6C5F">
        <w:rPr>
          <w:lang w:val="en-GB"/>
        </w:rPr>
        <w:t xml:space="preserve"> </w:t>
      </w:r>
      <w:r w:rsidRPr="00BD6C5F">
        <w:rPr>
          <w:lang w:val="en-GB"/>
        </w:rPr>
        <w:t>the Supplier shall be granted relief against the failure to meet such affected Performance Indicator for such period as the Authority, acting reasonably, may specify by written notice to the Supplier; and</w:t>
      </w:r>
    </w:p>
    <w:p w14:paraId="09CFD5E3" w14:textId="77777777" w:rsidR="00BC7DDA" w:rsidRPr="00BD6C5F" w:rsidRDefault="009B03E9" w:rsidP="00BA2B53">
      <w:pPr>
        <w:pStyle w:val="Numbered111a"/>
        <w:rPr>
          <w:lang w:val="en-GB"/>
        </w:rPr>
      </w:pPr>
      <w:r w:rsidRPr="00BD6C5F">
        <w:rPr>
          <w:lang w:val="en-GB"/>
        </w:rPr>
        <w:t>prevent a further Breach of Security or attempted Breach of Security in the future exploiting the same root cause failure;</w:t>
      </w:r>
    </w:p>
    <w:p w14:paraId="054D0BC2" w14:textId="77777777" w:rsidR="00BC7DDA" w:rsidRPr="00BD6C5F" w:rsidRDefault="009B03E9" w:rsidP="00BA2B53">
      <w:pPr>
        <w:pStyle w:val="Numbered111"/>
      </w:pPr>
      <w:r w:rsidRPr="00BD6C5F">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77C8BDFB" w14:textId="69137C90" w:rsidR="00BC7DDA" w:rsidRPr="00BD6C5F" w:rsidRDefault="009B03E9" w:rsidP="00BA2B53">
      <w:pPr>
        <w:pStyle w:val="Numbered11"/>
      </w:pPr>
      <w:r w:rsidRPr="00BD6C5F">
        <w:t>In the event that any action is taken in response to a Breach of Security or attempted Breach of Security which occurred as a result of non-compliance of the Information Management System and/or the Security Management Plan with the Baseline Security Requirements and/or this</w:t>
      </w:r>
      <w:r w:rsidR="0030487F" w:rsidRPr="00BD6C5F">
        <w:t xml:space="preserve"> </w:t>
      </w:r>
      <w:r w:rsidR="000C31EE" w:rsidRPr="00BD6C5F">
        <w:t>Contract</w:t>
      </w:r>
      <w:r w:rsidRPr="00BD6C5F">
        <w:t>, then such action and any required change to the Information Management System and/or Security Management Plan shall be completed by the Supplier at no cost to the Authority.</w:t>
      </w:r>
    </w:p>
    <w:p w14:paraId="6B2D4256" w14:textId="2F17DC06" w:rsidR="00BC7DDA" w:rsidRPr="00BD6C5F" w:rsidRDefault="009B03E9" w:rsidP="00BA2B53">
      <w:pPr>
        <w:pStyle w:val="Numbered11"/>
      </w:pPr>
      <w:r w:rsidRPr="00BD6C5F">
        <w:t xml:space="preserve">If the Supplier fails to comply with its obligations set out in this Paragraph </w:t>
      </w:r>
      <w:r w:rsidR="000378D2" w:rsidRPr="00BD6C5F">
        <w:fldChar w:fldCharType="begin"/>
      </w:r>
      <w:r w:rsidR="000378D2" w:rsidRPr="00BD6C5F">
        <w:instrText xml:space="preserve"> REF _Ref98360725 \w \h </w:instrText>
      </w:r>
      <w:r w:rsidR="00AD7DD0" w:rsidRPr="00BD6C5F">
        <w:instrText xml:space="preserve"> \* MERGEFORMAT </w:instrText>
      </w:r>
      <w:r w:rsidR="000378D2" w:rsidRPr="00BD6C5F">
        <w:fldChar w:fldCharType="separate"/>
      </w:r>
      <w:r w:rsidR="009749A0">
        <w:t>11</w:t>
      </w:r>
      <w:r w:rsidR="000378D2" w:rsidRPr="00BD6C5F">
        <w:fldChar w:fldCharType="end"/>
      </w:r>
      <w:r w:rsidRPr="00BD6C5F">
        <w:t xml:space="preserve">, such failure shall constitute a material Default, which if not remedied to the satisfaction of the Authority, shall permit the Authority to terminate this </w:t>
      </w:r>
      <w:r w:rsidR="000C31EE" w:rsidRPr="00BD6C5F">
        <w:t>Contract</w:t>
      </w:r>
      <w:r w:rsidR="00B83C61" w:rsidRPr="00B83C61">
        <w:t xml:space="preserve"> </w:t>
      </w:r>
      <w:r w:rsidR="00B83C61">
        <w:t>in accordance with Clause 31.1</w:t>
      </w:r>
      <w:r w:rsidR="00C20F85">
        <w:t>.2</w:t>
      </w:r>
      <w:r w:rsidR="000C31EE" w:rsidRPr="00BD6C5F">
        <w:t xml:space="preserve"> </w:t>
      </w:r>
      <w:r w:rsidRPr="00BD6C5F">
        <w:t>with immediate effect by issuing a Termination Notice to the Supplier.</w:t>
      </w:r>
    </w:p>
    <w:p w14:paraId="4256DCB2" w14:textId="77777777" w:rsidR="00BC7DDA" w:rsidRPr="00BD6C5F" w:rsidRDefault="009B03E9" w:rsidP="00BA2B53">
      <w:pPr>
        <w:pStyle w:val="Numbered1"/>
      </w:pPr>
      <w:r w:rsidRPr="00BD6C5F">
        <w:t>Data Processing, Storage, Management and Destruction</w:t>
      </w:r>
    </w:p>
    <w:p w14:paraId="195D7175" w14:textId="08C1FE28" w:rsidR="00BC7DDA" w:rsidRPr="00BD6C5F" w:rsidRDefault="009B03E9" w:rsidP="00247692">
      <w:pPr>
        <w:pStyle w:val="Numbered11"/>
        <w:keepNext/>
      </w:pPr>
      <w:r w:rsidRPr="00BD6C5F">
        <w:t xml:space="preserve">In addition to the obligations on the Supplier set out </w:t>
      </w:r>
      <w:r w:rsidR="005E736B" w:rsidRPr="00BD6C5F">
        <w:t>Clause </w:t>
      </w:r>
      <w:r w:rsidR="00843FC2" w:rsidRPr="00BD6C5F">
        <w:t>21</w:t>
      </w:r>
      <w:r w:rsidR="008A3E8F" w:rsidRPr="00BD6C5F">
        <w:t xml:space="preserve"> </w:t>
      </w:r>
      <w:r w:rsidRPr="00BD6C5F">
        <w:t>in respect of Processing Personal Data and compliance with the Data Protection Legislation, the Supplier shall:</w:t>
      </w:r>
    </w:p>
    <w:p w14:paraId="30D65259" w14:textId="77777777" w:rsidR="00BC7DDA" w:rsidRPr="00BD6C5F" w:rsidRDefault="009B03E9" w:rsidP="00BA2B53">
      <w:pPr>
        <w:pStyle w:val="Numbered111"/>
      </w:pPr>
      <w:bookmarkStart w:id="329" w:name="_bookmark117"/>
      <w:bookmarkStart w:id="330" w:name="_Ref98358126"/>
      <w:bookmarkEnd w:id="329"/>
      <w:r w:rsidRPr="00BD6C5F">
        <w:t>Process Authority Data only in the UK, except where the Authority has given its consent in writing to a transfer of the Authority Data to such other country;</w:t>
      </w:r>
      <w:bookmarkEnd w:id="330"/>
    </w:p>
    <w:p w14:paraId="2921E6B1" w14:textId="77777777" w:rsidR="00BC7DDA" w:rsidRPr="00BD6C5F" w:rsidRDefault="009B03E9" w:rsidP="00BA2B53">
      <w:pPr>
        <w:pStyle w:val="Numbered111"/>
      </w:pPr>
      <w:r w:rsidRPr="00BD6C5F">
        <w:t>on demand, provide the Authority with all Authority Data in an agreed open format;</w:t>
      </w:r>
    </w:p>
    <w:p w14:paraId="149BDD49" w14:textId="77777777" w:rsidR="00BC7DDA" w:rsidRPr="00BD6C5F" w:rsidRDefault="009B03E9" w:rsidP="00BA2B53">
      <w:pPr>
        <w:pStyle w:val="Numbered111"/>
      </w:pPr>
      <w:r w:rsidRPr="00BD6C5F">
        <w:t>have documented processes to guarantee availability of Authority Data in the event of the Supplier ceasing to trade;</w:t>
      </w:r>
    </w:p>
    <w:p w14:paraId="3A84E9D9" w14:textId="6DE2C6AF" w:rsidR="00BC7DDA" w:rsidRPr="00BD6C5F" w:rsidRDefault="009B03E9" w:rsidP="00BA2B53">
      <w:pPr>
        <w:pStyle w:val="Numbered111"/>
      </w:pPr>
      <w:r w:rsidRPr="00BD6C5F">
        <w:t>securely erase any or all Authority Data held by the Supplier when requested to do so by the Authority</w:t>
      </w:r>
      <w:r w:rsidR="00B60527">
        <w:t xml:space="preserve"> </w:t>
      </w:r>
      <w:r w:rsidR="00B60527" w:rsidRPr="00BE3416">
        <w:rPr>
          <w:color w:val="000000"/>
        </w:rPr>
        <w:t xml:space="preserve">other than in relation to </w:t>
      </w:r>
      <w:r w:rsidR="00B60527">
        <w:rPr>
          <w:color w:val="000000"/>
        </w:rPr>
        <w:t>Authority</w:t>
      </w:r>
      <w:r w:rsidR="00B60527" w:rsidRPr="00BE3416">
        <w:rPr>
          <w:color w:val="000000"/>
        </w:rPr>
        <w:t xml:space="preserve"> Data which is owned or licenced by the Supplier or in respect of which the Parties are either Independent Controllers or Joint Controllers</w:t>
      </w:r>
      <w:r w:rsidRPr="00BD6C5F">
        <w:t>; and</w:t>
      </w:r>
    </w:p>
    <w:p w14:paraId="180C09BE" w14:textId="1042F94F" w:rsidR="00E37757" w:rsidRPr="00BD6C5F" w:rsidRDefault="009B03E9" w:rsidP="00BA2B53">
      <w:pPr>
        <w:pStyle w:val="Numbered111"/>
      </w:pPr>
      <w:r w:rsidRPr="00BD6C5F">
        <w:t xml:space="preserve">securely destroy all media that has held Authority Data at the end of life of that media in accordance with any specific requirements in this </w:t>
      </w:r>
      <w:r w:rsidR="008A3E8F" w:rsidRPr="00BD6C5F">
        <w:t xml:space="preserve">Contract </w:t>
      </w:r>
      <w:r w:rsidRPr="00BD6C5F">
        <w:t>and, in the absence of any such requirements, as directed by the Authority</w:t>
      </w:r>
      <w:r w:rsidR="00B60527">
        <w:t xml:space="preserve"> </w:t>
      </w:r>
      <w:r w:rsidR="00B60527" w:rsidRPr="00BE3416">
        <w:rPr>
          <w:color w:val="000000"/>
        </w:rPr>
        <w:t xml:space="preserve">other than in relation to </w:t>
      </w:r>
      <w:r w:rsidR="00B60527">
        <w:rPr>
          <w:color w:val="000000"/>
        </w:rPr>
        <w:t>Authority</w:t>
      </w:r>
      <w:r w:rsidR="00B60527" w:rsidRPr="00BE3416">
        <w:rPr>
          <w:color w:val="000000"/>
        </w:rPr>
        <w:t xml:space="preserve"> Data which is owned or licenced by the Supplier or in </w:t>
      </w:r>
      <w:r w:rsidR="00B60527" w:rsidRPr="00BE3416">
        <w:rPr>
          <w:color w:val="000000"/>
        </w:rPr>
        <w:lastRenderedPageBreak/>
        <w:t>respect of which the Parties are either Independent Controllers or Joint Controllers</w:t>
      </w:r>
      <w:r w:rsidRPr="00BD6C5F">
        <w:t>.</w:t>
      </w:r>
    </w:p>
    <w:p w14:paraId="4751526F" w14:textId="2E24F056" w:rsidR="00E37757" w:rsidRPr="00BD6C5F" w:rsidRDefault="00E37757" w:rsidP="00307EB4">
      <w:r w:rsidRPr="00BD6C5F">
        <w:br w:type="page"/>
      </w:r>
    </w:p>
    <w:p w14:paraId="1394EC11" w14:textId="1B7FF510" w:rsidR="00BC7DDA" w:rsidRPr="00BD6C5F" w:rsidRDefault="00EE7519" w:rsidP="00704F02">
      <w:pPr>
        <w:pStyle w:val="Heading2"/>
      </w:pPr>
      <w:bookmarkStart w:id="331" w:name="_bookmark118"/>
      <w:bookmarkStart w:id="332" w:name="_Toc98332715"/>
      <w:bookmarkStart w:id="333" w:name="_Ref98340921"/>
      <w:bookmarkStart w:id="334" w:name="_Toc98852892"/>
      <w:bookmarkStart w:id="335" w:name="_Toc141720985"/>
      <w:bookmarkEnd w:id="331"/>
      <w:r w:rsidRPr="00BD6C5F">
        <w:lastRenderedPageBreak/>
        <w:t xml:space="preserve">Annex </w:t>
      </w:r>
      <w:bookmarkStart w:id="336" w:name="Schedule_5_Part_B_Annex_1"/>
      <w:r w:rsidRPr="00BD6C5F">
        <w:t>1</w:t>
      </w:r>
      <w:bookmarkEnd w:id="336"/>
      <w:r w:rsidRPr="00BD6C5F">
        <w:t>: Baseline Security Requirements</w:t>
      </w:r>
      <w:bookmarkEnd w:id="332"/>
      <w:bookmarkEnd w:id="333"/>
      <w:bookmarkEnd w:id="334"/>
      <w:bookmarkEnd w:id="335"/>
    </w:p>
    <w:p w14:paraId="1C01A703" w14:textId="77777777" w:rsidR="00BC7DDA" w:rsidRPr="00BD6C5F" w:rsidRDefault="009B03E9" w:rsidP="00B71FC0">
      <w:pPr>
        <w:pStyle w:val="AppendixText1"/>
        <w:numPr>
          <w:ilvl w:val="0"/>
          <w:numId w:val="143"/>
        </w:numPr>
      </w:pPr>
      <w:r w:rsidRPr="002B3242">
        <w:t>Security</w:t>
      </w:r>
      <w:r w:rsidRPr="00BD6C5F">
        <w:t xml:space="preserve"> Classification of Information</w:t>
      </w:r>
    </w:p>
    <w:p w14:paraId="0670D6AA" w14:textId="77777777" w:rsidR="00BC7DDA" w:rsidRPr="00BD6C5F" w:rsidRDefault="009B03E9" w:rsidP="00247692">
      <w:pPr>
        <w:pStyle w:val="AppendixText2"/>
        <w:keepNext/>
      </w:pPr>
      <w:r w:rsidRPr="00BD6C5F">
        <w:t>If the provision of the Services requires the Supplier to Process Authority Data which is classified as:</w:t>
      </w:r>
    </w:p>
    <w:p w14:paraId="31E7F08E" w14:textId="36372650" w:rsidR="00BC7DDA" w:rsidRPr="00BD6C5F" w:rsidRDefault="009B03E9" w:rsidP="00030632">
      <w:pPr>
        <w:pStyle w:val="AppendixText3"/>
      </w:pPr>
      <w:r w:rsidRPr="00BD6C5F">
        <w:t>OFFICIAL-SENSITIVE, the Supplier shall implement such additional measures as agreed with the Authority from time to time in order to ensure that such information is safeguarded in accordance with the applicable Standards; and/or</w:t>
      </w:r>
    </w:p>
    <w:p w14:paraId="2A04454A" w14:textId="7CC5946A" w:rsidR="00BC7DDA" w:rsidRPr="00BD6C5F" w:rsidRDefault="009B03E9" w:rsidP="00030632">
      <w:pPr>
        <w:pStyle w:val="AppendixText3"/>
      </w:pPr>
      <w:r w:rsidRPr="00BD6C5F">
        <w:t>SECRET or TOP SECRET, the Supplier shall only do so where it has notified the Authority prior to receipt of such Authority Data and the Supplier shall implement additional measures as agreed with the Authority from time to time in order to ensure that such information is safeguarded in accordance with the applicable Standards.</w:t>
      </w:r>
    </w:p>
    <w:p w14:paraId="00E2E939" w14:textId="77777777" w:rsidR="00BC7DDA" w:rsidRPr="00BD6C5F" w:rsidRDefault="009B03E9" w:rsidP="00030632">
      <w:pPr>
        <w:pStyle w:val="AppendixText1"/>
      </w:pPr>
      <w:r w:rsidRPr="00BD6C5F">
        <w:t>End User Devices</w:t>
      </w:r>
    </w:p>
    <w:p w14:paraId="1C19F22C" w14:textId="7E5FAAF0" w:rsidR="00BC7DDA" w:rsidRPr="00BD6C5F" w:rsidRDefault="009B03E9" w:rsidP="00247692">
      <w:pPr>
        <w:pStyle w:val="AppendixText2"/>
        <w:keepNext/>
      </w:pPr>
      <w:r w:rsidRPr="00BD6C5F">
        <w:t xml:space="preserve">The </w:t>
      </w:r>
      <w:r w:rsidR="008A3E8F" w:rsidRPr="00BD6C5F">
        <w:t>Supplier must manage, and must ensure that all Sub-contractors manage, all end-user devices used by the Supplier on which Authority Data is Processed in accordance the following requirements</w:t>
      </w:r>
    </w:p>
    <w:p w14:paraId="041D457B" w14:textId="278C30A8" w:rsidR="008A3E8F" w:rsidRPr="00BD6C5F" w:rsidRDefault="008A3E8F" w:rsidP="00030632">
      <w:pPr>
        <w:pStyle w:val="AppendixText3"/>
      </w:pPr>
      <w:r w:rsidRPr="00BD6C5F">
        <w:t>the operating system and any applications that Process or have access to Authority Data must be in current support by the vendor, or the relevant community in the case of Open Source operating systems or applications;</w:t>
      </w:r>
    </w:p>
    <w:p w14:paraId="71FF2765" w14:textId="483369E8" w:rsidR="008A3E8F" w:rsidRPr="00BD6C5F" w:rsidRDefault="008A3E8F" w:rsidP="00030632">
      <w:pPr>
        <w:pStyle w:val="AppendixText3"/>
      </w:pPr>
      <w:r w:rsidRPr="00BD6C5F">
        <w:t>users must authenticate before gaining access;</w:t>
      </w:r>
    </w:p>
    <w:p w14:paraId="649731DE" w14:textId="7772D10E" w:rsidR="008A3E8F" w:rsidRPr="00BD6C5F" w:rsidRDefault="008A3E8F" w:rsidP="00030632">
      <w:pPr>
        <w:pStyle w:val="AppendixText3"/>
      </w:pPr>
      <w:r w:rsidRPr="00BD6C5F">
        <w:t>all Authority Data must be encrypted using an encryption tool agreed to by the Authority;</w:t>
      </w:r>
    </w:p>
    <w:p w14:paraId="17610C4F" w14:textId="0ACAF5E2" w:rsidR="008A3E8F" w:rsidRPr="00BD6C5F" w:rsidRDefault="008A3E8F" w:rsidP="00030632">
      <w:pPr>
        <w:pStyle w:val="AppendixText3"/>
      </w:pPr>
      <w:r w:rsidRPr="00BD6C5F">
        <w:t>the end-user device must lock and require any user to re-authenticate after a period of time that is proportionate to the risk environment, during which the end-user device is inactive;</w:t>
      </w:r>
    </w:p>
    <w:p w14:paraId="0121F371" w14:textId="274792E1" w:rsidR="008A3E8F" w:rsidRPr="00BD6C5F" w:rsidRDefault="008A3E8F" w:rsidP="00030632">
      <w:pPr>
        <w:pStyle w:val="AppendixText3"/>
      </w:pPr>
      <w:r w:rsidRPr="00BD6C5F">
        <w:t>the end-user device must be managed in a way that allows for the application of technical policies and controls over applications that have access to Authority Data;</w:t>
      </w:r>
    </w:p>
    <w:p w14:paraId="0E84E722" w14:textId="7FDA88EB" w:rsidR="008A3E8F" w:rsidRPr="00BD6C5F" w:rsidRDefault="008A3E8F" w:rsidP="00030632">
      <w:pPr>
        <w:pStyle w:val="AppendixText3"/>
      </w:pPr>
      <w:r w:rsidRPr="00BD6C5F">
        <w:t>the Suppler or Sub-contractor, as applicable, can, without physical access to the end-user device, remove or make inaccessible all Authority Data on the device and prevent any user or group of users from accessing the device;</w:t>
      </w:r>
    </w:p>
    <w:p w14:paraId="1BA3B5DB" w14:textId="14C2C2F3" w:rsidR="008A3E8F" w:rsidRPr="00BD6C5F" w:rsidRDefault="008A3E8F" w:rsidP="00030632">
      <w:pPr>
        <w:pStyle w:val="AppendixText3"/>
      </w:pPr>
      <w:r w:rsidRPr="00BD6C5F">
        <w:t>all end-user devices are within in the scope of any current Cyber Essentials Plus certificate</w:t>
      </w:r>
      <w:r w:rsidR="00EC5B80" w:rsidRPr="00BD6C5F">
        <w:t xml:space="preserve"> </w:t>
      </w:r>
      <w:r w:rsidRPr="00BD6C5F">
        <w:t>held by the Supplier, or any ISO/IEC 27001 (at least ISO/IEC 27001:2013) certification issued by a UKAS-approved certification body, where the scope of that certification includes the Services.</w:t>
      </w:r>
    </w:p>
    <w:p w14:paraId="79C2CAB1" w14:textId="154004D3" w:rsidR="008A3E8F" w:rsidRPr="00BD6C5F" w:rsidRDefault="00E5717A" w:rsidP="00030632">
      <w:pPr>
        <w:pStyle w:val="AppendixText2"/>
      </w:pPr>
      <w:r w:rsidRPr="00BD6C5F">
        <w:lastRenderedPageBreak/>
        <w:t xml:space="preserve">The Supplier must comply, and ensure that all Sub-contractors comply, with the recommendations in NCSC Device Guidance, as updated, amended or replaced from time to time, as if those recommendations were incorporated as specific obligations under this </w:t>
      </w:r>
      <w:r w:rsidR="00DE54CD" w:rsidRPr="00BD6C5F">
        <w:t>Contract</w:t>
      </w:r>
      <w:r w:rsidRPr="00BD6C5F">
        <w:t>.</w:t>
      </w:r>
    </w:p>
    <w:p w14:paraId="2A6C39E2" w14:textId="3E5FEA89" w:rsidR="00BC7DDA" w:rsidRPr="00BD6C5F" w:rsidRDefault="00E5717A" w:rsidP="00030632">
      <w:pPr>
        <w:pStyle w:val="AppendixText2"/>
      </w:pPr>
      <w:r w:rsidRPr="00BD6C5F">
        <w:t xml:space="preserve">Where there any conflict between the requirements of this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Pr="00BD6C5F">
        <w:t xml:space="preserve"> (Security Management) and the requirements of the NCSC Device Guidance, the requirements of this Schedule will take precedence.</w:t>
      </w:r>
    </w:p>
    <w:p w14:paraId="14F5656A" w14:textId="37C50805" w:rsidR="00BC7DDA" w:rsidRPr="00BD6C5F" w:rsidRDefault="00C00317" w:rsidP="00030632">
      <w:pPr>
        <w:pStyle w:val="AppendixText1"/>
      </w:pPr>
      <w:r w:rsidRPr="00BD6C5F">
        <w:t xml:space="preserve">Encryption </w:t>
      </w:r>
    </w:p>
    <w:p w14:paraId="3F1E1286" w14:textId="1CD18195" w:rsidR="00E5717A" w:rsidRPr="00BD6C5F" w:rsidRDefault="009B03E9" w:rsidP="00247692">
      <w:pPr>
        <w:pStyle w:val="AppendixText2"/>
        <w:keepNext/>
      </w:pPr>
      <w:r w:rsidRPr="00BD6C5F">
        <w:t>The</w:t>
      </w:r>
      <w:r w:rsidR="00C00317" w:rsidRPr="00BD6C5F">
        <w:t xml:space="preserve"> </w:t>
      </w:r>
      <w:r w:rsidR="00E5717A" w:rsidRPr="00BD6C5F">
        <w:t>Supplier must ensure, and must ensure that all Sub-contractors ensure, that Authority Data is encrypted:</w:t>
      </w:r>
    </w:p>
    <w:p w14:paraId="7FB9816E" w14:textId="23552B0B" w:rsidR="00E5717A" w:rsidRPr="00BD6C5F" w:rsidRDefault="00E5717A" w:rsidP="00030632">
      <w:pPr>
        <w:pStyle w:val="AppendixText3"/>
      </w:pPr>
      <w:r w:rsidRPr="00BD6C5F">
        <w:t>when stored at any time when no operation is being performed on it; and</w:t>
      </w:r>
    </w:p>
    <w:p w14:paraId="0AA7689A" w14:textId="15610836" w:rsidR="00E5717A" w:rsidRPr="00BD6C5F" w:rsidRDefault="00E5717A" w:rsidP="00030632">
      <w:pPr>
        <w:pStyle w:val="AppendixText3"/>
      </w:pPr>
      <w:r w:rsidRPr="00BD6C5F">
        <w:t>when transmitted.</w:t>
      </w:r>
    </w:p>
    <w:p w14:paraId="5364975D" w14:textId="77777777" w:rsidR="00E5717A" w:rsidRPr="00BD6C5F" w:rsidRDefault="00E5717A" w:rsidP="00247692">
      <w:pPr>
        <w:pStyle w:val="AppendixText2"/>
        <w:keepNext/>
      </w:pPr>
      <w:r w:rsidRPr="00BD6C5F">
        <w:t>Where the Supplier, or a Sub-contractor, cannot encrypt Authority Data the Supplier must:</w:t>
      </w:r>
    </w:p>
    <w:p w14:paraId="550FA632" w14:textId="4684B078" w:rsidR="00E5717A" w:rsidRPr="00BD6C5F" w:rsidRDefault="00E5717A" w:rsidP="00030632">
      <w:pPr>
        <w:pStyle w:val="AppendixText3"/>
      </w:pPr>
      <w:r w:rsidRPr="00BD6C5F">
        <w:t>immediately inform the Authority of the subset or subsets of Authority Data it cannot encrypt and the circumstances in which and the reasons why it cannot do so;</w:t>
      </w:r>
    </w:p>
    <w:p w14:paraId="5467BD14" w14:textId="6B72D5EA" w:rsidR="00E5717A" w:rsidRPr="00BD6C5F" w:rsidRDefault="00E5717A" w:rsidP="00030632">
      <w:pPr>
        <w:pStyle w:val="AppendixText3"/>
      </w:pPr>
      <w:r w:rsidRPr="00BD6C5F">
        <w:t xml:space="preserve">provide details of the </w:t>
      </w:r>
      <w:r w:rsidR="00CC6B83" w:rsidRPr="00BD6C5F">
        <w:t>Protective Measures</w:t>
      </w:r>
      <w:r w:rsidRPr="00BD6C5F">
        <w:t xml:space="preserve"> the Supplier or Sub-contractor (as applicable) proposes to take to provide equivalent protection to the Authority as encryption; and</w:t>
      </w:r>
    </w:p>
    <w:p w14:paraId="2ACD9E34" w14:textId="2F85688C" w:rsidR="00E5717A" w:rsidRPr="00BD6C5F" w:rsidRDefault="00E5717A" w:rsidP="00030632">
      <w:pPr>
        <w:pStyle w:val="AppendixText3"/>
      </w:pPr>
      <w:r w:rsidRPr="00BD6C5F">
        <w:t xml:space="preserve">provide the Authority with such information relating to the Authority Data concerned, the reasons why that Authority Data cannot be encrypted and the proposed </w:t>
      </w:r>
      <w:r w:rsidR="00CC6B83" w:rsidRPr="00BD6C5F">
        <w:t>Protective Measures</w:t>
      </w:r>
      <w:r w:rsidRPr="00BD6C5F">
        <w:t xml:space="preserve"> as the Authority may require.</w:t>
      </w:r>
    </w:p>
    <w:p w14:paraId="2D3B06FC" w14:textId="6FCE364F" w:rsidR="00E5717A" w:rsidRPr="00BD6C5F" w:rsidRDefault="00E5717A" w:rsidP="00030632">
      <w:pPr>
        <w:pStyle w:val="AppendixText2"/>
      </w:pPr>
      <w:r w:rsidRPr="00BD6C5F">
        <w:t xml:space="preserve">The Authority, the Supplier and, where the Authority requires, any relevant Sub-contractor shall meet to agree appropriate </w:t>
      </w:r>
      <w:r w:rsidR="00CC6B83" w:rsidRPr="00BD6C5F">
        <w:t>Protective Measures</w:t>
      </w:r>
      <w:r w:rsidRPr="00BD6C5F">
        <w:t xml:space="preserve"> for the unencrypted Authority Data.</w:t>
      </w:r>
    </w:p>
    <w:p w14:paraId="4C87C012" w14:textId="77777777" w:rsidR="00E5717A" w:rsidRPr="00BD6C5F" w:rsidRDefault="00E5717A" w:rsidP="00247692">
      <w:pPr>
        <w:pStyle w:val="AppendixText2"/>
        <w:keepNext/>
      </w:pPr>
      <w:r w:rsidRPr="00BD6C5F">
        <w:t>Where the Authority and Supplier reach agreement, the Supplier must update the Security Management Plan to include:</w:t>
      </w:r>
    </w:p>
    <w:p w14:paraId="0EE05A2B" w14:textId="2C088420" w:rsidR="00E5717A" w:rsidRPr="00BD6C5F" w:rsidRDefault="00E5717A" w:rsidP="00030632">
      <w:pPr>
        <w:pStyle w:val="AppendixText3"/>
      </w:pPr>
      <w:r w:rsidRPr="00BD6C5F">
        <w:t>the subset or subsets of Authority Data not encrypted and the circumstances in which that will occur; and</w:t>
      </w:r>
    </w:p>
    <w:p w14:paraId="4FEFDF1D" w14:textId="5DC17B1E" w:rsidR="00E5717A" w:rsidRPr="00BD6C5F" w:rsidRDefault="00E5717A" w:rsidP="00030632">
      <w:pPr>
        <w:pStyle w:val="AppendixText3"/>
      </w:pPr>
      <w:r w:rsidRPr="00BD6C5F">
        <w:t xml:space="preserve">the </w:t>
      </w:r>
      <w:r w:rsidR="00CC6B83" w:rsidRPr="00BD6C5F">
        <w:t>P</w:t>
      </w:r>
      <w:r w:rsidRPr="00BD6C5F">
        <w:t xml:space="preserve">rotective </w:t>
      </w:r>
      <w:r w:rsidR="00CC6B83" w:rsidRPr="00BD6C5F">
        <w:t>M</w:t>
      </w:r>
      <w:r w:rsidRPr="00BD6C5F">
        <w:t>easure</w:t>
      </w:r>
      <w:r w:rsidR="00CC6B83" w:rsidRPr="00BD6C5F">
        <w:t>s</w:t>
      </w:r>
      <w:r w:rsidRPr="00BD6C5F">
        <w:t xml:space="preserve"> that the Supplier and/or Sub-contractor will put in please in respect of the unencrypted Authority Data.</w:t>
      </w:r>
    </w:p>
    <w:p w14:paraId="45423AA2" w14:textId="6AE5C4C3" w:rsidR="00BF4CE5" w:rsidRPr="006D1202" w:rsidRDefault="00BF4CE5" w:rsidP="00030632">
      <w:pPr>
        <w:pStyle w:val="AppendixText2"/>
      </w:pPr>
      <w:r w:rsidRPr="00BD6C5F">
        <w:t xml:space="preserve">Where the Authority and Supplier do not reach agreement within 40 Working Days of the date on which the Supplier first notified the Authority that it could not encrypt certain Authority Data, either party may refer the matter to </w:t>
      </w:r>
      <w:r w:rsidRPr="006D1202">
        <w:t>[</w:t>
      </w:r>
      <w:r w:rsidRPr="006D1202">
        <w:rPr>
          <w:highlight w:val="yellow"/>
        </w:rPr>
        <w:t>be determined in accordance with the Dispute Resolution Procedure]</w:t>
      </w:r>
      <w:r w:rsidR="006D1202">
        <w:t>.</w:t>
      </w:r>
    </w:p>
    <w:p w14:paraId="2E1F7116" w14:textId="77777777" w:rsidR="00BC7DDA" w:rsidRPr="00BD6C5F" w:rsidRDefault="009B03E9" w:rsidP="00030632">
      <w:pPr>
        <w:pStyle w:val="AppendixText1"/>
      </w:pPr>
      <w:r w:rsidRPr="00BD6C5F">
        <w:t>Personnel Security</w:t>
      </w:r>
    </w:p>
    <w:p w14:paraId="074227EF" w14:textId="1897DEB8" w:rsidR="00BC7DDA" w:rsidRPr="00BD6C5F" w:rsidRDefault="009B03E9" w:rsidP="00030632">
      <w:pPr>
        <w:pStyle w:val="AppendixText2"/>
      </w:pPr>
      <w:bookmarkStart w:id="337" w:name="_bookmark119"/>
      <w:bookmarkEnd w:id="337"/>
      <w:r w:rsidRPr="00BD6C5F">
        <w:t>All Supplier Staff shall be subject to a pre-employment check before they may participate in the provision and or management of the Services. Such pre- employment checks must include all pre-employment checks which are required by the HMG Baseline Personnel Security Standard including: verification of the individual</w:t>
      </w:r>
      <w:r w:rsidR="00A4555C" w:rsidRPr="00BD6C5F">
        <w:t>’</w:t>
      </w:r>
      <w:r w:rsidRPr="00BD6C5F">
        <w:t>s identity; verification of the individual</w:t>
      </w:r>
      <w:r w:rsidR="00A4555C" w:rsidRPr="00BD6C5F">
        <w:t>’</w:t>
      </w:r>
      <w:r w:rsidRPr="00BD6C5F">
        <w:t xml:space="preserve">s </w:t>
      </w:r>
      <w:r w:rsidRPr="00BD6C5F">
        <w:lastRenderedPageBreak/>
        <w:t>nationality and immigration status; and, verification of the individual</w:t>
      </w:r>
      <w:r w:rsidR="00A4555C" w:rsidRPr="00BD6C5F">
        <w:t>’</w:t>
      </w:r>
      <w:r w:rsidRPr="00BD6C5F">
        <w:t>s employment history; verification of the individual</w:t>
      </w:r>
      <w:r w:rsidR="00A4555C" w:rsidRPr="00BD6C5F">
        <w:t>’</w:t>
      </w:r>
      <w:r w:rsidRPr="00BD6C5F">
        <w:t>s criminal record.</w:t>
      </w:r>
    </w:p>
    <w:p w14:paraId="73DE0C41" w14:textId="1A087AFC" w:rsidR="00BC7DDA" w:rsidRPr="00BD6C5F" w:rsidRDefault="009B03E9" w:rsidP="00030632">
      <w:pPr>
        <w:pStyle w:val="AppendixText2"/>
      </w:pPr>
      <w:bookmarkStart w:id="338" w:name="_bookmark120"/>
      <w:bookmarkEnd w:id="338"/>
      <w:r w:rsidRPr="00BD6C5F">
        <w:t>The Authority and the Supplier shall review the roles and responsibilities of the Supplier Staff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w:t>
      </w:r>
      <w:r w:rsidR="00EC5B80" w:rsidRPr="00BD6C5F">
        <w:t xml:space="preserve"> </w:t>
      </w:r>
      <w:r w:rsidRPr="00BD6C5F">
        <w:t>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p>
    <w:p w14:paraId="28891971" w14:textId="35BC2C94" w:rsidR="00BC7DDA" w:rsidRPr="00BD6C5F" w:rsidRDefault="009B03E9" w:rsidP="00030632">
      <w:pPr>
        <w:pStyle w:val="AppendixText2"/>
      </w:pPr>
      <w:r w:rsidRPr="00BD6C5F">
        <w:t xml:space="preserve">The Supplier shall not permit Supplier Staff who fail the security checks required by Paragraphs </w:t>
      </w:r>
      <w:r w:rsidR="00E5643A" w:rsidRPr="00BD6C5F">
        <w:fldChar w:fldCharType="begin"/>
      </w:r>
      <w:r w:rsidR="00E5643A" w:rsidRPr="00BD6C5F">
        <w:instrText xml:space="preserve"> REF _Ref98409785 \n \h </w:instrText>
      </w:r>
      <w:r w:rsidR="00AD7DD0" w:rsidRPr="00BD6C5F">
        <w:instrText xml:space="preserve"> \* MERGEFORMAT </w:instrText>
      </w:r>
      <w:r w:rsidR="00E5643A" w:rsidRPr="00BD6C5F">
        <w:fldChar w:fldCharType="separate"/>
      </w:r>
      <w:r w:rsidR="009749A0">
        <w:t>4.1</w:t>
      </w:r>
      <w:r w:rsidR="00E5643A" w:rsidRPr="00BD6C5F">
        <w:fldChar w:fldCharType="end"/>
      </w:r>
      <w:r w:rsidRPr="00BD6C5F">
        <w:t xml:space="preserve"> and </w:t>
      </w:r>
      <w:r w:rsidR="00E5643A" w:rsidRPr="00BD6C5F">
        <w:fldChar w:fldCharType="begin"/>
      </w:r>
      <w:r w:rsidR="00E5643A" w:rsidRPr="00BD6C5F">
        <w:instrText xml:space="preserve"> REF _Ref98409792 \n \h </w:instrText>
      </w:r>
      <w:r w:rsidR="00AD7DD0" w:rsidRPr="00BD6C5F">
        <w:instrText xml:space="preserve"> \* MERGEFORMAT </w:instrText>
      </w:r>
      <w:r w:rsidR="00E5643A" w:rsidRPr="00BD6C5F">
        <w:fldChar w:fldCharType="separate"/>
      </w:r>
      <w:r w:rsidR="009749A0">
        <w:t>4.2</w:t>
      </w:r>
      <w:r w:rsidR="00E5643A" w:rsidRPr="00BD6C5F">
        <w:fldChar w:fldCharType="end"/>
      </w:r>
      <w:r w:rsidRPr="00BD6C5F">
        <w:t xml:space="preserve"> to be involved in the management and/or provision of the Services except where the Authority has expressly agreed in writing to the involvement of the named individual in the management and/or provision of the Services.</w:t>
      </w:r>
    </w:p>
    <w:p w14:paraId="2EA1D965" w14:textId="77777777" w:rsidR="00BC7DDA" w:rsidRPr="00BD6C5F" w:rsidRDefault="009B03E9" w:rsidP="00030632">
      <w:pPr>
        <w:pStyle w:val="AppendixText2"/>
      </w:pPr>
      <w:r w:rsidRPr="00BD6C5F">
        <w:t>The Supplier shall ensure that Supplier Staff are only granted such access to Authority Data as is necessary to enable the Supplier Staff to perform their role and to fulfil their responsibilities.</w:t>
      </w:r>
    </w:p>
    <w:p w14:paraId="121DCD43" w14:textId="77777777" w:rsidR="00BC7DDA" w:rsidRPr="00BD6C5F" w:rsidRDefault="009B03E9" w:rsidP="00030632">
      <w:pPr>
        <w:pStyle w:val="AppendixText2"/>
      </w:pPr>
      <w:r w:rsidRPr="00BD6C5F">
        <w:t>The Supplier shall ensure that Supplier Staff who no longer require access to the Authority Data (e.g. they cease to be employed by the Supplier or any of its Sub-contractors), have their rights to access the Authority Data revoked within 1 Working Day.</w:t>
      </w:r>
    </w:p>
    <w:p w14:paraId="1C584774" w14:textId="77777777" w:rsidR="00BC7DDA" w:rsidRPr="00BD6C5F" w:rsidRDefault="009B03E9" w:rsidP="00030632">
      <w:pPr>
        <w:pStyle w:val="AppendixText2"/>
      </w:pPr>
      <w:bookmarkStart w:id="339" w:name="_bookmark121"/>
      <w:bookmarkEnd w:id="339"/>
      <w:r w:rsidRPr="00BD6C5F">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p>
    <w:p w14:paraId="01B9E4E4" w14:textId="69DD9DA0" w:rsidR="00BC7DDA" w:rsidRPr="00BD6C5F" w:rsidRDefault="009B03E9" w:rsidP="00030632">
      <w:pPr>
        <w:pStyle w:val="AppendixText2"/>
      </w:pPr>
      <w:r w:rsidRPr="00BD6C5F">
        <w:t xml:space="preserve">The Supplier shall ensure that the training provided to Supplier Staff under </w:t>
      </w:r>
      <w:r w:rsidR="00694490">
        <w:t>P</w:t>
      </w:r>
      <w:r w:rsidR="00694490" w:rsidRPr="00BD6C5F">
        <w:t xml:space="preserve">aragraph </w:t>
      </w:r>
      <w:r w:rsidR="00E5643A" w:rsidRPr="00BD6C5F">
        <w:fldChar w:fldCharType="begin"/>
      </w:r>
      <w:r w:rsidR="00E5643A" w:rsidRPr="00BD6C5F">
        <w:instrText xml:space="preserve"> REF _Ref98409801 \n \h </w:instrText>
      </w:r>
      <w:r w:rsidR="00AD7DD0" w:rsidRPr="00BD6C5F">
        <w:instrText xml:space="preserve"> \* MERGEFORMAT </w:instrText>
      </w:r>
      <w:r w:rsidR="00E5643A" w:rsidRPr="00BD6C5F">
        <w:fldChar w:fldCharType="separate"/>
      </w:r>
      <w:r w:rsidR="009749A0">
        <w:t>4.6</w:t>
      </w:r>
      <w:r w:rsidR="00E5643A" w:rsidRPr="00BD6C5F">
        <w:fldChar w:fldCharType="end"/>
      </w:r>
      <w:r w:rsidRPr="00BD6C5F">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w:t>
      </w:r>
      <w:r w:rsidR="00A4555C" w:rsidRPr="00BD6C5F">
        <w:t>“</w:t>
      </w:r>
      <w:r w:rsidRPr="00BD6C5F">
        <w:rPr>
          <w:b/>
          <w:bCs/>
        </w:rPr>
        <w:t>phishing</w:t>
      </w:r>
      <w:r w:rsidR="00A4555C" w:rsidRPr="00BD6C5F">
        <w:t>”</w:t>
      </w:r>
      <w:r w:rsidRPr="00BD6C5F">
        <w:t>).</w:t>
      </w:r>
    </w:p>
    <w:p w14:paraId="538EB7B3" w14:textId="77777777" w:rsidR="00BC7DDA" w:rsidRPr="00BD6C5F" w:rsidRDefault="009B03E9" w:rsidP="00030632">
      <w:pPr>
        <w:pStyle w:val="AppendixText1"/>
      </w:pPr>
      <w:r w:rsidRPr="00BD6C5F">
        <w:t>Identity, Authentication and Access Control</w:t>
      </w:r>
    </w:p>
    <w:p w14:paraId="252A22B3" w14:textId="77777777" w:rsidR="00BC7DDA" w:rsidRPr="00BD6C5F" w:rsidRDefault="009B03E9" w:rsidP="00247692">
      <w:pPr>
        <w:pStyle w:val="AppendixText2"/>
        <w:keepNext/>
      </w:pPr>
      <w:r w:rsidRPr="00BD6C5F">
        <w:t>The Supplier shall operate an access control regime to ensure:</w:t>
      </w:r>
    </w:p>
    <w:p w14:paraId="5C82013F" w14:textId="629D1047" w:rsidR="00BC7DDA" w:rsidRPr="00BD6C5F" w:rsidRDefault="009B03E9" w:rsidP="00030632">
      <w:pPr>
        <w:pStyle w:val="AppendixText3"/>
      </w:pPr>
      <w:r w:rsidRPr="00BD6C5F">
        <w:t>all users and administrators of the Supplier System are uniquely identified and authenticated when accessing or administering the Services; and</w:t>
      </w:r>
    </w:p>
    <w:p w14:paraId="0276AE06" w14:textId="3E866097" w:rsidR="00BC7DDA" w:rsidRPr="00BD6C5F" w:rsidRDefault="009B03E9" w:rsidP="00030632">
      <w:pPr>
        <w:pStyle w:val="AppendixText3"/>
      </w:pPr>
      <w:r w:rsidRPr="00BD6C5F">
        <w:t>all persons who access the Sites are identified and authenticated before they are allowed access to the Sites.</w:t>
      </w:r>
    </w:p>
    <w:p w14:paraId="1DFED162" w14:textId="2A8D32EB" w:rsidR="00BC7DDA" w:rsidRPr="00BD6C5F" w:rsidRDefault="009B03E9" w:rsidP="00030632">
      <w:pPr>
        <w:pStyle w:val="AppendixText2"/>
      </w:pPr>
      <w:r w:rsidRPr="00BD6C5F">
        <w:t xml:space="preserve">The Supplier shall apply the </w:t>
      </w:r>
      <w:r w:rsidR="00A4555C" w:rsidRPr="00BD6C5F">
        <w:t>‘</w:t>
      </w:r>
      <w:r w:rsidRPr="00BD6C5F">
        <w:t>principle of least privilege</w:t>
      </w:r>
      <w:r w:rsidR="00A4555C" w:rsidRPr="00BD6C5F">
        <w:t>’</w:t>
      </w:r>
      <w:r w:rsidRPr="00BD6C5F">
        <w:t xml:space="preserve"> when allowing persons access to the Supplier System and Sites so that such persons are allowed access only to those parts of the Sites and the Supplier System they require.</w:t>
      </w:r>
    </w:p>
    <w:p w14:paraId="53B34EBB" w14:textId="77777777" w:rsidR="00BC7DDA" w:rsidRPr="00BD6C5F" w:rsidRDefault="009B03E9" w:rsidP="00030632">
      <w:pPr>
        <w:pStyle w:val="AppendixText2"/>
      </w:pPr>
      <w:r w:rsidRPr="00BD6C5F">
        <w:t>The Supplier shall retain records of access to the Sites and to the Supplier System and shall make such record available to the Authority on request.</w:t>
      </w:r>
    </w:p>
    <w:p w14:paraId="552836D7" w14:textId="40ED61D2" w:rsidR="00BC7DDA" w:rsidRPr="00BD6C5F" w:rsidRDefault="009B03E9" w:rsidP="00030632">
      <w:pPr>
        <w:pStyle w:val="AppendixText1"/>
      </w:pPr>
      <w:r w:rsidRPr="00BD6C5F">
        <w:lastRenderedPageBreak/>
        <w:t>Audit and Protective Monitoring</w:t>
      </w:r>
    </w:p>
    <w:p w14:paraId="02CCC4C7" w14:textId="18006A7D" w:rsidR="00BC7DDA" w:rsidRPr="00BD6C5F" w:rsidRDefault="009B03E9" w:rsidP="00030632">
      <w:pPr>
        <w:pStyle w:val="AppendixText2"/>
      </w:pPr>
      <w:r w:rsidRPr="00BD6C5F">
        <w:t xml:space="preserve">The Supplier shall collect audit records which relate to security events in </w:t>
      </w:r>
      <w:r w:rsidR="00CC6B83" w:rsidRPr="00BD6C5F">
        <w:t xml:space="preserve">the </w:t>
      </w:r>
      <w:r w:rsidRPr="00BD6C5F">
        <w:t>Core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Core Information Management System, to enable the identification of (without limitation) changing access trends, any unusual patterns of usage and/or accounts accessing higher than average amounts of Authority Data.</w:t>
      </w:r>
    </w:p>
    <w:p w14:paraId="04A5C4A3" w14:textId="4EC3849D" w:rsidR="00BC7DDA" w:rsidRPr="00BD6C5F" w:rsidRDefault="009B03E9" w:rsidP="00247692">
      <w:pPr>
        <w:pStyle w:val="AppendixText2"/>
        <w:keepNext/>
      </w:pPr>
      <w:r w:rsidRPr="00BD6C5F">
        <w:t xml:space="preserve">In addition to any requirement in </w:t>
      </w:r>
      <w:r w:rsidR="005E736B" w:rsidRPr="00BD6C5F">
        <w:t>Clause </w:t>
      </w:r>
      <w:r w:rsidRPr="00BD6C5F">
        <w:t>3</w:t>
      </w:r>
      <w:r w:rsidR="00CC6B83" w:rsidRPr="00BD6C5F">
        <w:t>6</w:t>
      </w:r>
      <w:r w:rsidRPr="00BD6C5F">
        <w:t>.3, the Supplier shall</w:t>
      </w:r>
    </w:p>
    <w:p w14:paraId="6675597C" w14:textId="443450CE" w:rsidR="00BC7DDA" w:rsidRPr="00BD6C5F" w:rsidRDefault="009B03E9" w:rsidP="00030632">
      <w:pPr>
        <w:pStyle w:val="AppendixText3"/>
      </w:pPr>
      <w:bookmarkStart w:id="340" w:name="_bookmark122"/>
      <w:bookmarkStart w:id="341" w:name="_Ref98409919"/>
      <w:bookmarkEnd w:id="340"/>
      <w:r w:rsidRPr="00BD6C5F">
        <w:t xml:space="preserve">Implement audit and monitoring of the Core Information Management System </w:t>
      </w:r>
      <w:r w:rsidRPr="00BD6C5F">
        <w:rPr>
          <w:rFonts w:asciiTheme="minorHAnsi" w:hAnsiTheme="minorHAnsi" w:cstheme="minorHAnsi"/>
        </w:rPr>
        <w:t>sufficient to comply with any applicable Relevant Requirements and to prevent</w:t>
      </w:r>
      <w:r w:rsidRPr="00BD6C5F">
        <w:t xml:space="preserve"> or detect any Prohibited Act;</w:t>
      </w:r>
      <w:bookmarkEnd w:id="341"/>
    </w:p>
    <w:p w14:paraId="3EF6EAB1" w14:textId="2315307C" w:rsidR="00BC7DDA" w:rsidRPr="00BD6C5F" w:rsidRDefault="009B03E9" w:rsidP="00030632">
      <w:pPr>
        <w:pStyle w:val="AppendixText3"/>
      </w:pPr>
      <w:r w:rsidRPr="00BD6C5F">
        <w:t xml:space="preserve">Keep sufficient records to demonstrate compliance with the requirements of </w:t>
      </w:r>
      <w:r w:rsidR="00694490">
        <w:t>P</w:t>
      </w:r>
      <w:r w:rsidR="00694490" w:rsidRPr="00BD6C5F">
        <w:t xml:space="preserve">aragraph </w:t>
      </w:r>
      <w:r w:rsidR="00E5643A" w:rsidRPr="00BD6C5F">
        <w:fldChar w:fldCharType="begin"/>
      </w:r>
      <w:r w:rsidR="00E5643A" w:rsidRPr="00BD6C5F">
        <w:instrText xml:space="preserve"> REF _Ref98409919 \w \h </w:instrText>
      </w:r>
      <w:r w:rsidR="00AD7DD0" w:rsidRPr="00BD6C5F">
        <w:instrText xml:space="preserve"> \* MERGEFORMAT </w:instrText>
      </w:r>
      <w:r w:rsidR="00E5643A" w:rsidRPr="00BD6C5F">
        <w:fldChar w:fldCharType="separate"/>
      </w:r>
      <w:r w:rsidR="009749A0">
        <w:t>6.2.1</w:t>
      </w:r>
      <w:r w:rsidR="00E5643A" w:rsidRPr="00BD6C5F">
        <w:fldChar w:fldCharType="end"/>
      </w:r>
      <w:r w:rsidRPr="00BD6C5F">
        <w:t xml:space="preserve"> to the Authority; and</w:t>
      </w:r>
    </w:p>
    <w:p w14:paraId="21964E23" w14:textId="52649310" w:rsidR="00BC7DDA" w:rsidRPr="00BD6C5F" w:rsidRDefault="009B03E9" w:rsidP="00030632">
      <w:pPr>
        <w:pStyle w:val="AppendixText3"/>
      </w:pPr>
      <w:r w:rsidRPr="00BD6C5F">
        <w:t>Make those records and any documents describing the audit and monitoring undertaken to the Authority on request.</w:t>
      </w:r>
    </w:p>
    <w:p w14:paraId="1E405348" w14:textId="77777777" w:rsidR="00BC7DDA" w:rsidRPr="00BD6C5F" w:rsidRDefault="009B03E9" w:rsidP="00030632">
      <w:pPr>
        <w:pStyle w:val="AppendixText2"/>
      </w:pPr>
      <w:r w:rsidRPr="00BD6C5F">
        <w:t>The Supplier and the Authority shall work together to establish any additional audit and monitoring requirements for the Core Information Management System.</w:t>
      </w:r>
    </w:p>
    <w:p w14:paraId="24C7BE56" w14:textId="77777777" w:rsidR="00BC7DDA" w:rsidRPr="00BD6C5F" w:rsidRDefault="009B03E9" w:rsidP="00030632">
      <w:pPr>
        <w:pStyle w:val="AppendixText2"/>
      </w:pPr>
      <w:r w:rsidRPr="00BD6C5F">
        <w:t>The retention periods for audit records and event logs must be agreed with the Authority and documented in the Security Management Plan.</w:t>
      </w:r>
    </w:p>
    <w:p w14:paraId="1DDDA02B" w14:textId="77777777" w:rsidR="00BC7DDA" w:rsidRPr="00BD6C5F" w:rsidRDefault="009B03E9" w:rsidP="00030632">
      <w:pPr>
        <w:pStyle w:val="AppendixText1"/>
      </w:pPr>
      <w:r w:rsidRPr="00BD6C5F">
        <w:t>Secure Architecture</w:t>
      </w:r>
    </w:p>
    <w:p w14:paraId="5A564A91" w14:textId="77777777" w:rsidR="00BC7DDA" w:rsidRPr="00BD6C5F" w:rsidRDefault="009B03E9" w:rsidP="00247692">
      <w:pPr>
        <w:pStyle w:val="AppendixText2"/>
        <w:keepNext/>
      </w:pPr>
      <w:r w:rsidRPr="00BD6C5F">
        <w:t>The Supplier shall design the Core Information Management System in accordance with:</w:t>
      </w:r>
    </w:p>
    <w:p w14:paraId="3B777850" w14:textId="745C1D1E" w:rsidR="00BC7DDA" w:rsidRPr="00BD6C5F" w:rsidRDefault="009B03E9" w:rsidP="00030632">
      <w:pPr>
        <w:pStyle w:val="AppendixText3"/>
      </w:pPr>
      <w:r w:rsidRPr="00BD6C5F">
        <w:t xml:space="preserve">the NCSC </w:t>
      </w:r>
      <w:r w:rsidR="00A4555C" w:rsidRPr="00BD6C5F">
        <w:t>“</w:t>
      </w:r>
      <w:r w:rsidRPr="00BD6C5F">
        <w:t>Security Design Principles for Digital Services</w:t>
      </w:r>
      <w:r w:rsidR="00A4555C" w:rsidRPr="00BD6C5F">
        <w:t>”</w:t>
      </w:r>
      <w:r w:rsidRPr="00BD6C5F">
        <w:t xml:space="preserve">, a copy of which can be found at: </w:t>
      </w:r>
      <w:hyperlink r:id="rId54" w:history="1">
        <w:r w:rsidR="00EC5B80" w:rsidRPr="00BD6C5F">
          <w:rPr>
            <w:rStyle w:val="Hyperlink"/>
          </w:rPr>
          <w:t>https://www.ncsc.gov.uk/guidance/security-design-principles-digital-services-main</w:t>
        </w:r>
      </w:hyperlink>
      <w:r w:rsidRPr="00BD6C5F">
        <w:t>;</w:t>
      </w:r>
    </w:p>
    <w:p w14:paraId="714F7485" w14:textId="06F0E294" w:rsidR="00BC7DDA" w:rsidRPr="00BD6C5F" w:rsidRDefault="009B03E9" w:rsidP="00030632">
      <w:pPr>
        <w:pStyle w:val="AppendixText3"/>
      </w:pPr>
      <w:r w:rsidRPr="00BD6C5F">
        <w:t xml:space="preserve">the NCSC </w:t>
      </w:r>
      <w:r w:rsidR="00A4555C" w:rsidRPr="00BD6C5F">
        <w:t>“</w:t>
      </w:r>
      <w:r w:rsidRPr="00BD6C5F">
        <w:t>Bulk Data Principles</w:t>
      </w:r>
      <w:r w:rsidR="00A4555C" w:rsidRPr="00BD6C5F">
        <w:t>”</w:t>
      </w:r>
      <w:r w:rsidRPr="00BD6C5F">
        <w:t xml:space="preserve">, a copy of which can be found at: </w:t>
      </w:r>
      <w:hyperlink r:id="rId55" w:history="1">
        <w:r w:rsidR="00EC5B80" w:rsidRPr="00BD6C5F">
          <w:rPr>
            <w:rStyle w:val="Hyperlink"/>
          </w:rPr>
          <w:t>https://www.ncsc.gov.uk/guidance/protecting-bulk-personal-data-main</w:t>
        </w:r>
      </w:hyperlink>
      <w:r w:rsidRPr="00BD6C5F">
        <w:t>; and</w:t>
      </w:r>
    </w:p>
    <w:p w14:paraId="1035FBE5" w14:textId="0A49008A" w:rsidR="00BC7DDA" w:rsidRPr="00BD6C5F" w:rsidRDefault="009B03E9" w:rsidP="00247692">
      <w:pPr>
        <w:pStyle w:val="AppendixText3"/>
        <w:keepNext/>
      </w:pPr>
      <w:r w:rsidRPr="00BD6C5F">
        <w:t xml:space="preserve">the NSCS </w:t>
      </w:r>
      <w:r w:rsidR="00A4555C" w:rsidRPr="00BD6C5F">
        <w:t>“</w:t>
      </w:r>
      <w:r w:rsidRPr="00BD6C5F">
        <w:t>Cloud Security Principles</w:t>
      </w:r>
      <w:r w:rsidR="00A4555C" w:rsidRPr="00BD6C5F">
        <w:t>”</w:t>
      </w:r>
      <w:r w:rsidRPr="00BD6C5F">
        <w:t xml:space="preserve">, a copy of which can be found at: </w:t>
      </w:r>
      <w:hyperlink r:id="rId56" w:history="1">
        <w:r w:rsidR="00EC5B80" w:rsidRPr="00BD6C5F">
          <w:rPr>
            <w:rStyle w:val="Hyperlink"/>
          </w:rPr>
          <w:t>https://www.ncsc.gov.uk/guidance/implementing-cloud-security-principles</w:t>
        </w:r>
      </w:hyperlink>
      <w:r w:rsidR="00EC5B80" w:rsidRPr="00BD6C5F">
        <w:t xml:space="preserve"> </w:t>
      </w:r>
      <w:r w:rsidRPr="00BD6C5F">
        <w:t>and which are summarised below:</w:t>
      </w:r>
    </w:p>
    <w:p w14:paraId="020D3120" w14:textId="2C0E56CD" w:rsidR="00BC7DDA" w:rsidRPr="00BD6C5F" w:rsidRDefault="00A4555C" w:rsidP="002B3242">
      <w:pPr>
        <w:pStyle w:val="Numbered111a"/>
        <w:rPr>
          <w:lang w:val="en-GB"/>
        </w:rPr>
      </w:pPr>
      <w:r w:rsidRPr="00BD6C5F">
        <w:rPr>
          <w:lang w:val="en-GB"/>
        </w:rPr>
        <w:t>“</w:t>
      </w:r>
      <w:r w:rsidR="009B03E9" w:rsidRPr="00BD6C5F">
        <w:rPr>
          <w:lang w:val="en-GB"/>
        </w:rPr>
        <w:t>Cloud Security Principle 1: data in transit protection</w:t>
      </w:r>
      <w:r w:rsidRPr="00BD6C5F">
        <w:rPr>
          <w:lang w:val="en-GB"/>
        </w:rPr>
        <w:t>”</w:t>
      </w:r>
      <w:r w:rsidR="009B03E9" w:rsidRPr="00BD6C5F">
        <w:rPr>
          <w:lang w:val="en-GB"/>
        </w:rPr>
        <w:t xml:space="preserve"> which, amongst other matters, requires that user data transiting networks should be adequately protected against tampering and eavesdropping;</w:t>
      </w:r>
    </w:p>
    <w:p w14:paraId="6F924CDA" w14:textId="703BE5C7" w:rsidR="00BC7DDA" w:rsidRPr="00BD6C5F" w:rsidRDefault="00A4555C" w:rsidP="00EE7519">
      <w:pPr>
        <w:pStyle w:val="Numbered111a"/>
        <w:rPr>
          <w:lang w:val="en-GB"/>
        </w:rPr>
      </w:pPr>
      <w:r w:rsidRPr="00BD6C5F">
        <w:rPr>
          <w:lang w:val="en-GB"/>
        </w:rPr>
        <w:t>“</w:t>
      </w:r>
      <w:r w:rsidR="009B03E9" w:rsidRPr="00BD6C5F">
        <w:rPr>
          <w:lang w:val="en-GB"/>
        </w:rPr>
        <w:t>Cloud Security Principle 2: asset protection and resilience</w:t>
      </w:r>
      <w:r w:rsidRPr="00BD6C5F">
        <w:rPr>
          <w:lang w:val="en-GB"/>
        </w:rPr>
        <w:t>”</w:t>
      </w:r>
      <w:r w:rsidR="009B03E9" w:rsidRPr="00BD6C5F">
        <w:rPr>
          <w:lang w:val="en-GB"/>
        </w:rPr>
        <w:t xml:space="preserve"> which, amongst other matters, requires that user data, and the assets storing or processing it, should be protected against physical tampering, loss, damage or seizure;</w:t>
      </w:r>
    </w:p>
    <w:p w14:paraId="5A9B460C" w14:textId="356CE182" w:rsidR="00BC7DDA" w:rsidRPr="00BD6C5F" w:rsidRDefault="00A4555C" w:rsidP="00EE7519">
      <w:pPr>
        <w:pStyle w:val="Numbered111a"/>
        <w:rPr>
          <w:lang w:val="en-GB"/>
        </w:rPr>
      </w:pPr>
      <w:r w:rsidRPr="00BD6C5F">
        <w:rPr>
          <w:lang w:val="en-GB"/>
        </w:rPr>
        <w:t>“</w:t>
      </w:r>
      <w:r w:rsidR="009B03E9" w:rsidRPr="00BD6C5F">
        <w:rPr>
          <w:lang w:val="en-GB"/>
        </w:rPr>
        <w:t>Cloud Security Principle 3: separation between users</w:t>
      </w:r>
      <w:r w:rsidRPr="00BD6C5F">
        <w:rPr>
          <w:lang w:val="en-GB"/>
        </w:rPr>
        <w:t>”</w:t>
      </w:r>
      <w:r w:rsidR="009B03E9" w:rsidRPr="00BD6C5F">
        <w:rPr>
          <w:lang w:val="en-GB"/>
        </w:rPr>
        <w:t xml:space="preserve"> which, amongst other matters, requires that a malicious or compromised user of the </w:t>
      </w:r>
      <w:r w:rsidR="009B03E9" w:rsidRPr="00BD6C5F">
        <w:rPr>
          <w:lang w:val="en-GB"/>
        </w:rPr>
        <w:lastRenderedPageBreak/>
        <w:t>service should not be able to affect the service or data of another;</w:t>
      </w:r>
    </w:p>
    <w:p w14:paraId="11DB2822" w14:textId="4C0DC265" w:rsidR="00BC7DDA" w:rsidRPr="00BD6C5F" w:rsidRDefault="00A4555C" w:rsidP="00EE7519">
      <w:pPr>
        <w:pStyle w:val="Numbered111a"/>
        <w:rPr>
          <w:lang w:val="en-GB"/>
        </w:rPr>
      </w:pPr>
      <w:r w:rsidRPr="00BD6C5F">
        <w:rPr>
          <w:lang w:val="en-GB"/>
        </w:rPr>
        <w:t>“</w:t>
      </w:r>
      <w:r w:rsidR="009B03E9" w:rsidRPr="00BD6C5F">
        <w:rPr>
          <w:lang w:val="en-GB"/>
        </w:rPr>
        <w:t>Cloud Security Principle 4: governance framework</w:t>
      </w:r>
      <w:r w:rsidRPr="00BD6C5F">
        <w:rPr>
          <w:lang w:val="en-GB"/>
        </w:rPr>
        <w:t>”</w:t>
      </w:r>
      <w:r w:rsidR="009B03E9" w:rsidRPr="00BD6C5F">
        <w:rPr>
          <w:lang w:val="en-GB"/>
        </w:rPr>
        <w:t xml:space="preserve"> which, amongst other matters, requires that the Supplier should have a security governance framework which coordinates and directs its management of the Services and information within it;</w:t>
      </w:r>
    </w:p>
    <w:p w14:paraId="1F9F57CD" w14:textId="524927C7" w:rsidR="00BC7DDA" w:rsidRPr="00BD6C5F" w:rsidRDefault="00A4555C" w:rsidP="00EE7519">
      <w:pPr>
        <w:pStyle w:val="Numbered111a"/>
        <w:rPr>
          <w:lang w:val="en-GB"/>
        </w:rPr>
      </w:pPr>
      <w:r w:rsidRPr="00BD6C5F">
        <w:rPr>
          <w:lang w:val="en-GB"/>
        </w:rPr>
        <w:t>“</w:t>
      </w:r>
      <w:r w:rsidR="009B03E9" w:rsidRPr="00BD6C5F">
        <w:rPr>
          <w:lang w:val="en-GB"/>
        </w:rPr>
        <w:t>Cloud Security Principle 5: operational security</w:t>
      </w:r>
      <w:r w:rsidRPr="00BD6C5F">
        <w:rPr>
          <w:lang w:val="en-GB"/>
        </w:rPr>
        <w:t>”</w:t>
      </w:r>
      <w:r w:rsidR="009B03E9" w:rsidRPr="00BD6C5F">
        <w:rPr>
          <w:lang w:val="en-GB"/>
        </w:rPr>
        <w:t xml:space="preserve"> which, amongst other matters, requires that the Services need to be operated and managed securely in order to impede, detect or prevent a Breach of Security;</w:t>
      </w:r>
    </w:p>
    <w:p w14:paraId="3EF816D5" w14:textId="0A9DF589" w:rsidR="00BC7DDA" w:rsidRPr="00BD6C5F" w:rsidRDefault="00A4555C" w:rsidP="00EE7519">
      <w:pPr>
        <w:pStyle w:val="Numbered111a"/>
        <w:rPr>
          <w:lang w:val="en-GB"/>
        </w:rPr>
      </w:pPr>
      <w:r w:rsidRPr="00BD6C5F">
        <w:rPr>
          <w:lang w:val="en-GB"/>
        </w:rPr>
        <w:t>“</w:t>
      </w:r>
      <w:r w:rsidR="009B03E9" w:rsidRPr="00BD6C5F">
        <w:rPr>
          <w:lang w:val="en-GB"/>
        </w:rPr>
        <w:t>Cloud Security Principle 6: personnel security</w:t>
      </w:r>
      <w:r w:rsidRPr="00BD6C5F">
        <w:rPr>
          <w:lang w:val="en-GB"/>
        </w:rPr>
        <w:t>”</w:t>
      </w:r>
      <w:r w:rsidR="009B03E9" w:rsidRPr="00BD6C5F">
        <w:rPr>
          <w:lang w:val="en-GB"/>
        </w:rPr>
        <w:t xml:space="preserve"> which, amongst other matters, requires that where Supplier Staff have access to Authority Data and/or the Authority System that those personnel be subject to appropriate security screening and regular security training;</w:t>
      </w:r>
    </w:p>
    <w:p w14:paraId="4E90CE88" w14:textId="3787E4E3" w:rsidR="00BC7DDA" w:rsidRPr="00BD6C5F" w:rsidRDefault="00A4555C" w:rsidP="00EE7519">
      <w:pPr>
        <w:pStyle w:val="Numbered111a"/>
        <w:rPr>
          <w:lang w:val="en-GB"/>
        </w:rPr>
      </w:pPr>
      <w:r w:rsidRPr="00BD6C5F">
        <w:rPr>
          <w:lang w:val="en-GB"/>
        </w:rPr>
        <w:t>“</w:t>
      </w:r>
      <w:r w:rsidR="009B03E9" w:rsidRPr="00BD6C5F">
        <w:rPr>
          <w:lang w:val="en-GB"/>
        </w:rPr>
        <w:t>Cloud Security Principle 7: secure development</w:t>
      </w:r>
      <w:r w:rsidRPr="00BD6C5F">
        <w:rPr>
          <w:lang w:val="en-GB"/>
        </w:rPr>
        <w:t>”</w:t>
      </w:r>
      <w:r w:rsidR="009B03E9" w:rsidRPr="00BD6C5F">
        <w:rPr>
          <w:lang w:val="en-GB"/>
        </w:rPr>
        <w:t xml:space="preserve"> which, amongst other matters, requires that the Services be designed and developed to identify and mitigate threats to their security;</w:t>
      </w:r>
    </w:p>
    <w:p w14:paraId="2450197D" w14:textId="7929BB47" w:rsidR="00BC7DDA" w:rsidRPr="00BD6C5F" w:rsidRDefault="00A4555C" w:rsidP="00EE7519">
      <w:pPr>
        <w:pStyle w:val="Numbered111a"/>
        <w:rPr>
          <w:lang w:val="en-GB"/>
        </w:rPr>
      </w:pPr>
      <w:r w:rsidRPr="00BD6C5F">
        <w:rPr>
          <w:lang w:val="en-GB"/>
        </w:rPr>
        <w:t>“</w:t>
      </w:r>
      <w:r w:rsidR="009B03E9" w:rsidRPr="00BD6C5F">
        <w:rPr>
          <w:lang w:val="en-GB"/>
        </w:rPr>
        <w:t>Cloud Security Principle 8: supply chain security</w:t>
      </w:r>
      <w:r w:rsidRPr="00BD6C5F">
        <w:rPr>
          <w:lang w:val="en-GB"/>
        </w:rPr>
        <w:t>”</w:t>
      </w:r>
      <w:r w:rsidR="009B03E9" w:rsidRPr="00BD6C5F">
        <w:rPr>
          <w:lang w:val="en-GB"/>
        </w:rPr>
        <w:t xml:space="preserve"> which, amongst other matters, requires the Supplier to ensure that appropriate security controls are in place with its Sub-contractors and other suppliers;</w:t>
      </w:r>
    </w:p>
    <w:p w14:paraId="2FEEA156" w14:textId="134A531E" w:rsidR="00BC7DDA" w:rsidRPr="00BD6C5F" w:rsidRDefault="00A4555C" w:rsidP="00EE7519">
      <w:pPr>
        <w:pStyle w:val="Numbered111a"/>
        <w:rPr>
          <w:lang w:val="en-GB"/>
        </w:rPr>
      </w:pPr>
      <w:r w:rsidRPr="00BD6C5F">
        <w:rPr>
          <w:lang w:val="en-GB"/>
        </w:rPr>
        <w:t>“</w:t>
      </w:r>
      <w:r w:rsidR="009B03E9" w:rsidRPr="00BD6C5F">
        <w:rPr>
          <w:lang w:val="en-GB"/>
        </w:rPr>
        <w:t>Cloud Security Principle 9: secure user management</w:t>
      </w:r>
      <w:r w:rsidRPr="00BD6C5F">
        <w:rPr>
          <w:lang w:val="en-GB"/>
        </w:rPr>
        <w:t>”</w:t>
      </w:r>
      <w:r w:rsidR="009B03E9" w:rsidRPr="00BD6C5F">
        <w:rPr>
          <w:lang w:val="en-GB"/>
        </w:rPr>
        <w:t xml:space="preserve"> which, amongst other matters, requires the Supplier to make the tools available for the Authority to securely manage the Authority</w:t>
      </w:r>
      <w:r w:rsidRPr="00BD6C5F">
        <w:rPr>
          <w:lang w:val="en-GB"/>
        </w:rPr>
        <w:t>’</w:t>
      </w:r>
      <w:r w:rsidR="009B03E9" w:rsidRPr="00BD6C5F">
        <w:rPr>
          <w:lang w:val="en-GB"/>
        </w:rPr>
        <w:t>s use of the Service;</w:t>
      </w:r>
    </w:p>
    <w:p w14:paraId="70B01A4F" w14:textId="0F6CF861" w:rsidR="00BC7DDA" w:rsidRPr="00BD6C5F" w:rsidRDefault="00A4555C" w:rsidP="00EE7519">
      <w:pPr>
        <w:pStyle w:val="Numbered111a"/>
        <w:rPr>
          <w:lang w:val="en-GB"/>
        </w:rPr>
      </w:pPr>
      <w:r w:rsidRPr="00BD6C5F">
        <w:rPr>
          <w:lang w:val="en-GB"/>
        </w:rPr>
        <w:t>“</w:t>
      </w:r>
      <w:r w:rsidR="009B03E9" w:rsidRPr="00BD6C5F">
        <w:rPr>
          <w:lang w:val="en-GB"/>
        </w:rPr>
        <w:t>Cloud Security Principle 10: identity and authentication</w:t>
      </w:r>
      <w:r w:rsidRPr="00BD6C5F">
        <w:rPr>
          <w:lang w:val="en-GB"/>
        </w:rPr>
        <w:t>”</w:t>
      </w:r>
      <w:r w:rsidR="009B03E9" w:rsidRPr="00BD6C5F">
        <w:rPr>
          <w:lang w:val="en-GB"/>
        </w:rPr>
        <w:t xml:space="preserve"> which, amongst other matters, requires the Supplier to implement appropriate controls in order to ensure that access to Service interfaces is constrained to authenticated and authorised individuals;</w:t>
      </w:r>
    </w:p>
    <w:p w14:paraId="2EEE4023" w14:textId="58744CA6" w:rsidR="00BC7DDA" w:rsidRPr="00BD6C5F" w:rsidRDefault="00A4555C" w:rsidP="00EE7519">
      <w:pPr>
        <w:pStyle w:val="Numbered111a"/>
        <w:rPr>
          <w:lang w:val="en-GB"/>
        </w:rPr>
      </w:pPr>
      <w:r w:rsidRPr="00BD6C5F">
        <w:rPr>
          <w:lang w:val="en-GB"/>
        </w:rPr>
        <w:t>“</w:t>
      </w:r>
      <w:r w:rsidR="009B03E9" w:rsidRPr="00BD6C5F">
        <w:rPr>
          <w:lang w:val="en-GB"/>
        </w:rPr>
        <w:t>Cloud Security Principle 11: external interface protection</w:t>
      </w:r>
      <w:r w:rsidRPr="00BD6C5F">
        <w:rPr>
          <w:lang w:val="en-GB"/>
        </w:rPr>
        <w:t>”</w:t>
      </w:r>
      <w:r w:rsidR="009B03E9" w:rsidRPr="00BD6C5F">
        <w:rPr>
          <w:lang w:val="en-GB"/>
        </w:rPr>
        <w:t xml:space="preserve"> which, amongst other matters, requires that all external or less trusted interfaces with the Services should be identified and appropriately defended;</w:t>
      </w:r>
    </w:p>
    <w:p w14:paraId="1BEEAFC8" w14:textId="44EAEDFE" w:rsidR="00BC7DDA" w:rsidRPr="00BD6C5F" w:rsidRDefault="00A4555C" w:rsidP="00EE7519">
      <w:pPr>
        <w:pStyle w:val="Numbered111a"/>
        <w:rPr>
          <w:lang w:val="en-GB"/>
        </w:rPr>
      </w:pPr>
      <w:r w:rsidRPr="00BD6C5F">
        <w:rPr>
          <w:lang w:val="en-GB"/>
        </w:rPr>
        <w:t>“</w:t>
      </w:r>
      <w:r w:rsidR="009B03E9" w:rsidRPr="00BD6C5F">
        <w:rPr>
          <w:lang w:val="en-GB"/>
        </w:rPr>
        <w:t>Cloud Security Principle 12: secure service administration</w:t>
      </w:r>
      <w:r w:rsidRPr="00BD6C5F">
        <w:rPr>
          <w:lang w:val="en-GB"/>
        </w:rPr>
        <w:t>”</w:t>
      </w:r>
      <w:r w:rsidR="009B03E9" w:rsidRPr="00BD6C5F">
        <w:rPr>
          <w:lang w:val="en-GB"/>
        </w:rPr>
        <w:t xml:space="preserve"> which, amongst other matters, requires that any IT system which is used for administration of a cloud service will have highly privileged access to that service;</w:t>
      </w:r>
    </w:p>
    <w:p w14:paraId="2EDA4C2C" w14:textId="0E066B6C" w:rsidR="00BC7DDA" w:rsidRPr="00BD6C5F" w:rsidRDefault="00A4555C" w:rsidP="00EE7519">
      <w:pPr>
        <w:pStyle w:val="Numbered111a"/>
        <w:rPr>
          <w:lang w:val="en-GB"/>
        </w:rPr>
      </w:pPr>
      <w:r w:rsidRPr="00BD6C5F">
        <w:rPr>
          <w:lang w:val="en-GB"/>
        </w:rPr>
        <w:t>“</w:t>
      </w:r>
      <w:r w:rsidR="009B03E9" w:rsidRPr="00BD6C5F">
        <w:rPr>
          <w:lang w:val="en-GB"/>
        </w:rPr>
        <w:t>Cloud Security Principle 13: audit information for users</w:t>
      </w:r>
      <w:r w:rsidRPr="00BD6C5F">
        <w:rPr>
          <w:lang w:val="en-GB"/>
        </w:rPr>
        <w:t>”</w:t>
      </w:r>
      <w:r w:rsidR="009B03E9" w:rsidRPr="00BD6C5F">
        <w:rPr>
          <w:lang w:val="en-GB"/>
        </w:rPr>
        <w:t xml:space="preserve"> which, amongst other matters, requires the Supplier to be able to provide the Authority with the audit records it needs to monitor access to the Service and the Authority Data held by the Supplier and/or its Sub-contractors;</w:t>
      </w:r>
    </w:p>
    <w:p w14:paraId="07A8F686" w14:textId="43A17C49" w:rsidR="00657C8E" w:rsidRPr="00BD6C5F" w:rsidRDefault="00A4555C" w:rsidP="00EE7519">
      <w:pPr>
        <w:pStyle w:val="Numbered111a"/>
        <w:rPr>
          <w:lang w:val="en-GB"/>
        </w:rPr>
      </w:pPr>
      <w:r w:rsidRPr="00BD6C5F">
        <w:rPr>
          <w:lang w:val="en-GB"/>
        </w:rPr>
        <w:t>“</w:t>
      </w:r>
      <w:r w:rsidR="009B03E9" w:rsidRPr="00BD6C5F">
        <w:rPr>
          <w:lang w:val="en-GB"/>
        </w:rPr>
        <w:t>Cloud Security Principle 14: secure use of the service</w:t>
      </w:r>
      <w:r w:rsidRPr="00BD6C5F">
        <w:rPr>
          <w:lang w:val="en-GB"/>
        </w:rPr>
        <w:t>”</w:t>
      </w:r>
      <w:r w:rsidR="009B03E9" w:rsidRPr="00BD6C5F">
        <w:rPr>
          <w:lang w:val="en-GB"/>
        </w:rPr>
        <w:t xml:space="preserve"> which, amongst other matters, requires the Supplier to educate Supplier Staff on the safe and secure use of the Information Management System.</w:t>
      </w:r>
    </w:p>
    <w:p w14:paraId="550AEBC2" w14:textId="0748DC1F" w:rsidR="00657C8E" w:rsidRPr="00BD6C5F" w:rsidRDefault="00657C8E">
      <w:pPr>
        <w:rPr>
          <w:rFonts w:asciiTheme="minorHAnsi" w:hAnsiTheme="minorHAnsi" w:cstheme="minorHAnsi"/>
          <w:szCs w:val="24"/>
        </w:rPr>
      </w:pPr>
      <w:r w:rsidRPr="00BD6C5F">
        <w:rPr>
          <w:rFonts w:asciiTheme="minorHAnsi" w:hAnsiTheme="minorHAnsi" w:cstheme="minorHAnsi"/>
          <w:szCs w:val="24"/>
        </w:rPr>
        <w:br w:type="page"/>
      </w:r>
    </w:p>
    <w:p w14:paraId="20A78A8C" w14:textId="06AFE8A1" w:rsidR="00BC7DDA" w:rsidRPr="00BD6C5F" w:rsidRDefault="00514876" w:rsidP="00EC5B80">
      <w:pPr>
        <w:pStyle w:val="Heading2"/>
      </w:pPr>
      <w:bookmarkStart w:id="342" w:name="_bookmark123"/>
      <w:bookmarkStart w:id="343" w:name="_Toc98332716"/>
      <w:bookmarkStart w:id="344" w:name="_Ref98332804"/>
      <w:bookmarkStart w:id="345" w:name="_Ref98340868"/>
      <w:bookmarkStart w:id="346" w:name="_Ref98340939"/>
      <w:bookmarkStart w:id="347" w:name="_Toc98852893"/>
      <w:bookmarkStart w:id="348" w:name="_Toc141720986"/>
      <w:bookmarkEnd w:id="342"/>
      <w:r w:rsidRPr="00BD6C5F">
        <w:lastRenderedPageBreak/>
        <w:t xml:space="preserve">Annex </w:t>
      </w:r>
      <w:bookmarkStart w:id="349" w:name="Schedule_5_Part_B_Annex_2"/>
      <w:r w:rsidRPr="00BD6C5F">
        <w:t>2</w:t>
      </w:r>
      <w:bookmarkEnd w:id="349"/>
      <w:r w:rsidRPr="00BD6C5F">
        <w:t>: Security Requirements for Sub-Contractors</w:t>
      </w:r>
      <w:bookmarkEnd w:id="343"/>
      <w:bookmarkEnd w:id="344"/>
      <w:bookmarkEnd w:id="345"/>
      <w:bookmarkEnd w:id="346"/>
      <w:bookmarkEnd w:id="347"/>
      <w:bookmarkEnd w:id="348"/>
    </w:p>
    <w:p w14:paraId="446898F1" w14:textId="77777777" w:rsidR="00BC7DDA" w:rsidRPr="002B3242" w:rsidRDefault="009B03E9" w:rsidP="00B71FC0">
      <w:pPr>
        <w:pStyle w:val="AppendixText1"/>
        <w:numPr>
          <w:ilvl w:val="0"/>
          <w:numId w:val="144"/>
        </w:numPr>
      </w:pPr>
      <w:r w:rsidRPr="002B3242">
        <w:t>Application of Annex</w:t>
      </w:r>
    </w:p>
    <w:p w14:paraId="7BC04138" w14:textId="77777777" w:rsidR="00BC7DDA" w:rsidRPr="00BD6C5F" w:rsidRDefault="009B03E9" w:rsidP="007F4C8A">
      <w:pPr>
        <w:pStyle w:val="AppendixText2"/>
      </w:pPr>
      <w:r w:rsidRPr="00BD6C5F">
        <w:t>This Annex applies to all Sub-contractors that Process Authority Data.</w:t>
      </w:r>
    </w:p>
    <w:p w14:paraId="19930239" w14:textId="77777777" w:rsidR="00BC7DDA" w:rsidRPr="00BD6C5F" w:rsidRDefault="009B03E9" w:rsidP="00247692">
      <w:pPr>
        <w:pStyle w:val="AppendixText2"/>
        <w:keepNext/>
      </w:pPr>
      <w:r w:rsidRPr="00BD6C5F">
        <w:t>The Supplier must:</w:t>
      </w:r>
    </w:p>
    <w:p w14:paraId="37C9085E" w14:textId="2C37F053" w:rsidR="00BC7DDA" w:rsidRPr="00BD6C5F" w:rsidRDefault="009B03E9" w:rsidP="007F4C8A">
      <w:pPr>
        <w:pStyle w:val="AppendixText3"/>
      </w:pPr>
      <w:r w:rsidRPr="00BD6C5F">
        <w:t>ensure that those Sub-contractors comply with the provisions of this Annex;</w:t>
      </w:r>
    </w:p>
    <w:p w14:paraId="3652D8D0" w14:textId="790B6CA7" w:rsidR="00BC7DDA" w:rsidRPr="00BD6C5F" w:rsidRDefault="009B03E9" w:rsidP="007F4C8A">
      <w:pPr>
        <w:pStyle w:val="AppendixText3"/>
      </w:pPr>
      <w:r w:rsidRPr="00BD6C5F">
        <w:t>keep sufficient records to demonstrate that compliance to the Authority; and</w:t>
      </w:r>
    </w:p>
    <w:p w14:paraId="23547529" w14:textId="510298EA" w:rsidR="00BC7DDA" w:rsidRPr="00BD6C5F" w:rsidRDefault="009B03E9" w:rsidP="007F4C8A">
      <w:pPr>
        <w:pStyle w:val="AppendixText3"/>
      </w:pPr>
      <w:r w:rsidRPr="00BD6C5F">
        <w:t>ensure that its Detailed Implementation Plan includes Deliverables, Milestones and Milestone Dates that relate to the design, implementation and management of any systems used by Sub-contractors to Process Authority Data.</w:t>
      </w:r>
    </w:p>
    <w:p w14:paraId="7A1F7850" w14:textId="77777777" w:rsidR="00BC7DDA" w:rsidRPr="00BD6C5F" w:rsidRDefault="009B03E9" w:rsidP="007F4C8A">
      <w:pPr>
        <w:pStyle w:val="AppendixText1"/>
      </w:pPr>
      <w:r w:rsidRPr="00BD6C5F">
        <w:t>Designing and managing secure solutions</w:t>
      </w:r>
    </w:p>
    <w:p w14:paraId="24578DC6" w14:textId="6154E25A" w:rsidR="00BC7DDA" w:rsidRPr="00BD6C5F" w:rsidRDefault="009B03E9" w:rsidP="007F4C8A">
      <w:pPr>
        <w:pStyle w:val="AppendixText2"/>
      </w:pPr>
      <w:r w:rsidRPr="00BD6C5F">
        <w:t>The Sub-contractor shall implement their solution(s) to mitigate the security risks in accordance with the NCSC</w:t>
      </w:r>
      <w:r w:rsidR="00A4555C" w:rsidRPr="00BD6C5F">
        <w:t>’</w:t>
      </w:r>
      <w:r w:rsidRPr="00BD6C5F">
        <w:t xml:space="preserve">s Cyber Security Design Principles </w:t>
      </w:r>
      <w:hyperlink r:id="rId57" w:history="1">
        <w:r w:rsidR="00EC5B80" w:rsidRPr="00BD6C5F">
          <w:rPr>
            <w:rStyle w:val="Hyperlink"/>
          </w:rPr>
          <w:t>https://www.ncsc.gov.uk/collection/cyber-security-design-principles</w:t>
        </w:r>
      </w:hyperlink>
      <w:r w:rsidRPr="00BD6C5F">
        <w:t>.</w:t>
      </w:r>
    </w:p>
    <w:p w14:paraId="4DE6B062" w14:textId="1570F5D8" w:rsidR="00BC7DDA" w:rsidRPr="00BD6C5F" w:rsidRDefault="009B03E9" w:rsidP="007F4C8A">
      <w:pPr>
        <w:pStyle w:val="AppendixText2"/>
      </w:pPr>
      <w:r w:rsidRPr="00BD6C5F">
        <w:t xml:space="preserve">The Sub-contractor must assess their systems against the NCSC Cloud Security Principles: </w:t>
      </w:r>
      <w:hyperlink r:id="rId58" w:history="1">
        <w:r w:rsidR="00953E45" w:rsidRPr="00BD6C5F">
          <w:rPr>
            <w:rStyle w:val="Hyperlink"/>
          </w:rPr>
          <w:t>https://www.ncsc.gov.uk/collection/cloud-security?curPage=/collection/cloud-security/implementing-the-cloud-security-principles</w:t>
        </w:r>
      </w:hyperlink>
      <w:r w:rsidR="00953E45" w:rsidRPr="00BD6C5F">
        <w:t xml:space="preserve"> </w:t>
      </w:r>
      <w:r w:rsidRPr="00BD6C5F">
        <w:t>at their own cost and expense to demonstrate that the people, process, technical and physical controls have been delivered in an effective way. The Sub-contractor must document that assessment and make that documentation available to the Authority on the Authority</w:t>
      </w:r>
      <w:r w:rsidR="00A4555C" w:rsidRPr="00BD6C5F">
        <w:t>’</w:t>
      </w:r>
      <w:r w:rsidRPr="00BD6C5F">
        <w:t>s request.</w:t>
      </w:r>
    </w:p>
    <w:p w14:paraId="26097612" w14:textId="77777777" w:rsidR="00BC7DDA" w:rsidRPr="00BD6C5F" w:rsidRDefault="009B03E9" w:rsidP="007F4C8A">
      <w:pPr>
        <w:pStyle w:val="AppendixText1"/>
      </w:pPr>
      <w:r w:rsidRPr="00BD6C5F">
        <w:t>Data Processing, Storage, Management and Destruction</w:t>
      </w:r>
    </w:p>
    <w:p w14:paraId="54035B8B" w14:textId="6BB1283D" w:rsidR="00BC7DDA" w:rsidRPr="00BD6C5F" w:rsidRDefault="009B03E9" w:rsidP="007F4C8A">
      <w:pPr>
        <w:pStyle w:val="AppendixText2"/>
      </w:pPr>
      <w:r w:rsidRPr="00BD6C5F">
        <w:t>The Sub-contractor must not Process any Authority Data outside the UK. The Authority may permit the Sub-contractor to Process Authority Data outside the UK and may impose conditions on that permission, with which the Sub-contractor must comply. Any permission must be in writing to be effective.</w:t>
      </w:r>
    </w:p>
    <w:p w14:paraId="03EADCA0" w14:textId="77777777" w:rsidR="00AE015B" w:rsidRPr="00BD6C5F" w:rsidRDefault="009B03E9" w:rsidP="00247692">
      <w:pPr>
        <w:pStyle w:val="AppendixText2"/>
        <w:keepNext/>
      </w:pPr>
      <w:r w:rsidRPr="00BD6C5F">
        <w:t xml:space="preserve">The Sub-contractor </w:t>
      </w:r>
      <w:r w:rsidR="00AE015B" w:rsidRPr="00BD6C5F">
        <w:t>when requested to do so by the Authority:</w:t>
      </w:r>
    </w:p>
    <w:p w14:paraId="67929B8E" w14:textId="0647793B" w:rsidR="00AE015B" w:rsidRPr="00BD6C5F" w:rsidRDefault="00AE015B" w:rsidP="007F4C8A">
      <w:pPr>
        <w:pStyle w:val="AppendixText3"/>
      </w:pPr>
      <w:r w:rsidRPr="00BD6C5F">
        <w:t>securely destroy Authority Data only on Sites which are included within the scope of an existing certification of compliance with ISO/IEC 27001 (at least ISO/IEC 27001:2013);</w:t>
      </w:r>
    </w:p>
    <w:p w14:paraId="1BF1A808" w14:textId="7F02745E" w:rsidR="00AE015B" w:rsidRPr="00BD6C5F" w:rsidRDefault="00AE015B" w:rsidP="007F4C8A">
      <w:pPr>
        <w:pStyle w:val="AppendixText3"/>
      </w:pPr>
      <w:r w:rsidRPr="00BD6C5F">
        <w:t xml:space="preserve">satisfy the Authority that their data destruction/deletion practices comply with UK GDPR requirements and follows all relevant NCSC guidance; and </w:t>
      </w:r>
    </w:p>
    <w:p w14:paraId="26698C7B" w14:textId="1C37333C" w:rsidR="00AE015B" w:rsidRPr="00BD6C5F" w:rsidRDefault="00AE015B" w:rsidP="007F4C8A">
      <w:pPr>
        <w:pStyle w:val="AppendixText3"/>
      </w:pPr>
      <w:r w:rsidRPr="00BD6C5F">
        <w:t>maintain an asset register of all Authority supplied information, data and equipment to ensure Authority assets are returned and/or deleted.</w:t>
      </w:r>
    </w:p>
    <w:p w14:paraId="4AF5C9AF" w14:textId="77777777" w:rsidR="00BC7DDA" w:rsidRPr="00BD6C5F" w:rsidRDefault="009B03E9" w:rsidP="007F4C8A">
      <w:pPr>
        <w:pStyle w:val="AppendixText1"/>
      </w:pPr>
      <w:r w:rsidRPr="00BD6C5F">
        <w:t>Personnel Security</w:t>
      </w:r>
    </w:p>
    <w:p w14:paraId="167AED55" w14:textId="3162772E" w:rsidR="00BC7DDA" w:rsidRPr="00BD6C5F" w:rsidRDefault="009B03E9" w:rsidP="007F4C8A">
      <w:pPr>
        <w:pStyle w:val="AppendixText2"/>
      </w:pPr>
      <w:r w:rsidRPr="00BD6C5F">
        <w:t xml:space="preserve">The Sub-contractor must perform appropriate checks on their staff before they may participate in the provision and or management of the Services. Those checks must include all pre-employment checks required by the HMG Baseline Personnel Security Standard including: </w:t>
      </w:r>
      <w:r w:rsidRPr="00BD6C5F">
        <w:lastRenderedPageBreak/>
        <w:t>verification of the individual</w:t>
      </w:r>
      <w:r w:rsidR="00A4555C" w:rsidRPr="00BD6C5F">
        <w:t>’</w:t>
      </w:r>
      <w:r w:rsidRPr="00BD6C5F">
        <w:t>s identity; verification of the individual</w:t>
      </w:r>
      <w:r w:rsidR="00A4555C" w:rsidRPr="00BD6C5F">
        <w:t>’</w:t>
      </w:r>
      <w:r w:rsidRPr="00BD6C5F">
        <w:t>s nationality and immigration status;</w:t>
      </w:r>
      <w:r w:rsidR="00DB2677" w:rsidRPr="00BD6C5F">
        <w:t xml:space="preserve"> </w:t>
      </w:r>
      <w:r w:rsidRPr="00BD6C5F">
        <w:t>verification of the individual</w:t>
      </w:r>
      <w:r w:rsidR="00A4555C" w:rsidRPr="00BD6C5F">
        <w:t>’</w:t>
      </w:r>
      <w:r w:rsidRPr="00BD6C5F">
        <w:t>s employment history; and verification of the individual</w:t>
      </w:r>
      <w:r w:rsidR="00A4555C" w:rsidRPr="00BD6C5F">
        <w:t>’</w:t>
      </w:r>
      <w:r w:rsidRPr="00BD6C5F">
        <w:t xml:space="preserve">s criminal record. The HMG Baseline Personnel Security Standard is at </w:t>
      </w:r>
      <w:hyperlink r:id="rId59" w:history="1">
        <w:r w:rsidR="00953E45" w:rsidRPr="00BD6C5F">
          <w:rPr>
            <w:rStyle w:val="Hyperlink"/>
          </w:rPr>
          <w:t>https://www.gov.uk/government/publications/government-baseline-personnel-security-standard</w:t>
        </w:r>
      </w:hyperlink>
      <w:r w:rsidRPr="00BD6C5F">
        <w:t>.</w:t>
      </w:r>
    </w:p>
    <w:p w14:paraId="04EF9D24" w14:textId="06BC1B8C" w:rsidR="00BC7DDA" w:rsidRPr="00BD6C5F" w:rsidRDefault="009B03E9" w:rsidP="007F4C8A">
      <w:pPr>
        <w:pStyle w:val="AppendixText2"/>
      </w:pPr>
      <w:r w:rsidRPr="00BD6C5F">
        <w:t>The Sub-contractor must, if the Authority requires, at any time, ensure that one or more of the Sub-contractor</w:t>
      </w:r>
      <w:r w:rsidR="00A4555C" w:rsidRPr="00BD6C5F">
        <w:t>’</w:t>
      </w:r>
      <w:r w:rsidRPr="00BD6C5F">
        <w:t>s staff obtains Security Check clearance in order to Process Authority Data containing Personal Data above certain volumes specified by the Authority, or containing Special Category Personal Data.</w:t>
      </w:r>
    </w:p>
    <w:p w14:paraId="776C1796" w14:textId="77777777" w:rsidR="00BC7DDA" w:rsidRPr="00BD6C5F" w:rsidRDefault="009B03E9" w:rsidP="007F4C8A">
      <w:pPr>
        <w:pStyle w:val="AppendixText2"/>
      </w:pPr>
      <w:r w:rsidRPr="00BD6C5F">
        <w:t>Any Sub-contractor staff who will, when performing the Services, have access to a person under the age of 18 years must undergo Disclosure Scotland checks.</w:t>
      </w:r>
    </w:p>
    <w:p w14:paraId="08D1C776" w14:textId="77777777" w:rsidR="00BC7DDA" w:rsidRPr="00BD6C5F" w:rsidRDefault="009B03E9" w:rsidP="007F4C8A">
      <w:pPr>
        <w:pStyle w:val="AppendixText1"/>
      </w:pPr>
      <w:r w:rsidRPr="00BD6C5F">
        <w:t>End User Devices</w:t>
      </w:r>
    </w:p>
    <w:p w14:paraId="72DDB7FB" w14:textId="2F3E87C2" w:rsidR="00BC7DDA" w:rsidRPr="00BD6C5F" w:rsidRDefault="009B03E9" w:rsidP="00247692">
      <w:pPr>
        <w:pStyle w:val="AppendixText2"/>
        <w:keepNext/>
      </w:pPr>
      <w:r w:rsidRPr="00BD6C5F">
        <w:t xml:space="preserve">The </w:t>
      </w:r>
      <w:r w:rsidR="009D1BB4" w:rsidRPr="00BD6C5F">
        <w:t>Supplier must manage, and must ensure that all Sub-contractors manage, all end-user devices used by the Supplier on which Authority Data is Processed in accordance the following requirements:</w:t>
      </w:r>
    </w:p>
    <w:p w14:paraId="0A67D930" w14:textId="0CB54CA8" w:rsidR="009D1BB4" w:rsidRPr="00BD6C5F" w:rsidRDefault="009D1BB4" w:rsidP="007F4C8A">
      <w:pPr>
        <w:pStyle w:val="AppendixText3"/>
      </w:pPr>
      <w:r w:rsidRPr="00BD6C5F">
        <w:t>the operating system and any applications that Process or have access to Authority Data must be in current support by the vendor, or the relevant community in the case of Open Source operating systems or applications;</w:t>
      </w:r>
    </w:p>
    <w:p w14:paraId="4D03CA79" w14:textId="224A83ED" w:rsidR="009D1BB4" w:rsidRPr="00BD6C5F" w:rsidRDefault="009D1BB4" w:rsidP="007F4C8A">
      <w:pPr>
        <w:pStyle w:val="AppendixText3"/>
      </w:pPr>
      <w:r w:rsidRPr="00BD6C5F">
        <w:t>users must authenticate before gaining access;</w:t>
      </w:r>
    </w:p>
    <w:p w14:paraId="257B5B1A" w14:textId="1FB3EC19" w:rsidR="009D1BB4" w:rsidRPr="00BD6C5F" w:rsidRDefault="009D1BB4" w:rsidP="007F4C8A">
      <w:pPr>
        <w:pStyle w:val="AppendixText3"/>
      </w:pPr>
      <w:r w:rsidRPr="00BD6C5F">
        <w:t>all Authority Data must be encrypted using an encryption tool agreed to by the Authority;</w:t>
      </w:r>
    </w:p>
    <w:p w14:paraId="0862B171" w14:textId="54753C1E" w:rsidR="009D1BB4" w:rsidRPr="00BD6C5F" w:rsidRDefault="009D1BB4" w:rsidP="007F4C8A">
      <w:pPr>
        <w:pStyle w:val="AppendixText3"/>
      </w:pPr>
      <w:r w:rsidRPr="00BD6C5F">
        <w:t>the end-user device must lock and require any user to re-authenticate after a period of time that is proportionate to the risk environment, during which the end-user device is inactive;</w:t>
      </w:r>
    </w:p>
    <w:p w14:paraId="4D3DE9FB" w14:textId="30903E37" w:rsidR="009D1BB4" w:rsidRPr="00BD6C5F" w:rsidRDefault="009D1BB4" w:rsidP="007F4C8A">
      <w:pPr>
        <w:pStyle w:val="AppendixText3"/>
      </w:pPr>
      <w:r w:rsidRPr="00BD6C5F">
        <w:t>the end-user device must be managed in a way that allows for the application of technical policies and controls over applications that have access to Authority Data;</w:t>
      </w:r>
    </w:p>
    <w:p w14:paraId="5B462949" w14:textId="28AF8C5D" w:rsidR="009D1BB4" w:rsidRPr="00BD6C5F" w:rsidRDefault="009D1BB4" w:rsidP="007F4C8A">
      <w:pPr>
        <w:pStyle w:val="AppendixText3"/>
      </w:pPr>
      <w:r w:rsidRPr="00BD6C5F">
        <w:t>the Suppler or Sub-contractor, as applicable, can, without physical access to the end-user device, remove or make inaccessible all Authority Data on the device and prevent any user or group of users from accessing the device;</w:t>
      </w:r>
      <w:r w:rsidR="00877E26" w:rsidRPr="00BD6C5F">
        <w:t xml:space="preserve"> and</w:t>
      </w:r>
    </w:p>
    <w:p w14:paraId="2DAAACF6" w14:textId="71A89117" w:rsidR="009D1BB4" w:rsidRPr="00BD6C5F" w:rsidRDefault="009D1BB4" w:rsidP="007F4C8A">
      <w:pPr>
        <w:pStyle w:val="AppendixText3"/>
      </w:pPr>
      <w:r w:rsidRPr="00BD6C5F">
        <w:t>all end-user devices are within in the scope of any current Cyber Essentials Plus certificate held by the Supplier, or any ISO/IEC 27001 (at least ISO/IEC 27001:2013) certification issued by a UKAS-approved certification body, where the scope of that certification includes the Services.</w:t>
      </w:r>
    </w:p>
    <w:p w14:paraId="448E6BA5" w14:textId="3CEB483C" w:rsidR="009D1BB4" w:rsidRPr="00BD6C5F" w:rsidRDefault="009D1BB4" w:rsidP="007F4C8A">
      <w:pPr>
        <w:pStyle w:val="AppendixText2"/>
      </w:pPr>
      <w:r w:rsidRPr="00BD6C5F">
        <w:t xml:space="preserve">The Supplier must comply, and ensure that all Sub-contractors comply, with the recommendations in NCSC Device Guidance, as updated, amended or replaced from time to time, as if those recommendations were incorporated as specific obligations under this </w:t>
      </w:r>
      <w:r w:rsidR="00DE54CD" w:rsidRPr="00BD6C5F">
        <w:t>Contract</w:t>
      </w:r>
      <w:r w:rsidRPr="00BD6C5F">
        <w:t>.</w:t>
      </w:r>
    </w:p>
    <w:p w14:paraId="3EE80847" w14:textId="4DCE33F6" w:rsidR="00BC7DDA" w:rsidRPr="00BD6C5F" w:rsidRDefault="009D1BB4" w:rsidP="007F4C8A">
      <w:pPr>
        <w:pStyle w:val="AppendixText2"/>
      </w:pPr>
      <w:r w:rsidRPr="00BD6C5F">
        <w:t xml:space="preserve">Where there any conflict between the requirements of this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Pr="00BD6C5F">
        <w:t xml:space="preserve"> (</w:t>
      </w:r>
      <w:r w:rsidRPr="00BD6C5F">
        <w:rPr>
          <w:i/>
          <w:iCs/>
        </w:rPr>
        <w:t>Security Management</w:t>
      </w:r>
      <w:r w:rsidRPr="00BD6C5F">
        <w:t>) and the requirements of the NCSC Device Guidance, the requirements of this Schedule will take precedence.</w:t>
      </w:r>
    </w:p>
    <w:p w14:paraId="66925B71" w14:textId="1502B025" w:rsidR="00BC7DDA" w:rsidRPr="00BD6C5F" w:rsidRDefault="009D7132" w:rsidP="007F4C8A">
      <w:pPr>
        <w:pStyle w:val="AppendixText1"/>
      </w:pPr>
      <w:r w:rsidRPr="00BD6C5F">
        <w:lastRenderedPageBreak/>
        <w:t>Encryption</w:t>
      </w:r>
    </w:p>
    <w:p w14:paraId="627358F3" w14:textId="77777777" w:rsidR="009D7132" w:rsidRPr="00BD6C5F" w:rsidRDefault="009D7132" w:rsidP="00247692">
      <w:pPr>
        <w:pStyle w:val="AppendixText2"/>
        <w:keepNext/>
      </w:pPr>
      <w:r w:rsidRPr="00BD6C5F">
        <w:t>The Supplier must ensure, and must ensure that all Sub-contractors ensure, that Authority Data is encrypted:</w:t>
      </w:r>
    </w:p>
    <w:p w14:paraId="7E283CA3" w14:textId="6AD3203B" w:rsidR="009D7132" w:rsidRPr="00BD6C5F" w:rsidRDefault="009D7132" w:rsidP="007F4C8A">
      <w:pPr>
        <w:pStyle w:val="AppendixText3"/>
      </w:pPr>
      <w:r w:rsidRPr="00BD6C5F">
        <w:t>when stored at any time when no operation is being performed on it; and</w:t>
      </w:r>
    </w:p>
    <w:p w14:paraId="68AB3BAA" w14:textId="40886175" w:rsidR="009D7132" w:rsidRPr="00BD6C5F" w:rsidRDefault="009D7132" w:rsidP="007F4C8A">
      <w:pPr>
        <w:pStyle w:val="AppendixText3"/>
      </w:pPr>
      <w:r w:rsidRPr="00BD6C5F">
        <w:t>when transmitted.</w:t>
      </w:r>
    </w:p>
    <w:p w14:paraId="0C1CCBBE" w14:textId="77777777" w:rsidR="009D7132" w:rsidRPr="00BD6C5F" w:rsidRDefault="009D7132" w:rsidP="00247692">
      <w:pPr>
        <w:pStyle w:val="AppendixText2"/>
        <w:keepNext/>
      </w:pPr>
      <w:r w:rsidRPr="00BD6C5F">
        <w:t>Where the Supplier, or a Sub-contractor, cannot encrypt Authority Data the Supplier must:</w:t>
      </w:r>
    </w:p>
    <w:p w14:paraId="47C0E97A" w14:textId="4B0FA03E" w:rsidR="009D7132" w:rsidRPr="00BD6C5F" w:rsidRDefault="009D7132" w:rsidP="007F4C8A">
      <w:pPr>
        <w:pStyle w:val="AppendixText3"/>
      </w:pPr>
      <w:r w:rsidRPr="00BD6C5F">
        <w:t>immediately inform the Authority of the subset or subsets of Authority Data it cannot encrypt and the circumstances in which and the reasons why it cannot do so;</w:t>
      </w:r>
    </w:p>
    <w:p w14:paraId="4EC9C2AA" w14:textId="31834317" w:rsidR="009D7132" w:rsidRPr="00BD6C5F" w:rsidRDefault="009D7132" w:rsidP="007F4C8A">
      <w:pPr>
        <w:pStyle w:val="AppendixText3"/>
      </w:pPr>
      <w:r w:rsidRPr="00BD6C5F">
        <w:t xml:space="preserve">provide details of the </w:t>
      </w:r>
      <w:r w:rsidR="00CC6B83" w:rsidRPr="00BD6C5F">
        <w:t>Protective Measures</w:t>
      </w:r>
      <w:r w:rsidRPr="00BD6C5F">
        <w:t xml:space="preserve"> the Supplier or Sub-contractor (as applicable) proposes to take to provide equivalent protection to the Authority as encryption; and</w:t>
      </w:r>
    </w:p>
    <w:p w14:paraId="2D3DC954" w14:textId="13B197A9" w:rsidR="009D7132" w:rsidRPr="00BD6C5F" w:rsidRDefault="009D7132" w:rsidP="007F4C8A">
      <w:pPr>
        <w:pStyle w:val="AppendixText3"/>
      </w:pPr>
      <w:r w:rsidRPr="00BD6C5F">
        <w:t xml:space="preserve">provide the Authority with such information relating to the Authority Data concerned, the reasons why that Authority Data cannot be encrypted and the proposed </w:t>
      </w:r>
      <w:r w:rsidR="00CC6B83" w:rsidRPr="00BD6C5F">
        <w:t>Protective Measures</w:t>
      </w:r>
      <w:r w:rsidRPr="00BD6C5F">
        <w:t xml:space="preserve"> as the Authority may require.</w:t>
      </w:r>
    </w:p>
    <w:p w14:paraId="36615FA0" w14:textId="30C7A1E1" w:rsidR="009D7132" w:rsidRPr="00BD6C5F" w:rsidRDefault="009D7132" w:rsidP="007F4C8A">
      <w:pPr>
        <w:pStyle w:val="AppendixText2"/>
      </w:pPr>
      <w:r w:rsidRPr="00BD6C5F">
        <w:t xml:space="preserve">The Authority, the Supplier and, where the Authority requires, any relevant Sub-contractor shall meet to agree appropriate </w:t>
      </w:r>
      <w:r w:rsidR="00CC6B83" w:rsidRPr="00BD6C5F">
        <w:t>Protective Measures</w:t>
      </w:r>
      <w:r w:rsidRPr="00BD6C5F">
        <w:t xml:space="preserve"> for the unencrypted Authority Data.</w:t>
      </w:r>
    </w:p>
    <w:p w14:paraId="509E5B3C" w14:textId="77777777" w:rsidR="009D7132" w:rsidRPr="00BD6C5F" w:rsidRDefault="009D7132" w:rsidP="00247692">
      <w:pPr>
        <w:pStyle w:val="AppendixText2"/>
        <w:keepNext/>
      </w:pPr>
      <w:r w:rsidRPr="00BD6C5F">
        <w:t>Where the Authority and Supplier reach agreement, the Supplier must update the Security Management Plan to include:</w:t>
      </w:r>
    </w:p>
    <w:p w14:paraId="661EEC07" w14:textId="1F13DAC1" w:rsidR="009D7132" w:rsidRPr="00BD6C5F" w:rsidRDefault="009D7132" w:rsidP="007F4C8A">
      <w:pPr>
        <w:pStyle w:val="AppendixText3"/>
      </w:pPr>
      <w:r w:rsidRPr="00BD6C5F">
        <w:t>the subset or subsets of Authority Data not encrypted and the circumstances in which that will occur; and</w:t>
      </w:r>
    </w:p>
    <w:p w14:paraId="4B51C393" w14:textId="57BBE5F8" w:rsidR="009D7132" w:rsidRPr="00BD6C5F" w:rsidRDefault="009D7132" w:rsidP="007F4C8A">
      <w:pPr>
        <w:pStyle w:val="AppendixText3"/>
      </w:pPr>
      <w:r w:rsidRPr="00BD6C5F">
        <w:t xml:space="preserve">the </w:t>
      </w:r>
      <w:r w:rsidR="00877E26" w:rsidRPr="00BD6C5F">
        <w:t>P</w:t>
      </w:r>
      <w:r w:rsidRPr="00BD6C5F">
        <w:t xml:space="preserve">rotective </w:t>
      </w:r>
      <w:r w:rsidR="00877E26" w:rsidRPr="00BD6C5F">
        <w:t>M</w:t>
      </w:r>
      <w:r w:rsidRPr="00BD6C5F">
        <w:t>easure</w:t>
      </w:r>
      <w:r w:rsidR="00877E26" w:rsidRPr="00BD6C5F">
        <w:t>s</w:t>
      </w:r>
      <w:r w:rsidRPr="00BD6C5F">
        <w:t xml:space="preserve"> that the Supplier and/or Sub-contractor will put in pl</w:t>
      </w:r>
      <w:r w:rsidR="00877E26" w:rsidRPr="00BD6C5F">
        <w:t>ac</w:t>
      </w:r>
      <w:r w:rsidRPr="00BD6C5F">
        <w:t>e in respect of the unencrypted Authority Data.</w:t>
      </w:r>
    </w:p>
    <w:p w14:paraId="1AC8C1FC" w14:textId="7804954E" w:rsidR="009D7132" w:rsidRPr="006D1202" w:rsidRDefault="009D7132" w:rsidP="007F4C8A">
      <w:pPr>
        <w:pStyle w:val="AppendixText2"/>
      </w:pPr>
      <w:r w:rsidRPr="00BD6C5F">
        <w:t xml:space="preserve">Where the Authority and Supplier do not reach agreement within 40 Working Days of the date on which the Supplier first notified the Authority that it could not encrypt certain Authority Data, either </w:t>
      </w:r>
      <w:r w:rsidR="00877E26" w:rsidRPr="00BD6C5F">
        <w:t>P</w:t>
      </w:r>
      <w:r w:rsidRPr="00BD6C5F">
        <w:t>arty may refer the matter to</w:t>
      </w:r>
      <w:r w:rsidRPr="006D1202">
        <w:t xml:space="preserve"> </w:t>
      </w:r>
      <w:r w:rsidRPr="006D1202">
        <w:rPr>
          <w:highlight w:val="yellow"/>
        </w:rPr>
        <w:t>[be determined in accordance with the Dispute Resolution Procedure]</w:t>
      </w:r>
      <w:r w:rsidRPr="006D1202">
        <w:t>.</w:t>
      </w:r>
    </w:p>
    <w:p w14:paraId="5C44B1F0" w14:textId="77777777" w:rsidR="00BC7DDA" w:rsidRPr="00BD6C5F" w:rsidRDefault="009B03E9" w:rsidP="007F4C8A">
      <w:pPr>
        <w:pStyle w:val="AppendixText1"/>
      </w:pPr>
      <w:r w:rsidRPr="00BD6C5F">
        <w:t>Patching and Vulnerability Scanning</w:t>
      </w:r>
    </w:p>
    <w:p w14:paraId="526B2C30" w14:textId="0728DB20" w:rsidR="00BC7DDA" w:rsidRPr="00BD6C5F" w:rsidRDefault="009B03E9" w:rsidP="007F4C8A">
      <w:pPr>
        <w:pStyle w:val="AppendixText2"/>
      </w:pPr>
      <w:r w:rsidRPr="00BD6C5F">
        <w:t xml:space="preserve">The Sub-contractor must proactively monitor </w:t>
      </w:r>
      <w:r w:rsidR="00877E26" w:rsidRPr="00BD6C5F">
        <w:t>S</w:t>
      </w:r>
      <w:r w:rsidRPr="00BD6C5F">
        <w:t xml:space="preserve">upplier </w:t>
      </w:r>
      <w:r w:rsidR="00877E26" w:rsidRPr="00BD6C5F">
        <w:t>V</w:t>
      </w:r>
      <w:r w:rsidRPr="00BD6C5F">
        <w:t xml:space="preserve">ulnerability </w:t>
      </w:r>
      <w:r w:rsidR="00877E26" w:rsidRPr="00BD6C5F">
        <w:t>W</w:t>
      </w:r>
      <w:r w:rsidRPr="00BD6C5F">
        <w:t>ebsites and ensure all necessary patches and upgrades are applied to maintain security, integrity and availability in accordance with the NCSC Cloud Security Principles.</w:t>
      </w:r>
    </w:p>
    <w:p w14:paraId="748B0BC5" w14:textId="77777777" w:rsidR="00BC7DDA" w:rsidRPr="00BD6C5F" w:rsidRDefault="009B03E9" w:rsidP="007F4C8A">
      <w:pPr>
        <w:pStyle w:val="AppendixText1"/>
      </w:pPr>
      <w:r w:rsidRPr="00BD6C5F">
        <w:t>Third Party Sub-contractors</w:t>
      </w:r>
    </w:p>
    <w:p w14:paraId="154F78B5" w14:textId="77777777" w:rsidR="00BC7DDA" w:rsidRPr="00BD6C5F" w:rsidRDefault="009B03E9" w:rsidP="007F4C8A">
      <w:pPr>
        <w:pStyle w:val="AppendixText2"/>
      </w:pPr>
      <w:r w:rsidRPr="00BD6C5F">
        <w:t>The Sub-contractor must not transmit or disseminate the Authority Data to any other person unless specifically authorised by the Authority. Such authorisation must be in writing to be effective and may be subject to conditions.</w:t>
      </w:r>
    </w:p>
    <w:p w14:paraId="24D68036" w14:textId="6FF262D3" w:rsidR="00657C8E" w:rsidRPr="00BD6C5F" w:rsidRDefault="009B03E9" w:rsidP="007F4C8A">
      <w:pPr>
        <w:pStyle w:val="AppendixText2"/>
      </w:pPr>
      <w:r w:rsidRPr="00BD6C5F">
        <w:t xml:space="preserve">The Sub-contractor must not, when performing any part of the Services, use any software to Process Authority Data where the licence terms of that software purport to grant the licensor </w:t>
      </w:r>
      <w:r w:rsidRPr="00BD6C5F">
        <w:lastRenderedPageBreak/>
        <w:t>rights to Process the Authority Data greater than those rights strictly necessary for the use of the software.</w:t>
      </w:r>
    </w:p>
    <w:p w14:paraId="2229D5DF" w14:textId="77777777" w:rsidR="00EC5B80" w:rsidRPr="00BD6C5F" w:rsidRDefault="00EC5B80">
      <w:pPr>
        <w:rPr>
          <w:rFonts w:asciiTheme="minorHAnsi" w:hAnsiTheme="minorHAnsi" w:cstheme="minorHAnsi"/>
          <w:szCs w:val="24"/>
        </w:rPr>
      </w:pPr>
    </w:p>
    <w:p w14:paraId="40C62AFE" w14:textId="2D43EEB8" w:rsidR="00657C8E" w:rsidRPr="00BD6C5F" w:rsidRDefault="00657C8E">
      <w:pPr>
        <w:rPr>
          <w:rFonts w:asciiTheme="minorHAnsi" w:hAnsiTheme="minorHAnsi" w:cstheme="minorHAnsi"/>
          <w:szCs w:val="24"/>
        </w:rPr>
      </w:pPr>
      <w:r w:rsidRPr="00BD6C5F">
        <w:rPr>
          <w:rFonts w:asciiTheme="minorHAnsi" w:hAnsiTheme="minorHAnsi" w:cstheme="minorHAnsi"/>
          <w:szCs w:val="24"/>
        </w:rPr>
        <w:br w:type="page"/>
      </w:r>
    </w:p>
    <w:p w14:paraId="2F938426" w14:textId="7559A872" w:rsidR="00BC7DDA" w:rsidRPr="00BD6C5F" w:rsidRDefault="00D017AD" w:rsidP="00B05B36">
      <w:pPr>
        <w:pStyle w:val="Heading2"/>
      </w:pPr>
      <w:bookmarkStart w:id="350" w:name="_bookmark124"/>
      <w:bookmarkStart w:id="351" w:name="_bookmark125"/>
      <w:bookmarkStart w:id="352" w:name="_Toc98332717"/>
      <w:bookmarkStart w:id="353" w:name="_Ref98340041"/>
      <w:bookmarkStart w:id="354" w:name="_Ref98340059"/>
      <w:bookmarkStart w:id="355" w:name="_Ref98340074"/>
      <w:bookmarkStart w:id="356" w:name="_Toc141720987"/>
      <w:bookmarkEnd w:id="350"/>
      <w:bookmarkEnd w:id="351"/>
      <w:r w:rsidRPr="003D4D92">
        <w:lastRenderedPageBreak/>
        <w:t xml:space="preserve">Annex </w:t>
      </w:r>
      <w:bookmarkStart w:id="357" w:name="Schedule_5_Part_B_Annex_3"/>
      <w:r w:rsidRPr="003D4D92">
        <w:t>3</w:t>
      </w:r>
      <w:bookmarkEnd w:id="357"/>
      <w:r w:rsidRPr="003D4D92">
        <w:t xml:space="preserve">: </w:t>
      </w:r>
      <w:bookmarkStart w:id="358" w:name="_Toc98852894"/>
      <w:r w:rsidRPr="003D4D92">
        <w:t>[Information Management System</w:t>
      </w:r>
      <w:bookmarkEnd w:id="352"/>
      <w:bookmarkEnd w:id="353"/>
      <w:bookmarkEnd w:id="354"/>
      <w:bookmarkEnd w:id="355"/>
      <w:bookmarkEnd w:id="358"/>
      <w:bookmarkEnd w:id="356"/>
    </w:p>
    <w:p w14:paraId="6F12E266" w14:textId="41056E95" w:rsidR="00BC7DDA" w:rsidRPr="00BD6C5F" w:rsidRDefault="00A455B2" w:rsidP="00EC5B80">
      <w:pPr>
        <w:pStyle w:val="BodyText"/>
        <w:spacing w:before="100" w:after="200"/>
        <w:rPr>
          <w:rFonts w:asciiTheme="minorHAnsi" w:hAnsiTheme="minorHAnsi" w:cstheme="minorHAnsi"/>
          <w:bCs/>
          <w:iCs/>
          <w:shd w:val="clear" w:color="auto" w:fill="FFFF00"/>
        </w:rPr>
      </w:pPr>
      <w:r w:rsidRPr="00BD6C5F">
        <w:rPr>
          <w:rFonts w:asciiTheme="minorHAnsi" w:hAnsiTheme="minorHAnsi" w:cstheme="minorHAnsi"/>
          <w:bCs/>
          <w:iCs/>
          <w:shd w:val="clear" w:color="auto" w:fill="FFFF00"/>
        </w:rPr>
        <w:t>[</w:t>
      </w:r>
      <w:r w:rsidRPr="0077211A">
        <w:rPr>
          <w:rFonts w:asciiTheme="minorHAnsi" w:hAnsiTheme="minorHAnsi" w:cstheme="minorHAnsi"/>
          <w:b/>
          <w:i/>
          <w:shd w:val="clear" w:color="auto" w:fill="FFFF00"/>
        </w:rPr>
        <w:t>Guidance: If the Authority and Supplier have agreed the Information Management System and the boundary between the Core Information Management System and Wider Information Management System during the procurement process, then include diagram setting out the elements of the Information Management System, the linkages and data flows between those elements, and the boundary here.</w:t>
      </w:r>
      <w:r w:rsidRPr="00BD6C5F">
        <w:rPr>
          <w:rFonts w:asciiTheme="minorHAnsi" w:hAnsiTheme="minorHAnsi" w:cstheme="minorHAnsi"/>
          <w:bCs/>
          <w:iCs/>
          <w:shd w:val="clear" w:color="auto" w:fill="FFFF00"/>
        </w:rPr>
        <w:t>]</w:t>
      </w:r>
    </w:p>
    <w:p w14:paraId="38D80D6C" w14:textId="4CDA19BE" w:rsidR="00B30FB1" w:rsidRPr="00BD6C5F" w:rsidRDefault="00B30FB1" w:rsidP="00B30FB1">
      <w:pPr>
        <w:rPr>
          <w:rFonts w:asciiTheme="minorHAnsi" w:hAnsiTheme="minorHAnsi" w:cstheme="minorHAnsi"/>
        </w:rPr>
      </w:pPr>
    </w:p>
    <w:p w14:paraId="661A67B6" w14:textId="77777777" w:rsidR="00B30FB1" w:rsidRPr="00BD6C5F" w:rsidRDefault="00B30FB1" w:rsidP="00B30FB1">
      <w:pPr>
        <w:rPr>
          <w:rFonts w:asciiTheme="minorHAnsi" w:hAnsiTheme="minorHAnsi" w:cstheme="minorHAnsi"/>
        </w:rPr>
      </w:pPr>
    </w:p>
    <w:p w14:paraId="4C963F3A" w14:textId="77777777" w:rsidR="008B479F" w:rsidRPr="00BD6C5F" w:rsidRDefault="008B479F" w:rsidP="00B30FB1">
      <w:pPr>
        <w:rPr>
          <w:rFonts w:asciiTheme="minorHAnsi" w:hAnsiTheme="minorHAnsi" w:cstheme="minorHAnsi"/>
        </w:rPr>
        <w:sectPr w:rsidR="008B479F" w:rsidRPr="00BD6C5F" w:rsidSect="00EA65BF">
          <w:headerReference w:type="default" r:id="rId60"/>
          <w:footerReference w:type="default" r:id="rId61"/>
          <w:pgSz w:w="11910" w:h="16840"/>
          <w:pgMar w:top="1701" w:right="851" w:bottom="1134" w:left="851" w:header="567" w:footer="567" w:gutter="0"/>
          <w:cols w:space="720"/>
        </w:sectPr>
      </w:pPr>
    </w:p>
    <w:p w14:paraId="3D188FB2" w14:textId="6320C215" w:rsidR="006F4549" w:rsidRDefault="006F4549" w:rsidP="006F4549">
      <w:pPr>
        <w:pStyle w:val="Dividername"/>
      </w:pPr>
      <w:bookmarkStart w:id="359" w:name="_bookmark126"/>
      <w:bookmarkEnd w:id="359"/>
      <w:r>
        <w:lastRenderedPageBreak/>
        <w:t xml:space="preserve">Schedule </w:t>
      </w:r>
      <w:bookmarkStart w:id="360" w:name="Schedule_6"/>
      <w:r>
        <w:t>6</w:t>
      </w:r>
      <w:bookmarkEnd w:id="360"/>
    </w:p>
    <w:p w14:paraId="724D74B4" w14:textId="70667CA9" w:rsidR="006F4549" w:rsidRDefault="006F4549" w:rsidP="006F4549">
      <w:pPr>
        <w:pStyle w:val="Dividername"/>
      </w:pPr>
      <w:r w:rsidRPr="006F4549">
        <w:t>Insurance Requirements</w:t>
      </w:r>
    </w:p>
    <w:p w14:paraId="208323D0" w14:textId="77777777" w:rsidR="006F4549" w:rsidRDefault="006F4549" w:rsidP="006F4549"/>
    <w:p w14:paraId="5D5D6BA7" w14:textId="6D65F39B" w:rsidR="00BC7DDA" w:rsidRPr="00BD6C5F" w:rsidRDefault="00266D2C" w:rsidP="006F4549">
      <w:pPr>
        <w:pStyle w:val="Heading1"/>
        <w:pageBreakBefore/>
      </w:pPr>
      <w:bookmarkStart w:id="361" w:name="_Toc141720988"/>
      <w:r w:rsidRPr="00BD6C5F">
        <w:lastRenderedPageBreak/>
        <w:t>Schedule 6</w:t>
      </w:r>
      <w:r w:rsidR="0058158C" w:rsidRPr="00BD6C5F">
        <w:t>:</w:t>
      </w:r>
      <w:r w:rsidRPr="00BD6C5F">
        <w:t xml:space="preserve"> </w:t>
      </w:r>
      <w:bookmarkStart w:id="362" w:name="_Ref98252647"/>
      <w:bookmarkStart w:id="363" w:name="_Toc98332718"/>
      <w:bookmarkStart w:id="364" w:name="_Toc98852895"/>
      <w:r w:rsidRPr="00BD6C5F">
        <w:t>Insurance Requirements</w:t>
      </w:r>
      <w:bookmarkEnd w:id="362"/>
      <w:bookmarkEnd w:id="363"/>
      <w:bookmarkEnd w:id="364"/>
      <w:bookmarkEnd w:id="361"/>
    </w:p>
    <w:p w14:paraId="2A088EF5" w14:textId="0F81B422" w:rsidR="00357E0F" w:rsidRPr="00BD6C5F" w:rsidRDefault="00357E0F" w:rsidP="001D1A25">
      <w:pPr>
        <w:pStyle w:val="ListParagraph"/>
        <w:keepNext/>
        <w:tabs>
          <w:tab w:val="left" w:pos="820"/>
          <w:tab w:val="left" w:pos="821"/>
        </w:tabs>
        <w:spacing w:before="0" w:after="240"/>
        <w:ind w:left="0" w:firstLine="0"/>
        <w:jc w:val="center"/>
        <w:rPr>
          <w:rFonts w:asciiTheme="minorHAnsi" w:hAnsiTheme="minorHAnsi" w:cstheme="minorHAnsi"/>
        </w:rPr>
      </w:pPr>
      <w:r w:rsidRPr="00BD6C5F">
        <w:rPr>
          <w:rFonts w:asciiTheme="minorHAnsi" w:hAnsiTheme="minorHAnsi" w:cstheme="minorHAnsi"/>
        </w:rPr>
        <w:t>This is the schedule referred to in the foregoing agreement betwee</w:t>
      </w:r>
      <w:r w:rsidR="00D017AD" w:rsidRPr="00BD6C5F">
        <w:rPr>
          <w:rFonts w:asciiTheme="minorHAnsi" w:hAnsiTheme="minorHAnsi" w:cstheme="minorHAnsi"/>
        </w:rPr>
        <w:t>n [</w:t>
      </w:r>
      <w:r w:rsidR="00D017AD" w:rsidRPr="00BD6C5F">
        <w:rPr>
          <w:rFonts w:asciiTheme="minorHAnsi" w:hAnsiTheme="minorHAnsi" w:cstheme="minorHAnsi"/>
          <w:highlight w:val="yellow"/>
        </w:rPr>
        <w:t>name of party</w:t>
      </w:r>
      <w:r w:rsidR="00D017AD" w:rsidRPr="00BD6C5F">
        <w:rPr>
          <w:rFonts w:asciiTheme="minorHAnsi" w:hAnsiTheme="minorHAnsi" w:cstheme="minorHAnsi"/>
        </w:rPr>
        <w:t>] and [</w:t>
      </w:r>
      <w:r w:rsidR="00D017AD" w:rsidRPr="00BD6C5F">
        <w:rPr>
          <w:rFonts w:asciiTheme="minorHAnsi" w:hAnsiTheme="minorHAnsi" w:cstheme="minorHAnsi"/>
          <w:highlight w:val="yellow"/>
        </w:rPr>
        <w:t>name of party</w:t>
      </w:r>
      <w:r w:rsidR="00D017AD" w:rsidRPr="00BD6C5F">
        <w:rPr>
          <w:rFonts w:asciiTheme="minorHAnsi" w:hAnsiTheme="minorHAnsi" w:cstheme="minorHAnsi"/>
        </w:rPr>
        <w:t>] dated [</w:t>
      </w:r>
      <w:r w:rsidR="00D017AD" w:rsidRPr="00BD6C5F">
        <w:rPr>
          <w:rFonts w:asciiTheme="minorHAnsi" w:hAnsiTheme="minorHAnsi" w:cstheme="minorHAnsi"/>
          <w:highlight w:val="yellow"/>
        </w:rPr>
        <w:t>date</w:t>
      </w:r>
      <w:r w:rsidR="00D017AD" w:rsidRPr="00BD6C5F">
        <w:rPr>
          <w:rFonts w:asciiTheme="minorHAnsi" w:hAnsiTheme="minorHAnsi" w:cstheme="minorHAnsi"/>
        </w:rPr>
        <w:t>]</w:t>
      </w:r>
    </w:p>
    <w:p w14:paraId="354C2F70" w14:textId="3E6F9FE3" w:rsidR="00BC7DDA" w:rsidRPr="00BD6C5F" w:rsidRDefault="001A45F8" w:rsidP="00B71FC0">
      <w:pPr>
        <w:pStyle w:val="Numbered1"/>
        <w:numPr>
          <w:ilvl w:val="0"/>
          <w:numId w:val="85"/>
        </w:numPr>
      </w:pPr>
      <w:r w:rsidRPr="00BD6C5F">
        <w:t>Obligation to Maintain Insurances</w:t>
      </w:r>
    </w:p>
    <w:p w14:paraId="46C4B680" w14:textId="69630F9C" w:rsidR="00BC7DDA" w:rsidRPr="00BD6C5F" w:rsidRDefault="009B03E9" w:rsidP="00C5057A">
      <w:pPr>
        <w:pStyle w:val="Numbered11"/>
      </w:pPr>
      <w:r w:rsidRPr="00BD6C5F">
        <w:t xml:space="preserve">Without prejudice to its obligations to the Authority under this </w:t>
      </w:r>
      <w:r w:rsidR="008E3303" w:rsidRPr="00BD6C5F">
        <w:t>Contract</w:t>
      </w:r>
      <w:r w:rsidRPr="00BD6C5F">
        <w:t xml:space="preserve">, including its indemnity and liability obligations, the Supplier shall for the periods specified in this Schedule take out and maintain, or procure the taking out and maintenance of the insurances as set out in </w:t>
      </w:r>
      <w:r w:rsidR="00095858">
        <w:t>Annex </w:t>
      </w:r>
      <w:r w:rsidR="00095858">
        <w:fldChar w:fldCharType="begin"/>
      </w:r>
      <w:r w:rsidR="00095858">
        <w:instrText xml:space="preserve"> REF Schedule_6_Annex_1 \h </w:instrText>
      </w:r>
      <w:r w:rsidR="00095858">
        <w:fldChar w:fldCharType="separate"/>
      </w:r>
      <w:r w:rsidR="009749A0" w:rsidRPr="00BD6C5F">
        <w:t>1</w:t>
      </w:r>
      <w:r w:rsidR="00095858">
        <w:fldChar w:fldCharType="end"/>
      </w:r>
      <w:r w:rsidRPr="00BD6C5F">
        <w:t xml:space="preserve"> and any other insurances as may be required by applicable Law (together the </w:t>
      </w:r>
      <w:r w:rsidR="00A4555C" w:rsidRPr="00BD6C5F">
        <w:t>“</w:t>
      </w:r>
      <w:r w:rsidRPr="00BD6C5F">
        <w:rPr>
          <w:b/>
        </w:rPr>
        <w:t>Insurances</w:t>
      </w:r>
      <w:r w:rsidR="00A4555C" w:rsidRPr="00BD6C5F">
        <w:t>”</w:t>
      </w:r>
      <w:r w:rsidRPr="00BD6C5F">
        <w:t>). The Supplier shall ensure that each of the Insurances is effective no later than the date on which the relevant risk commences.</w:t>
      </w:r>
    </w:p>
    <w:p w14:paraId="039A2C0A" w14:textId="77777777" w:rsidR="00BC7DDA" w:rsidRPr="00BD6C5F" w:rsidRDefault="009B03E9" w:rsidP="00C5057A">
      <w:pPr>
        <w:pStyle w:val="Numbered11"/>
      </w:pPr>
      <w:r w:rsidRPr="00BD6C5F">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4C981F73" w14:textId="77777777" w:rsidR="00BC7DDA" w:rsidRPr="00BD6C5F" w:rsidRDefault="009B03E9" w:rsidP="00247692">
      <w:pPr>
        <w:pStyle w:val="Numbered11"/>
        <w:keepNext/>
      </w:pPr>
      <w:r w:rsidRPr="00BD6C5F">
        <w:t>The Insurances shall be taken out and maintained with insurers who are:</w:t>
      </w:r>
    </w:p>
    <w:p w14:paraId="02FB51E0" w14:textId="1CE89F4F" w:rsidR="00BC7DDA" w:rsidRPr="00BD6C5F" w:rsidRDefault="009B03E9" w:rsidP="00C5057A">
      <w:pPr>
        <w:pStyle w:val="Numbered111"/>
      </w:pPr>
      <w:r w:rsidRPr="00BD6C5F">
        <w:t>of good financial standing;</w:t>
      </w:r>
    </w:p>
    <w:p w14:paraId="7E80C2B5" w14:textId="23346C1F" w:rsidR="00BC7DDA" w:rsidRPr="00BD6C5F" w:rsidRDefault="009B03E9" w:rsidP="00C5057A">
      <w:pPr>
        <w:pStyle w:val="Numbered111"/>
      </w:pPr>
      <w:r w:rsidRPr="00BD6C5F">
        <w:t>appropriately regulated;</w:t>
      </w:r>
    </w:p>
    <w:p w14:paraId="2CBA8CC6" w14:textId="2D24B39C" w:rsidR="00BC7DDA" w:rsidRPr="00BD6C5F" w:rsidRDefault="009B03E9" w:rsidP="00C5057A">
      <w:pPr>
        <w:pStyle w:val="Numbered111"/>
      </w:pPr>
      <w:r w:rsidRPr="00BD6C5F">
        <w:t>regulated by the applicable regulatory body and is in good standing with that regulator; and</w:t>
      </w:r>
    </w:p>
    <w:p w14:paraId="0BB74B72" w14:textId="740B330C" w:rsidR="00BC7DDA" w:rsidRPr="00BD6C5F" w:rsidRDefault="009B03E9" w:rsidP="00C5057A">
      <w:pPr>
        <w:pStyle w:val="Numbered111"/>
      </w:pPr>
      <w:r w:rsidRPr="00BD6C5F">
        <w:t>except in the case of any Insurances provided by an Affiliate of the Supplier, of good repute in the international insurance market.</w:t>
      </w:r>
    </w:p>
    <w:p w14:paraId="11D5FAC8" w14:textId="2679C5AF" w:rsidR="00BC7DDA" w:rsidRPr="00BD6C5F" w:rsidRDefault="009B03E9" w:rsidP="00C5057A">
      <w:pPr>
        <w:pStyle w:val="Numbered11"/>
      </w:pPr>
      <w:r w:rsidRPr="00BD6C5F">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8E3303" w:rsidRPr="00BD6C5F">
        <w:t xml:space="preserve">Contract </w:t>
      </w:r>
      <w:r w:rsidRPr="00BD6C5F">
        <w:t>and for which the Supplier is legally liable.</w:t>
      </w:r>
    </w:p>
    <w:p w14:paraId="59027E21" w14:textId="7CFD9751" w:rsidR="00BC7DDA" w:rsidRPr="00BD6C5F" w:rsidRDefault="001A45F8" w:rsidP="00C5057A">
      <w:pPr>
        <w:pStyle w:val="Numbered1"/>
      </w:pPr>
      <w:r w:rsidRPr="00BD6C5F">
        <w:t>General Obligations</w:t>
      </w:r>
    </w:p>
    <w:p w14:paraId="4FADB006" w14:textId="456B09E8" w:rsidR="00BC7DDA" w:rsidRPr="00BD6C5F" w:rsidRDefault="009B03E9" w:rsidP="00247692">
      <w:pPr>
        <w:pStyle w:val="Numbered11"/>
        <w:keepNext/>
      </w:pPr>
      <w:r w:rsidRPr="00BD6C5F">
        <w:t xml:space="preserve">Without limiting the other provisions of this </w:t>
      </w:r>
      <w:r w:rsidR="008E3303" w:rsidRPr="00BD6C5F">
        <w:t>Contract</w:t>
      </w:r>
      <w:r w:rsidRPr="00BD6C5F">
        <w:t>, the Supplier shall:</w:t>
      </w:r>
    </w:p>
    <w:p w14:paraId="5546AF91" w14:textId="6CB24938" w:rsidR="00BC7DDA" w:rsidRPr="00BD6C5F" w:rsidRDefault="009B03E9" w:rsidP="00C5057A">
      <w:pPr>
        <w:pStyle w:val="Numbered111"/>
      </w:pPr>
      <w:r w:rsidRPr="00BD6C5F">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13CA4244" w14:textId="0EAFDEE9" w:rsidR="00BC7DDA" w:rsidRPr="00BD6C5F" w:rsidRDefault="009B03E9" w:rsidP="00C5057A">
      <w:pPr>
        <w:pStyle w:val="Numbered111"/>
      </w:pPr>
      <w:r w:rsidRPr="00BD6C5F">
        <w:t>promptly notify the insurers in writing of any relevant material fact under any Insurances of which the Supplier is or becomes aware; and</w:t>
      </w:r>
    </w:p>
    <w:p w14:paraId="515CF674" w14:textId="0C0743F9" w:rsidR="00BC7DDA" w:rsidRPr="00BD6C5F" w:rsidRDefault="009B03E9" w:rsidP="00C5057A">
      <w:pPr>
        <w:pStyle w:val="Numbered111"/>
      </w:pPr>
      <w:r w:rsidRPr="00BD6C5F">
        <w:t>hold all policies in respect of the Insurances and cause any insurance broker effecting the Insurances to hold any insurance slips and other evidence of placing cover representing any of the Insurances to which it is a party.</w:t>
      </w:r>
    </w:p>
    <w:p w14:paraId="0336F992" w14:textId="0248D9B3" w:rsidR="00BC7DDA" w:rsidRPr="00BD6C5F" w:rsidRDefault="001A45F8" w:rsidP="00C5057A">
      <w:pPr>
        <w:pStyle w:val="Numbered1"/>
      </w:pPr>
      <w:r w:rsidRPr="00BD6C5F">
        <w:lastRenderedPageBreak/>
        <w:t>Failure to Insure</w:t>
      </w:r>
    </w:p>
    <w:p w14:paraId="6F110444" w14:textId="77777777" w:rsidR="00BC7DDA" w:rsidRPr="00BD6C5F" w:rsidRDefault="009B03E9" w:rsidP="00C5057A">
      <w:pPr>
        <w:pStyle w:val="Numbered11"/>
      </w:pPr>
      <w:r w:rsidRPr="00BD6C5F">
        <w:t>The Supplier shall not take any action or fail to take any action or (insofar as is reasonably within its power) permit anything to occur in relation to it which would entitle any insurer to refuse to pay any claim under any of the Insurances.</w:t>
      </w:r>
    </w:p>
    <w:p w14:paraId="7ADDA7AD" w14:textId="77777777" w:rsidR="00BC7DDA" w:rsidRPr="00BD6C5F" w:rsidRDefault="009B03E9" w:rsidP="00C5057A">
      <w:pPr>
        <w:pStyle w:val="Numbered11"/>
      </w:pPr>
      <w:r w:rsidRPr="00BD6C5F">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769C3F" w14:textId="0EAB76D7" w:rsidR="00BC7DDA" w:rsidRPr="00BD6C5F" w:rsidRDefault="001A45F8" w:rsidP="00C5057A">
      <w:pPr>
        <w:pStyle w:val="Numbered1"/>
      </w:pPr>
      <w:bookmarkStart w:id="365" w:name="_bookmark127"/>
      <w:bookmarkStart w:id="366" w:name="_Ref98410004"/>
      <w:bookmarkEnd w:id="365"/>
      <w:r w:rsidRPr="00BD6C5F">
        <w:t>Evidence of Insurances</w:t>
      </w:r>
      <w:bookmarkEnd w:id="366"/>
    </w:p>
    <w:p w14:paraId="7554F539" w14:textId="57310199" w:rsidR="00BC7DDA" w:rsidRPr="00BD6C5F" w:rsidRDefault="009B03E9" w:rsidP="00C5057A">
      <w:pPr>
        <w:pStyle w:val="Numbered11"/>
      </w:pPr>
      <w:r w:rsidRPr="00BD6C5F">
        <w:t xml:space="preserve">The Supplier shall upon the Effective Date and within 15 Working Days after the renewal or replacement of each of the Insurances, provide evidence, in a form satisfactory to the Authority, that the Insurances are in force and effect and meet in full the requirements of this Schedule. Receipt of such evidence by the Authority shall not in itself constitute acceptance by the Authority or relieve the Supplier of any of its liabilities and obligations under this </w:t>
      </w:r>
      <w:r w:rsidR="008E3303" w:rsidRPr="00BD6C5F">
        <w:t>Contract</w:t>
      </w:r>
      <w:r w:rsidRPr="00BD6C5F">
        <w:t>.</w:t>
      </w:r>
    </w:p>
    <w:p w14:paraId="30F62E4B" w14:textId="2C65CA5A" w:rsidR="00A27574" w:rsidRDefault="00A27574" w:rsidP="00C5057A">
      <w:pPr>
        <w:pStyle w:val="Numbered1"/>
      </w:pPr>
      <w:r>
        <w:t xml:space="preserve">Insurance for the Required Amount </w:t>
      </w:r>
    </w:p>
    <w:p w14:paraId="1D50C471" w14:textId="77777777" w:rsidR="005F082F" w:rsidRDefault="005F082F" w:rsidP="005F082F">
      <w:pPr>
        <w:pStyle w:val="Numbered11"/>
      </w:pPr>
      <w:bookmarkStart w:id="367" w:name="_Ref141339706"/>
      <w:r>
        <w:t>The Supplier shall ensure that any Insurances which are stated to have a minimum limit "in the aggregate" are maintained for the minimum limit of indemnity for the periods specified in this Schedule.</w:t>
      </w:r>
      <w:bookmarkEnd w:id="367"/>
    </w:p>
    <w:p w14:paraId="12A96BF3" w14:textId="196E9DE1" w:rsidR="00180A75" w:rsidRPr="00180A75" w:rsidRDefault="00180A75" w:rsidP="00AD7EC3">
      <w:pPr>
        <w:pStyle w:val="Numbered11"/>
      </w:pPr>
      <w:bookmarkStart w:id="368" w:name="_Ref141339690"/>
      <w:r w:rsidRPr="00180A75">
        <w:t>Where the Supplier intends to claim under any of the Insurances for any matters that are not related to the Services and/or the Contract, where such claim is likely to result in the level of cover available under any of the Insurances being reduced below the minimum limit of indemnity specified in this Schedule, the Supplier shall promptly notify the Authority and provide details of its proposed solution for maintaining the minimum limit of indemnity specified in this Schedule.</w:t>
      </w:r>
      <w:bookmarkEnd w:id="368"/>
    </w:p>
    <w:p w14:paraId="575091D4" w14:textId="2E0FD8A0" w:rsidR="00BC7DDA" w:rsidRPr="00BD6C5F" w:rsidRDefault="001A45F8" w:rsidP="00C5057A">
      <w:pPr>
        <w:pStyle w:val="Numbered1"/>
      </w:pPr>
      <w:r w:rsidRPr="00BD6C5F">
        <w:t>Cancellation</w:t>
      </w:r>
    </w:p>
    <w:p w14:paraId="48F75140" w14:textId="195E82AA" w:rsidR="00BC7DDA" w:rsidRPr="00BD6C5F" w:rsidRDefault="009B03E9" w:rsidP="00C5057A">
      <w:pPr>
        <w:pStyle w:val="Numbered11"/>
      </w:pPr>
      <w:bookmarkStart w:id="369" w:name="_Ref141339803"/>
      <w:r w:rsidRPr="00BD6C5F">
        <w:t>Subject to Paragraph</w:t>
      </w:r>
      <w:r w:rsidR="00D02F86">
        <w:t> </w:t>
      </w:r>
      <w:r w:rsidR="00D02F86">
        <w:fldChar w:fldCharType="begin"/>
      </w:r>
      <w:r w:rsidR="00D02F86">
        <w:instrText xml:space="preserve"> REF _Ref141339784 \w \h </w:instrText>
      </w:r>
      <w:r w:rsidR="00D02F86">
        <w:fldChar w:fldCharType="separate"/>
      </w:r>
      <w:r w:rsidR="009749A0">
        <w:t>6.2</w:t>
      </w:r>
      <w:r w:rsidR="00D02F86">
        <w:fldChar w:fldCharType="end"/>
      </w:r>
      <w:r w:rsidRPr="00BD6C5F">
        <w:t>, the Supplier shall notify the Authority in writing at least 5 Working Days prior to the cancellation, suspension, termination or non- renewal of any of the Insurances.</w:t>
      </w:r>
      <w:bookmarkEnd w:id="369"/>
    </w:p>
    <w:p w14:paraId="163292F4" w14:textId="55A46E5E" w:rsidR="00BC7DDA" w:rsidRPr="00BD6C5F" w:rsidRDefault="009B03E9" w:rsidP="00C5057A">
      <w:pPr>
        <w:pStyle w:val="Numbered11"/>
      </w:pPr>
      <w:bookmarkStart w:id="370" w:name="_Ref141339784"/>
      <w:r w:rsidRPr="00BD6C5F">
        <w:t>Without prejudice to the Supplier</w:t>
      </w:r>
      <w:r w:rsidR="00A4555C" w:rsidRPr="00BD6C5F">
        <w:t>’</w:t>
      </w:r>
      <w:r w:rsidRPr="00BD6C5F">
        <w:t xml:space="preserve">s obligations under Paragraph </w:t>
      </w:r>
      <w:r w:rsidR="00E5643A" w:rsidRPr="00BD6C5F">
        <w:fldChar w:fldCharType="begin"/>
      </w:r>
      <w:r w:rsidR="00E5643A" w:rsidRPr="00BD6C5F">
        <w:instrText xml:space="preserve"> REF _Ref98410004 \n \h </w:instrText>
      </w:r>
      <w:r w:rsidR="00AD7DD0" w:rsidRPr="00BD6C5F">
        <w:instrText xml:space="preserve"> \* MERGEFORMAT </w:instrText>
      </w:r>
      <w:r w:rsidR="00E5643A" w:rsidRPr="00BD6C5F">
        <w:fldChar w:fldCharType="separate"/>
      </w:r>
      <w:r w:rsidR="009749A0">
        <w:t>4</w:t>
      </w:r>
      <w:r w:rsidR="00E5643A" w:rsidRPr="00BD6C5F">
        <w:fldChar w:fldCharType="end"/>
      </w:r>
      <w:r w:rsidRPr="00BD6C5F">
        <w:t>, Paragraph</w:t>
      </w:r>
      <w:r w:rsidR="00D02F86">
        <w:t> </w:t>
      </w:r>
      <w:r w:rsidR="00C65E65">
        <w:fldChar w:fldCharType="begin"/>
      </w:r>
      <w:r w:rsidR="00C65E65">
        <w:instrText xml:space="preserve"> REF _Ref141339803 \w \h </w:instrText>
      </w:r>
      <w:r w:rsidR="00C65E65">
        <w:fldChar w:fldCharType="separate"/>
      </w:r>
      <w:r w:rsidR="009749A0">
        <w:t>6.1</w:t>
      </w:r>
      <w:r w:rsidR="00C65E65">
        <w:fldChar w:fldCharType="end"/>
      </w:r>
      <w:r w:rsidRPr="00BD6C5F">
        <w:t xml:space="preserve"> shall not apply where the termination of any Insurances occurs purely as a result of a change of insurer in respect of any of the Insurances required to be taken out and maintained in accordance with this Schedule.</w:t>
      </w:r>
      <w:bookmarkEnd w:id="370"/>
    </w:p>
    <w:p w14:paraId="2D3C5D7A" w14:textId="363D9163" w:rsidR="00BC7DDA" w:rsidRPr="00BD6C5F" w:rsidRDefault="001A45F8" w:rsidP="00C5057A">
      <w:pPr>
        <w:pStyle w:val="Numbered1"/>
      </w:pPr>
      <w:r w:rsidRPr="00BD6C5F">
        <w:t>Insurance Claims, Premiums and Deductibles</w:t>
      </w:r>
    </w:p>
    <w:p w14:paraId="7FDAEC0E" w14:textId="2CCB27A5" w:rsidR="00BC7DDA" w:rsidRPr="00BD6C5F" w:rsidRDefault="009B03E9" w:rsidP="00C5057A">
      <w:pPr>
        <w:pStyle w:val="Numbered11"/>
      </w:pPr>
      <w:bookmarkStart w:id="371" w:name="_bookmark128"/>
      <w:bookmarkStart w:id="372" w:name="_Ref98410013"/>
      <w:bookmarkEnd w:id="371"/>
      <w:r w:rsidRPr="00BD6C5F">
        <w:t xml:space="preserve">The Supplier shall promptly notify to insurers any matter arising from, or in relation to, the Services and/or this </w:t>
      </w:r>
      <w:r w:rsidR="008E3303" w:rsidRPr="00BD6C5F">
        <w:t xml:space="preserve">Contract </w:t>
      </w:r>
      <w:r w:rsidRPr="00BD6C5F">
        <w:t xml:space="preserve">for which it may be entitled to claim under any of the Insurances. In the event that the Authority receives a claim relating to or arising out of the Services and/or this </w:t>
      </w:r>
      <w:r w:rsidR="008E3303" w:rsidRPr="00BD6C5F">
        <w:t>Contract</w:t>
      </w:r>
      <w:r w:rsidRPr="00BD6C5F">
        <w:t>, the Supplier shall co-operate with the Authority and assist it in dealing with such claims at its own expense including without limitation providing information and documentation in a timely manner.</w:t>
      </w:r>
      <w:bookmarkEnd w:id="372"/>
    </w:p>
    <w:p w14:paraId="0C9ED405" w14:textId="08BCA768" w:rsidR="00BC7DDA" w:rsidRPr="00C65E65" w:rsidRDefault="009B03E9" w:rsidP="00C65E65">
      <w:pPr>
        <w:pStyle w:val="Numbered11"/>
      </w:pPr>
      <w:bookmarkStart w:id="373" w:name="_bookmark129"/>
      <w:bookmarkStart w:id="374" w:name="_Ref98409994"/>
      <w:bookmarkEnd w:id="373"/>
      <w:r w:rsidRPr="00C65E65">
        <w:lastRenderedPageBreak/>
        <w:t xml:space="preserve">The Supplier shall maintain a register of all claims under the Insurances in connection with this </w:t>
      </w:r>
      <w:r w:rsidR="009452B5" w:rsidRPr="00C65E65">
        <w:t xml:space="preserve">Contract </w:t>
      </w:r>
      <w:r w:rsidRPr="00C65E65">
        <w:t>and shall allow the Authority to review such register at any time.</w:t>
      </w:r>
      <w:bookmarkEnd w:id="374"/>
    </w:p>
    <w:p w14:paraId="44386BE7" w14:textId="77777777" w:rsidR="00BC7DDA" w:rsidRPr="00C65E65" w:rsidRDefault="009B03E9" w:rsidP="00C65E65">
      <w:pPr>
        <w:pStyle w:val="Numbered11"/>
      </w:pPr>
      <w:r w:rsidRPr="00C65E65">
        <w:t>Where any Insurance requires payment of a premium, the Supplier shall be liable for and shall promptly pay such premium.</w:t>
      </w:r>
    </w:p>
    <w:p w14:paraId="29FB893F" w14:textId="6E9EAF74" w:rsidR="00BC7DDA" w:rsidRPr="00C65E65" w:rsidRDefault="009B03E9" w:rsidP="00C65E65">
      <w:pPr>
        <w:pStyle w:val="Numbered11"/>
      </w:pPr>
      <w:r w:rsidRPr="00C65E65">
        <w:t>Where any Insurance is subject to an excess or deductible below which the indemnity from insurers is excluded, the Supplier shall be liable for such</w:t>
      </w:r>
      <w:r w:rsidR="00DB2677" w:rsidRPr="00C65E65">
        <w:t xml:space="preserve"> </w:t>
      </w:r>
      <w:r w:rsidRPr="00C65E65">
        <w:t xml:space="preserve">excess or deductible. The Supplier shall not be entitled to recover from the Authority any sum paid by way of excess or deductible under the Insurances whether under the terms of this </w:t>
      </w:r>
      <w:r w:rsidR="009452B5" w:rsidRPr="00C65E65">
        <w:t>Contract</w:t>
      </w:r>
      <w:r w:rsidR="00877E26" w:rsidRPr="00C65E65">
        <w:t xml:space="preserve"> </w:t>
      </w:r>
      <w:r w:rsidRPr="00C65E65">
        <w:t>or otherwise.</w:t>
      </w:r>
    </w:p>
    <w:p w14:paraId="207FBFA9" w14:textId="4796C506" w:rsidR="00BC7DDA" w:rsidRPr="00BD6C5F" w:rsidRDefault="001A45F8" w:rsidP="00C376BE">
      <w:pPr>
        <w:pStyle w:val="Heading2"/>
      </w:pPr>
      <w:bookmarkStart w:id="375" w:name="_bookmark130"/>
      <w:bookmarkStart w:id="376" w:name="_Toc98332719"/>
      <w:bookmarkStart w:id="377" w:name="_Ref98340976"/>
      <w:bookmarkStart w:id="378" w:name="_Ref98341006"/>
      <w:bookmarkStart w:id="379" w:name="_Ref98341022"/>
      <w:bookmarkStart w:id="380" w:name="_Toc98852896"/>
      <w:bookmarkStart w:id="381" w:name="_Toc141720989"/>
      <w:bookmarkEnd w:id="375"/>
      <w:r w:rsidRPr="00BD6C5F">
        <w:t xml:space="preserve">Annex </w:t>
      </w:r>
      <w:bookmarkStart w:id="382" w:name="Schedule_6_Annex_1"/>
      <w:r w:rsidRPr="00BD6C5F">
        <w:t>1</w:t>
      </w:r>
      <w:bookmarkEnd w:id="382"/>
      <w:r w:rsidRPr="00BD6C5F">
        <w:t>: Required Insurances</w:t>
      </w:r>
      <w:bookmarkEnd w:id="376"/>
      <w:bookmarkEnd w:id="377"/>
      <w:bookmarkEnd w:id="378"/>
      <w:bookmarkEnd w:id="379"/>
      <w:bookmarkEnd w:id="380"/>
      <w:bookmarkEnd w:id="381"/>
    </w:p>
    <w:p w14:paraId="76936F3E" w14:textId="767DC244" w:rsidR="00BC7DDA" w:rsidRPr="00BD6C5F" w:rsidRDefault="001A45F8" w:rsidP="00C376BE">
      <w:pPr>
        <w:pStyle w:val="Heading3"/>
      </w:pPr>
      <w:bookmarkStart w:id="383" w:name="_bookmark131"/>
      <w:bookmarkEnd w:id="383"/>
      <w:r w:rsidRPr="00BD6C5F">
        <w:t>Part A: Insurance Claim Notification</w:t>
      </w:r>
    </w:p>
    <w:p w14:paraId="111FA153" w14:textId="3667D45C" w:rsidR="00BC7DDA" w:rsidRPr="00BD6C5F" w:rsidRDefault="009B03E9" w:rsidP="00C376BE">
      <w:pPr>
        <w:pStyle w:val="BodyText"/>
        <w:spacing w:before="100" w:after="200"/>
        <w:rPr>
          <w:rFonts w:asciiTheme="minorHAnsi" w:hAnsiTheme="minorHAnsi" w:cstheme="minorHAnsi"/>
        </w:rPr>
      </w:pPr>
      <w:r w:rsidRPr="00BD6C5F">
        <w:rPr>
          <w:rFonts w:asciiTheme="minorHAnsi" w:hAnsiTheme="minorHAnsi" w:cstheme="minorHAnsi"/>
        </w:rPr>
        <w:t xml:space="preserve">Except where the Authority is the claimant party, the Supplier shall give the Authority notice within 20 Working Days after any </w:t>
      </w:r>
      <w:r w:rsidR="00877E26" w:rsidRPr="00BD6C5F">
        <w:rPr>
          <w:rFonts w:asciiTheme="minorHAnsi" w:hAnsiTheme="minorHAnsi" w:cstheme="minorHAnsi"/>
        </w:rPr>
        <w:t>I</w:t>
      </w:r>
      <w:r w:rsidRPr="00BD6C5F">
        <w:rPr>
          <w:rFonts w:asciiTheme="minorHAnsi" w:hAnsiTheme="minorHAnsi" w:cstheme="minorHAnsi"/>
        </w:rPr>
        <w:t xml:space="preserve">nsurance claim in excess of </w:t>
      </w:r>
      <w:r w:rsidRPr="006D1202">
        <w:rPr>
          <w:rFonts w:asciiTheme="minorHAnsi" w:hAnsiTheme="minorHAnsi" w:cstheme="minorHAnsi"/>
          <w:bCs/>
          <w:iCs/>
          <w:shd w:val="clear" w:color="auto" w:fill="FFFF00"/>
        </w:rPr>
        <w:t>[£100,000]</w:t>
      </w:r>
      <w:r w:rsidRPr="006D1202">
        <w:rPr>
          <w:rFonts w:asciiTheme="minorHAnsi" w:hAnsiTheme="minorHAnsi" w:cstheme="minorHAnsi"/>
          <w:bCs/>
          <w:iCs/>
        </w:rPr>
        <w:t xml:space="preserve"> </w:t>
      </w:r>
      <w:r w:rsidRPr="00BD6C5F">
        <w:rPr>
          <w:rFonts w:asciiTheme="minorHAnsi" w:hAnsiTheme="minorHAnsi" w:cstheme="minorHAnsi"/>
        </w:rPr>
        <w:t xml:space="preserve">relating to or arising out of the provision of the Services or this </w:t>
      </w:r>
      <w:r w:rsidR="009452B5" w:rsidRPr="00BD6C5F">
        <w:rPr>
          <w:rFonts w:asciiTheme="minorHAnsi" w:hAnsiTheme="minorHAnsi" w:cstheme="minorHAnsi"/>
        </w:rPr>
        <w:t xml:space="preserve">Contract </w:t>
      </w:r>
      <w:r w:rsidRPr="00BD6C5F">
        <w:rPr>
          <w:rFonts w:asciiTheme="minorHAnsi" w:hAnsiTheme="minorHAnsi" w:cstheme="minorHAnsi"/>
        </w:rPr>
        <w:t>on any of the Insurances or which, but for the application of the applicable policy excess, would be made on any of the Insurances and (if required by the Authority) full details of the incident giving rise to the claim.</w:t>
      </w:r>
    </w:p>
    <w:p w14:paraId="23E813DC" w14:textId="1FF94CA9" w:rsidR="00BC7DDA" w:rsidRPr="00BD6C5F" w:rsidRDefault="00B667A1" w:rsidP="007D4CC9">
      <w:r w:rsidRPr="00BD6C5F">
        <w:rPr>
          <w:highlight w:val="yellow"/>
        </w:rPr>
        <w:t>[</w:t>
      </w:r>
      <w:r w:rsidRPr="0077211A">
        <w:rPr>
          <w:b/>
          <w:bCs/>
          <w:i/>
          <w:iCs/>
          <w:highlight w:val="yellow"/>
        </w:rPr>
        <w:t>Guidance: The insurance claims notification threshold should normally represent a significant or material value claim in connection with the requirement or represent an amount that would provide comfort to the Authority that it has knowledge of claims that might impact on the Authority</w:t>
      </w:r>
      <w:r w:rsidRPr="00BD6C5F">
        <w:rPr>
          <w:highlight w:val="yellow"/>
        </w:rPr>
        <w:t>.]</w:t>
      </w:r>
    </w:p>
    <w:p w14:paraId="5A964A8C" w14:textId="77777777" w:rsidR="002B3242" w:rsidRDefault="002B3242">
      <w:pPr>
        <w:rPr>
          <w:rFonts w:asciiTheme="majorHAnsi" w:eastAsiaTheme="majorEastAsia" w:hAnsiTheme="majorHAnsi" w:cstheme="majorBidi"/>
          <w:b/>
          <w:bCs/>
          <w:szCs w:val="20"/>
          <w:lang w:bidi="ar-SA"/>
        </w:rPr>
      </w:pPr>
      <w:r>
        <w:br w:type="page"/>
      </w:r>
    </w:p>
    <w:p w14:paraId="194E9B77" w14:textId="0444B311" w:rsidR="00BC7DDA" w:rsidRPr="00BD6C5F" w:rsidRDefault="001A45F8" w:rsidP="00C376BE">
      <w:pPr>
        <w:pStyle w:val="Heading3"/>
      </w:pPr>
      <w:r w:rsidRPr="00BD6C5F">
        <w:lastRenderedPageBreak/>
        <w:t>Part B: Third Party Public and Products Liability Insurance</w:t>
      </w:r>
    </w:p>
    <w:p w14:paraId="77AEF513" w14:textId="77777777" w:rsidR="00BC7DDA" w:rsidRPr="00BD6C5F" w:rsidRDefault="009B03E9" w:rsidP="00B71FC0">
      <w:pPr>
        <w:pStyle w:val="AppendixText1"/>
        <w:numPr>
          <w:ilvl w:val="0"/>
          <w:numId w:val="145"/>
        </w:numPr>
      </w:pPr>
      <w:r w:rsidRPr="00BD6C5F">
        <w:t>Insured</w:t>
      </w:r>
    </w:p>
    <w:p w14:paraId="0DFCD9BC" w14:textId="77777777" w:rsidR="00BC7DDA" w:rsidRPr="00BD6C5F" w:rsidRDefault="009B03E9" w:rsidP="007F4C8A">
      <w:pPr>
        <w:pStyle w:val="AppendixText2"/>
      </w:pPr>
      <w:r w:rsidRPr="00BD6C5F">
        <w:t>The Supplier</w:t>
      </w:r>
    </w:p>
    <w:p w14:paraId="3839B047" w14:textId="77777777" w:rsidR="00BC7DDA" w:rsidRPr="00BD6C5F" w:rsidRDefault="009B03E9" w:rsidP="007F4C8A">
      <w:pPr>
        <w:pStyle w:val="AppendixText1"/>
      </w:pPr>
      <w:r w:rsidRPr="00BD6C5F">
        <w:t>Interest</w:t>
      </w:r>
    </w:p>
    <w:p w14:paraId="182C695D" w14:textId="27FD6942" w:rsidR="00BC7DDA" w:rsidRPr="00BD6C5F" w:rsidRDefault="009B03E9" w:rsidP="00247692">
      <w:pPr>
        <w:pStyle w:val="AppendixText2"/>
        <w:keepNext/>
      </w:pPr>
      <w:r w:rsidRPr="00BD6C5F">
        <w:t>To indemnify the Insured in respect of all sums which the Insured shall become legally liable to pay as damages, including claimant</w:t>
      </w:r>
      <w:r w:rsidR="00A4555C" w:rsidRPr="00BD6C5F">
        <w:t>’</w:t>
      </w:r>
      <w:r w:rsidRPr="00BD6C5F">
        <w:t>s costs and expenses, in respect of accidental:</w:t>
      </w:r>
    </w:p>
    <w:p w14:paraId="7AD2D8E4" w14:textId="038B4521" w:rsidR="00BC7DDA" w:rsidRPr="00BD6C5F" w:rsidRDefault="009B03E9" w:rsidP="007F4C8A">
      <w:pPr>
        <w:pStyle w:val="AppendixText3"/>
      </w:pPr>
      <w:r w:rsidRPr="00BD6C5F">
        <w:t>death or bodily injury to or sickness, illness or disease contracted by any person; and</w:t>
      </w:r>
    </w:p>
    <w:p w14:paraId="05D7A74E" w14:textId="10E7ADA0" w:rsidR="00BC7DDA" w:rsidRPr="00BD6C5F" w:rsidRDefault="009B03E9" w:rsidP="007F4C8A">
      <w:pPr>
        <w:pStyle w:val="AppendixText3"/>
      </w:pPr>
      <w:r w:rsidRPr="00BD6C5F">
        <w:t>loss of or damage to physical property;</w:t>
      </w:r>
    </w:p>
    <w:p w14:paraId="3D3A1435" w14:textId="2AD3F4EB" w:rsidR="00BC7DDA" w:rsidRPr="00BD6C5F" w:rsidRDefault="009B03E9" w:rsidP="00C376BE">
      <w:pPr>
        <w:pStyle w:val="BodyText"/>
        <w:spacing w:before="100" w:after="200"/>
        <w:ind w:left="720" w:right="284"/>
        <w:rPr>
          <w:rFonts w:asciiTheme="minorHAnsi" w:hAnsiTheme="minorHAnsi" w:cstheme="minorHAnsi"/>
        </w:rPr>
      </w:pPr>
      <w:r w:rsidRPr="00BD6C5F">
        <w:rPr>
          <w:rFonts w:asciiTheme="minorHAnsi" w:hAnsiTheme="minorHAnsi" w:cstheme="minorHAnsi"/>
        </w:rPr>
        <w:t xml:space="preserve">happening during the period of insurance (as specified in Paragraph </w:t>
      </w:r>
      <w:r w:rsidR="00E5643A" w:rsidRPr="00BD6C5F">
        <w:rPr>
          <w:rFonts w:asciiTheme="minorHAnsi" w:hAnsiTheme="minorHAnsi" w:cstheme="minorHAnsi"/>
        </w:rPr>
        <w:fldChar w:fldCharType="begin"/>
      </w:r>
      <w:r w:rsidR="00E5643A" w:rsidRPr="00BD6C5F">
        <w:rPr>
          <w:rFonts w:asciiTheme="minorHAnsi" w:hAnsiTheme="minorHAnsi" w:cstheme="minorHAnsi"/>
        </w:rPr>
        <w:instrText xml:space="preserve"> REF _Ref98410078 \n \h </w:instrText>
      </w:r>
      <w:r w:rsidR="00AD7DD0" w:rsidRPr="00BD6C5F">
        <w:rPr>
          <w:rFonts w:asciiTheme="minorHAnsi" w:hAnsiTheme="minorHAnsi" w:cstheme="minorHAnsi"/>
        </w:rPr>
        <w:instrText xml:space="preserve"> \* MERGEFORMAT </w:instrText>
      </w:r>
      <w:r w:rsidR="00E5643A" w:rsidRPr="00BD6C5F">
        <w:rPr>
          <w:rFonts w:asciiTheme="minorHAnsi" w:hAnsiTheme="minorHAnsi" w:cstheme="minorHAnsi"/>
        </w:rPr>
      </w:r>
      <w:r w:rsidR="00E5643A" w:rsidRPr="00BD6C5F">
        <w:rPr>
          <w:rFonts w:asciiTheme="minorHAnsi" w:hAnsiTheme="minorHAnsi" w:cstheme="minorHAnsi"/>
        </w:rPr>
        <w:fldChar w:fldCharType="separate"/>
      </w:r>
      <w:r w:rsidR="009749A0">
        <w:rPr>
          <w:rFonts w:asciiTheme="minorHAnsi" w:hAnsiTheme="minorHAnsi" w:cstheme="minorHAnsi"/>
        </w:rPr>
        <w:t>5</w:t>
      </w:r>
      <w:r w:rsidR="00E5643A" w:rsidRPr="00BD6C5F">
        <w:rPr>
          <w:rFonts w:asciiTheme="minorHAnsi" w:hAnsiTheme="minorHAnsi" w:cstheme="minorHAnsi"/>
        </w:rPr>
        <w:fldChar w:fldCharType="end"/>
      </w:r>
      <w:r w:rsidRPr="00BD6C5F">
        <w:rPr>
          <w:rFonts w:asciiTheme="minorHAnsi" w:hAnsiTheme="minorHAnsi" w:cstheme="minorHAnsi"/>
        </w:rPr>
        <w:t>)</w:t>
      </w:r>
      <w:r w:rsidR="00E5643A" w:rsidRPr="00BD6C5F">
        <w:rPr>
          <w:rFonts w:asciiTheme="minorHAnsi" w:hAnsiTheme="minorHAnsi" w:cstheme="minorHAnsi"/>
        </w:rPr>
        <w:t xml:space="preserve"> </w:t>
      </w:r>
      <w:r w:rsidRPr="00BD6C5F">
        <w:rPr>
          <w:rFonts w:asciiTheme="minorHAnsi" w:hAnsiTheme="minorHAnsi" w:cstheme="minorHAnsi"/>
        </w:rPr>
        <w:t xml:space="preserve">and arising out of or in connection with the provision of the Services and in connection with this </w:t>
      </w:r>
      <w:r w:rsidR="009452B5" w:rsidRPr="00BD6C5F">
        <w:rPr>
          <w:rFonts w:asciiTheme="minorHAnsi" w:hAnsiTheme="minorHAnsi" w:cstheme="minorHAnsi"/>
        </w:rPr>
        <w:t>Contract</w:t>
      </w:r>
      <w:r w:rsidRPr="00BD6C5F">
        <w:rPr>
          <w:rFonts w:asciiTheme="minorHAnsi" w:hAnsiTheme="minorHAnsi" w:cstheme="minorHAnsi"/>
        </w:rPr>
        <w:t>.</w:t>
      </w:r>
    </w:p>
    <w:p w14:paraId="782609EB" w14:textId="77777777" w:rsidR="00BC7DDA" w:rsidRPr="00BD6C5F" w:rsidRDefault="009B03E9" w:rsidP="007F4C8A">
      <w:pPr>
        <w:pStyle w:val="AppendixText1"/>
      </w:pPr>
      <w:r w:rsidRPr="00BD6C5F">
        <w:t>Limit of indemnity</w:t>
      </w:r>
    </w:p>
    <w:p w14:paraId="66578650" w14:textId="77777777" w:rsidR="00BC7DDA" w:rsidRPr="00BD6C5F" w:rsidRDefault="009B03E9" w:rsidP="007F4C8A">
      <w:pPr>
        <w:pStyle w:val="AppendixText2"/>
      </w:pPr>
      <w:r w:rsidRPr="00BD6C5F">
        <w:t>Not less t</w:t>
      </w:r>
      <w:r w:rsidRPr="006D1202">
        <w:t xml:space="preserve">han </w:t>
      </w:r>
      <w:r w:rsidRPr="006D1202">
        <w:rPr>
          <w:iCs/>
          <w:shd w:val="clear" w:color="auto" w:fill="FFFF00"/>
        </w:rPr>
        <w:t>£[to be determined by the Authority]</w:t>
      </w:r>
      <w:r w:rsidRPr="006D1202">
        <w:rPr>
          <w:iCs/>
        </w:rPr>
        <w:t xml:space="preserve"> </w:t>
      </w:r>
      <w:r w:rsidRPr="006D1202">
        <w:t xml:space="preserve">in respect of any one occurrence, the number of occurrences being unlimited in any annual policy period, but </w:t>
      </w:r>
      <w:r w:rsidRPr="006D1202">
        <w:rPr>
          <w:iCs/>
          <w:shd w:val="clear" w:color="auto" w:fill="FFFF00"/>
        </w:rPr>
        <w:t>£[to be determined by the Authority]</w:t>
      </w:r>
      <w:r w:rsidRPr="006D1202">
        <w:rPr>
          <w:iCs/>
        </w:rPr>
        <w:t xml:space="preserve"> </w:t>
      </w:r>
      <w:r w:rsidRPr="006D1202">
        <w:t>i</w:t>
      </w:r>
      <w:r w:rsidRPr="00BD6C5F">
        <w:t>n the aggregate per annum in respect of products and pollution liability.</w:t>
      </w:r>
    </w:p>
    <w:p w14:paraId="46C89456" w14:textId="033306D8" w:rsidR="00BC7DDA" w:rsidRPr="0077211A" w:rsidRDefault="009B03E9" w:rsidP="00C376BE">
      <w:pPr>
        <w:pStyle w:val="BodyText"/>
        <w:spacing w:before="100" w:after="200"/>
        <w:ind w:left="720" w:right="284"/>
        <w:rPr>
          <w:rFonts w:asciiTheme="minorHAnsi" w:hAnsiTheme="minorHAnsi" w:cstheme="minorHAnsi"/>
          <w:b/>
          <w:i/>
          <w:highlight w:val="yellow"/>
          <w:shd w:val="clear" w:color="auto" w:fill="FFFF00"/>
        </w:rPr>
      </w:pPr>
      <w:r w:rsidRPr="00BD6C5F">
        <w:rPr>
          <w:rFonts w:asciiTheme="minorHAnsi" w:hAnsiTheme="minorHAnsi" w:cstheme="minorHAnsi"/>
          <w:bCs/>
          <w:iCs/>
          <w:shd w:val="clear" w:color="auto" w:fill="FFFF00"/>
        </w:rPr>
        <w:t>[</w:t>
      </w:r>
      <w:r w:rsidRPr="0077211A">
        <w:rPr>
          <w:rFonts w:asciiTheme="minorHAnsi" w:hAnsiTheme="minorHAnsi" w:cstheme="minorHAnsi"/>
          <w:b/>
          <w:i/>
          <w:highlight w:val="yellow"/>
          <w:shd w:val="clear" w:color="auto" w:fill="FFFF00"/>
        </w:rPr>
        <w:t>Guidance: The Contracting Authority should set the Limit of Indemnity by way</w:t>
      </w:r>
      <w:r w:rsidRPr="0077211A">
        <w:rPr>
          <w:rFonts w:asciiTheme="minorHAnsi" w:hAnsiTheme="minorHAnsi" w:cstheme="minorHAnsi"/>
          <w:b/>
          <w:i/>
          <w:highlight w:val="yellow"/>
        </w:rPr>
        <w:t xml:space="preserve"> </w:t>
      </w:r>
      <w:r w:rsidRPr="0077211A">
        <w:rPr>
          <w:rFonts w:asciiTheme="minorHAnsi" w:hAnsiTheme="minorHAnsi" w:cstheme="minorHAnsi"/>
          <w:b/>
          <w:i/>
          <w:highlight w:val="yellow"/>
          <w:shd w:val="clear" w:color="auto" w:fill="FFFF00"/>
        </w:rPr>
        <w:t>of an insurable risk review (see MSC Guidance document). The level specified</w:t>
      </w:r>
      <w:r w:rsidRPr="0077211A">
        <w:rPr>
          <w:rFonts w:asciiTheme="minorHAnsi" w:hAnsiTheme="minorHAnsi" w:cstheme="minorHAnsi"/>
          <w:b/>
          <w:i/>
          <w:highlight w:val="yellow"/>
        </w:rPr>
        <w:t xml:space="preserve"> </w:t>
      </w:r>
      <w:r w:rsidRPr="0077211A">
        <w:rPr>
          <w:rFonts w:asciiTheme="minorHAnsi" w:hAnsiTheme="minorHAnsi" w:cstheme="minorHAnsi"/>
          <w:b/>
          <w:i/>
          <w:highlight w:val="yellow"/>
          <w:shd w:val="clear" w:color="auto" w:fill="FFFF00"/>
        </w:rPr>
        <w:t>in the limit of indemnity above should be predicated upon:</w:t>
      </w:r>
    </w:p>
    <w:p w14:paraId="17EF88F4" w14:textId="7B978637" w:rsidR="00BC7DDA" w:rsidRPr="0077211A" w:rsidRDefault="009B03E9" w:rsidP="00AA48C6">
      <w:pPr>
        <w:pStyle w:val="ListParagraph"/>
        <w:numPr>
          <w:ilvl w:val="0"/>
          <w:numId w:val="10"/>
        </w:numPr>
        <w:tabs>
          <w:tab w:val="left" w:pos="1896"/>
          <w:tab w:val="left" w:pos="1897"/>
        </w:tabs>
        <w:spacing w:before="100" w:after="200"/>
        <w:ind w:left="144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 xml:space="preserve">The risk profile represented by the Contracting </w:t>
      </w:r>
      <w:r w:rsidR="00C376BE" w:rsidRPr="0077211A">
        <w:rPr>
          <w:rFonts w:asciiTheme="minorHAnsi" w:hAnsiTheme="minorHAnsi" w:cstheme="minorHAnsi"/>
          <w:b/>
          <w:i/>
          <w:szCs w:val="24"/>
          <w:highlight w:val="yellow"/>
        </w:rPr>
        <w:t>Authority requirement in question</w:t>
      </w:r>
    </w:p>
    <w:p w14:paraId="7F04EEBA" w14:textId="52F0D115" w:rsidR="00C376BE" w:rsidRPr="0077211A" w:rsidRDefault="00C376BE" w:rsidP="00AA48C6">
      <w:pPr>
        <w:pStyle w:val="ListParagraph"/>
        <w:numPr>
          <w:ilvl w:val="0"/>
          <w:numId w:val="10"/>
        </w:numPr>
        <w:tabs>
          <w:tab w:val="left" w:pos="1896"/>
          <w:tab w:val="left" w:pos="1897"/>
        </w:tabs>
        <w:spacing w:before="100" w:after="200"/>
        <w:ind w:left="144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Potential frequency and severity of claims and losses (not the value of the contract) relative to the risk exposure</w:t>
      </w:r>
    </w:p>
    <w:p w14:paraId="7B91FEF9" w14:textId="38C2474A" w:rsidR="00C376BE" w:rsidRPr="0077211A" w:rsidRDefault="00C376BE" w:rsidP="00AA48C6">
      <w:pPr>
        <w:pStyle w:val="ListParagraph"/>
        <w:numPr>
          <w:ilvl w:val="0"/>
          <w:numId w:val="10"/>
        </w:numPr>
        <w:tabs>
          <w:tab w:val="left" w:pos="1896"/>
          <w:tab w:val="left" w:pos="1897"/>
        </w:tabs>
        <w:spacing w:before="100" w:after="200"/>
        <w:ind w:left="1440" w:hanging="720"/>
        <w:rPr>
          <w:rFonts w:asciiTheme="minorHAnsi" w:hAnsiTheme="minorHAnsi" w:cstheme="minorHAnsi"/>
          <w:b/>
          <w:i/>
          <w:szCs w:val="24"/>
          <w:highlight w:val="yellow"/>
        </w:rPr>
      </w:pPr>
      <w:r w:rsidRPr="0077211A">
        <w:rPr>
          <w:rFonts w:asciiTheme="minorHAnsi" w:hAnsiTheme="minorHAnsi" w:cstheme="minorHAnsi"/>
          <w:b/>
          <w:i/>
          <w:szCs w:val="24"/>
          <w:highlight w:val="yellow"/>
        </w:rPr>
        <w:t>Insurance market availability in prevailing insurance market conditions.</w:t>
      </w:r>
    </w:p>
    <w:p w14:paraId="1035C0BF" w14:textId="46005379" w:rsidR="00C376BE" w:rsidRPr="00BD6C5F" w:rsidRDefault="00C376BE" w:rsidP="00AA48C6">
      <w:pPr>
        <w:pStyle w:val="ListParagraph"/>
        <w:numPr>
          <w:ilvl w:val="0"/>
          <w:numId w:val="10"/>
        </w:numPr>
        <w:tabs>
          <w:tab w:val="left" w:pos="1896"/>
          <w:tab w:val="left" w:pos="1897"/>
        </w:tabs>
        <w:spacing w:before="100" w:after="200"/>
        <w:ind w:left="1440" w:hanging="720"/>
        <w:rPr>
          <w:rFonts w:asciiTheme="minorHAnsi" w:hAnsiTheme="minorHAnsi" w:cstheme="minorHAnsi"/>
          <w:bCs/>
          <w:iCs/>
          <w:szCs w:val="24"/>
          <w:highlight w:val="yellow"/>
        </w:rPr>
      </w:pPr>
      <w:r w:rsidRPr="0077211A">
        <w:rPr>
          <w:rFonts w:asciiTheme="minorHAnsi" w:hAnsiTheme="minorHAnsi" w:cstheme="minorHAnsi"/>
          <w:b/>
          <w:i/>
          <w:szCs w:val="24"/>
          <w:highlight w:val="yellow"/>
        </w:rPr>
        <w:t>The wording on the limit of indemnity for third party public and products liability reflects what is available in UK insurance market conditions for this type of insurance only. While insurance is available in the UK on this basis, it may not be available in other parts of the world, in which case Suppliers may need to seek an alternative UK insurance policy on this basis</w:t>
      </w:r>
      <w:r w:rsidRPr="00BD6C5F">
        <w:rPr>
          <w:rFonts w:asciiTheme="minorHAnsi" w:hAnsiTheme="minorHAnsi" w:cstheme="minorHAnsi"/>
          <w:bCs/>
          <w:iCs/>
          <w:szCs w:val="24"/>
          <w:highlight w:val="yellow"/>
        </w:rPr>
        <w:t>.]</w:t>
      </w:r>
    </w:p>
    <w:p w14:paraId="64E47996" w14:textId="77777777" w:rsidR="00BC7DDA" w:rsidRPr="00BD6C5F" w:rsidRDefault="009B03E9" w:rsidP="007F4C8A">
      <w:pPr>
        <w:pStyle w:val="AppendixText1"/>
      </w:pPr>
      <w:r w:rsidRPr="00BD6C5F">
        <w:t>Territorial limits</w:t>
      </w:r>
    </w:p>
    <w:p w14:paraId="2C1952A0" w14:textId="77777777" w:rsidR="00BC7DDA" w:rsidRPr="00BD6C5F" w:rsidRDefault="009B03E9" w:rsidP="00C376BE">
      <w:pPr>
        <w:pStyle w:val="BodyText"/>
        <w:spacing w:before="100" w:after="200"/>
        <w:ind w:left="720" w:right="284"/>
        <w:rPr>
          <w:rFonts w:asciiTheme="minorHAnsi" w:hAnsiTheme="minorHAnsi" w:cstheme="minorHAnsi"/>
          <w:b/>
          <w:bCs/>
        </w:rPr>
      </w:pPr>
      <w:r w:rsidRPr="00BD6C5F">
        <w:rPr>
          <w:rFonts w:asciiTheme="minorHAnsi" w:hAnsiTheme="minorHAnsi" w:cstheme="minorHAnsi"/>
          <w:b/>
          <w:bCs/>
          <w:shd w:val="clear" w:color="auto" w:fill="FFFF00"/>
        </w:rPr>
        <w:t>[United Kingdom]</w:t>
      </w:r>
    </w:p>
    <w:p w14:paraId="62838383" w14:textId="01700DAD" w:rsidR="00BC7DDA" w:rsidRPr="00BD6C5F" w:rsidRDefault="00A455B2" w:rsidP="007F4C8A">
      <w:pPr>
        <w:pStyle w:val="AppendixText2"/>
      </w:pPr>
      <w:r w:rsidRPr="00BD6C5F">
        <w:rPr>
          <w:highlight w:val="yellow"/>
        </w:rPr>
        <w:t>[</w:t>
      </w:r>
      <w:r w:rsidRPr="0077211A">
        <w:rPr>
          <w:b/>
          <w:i/>
          <w:iCs/>
          <w:highlight w:val="yellow"/>
        </w:rPr>
        <w:t xml:space="preserve">Guidance: The Authority should populate any additional territories relative to the service delivery. </w:t>
      </w:r>
      <w:r w:rsidRPr="00AF7321">
        <w:rPr>
          <w:b/>
          <w:i/>
          <w:iCs/>
          <w:highlight w:val="yellow"/>
        </w:rPr>
        <w:t xml:space="preserve">Annex </w:t>
      </w:r>
      <w:r w:rsidR="00464636" w:rsidRPr="00AF7321">
        <w:rPr>
          <w:b/>
          <w:i/>
          <w:iCs/>
          <w:highlight w:val="yellow"/>
        </w:rPr>
        <w:fldChar w:fldCharType="begin"/>
      </w:r>
      <w:r w:rsidR="00464636" w:rsidRPr="00AF7321">
        <w:rPr>
          <w:b/>
          <w:i/>
          <w:iCs/>
          <w:highlight w:val="yellow"/>
        </w:rPr>
        <w:instrText xml:space="preserve"> REF Schedule_5_Part_B_Annex_1 \h </w:instrText>
      </w:r>
      <w:r w:rsidR="0077211A" w:rsidRPr="00AF7321">
        <w:rPr>
          <w:b/>
          <w:i/>
          <w:iCs/>
          <w:highlight w:val="yellow"/>
        </w:rPr>
        <w:instrText xml:space="preserve"> \* MERGEFORMAT </w:instrText>
      </w:r>
      <w:r w:rsidR="00464636" w:rsidRPr="00AF7321">
        <w:rPr>
          <w:b/>
          <w:i/>
          <w:iCs/>
          <w:highlight w:val="yellow"/>
        </w:rPr>
      </w:r>
      <w:r w:rsidR="00464636" w:rsidRPr="00AF7321">
        <w:rPr>
          <w:b/>
          <w:i/>
          <w:iCs/>
          <w:highlight w:val="yellow"/>
        </w:rPr>
        <w:fldChar w:fldCharType="separate"/>
      </w:r>
      <w:r w:rsidR="009749A0" w:rsidRPr="00AF7321">
        <w:rPr>
          <w:b/>
          <w:i/>
          <w:iCs/>
          <w:highlight w:val="yellow"/>
        </w:rPr>
        <w:t>1</w:t>
      </w:r>
      <w:r w:rsidR="00464636" w:rsidRPr="00AF7321">
        <w:rPr>
          <w:b/>
          <w:i/>
          <w:iCs/>
          <w:highlight w:val="yellow"/>
        </w:rPr>
        <w:fldChar w:fldCharType="end"/>
      </w:r>
      <w:r w:rsidRPr="00AF7321">
        <w:rPr>
          <w:b/>
          <w:i/>
          <w:iCs/>
          <w:highlight w:val="yellow"/>
        </w:rPr>
        <w:t xml:space="preserve"> reflects United Kingdom insurance market conditions and availability only. Where there is an overseas insurance requirement consider obtaining professional insurance advice to set the appropriate requirement in Annex </w:t>
      </w:r>
      <w:r w:rsidR="00464636" w:rsidRPr="00AF7321">
        <w:rPr>
          <w:b/>
          <w:i/>
          <w:iCs/>
          <w:highlight w:val="yellow"/>
        </w:rPr>
        <w:fldChar w:fldCharType="begin"/>
      </w:r>
      <w:r w:rsidR="00464636" w:rsidRPr="00AF7321">
        <w:rPr>
          <w:b/>
          <w:i/>
          <w:iCs/>
          <w:highlight w:val="yellow"/>
        </w:rPr>
        <w:instrText xml:space="preserve"> REF Schedule_5_Part_B_Annex_1 \h </w:instrText>
      </w:r>
      <w:r w:rsidR="0077211A" w:rsidRPr="00AF7321">
        <w:rPr>
          <w:b/>
          <w:i/>
          <w:iCs/>
          <w:highlight w:val="yellow"/>
        </w:rPr>
        <w:instrText xml:space="preserve"> \* MERGEFORMAT </w:instrText>
      </w:r>
      <w:r w:rsidR="00464636" w:rsidRPr="00AF7321">
        <w:rPr>
          <w:b/>
          <w:i/>
          <w:iCs/>
          <w:highlight w:val="yellow"/>
        </w:rPr>
      </w:r>
      <w:r w:rsidR="00464636" w:rsidRPr="00AF7321">
        <w:rPr>
          <w:b/>
          <w:i/>
          <w:iCs/>
          <w:highlight w:val="yellow"/>
        </w:rPr>
        <w:fldChar w:fldCharType="separate"/>
      </w:r>
      <w:r w:rsidR="009749A0" w:rsidRPr="00AF7321">
        <w:rPr>
          <w:b/>
          <w:i/>
          <w:iCs/>
          <w:highlight w:val="yellow"/>
        </w:rPr>
        <w:t>1</w:t>
      </w:r>
      <w:r w:rsidR="00464636" w:rsidRPr="00AF7321">
        <w:rPr>
          <w:b/>
          <w:i/>
          <w:iCs/>
          <w:highlight w:val="yellow"/>
        </w:rPr>
        <w:fldChar w:fldCharType="end"/>
      </w:r>
      <w:r w:rsidRPr="00AF7321">
        <w:rPr>
          <w:highlight w:val="yellow"/>
        </w:rPr>
        <w:t>]</w:t>
      </w:r>
    </w:p>
    <w:p w14:paraId="6A592C0D" w14:textId="77777777" w:rsidR="00BC7DDA" w:rsidRPr="00BD6C5F" w:rsidRDefault="009B03E9" w:rsidP="007F4C8A">
      <w:pPr>
        <w:pStyle w:val="AppendixText1"/>
      </w:pPr>
      <w:bookmarkStart w:id="384" w:name="_bookmark132"/>
      <w:bookmarkStart w:id="385" w:name="_Ref98410078"/>
      <w:bookmarkEnd w:id="384"/>
      <w:r w:rsidRPr="00BD6C5F">
        <w:lastRenderedPageBreak/>
        <w:t>Period of insurance</w:t>
      </w:r>
      <w:bookmarkEnd w:id="385"/>
    </w:p>
    <w:p w14:paraId="79FBEB66" w14:textId="4781E95A" w:rsidR="00BC7DDA" w:rsidRPr="00BD6C5F" w:rsidRDefault="009B03E9" w:rsidP="007F4C8A">
      <w:pPr>
        <w:pStyle w:val="AppendixText2"/>
      </w:pPr>
      <w:r w:rsidRPr="00BD6C5F">
        <w:t xml:space="preserve">From the date of this </w:t>
      </w:r>
      <w:r w:rsidR="004A65A8" w:rsidRPr="00BD6C5F">
        <w:t xml:space="preserve">Contract </w:t>
      </w:r>
      <w:r w:rsidRPr="00BD6C5F">
        <w:t>for the Term and renewable on an annual basis unless agreed otherwise by the Authority in writing.</w:t>
      </w:r>
    </w:p>
    <w:p w14:paraId="5082B1D9" w14:textId="07AB0998" w:rsidR="00BC7DDA" w:rsidRPr="00BD6C5F" w:rsidRDefault="00B667A1" w:rsidP="007F4C8A">
      <w:pPr>
        <w:pStyle w:val="AppendixText2"/>
      </w:pPr>
      <w:r w:rsidRPr="00BD6C5F">
        <w:rPr>
          <w:highlight w:val="yellow"/>
        </w:rPr>
        <w:t>[</w:t>
      </w:r>
      <w:r w:rsidRPr="0077211A">
        <w:rPr>
          <w:b/>
          <w:bCs/>
          <w:i/>
          <w:iCs/>
          <w:highlight w:val="yellow"/>
        </w:rPr>
        <w:t>Guidance: The Authority should populate the period of insurance relative to the requirement in question. The period of insurance should reflect the period that the relevant insurable risk can materialise and take into account any contract specific issues such as phasing.</w:t>
      </w:r>
      <w:r w:rsidRPr="00BD6C5F">
        <w:rPr>
          <w:highlight w:val="yellow"/>
        </w:rPr>
        <w:t>]</w:t>
      </w:r>
    </w:p>
    <w:p w14:paraId="40EDAD2B" w14:textId="77777777" w:rsidR="00BC7DDA" w:rsidRPr="00BD6C5F" w:rsidRDefault="009B03E9" w:rsidP="007F4C8A">
      <w:pPr>
        <w:pStyle w:val="AppendixText1"/>
      </w:pPr>
      <w:r w:rsidRPr="00BD6C5F">
        <w:t>Cover features and extensions</w:t>
      </w:r>
    </w:p>
    <w:p w14:paraId="79193491" w14:textId="566AAEF5" w:rsidR="00BC7DDA" w:rsidRPr="00BD6C5F" w:rsidRDefault="009B03E9" w:rsidP="007F4C8A">
      <w:pPr>
        <w:pStyle w:val="AppendixText2"/>
      </w:pPr>
      <w:r w:rsidRPr="00BD6C5F">
        <w:t xml:space="preserve">Indemnity to principals clause under which the Authority shall be indemnified in respect of claims made against the Authority in respect of death or bodily injury or third party property damage arising out of or in connection with the </w:t>
      </w:r>
      <w:r w:rsidR="004A65A8" w:rsidRPr="00BD6C5F">
        <w:t xml:space="preserve">Contract </w:t>
      </w:r>
      <w:r w:rsidRPr="00BD6C5F">
        <w:t>and for which the Supplier is legally liable.</w:t>
      </w:r>
    </w:p>
    <w:p w14:paraId="55C6D9B9" w14:textId="0003F440" w:rsidR="0012498D" w:rsidRPr="00BD6C5F" w:rsidRDefault="00B667A1" w:rsidP="007F4C8A">
      <w:pPr>
        <w:pStyle w:val="AppendixText2"/>
      </w:pPr>
      <w:r w:rsidRPr="00BD6C5F">
        <w:rPr>
          <w:highlight w:val="yellow"/>
        </w:rPr>
        <w:t>[</w:t>
      </w:r>
      <w:r w:rsidRPr="0077211A">
        <w:rPr>
          <w:b/>
          <w:i/>
          <w:iCs/>
          <w:highlight w:val="yellow"/>
        </w:rPr>
        <w:t>Guidance: As part of the insurance review (see MSC Guidance document) the Authority should consider what additional cover features and extensions may be required to protect its interests (e.g. contractual liability extension and legal defence costs in addition to the limit of indemnity). The Authority may need to seek professional subject matter insurance advice in this regard</w:t>
      </w:r>
      <w:r w:rsidRPr="00BD6C5F">
        <w:rPr>
          <w:highlight w:val="yellow"/>
        </w:rPr>
        <w:t>.]</w:t>
      </w:r>
    </w:p>
    <w:p w14:paraId="32835D5F" w14:textId="77777777" w:rsidR="00BC7DDA" w:rsidRPr="00BD6C5F" w:rsidRDefault="009B03E9" w:rsidP="007F4C8A">
      <w:pPr>
        <w:pStyle w:val="AppendixText1"/>
      </w:pPr>
      <w:r w:rsidRPr="00BD6C5F">
        <w:t>Principal exclusions</w:t>
      </w:r>
    </w:p>
    <w:p w14:paraId="74A1D741" w14:textId="77777777" w:rsidR="00BC7DDA" w:rsidRPr="00BD6C5F" w:rsidRDefault="009B03E9" w:rsidP="007F4C8A">
      <w:pPr>
        <w:pStyle w:val="AppendixText2"/>
      </w:pPr>
      <w:r w:rsidRPr="00BD6C5F">
        <w:t>War and related perils.</w:t>
      </w:r>
    </w:p>
    <w:p w14:paraId="7FCBDF55" w14:textId="77777777" w:rsidR="00BC7DDA" w:rsidRPr="00BD6C5F" w:rsidRDefault="009B03E9" w:rsidP="007F4C8A">
      <w:pPr>
        <w:pStyle w:val="AppendixText2"/>
      </w:pPr>
      <w:r w:rsidRPr="00BD6C5F">
        <w:t>Nuclear and radioactive risks.</w:t>
      </w:r>
    </w:p>
    <w:p w14:paraId="4B43B07F" w14:textId="77777777" w:rsidR="00BC7DDA" w:rsidRPr="00BD6C5F" w:rsidRDefault="009B03E9" w:rsidP="007F4C8A">
      <w:pPr>
        <w:pStyle w:val="AppendixText2"/>
      </w:pPr>
      <w:r w:rsidRPr="00BD6C5F">
        <w:t>Liability for death, illness, disease or bodily injury sustained by employees of the Insured arising out of the course of their employment.</w:t>
      </w:r>
    </w:p>
    <w:p w14:paraId="7ED6D246" w14:textId="77777777" w:rsidR="00BC7DDA" w:rsidRPr="00BD6C5F" w:rsidRDefault="009B03E9" w:rsidP="007F4C8A">
      <w:pPr>
        <w:pStyle w:val="AppendixText2"/>
      </w:pPr>
      <w:r w:rsidRPr="00BD6C5F">
        <w:t>Liability arising out of the use of mechanically propelled vehicles whilst required to be compulsorily insured by applicable Law in respect of such vehicles.</w:t>
      </w:r>
    </w:p>
    <w:p w14:paraId="124DB4FA" w14:textId="77777777" w:rsidR="00BC7DDA" w:rsidRPr="00BD6C5F" w:rsidRDefault="009B03E9" w:rsidP="007F4C8A">
      <w:pPr>
        <w:pStyle w:val="AppendixText2"/>
      </w:pPr>
      <w:r w:rsidRPr="00BD6C5F">
        <w:t>Liability in respect of predetermined penalties or liquidated damages imposed under any contract entered into by the Insured.</w:t>
      </w:r>
    </w:p>
    <w:p w14:paraId="7AAFA608" w14:textId="602E5E26" w:rsidR="00BC7DDA" w:rsidRPr="00BD6C5F" w:rsidRDefault="009B03E9" w:rsidP="007F4C8A">
      <w:pPr>
        <w:pStyle w:val="AppendixText2"/>
      </w:pPr>
      <w:r w:rsidRPr="00BD6C5F">
        <w:t>Liability arising out of technical or professional advice other than in respect of death or bodily injury to persons or damage to third party property.</w:t>
      </w:r>
    </w:p>
    <w:p w14:paraId="3F81830F" w14:textId="77777777" w:rsidR="00BC7DDA" w:rsidRPr="00BD6C5F" w:rsidRDefault="009B03E9" w:rsidP="007F4C8A">
      <w:pPr>
        <w:pStyle w:val="AppendixText2"/>
      </w:pPr>
      <w:r w:rsidRPr="00BD6C5F">
        <w:t>Liability arising from the ownership, possession or use of any aircraft or marine vessel.</w:t>
      </w:r>
    </w:p>
    <w:p w14:paraId="668D9D8E" w14:textId="77777777" w:rsidR="00BC7DDA" w:rsidRPr="00BD6C5F" w:rsidRDefault="009B03E9" w:rsidP="007F4C8A">
      <w:pPr>
        <w:pStyle w:val="AppendixText2"/>
      </w:pPr>
      <w:r w:rsidRPr="00BD6C5F">
        <w:t>Liability arising from seepage and pollution unless caused by a sudden, unintended and unexpected occurrence.</w:t>
      </w:r>
    </w:p>
    <w:p w14:paraId="61E238E2" w14:textId="26252846" w:rsidR="00BC7DDA" w:rsidRPr="00BD6C5F" w:rsidRDefault="00A455B2" w:rsidP="007F4C8A">
      <w:pPr>
        <w:pStyle w:val="AppendixText2"/>
      </w:pPr>
      <w:r w:rsidRPr="00BD6C5F">
        <w:rPr>
          <w:highlight w:val="yellow"/>
        </w:rPr>
        <w:t>[</w:t>
      </w:r>
      <w:r w:rsidRPr="0077211A">
        <w:rPr>
          <w:b/>
          <w:i/>
          <w:iCs/>
          <w:highlight w:val="yellow"/>
        </w:rPr>
        <w:t>Guidance: This list of exclusions represent insurance market wide exclusions for the third party public and products liability insurance. If something listed here is excluded and you wish it can be covered by an alternative insurance and include in in Part D</w:t>
      </w:r>
      <w:r w:rsidRPr="00BD6C5F">
        <w:rPr>
          <w:highlight w:val="yellow"/>
        </w:rPr>
        <w:t>]</w:t>
      </w:r>
    </w:p>
    <w:p w14:paraId="3EAD304F" w14:textId="77777777" w:rsidR="00BC7DDA" w:rsidRPr="00BD6C5F" w:rsidRDefault="009B03E9" w:rsidP="007F4C8A">
      <w:pPr>
        <w:pStyle w:val="AppendixText1"/>
      </w:pPr>
      <w:r w:rsidRPr="00BD6C5F">
        <w:t>Maximum deductible threshold</w:t>
      </w:r>
    </w:p>
    <w:p w14:paraId="15232A5B" w14:textId="0BBA646E" w:rsidR="00BC7DDA" w:rsidRPr="00BD6C5F" w:rsidRDefault="009B03E9" w:rsidP="007F4C8A">
      <w:pPr>
        <w:pStyle w:val="AppendixText2"/>
      </w:pPr>
      <w:r w:rsidRPr="00BD6C5F">
        <w:t xml:space="preserve">Not to exceed </w:t>
      </w:r>
      <w:r w:rsidRPr="006D1202">
        <w:rPr>
          <w:bCs/>
        </w:rPr>
        <w:t>£</w:t>
      </w:r>
      <w:r w:rsidRPr="006D1202">
        <w:rPr>
          <w:bCs/>
          <w:iCs/>
          <w:shd w:val="clear" w:color="auto" w:fill="FFFF00"/>
        </w:rPr>
        <w:t>[</w:t>
      </w:r>
      <w:r w:rsidRPr="00012747">
        <w:rPr>
          <w:b/>
          <w:iCs/>
          <w:shd w:val="clear" w:color="auto" w:fill="FFFF00"/>
        </w:rPr>
        <w:t>Insert</w:t>
      </w:r>
      <w:r w:rsidRPr="006D1202">
        <w:rPr>
          <w:bCs/>
          <w:iCs/>
          <w:shd w:val="clear" w:color="auto" w:fill="FFFF00"/>
        </w:rPr>
        <w:t>: figure on contract award based on the Supplier</w:t>
      </w:r>
      <w:r w:rsidR="00A4555C" w:rsidRPr="006D1202">
        <w:rPr>
          <w:bCs/>
          <w:iCs/>
          <w:shd w:val="clear" w:color="auto" w:fill="FFFF00"/>
        </w:rPr>
        <w:t>’</w:t>
      </w:r>
      <w:r w:rsidRPr="006D1202">
        <w:rPr>
          <w:bCs/>
          <w:iCs/>
          <w:shd w:val="clear" w:color="auto" w:fill="FFFF00"/>
        </w:rPr>
        <w:t>s acceptable response to the ITT]</w:t>
      </w:r>
      <w:r w:rsidRPr="006D1202">
        <w:rPr>
          <w:bCs/>
          <w:iCs/>
        </w:rPr>
        <w:t xml:space="preserve"> </w:t>
      </w:r>
      <w:r w:rsidRPr="00BD6C5F">
        <w:t>for each and every third party property damage claim (personal injury claims to be paid in full).</w:t>
      </w:r>
    </w:p>
    <w:p w14:paraId="2B13B8DC" w14:textId="5B8C45D9" w:rsidR="00BC7DDA" w:rsidRPr="00BD6C5F" w:rsidRDefault="001A45F8" w:rsidP="00C376BE">
      <w:pPr>
        <w:pStyle w:val="Heading3"/>
        <w:pageBreakBefore/>
      </w:pPr>
      <w:r w:rsidRPr="00BD6C5F">
        <w:lastRenderedPageBreak/>
        <w:t>Part C: United Kingdom Compulsory Insurances</w:t>
      </w:r>
    </w:p>
    <w:p w14:paraId="2EA7A62A" w14:textId="71251876" w:rsidR="00BC7DDA" w:rsidRPr="00BD6C5F" w:rsidRDefault="009B03E9" w:rsidP="00C376BE">
      <w:pPr>
        <w:pStyle w:val="BodyText"/>
        <w:spacing w:before="100" w:after="200"/>
        <w:rPr>
          <w:rFonts w:asciiTheme="minorHAnsi" w:hAnsiTheme="minorHAnsi" w:cstheme="minorHAnsi"/>
        </w:rPr>
      </w:pPr>
      <w:r w:rsidRPr="00BD6C5F">
        <w:rPr>
          <w:rFonts w:asciiTheme="minorHAnsi" w:hAnsiTheme="minorHAnsi" w:cstheme="minorHAnsi"/>
        </w:rPr>
        <w:t>The Supplier shall meet its insurance obligations under applicable Law in full, including, UK employers</w:t>
      </w:r>
      <w:r w:rsidR="00A4555C" w:rsidRPr="00BD6C5F">
        <w:rPr>
          <w:rFonts w:asciiTheme="minorHAnsi" w:hAnsiTheme="minorHAnsi" w:cstheme="minorHAnsi"/>
        </w:rPr>
        <w:t>’</w:t>
      </w:r>
      <w:r w:rsidRPr="00BD6C5F">
        <w:rPr>
          <w:rFonts w:asciiTheme="minorHAnsi" w:hAnsiTheme="minorHAnsi" w:cstheme="minorHAnsi"/>
        </w:rPr>
        <w:t xml:space="preserve"> liability insurance and motor third party liability insurance.</w:t>
      </w:r>
    </w:p>
    <w:p w14:paraId="2D7DDAC1" w14:textId="2338792F" w:rsidR="00BC7DDA" w:rsidRPr="00BD6C5F" w:rsidRDefault="001A45F8" w:rsidP="00C376BE">
      <w:pPr>
        <w:pStyle w:val="Heading3"/>
        <w:pageBreakBefore/>
      </w:pPr>
      <w:bookmarkStart w:id="386" w:name="_bookmark133"/>
      <w:bookmarkEnd w:id="386"/>
      <w:r w:rsidRPr="00BD6C5F">
        <w:lastRenderedPageBreak/>
        <w:t>Part D: Additional Insurances</w:t>
      </w:r>
    </w:p>
    <w:p w14:paraId="503DDA0E" w14:textId="40E5CBE6" w:rsidR="00BC7DDA" w:rsidRPr="0077211A" w:rsidRDefault="009B03E9" w:rsidP="00C376BE">
      <w:pPr>
        <w:pStyle w:val="BodyText"/>
        <w:spacing w:before="100" w:after="200"/>
        <w:rPr>
          <w:rFonts w:asciiTheme="minorHAnsi" w:hAnsiTheme="minorHAnsi" w:cstheme="minorHAnsi"/>
          <w:b/>
          <w:i/>
        </w:rPr>
      </w:pPr>
      <w:r w:rsidRPr="00BD6C5F">
        <w:rPr>
          <w:rFonts w:asciiTheme="minorHAnsi" w:hAnsiTheme="minorHAnsi" w:cstheme="minorHAnsi"/>
          <w:bCs/>
          <w:iCs/>
          <w:shd w:val="clear" w:color="auto" w:fill="FFFF00"/>
        </w:rPr>
        <w:t>[</w:t>
      </w:r>
      <w:r w:rsidRPr="0077211A">
        <w:rPr>
          <w:rFonts w:asciiTheme="minorHAnsi" w:hAnsiTheme="minorHAnsi" w:cstheme="minorHAnsi"/>
          <w:b/>
          <w:i/>
          <w:shd w:val="clear" w:color="auto" w:fill="FFFF00"/>
        </w:rPr>
        <w:t>Guidance: You may wish to consider including the following additional required</w:t>
      </w:r>
      <w:r w:rsidRPr="0077211A">
        <w:rPr>
          <w:rFonts w:asciiTheme="minorHAnsi" w:hAnsiTheme="minorHAnsi" w:cstheme="minorHAnsi"/>
          <w:b/>
          <w:i/>
        </w:rPr>
        <w:t xml:space="preserve"> </w:t>
      </w:r>
      <w:r w:rsidRPr="0077211A">
        <w:rPr>
          <w:rFonts w:asciiTheme="minorHAnsi" w:hAnsiTheme="minorHAnsi" w:cstheme="minorHAnsi"/>
          <w:b/>
          <w:i/>
          <w:shd w:val="clear" w:color="auto" w:fill="FFFF00"/>
        </w:rPr>
        <w:t>insurances such as:</w:t>
      </w:r>
    </w:p>
    <w:tbl>
      <w:tblPr>
        <w:tblStyle w:val="MSATable-header"/>
        <w:tblW w:w="10205" w:type="dxa"/>
        <w:tblLayout w:type="fixed"/>
        <w:tblLook w:val="0600" w:firstRow="0" w:lastRow="0" w:firstColumn="0" w:lastColumn="0" w:noHBand="1" w:noVBand="1"/>
      </w:tblPr>
      <w:tblGrid>
        <w:gridCol w:w="2835"/>
        <w:gridCol w:w="7370"/>
      </w:tblGrid>
      <w:tr w:rsidR="00BC7DDA" w:rsidRPr="0077211A" w14:paraId="1584FC7E" w14:textId="77777777" w:rsidTr="00C376BE">
        <w:trPr>
          <w:trHeight w:val="20"/>
        </w:trPr>
        <w:tc>
          <w:tcPr>
            <w:tcW w:w="2835" w:type="dxa"/>
          </w:tcPr>
          <w:p w14:paraId="79D85513" w14:textId="53FD500B" w:rsidR="00BC7DDA" w:rsidRPr="0077211A" w:rsidRDefault="00312782" w:rsidP="00C376BE">
            <w:pPr>
              <w:pStyle w:val="Tabletext"/>
              <w:rPr>
                <w:b/>
                <w:i/>
                <w:highlight w:val="yellow"/>
              </w:rPr>
            </w:pPr>
            <w:r w:rsidRPr="0077211A">
              <w:rPr>
                <w:b/>
                <w:i/>
                <w:highlight w:val="yellow"/>
              </w:rPr>
              <w:t>Professional Indemnity Insurance</w:t>
            </w:r>
          </w:p>
        </w:tc>
        <w:tc>
          <w:tcPr>
            <w:tcW w:w="7370" w:type="dxa"/>
          </w:tcPr>
          <w:p w14:paraId="7B44B29C" w14:textId="0740F0A7"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includes a potential breach of professional duty by the Supplier in connection with professional advice and /or professional services.</w:t>
            </w:r>
          </w:p>
        </w:tc>
      </w:tr>
      <w:tr w:rsidR="00BC7DDA" w:rsidRPr="0077211A" w14:paraId="1DEFB4F0" w14:textId="77777777" w:rsidTr="00C376BE">
        <w:trPr>
          <w:trHeight w:val="20"/>
        </w:trPr>
        <w:tc>
          <w:tcPr>
            <w:tcW w:w="2835" w:type="dxa"/>
          </w:tcPr>
          <w:p w14:paraId="29D71DF4" w14:textId="35272BF0"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Property Damage Insurance / Goods in Transit Insurance</w:t>
            </w:r>
          </w:p>
        </w:tc>
        <w:tc>
          <w:tcPr>
            <w:tcW w:w="7370" w:type="dxa"/>
          </w:tcPr>
          <w:p w14:paraId="3CA4EB9D" w14:textId="42E8C8DD"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necessitates primary perils insurance for relevant physical property (e.g. Authority physical property in the care, custody and control of the Supplier in delivering the Service).</w:t>
            </w:r>
          </w:p>
        </w:tc>
      </w:tr>
      <w:tr w:rsidR="00BC7DDA" w:rsidRPr="0077211A" w14:paraId="7DDD3D5E" w14:textId="77777777" w:rsidTr="00C376BE">
        <w:trPr>
          <w:trHeight w:val="20"/>
        </w:trPr>
        <w:tc>
          <w:tcPr>
            <w:tcW w:w="2835" w:type="dxa"/>
          </w:tcPr>
          <w:p w14:paraId="0FFD18EF" w14:textId="7185164B"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Cyber Liability Insurance</w:t>
            </w:r>
          </w:p>
        </w:tc>
        <w:tc>
          <w:tcPr>
            <w:tcW w:w="7370" w:type="dxa"/>
          </w:tcPr>
          <w:p w14:paraId="7BB22FB5" w14:textId="56CD78C8"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includes specific cyber risk exposures.</w:t>
            </w:r>
          </w:p>
        </w:tc>
      </w:tr>
      <w:tr w:rsidR="00BC7DDA" w:rsidRPr="0077211A" w14:paraId="3E3CE239" w14:textId="77777777" w:rsidTr="00C376BE">
        <w:trPr>
          <w:trHeight w:val="20"/>
        </w:trPr>
        <w:tc>
          <w:tcPr>
            <w:tcW w:w="2835" w:type="dxa"/>
          </w:tcPr>
          <w:p w14:paraId="2B8840DA" w14:textId="35FBFD36"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Environmental Liability Insurance or Contractors Pollution Liability Insurance</w:t>
            </w:r>
          </w:p>
        </w:tc>
        <w:tc>
          <w:tcPr>
            <w:tcW w:w="7370" w:type="dxa"/>
          </w:tcPr>
          <w:p w14:paraId="252CAEDC" w14:textId="7B5AA467"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includes exposure to significant pollution / contamination risks.</w:t>
            </w:r>
          </w:p>
        </w:tc>
      </w:tr>
      <w:tr w:rsidR="00BC7DDA" w:rsidRPr="0077211A" w14:paraId="27619E08" w14:textId="77777777" w:rsidTr="00C376BE">
        <w:trPr>
          <w:trHeight w:val="20"/>
        </w:trPr>
        <w:tc>
          <w:tcPr>
            <w:tcW w:w="2835" w:type="dxa"/>
          </w:tcPr>
          <w:p w14:paraId="0C2A60C3" w14:textId="7E7D9A95"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Aviation Insurances</w:t>
            </w:r>
          </w:p>
        </w:tc>
        <w:tc>
          <w:tcPr>
            <w:tcW w:w="7370" w:type="dxa"/>
          </w:tcPr>
          <w:p w14:paraId="50CEC4D2" w14:textId="69E63AF5"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includes use of aircraft or activity airside.</w:t>
            </w:r>
          </w:p>
        </w:tc>
      </w:tr>
      <w:tr w:rsidR="00BC7DDA" w:rsidRPr="0077211A" w14:paraId="012992EE" w14:textId="77777777" w:rsidTr="00C376BE">
        <w:trPr>
          <w:trHeight w:val="20"/>
        </w:trPr>
        <w:tc>
          <w:tcPr>
            <w:tcW w:w="2835" w:type="dxa"/>
          </w:tcPr>
          <w:p w14:paraId="66F86867" w14:textId="508FFC38"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Marine Insurances</w:t>
            </w:r>
          </w:p>
        </w:tc>
        <w:tc>
          <w:tcPr>
            <w:tcW w:w="7370" w:type="dxa"/>
          </w:tcPr>
          <w:p w14:paraId="62CA2CE7" w14:textId="25F99686"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includes use of vessels or activity on water / sea.</w:t>
            </w:r>
          </w:p>
        </w:tc>
      </w:tr>
      <w:tr w:rsidR="00BC7DDA" w:rsidRPr="0077211A" w14:paraId="1B546E3E" w14:textId="77777777" w:rsidTr="00C376BE">
        <w:trPr>
          <w:trHeight w:val="20"/>
        </w:trPr>
        <w:tc>
          <w:tcPr>
            <w:tcW w:w="2835" w:type="dxa"/>
          </w:tcPr>
          <w:p w14:paraId="32F6755A" w14:textId="02863046"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Rail Insurances</w:t>
            </w:r>
          </w:p>
        </w:tc>
        <w:tc>
          <w:tcPr>
            <w:tcW w:w="7370" w:type="dxa"/>
          </w:tcPr>
          <w:p w14:paraId="3400BCB6" w14:textId="736E874D" w:rsidR="00BC7DDA" w:rsidRPr="0077211A" w:rsidRDefault="00312782" w:rsidP="00C376BE">
            <w:pPr>
              <w:pStyle w:val="Tabletext"/>
              <w:rPr>
                <w:rFonts w:asciiTheme="minorHAnsi" w:hAnsiTheme="minorHAnsi" w:cstheme="minorHAnsi"/>
                <w:b/>
                <w:i/>
                <w:highlight w:val="yellow"/>
              </w:rPr>
            </w:pPr>
            <w:r w:rsidRPr="0077211A">
              <w:rPr>
                <w:rFonts w:asciiTheme="minorHAnsi" w:hAnsiTheme="minorHAnsi" w:cstheme="minorHAnsi"/>
                <w:b/>
                <w:i/>
                <w:highlight w:val="yellow"/>
              </w:rPr>
              <w:t>Where the Authority requirement needs to adhere to the Office of Road and Rail insurance requirements.</w:t>
            </w:r>
          </w:p>
        </w:tc>
      </w:tr>
    </w:tbl>
    <w:p w14:paraId="111613BC" w14:textId="77777777" w:rsidR="00BC7DDA" w:rsidRPr="0077211A" w:rsidRDefault="00BC7DDA">
      <w:pPr>
        <w:pStyle w:val="BodyText"/>
        <w:rPr>
          <w:rFonts w:asciiTheme="minorHAnsi" w:hAnsiTheme="minorHAnsi" w:cstheme="minorHAnsi"/>
          <w:b/>
          <w:i/>
        </w:rPr>
      </w:pPr>
    </w:p>
    <w:p w14:paraId="6EB14D91" w14:textId="6DDEAF9E" w:rsidR="00BC7DDA" w:rsidRPr="00BD6C5F" w:rsidRDefault="009B03E9" w:rsidP="00C376BE">
      <w:pPr>
        <w:pStyle w:val="BodyText"/>
        <w:spacing w:before="100" w:after="200"/>
        <w:rPr>
          <w:rFonts w:asciiTheme="minorHAnsi" w:hAnsiTheme="minorHAnsi" w:cstheme="minorHAnsi"/>
          <w:bCs/>
          <w:iCs/>
        </w:rPr>
      </w:pPr>
      <w:r w:rsidRPr="0077211A">
        <w:rPr>
          <w:rFonts w:asciiTheme="minorHAnsi" w:hAnsiTheme="minorHAnsi" w:cstheme="minorHAnsi"/>
          <w:b/>
          <w:i/>
          <w:shd w:val="clear" w:color="auto" w:fill="FFFF00"/>
        </w:rPr>
        <w:t>The Authority should seek professional subject matter insurance advice to determine</w:t>
      </w:r>
      <w:r w:rsidRPr="0077211A">
        <w:rPr>
          <w:rFonts w:asciiTheme="minorHAnsi" w:hAnsiTheme="minorHAnsi" w:cstheme="minorHAnsi"/>
          <w:b/>
          <w:i/>
        </w:rPr>
        <w:t xml:space="preserve"> </w:t>
      </w:r>
      <w:r w:rsidRPr="0077211A">
        <w:rPr>
          <w:rFonts w:asciiTheme="minorHAnsi" w:hAnsiTheme="minorHAnsi" w:cstheme="minorHAnsi"/>
          <w:b/>
          <w:i/>
          <w:shd w:val="clear" w:color="auto" w:fill="FFFF00"/>
        </w:rPr>
        <w:t>the scope, levels and drafting of any Additional Insurances.</w:t>
      </w:r>
      <w:r w:rsidRPr="00BD6C5F">
        <w:rPr>
          <w:rFonts w:asciiTheme="minorHAnsi" w:hAnsiTheme="minorHAnsi" w:cstheme="minorHAnsi"/>
          <w:bCs/>
          <w:iCs/>
        </w:rPr>
        <w:t>]</w:t>
      </w:r>
    </w:p>
    <w:p w14:paraId="13043C1C" w14:textId="270C6C56" w:rsidR="00B30FB1" w:rsidRPr="00BD6C5F" w:rsidRDefault="00B30FB1" w:rsidP="00B30FB1">
      <w:pPr>
        <w:rPr>
          <w:rFonts w:asciiTheme="minorHAnsi" w:hAnsiTheme="minorHAnsi" w:cstheme="minorHAnsi"/>
        </w:rPr>
      </w:pPr>
    </w:p>
    <w:p w14:paraId="22A4D87D" w14:textId="77777777" w:rsidR="00B30FB1" w:rsidRPr="00BD6C5F" w:rsidRDefault="00B30FB1" w:rsidP="00B30FB1">
      <w:pPr>
        <w:rPr>
          <w:rFonts w:asciiTheme="minorHAnsi" w:hAnsiTheme="minorHAnsi" w:cstheme="minorHAnsi"/>
        </w:rPr>
      </w:pPr>
    </w:p>
    <w:p w14:paraId="6EE08AF4" w14:textId="77777777" w:rsidR="008B479F" w:rsidRPr="00BD6C5F" w:rsidRDefault="008B479F" w:rsidP="00B30FB1">
      <w:pPr>
        <w:rPr>
          <w:rFonts w:asciiTheme="minorHAnsi" w:hAnsiTheme="minorHAnsi" w:cstheme="minorHAnsi"/>
        </w:rPr>
        <w:sectPr w:rsidR="008B479F" w:rsidRPr="00BD6C5F" w:rsidSect="00EA65BF">
          <w:headerReference w:type="default" r:id="rId62"/>
          <w:footerReference w:type="default" r:id="rId63"/>
          <w:pgSz w:w="11910" w:h="16840"/>
          <w:pgMar w:top="1701" w:right="851" w:bottom="1134" w:left="851" w:header="567" w:footer="567" w:gutter="0"/>
          <w:cols w:space="720"/>
        </w:sectPr>
      </w:pPr>
    </w:p>
    <w:p w14:paraId="69D2EC0F" w14:textId="00B6D957" w:rsidR="006F4549" w:rsidRDefault="006F4549" w:rsidP="006F4549">
      <w:pPr>
        <w:pStyle w:val="Dividername"/>
      </w:pPr>
      <w:bookmarkStart w:id="387" w:name="_bookmark134"/>
      <w:bookmarkStart w:id="388" w:name="_Ref98253711"/>
      <w:bookmarkStart w:id="389" w:name="_Ref98253819"/>
      <w:bookmarkStart w:id="390" w:name="_Toc98332720"/>
      <w:bookmarkStart w:id="391" w:name="_Toc98852897"/>
      <w:bookmarkEnd w:id="387"/>
      <w:r>
        <w:lastRenderedPageBreak/>
        <w:t xml:space="preserve">Schedule </w:t>
      </w:r>
      <w:bookmarkStart w:id="392" w:name="Schedule_7"/>
      <w:r>
        <w:t>7</w:t>
      </w:r>
      <w:bookmarkEnd w:id="392"/>
    </w:p>
    <w:p w14:paraId="5BB6F641" w14:textId="5C3A802C" w:rsidR="006F4549" w:rsidRDefault="006F4549" w:rsidP="006F4549">
      <w:pPr>
        <w:pStyle w:val="Dividername"/>
      </w:pPr>
      <w:r w:rsidRPr="006F4549">
        <w:t>Authority Responsibilities</w:t>
      </w:r>
    </w:p>
    <w:p w14:paraId="151210A7" w14:textId="77777777" w:rsidR="006F4549" w:rsidRDefault="006F4549" w:rsidP="006F4549"/>
    <w:p w14:paraId="2F88CD38" w14:textId="286504CC" w:rsidR="00BC7DDA" w:rsidRPr="00BD6C5F" w:rsidRDefault="00C376BE" w:rsidP="006F4549">
      <w:pPr>
        <w:pStyle w:val="Heading1"/>
        <w:pageBreakBefore/>
      </w:pPr>
      <w:bookmarkStart w:id="393" w:name="_Toc141720990"/>
      <w:r w:rsidRPr="00BD6C5F">
        <w:lastRenderedPageBreak/>
        <w:t>Schedule 7</w:t>
      </w:r>
      <w:r w:rsidR="0058158C" w:rsidRPr="00BD6C5F">
        <w:t>:</w:t>
      </w:r>
      <w:r w:rsidRPr="00BD6C5F">
        <w:t xml:space="preserve"> Authority Responsibilities</w:t>
      </w:r>
      <w:bookmarkEnd w:id="388"/>
      <w:bookmarkEnd w:id="389"/>
      <w:bookmarkEnd w:id="390"/>
      <w:bookmarkEnd w:id="391"/>
      <w:bookmarkEnd w:id="393"/>
    </w:p>
    <w:p w14:paraId="22FEB30D" w14:textId="30CF6CB1" w:rsidR="00357E0F" w:rsidRPr="00BD6C5F" w:rsidRDefault="00357E0F" w:rsidP="00042DE0">
      <w:pPr>
        <w:pStyle w:val="ListParagraph"/>
        <w:keepNext/>
        <w:tabs>
          <w:tab w:val="left" w:pos="820"/>
          <w:tab w:val="left" w:pos="821"/>
        </w:tabs>
        <w:spacing w:before="100" w:after="200"/>
        <w:ind w:left="0" w:firstLine="0"/>
        <w:jc w:val="center"/>
        <w:rPr>
          <w:rFonts w:asciiTheme="minorHAnsi" w:hAnsiTheme="minorHAnsi" w:cstheme="minorHAnsi"/>
          <w:b/>
          <w:szCs w:val="24"/>
        </w:rPr>
      </w:pPr>
      <w:r w:rsidRPr="00BD6C5F">
        <w:rPr>
          <w:rFonts w:asciiTheme="minorHAnsi" w:hAnsiTheme="minorHAnsi" w:cstheme="minorHAnsi"/>
        </w:rPr>
        <w:t>This is the schedule referred to in the foregoing agreement betwe</w:t>
      </w:r>
      <w:r w:rsidR="001A45F8" w:rsidRPr="00BD6C5F">
        <w:rPr>
          <w:rFonts w:asciiTheme="minorHAnsi" w:hAnsiTheme="minorHAnsi" w:cstheme="minorHAnsi"/>
        </w:rPr>
        <w:t>en [</w:t>
      </w:r>
      <w:r w:rsidR="001A45F8" w:rsidRPr="00BD6C5F">
        <w:rPr>
          <w:rFonts w:asciiTheme="minorHAnsi" w:hAnsiTheme="minorHAnsi" w:cstheme="minorHAnsi"/>
          <w:highlight w:val="yellow"/>
        </w:rPr>
        <w:t>name of party</w:t>
      </w:r>
      <w:r w:rsidR="001A45F8" w:rsidRPr="00BD6C5F">
        <w:rPr>
          <w:rFonts w:asciiTheme="minorHAnsi" w:hAnsiTheme="minorHAnsi" w:cstheme="minorHAnsi"/>
        </w:rPr>
        <w:t>] and [</w:t>
      </w:r>
      <w:r w:rsidR="001A45F8" w:rsidRPr="00BD6C5F">
        <w:rPr>
          <w:rFonts w:asciiTheme="minorHAnsi" w:hAnsiTheme="minorHAnsi" w:cstheme="minorHAnsi"/>
          <w:highlight w:val="yellow"/>
        </w:rPr>
        <w:t>name of party</w:t>
      </w:r>
      <w:r w:rsidR="001A45F8" w:rsidRPr="00BD6C5F">
        <w:rPr>
          <w:rFonts w:asciiTheme="minorHAnsi" w:hAnsiTheme="minorHAnsi" w:cstheme="minorHAnsi"/>
        </w:rPr>
        <w:t>] dated [</w:t>
      </w:r>
      <w:r w:rsidR="001A45F8" w:rsidRPr="00BD6C5F">
        <w:rPr>
          <w:rFonts w:asciiTheme="minorHAnsi" w:hAnsiTheme="minorHAnsi" w:cstheme="minorHAnsi"/>
          <w:highlight w:val="yellow"/>
        </w:rPr>
        <w:t>date</w:t>
      </w:r>
      <w:r w:rsidR="001A45F8" w:rsidRPr="00BD6C5F">
        <w:rPr>
          <w:rFonts w:asciiTheme="minorHAnsi" w:hAnsiTheme="minorHAnsi" w:cstheme="minorHAnsi"/>
        </w:rPr>
        <w:t>]</w:t>
      </w:r>
    </w:p>
    <w:p w14:paraId="14C1117E" w14:textId="53550F32" w:rsidR="00BC7DDA" w:rsidRPr="00BD6C5F" w:rsidRDefault="001A45F8" w:rsidP="00B71FC0">
      <w:pPr>
        <w:pStyle w:val="Numbered1"/>
        <w:numPr>
          <w:ilvl w:val="0"/>
          <w:numId w:val="86"/>
        </w:numPr>
      </w:pPr>
      <w:r w:rsidRPr="00BD6C5F">
        <w:t>Introduction</w:t>
      </w:r>
    </w:p>
    <w:p w14:paraId="2A7A7B4B" w14:textId="089516B3" w:rsidR="00BC7DDA" w:rsidRPr="00BD6C5F" w:rsidRDefault="009B03E9" w:rsidP="00C5057A">
      <w:pPr>
        <w:pStyle w:val="Numbered11"/>
      </w:pPr>
      <w:r w:rsidRPr="00BD6C5F">
        <w:t xml:space="preserve">The responsibilities of the Authority set out in this Schedule shall constitute the Authority Responsibilities under this </w:t>
      </w:r>
      <w:r w:rsidR="00E97C8D" w:rsidRPr="00BD6C5F">
        <w:t>Contract</w:t>
      </w:r>
      <w:r w:rsidRPr="00BD6C5F">
        <w:t xml:space="preserve">. Any obligations of the Authority in </w:t>
      </w:r>
      <w:r w:rsidR="00484523" w:rsidRPr="00484523">
        <w:t>Schedule </w:t>
      </w:r>
      <w:r w:rsidR="00484523" w:rsidRPr="00484523">
        <w:fldChar w:fldCharType="begin"/>
      </w:r>
      <w:r w:rsidR="00484523" w:rsidRPr="00484523">
        <w:instrText xml:space="preserve"> REF Schedule_2 \h  \* MERGEFORMAT </w:instrText>
      </w:r>
      <w:r w:rsidR="00484523" w:rsidRPr="00484523">
        <w:fldChar w:fldCharType="separate"/>
      </w:r>
      <w:r w:rsidR="009749A0">
        <w:t>2</w:t>
      </w:r>
      <w:r w:rsidR="00484523" w:rsidRPr="00484523">
        <w:fldChar w:fldCharType="end"/>
      </w:r>
      <w:r w:rsidRPr="00BD6C5F">
        <w:t xml:space="preserve"> (</w:t>
      </w:r>
      <w:r w:rsidRPr="00BD6C5F">
        <w:rPr>
          <w:i/>
          <w:iCs/>
        </w:rPr>
        <w:t>Services Description</w:t>
      </w:r>
      <w:r w:rsidRPr="00BD6C5F">
        <w:t xml:space="preserve">) and </w:t>
      </w:r>
      <w:r w:rsidR="0019439D" w:rsidRPr="00BD6C5F">
        <w:t>Schedule </w:t>
      </w:r>
      <w:r w:rsidR="0019439D">
        <w:fldChar w:fldCharType="begin"/>
      </w:r>
      <w:r w:rsidR="0019439D">
        <w:instrText xml:space="preserve"> REF Schedule_8 \h </w:instrText>
      </w:r>
      <w:r w:rsidR="0019439D">
        <w:fldChar w:fldCharType="separate"/>
      </w:r>
      <w:r w:rsidR="009749A0">
        <w:t>8</w:t>
      </w:r>
      <w:r w:rsidR="0019439D">
        <w:fldChar w:fldCharType="end"/>
      </w:r>
      <w:r w:rsidR="00FF2A19" w:rsidRPr="00BD6C5F">
        <w:t xml:space="preserve"> </w:t>
      </w:r>
      <w:r w:rsidRPr="00BD6C5F">
        <w:t>(</w:t>
      </w:r>
      <w:r w:rsidRPr="00BD6C5F">
        <w:rPr>
          <w:i/>
          <w:iCs/>
        </w:rPr>
        <w:t>Supplier Solution</w:t>
      </w:r>
      <w:r w:rsidRPr="00BD6C5F">
        <w:t xml:space="preserve">) shall not be Authority Responsibilities and the Authority shall have no obligation to perform any such obligations unless they are specifically stated to be </w:t>
      </w:r>
      <w:r w:rsidR="00A4555C" w:rsidRPr="00BD6C5F">
        <w:t>“</w:t>
      </w:r>
      <w:r w:rsidRPr="00BD6C5F">
        <w:t>Authority Responsibilities</w:t>
      </w:r>
      <w:r w:rsidR="00A4555C" w:rsidRPr="00BD6C5F">
        <w:t>”</w:t>
      </w:r>
      <w:r w:rsidRPr="00BD6C5F">
        <w:t xml:space="preserve"> and cross referenced in the table in Paragraph </w:t>
      </w:r>
      <w:r w:rsidR="00F65834" w:rsidRPr="00BD6C5F">
        <w:fldChar w:fldCharType="begin"/>
      </w:r>
      <w:r w:rsidR="00F65834" w:rsidRPr="00BD6C5F">
        <w:instrText xml:space="preserve"> REF _Ref98410118 \n \h </w:instrText>
      </w:r>
      <w:r w:rsidR="00D46221" w:rsidRPr="00BD6C5F">
        <w:instrText xml:space="preserve"> \* MERGEFORMAT </w:instrText>
      </w:r>
      <w:r w:rsidR="00F65834" w:rsidRPr="00BD6C5F">
        <w:fldChar w:fldCharType="separate"/>
      </w:r>
      <w:r w:rsidR="009749A0">
        <w:t>3</w:t>
      </w:r>
      <w:r w:rsidR="00F65834" w:rsidRPr="00BD6C5F">
        <w:fldChar w:fldCharType="end"/>
      </w:r>
      <w:r w:rsidRPr="00BD6C5F">
        <w:t>.</w:t>
      </w:r>
    </w:p>
    <w:p w14:paraId="37D8B8AC" w14:textId="77777777" w:rsidR="00BC7DDA" w:rsidRPr="00BD6C5F" w:rsidRDefault="009B03E9" w:rsidP="00C5057A">
      <w:pPr>
        <w:pStyle w:val="Numbered11"/>
      </w:pPr>
      <w:r w:rsidRPr="00BD6C5F">
        <w:t>The responsibilities specified within this Schedule shall be provided to the Supplier free of charge, unless otherwise agreed between the Parties.</w:t>
      </w:r>
    </w:p>
    <w:p w14:paraId="103182D1" w14:textId="61AA538B" w:rsidR="00BC7DDA" w:rsidRPr="00BD6C5F" w:rsidRDefault="001A45F8" w:rsidP="00C5057A">
      <w:pPr>
        <w:pStyle w:val="Numbered1"/>
      </w:pPr>
      <w:r w:rsidRPr="00BD6C5F">
        <w:t>General Obligations</w:t>
      </w:r>
    </w:p>
    <w:p w14:paraId="567447B8" w14:textId="77777777" w:rsidR="00BC7DDA" w:rsidRPr="00BD6C5F" w:rsidRDefault="009B03E9" w:rsidP="00A47A7E">
      <w:pPr>
        <w:pStyle w:val="Numbered11"/>
        <w:keepNext/>
      </w:pPr>
      <w:r w:rsidRPr="00BD6C5F">
        <w:t>The Authority shall:</w:t>
      </w:r>
    </w:p>
    <w:p w14:paraId="45F035BC" w14:textId="00EB96B0" w:rsidR="00BC7DDA" w:rsidRPr="00BD6C5F" w:rsidRDefault="009B03E9" w:rsidP="001A45F8">
      <w:pPr>
        <w:pStyle w:val="Numbered111"/>
      </w:pPr>
      <w:r w:rsidRPr="00BD6C5F">
        <w:t xml:space="preserve">perform those obligations of the Authority which are set out in the Clauses of this </w:t>
      </w:r>
      <w:r w:rsidR="00E97C8D" w:rsidRPr="00BD6C5F">
        <w:t xml:space="preserve">Contract </w:t>
      </w:r>
      <w:r w:rsidRPr="00BD6C5F">
        <w:t xml:space="preserve">and the Paragraphs of the Schedules (except </w:t>
      </w:r>
      <w:r w:rsidR="00484523" w:rsidRPr="00484523">
        <w:rPr>
          <w:rFonts w:asciiTheme="minorHAnsi" w:hAnsiTheme="minorHAnsi" w:cstheme="minorHAnsi"/>
        </w:rPr>
        <w:t>Schedule </w:t>
      </w:r>
      <w:r w:rsidR="00484523" w:rsidRPr="00484523">
        <w:rPr>
          <w:rFonts w:asciiTheme="minorHAnsi" w:hAnsiTheme="minorHAnsi" w:cstheme="minorHAnsi"/>
        </w:rPr>
        <w:fldChar w:fldCharType="begin"/>
      </w:r>
      <w:r w:rsidR="00484523" w:rsidRPr="00484523">
        <w:rPr>
          <w:rFonts w:asciiTheme="minorHAnsi" w:hAnsiTheme="minorHAnsi" w:cstheme="minorHAnsi"/>
        </w:rPr>
        <w:instrText xml:space="preserve"> REF Schedule_2 \h  \* MERGEFORMAT </w:instrText>
      </w:r>
      <w:r w:rsidR="00484523" w:rsidRPr="00484523">
        <w:rPr>
          <w:rFonts w:asciiTheme="minorHAnsi" w:hAnsiTheme="minorHAnsi" w:cstheme="minorHAnsi"/>
        </w:rPr>
      </w:r>
      <w:r w:rsidR="00484523" w:rsidRPr="00484523">
        <w:rPr>
          <w:rFonts w:asciiTheme="minorHAnsi" w:hAnsiTheme="minorHAnsi" w:cstheme="minorHAnsi"/>
        </w:rPr>
        <w:fldChar w:fldCharType="separate"/>
      </w:r>
      <w:r w:rsidR="009749A0">
        <w:t>2</w:t>
      </w:r>
      <w:r w:rsidR="00484523" w:rsidRPr="00484523">
        <w:rPr>
          <w:rFonts w:asciiTheme="minorHAnsi" w:hAnsiTheme="minorHAnsi" w:cstheme="minorHAnsi"/>
        </w:rPr>
        <w:fldChar w:fldCharType="end"/>
      </w:r>
      <w:r w:rsidRPr="00BD6C5F">
        <w:t xml:space="preserve"> (</w:t>
      </w:r>
      <w:r w:rsidRPr="00BD6C5F">
        <w:rPr>
          <w:i/>
        </w:rPr>
        <w:t>Services Description</w:t>
      </w:r>
      <w:r w:rsidRPr="00BD6C5F">
        <w:t xml:space="preserve">) and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Schedule_8 \h </w:instrText>
      </w:r>
      <w:r w:rsidR="0019439D">
        <w:rPr>
          <w:rFonts w:asciiTheme="minorHAnsi" w:hAnsiTheme="minorHAnsi" w:cstheme="minorHAnsi"/>
        </w:rPr>
      </w:r>
      <w:r w:rsidR="0019439D">
        <w:rPr>
          <w:rFonts w:asciiTheme="minorHAnsi" w:hAnsiTheme="minorHAnsi" w:cstheme="minorHAnsi"/>
        </w:rPr>
        <w:fldChar w:fldCharType="separate"/>
      </w:r>
      <w:r w:rsidR="009749A0">
        <w:t>8</w:t>
      </w:r>
      <w:r w:rsidR="0019439D">
        <w:rPr>
          <w:rFonts w:asciiTheme="minorHAnsi" w:hAnsiTheme="minorHAnsi" w:cstheme="minorHAnsi"/>
        </w:rPr>
        <w:fldChar w:fldCharType="end"/>
      </w:r>
      <w:r w:rsidR="00FF2A19" w:rsidRPr="00BD6C5F">
        <w:t xml:space="preserve"> </w:t>
      </w:r>
      <w:r w:rsidRPr="00BD6C5F">
        <w:t>(</w:t>
      </w:r>
      <w:r w:rsidRPr="00BD6C5F">
        <w:rPr>
          <w:i/>
        </w:rPr>
        <w:t>Supplier Solution</w:t>
      </w:r>
      <w:r w:rsidRPr="00BD6C5F">
        <w:t>));</w:t>
      </w:r>
    </w:p>
    <w:p w14:paraId="2B4A499C" w14:textId="5C2D7B46" w:rsidR="00BC7DDA" w:rsidRPr="00BD6C5F" w:rsidRDefault="009B03E9" w:rsidP="001A45F8">
      <w:pPr>
        <w:pStyle w:val="Numbered111"/>
      </w:pPr>
      <w:r w:rsidRPr="00BD6C5F">
        <w:t>use its reasonable endeavours to provide the Supplier with access to appropriate members of the Authority</w:t>
      </w:r>
      <w:r w:rsidR="00A4555C" w:rsidRPr="00BD6C5F">
        <w:t>’</w:t>
      </w:r>
      <w:r w:rsidRPr="00BD6C5F">
        <w:t>s staff, as such access is reasonably requested by the Supplier in order for the Supplier to discharge its obligations throughout the Term and the Termination Assistance Period;</w:t>
      </w:r>
    </w:p>
    <w:p w14:paraId="5BF6B71E" w14:textId="251C92EB" w:rsidR="00BC7DDA" w:rsidRPr="00BD6C5F" w:rsidRDefault="009B03E9" w:rsidP="001A45F8">
      <w:pPr>
        <w:pStyle w:val="Numbered111"/>
      </w:pPr>
      <w:r w:rsidRPr="00BD6C5F">
        <w:t>provide sufficient and suitably qualified staff to fulfil the Authority</w:t>
      </w:r>
      <w:r w:rsidR="00A4555C" w:rsidRPr="00BD6C5F">
        <w:t>’</w:t>
      </w:r>
      <w:r w:rsidRPr="00BD6C5F">
        <w:t xml:space="preserve">s roles and duties under this </w:t>
      </w:r>
      <w:r w:rsidR="00DF6C88" w:rsidRPr="00BD6C5F">
        <w:t>Contract</w:t>
      </w:r>
      <w:r w:rsidR="006F71A8" w:rsidRPr="00BD6C5F">
        <w:t xml:space="preserve"> </w:t>
      </w:r>
      <w:r w:rsidRPr="00BD6C5F">
        <w:t>as defined in the Implementation Plan;</w:t>
      </w:r>
    </w:p>
    <w:p w14:paraId="22DBE4C0" w14:textId="600186A4" w:rsidR="00BC7DDA" w:rsidRPr="00BD6C5F" w:rsidRDefault="009B03E9" w:rsidP="001A45F8">
      <w:pPr>
        <w:pStyle w:val="Numbered111"/>
      </w:pPr>
      <w:r w:rsidRPr="00BD6C5F">
        <w:t xml:space="preserve">use its reasonable endeavours to provide such documentation, data and/or other information that the Supplier reasonably requests that is necessary to perform its obligations under the terms of this </w:t>
      </w:r>
      <w:r w:rsidR="00DF6C88" w:rsidRPr="00BD6C5F">
        <w:t xml:space="preserve">Contract </w:t>
      </w:r>
      <w:r w:rsidRPr="00BD6C5F">
        <w:t>provided that such documentation, data and/or information is available to the Authority and is authorised for release by the Authority; and</w:t>
      </w:r>
    </w:p>
    <w:p w14:paraId="68E34DF9" w14:textId="42E00B1D" w:rsidR="00BC7DDA" w:rsidRPr="00BD6C5F" w:rsidRDefault="009B03E9" w:rsidP="001A45F8">
      <w:pPr>
        <w:pStyle w:val="Numbered111"/>
      </w:pPr>
      <w:r w:rsidRPr="00BD6C5F">
        <w:t xml:space="preserve">procure for the Supplier such agreed access and use of the Authority Premises (as a licensee only) and facilities (including relevant IT systems) as is reasonably required for the Supplier to comply with its obligations under this </w:t>
      </w:r>
      <w:r w:rsidR="00DF6C88" w:rsidRPr="00BD6C5F">
        <w:t>Contract</w:t>
      </w:r>
      <w:r w:rsidRPr="00BD6C5F">
        <w:t>, such access to be provided during the Authority</w:t>
      </w:r>
      <w:r w:rsidR="00A4555C" w:rsidRPr="00BD6C5F">
        <w:t>’</w:t>
      </w:r>
      <w:r w:rsidRPr="00BD6C5F">
        <w:t>s normal working hours on each Working Day or as otherwise agreed by the Authority (such agreement not to be unreasonably withheld or delayed).</w:t>
      </w:r>
    </w:p>
    <w:p w14:paraId="73333A72" w14:textId="663CDE89" w:rsidR="00BC7DDA" w:rsidRPr="00BD6C5F" w:rsidRDefault="001A45F8" w:rsidP="00C5057A">
      <w:pPr>
        <w:pStyle w:val="Numbered1"/>
      </w:pPr>
      <w:bookmarkStart w:id="394" w:name="_bookmark135"/>
      <w:bookmarkStart w:id="395" w:name="_Ref98410118"/>
      <w:bookmarkEnd w:id="394"/>
      <w:r w:rsidRPr="00BD6C5F">
        <w:lastRenderedPageBreak/>
        <w:t>Specific Obligations</w:t>
      </w:r>
      <w:bookmarkEnd w:id="395"/>
    </w:p>
    <w:p w14:paraId="0F562453" w14:textId="1DFBD3F8" w:rsidR="00BC7DDA" w:rsidRPr="00BD6C5F" w:rsidRDefault="009B03E9" w:rsidP="00A47A7E">
      <w:pPr>
        <w:pStyle w:val="Numbered11"/>
        <w:keepNext/>
        <w:widowControl/>
      </w:pPr>
      <w:r w:rsidRPr="00BD6C5F">
        <w:t xml:space="preserve">The Authority shall, in relation to this </w:t>
      </w:r>
      <w:r w:rsidR="00DF6C88" w:rsidRPr="00BD6C5F">
        <w:t xml:space="preserve">Contract </w:t>
      </w:r>
      <w:r w:rsidRPr="00BD6C5F">
        <w:t>perform the Authority</w:t>
      </w:r>
      <w:r w:rsidR="00A4555C" w:rsidRPr="00BD6C5F">
        <w:t>’</w:t>
      </w:r>
      <w:r w:rsidRPr="00BD6C5F">
        <w:t xml:space="preserve">s responsibilities identified as such in this </w:t>
      </w:r>
      <w:r w:rsidR="00DF6C88" w:rsidRPr="00BD6C5F">
        <w:t xml:space="preserve">Contract </w:t>
      </w:r>
      <w:r w:rsidRPr="00BD6C5F">
        <w:t>the details of which are set out below:</w:t>
      </w:r>
    </w:p>
    <w:tbl>
      <w:tblPr>
        <w:tblStyle w:val="MSATable-header"/>
        <w:tblW w:w="10204" w:type="dxa"/>
        <w:tblLayout w:type="fixed"/>
        <w:tblLook w:val="0620" w:firstRow="1" w:lastRow="0" w:firstColumn="0" w:lastColumn="0" w:noHBand="1" w:noVBand="1"/>
      </w:tblPr>
      <w:tblGrid>
        <w:gridCol w:w="5102"/>
        <w:gridCol w:w="5102"/>
      </w:tblGrid>
      <w:tr w:rsidR="00BC7DDA" w:rsidRPr="00BD6C5F" w14:paraId="42084466" w14:textId="77777777" w:rsidTr="002E04A2">
        <w:trPr>
          <w:cnfStyle w:val="100000000000" w:firstRow="1" w:lastRow="0" w:firstColumn="0" w:lastColumn="0" w:oddVBand="0" w:evenVBand="0" w:oddHBand="0" w:evenHBand="0" w:firstRowFirstColumn="0" w:firstRowLastColumn="0" w:lastRowFirstColumn="0" w:lastRowLastColumn="0"/>
          <w:trHeight w:val="20"/>
          <w:tblHeader/>
        </w:trPr>
        <w:tc>
          <w:tcPr>
            <w:tcW w:w="5102" w:type="dxa"/>
          </w:tcPr>
          <w:p w14:paraId="2C83FA9D" w14:textId="77777777" w:rsidR="00BC7DDA" w:rsidRPr="00BD6C5F" w:rsidRDefault="009B03E9" w:rsidP="00C376BE">
            <w:pPr>
              <w:pStyle w:val="Tabletext"/>
            </w:pPr>
            <w:r w:rsidRPr="00BD6C5F">
              <w:t>Document</w:t>
            </w:r>
          </w:p>
        </w:tc>
        <w:tc>
          <w:tcPr>
            <w:tcW w:w="5102" w:type="dxa"/>
          </w:tcPr>
          <w:p w14:paraId="5E3212CE" w14:textId="77777777" w:rsidR="00BC7DDA" w:rsidRPr="00BD6C5F" w:rsidRDefault="009B03E9" w:rsidP="00C376BE">
            <w:pPr>
              <w:pStyle w:val="Tabletext"/>
            </w:pPr>
            <w:r w:rsidRPr="00BD6C5F">
              <w:t>Location (Paragraph)</w:t>
            </w:r>
          </w:p>
        </w:tc>
      </w:tr>
      <w:tr w:rsidR="00BC7DDA" w:rsidRPr="00BD6C5F" w14:paraId="70DFE5A4" w14:textId="77777777" w:rsidTr="002E04A2">
        <w:trPr>
          <w:trHeight w:val="20"/>
        </w:trPr>
        <w:tc>
          <w:tcPr>
            <w:tcW w:w="5102" w:type="dxa"/>
          </w:tcPr>
          <w:p w14:paraId="5234D58B" w14:textId="77777777" w:rsidR="00BC7DDA" w:rsidRPr="006D1202" w:rsidRDefault="009B03E9" w:rsidP="00C376BE">
            <w:pPr>
              <w:pStyle w:val="Tabletext"/>
            </w:pPr>
            <w:r w:rsidRPr="006D1202">
              <w:rPr>
                <w:shd w:val="clear" w:color="auto" w:fill="FFFF00"/>
              </w:rPr>
              <w:t>[</w:t>
            </w:r>
            <w:r w:rsidRPr="00D30D0E">
              <w:rPr>
                <w:b/>
                <w:bCs/>
                <w:shd w:val="clear" w:color="auto" w:fill="FFFF00"/>
              </w:rPr>
              <w:t>Insert</w:t>
            </w:r>
            <w:r w:rsidRPr="006D1202">
              <w:rPr>
                <w:shd w:val="clear" w:color="auto" w:fill="FFFF00"/>
              </w:rPr>
              <w:t xml:space="preserve"> Schedule details here]</w:t>
            </w:r>
          </w:p>
        </w:tc>
        <w:tc>
          <w:tcPr>
            <w:tcW w:w="5102" w:type="dxa"/>
          </w:tcPr>
          <w:p w14:paraId="4FF12331" w14:textId="6A06023E" w:rsidR="00BC7DDA" w:rsidRPr="006D1202" w:rsidRDefault="009B03E9" w:rsidP="00C376BE">
            <w:pPr>
              <w:pStyle w:val="Tabletext"/>
            </w:pPr>
            <w:r w:rsidRPr="006D1202">
              <w:rPr>
                <w:shd w:val="clear" w:color="auto" w:fill="FFFF00"/>
              </w:rPr>
              <w:t>[</w:t>
            </w:r>
            <w:r w:rsidRPr="00D30D0E">
              <w:rPr>
                <w:b/>
                <w:bCs/>
                <w:shd w:val="clear" w:color="auto" w:fill="FFFF00"/>
              </w:rPr>
              <w:t>Refer</w:t>
            </w:r>
            <w:r w:rsidRPr="006D1202">
              <w:rPr>
                <w:shd w:val="clear" w:color="auto" w:fill="FFFF00"/>
              </w:rPr>
              <w:t xml:space="preserve"> to specific Paragraph</w:t>
            </w:r>
            <w:r w:rsidR="006D1202" w:rsidRPr="006D1202">
              <w:rPr>
                <w:shd w:val="clear" w:color="auto" w:fill="FFFF00"/>
              </w:rPr>
              <w:t xml:space="preserve">s </w:t>
            </w:r>
            <w:r w:rsidRPr="006D1202">
              <w:rPr>
                <w:shd w:val="clear" w:color="auto" w:fill="FFFF00"/>
              </w:rPr>
              <w:t>here]</w:t>
            </w:r>
          </w:p>
        </w:tc>
      </w:tr>
      <w:tr w:rsidR="00BC7DDA" w:rsidRPr="00BD6C5F" w14:paraId="63921E6F" w14:textId="77777777" w:rsidTr="002E04A2">
        <w:trPr>
          <w:trHeight w:val="20"/>
        </w:trPr>
        <w:tc>
          <w:tcPr>
            <w:tcW w:w="5102" w:type="dxa"/>
          </w:tcPr>
          <w:p w14:paraId="5879B26C" w14:textId="77777777" w:rsidR="00BC7DDA" w:rsidRPr="00BD6C5F" w:rsidRDefault="00BC7DDA" w:rsidP="00C376BE">
            <w:pPr>
              <w:pStyle w:val="Tabletext"/>
            </w:pPr>
          </w:p>
        </w:tc>
        <w:tc>
          <w:tcPr>
            <w:tcW w:w="5102" w:type="dxa"/>
          </w:tcPr>
          <w:p w14:paraId="4FBEBE2A" w14:textId="77777777" w:rsidR="00BC7DDA" w:rsidRPr="00BD6C5F" w:rsidRDefault="00BC7DDA" w:rsidP="00C376BE">
            <w:pPr>
              <w:pStyle w:val="Tabletext"/>
            </w:pPr>
          </w:p>
        </w:tc>
      </w:tr>
      <w:tr w:rsidR="00BC7DDA" w:rsidRPr="00BD6C5F" w14:paraId="7DEDA8D1" w14:textId="77777777" w:rsidTr="002E04A2">
        <w:trPr>
          <w:trHeight w:val="20"/>
        </w:trPr>
        <w:tc>
          <w:tcPr>
            <w:tcW w:w="5102" w:type="dxa"/>
          </w:tcPr>
          <w:p w14:paraId="77A6659B" w14:textId="77777777" w:rsidR="00BC7DDA" w:rsidRPr="00BD6C5F" w:rsidRDefault="00BC7DDA" w:rsidP="00C376BE">
            <w:pPr>
              <w:pStyle w:val="Tabletext"/>
            </w:pPr>
          </w:p>
        </w:tc>
        <w:tc>
          <w:tcPr>
            <w:tcW w:w="5102" w:type="dxa"/>
          </w:tcPr>
          <w:p w14:paraId="4594F0FB" w14:textId="77777777" w:rsidR="00BC7DDA" w:rsidRPr="00BD6C5F" w:rsidRDefault="00BC7DDA" w:rsidP="00C376BE">
            <w:pPr>
              <w:pStyle w:val="Tabletext"/>
            </w:pPr>
          </w:p>
        </w:tc>
      </w:tr>
      <w:tr w:rsidR="00BC7DDA" w:rsidRPr="00BD6C5F" w14:paraId="376D7353" w14:textId="77777777" w:rsidTr="002E04A2">
        <w:trPr>
          <w:trHeight w:val="20"/>
        </w:trPr>
        <w:tc>
          <w:tcPr>
            <w:tcW w:w="5102" w:type="dxa"/>
          </w:tcPr>
          <w:p w14:paraId="21725FC0" w14:textId="77777777" w:rsidR="00BC7DDA" w:rsidRPr="00BD6C5F" w:rsidRDefault="00BC7DDA" w:rsidP="00C376BE">
            <w:pPr>
              <w:pStyle w:val="Tabletext"/>
            </w:pPr>
          </w:p>
        </w:tc>
        <w:tc>
          <w:tcPr>
            <w:tcW w:w="5102" w:type="dxa"/>
          </w:tcPr>
          <w:p w14:paraId="3BD00C1C" w14:textId="77777777" w:rsidR="00BC7DDA" w:rsidRPr="00BD6C5F" w:rsidRDefault="00BC7DDA" w:rsidP="00C376BE">
            <w:pPr>
              <w:pStyle w:val="Tabletext"/>
            </w:pPr>
          </w:p>
        </w:tc>
      </w:tr>
      <w:tr w:rsidR="00BC7DDA" w:rsidRPr="00BD6C5F" w14:paraId="350EEA47" w14:textId="77777777" w:rsidTr="002E04A2">
        <w:trPr>
          <w:trHeight w:val="20"/>
        </w:trPr>
        <w:tc>
          <w:tcPr>
            <w:tcW w:w="5102" w:type="dxa"/>
          </w:tcPr>
          <w:p w14:paraId="7CEE193B" w14:textId="77777777" w:rsidR="00BC7DDA" w:rsidRPr="00BD6C5F" w:rsidRDefault="00BC7DDA" w:rsidP="00C376BE">
            <w:pPr>
              <w:pStyle w:val="Tabletext"/>
            </w:pPr>
          </w:p>
        </w:tc>
        <w:tc>
          <w:tcPr>
            <w:tcW w:w="5102" w:type="dxa"/>
          </w:tcPr>
          <w:p w14:paraId="554AE3B8" w14:textId="77777777" w:rsidR="00BC7DDA" w:rsidRPr="00BD6C5F" w:rsidRDefault="00BC7DDA" w:rsidP="00C376BE">
            <w:pPr>
              <w:pStyle w:val="Tabletext"/>
            </w:pPr>
          </w:p>
        </w:tc>
      </w:tr>
    </w:tbl>
    <w:p w14:paraId="47CD8147" w14:textId="77777777" w:rsidR="008B479F" w:rsidRPr="00BD6C5F" w:rsidRDefault="008B479F" w:rsidP="00B30FB1">
      <w:pPr>
        <w:rPr>
          <w:rFonts w:asciiTheme="minorHAnsi" w:hAnsiTheme="minorHAnsi" w:cstheme="minorHAnsi"/>
        </w:rPr>
      </w:pPr>
    </w:p>
    <w:p w14:paraId="317AB6DE" w14:textId="77777777" w:rsidR="00B30FB1" w:rsidRPr="00BD6C5F" w:rsidRDefault="00B30FB1" w:rsidP="00B30FB1">
      <w:pPr>
        <w:rPr>
          <w:rFonts w:asciiTheme="minorHAnsi" w:hAnsiTheme="minorHAnsi" w:cstheme="minorHAnsi"/>
        </w:rPr>
      </w:pPr>
    </w:p>
    <w:p w14:paraId="58CC52AB" w14:textId="13AB6628" w:rsidR="00B30FB1" w:rsidRPr="00BD6C5F" w:rsidRDefault="00B30FB1" w:rsidP="00B30FB1">
      <w:pPr>
        <w:rPr>
          <w:rFonts w:asciiTheme="minorHAnsi" w:hAnsiTheme="minorHAnsi" w:cstheme="minorHAnsi"/>
        </w:rPr>
        <w:sectPr w:rsidR="00B30FB1" w:rsidRPr="00BD6C5F" w:rsidSect="00EA65BF">
          <w:headerReference w:type="default" r:id="rId64"/>
          <w:footerReference w:type="default" r:id="rId65"/>
          <w:pgSz w:w="11910" w:h="16840"/>
          <w:pgMar w:top="1701" w:right="851" w:bottom="1134" w:left="851" w:header="567" w:footer="567" w:gutter="0"/>
          <w:cols w:space="720"/>
        </w:sectPr>
      </w:pPr>
    </w:p>
    <w:p w14:paraId="7C25B64F" w14:textId="620FE8C5" w:rsidR="006F4549" w:rsidRDefault="006F4549" w:rsidP="006F4549">
      <w:pPr>
        <w:pStyle w:val="Dividername"/>
      </w:pPr>
      <w:bookmarkStart w:id="396" w:name="_bookmark137"/>
      <w:bookmarkEnd w:id="396"/>
      <w:r>
        <w:lastRenderedPageBreak/>
        <w:t xml:space="preserve">Schedule </w:t>
      </w:r>
      <w:bookmarkStart w:id="397" w:name="Schedule_8"/>
      <w:r>
        <w:t>8</w:t>
      </w:r>
      <w:bookmarkEnd w:id="397"/>
    </w:p>
    <w:p w14:paraId="4DD0010A" w14:textId="4B85C0BD" w:rsidR="006F4549" w:rsidRDefault="006F4549" w:rsidP="006F4549">
      <w:pPr>
        <w:pStyle w:val="Dividername"/>
      </w:pPr>
      <w:r w:rsidRPr="006F4549">
        <w:t>Supplier Solution</w:t>
      </w:r>
    </w:p>
    <w:p w14:paraId="3FC4BEB7" w14:textId="77777777" w:rsidR="006F4549" w:rsidRDefault="006F4549" w:rsidP="006F4549"/>
    <w:p w14:paraId="6BA82EB9" w14:textId="34D6E101" w:rsidR="00BC7DDA" w:rsidRPr="00BD6C5F" w:rsidRDefault="002E04A2" w:rsidP="006F4549">
      <w:pPr>
        <w:pStyle w:val="Heading1"/>
        <w:pageBreakBefore/>
      </w:pPr>
      <w:bookmarkStart w:id="398" w:name="_Toc141720991"/>
      <w:r w:rsidRPr="00BD6C5F">
        <w:lastRenderedPageBreak/>
        <w:t>Schedule 8</w:t>
      </w:r>
      <w:r w:rsidR="0058158C" w:rsidRPr="00BD6C5F">
        <w:t>:</w:t>
      </w:r>
      <w:r w:rsidRPr="00BD6C5F">
        <w:t xml:space="preserve"> </w:t>
      </w:r>
      <w:bookmarkStart w:id="399" w:name="_Ref98320218"/>
      <w:bookmarkStart w:id="400" w:name="_Ref98322793"/>
      <w:bookmarkStart w:id="401" w:name="_Ref98322814"/>
      <w:bookmarkStart w:id="402" w:name="_Toc98332721"/>
      <w:bookmarkStart w:id="403" w:name="_Toc98852898"/>
      <w:r w:rsidRPr="00BD6C5F">
        <w:t>Supplier Solution</w:t>
      </w:r>
      <w:bookmarkEnd w:id="399"/>
      <w:bookmarkEnd w:id="400"/>
      <w:bookmarkEnd w:id="401"/>
      <w:bookmarkEnd w:id="402"/>
      <w:bookmarkEnd w:id="403"/>
      <w:bookmarkEnd w:id="398"/>
    </w:p>
    <w:p w14:paraId="65FC6687" w14:textId="4E5C6821" w:rsidR="00357E0F" w:rsidRPr="00BD6C5F" w:rsidRDefault="00357E0F" w:rsidP="00042DE0">
      <w:pPr>
        <w:spacing w:before="100" w:after="200"/>
        <w:jc w:val="center"/>
        <w:rPr>
          <w:rFonts w:asciiTheme="minorHAnsi" w:hAnsiTheme="minorHAnsi" w:cstheme="minorHAnsi"/>
          <w:bCs/>
          <w:szCs w:val="24"/>
        </w:rPr>
      </w:pPr>
      <w:r w:rsidRPr="00BD6C5F">
        <w:rPr>
          <w:rFonts w:asciiTheme="minorHAnsi" w:hAnsiTheme="minorHAnsi" w:cstheme="minorHAnsi"/>
          <w:bCs/>
        </w:rPr>
        <w:t>This is the schedule referred to in the foregoing agreement betwee</w:t>
      </w:r>
      <w:r w:rsidR="001A45F8" w:rsidRPr="00BD6C5F">
        <w:rPr>
          <w:rFonts w:asciiTheme="minorHAnsi" w:hAnsiTheme="minorHAnsi" w:cstheme="minorHAnsi"/>
          <w:bCs/>
        </w:rPr>
        <w:t>n [</w:t>
      </w:r>
      <w:r w:rsidR="001A45F8" w:rsidRPr="00BD6C5F">
        <w:rPr>
          <w:rFonts w:asciiTheme="minorHAnsi" w:hAnsiTheme="minorHAnsi" w:cstheme="minorHAnsi"/>
          <w:bCs/>
          <w:highlight w:val="yellow"/>
        </w:rPr>
        <w:t>name of party</w:t>
      </w:r>
      <w:r w:rsidR="001A45F8" w:rsidRPr="00BD6C5F">
        <w:rPr>
          <w:rFonts w:asciiTheme="minorHAnsi" w:hAnsiTheme="minorHAnsi" w:cstheme="minorHAnsi"/>
          <w:bCs/>
        </w:rPr>
        <w:t>] and [</w:t>
      </w:r>
      <w:r w:rsidR="001A45F8" w:rsidRPr="00BD6C5F">
        <w:rPr>
          <w:rFonts w:asciiTheme="minorHAnsi" w:hAnsiTheme="minorHAnsi" w:cstheme="minorHAnsi"/>
          <w:bCs/>
          <w:highlight w:val="yellow"/>
        </w:rPr>
        <w:t>name</w:t>
      </w:r>
      <w:r w:rsidR="007235E1" w:rsidRPr="00BD6C5F">
        <w:rPr>
          <w:rFonts w:asciiTheme="minorHAnsi" w:hAnsiTheme="minorHAnsi" w:cstheme="minorHAnsi"/>
          <w:bCs/>
          <w:highlight w:val="yellow"/>
        </w:rPr>
        <w:t> </w:t>
      </w:r>
      <w:r w:rsidR="001A45F8" w:rsidRPr="00BD6C5F">
        <w:rPr>
          <w:rFonts w:asciiTheme="minorHAnsi" w:hAnsiTheme="minorHAnsi" w:cstheme="minorHAnsi"/>
          <w:bCs/>
          <w:highlight w:val="yellow"/>
        </w:rPr>
        <w:t>of party</w:t>
      </w:r>
      <w:r w:rsidR="001A45F8" w:rsidRPr="00BD6C5F">
        <w:rPr>
          <w:rFonts w:asciiTheme="minorHAnsi" w:hAnsiTheme="minorHAnsi" w:cstheme="minorHAnsi"/>
          <w:bCs/>
        </w:rPr>
        <w:t>] dated [</w:t>
      </w:r>
      <w:r w:rsidR="001A45F8" w:rsidRPr="00BD6C5F">
        <w:rPr>
          <w:rFonts w:asciiTheme="minorHAnsi" w:hAnsiTheme="minorHAnsi" w:cstheme="minorHAnsi"/>
          <w:bCs/>
          <w:highlight w:val="yellow"/>
        </w:rPr>
        <w:t>date</w:t>
      </w:r>
      <w:r w:rsidR="001A45F8" w:rsidRPr="00BD6C5F">
        <w:rPr>
          <w:rFonts w:asciiTheme="minorHAnsi" w:hAnsiTheme="minorHAnsi" w:cstheme="minorHAnsi"/>
          <w:bCs/>
        </w:rPr>
        <w:t>]</w:t>
      </w:r>
    </w:p>
    <w:p w14:paraId="06A2296E" w14:textId="7ADC52E6" w:rsidR="00BC7DDA" w:rsidRPr="00BD6C5F" w:rsidRDefault="009B03E9" w:rsidP="001A45F8">
      <w:pPr>
        <w:spacing w:before="100" w:after="200"/>
        <w:rPr>
          <w:rFonts w:asciiTheme="minorHAnsi" w:hAnsiTheme="minorHAnsi" w:cstheme="minorHAnsi"/>
          <w:bCs/>
          <w:iCs/>
          <w:szCs w:val="24"/>
          <w:shd w:val="clear" w:color="auto" w:fill="FFFF00"/>
        </w:rPr>
      </w:pPr>
      <w:r w:rsidRPr="00BD6C5F">
        <w:rPr>
          <w:rFonts w:asciiTheme="minorHAnsi" w:hAnsiTheme="minorHAnsi" w:cstheme="minorHAnsi"/>
          <w:bCs/>
          <w:iCs/>
          <w:szCs w:val="24"/>
          <w:shd w:val="clear" w:color="auto" w:fill="FFFF00"/>
        </w:rPr>
        <w:t>[</w:t>
      </w:r>
      <w:r w:rsidRPr="002476A5">
        <w:rPr>
          <w:rFonts w:asciiTheme="minorHAnsi" w:hAnsiTheme="minorHAnsi" w:cstheme="minorHAnsi"/>
          <w:b/>
          <w:i/>
          <w:szCs w:val="24"/>
          <w:shd w:val="clear" w:color="auto" w:fill="FFFF00"/>
        </w:rPr>
        <w:t>Guidance: Insert Supplier Solution here</w:t>
      </w:r>
      <w:r w:rsidRPr="00BD6C5F">
        <w:rPr>
          <w:rFonts w:asciiTheme="minorHAnsi" w:hAnsiTheme="minorHAnsi" w:cstheme="minorHAnsi"/>
          <w:bCs/>
          <w:iCs/>
          <w:szCs w:val="24"/>
          <w:shd w:val="clear" w:color="auto" w:fill="FFFF00"/>
        </w:rPr>
        <w:t>]</w:t>
      </w:r>
    </w:p>
    <w:p w14:paraId="71653B4F" w14:textId="53A14C58" w:rsidR="00B30FB1" w:rsidRPr="00BD6C5F" w:rsidRDefault="00B30FB1" w:rsidP="00B30FB1">
      <w:pPr>
        <w:rPr>
          <w:rFonts w:asciiTheme="minorHAnsi" w:hAnsiTheme="minorHAnsi" w:cstheme="minorHAnsi"/>
        </w:rPr>
      </w:pPr>
    </w:p>
    <w:p w14:paraId="6DFAB58A" w14:textId="77777777" w:rsidR="00B30FB1" w:rsidRPr="00BD6C5F" w:rsidRDefault="00B30FB1" w:rsidP="00B30FB1">
      <w:pPr>
        <w:rPr>
          <w:rFonts w:asciiTheme="minorHAnsi" w:hAnsiTheme="minorHAnsi" w:cstheme="minorHAnsi"/>
        </w:rPr>
      </w:pPr>
    </w:p>
    <w:p w14:paraId="28D60967" w14:textId="77777777" w:rsidR="008B479F" w:rsidRPr="00BD6C5F" w:rsidRDefault="008B479F" w:rsidP="00B30FB1">
      <w:pPr>
        <w:rPr>
          <w:rFonts w:asciiTheme="minorHAnsi" w:hAnsiTheme="minorHAnsi" w:cstheme="minorHAnsi"/>
        </w:rPr>
        <w:sectPr w:rsidR="008B479F" w:rsidRPr="00BD6C5F" w:rsidSect="00EA65BF">
          <w:headerReference w:type="default" r:id="rId66"/>
          <w:footerReference w:type="default" r:id="rId67"/>
          <w:pgSz w:w="11910" w:h="16840"/>
          <w:pgMar w:top="1701" w:right="851" w:bottom="1134" w:left="851" w:header="567" w:footer="567" w:gutter="0"/>
          <w:cols w:space="720"/>
        </w:sectPr>
      </w:pPr>
    </w:p>
    <w:p w14:paraId="0A761DFC" w14:textId="57102A6D" w:rsidR="006F4549" w:rsidRDefault="006F4549" w:rsidP="006F4549">
      <w:pPr>
        <w:pStyle w:val="Dividername"/>
      </w:pPr>
      <w:bookmarkStart w:id="404" w:name="_bookmark138"/>
      <w:bookmarkStart w:id="405" w:name="_Ref98253008"/>
      <w:bookmarkStart w:id="406" w:name="_Toc98332722"/>
      <w:bookmarkStart w:id="407" w:name="_Toc98852899"/>
      <w:bookmarkEnd w:id="404"/>
      <w:r>
        <w:lastRenderedPageBreak/>
        <w:t xml:space="preserve">Schedule </w:t>
      </w:r>
      <w:bookmarkStart w:id="408" w:name="Schedule_9"/>
      <w:r>
        <w:t>9</w:t>
      </w:r>
      <w:bookmarkEnd w:id="408"/>
    </w:p>
    <w:p w14:paraId="70691154" w14:textId="420E066E" w:rsidR="006F4549" w:rsidRDefault="006F4549" w:rsidP="006F4549">
      <w:pPr>
        <w:pStyle w:val="Dividername"/>
      </w:pPr>
      <w:r w:rsidRPr="006F4549">
        <w:t>Commercially Sensitive Information</w:t>
      </w:r>
    </w:p>
    <w:p w14:paraId="09CAB9FB" w14:textId="77777777" w:rsidR="006F4549" w:rsidRDefault="006F4549" w:rsidP="006F4549"/>
    <w:p w14:paraId="7BB1415D" w14:textId="7BE1B7E9" w:rsidR="00BC7DDA" w:rsidRPr="00BD6C5F" w:rsidRDefault="002E04A2" w:rsidP="006F4549">
      <w:pPr>
        <w:pStyle w:val="Heading1"/>
        <w:pageBreakBefore/>
      </w:pPr>
      <w:bookmarkStart w:id="409" w:name="_Toc141720992"/>
      <w:r w:rsidRPr="00BD6C5F">
        <w:lastRenderedPageBreak/>
        <w:t>Schedule 9</w:t>
      </w:r>
      <w:r w:rsidR="0058158C" w:rsidRPr="00BD6C5F">
        <w:t>:</w:t>
      </w:r>
      <w:r w:rsidRPr="00BD6C5F">
        <w:t xml:space="preserve"> Commercially Sensitive Information</w:t>
      </w:r>
      <w:bookmarkEnd w:id="405"/>
      <w:bookmarkEnd w:id="406"/>
      <w:bookmarkEnd w:id="407"/>
      <w:bookmarkEnd w:id="409"/>
    </w:p>
    <w:p w14:paraId="47BB85BE" w14:textId="6E6EBEE1" w:rsidR="00357E0F" w:rsidRPr="00BD6C5F" w:rsidRDefault="00357E0F" w:rsidP="00042DE0">
      <w:pPr>
        <w:spacing w:before="100" w:after="200"/>
        <w:jc w:val="center"/>
      </w:pPr>
      <w:r w:rsidRPr="00BD6C5F">
        <w:t>This is the schedule referred to in the foregoing agreement betwe</w:t>
      </w:r>
      <w:r w:rsidR="007235E1" w:rsidRPr="00BD6C5F">
        <w:t>en [</w:t>
      </w:r>
      <w:r w:rsidR="007235E1" w:rsidRPr="00BD6C5F">
        <w:rPr>
          <w:highlight w:val="yellow"/>
        </w:rPr>
        <w:t>name of party</w:t>
      </w:r>
      <w:r w:rsidR="007235E1" w:rsidRPr="00BD6C5F">
        <w:t>] and [</w:t>
      </w:r>
      <w:r w:rsidR="007235E1" w:rsidRPr="00BD6C5F">
        <w:rPr>
          <w:highlight w:val="yellow"/>
        </w:rPr>
        <w:t>name of party</w:t>
      </w:r>
      <w:r w:rsidR="007235E1" w:rsidRPr="00BD6C5F">
        <w:t>] dated [</w:t>
      </w:r>
      <w:r w:rsidR="007235E1" w:rsidRPr="00BD6C5F">
        <w:rPr>
          <w:highlight w:val="yellow"/>
        </w:rPr>
        <w:t>date</w:t>
      </w:r>
      <w:r w:rsidR="007235E1" w:rsidRPr="00BD6C5F">
        <w:t>]</w:t>
      </w:r>
    </w:p>
    <w:p w14:paraId="707215DF" w14:textId="77777777" w:rsidR="003D74DA" w:rsidRPr="00BD6C5F" w:rsidRDefault="003D74DA" w:rsidP="003D74DA"/>
    <w:p w14:paraId="58ED7092" w14:textId="74504B5D" w:rsidR="003D74DA" w:rsidRPr="00BD6C5F" w:rsidRDefault="003D74DA" w:rsidP="00B71FC0">
      <w:pPr>
        <w:pStyle w:val="Numbered1"/>
        <w:numPr>
          <w:ilvl w:val="0"/>
          <w:numId w:val="87"/>
        </w:numPr>
      </w:pPr>
      <w:r w:rsidRPr="00BD6C5F">
        <w:t>Commercially Sensitive Information</w:t>
      </w:r>
    </w:p>
    <w:p w14:paraId="75C43DA6" w14:textId="24489C0F" w:rsidR="00D2769D" w:rsidRPr="00BD6C5F" w:rsidRDefault="00D2769D" w:rsidP="003D74DA">
      <w:pPr>
        <w:pStyle w:val="Numbered11"/>
      </w:pPr>
      <w:r w:rsidRPr="00BD6C5F">
        <w:t>In this Schedule the Parties have sought to identify the Supplier</w:t>
      </w:r>
      <w:r w:rsidR="00A4555C" w:rsidRPr="00BD6C5F">
        <w:t>’</w:t>
      </w:r>
      <w:r w:rsidRPr="00BD6C5F">
        <w:t xml:space="preserve">s Confidential Information that is genuinely commercially sensitive and the disclosure of which would be the subject of an exemption under the </w:t>
      </w:r>
      <w:r w:rsidR="00CE0A8B" w:rsidRPr="00BD6C5F">
        <w:t xml:space="preserve">FOISA or </w:t>
      </w:r>
      <w:r w:rsidRPr="00BD6C5F">
        <w:t>FOIA and the EI</w:t>
      </w:r>
      <w:r w:rsidR="00CE0A8B" w:rsidRPr="00BD6C5F">
        <w:t>S</w:t>
      </w:r>
      <w:r w:rsidRPr="00BD6C5F">
        <w:t>Rs.</w:t>
      </w:r>
    </w:p>
    <w:p w14:paraId="047E0517" w14:textId="26764C01" w:rsidR="00D2769D" w:rsidRPr="00BD6C5F" w:rsidRDefault="00D2769D" w:rsidP="003D74DA">
      <w:pPr>
        <w:pStyle w:val="Numbered11"/>
      </w:pPr>
      <w:r w:rsidRPr="00BD6C5F">
        <w:t xml:space="preserve">Where possible, the Parties have sought to identify when any relevant Information will cease to fall into the category of Information to which this Schedule applies in the table below (please see the column </w:t>
      </w:r>
      <w:r w:rsidR="00A4555C" w:rsidRPr="00BD6C5F">
        <w:t>“</w:t>
      </w:r>
      <w:r w:rsidRPr="00BD6C5F">
        <w:t>Duration of Confidentiality</w:t>
      </w:r>
      <w:r w:rsidR="00A4555C" w:rsidRPr="00BD6C5F">
        <w:t>”</w:t>
      </w:r>
      <w:r w:rsidRPr="00BD6C5F">
        <w:t>).</w:t>
      </w:r>
    </w:p>
    <w:p w14:paraId="7195F987" w14:textId="2581C735" w:rsidR="00D2769D" w:rsidRPr="00BD6C5F" w:rsidRDefault="00D2769D" w:rsidP="003D74DA">
      <w:pPr>
        <w:pStyle w:val="Numbered11"/>
      </w:pPr>
      <w:r w:rsidRPr="00BD6C5F">
        <w:t>Without prejudice to the Authority</w:t>
      </w:r>
      <w:r w:rsidR="00A4555C" w:rsidRPr="00BD6C5F">
        <w:t>’</w:t>
      </w:r>
      <w:r w:rsidRPr="00BD6C5F">
        <w:t xml:space="preserve">s obligation to disclose Information in accordance with </w:t>
      </w:r>
      <w:r w:rsidR="00CE0A8B" w:rsidRPr="00BD6C5F">
        <w:t xml:space="preserve">FOISA or </w:t>
      </w:r>
      <w:r w:rsidRPr="00BD6C5F">
        <w:t xml:space="preserve">FOIA or </w:t>
      </w:r>
      <w:r w:rsidR="005E736B" w:rsidRPr="00BD6C5F">
        <w:t>Clause </w:t>
      </w:r>
      <w:r w:rsidRPr="00BD6C5F">
        <w:t>19 (</w:t>
      </w:r>
      <w:r w:rsidRPr="00BD6C5F">
        <w:rPr>
          <w:i/>
          <w:iCs/>
        </w:rPr>
        <w:t>Confidentiality</w:t>
      </w:r>
      <w:r w:rsidRPr="00BD6C5F">
        <w:t xml:space="preserve">), the Authority will, in its sole discretion, acting reasonably, seek to apply the relevant exemption set out in the </w:t>
      </w:r>
      <w:r w:rsidR="00CE0A8B" w:rsidRPr="00BD6C5F">
        <w:t xml:space="preserve">FOISA or </w:t>
      </w:r>
      <w:r w:rsidRPr="00BD6C5F">
        <w:t>FOIA to the following Information:</w:t>
      </w:r>
    </w:p>
    <w:tbl>
      <w:tblPr>
        <w:tblStyle w:val="MSATable-header"/>
        <w:tblW w:w="10202" w:type="dxa"/>
        <w:tblLayout w:type="fixed"/>
        <w:tblLook w:val="0620" w:firstRow="1" w:lastRow="0" w:firstColumn="0" w:lastColumn="0" w:noHBand="1" w:noVBand="1"/>
      </w:tblPr>
      <w:tblGrid>
        <w:gridCol w:w="850"/>
        <w:gridCol w:w="1134"/>
        <w:gridCol w:w="5953"/>
        <w:gridCol w:w="2265"/>
      </w:tblGrid>
      <w:tr w:rsidR="002E04A2" w:rsidRPr="00BD6C5F" w14:paraId="052AF28C" w14:textId="77777777" w:rsidTr="002E04A2">
        <w:trPr>
          <w:cnfStyle w:val="100000000000" w:firstRow="1" w:lastRow="0" w:firstColumn="0" w:lastColumn="0" w:oddVBand="0" w:evenVBand="0" w:oddHBand="0" w:evenHBand="0" w:firstRowFirstColumn="0" w:firstRowLastColumn="0" w:lastRowFirstColumn="0" w:lastRowLastColumn="0"/>
          <w:trHeight w:val="20"/>
          <w:tblHeader/>
        </w:trPr>
        <w:tc>
          <w:tcPr>
            <w:tcW w:w="850" w:type="dxa"/>
          </w:tcPr>
          <w:p w14:paraId="0C5650D5" w14:textId="77777777" w:rsidR="00BC7DDA" w:rsidRPr="00BD6C5F" w:rsidRDefault="009B03E9" w:rsidP="002E04A2">
            <w:pPr>
              <w:pStyle w:val="Tabletext"/>
            </w:pPr>
            <w:r w:rsidRPr="00BD6C5F">
              <w:t>No.</w:t>
            </w:r>
          </w:p>
        </w:tc>
        <w:tc>
          <w:tcPr>
            <w:tcW w:w="1134" w:type="dxa"/>
          </w:tcPr>
          <w:p w14:paraId="6667B093" w14:textId="77777777" w:rsidR="00BC7DDA" w:rsidRPr="00BD6C5F" w:rsidRDefault="009B03E9" w:rsidP="002E04A2">
            <w:pPr>
              <w:pStyle w:val="Tabletext"/>
            </w:pPr>
            <w:r w:rsidRPr="00BD6C5F">
              <w:t>Date</w:t>
            </w:r>
          </w:p>
        </w:tc>
        <w:tc>
          <w:tcPr>
            <w:tcW w:w="5953" w:type="dxa"/>
          </w:tcPr>
          <w:p w14:paraId="32EDF642" w14:textId="77777777" w:rsidR="00BC7DDA" w:rsidRPr="00BD6C5F" w:rsidRDefault="009B03E9" w:rsidP="002E04A2">
            <w:pPr>
              <w:pStyle w:val="Tabletext"/>
            </w:pPr>
            <w:r w:rsidRPr="00BD6C5F">
              <w:t>Item(s)</w:t>
            </w:r>
          </w:p>
        </w:tc>
        <w:tc>
          <w:tcPr>
            <w:tcW w:w="2265" w:type="dxa"/>
          </w:tcPr>
          <w:p w14:paraId="6E0D094E" w14:textId="77777777" w:rsidR="00BC7DDA" w:rsidRPr="00BD6C5F" w:rsidRDefault="009B03E9" w:rsidP="002E04A2">
            <w:pPr>
              <w:pStyle w:val="Tabletext"/>
            </w:pPr>
            <w:r w:rsidRPr="00BD6C5F">
              <w:t>Duration of Confidentiality</w:t>
            </w:r>
          </w:p>
        </w:tc>
      </w:tr>
      <w:tr w:rsidR="00BC7DDA" w:rsidRPr="00BD6C5F" w14:paraId="56E500DF" w14:textId="77777777" w:rsidTr="002E04A2">
        <w:trPr>
          <w:trHeight w:val="20"/>
        </w:trPr>
        <w:tc>
          <w:tcPr>
            <w:tcW w:w="850" w:type="dxa"/>
          </w:tcPr>
          <w:p w14:paraId="5BA7860D" w14:textId="77777777" w:rsidR="00BC7DDA" w:rsidRPr="00BD6C5F" w:rsidRDefault="00BC7DDA" w:rsidP="002E04A2">
            <w:pPr>
              <w:pStyle w:val="Tabletext"/>
            </w:pPr>
          </w:p>
        </w:tc>
        <w:tc>
          <w:tcPr>
            <w:tcW w:w="1134" w:type="dxa"/>
          </w:tcPr>
          <w:p w14:paraId="44CE8C78" w14:textId="77777777" w:rsidR="00BC7DDA" w:rsidRPr="00BD6C5F" w:rsidRDefault="00BC7DDA" w:rsidP="002E04A2">
            <w:pPr>
              <w:pStyle w:val="Tabletext"/>
            </w:pPr>
          </w:p>
        </w:tc>
        <w:tc>
          <w:tcPr>
            <w:tcW w:w="5953" w:type="dxa"/>
          </w:tcPr>
          <w:p w14:paraId="42EFB913" w14:textId="77777777" w:rsidR="00BC7DDA" w:rsidRPr="00BD6C5F" w:rsidRDefault="00BC7DDA" w:rsidP="002E04A2">
            <w:pPr>
              <w:pStyle w:val="Tabletext"/>
            </w:pPr>
          </w:p>
        </w:tc>
        <w:tc>
          <w:tcPr>
            <w:tcW w:w="2265" w:type="dxa"/>
          </w:tcPr>
          <w:p w14:paraId="019BF3CF" w14:textId="77777777" w:rsidR="00BC7DDA" w:rsidRPr="00BD6C5F" w:rsidRDefault="00BC7DDA" w:rsidP="002E04A2">
            <w:pPr>
              <w:pStyle w:val="Tabletext"/>
            </w:pPr>
          </w:p>
        </w:tc>
      </w:tr>
      <w:tr w:rsidR="00BC7DDA" w:rsidRPr="00BD6C5F" w14:paraId="2EB5D1B1" w14:textId="77777777" w:rsidTr="002E04A2">
        <w:trPr>
          <w:trHeight w:val="20"/>
        </w:trPr>
        <w:tc>
          <w:tcPr>
            <w:tcW w:w="850" w:type="dxa"/>
          </w:tcPr>
          <w:p w14:paraId="2A5F5F74" w14:textId="77777777" w:rsidR="00BC7DDA" w:rsidRPr="00BD6C5F" w:rsidRDefault="00BC7DDA" w:rsidP="002E04A2">
            <w:pPr>
              <w:pStyle w:val="Tabletext"/>
            </w:pPr>
          </w:p>
        </w:tc>
        <w:tc>
          <w:tcPr>
            <w:tcW w:w="1134" w:type="dxa"/>
          </w:tcPr>
          <w:p w14:paraId="27DDAE6C" w14:textId="77777777" w:rsidR="00BC7DDA" w:rsidRPr="00BD6C5F" w:rsidRDefault="00BC7DDA" w:rsidP="002E04A2">
            <w:pPr>
              <w:pStyle w:val="Tabletext"/>
            </w:pPr>
          </w:p>
        </w:tc>
        <w:tc>
          <w:tcPr>
            <w:tcW w:w="5953" w:type="dxa"/>
          </w:tcPr>
          <w:p w14:paraId="7E79316F" w14:textId="77777777" w:rsidR="00BC7DDA" w:rsidRPr="00BD6C5F" w:rsidRDefault="00BC7DDA" w:rsidP="002E04A2">
            <w:pPr>
              <w:pStyle w:val="Tabletext"/>
            </w:pPr>
          </w:p>
        </w:tc>
        <w:tc>
          <w:tcPr>
            <w:tcW w:w="2265" w:type="dxa"/>
          </w:tcPr>
          <w:p w14:paraId="0A6A651D" w14:textId="77777777" w:rsidR="00BC7DDA" w:rsidRPr="00BD6C5F" w:rsidRDefault="00BC7DDA" w:rsidP="002E04A2">
            <w:pPr>
              <w:pStyle w:val="Tabletext"/>
            </w:pPr>
          </w:p>
        </w:tc>
      </w:tr>
      <w:tr w:rsidR="00BC7DDA" w:rsidRPr="00BD6C5F" w14:paraId="5BB446F5" w14:textId="77777777" w:rsidTr="002E04A2">
        <w:trPr>
          <w:trHeight w:val="20"/>
        </w:trPr>
        <w:tc>
          <w:tcPr>
            <w:tcW w:w="850" w:type="dxa"/>
          </w:tcPr>
          <w:p w14:paraId="103A4A12" w14:textId="77777777" w:rsidR="00BC7DDA" w:rsidRPr="00BD6C5F" w:rsidRDefault="00BC7DDA" w:rsidP="002E04A2">
            <w:pPr>
              <w:pStyle w:val="Tabletext"/>
            </w:pPr>
          </w:p>
        </w:tc>
        <w:tc>
          <w:tcPr>
            <w:tcW w:w="1134" w:type="dxa"/>
          </w:tcPr>
          <w:p w14:paraId="2738550E" w14:textId="77777777" w:rsidR="00BC7DDA" w:rsidRPr="00BD6C5F" w:rsidRDefault="00BC7DDA" w:rsidP="002E04A2">
            <w:pPr>
              <w:pStyle w:val="Tabletext"/>
            </w:pPr>
          </w:p>
        </w:tc>
        <w:tc>
          <w:tcPr>
            <w:tcW w:w="5953" w:type="dxa"/>
          </w:tcPr>
          <w:p w14:paraId="3723BCA0" w14:textId="77777777" w:rsidR="00BC7DDA" w:rsidRPr="00BD6C5F" w:rsidRDefault="00BC7DDA" w:rsidP="002E04A2">
            <w:pPr>
              <w:pStyle w:val="Tabletext"/>
            </w:pPr>
          </w:p>
        </w:tc>
        <w:tc>
          <w:tcPr>
            <w:tcW w:w="2265" w:type="dxa"/>
          </w:tcPr>
          <w:p w14:paraId="710804FD" w14:textId="77777777" w:rsidR="00BC7DDA" w:rsidRPr="00BD6C5F" w:rsidRDefault="00BC7DDA" w:rsidP="002E04A2">
            <w:pPr>
              <w:pStyle w:val="Tabletext"/>
            </w:pPr>
          </w:p>
        </w:tc>
      </w:tr>
      <w:tr w:rsidR="00BC7DDA" w:rsidRPr="00BD6C5F" w14:paraId="36FD4E80" w14:textId="77777777" w:rsidTr="002E04A2">
        <w:trPr>
          <w:trHeight w:val="20"/>
        </w:trPr>
        <w:tc>
          <w:tcPr>
            <w:tcW w:w="850" w:type="dxa"/>
          </w:tcPr>
          <w:p w14:paraId="2E131852" w14:textId="77777777" w:rsidR="00BC7DDA" w:rsidRPr="00BD6C5F" w:rsidRDefault="00BC7DDA" w:rsidP="002E04A2">
            <w:pPr>
              <w:pStyle w:val="Tabletext"/>
            </w:pPr>
          </w:p>
        </w:tc>
        <w:tc>
          <w:tcPr>
            <w:tcW w:w="1134" w:type="dxa"/>
          </w:tcPr>
          <w:p w14:paraId="2D98CA2C" w14:textId="77777777" w:rsidR="00BC7DDA" w:rsidRPr="00BD6C5F" w:rsidRDefault="00BC7DDA" w:rsidP="002E04A2">
            <w:pPr>
              <w:pStyle w:val="Tabletext"/>
            </w:pPr>
          </w:p>
        </w:tc>
        <w:tc>
          <w:tcPr>
            <w:tcW w:w="5953" w:type="dxa"/>
          </w:tcPr>
          <w:p w14:paraId="5990BF4B" w14:textId="77777777" w:rsidR="00BC7DDA" w:rsidRPr="00BD6C5F" w:rsidRDefault="00BC7DDA" w:rsidP="002E04A2">
            <w:pPr>
              <w:pStyle w:val="Tabletext"/>
            </w:pPr>
          </w:p>
        </w:tc>
        <w:tc>
          <w:tcPr>
            <w:tcW w:w="2265" w:type="dxa"/>
          </w:tcPr>
          <w:p w14:paraId="21077AC3" w14:textId="77777777" w:rsidR="00BC7DDA" w:rsidRPr="00BD6C5F" w:rsidRDefault="00BC7DDA" w:rsidP="002E04A2">
            <w:pPr>
              <w:pStyle w:val="Tabletext"/>
            </w:pPr>
          </w:p>
        </w:tc>
      </w:tr>
      <w:tr w:rsidR="00BC7DDA" w:rsidRPr="00BD6C5F" w14:paraId="41E895C9" w14:textId="77777777" w:rsidTr="002E04A2">
        <w:trPr>
          <w:trHeight w:val="20"/>
        </w:trPr>
        <w:tc>
          <w:tcPr>
            <w:tcW w:w="850" w:type="dxa"/>
          </w:tcPr>
          <w:p w14:paraId="2EB95F2A" w14:textId="77777777" w:rsidR="00BC7DDA" w:rsidRPr="00BD6C5F" w:rsidRDefault="00BC7DDA" w:rsidP="002E04A2">
            <w:pPr>
              <w:pStyle w:val="Tabletext"/>
            </w:pPr>
          </w:p>
        </w:tc>
        <w:tc>
          <w:tcPr>
            <w:tcW w:w="1134" w:type="dxa"/>
          </w:tcPr>
          <w:p w14:paraId="18849FDC" w14:textId="77777777" w:rsidR="00BC7DDA" w:rsidRPr="00BD6C5F" w:rsidRDefault="00BC7DDA" w:rsidP="002E04A2">
            <w:pPr>
              <w:pStyle w:val="Tabletext"/>
            </w:pPr>
          </w:p>
        </w:tc>
        <w:tc>
          <w:tcPr>
            <w:tcW w:w="5953" w:type="dxa"/>
          </w:tcPr>
          <w:p w14:paraId="32F566FB" w14:textId="77777777" w:rsidR="00BC7DDA" w:rsidRPr="00BD6C5F" w:rsidRDefault="00BC7DDA" w:rsidP="002E04A2">
            <w:pPr>
              <w:pStyle w:val="Tabletext"/>
            </w:pPr>
          </w:p>
        </w:tc>
        <w:tc>
          <w:tcPr>
            <w:tcW w:w="2265" w:type="dxa"/>
          </w:tcPr>
          <w:p w14:paraId="0B7C7D89" w14:textId="77777777" w:rsidR="00BC7DDA" w:rsidRPr="00BD6C5F" w:rsidRDefault="00BC7DDA" w:rsidP="002E04A2">
            <w:pPr>
              <w:pStyle w:val="Tabletext"/>
            </w:pPr>
          </w:p>
        </w:tc>
      </w:tr>
      <w:tr w:rsidR="00BC7DDA" w:rsidRPr="00BD6C5F" w14:paraId="4716B642" w14:textId="77777777" w:rsidTr="002E04A2">
        <w:trPr>
          <w:trHeight w:val="20"/>
        </w:trPr>
        <w:tc>
          <w:tcPr>
            <w:tcW w:w="850" w:type="dxa"/>
          </w:tcPr>
          <w:p w14:paraId="12C70F86" w14:textId="77777777" w:rsidR="00BC7DDA" w:rsidRPr="00BD6C5F" w:rsidRDefault="00BC7DDA" w:rsidP="002E04A2">
            <w:pPr>
              <w:pStyle w:val="Tabletext"/>
            </w:pPr>
          </w:p>
        </w:tc>
        <w:tc>
          <w:tcPr>
            <w:tcW w:w="1134" w:type="dxa"/>
          </w:tcPr>
          <w:p w14:paraId="79AB3070" w14:textId="77777777" w:rsidR="00BC7DDA" w:rsidRPr="00BD6C5F" w:rsidRDefault="00BC7DDA" w:rsidP="002E04A2">
            <w:pPr>
              <w:pStyle w:val="Tabletext"/>
            </w:pPr>
          </w:p>
        </w:tc>
        <w:tc>
          <w:tcPr>
            <w:tcW w:w="5953" w:type="dxa"/>
          </w:tcPr>
          <w:p w14:paraId="376E31B3" w14:textId="77777777" w:rsidR="00BC7DDA" w:rsidRPr="00BD6C5F" w:rsidRDefault="00BC7DDA" w:rsidP="002E04A2">
            <w:pPr>
              <w:pStyle w:val="Tabletext"/>
            </w:pPr>
          </w:p>
        </w:tc>
        <w:tc>
          <w:tcPr>
            <w:tcW w:w="2265" w:type="dxa"/>
          </w:tcPr>
          <w:p w14:paraId="197560FE" w14:textId="77777777" w:rsidR="00BC7DDA" w:rsidRPr="00BD6C5F" w:rsidRDefault="00BC7DDA" w:rsidP="002E04A2">
            <w:pPr>
              <w:pStyle w:val="Tabletext"/>
            </w:pPr>
          </w:p>
        </w:tc>
      </w:tr>
      <w:tr w:rsidR="00BC7DDA" w:rsidRPr="00BD6C5F" w14:paraId="34BD1BA6" w14:textId="77777777" w:rsidTr="002E04A2">
        <w:trPr>
          <w:trHeight w:val="20"/>
        </w:trPr>
        <w:tc>
          <w:tcPr>
            <w:tcW w:w="850" w:type="dxa"/>
          </w:tcPr>
          <w:p w14:paraId="4D5ACE7A" w14:textId="77777777" w:rsidR="00BC7DDA" w:rsidRPr="00BD6C5F" w:rsidRDefault="00BC7DDA" w:rsidP="002E04A2">
            <w:pPr>
              <w:pStyle w:val="Tabletext"/>
            </w:pPr>
          </w:p>
        </w:tc>
        <w:tc>
          <w:tcPr>
            <w:tcW w:w="1134" w:type="dxa"/>
          </w:tcPr>
          <w:p w14:paraId="2FB0099E" w14:textId="77777777" w:rsidR="00BC7DDA" w:rsidRPr="00BD6C5F" w:rsidRDefault="00BC7DDA" w:rsidP="002E04A2">
            <w:pPr>
              <w:pStyle w:val="Tabletext"/>
            </w:pPr>
          </w:p>
        </w:tc>
        <w:tc>
          <w:tcPr>
            <w:tcW w:w="5953" w:type="dxa"/>
          </w:tcPr>
          <w:p w14:paraId="0F6DD070" w14:textId="77777777" w:rsidR="00BC7DDA" w:rsidRPr="00BD6C5F" w:rsidRDefault="00BC7DDA" w:rsidP="002E04A2">
            <w:pPr>
              <w:pStyle w:val="Tabletext"/>
            </w:pPr>
          </w:p>
        </w:tc>
        <w:tc>
          <w:tcPr>
            <w:tcW w:w="2265" w:type="dxa"/>
          </w:tcPr>
          <w:p w14:paraId="02E20A98" w14:textId="77777777" w:rsidR="00BC7DDA" w:rsidRPr="00BD6C5F" w:rsidRDefault="00BC7DDA" w:rsidP="002E04A2">
            <w:pPr>
              <w:pStyle w:val="Tabletext"/>
            </w:pPr>
          </w:p>
        </w:tc>
      </w:tr>
      <w:tr w:rsidR="00BC7DDA" w:rsidRPr="00BD6C5F" w14:paraId="436AC35A" w14:textId="77777777" w:rsidTr="002E04A2">
        <w:trPr>
          <w:trHeight w:val="20"/>
        </w:trPr>
        <w:tc>
          <w:tcPr>
            <w:tcW w:w="850" w:type="dxa"/>
          </w:tcPr>
          <w:p w14:paraId="55DA6C26" w14:textId="77777777" w:rsidR="00BC7DDA" w:rsidRPr="00BD6C5F" w:rsidRDefault="00BC7DDA" w:rsidP="002E04A2">
            <w:pPr>
              <w:pStyle w:val="Tabletext"/>
            </w:pPr>
          </w:p>
        </w:tc>
        <w:tc>
          <w:tcPr>
            <w:tcW w:w="1134" w:type="dxa"/>
          </w:tcPr>
          <w:p w14:paraId="3773CB2B" w14:textId="77777777" w:rsidR="00BC7DDA" w:rsidRPr="00BD6C5F" w:rsidRDefault="00BC7DDA" w:rsidP="002E04A2">
            <w:pPr>
              <w:pStyle w:val="Tabletext"/>
            </w:pPr>
          </w:p>
        </w:tc>
        <w:tc>
          <w:tcPr>
            <w:tcW w:w="5953" w:type="dxa"/>
          </w:tcPr>
          <w:p w14:paraId="7045F088" w14:textId="77777777" w:rsidR="00BC7DDA" w:rsidRPr="00BD6C5F" w:rsidRDefault="00BC7DDA" w:rsidP="002E04A2">
            <w:pPr>
              <w:pStyle w:val="Tabletext"/>
            </w:pPr>
          </w:p>
        </w:tc>
        <w:tc>
          <w:tcPr>
            <w:tcW w:w="2265" w:type="dxa"/>
          </w:tcPr>
          <w:p w14:paraId="46298F49" w14:textId="77777777" w:rsidR="00BC7DDA" w:rsidRPr="00BD6C5F" w:rsidRDefault="00BC7DDA" w:rsidP="002E04A2">
            <w:pPr>
              <w:pStyle w:val="Tabletext"/>
            </w:pPr>
          </w:p>
        </w:tc>
      </w:tr>
      <w:tr w:rsidR="00BC7DDA" w:rsidRPr="00BD6C5F" w14:paraId="49002595" w14:textId="77777777" w:rsidTr="002E04A2">
        <w:trPr>
          <w:trHeight w:val="20"/>
        </w:trPr>
        <w:tc>
          <w:tcPr>
            <w:tcW w:w="850" w:type="dxa"/>
          </w:tcPr>
          <w:p w14:paraId="71D539BF" w14:textId="77777777" w:rsidR="00BC7DDA" w:rsidRPr="00BD6C5F" w:rsidRDefault="00BC7DDA" w:rsidP="002E04A2">
            <w:pPr>
              <w:pStyle w:val="Tabletext"/>
            </w:pPr>
          </w:p>
        </w:tc>
        <w:tc>
          <w:tcPr>
            <w:tcW w:w="1134" w:type="dxa"/>
          </w:tcPr>
          <w:p w14:paraId="1C153D5D" w14:textId="77777777" w:rsidR="00BC7DDA" w:rsidRPr="00BD6C5F" w:rsidRDefault="00BC7DDA" w:rsidP="002E04A2">
            <w:pPr>
              <w:pStyle w:val="Tabletext"/>
            </w:pPr>
          </w:p>
        </w:tc>
        <w:tc>
          <w:tcPr>
            <w:tcW w:w="5953" w:type="dxa"/>
          </w:tcPr>
          <w:p w14:paraId="75DFDEB1" w14:textId="77777777" w:rsidR="00BC7DDA" w:rsidRPr="00BD6C5F" w:rsidRDefault="00BC7DDA" w:rsidP="002E04A2">
            <w:pPr>
              <w:pStyle w:val="Tabletext"/>
            </w:pPr>
          </w:p>
        </w:tc>
        <w:tc>
          <w:tcPr>
            <w:tcW w:w="2265" w:type="dxa"/>
          </w:tcPr>
          <w:p w14:paraId="286F1833" w14:textId="77777777" w:rsidR="00BC7DDA" w:rsidRPr="00BD6C5F" w:rsidRDefault="00BC7DDA" w:rsidP="002E04A2">
            <w:pPr>
              <w:pStyle w:val="Tabletext"/>
            </w:pPr>
          </w:p>
        </w:tc>
      </w:tr>
      <w:tr w:rsidR="00BC7DDA" w:rsidRPr="00BD6C5F" w14:paraId="12E4C6FD" w14:textId="77777777" w:rsidTr="002E04A2">
        <w:trPr>
          <w:trHeight w:val="20"/>
        </w:trPr>
        <w:tc>
          <w:tcPr>
            <w:tcW w:w="850" w:type="dxa"/>
          </w:tcPr>
          <w:p w14:paraId="25AEA2CB" w14:textId="77777777" w:rsidR="00BC7DDA" w:rsidRPr="00BD6C5F" w:rsidRDefault="00BC7DDA" w:rsidP="002E04A2">
            <w:pPr>
              <w:pStyle w:val="Tabletext"/>
            </w:pPr>
          </w:p>
        </w:tc>
        <w:tc>
          <w:tcPr>
            <w:tcW w:w="1134" w:type="dxa"/>
          </w:tcPr>
          <w:p w14:paraId="37A7FB2C" w14:textId="77777777" w:rsidR="00BC7DDA" w:rsidRPr="00BD6C5F" w:rsidRDefault="00BC7DDA" w:rsidP="002E04A2">
            <w:pPr>
              <w:pStyle w:val="Tabletext"/>
            </w:pPr>
          </w:p>
        </w:tc>
        <w:tc>
          <w:tcPr>
            <w:tcW w:w="5953" w:type="dxa"/>
          </w:tcPr>
          <w:p w14:paraId="425B8E04" w14:textId="77777777" w:rsidR="00BC7DDA" w:rsidRPr="00BD6C5F" w:rsidRDefault="00BC7DDA" w:rsidP="002E04A2">
            <w:pPr>
              <w:pStyle w:val="Tabletext"/>
            </w:pPr>
          </w:p>
        </w:tc>
        <w:tc>
          <w:tcPr>
            <w:tcW w:w="2265" w:type="dxa"/>
          </w:tcPr>
          <w:p w14:paraId="4D6410C9" w14:textId="77777777" w:rsidR="00BC7DDA" w:rsidRPr="00BD6C5F" w:rsidRDefault="00BC7DDA" w:rsidP="002E04A2">
            <w:pPr>
              <w:pStyle w:val="Tabletext"/>
            </w:pPr>
          </w:p>
        </w:tc>
      </w:tr>
      <w:tr w:rsidR="00BC7DDA" w:rsidRPr="00BD6C5F" w14:paraId="2E39CFF6" w14:textId="77777777" w:rsidTr="002E04A2">
        <w:trPr>
          <w:trHeight w:val="20"/>
        </w:trPr>
        <w:tc>
          <w:tcPr>
            <w:tcW w:w="850" w:type="dxa"/>
          </w:tcPr>
          <w:p w14:paraId="6DB294D3" w14:textId="77777777" w:rsidR="00BC7DDA" w:rsidRPr="00BD6C5F" w:rsidRDefault="00BC7DDA" w:rsidP="002E04A2">
            <w:pPr>
              <w:pStyle w:val="Tabletext"/>
            </w:pPr>
          </w:p>
        </w:tc>
        <w:tc>
          <w:tcPr>
            <w:tcW w:w="1134" w:type="dxa"/>
          </w:tcPr>
          <w:p w14:paraId="77045657" w14:textId="77777777" w:rsidR="00BC7DDA" w:rsidRPr="00BD6C5F" w:rsidRDefault="00BC7DDA" w:rsidP="002E04A2">
            <w:pPr>
              <w:pStyle w:val="Tabletext"/>
            </w:pPr>
          </w:p>
        </w:tc>
        <w:tc>
          <w:tcPr>
            <w:tcW w:w="5953" w:type="dxa"/>
          </w:tcPr>
          <w:p w14:paraId="7C7132D3" w14:textId="77777777" w:rsidR="00BC7DDA" w:rsidRPr="00BD6C5F" w:rsidRDefault="00BC7DDA" w:rsidP="002E04A2">
            <w:pPr>
              <w:pStyle w:val="Tabletext"/>
            </w:pPr>
          </w:p>
        </w:tc>
        <w:tc>
          <w:tcPr>
            <w:tcW w:w="2265" w:type="dxa"/>
          </w:tcPr>
          <w:p w14:paraId="1DB7C629" w14:textId="77777777" w:rsidR="00BC7DDA" w:rsidRPr="00BD6C5F" w:rsidRDefault="00BC7DDA" w:rsidP="002E04A2">
            <w:pPr>
              <w:pStyle w:val="Tabletext"/>
            </w:pPr>
          </w:p>
        </w:tc>
      </w:tr>
      <w:tr w:rsidR="00BC7DDA" w:rsidRPr="00BD6C5F" w14:paraId="2B803CDF" w14:textId="77777777" w:rsidTr="002E04A2">
        <w:trPr>
          <w:trHeight w:val="20"/>
        </w:trPr>
        <w:tc>
          <w:tcPr>
            <w:tcW w:w="850" w:type="dxa"/>
          </w:tcPr>
          <w:p w14:paraId="7AEBEBA0" w14:textId="77777777" w:rsidR="00BC7DDA" w:rsidRPr="00BD6C5F" w:rsidRDefault="00BC7DDA" w:rsidP="002E04A2">
            <w:pPr>
              <w:pStyle w:val="Tabletext"/>
            </w:pPr>
          </w:p>
        </w:tc>
        <w:tc>
          <w:tcPr>
            <w:tcW w:w="1134" w:type="dxa"/>
          </w:tcPr>
          <w:p w14:paraId="47BB6278" w14:textId="77777777" w:rsidR="00BC7DDA" w:rsidRPr="00BD6C5F" w:rsidRDefault="00BC7DDA" w:rsidP="002E04A2">
            <w:pPr>
              <w:pStyle w:val="Tabletext"/>
            </w:pPr>
          </w:p>
        </w:tc>
        <w:tc>
          <w:tcPr>
            <w:tcW w:w="5953" w:type="dxa"/>
          </w:tcPr>
          <w:p w14:paraId="7ABD6D7B" w14:textId="77777777" w:rsidR="00BC7DDA" w:rsidRPr="00BD6C5F" w:rsidRDefault="00BC7DDA" w:rsidP="002E04A2">
            <w:pPr>
              <w:pStyle w:val="Tabletext"/>
            </w:pPr>
          </w:p>
        </w:tc>
        <w:tc>
          <w:tcPr>
            <w:tcW w:w="2265" w:type="dxa"/>
          </w:tcPr>
          <w:p w14:paraId="501E0A5C" w14:textId="77777777" w:rsidR="00BC7DDA" w:rsidRPr="00BD6C5F" w:rsidRDefault="00BC7DDA" w:rsidP="002E04A2">
            <w:pPr>
              <w:pStyle w:val="Tabletext"/>
            </w:pPr>
          </w:p>
        </w:tc>
      </w:tr>
      <w:tr w:rsidR="00BC7DDA" w:rsidRPr="00BD6C5F" w14:paraId="2E0F4C46" w14:textId="77777777" w:rsidTr="002E04A2">
        <w:trPr>
          <w:trHeight w:val="20"/>
        </w:trPr>
        <w:tc>
          <w:tcPr>
            <w:tcW w:w="850" w:type="dxa"/>
          </w:tcPr>
          <w:p w14:paraId="71ABFB7E" w14:textId="77777777" w:rsidR="00BC7DDA" w:rsidRPr="00BD6C5F" w:rsidRDefault="00BC7DDA" w:rsidP="002E04A2">
            <w:pPr>
              <w:pStyle w:val="Tabletext"/>
            </w:pPr>
          </w:p>
        </w:tc>
        <w:tc>
          <w:tcPr>
            <w:tcW w:w="1134" w:type="dxa"/>
          </w:tcPr>
          <w:p w14:paraId="6DDC11B9" w14:textId="77777777" w:rsidR="00BC7DDA" w:rsidRPr="00BD6C5F" w:rsidRDefault="00BC7DDA" w:rsidP="002E04A2">
            <w:pPr>
              <w:pStyle w:val="Tabletext"/>
            </w:pPr>
          </w:p>
        </w:tc>
        <w:tc>
          <w:tcPr>
            <w:tcW w:w="5953" w:type="dxa"/>
          </w:tcPr>
          <w:p w14:paraId="2EA0D746" w14:textId="77777777" w:rsidR="00BC7DDA" w:rsidRPr="00BD6C5F" w:rsidRDefault="00BC7DDA" w:rsidP="002E04A2">
            <w:pPr>
              <w:pStyle w:val="Tabletext"/>
            </w:pPr>
          </w:p>
        </w:tc>
        <w:tc>
          <w:tcPr>
            <w:tcW w:w="2265" w:type="dxa"/>
          </w:tcPr>
          <w:p w14:paraId="6B6F7603" w14:textId="77777777" w:rsidR="00BC7DDA" w:rsidRPr="00BD6C5F" w:rsidRDefault="00BC7DDA" w:rsidP="002E04A2">
            <w:pPr>
              <w:pStyle w:val="Tabletext"/>
            </w:pPr>
          </w:p>
        </w:tc>
      </w:tr>
      <w:tr w:rsidR="00BC7DDA" w:rsidRPr="00BD6C5F" w14:paraId="1A73C8B6" w14:textId="77777777" w:rsidTr="002E04A2">
        <w:trPr>
          <w:trHeight w:val="20"/>
        </w:trPr>
        <w:tc>
          <w:tcPr>
            <w:tcW w:w="850" w:type="dxa"/>
          </w:tcPr>
          <w:p w14:paraId="1BEDE496" w14:textId="77777777" w:rsidR="00BC7DDA" w:rsidRPr="00BD6C5F" w:rsidRDefault="00BC7DDA" w:rsidP="002E04A2">
            <w:pPr>
              <w:pStyle w:val="Tabletext"/>
            </w:pPr>
          </w:p>
        </w:tc>
        <w:tc>
          <w:tcPr>
            <w:tcW w:w="1134" w:type="dxa"/>
          </w:tcPr>
          <w:p w14:paraId="10670917" w14:textId="77777777" w:rsidR="00BC7DDA" w:rsidRPr="00BD6C5F" w:rsidRDefault="00BC7DDA" w:rsidP="002E04A2">
            <w:pPr>
              <w:pStyle w:val="Tabletext"/>
            </w:pPr>
          </w:p>
        </w:tc>
        <w:tc>
          <w:tcPr>
            <w:tcW w:w="5953" w:type="dxa"/>
          </w:tcPr>
          <w:p w14:paraId="5BD46C7A" w14:textId="77777777" w:rsidR="00BC7DDA" w:rsidRPr="00BD6C5F" w:rsidRDefault="00BC7DDA" w:rsidP="002E04A2">
            <w:pPr>
              <w:pStyle w:val="Tabletext"/>
            </w:pPr>
          </w:p>
        </w:tc>
        <w:tc>
          <w:tcPr>
            <w:tcW w:w="2265" w:type="dxa"/>
          </w:tcPr>
          <w:p w14:paraId="7F527C34" w14:textId="77777777" w:rsidR="00BC7DDA" w:rsidRPr="00BD6C5F" w:rsidRDefault="00BC7DDA" w:rsidP="002E04A2">
            <w:pPr>
              <w:pStyle w:val="Tabletext"/>
            </w:pPr>
          </w:p>
        </w:tc>
      </w:tr>
      <w:tr w:rsidR="00BC7DDA" w:rsidRPr="00BD6C5F" w14:paraId="70CE5F8E" w14:textId="77777777" w:rsidTr="002E04A2">
        <w:trPr>
          <w:trHeight w:val="20"/>
        </w:trPr>
        <w:tc>
          <w:tcPr>
            <w:tcW w:w="850" w:type="dxa"/>
          </w:tcPr>
          <w:p w14:paraId="66E79E4B" w14:textId="77777777" w:rsidR="00BC7DDA" w:rsidRPr="00BD6C5F" w:rsidRDefault="00BC7DDA" w:rsidP="002E04A2">
            <w:pPr>
              <w:pStyle w:val="Tabletext"/>
            </w:pPr>
          </w:p>
        </w:tc>
        <w:tc>
          <w:tcPr>
            <w:tcW w:w="1134" w:type="dxa"/>
          </w:tcPr>
          <w:p w14:paraId="5EB09B94" w14:textId="77777777" w:rsidR="00BC7DDA" w:rsidRPr="00BD6C5F" w:rsidRDefault="00BC7DDA" w:rsidP="002E04A2">
            <w:pPr>
              <w:pStyle w:val="Tabletext"/>
            </w:pPr>
          </w:p>
        </w:tc>
        <w:tc>
          <w:tcPr>
            <w:tcW w:w="5953" w:type="dxa"/>
          </w:tcPr>
          <w:p w14:paraId="384D7207" w14:textId="77777777" w:rsidR="00BC7DDA" w:rsidRPr="00BD6C5F" w:rsidRDefault="00BC7DDA" w:rsidP="002E04A2">
            <w:pPr>
              <w:pStyle w:val="Tabletext"/>
            </w:pPr>
          </w:p>
        </w:tc>
        <w:tc>
          <w:tcPr>
            <w:tcW w:w="2265" w:type="dxa"/>
          </w:tcPr>
          <w:p w14:paraId="0E1C5AA7" w14:textId="77777777" w:rsidR="00BC7DDA" w:rsidRPr="00BD6C5F" w:rsidRDefault="00BC7DDA" w:rsidP="002E04A2">
            <w:pPr>
              <w:pStyle w:val="Tabletext"/>
            </w:pPr>
          </w:p>
        </w:tc>
      </w:tr>
    </w:tbl>
    <w:p w14:paraId="765811BB" w14:textId="77777777" w:rsidR="00B30FB1" w:rsidRPr="00BD6C5F" w:rsidRDefault="00B30FB1" w:rsidP="00B30FB1">
      <w:pPr>
        <w:rPr>
          <w:rFonts w:asciiTheme="minorHAnsi" w:hAnsiTheme="minorHAnsi" w:cstheme="minorHAnsi"/>
        </w:rPr>
      </w:pPr>
    </w:p>
    <w:p w14:paraId="2CA6ED73" w14:textId="77777777" w:rsidR="00B30FB1" w:rsidRPr="00BD6C5F" w:rsidRDefault="00B30FB1" w:rsidP="00B30FB1">
      <w:pPr>
        <w:rPr>
          <w:rFonts w:asciiTheme="minorHAnsi" w:hAnsiTheme="minorHAnsi" w:cstheme="minorHAnsi"/>
        </w:rPr>
      </w:pPr>
    </w:p>
    <w:p w14:paraId="4BF043AB" w14:textId="2BAD2666" w:rsidR="00B30FB1" w:rsidRPr="00BD6C5F" w:rsidRDefault="00B30FB1" w:rsidP="00B30FB1">
      <w:pPr>
        <w:rPr>
          <w:rFonts w:asciiTheme="minorHAnsi" w:hAnsiTheme="minorHAnsi" w:cstheme="minorHAnsi"/>
        </w:rPr>
        <w:sectPr w:rsidR="00B30FB1" w:rsidRPr="00BD6C5F" w:rsidSect="00EA65BF">
          <w:headerReference w:type="default" r:id="rId68"/>
          <w:footerReference w:type="default" r:id="rId69"/>
          <w:pgSz w:w="11910" w:h="16840"/>
          <w:pgMar w:top="1701" w:right="851" w:bottom="1134" w:left="851" w:header="567" w:footer="567" w:gutter="0"/>
          <w:cols w:space="720"/>
        </w:sectPr>
      </w:pPr>
    </w:p>
    <w:p w14:paraId="0A2421FA" w14:textId="3E16142A" w:rsidR="006F4549" w:rsidRDefault="006F4549" w:rsidP="006F4549">
      <w:pPr>
        <w:pStyle w:val="Dividername"/>
      </w:pPr>
      <w:bookmarkStart w:id="410" w:name="_bookmark139"/>
      <w:bookmarkStart w:id="411" w:name="_bookmark140"/>
      <w:bookmarkEnd w:id="410"/>
      <w:bookmarkEnd w:id="411"/>
      <w:r>
        <w:lastRenderedPageBreak/>
        <w:t xml:space="preserve">Schedule </w:t>
      </w:r>
      <w:bookmarkStart w:id="412" w:name="Schedule_10"/>
      <w:r>
        <w:t>10</w:t>
      </w:r>
      <w:bookmarkEnd w:id="412"/>
    </w:p>
    <w:p w14:paraId="273826C6" w14:textId="7E0E951E" w:rsidR="006F4549" w:rsidRDefault="006F4549" w:rsidP="006F4549">
      <w:pPr>
        <w:pStyle w:val="Dividername"/>
      </w:pPr>
      <w:r w:rsidRPr="006F4549">
        <w:t>Notified Key Sub-contractors</w:t>
      </w:r>
    </w:p>
    <w:p w14:paraId="30344130" w14:textId="77777777" w:rsidR="006F4549" w:rsidRDefault="006F4549" w:rsidP="006F4549"/>
    <w:p w14:paraId="569CAE66" w14:textId="3AD8EC13" w:rsidR="00BC7DDA" w:rsidRPr="00BD6C5F" w:rsidRDefault="002E04A2" w:rsidP="006F4549">
      <w:pPr>
        <w:pStyle w:val="Heading1"/>
        <w:pageBreakBefore/>
      </w:pPr>
      <w:bookmarkStart w:id="413" w:name="_Toc141720993"/>
      <w:r w:rsidRPr="00BD6C5F">
        <w:lastRenderedPageBreak/>
        <w:t>Schedule 10</w:t>
      </w:r>
      <w:r w:rsidR="0058158C" w:rsidRPr="00BD6C5F">
        <w:t>:</w:t>
      </w:r>
      <w:r w:rsidRPr="00BD6C5F">
        <w:t xml:space="preserve"> </w:t>
      </w:r>
      <w:bookmarkStart w:id="414" w:name="_Ref98257749"/>
      <w:bookmarkStart w:id="415" w:name="_Toc98332723"/>
      <w:bookmarkStart w:id="416" w:name="_Toc98852900"/>
      <w:r w:rsidRPr="00BD6C5F">
        <w:t>Notified Key Sub-contractors</w:t>
      </w:r>
      <w:bookmarkEnd w:id="414"/>
      <w:bookmarkEnd w:id="415"/>
      <w:bookmarkEnd w:id="416"/>
      <w:bookmarkEnd w:id="413"/>
    </w:p>
    <w:p w14:paraId="3B172744" w14:textId="7A0FAC9B" w:rsidR="00357E0F" w:rsidRPr="00BD6C5F" w:rsidRDefault="00357E0F" w:rsidP="00042DE0">
      <w:pPr>
        <w:spacing w:before="100" w:after="200"/>
        <w:jc w:val="center"/>
      </w:pPr>
      <w:r w:rsidRPr="00BD6C5F">
        <w:t>This is the schedule referred to in the foregoing agreement betwe</w:t>
      </w:r>
      <w:r w:rsidR="001A45F8" w:rsidRPr="00BD6C5F">
        <w:t>en [</w:t>
      </w:r>
      <w:r w:rsidR="001A45F8" w:rsidRPr="00BD6C5F">
        <w:rPr>
          <w:highlight w:val="yellow"/>
        </w:rPr>
        <w:t>name of party</w:t>
      </w:r>
      <w:r w:rsidR="001A45F8" w:rsidRPr="00BD6C5F">
        <w:t>] and [</w:t>
      </w:r>
      <w:r w:rsidR="001A45F8" w:rsidRPr="00BD6C5F">
        <w:rPr>
          <w:highlight w:val="yellow"/>
        </w:rPr>
        <w:t>name of party</w:t>
      </w:r>
      <w:r w:rsidR="001A45F8" w:rsidRPr="00BD6C5F">
        <w:t>] dated [</w:t>
      </w:r>
      <w:r w:rsidR="001A45F8" w:rsidRPr="00BD6C5F">
        <w:rPr>
          <w:highlight w:val="yellow"/>
        </w:rPr>
        <w:t>date</w:t>
      </w:r>
      <w:r w:rsidR="001A45F8" w:rsidRPr="00BD6C5F">
        <w:t>]</w:t>
      </w:r>
    </w:p>
    <w:p w14:paraId="465DAAAC" w14:textId="77777777" w:rsidR="003D74DA" w:rsidRPr="00BD6C5F" w:rsidRDefault="003D74DA" w:rsidP="003D74DA"/>
    <w:p w14:paraId="5D353149" w14:textId="63892A65" w:rsidR="002E04A2" w:rsidRPr="00BD6C5F" w:rsidRDefault="003D74DA" w:rsidP="00B71FC0">
      <w:pPr>
        <w:pStyle w:val="Numbered1"/>
        <w:numPr>
          <w:ilvl w:val="0"/>
          <w:numId w:val="88"/>
        </w:numPr>
      </w:pPr>
      <w:r w:rsidRPr="00BD6C5F">
        <w:t>Notified Key Sub-contractors</w:t>
      </w:r>
    </w:p>
    <w:p w14:paraId="51415BA0" w14:textId="2E6C7707" w:rsidR="00BC7DDA" w:rsidRPr="00BD6C5F" w:rsidRDefault="009B03E9" w:rsidP="003D74DA">
      <w:pPr>
        <w:pStyle w:val="Numbered11"/>
      </w:pPr>
      <w:r w:rsidRPr="00BD6C5F">
        <w:t xml:space="preserve">In accordance with </w:t>
      </w:r>
      <w:r w:rsidR="005E736B" w:rsidRPr="00BD6C5F">
        <w:t>Clause </w:t>
      </w:r>
      <w:r w:rsidRPr="00BD6C5F">
        <w:t>15.7 (</w:t>
      </w:r>
      <w:r w:rsidRPr="00BD6C5F">
        <w:rPr>
          <w:i/>
        </w:rPr>
        <w:t>Appointment of Key Sub-contractors</w:t>
      </w:r>
      <w:r w:rsidRPr="00BD6C5F">
        <w:t xml:space="preserve">), the Supplier is entitled to sub-contract its obligations under this </w:t>
      </w:r>
      <w:r w:rsidR="00D2769D" w:rsidRPr="00BD6C5F">
        <w:t xml:space="preserve">Contract </w:t>
      </w:r>
      <w:r w:rsidRPr="00BD6C5F">
        <w:t>to the Key Sub-contractors listed in the table below.</w:t>
      </w:r>
    </w:p>
    <w:p w14:paraId="5364E6A2" w14:textId="77777777" w:rsidR="00BC7DDA" w:rsidRPr="00BD6C5F" w:rsidRDefault="009B03E9" w:rsidP="003D74DA">
      <w:pPr>
        <w:pStyle w:val="Numbered11"/>
      </w:pPr>
      <w:r w:rsidRPr="00BD6C5F">
        <w:t>The Parties agree that they will update this Schedule periodically to record any Key Sub-contractors appointed by the Supplier with the consent of the Authority after the Effective Date for the purposes of the delivery of the Services.</w:t>
      </w:r>
    </w:p>
    <w:tbl>
      <w:tblPr>
        <w:tblStyle w:val="MSATable-header"/>
        <w:tblW w:w="10147" w:type="dxa"/>
        <w:tblLayout w:type="fixed"/>
        <w:tblLook w:val="01E0" w:firstRow="1" w:lastRow="1" w:firstColumn="1" w:lastColumn="1" w:noHBand="0" w:noVBand="0"/>
      </w:tblPr>
      <w:tblGrid>
        <w:gridCol w:w="2041"/>
        <w:gridCol w:w="1417"/>
        <w:gridCol w:w="1701"/>
        <w:gridCol w:w="2154"/>
        <w:gridCol w:w="1417"/>
        <w:gridCol w:w="1417"/>
      </w:tblGrid>
      <w:tr w:rsidR="002E04A2" w:rsidRPr="00BD6C5F" w14:paraId="2F8980EE" w14:textId="77777777" w:rsidTr="002E04A2">
        <w:trPr>
          <w:cnfStyle w:val="100000000000" w:firstRow="1" w:lastRow="0" w:firstColumn="0" w:lastColumn="0" w:oddVBand="0" w:evenVBand="0" w:oddHBand="0" w:evenHBand="0" w:firstRowFirstColumn="0" w:firstRowLastColumn="0" w:lastRowFirstColumn="0" w:lastRowLastColumn="0"/>
          <w:trHeight w:val="20"/>
          <w:tblHeader/>
        </w:trPr>
        <w:tc>
          <w:tcPr>
            <w:tcW w:w="2041" w:type="dxa"/>
          </w:tcPr>
          <w:p w14:paraId="142C346F" w14:textId="4B3C8ED0"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Key Sub-contractor</w:t>
            </w:r>
            <w:r w:rsidR="00E22D21" w:rsidRPr="00BD6C5F">
              <w:rPr>
                <w:rFonts w:asciiTheme="minorHAnsi" w:hAnsiTheme="minorHAnsi" w:cstheme="minorHAnsi"/>
              </w:rPr>
              <w:t xml:space="preserve"> </w:t>
            </w:r>
            <w:r w:rsidRPr="00BD6C5F">
              <w:rPr>
                <w:rFonts w:asciiTheme="minorHAnsi" w:hAnsiTheme="minorHAnsi" w:cstheme="minorHAnsi"/>
              </w:rPr>
              <w:t>name and</w:t>
            </w:r>
            <w:r w:rsidR="00E22D21" w:rsidRPr="00BD6C5F">
              <w:rPr>
                <w:rFonts w:asciiTheme="minorHAnsi" w:hAnsiTheme="minorHAnsi" w:cstheme="minorHAnsi"/>
              </w:rPr>
              <w:t xml:space="preserve"> </w:t>
            </w:r>
            <w:r w:rsidRPr="00BD6C5F">
              <w:rPr>
                <w:rFonts w:asciiTheme="minorHAnsi" w:hAnsiTheme="minorHAnsi" w:cstheme="minorHAnsi"/>
              </w:rPr>
              <w:t>address (if</w:t>
            </w:r>
            <w:r w:rsidR="00E22D21" w:rsidRPr="00BD6C5F">
              <w:rPr>
                <w:rFonts w:asciiTheme="minorHAnsi" w:hAnsiTheme="minorHAnsi" w:cstheme="minorHAnsi"/>
              </w:rPr>
              <w:t xml:space="preserve"> </w:t>
            </w:r>
            <w:r w:rsidRPr="00BD6C5F">
              <w:rPr>
                <w:rFonts w:asciiTheme="minorHAnsi" w:hAnsiTheme="minorHAnsi" w:cstheme="minorHAnsi"/>
              </w:rPr>
              <w:t>not the</w:t>
            </w:r>
            <w:r w:rsidR="00E22D21" w:rsidRPr="00BD6C5F">
              <w:rPr>
                <w:rFonts w:asciiTheme="minorHAnsi" w:hAnsiTheme="minorHAnsi" w:cstheme="minorHAnsi"/>
              </w:rPr>
              <w:t xml:space="preserve"> </w:t>
            </w:r>
            <w:r w:rsidRPr="00BD6C5F">
              <w:rPr>
                <w:rFonts w:asciiTheme="minorHAnsi" w:hAnsiTheme="minorHAnsi" w:cstheme="minorHAnsi"/>
              </w:rPr>
              <w:t>same as</w:t>
            </w:r>
            <w:r w:rsidR="00E22D21" w:rsidRPr="00BD6C5F">
              <w:rPr>
                <w:rFonts w:asciiTheme="minorHAnsi" w:hAnsiTheme="minorHAnsi" w:cstheme="minorHAnsi"/>
              </w:rPr>
              <w:t xml:space="preserve"> </w:t>
            </w:r>
            <w:r w:rsidRPr="00BD6C5F">
              <w:rPr>
                <w:rFonts w:asciiTheme="minorHAnsi" w:hAnsiTheme="minorHAnsi" w:cstheme="minorHAnsi"/>
              </w:rPr>
              <w:t>the</w:t>
            </w:r>
            <w:r w:rsidR="00E22D21" w:rsidRPr="00BD6C5F">
              <w:rPr>
                <w:rFonts w:asciiTheme="minorHAnsi" w:hAnsiTheme="minorHAnsi" w:cstheme="minorHAnsi"/>
              </w:rPr>
              <w:t xml:space="preserve"> </w:t>
            </w:r>
            <w:r w:rsidRPr="00BD6C5F">
              <w:t>registered</w:t>
            </w:r>
            <w:r w:rsidR="00E22D21" w:rsidRPr="00BD6C5F">
              <w:rPr>
                <w:rFonts w:asciiTheme="minorHAnsi" w:hAnsiTheme="minorHAnsi" w:cstheme="minorHAnsi"/>
              </w:rPr>
              <w:t xml:space="preserve"> </w:t>
            </w:r>
            <w:r w:rsidRPr="00BD6C5F">
              <w:rPr>
                <w:rFonts w:asciiTheme="minorHAnsi" w:hAnsiTheme="minorHAnsi" w:cstheme="minorHAnsi"/>
              </w:rPr>
              <w:t>office)</w:t>
            </w:r>
          </w:p>
        </w:tc>
        <w:tc>
          <w:tcPr>
            <w:tcW w:w="1417" w:type="dxa"/>
          </w:tcPr>
          <w:p w14:paraId="7EE44616" w14:textId="580F744E"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Registered</w:t>
            </w:r>
            <w:r w:rsidR="00E22D21" w:rsidRPr="00BD6C5F">
              <w:rPr>
                <w:rFonts w:asciiTheme="minorHAnsi" w:hAnsiTheme="minorHAnsi" w:cstheme="minorHAnsi"/>
              </w:rPr>
              <w:t xml:space="preserve"> </w:t>
            </w:r>
            <w:r w:rsidRPr="00BD6C5F">
              <w:rPr>
                <w:rFonts w:asciiTheme="minorHAnsi" w:hAnsiTheme="minorHAnsi" w:cstheme="minorHAnsi"/>
              </w:rPr>
              <w:t>office and</w:t>
            </w:r>
            <w:r w:rsidR="00E22D21" w:rsidRPr="00BD6C5F">
              <w:rPr>
                <w:rFonts w:asciiTheme="minorHAnsi" w:hAnsiTheme="minorHAnsi" w:cstheme="minorHAnsi"/>
              </w:rPr>
              <w:t xml:space="preserve"> </w:t>
            </w:r>
            <w:r w:rsidRPr="00BD6C5F">
              <w:rPr>
                <w:rFonts w:asciiTheme="minorHAnsi" w:hAnsiTheme="minorHAnsi" w:cstheme="minorHAnsi"/>
              </w:rPr>
              <w:t>company</w:t>
            </w:r>
            <w:r w:rsidR="00E22D21" w:rsidRPr="00BD6C5F">
              <w:rPr>
                <w:rFonts w:asciiTheme="minorHAnsi" w:hAnsiTheme="minorHAnsi" w:cstheme="minorHAnsi"/>
              </w:rPr>
              <w:t xml:space="preserve"> </w:t>
            </w:r>
            <w:r w:rsidRPr="00BD6C5F">
              <w:t>number</w:t>
            </w:r>
          </w:p>
        </w:tc>
        <w:tc>
          <w:tcPr>
            <w:tcW w:w="1701" w:type="dxa"/>
          </w:tcPr>
          <w:p w14:paraId="1661A9F0" w14:textId="5BDA292E"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Related</w:t>
            </w:r>
            <w:r w:rsidR="00E22D21" w:rsidRPr="00BD6C5F">
              <w:rPr>
                <w:rFonts w:asciiTheme="minorHAnsi" w:hAnsiTheme="minorHAnsi" w:cstheme="minorHAnsi"/>
              </w:rPr>
              <w:t xml:space="preserve"> </w:t>
            </w:r>
            <w:r w:rsidRPr="00BD6C5F">
              <w:rPr>
                <w:rFonts w:asciiTheme="minorHAnsi" w:hAnsiTheme="minorHAnsi" w:cstheme="minorHAnsi"/>
              </w:rPr>
              <w:t>product/</w:t>
            </w:r>
            <w:r w:rsidR="00E22D21" w:rsidRPr="00BD6C5F">
              <w:rPr>
                <w:rFonts w:asciiTheme="minorHAnsi" w:hAnsiTheme="minorHAnsi" w:cstheme="minorHAnsi"/>
              </w:rPr>
              <w:t xml:space="preserve"> </w:t>
            </w:r>
            <w:r w:rsidRPr="00BD6C5F">
              <w:rPr>
                <w:rFonts w:asciiTheme="minorHAnsi" w:hAnsiTheme="minorHAnsi" w:cstheme="minorHAnsi"/>
              </w:rPr>
              <w:t>Service</w:t>
            </w:r>
            <w:r w:rsidR="00E22D21" w:rsidRPr="00BD6C5F">
              <w:rPr>
                <w:rFonts w:asciiTheme="minorHAnsi" w:hAnsiTheme="minorHAnsi" w:cstheme="minorHAnsi"/>
              </w:rPr>
              <w:t xml:space="preserve"> </w:t>
            </w:r>
            <w:r w:rsidRPr="00BD6C5F">
              <w:t>description</w:t>
            </w:r>
          </w:p>
        </w:tc>
        <w:tc>
          <w:tcPr>
            <w:tcW w:w="2154" w:type="dxa"/>
          </w:tcPr>
          <w:p w14:paraId="3BC11E0D" w14:textId="368D5637"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Key Sub-contract</w:t>
            </w:r>
            <w:r w:rsidR="00B30FB1" w:rsidRPr="00BD6C5F">
              <w:rPr>
                <w:rFonts w:asciiTheme="minorHAnsi" w:hAnsiTheme="minorHAnsi" w:cstheme="minorHAnsi"/>
              </w:rPr>
              <w:t xml:space="preserve"> </w:t>
            </w:r>
            <w:r w:rsidRPr="00BD6C5F">
              <w:rPr>
                <w:rFonts w:asciiTheme="minorHAnsi" w:hAnsiTheme="minorHAnsi" w:cstheme="minorHAnsi"/>
              </w:rPr>
              <w:t>price</w:t>
            </w:r>
            <w:r w:rsidR="00B30FB1" w:rsidRPr="00BD6C5F">
              <w:rPr>
                <w:rFonts w:asciiTheme="minorHAnsi" w:hAnsiTheme="minorHAnsi" w:cstheme="minorHAnsi"/>
              </w:rPr>
              <w:t xml:space="preserve"> </w:t>
            </w:r>
            <w:r w:rsidRPr="00BD6C5F">
              <w:rPr>
                <w:rFonts w:asciiTheme="minorHAnsi" w:hAnsiTheme="minorHAnsi" w:cstheme="minorHAnsi"/>
              </w:rPr>
              <w:t>expressed</w:t>
            </w:r>
            <w:r w:rsidR="00B30FB1" w:rsidRPr="00BD6C5F">
              <w:rPr>
                <w:rFonts w:asciiTheme="minorHAnsi" w:hAnsiTheme="minorHAnsi" w:cstheme="minorHAnsi"/>
              </w:rPr>
              <w:t xml:space="preserve"> </w:t>
            </w:r>
            <w:r w:rsidRPr="00BD6C5F">
              <w:rPr>
                <w:rFonts w:asciiTheme="minorHAnsi" w:hAnsiTheme="minorHAnsi" w:cstheme="minorHAnsi"/>
              </w:rPr>
              <w:t>as a</w:t>
            </w:r>
            <w:r w:rsidR="00B30FB1" w:rsidRPr="00BD6C5F">
              <w:rPr>
                <w:rFonts w:asciiTheme="minorHAnsi" w:hAnsiTheme="minorHAnsi" w:cstheme="minorHAnsi"/>
              </w:rPr>
              <w:t xml:space="preserve"> </w:t>
            </w:r>
            <w:r w:rsidRPr="00BD6C5F">
              <w:rPr>
                <w:rFonts w:asciiTheme="minorHAnsi" w:hAnsiTheme="minorHAnsi" w:cstheme="minorHAnsi"/>
              </w:rPr>
              <w:t>percentage</w:t>
            </w:r>
            <w:r w:rsidR="00B30FB1" w:rsidRPr="00BD6C5F">
              <w:rPr>
                <w:rFonts w:asciiTheme="minorHAnsi" w:hAnsiTheme="minorHAnsi" w:cstheme="minorHAnsi"/>
              </w:rPr>
              <w:t xml:space="preserve"> </w:t>
            </w:r>
            <w:r w:rsidRPr="00BD6C5F">
              <w:rPr>
                <w:rFonts w:asciiTheme="minorHAnsi" w:hAnsiTheme="minorHAnsi" w:cstheme="minorHAnsi"/>
              </w:rPr>
              <w:t>of total</w:t>
            </w:r>
            <w:r w:rsidR="00B30FB1" w:rsidRPr="00BD6C5F">
              <w:rPr>
                <w:rFonts w:asciiTheme="minorHAnsi" w:hAnsiTheme="minorHAnsi" w:cstheme="minorHAnsi"/>
              </w:rPr>
              <w:t xml:space="preserve"> </w:t>
            </w:r>
            <w:r w:rsidRPr="00BD6C5F">
              <w:rPr>
                <w:rFonts w:asciiTheme="minorHAnsi" w:hAnsiTheme="minorHAnsi" w:cstheme="minorHAnsi"/>
              </w:rPr>
              <w:t>projected</w:t>
            </w:r>
            <w:r w:rsidR="00B30FB1" w:rsidRPr="00BD6C5F">
              <w:rPr>
                <w:rFonts w:asciiTheme="minorHAnsi" w:hAnsiTheme="minorHAnsi" w:cstheme="minorHAnsi"/>
              </w:rPr>
              <w:t xml:space="preserve"> </w:t>
            </w:r>
            <w:r w:rsidRPr="00BD6C5F">
              <w:rPr>
                <w:rFonts w:asciiTheme="minorHAnsi" w:hAnsiTheme="minorHAnsi" w:cstheme="minorHAnsi"/>
              </w:rPr>
              <w:t>Charges</w:t>
            </w:r>
            <w:r w:rsidR="00B30FB1" w:rsidRPr="00BD6C5F">
              <w:rPr>
                <w:rFonts w:asciiTheme="minorHAnsi" w:hAnsiTheme="minorHAnsi" w:cstheme="minorHAnsi"/>
              </w:rPr>
              <w:t xml:space="preserve"> </w:t>
            </w:r>
            <w:r w:rsidRPr="00BD6C5F">
              <w:rPr>
                <w:rFonts w:asciiTheme="minorHAnsi" w:hAnsiTheme="minorHAnsi" w:cstheme="minorHAnsi"/>
              </w:rPr>
              <w:t>over the</w:t>
            </w:r>
            <w:r w:rsidR="00B30FB1" w:rsidRPr="00BD6C5F">
              <w:rPr>
                <w:rFonts w:asciiTheme="minorHAnsi" w:hAnsiTheme="minorHAnsi" w:cstheme="minorHAnsi"/>
              </w:rPr>
              <w:t xml:space="preserve"> </w:t>
            </w:r>
            <w:r w:rsidRPr="00BD6C5F">
              <w:rPr>
                <w:rFonts w:asciiTheme="minorHAnsi" w:hAnsiTheme="minorHAnsi" w:cstheme="minorHAnsi"/>
              </w:rPr>
              <w:t>Term</w:t>
            </w:r>
          </w:p>
        </w:tc>
        <w:tc>
          <w:tcPr>
            <w:tcW w:w="1417" w:type="dxa"/>
          </w:tcPr>
          <w:p w14:paraId="7AAAA599" w14:textId="5933761F"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Key role in</w:t>
            </w:r>
            <w:r w:rsidR="00E22D21" w:rsidRPr="00BD6C5F">
              <w:rPr>
                <w:rFonts w:asciiTheme="minorHAnsi" w:hAnsiTheme="minorHAnsi" w:cstheme="minorHAnsi"/>
              </w:rPr>
              <w:t xml:space="preserve"> </w:t>
            </w:r>
            <w:r w:rsidRPr="00BD6C5F">
              <w:rPr>
                <w:rFonts w:asciiTheme="minorHAnsi" w:hAnsiTheme="minorHAnsi" w:cstheme="minorHAnsi"/>
              </w:rPr>
              <w:t>delivery of</w:t>
            </w:r>
            <w:r w:rsidR="00E22D21" w:rsidRPr="00BD6C5F">
              <w:rPr>
                <w:rFonts w:asciiTheme="minorHAnsi" w:hAnsiTheme="minorHAnsi" w:cstheme="minorHAnsi"/>
              </w:rPr>
              <w:t xml:space="preserve"> </w:t>
            </w:r>
            <w:r w:rsidRPr="00BD6C5F">
              <w:rPr>
                <w:rFonts w:asciiTheme="minorHAnsi" w:hAnsiTheme="minorHAnsi" w:cstheme="minorHAnsi"/>
              </w:rPr>
              <w:t>the</w:t>
            </w:r>
            <w:r w:rsidR="00E22D21" w:rsidRPr="00BD6C5F">
              <w:rPr>
                <w:rFonts w:asciiTheme="minorHAnsi" w:hAnsiTheme="minorHAnsi" w:cstheme="minorHAnsi"/>
              </w:rPr>
              <w:t xml:space="preserve"> </w:t>
            </w:r>
            <w:r w:rsidRPr="00BD6C5F">
              <w:t>Services</w:t>
            </w:r>
          </w:p>
        </w:tc>
        <w:tc>
          <w:tcPr>
            <w:tcW w:w="1417" w:type="dxa"/>
          </w:tcPr>
          <w:p w14:paraId="7F9FC65B" w14:textId="77F216B6" w:rsidR="00EF366F" w:rsidRPr="00BD6C5F" w:rsidRDefault="00EF366F" w:rsidP="002E04A2">
            <w:pPr>
              <w:pStyle w:val="Tabletext"/>
              <w:rPr>
                <w:rFonts w:asciiTheme="minorHAnsi" w:hAnsiTheme="minorHAnsi" w:cstheme="minorHAnsi"/>
              </w:rPr>
            </w:pPr>
            <w:r w:rsidRPr="00BD6C5F">
              <w:rPr>
                <w:rFonts w:asciiTheme="minorHAnsi" w:hAnsiTheme="minorHAnsi" w:cstheme="minorHAnsi"/>
              </w:rPr>
              <w:t>Credit</w:t>
            </w:r>
            <w:r w:rsidR="00E22D21" w:rsidRPr="00BD6C5F">
              <w:rPr>
                <w:rFonts w:asciiTheme="minorHAnsi" w:hAnsiTheme="minorHAnsi" w:cstheme="minorHAnsi"/>
              </w:rPr>
              <w:t xml:space="preserve"> </w:t>
            </w:r>
            <w:r w:rsidRPr="00BD6C5F">
              <w:rPr>
                <w:rFonts w:asciiTheme="minorHAnsi" w:hAnsiTheme="minorHAnsi" w:cstheme="minorHAnsi"/>
              </w:rPr>
              <w:t>Rating</w:t>
            </w:r>
            <w:r w:rsidR="00E22D21" w:rsidRPr="00BD6C5F">
              <w:rPr>
                <w:rFonts w:asciiTheme="minorHAnsi" w:hAnsiTheme="minorHAnsi" w:cstheme="minorHAnsi"/>
              </w:rPr>
              <w:t xml:space="preserve"> </w:t>
            </w:r>
            <w:r w:rsidRPr="00BD6C5F">
              <w:t>Threshold</w:t>
            </w:r>
          </w:p>
        </w:tc>
      </w:tr>
      <w:tr w:rsidR="00BC7DDA" w:rsidRPr="00BD6C5F" w14:paraId="1BE75E69" w14:textId="77777777" w:rsidTr="002E04A2">
        <w:trPr>
          <w:trHeight w:val="20"/>
        </w:trPr>
        <w:tc>
          <w:tcPr>
            <w:tcW w:w="2041" w:type="dxa"/>
          </w:tcPr>
          <w:p w14:paraId="55AC5AEF" w14:textId="77777777" w:rsidR="00BC7DDA" w:rsidRPr="00BD6C5F" w:rsidRDefault="00BC7DDA" w:rsidP="002E04A2">
            <w:pPr>
              <w:pStyle w:val="Tabletext"/>
            </w:pPr>
          </w:p>
        </w:tc>
        <w:tc>
          <w:tcPr>
            <w:tcW w:w="1417" w:type="dxa"/>
          </w:tcPr>
          <w:p w14:paraId="502970AB" w14:textId="77777777" w:rsidR="00BC7DDA" w:rsidRPr="00BD6C5F" w:rsidRDefault="00BC7DDA" w:rsidP="002E04A2">
            <w:pPr>
              <w:pStyle w:val="Tabletext"/>
            </w:pPr>
          </w:p>
        </w:tc>
        <w:tc>
          <w:tcPr>
            <w:tcW w:w="1701" w:type="dxa"/>
          </w:tcPr>
          <w:p w14:paraId="60D434E6" w14:textId="77777777" w:rsidR="00BC7DDA" w:rsidRPr="00BD6C5F" w:rsidRDefault="00BC7DDA" w:rsidP="002E04A2">
            <w:pPr>
              <w:pStyle w:val="Tabletext"/>
            </w:pPr>
          </w:p>
        </w:tc>
        <w:tc>
          <w:tcPr>
            <w:tcW w:w="2154" w:type="dxa"/>
          </w:tcPr>
          <w:p w14:paraId="47FE4128" w14:textId="77777777" w:rsidR="00BC7DDA" w:rsidRPr="00BD6C5F" w:rsidRDefault="00BC7DDA" w:rsidP="002E04A2">
            <w:pPr>
              <w:pStyle w:val="Tabletext"/>
            </w:pPr>
          </w:p>
        </w:tc>
        <w:tc>
          <w:tcPr>
            <w:tcW w:w="1417" w:type="dxa"/>
            <w:shd w:val="clear" w:color="auto" w:fill="F0F0F0"/>
          </w:tcPr>
          <w:p w14:paraId="00168110" w14:textId="77777777" w:rsidR="00BC7DDA" w:rsidRPr="00BD6C5F" w:rsidRDefault="00BC7DDA" w:rsidP="002E04A2">
            <w:pPr>
              <w:pStyle w:val="Tabletext"/>
            </w:pPr>
          </w:p>
        </w:tc>
        <w:tc>
          <w:tcPr>
            <w:tcW w:w="1417" w:type="dxa"/>
            <w:shd w:val="clear" w:color="auto" w:fill="F0F0F0"/>
          </w:tcPr>
          <w:p w14:paraId="7A61FB01" w14:textId="77777777" w:rsidR="00BC7DDA" w:rsidRPr="00BD6C5F" w:rsidRDefault="009B03E9" w:rsidP="002E04A2">
            <w:pPr>
              <w:pStyle w:val="Tabletext"/>
              <w:rPr>
                <w:rFonts w:asciiTheme="minorHAnsi" w:hAnsiTheme="minorHAnsi" w:cstheme="minorHAnsi"/>
              </w:rPr>
            </w:pPr>
            <w:r w:rsidRPr="00BD6C5F">
              <w:rPr>
                <w:rFonts w:asciiTheme="minorHAnsi" w:hAnsiTheme="minorHAnsi" w:cstheme="minorHAnsi"/>
                <w:shd w:val="clear" w:color="auto" w:fill="FFFF00"/>
              </w:rPr>
              <w:t>[Level 1]</w:t>
            </w:r>
          </w:p>
        </w:tc>
      </w:tr>
      <w:tr w:rsidR="00BC7DDA" w:rsidRPr="00BD6C5F" w14:paraId="1DE3E25E" w14:textId="77777777" w:rsidTr="002E04A2">
        <w:trPr>
          <w:trHeight w:val="20"/>
        </w:trPr>
        <w:tc>
          <w:tcPr>
            <w:tcW w:w="2041" w:type="dxa"/>
          </w:tcPr>
          <w:p w14:paraId="161DABCD" w14:textId="77777777" w:rsidR="00BC7DDA" w:rsidRPr="00BD6C5F" w:rsidRDefault="00BC7DDA" w:rsidP="002E04A2">
            <w:pPr>
              <w:pStyle w:val="Tabletext"/>
            </w:pPr>
          </w:p>
        </w:tc>
        <w:tc>
          <w:tcPr>
            <w:tcW w:w="1417" w:type="dxa"/>
          </w:tcPr>
          <w:p w14:paraId="0B54A028" w14:textId="77777777" w:rsidR="00BC7DDA" w:rsidRPr="00BD6C5F" w:rsidRDefault="00BC7DDA" w:rsidP="002E04A2">
            <w:pPr>
              <w:pStyle w:val="Tabletext"/>
            </w:pPr>
          </w:p>
        </w:tc>
        <w:tc>
          <w:tcPr>
            <w:tcW w:w="1701" w:type="dxa"/>
          </w:tcPr>
          <w:p w14:paraId="4890D95A" w14:textId="77777777" w:rsidR="00BC7DDA" w:rsidRPr="00BD6C5F" w:rsidRDefault="00BC7DDA" w:rsidP="002E04A2">
            <w:pPr>
              <w:pStyle w:val="Tabletext"/>
            </w:pPr>
          </w:p>
        </w:tc>
        <w:tc>
          <w:tcPr>
            <w:tcW w:w="2154" w:type="dxa"/>
          </w:tcPr>
          <w:p w14:paraId="77EF1BB9" w14:textId="77777777" w:rsidR="00BC7DDA" w:rsidRPr="00BD6C5F" w:rsidRDefault="00BC7DDA" w:rsidP="002E04A2">
            <w:pPr>
              <w:pStyle w:val="Tabletext"/>
            </w:pPr>
          </w:p>
        </w:tc>
        <w:tc>
          <w:tcPr>
            <w:tcW w:w="1417" w:type="dxa"/>
            <w:shd w:val="clear" w:color="auto" w:fill="F0F0F0"/>
          </w:tcPr>
          <w:p w14:paraId="2B0773BB" w14:textId="77777777" w:rsidR="00BC7DDA" w:rsidRPr="00BD6C5F" w:rsidRDefault="00BC7DDA" w:rsidP="002E04A2">
            <w:pPr>
              <w:pStyle w:val="Tabletext"/>
            </w:pPr>
          </w:p>
        </w:tc>
        <w:tc>
          <w:tcPr>
            <w:tcW w:w="1417" w:type="dxa"/>
            <w:shd w:val="clear" w:color="auto" w:fill="F0F0F0"/>
          </w:tcPr>
          <w:p w14:paraId="57EF9996" w14:textId="77777777" w:rsidR="00BC7DDA" w:rsidRPr="00BD6C5F" w:rsidRDefault="00BC7DDA" w:rsidP="002E04A2">
            <w:pPr>
              <w:pStyle w:val="Tabletext"/>
            </w:pPr>
          </w:p>
        </w:tc>
      </w:tr>
      <w:tr w:rsidR="00BC7DDA" w:rsidRPr="00BD6C5F" w14:paraId="2571BA88" w14:textId="77777777" w:rsidTr="002E04A2">
        <w:trPr>
          <w:trHeight w:val="20"/>
        </w:trPr>
        <w:tc>
          <w:tcPr>
            <w:tcW w:w="2041" w:type="dxa"/>
          </w:tcPr>
          <w:p w14:paraId="4A6FDF94" w14:textId="77777777" w:rsidR="00BC7DDA" w:rsidRPr="00BD6C5F" w:rsidRDefault="00BC7DDA" w:rsidP="002E04A2">
            <w:pPr>
              <w:pStyle w:val="Tabletext"/>
            </w:pPr>
          </w:p>
        </w:tc>
        <w:tc>
          <w:tcPr>
            <w:tcW w:w="1417" w:type="dxa"/>
          </w:tcPr>
          <w:p w14:paraId="40E109C8" w14:textId="77777777" w:rsidR="00BC7DDA" w:rsidRPr="00BD6C5F" w:rsidRDefault="00BC7DDA" w:rsidP="002E04A2">
            <w:pPr>
              <w:pStyle w:val="Tabletext"/>
            </w:pPr>
          </w:p>
        </w:tc>
        <w:tc>
          <w:tcPr>
            <w:tcW w:w="1701" w:type="dxa"/>
          </w:tcPr>
          <w:p w14:paraId="14410F68" w14:textId="77777777" w:rsidR="00BC7DDA" w:rsidRPr="00BD6C5F" w:rsidRDefault="00BC7DDA" w:rsidP="002E04A2">
            <w:pPr>
              <w:pStyle w:val="Tabletext"/>
            </w:pPr>
          </w:p>
        </w:tc>
        <w:tc>
          <w:tcPr>
            <w:tcW w:w="2154" w:type="dxa"/>
          </w:tcPr>
          <w:p w14:paraId="1EF8C2C7" w14:textId="77777777" w:rsidR="00BC7DDA" w:rsidRPr="00BD6C5F" w:rsidRDefault="00BC7DDA" w:rsidP="002E04A2">
            <w:pPr>
              <w:pStyle w:val="Tabletext"/>
            </w:pPr>
          </w:p>
        </w:tc>
        <w:tc>
          <w:tcPr>
            <w:tcW w:w="1417" w:type="dxa"/>
            <w:shd w:val="clear" w:color="auto" w:fill="F0F0F0"/>
          </w:tcPr>
          <w:p w14:paraId="48551666" w14:textId="77777777" w:rsidR="00BC7DDA" w:rsidRPr="00BD6C5F" w:rsidRDefault="00BC7DDA" w:rsidP="002E04A2">
            <w:pPr>
              <w:pStyle w:val="Tabletext"/>
            </w:pPr>
          </w:p>
        </w:tc>
        <w:tc>
          <w:tcPr>
            <w:tcW w:w="1417" w:type="dxa"/>
            <w:shd w:val="clear" w:color="auto" w:fill="F0F0F0"/>
          </w:tcPr>
          <w:p w14:paraId="03491330" w14:textId="77777777" w:rsidR="00BC7DDA" w:rsidRPr="00BD6C5F" w:rsidRDefault="00BC7DDA" w:rsidP="002E04A2">
            <w:pPr>
              <w:pStyle w:val="Tabletext"/>
            </w:pPr>
          </w:p>
        </w:tc>
      </w:tr>
      <w:tr w:rsidR="00BC7DDA" w:rsidRPr="00BD6C5F" w14:paraId="45A0A3B8" w14:textId="77777777" w:rsidTr="002E04A2">
        <w:trPr>
          <w:trHeight w:val="20"/>
        </w:trPr>
        <w:tc>
          <w:tcPr>
            <w:tcW w:w="2041" w:type="dxa"/>
          </w:tcPr>
          <w:p w14:paraId="170DBFB0" w14:textId="77777777" w:rsidR="00BC7DDA" w:rsidRPr="00BD6C5F" w:rsidRDefault="00BC7DDA" w:rsidP="002E04A2">
            <w:pPr>
              <w:pStyle w:val="Tabletext"/>
            </w:pPr>
          </w:p>
        </w:tc>
        <w:tc>
          <w:tcPr>
            <w:tcW w:w="1417" w:type="dxa"/>
          </w:tcPr>
          <w:p w14:paraId="057F89F9" w14:textId="77777777" w:rsidR="00BC7DDA" w:rsidRPr="00BD6C5F" w:rsidRDefault="00BC7DDA" w:rsidP="002E04A2">
            <w:pPr>
              <w:pStyle w:val="Tabletext"/>
            </w:pPr>
          </w:p>
        </w:tc>
        <w:tc>
          <w:tcPr>
            <w:tcW w:w="1701" w:type="dxa"/>
          </w:tcPr>
          <w:p w14:paraId="08DCD06E" w14:textId="77777777" w:rsidR="00BC7DDA" w:rsidRPr="00BD6C5F" w:rsidRDefault="00BC7DDA" w:rsidP="002E04A2">
            <w:pPr>
              <w:pStyle w:val="Tabletext"/>
            </w:pPr>
          </w:p>
        </w:tc>
        <w:tc>
          <w:tcPr>
            <w:tcW w:w="2154" w:type="dxa"/>
          </w:tcPr>
          <w:p w14:paraId="1A34BD91" w14:textId="77777777" w:rsidR="00BC7DDA" w:rsidRPr="00BD6C5F" w:rsidRDefault="00BC7DDA" w:rsidP="002E04A2">
            <w:pPr>
              <w:pStyle w:val="Tabletext"/>
            </w:pPr>
          </w:p>
        </w:tc>
        <w:tc>
          <w:tcPr>
            <w:tcW w:w="1417" w:type="dxa"/>
            <w:shd w:val="clear" w:color="auto" w:fill="F0F0F0"/>
          </w:tcPr>
          <w:p w14:paraId="74592097" w14:textId="77777777" w:rsidR="00BC7DDA" w:rsidRPr="00BD6C5F" w:rsidRDefault="00BC7DDA" w:rsidP="002E04A2">
            <w:pPr>
              <w:pStyle w:val="Tabletext"/>
            </w:pPr>
          </w:p>
        </w:tc>
        <w:tc>
          <w:tcPr>
            <w:tcW w:w="1417" w:type="dxa"/>
            <w:shd w:val="clear" w:color="auto" w:fill="F0F0F0"/>
          </w:tcPr>
          <w:p w14:paraId="1A44348C" w14:textId="77777777" w:rsidR="00BC7DDA" w:rsidRPr="00BD6C5F" w:rsidRDefault="00BC7DDA" w:rsidP="002E04A2">
            <w:pPr>
              <w:pStyle w:val="Tabletext"/>
            </w:pPr>
          </w:p>
        </w:tc>
      </w:tr>
      <w:tr w:rsidR="00BC7DDA" w:rsidRPr="00BD6C5F" w14:paraId="14796EA0" w14:textId="77777777" w:rsidTr="002E04A2">
        <w:trPr>
          <w:trHeight w:val="20"/>
        </w:trPr>
        <w:tc>
          <w:tcPr>
            <w:tcW w:w="2041" w:type="dxa"/>
          </w:tcPr>
          <w:p w14:paraId="3EB5A0E9" w14:textId="77777777" w:rsidR="00BC7DDA" w:rsidRPr="00BD6C5F" w:rsidRDefault="00BC7DDA" w:rsidP="002E04A2">
            <w:pPr>
              <w:pStyle w:val="Tabletext"/>
            </w:pPr>
          </w:p>
        </w:tc>
        <w:tc>
          <w:tcPr>
            <w:tcW w:w="1417" w:type="dxa"/>
          </w:tcPr>
          <w:p w14:paraId="58EAE708" w14:textId="77777777" w:rsidR="00BC7DDA" w:rsidRPr="00BD6C5F" w:rsidRDefault="00BC7DDA" w:rsidP="002E04A2">
            <w:pPr>
              <w:pStyle w:val="Tabletext"/>
            </w:pPr>
          </w:p>
        </w:tc>
        <w:tc>
          <w:tcPr>
            <w:tcW w:w="1701" w:type="dxa"/>
          </w:tcPr>
          <w:p w14:paraId="46ADF652" w14:textId="77777777" w:rsidR="00BC7DDA" w:rsidRPr="00BD6C5F" w:rsidRDefault="00BC7DDA" w:rsidP="002E04A2">
            <w:pPr>
              <w:pStyle w:val="Tabletext"/>
            </w:pPr>
          </w:p>
        </w:tc>
        <w:tc>
          <w:tcPr>
            <w:tcW w:w="2154" w:type="dxa"/>
          </w:tcPr>
          <w:p w14:paraId="1ACF8E85" w14:textId="77777777" w:rsidR="00BC7DDA" w:rsidRPr="00BD6C5F" w:rsidRDefault="00BC7DDA" w:rsidP="002E04A2">
            <w:pPr>
              <w:pStyle w:val="Tabletext"/>
            </w:pPr>
          </w:p>
        </w:tc>
        <w:tc>
          <w:tcPr>
            <w:tcW w:w="1417" w:type="dxa"/>
            <w:shd w:val="clear" w:color="auto" w:fill="F0F0F0"/>
          </w:tcPr>
          <w:p w14:paraId="279B38EB" w14:textId="77777777" w:rsidR="00BC7DDA" w:rsidRPr="00BD6C5F" w:rsidRDefault="00BC7DDA" w:rsidP="002E04A2">
            <w:pPr>
              <w:pStyle w:val="Tabletext"/>
            </w:pPr>
          </w:p>
        </w:tc>
        <w:tc>
          <w:tcPr>
            <w:tcW w:w="1417" w:type="dxa"/>
            <w:shd w:val="clear" w:color="auto" w:fill="F0F0F0"/>
          </w:tcPr>
          <w:p w14:paraId="08E3567B" w14:textId="77777777" w:rsidR="00BC7DDA" w:rsidRPr="00BD6C5F" w:rsidRDefault="00BC7DDA" w:rsidP="002E04A2">
            <w:pPr>
              <w:pStyle w:val="Tabletext"/>
            </w:pPr>
          </w:p>
        </w:tc>
      </w:tr>
      <w:tr w:rsidR="00BC7DDA" w:rsidRPr="00BD6C5F" w14:paraId="38E315EE" w14:textId="77777777" w:rsidTr="002E04A2">
        <w:trPr>
          <w:trHeight w:val="20"/>
        </w:trPr>
        <w:tc>
          <w:tcPr>
            <w:tcW w:w="2041" w:type="dxa"/>
          </w:tcPr>
          <w:p w14:paraId="11959D9C" w14:textId="77777777" w:rsidR="00BC7DDA" w:rsidRPr="00BD6C5F" w:rsidRDefault="00BC7DDA" w:rsidP="002E04A2">
            <w:pPr>
              <w:pStyle w:val="Tabletext"/>
            </w:pPr>
          </w:p>
        </w:tc>
        <w:tc>
          <w:tcPr>
            <w:tcW w:w="1417" w:type="dxa"/>
          </w:tcPr>
          <w:p w14:paraId="33CC26F7" w14:textId="77777777" w:rsidR="00BC7DDA" w:rsidRPr="00BD6C5F" w:rsidRDefault="00BC7DDA" w:rsidP="002E04A2">
            <w:pPr>
              <w:pStyle w:val="Tabletext"/>
            </w:pPr>
          </w:p>
        </w:tc>
        <w:tc>
          <w:tcPr>
            <w:tcW w:w="1701" w:type="dxa"/>
          </w:tcPr>
          <w:p w14:paraId="39FF9B89" w14:textId="77777777" w:rsidR="00BC7DDA" w:rsidRPr="00BD6C5F" w:rsidRDefault="00BC7DDA" w:rsidP="002E04A2">
            <w:pPr>
              <w:pStyle w:val="Tabletext"/>
            </w:pPr>
          </w:p>
        </w:tc>
        <w:tc>
          <w:tcPr>
            <w:tcW w:w="2154" w:type="dxa"/>
          </w:tcPr>
          <w:p w14:paraId="1DFEAD64" w14:textId="77777777" w:rsidR="00BC7DDA" w:rsidRPr="00BD6C5F" w:rsidRDefault="00BC7DDA" w:rsidP="002E04A2">
            <w:pPr>
              <w:pStyle w:val="Tabletext"/>
            </w:pPr>
          </w:p>
        </w:tc>
        <w:tc>
          <w:tcPr>
            <w:tcW w:w="1417" w:type="dxa"/>
            <w:shd w:val="clear" w:color="auto" w:fill="F0F0F0"/>
          </w:tcPr>
          <w:p w14:paraId="4E4E87E7" w14:textId="77777777" w:rsidR="00BC7DDA" w:rsidRPr="00BD6C5F" w:rsidRDefault="00BC7DDA" w:rsidP="002E04A2">
            <w:pPr>
              <w:pStyle w:val="Tabletext"/>
            </w:pPr>
          </w:p>
        </w:tc>
        <w:tc>
          <w:tcPr>
            <w:tcW w:w="1417" w:type="dxa"/>
            <w:shd w:val="clear" w:color="auto" w:fill="F0F0F0"/>
          </w:tcPr>
          <w:p w14:paraId="35C09A10" w14:textId="77777777" w:rsidR="00BC7DDA" w:rsidRPr="00BD6C5F" w:rsidRDefault="00BC7DDA" w:rsidP="002E04A2">
            <w:pPr>
              <w:pStyle w:val="Tabletext"/>
            </w:pPr>
          </w:p>
        </w:tc>
      </w:tr>
    </w:tbl>
    <w:p w14:paraId="40791D43" w14:textId="77777777" w:rsidR="008B479F" w:rsidRPr="00BD6C5F" w:rsidRDefault="008B479F" w:rsidP="00E22D21">
      <w:pPr>
        <w:rPr>
          <w:rFonts w:asciiTheme="minorHAnsi" w:hAnsiTheme="minorHAnsi" w:cstheme="minorHAnsi"/>
        </w:rPr>
      </w:pPr>
    </w:p>
    <w:p w14:paraId="064CDD69" w14:textId="77777777" w:rsidR="00E22D21" w:rsidRPr="00BD6C5F" w:rsidRDefault="00E22D21" w:rsidP="00E22D21">
      <w:pPr>
        <w:rPr>
          <w:rFonts w:asciiTheme="minorHAnsi" w:hAnsiTheme="minorHAnsi" w:cstheme="minorHAnsi"/>
        </w:rPr>
      </w:pPr>
    </w:p>
    <w:p w14:paraId="41C8E52E" w14:textId="77777777" w:rsidR="00E22D21" w:rsidRPr="00BD6C5F" w:rsidRDefault="00E22D21" w:rsidP="00E22D21">
      <w:pPr>
        <w:rPr>
          <w:rFonts w:asciiTheme="minorHAnsi" w:hAnsiTheme="minorHAnsi" w:cstheme="minorHAnsi"/>
        </w:rPr>
      </w:pPr>
    </w:p>
    <w:p w14:paraId="1128FF83" w14:textId="4DD6BACB" w:rsidR="00E22D21" w:rsidRPr="00BD6C5F" w:rsidRDefault="00E22D21" w:rsidP="00E22D21">
      <w:pPr>
        <w:rPr>
          <w:rFonts w:asciiTheme="minorHAnsi" w:hAnsiTheme="minorHAnsi" w:cstheme="minorHAnsi"/>
        </w:rPr>
        <w:sectPr w:rsidR="00E22D21" w:rsidRPr="00BD6C5F" w:rsidSect="00EA65BF">
          <w:headerReference w:type="default" r:id="rId70"/>
          <w:footerReference w:type="default" r:id="rId71"/>
          <w:pgSz w:w="11910" w:h="16840"/>
          <w:pgMar w:top="1701" w:right="851" w:bottom="1134" w:left="851" w:header="567" w:footer="567" w:gutter="0"/>
          <w:cols w:space="720"/>
        </w:sectPr>
      </w:pPr>
    </w:p>
    <w:p w14:paraId="390C6835" w14:textId="197F012C" w:rsidR="006F4549" w:rsidRDefault="006F4549" w:rsidP="006F4549">
      <w:pPr>
        <w:pStyle w:val="Dividername"/>
      </w:pPr>
      <w:bookmarkStart w:id="417" w:name="_bookmark141"/>
      <w:bookmarkStart w:id="418" w:name="_bookmark142"/>
      <w:bookmarkStart w:id="419" w:name="_Ref98252945"/>
      <w:bookmarkStart w:id="420" w:name="_Toc98332724"/>
      <w:bookmarkStart w:id="421" w:name="_Toc98852901"/>
      <w:bookmarkEnd w:id="417"/>
      <w:bookmarkEnd w:id="418"/>
      <w:r>
        <w:lastRenderedPageBreak/>
        <w:t xml:space="preserve">Schedule </w:t>
      </w:r>
      <w:bookmarkStart w:id="422" w:name="Schedule_11"/>
      <w:r>
        <w:t>11</w:t>
      </w:r>
      <w:bookmarkEnd w:id="422"/>
    </w:p>
    <w:p w14:paraId="2C069B43" w14:textId="2D6BD760" w:rsidR="006F4549" w:rsidRDefault="006F4549" w:rsidP="006F4549">
      <w:pPr>
        <w:pStyle w:val="Dividername"/>
      </w:pPr>
      <w:r w:rsidRPr="006F4549">
        <w:t>Third Party Contracts</w:t>
      </w:r>
    </w:p>
    <w:p w14:paraId="147F234C" w14:textId="77777777" w:rsidR="006F4549" w:rsidRDefault="006F4549" w:rsidP="006F4549"/>
    <w:p w14:paraId="7B9BA890" w14:textId="614C3FAC" w:rsidR="00BC7DDA" w:rsidRPr="00BD6C5F" w:rsidRDefault="002E04A2" w:rsidP="006F4549">
      <w:pPr>
        <w:pStyle w:val="Heading1"/>
        <w:pageBreakBefore/>
      </w:pPr>
      <w:bookmarkStart w:id="423" w:name="_Toc141720994"/>
      <w:r w:rsidRPr="00BD6C5F">
        <w:lastRenderedPageBreak/>
        <w:t>Schedule 11</w:t>
      </w:r>
      <w:r w:rsidR="0058158C" w:rsidRPr="00BD6C5F">
        <w:t>:</w:t>
      </w:r>
      <w:r w:rsidRPr="00BD6C5F">
        <w:t xml:space="preserve"> Third Party Contracts</w:t>
      </w:r>
      <w:bookmarkEnd w:id="419"/>
      <w:bookmarkEnd w:id="420"/>
      <w:bookmarkEnd w:id="421"/>
      <w:bookmarkEnd w:id="423"/>
    </w:p>
    <w:p w14:paraId="3A733938" w14:textId="1AEECF7B" w:rsidR="00357E0F" w:rsidRPr="00BD6C5F" w:rsidRDefault="00357E0F" w:rsidP="00042DE0">
      <w:pPr>
        <w:spacing w:before="100" w:after="200"/>
        <w:jc w:val="center"/>
      </w:pPr>
      <w:r w:rsidRPr="00BD6C5F">
        <w:t>This is the schedule referred to in the foregoing agreement betwee</w:t>
      </w:r>
      <w:r w:rsidR="001A45F8" w:rsidRPr="00BD6C5F">
        <w:t>n [</w:t>
      </w:r>
      <w:r w:rsidR="001A45F8" w:rsidRPr="00BD6C5F">
        <w:rPr>
          <w:highlight w:val="yellow"/>
        </w:rPr>
        <w:t>name of party</w:t>
      </w:r>
      <w:r w:rsidR="001A45F8" w:rsidRPr="00BD6C5F">
        <w:t>] and [</w:t>
      </w:r>
      <w:r w:rsidR="001A45F8" w:rsidRPr="00BD6C5F">
        <w:rPr>
          <w:highlight w:val="yellow"/>
        </w:rPr>
        <w:t>name of party</w:t>
      </w:r>
      <w:r w:rsidR="001A45F8" w:rsidRPr="00BD6C5F">
        <w:t>] dated [</w:t>
      </w:r>
      <w:r w:rsidR="001A45F8" w:rsidRPr="00BD6C5F">
        <w:rPr>
          <w:highlight w:val="yellow"/>
        </w:rPr>
        <w:t>date</w:t>
      </w:r>
      <w:r w:rsidR="001A45F8" w:rsidRPr="00BD6C5F">
        <w:t>]</w:t>
      </w:r>
    </w:p>
    <w:p w14:paraId="0D14DC86" w14:textId="63BE0E03" w:rsidR="002E04A2" w:rsidRPr="00BD6C5F" w:rsidRDefault="002E04A2" w:rsidP="003D74DA"/>
    <w:p w14:paraId="0D2C68A0" w14:textId="335DE1D8" w:rsidR="003D74DA" w:rsidRPr="00BD6C5F" w:rsidRDefault="003D74DA" w:rsidP="00B71FC0">
      <w:pPr>
        <w:pStyle w:val="Numbered1"/>
        <w:numPr>
          <w:ilvl w:val="0"/>
          <w:numId w:val="89"/>
        </w:numPr>
      </w:pPr>
      <w:bookmarkStart w:id="424" w:name="_Ref141215599"/>
      <w:r w:rsidRPr="00BD6C5F">
        <w:t>Third Party Contracts</w:t>
      </w:r>
      <w:bookmarkEnd w:id="424"/>
    </w:p>
    <w:p w14:paraId="48513413" w14:textId="023D1EBF" w:rsidR="00BC7DDA" w:rsidRPr="00BD6C5F" w:rsidRDefault="009B03E9" w:rsidP="003D74DA">
      <w:pPr>
        <w:pStyle w:val="Numbered11"/>
      </w:pPr>
      <w:r w:rsidRPr="00BD6C5F">
        <w:t>The contracts listed in the table below constitute Third Party Contracts entered into exclusively for the purposes of delivering the Services.</w:t>
      </w:r>
    </w:p>
    <w:p w14:paraId="6E47A37A" w14:textId="39B035B3" w:rsidR="00BC7DDA" w:rsidRPr="00BD6C5F" w:rsidRDefault="009B03E9" w:rsidP="003D74DA">
      <w:pPr>
        <w:pStyle w:val="Numbered11"/>
      </w:pPr>
      <w:r w:rsidRPr="00BD6C5F">
        <w:t xml:space="preserve">The Supplier shall be entitled to update this Schedule in accordance with </w:t>
      </w:r>
      <w:r w:rsidR="005E736B" w:rsidRPr="00BD6C5F">
        <w:t>Clause </w:t>
      </w:r>
      <w:r w:rsidRPr="00BD6C5F">
        <w:t>15.5 (</w:t>
      </w:r>
      <w:r w:rsidRPr="00BD6C5F">
        <w:rPr>
          <w:i/>
        </w:rPr>
        <w:t>Appointment of Sub-contractors</w:t>
      </w:r>
      <w:r w:rsidRPr="00BD6C5F">
        <w:t>).</w:t>
      </w:r>
    </w:p>
    <w:tbl>
      <w:tblPr>
        <w:tblStyle w:val="MSATable-header"/>
        <w:tblW w:w="9468" w:type="dxa"/>
        <w:tblInd w:w="720" w:type="dxa"/>
        <w:tblLayout w:type="fixed"/>
        <w:tblLook w:val="0620" w:firstRow="1" w:lastRow="0" w:firstColumn="0" w:lastColumn="0" w:noHBand="1" w:noVBand="1"/>
      </w:tblPr>
      <w:tblGrid>
        <w:gridCol w:w="3402"/>
        <w:gridCol w:w="3005"/>
        <w:gridCol w:w="3061"/>
      </w:tblGrid>
      <w:tr w:rsidR="002E04A2" w:rsidRPr="00BD6C5F" w14:paraId="4F6278FF" w14:textId="77777777" w:rsidTr="002E04A2">
        <w:trPr>
          <w:cnfStyle w:val="100000000000" w:firstRow="1" w:lastRow="0" w:firstColumn="0" w:lastColumn="0" w:oddVBand="0" w:evenVBand="0" w:oddHBand="0" w:evenHBand="0" w:firstRowFirstColumn="0" w:firstRowLastColumn="0" w:lastRowFirstColumn="0" w:lastRowLastColumn="0"/>
        </w:trPr>
        <w:tc>
          <w:tcPr>
            <w:tcW w:w="3402" w:type="dxa"/>
          </w:tcPr>
          <w:p w14:paraId="2ED87F78" w14:textId="77777777" w:rsidR="00BC7DDA" w:rsidRPr="00BD6C5F" w:rsidRDefault="009B03E9" w:rsidP="002E04A2">
            <w:pPr>
              <w:pStyle w:val="Tabletext"/>
            </w:pPr>
            <w:r w:rsidRPr="00BD6C5F">
              <w:t>Third party supplier name and address (if not the same as the registered office)</w:t>
            </w:r>
          </w:p>
        </w:tc>
        <w:tc>
          <w:tcPr>
            <w:tcW w:w="3005" w:type="dxa"/>
          </w:tcPr>
          <w:p w14:paraId="429EDFC8" w14:textId="77777777" w:rsidR="00BC7DDA" w:rsidRPr="00BD6C5F" w:rsidRDefault="009B03E9" w:rsidP="002E04A2">
            <w:pPr>
              <w:pStyle w:val="Tabletext"/>
            </w:pPr>
            <w:r w:rsidRPr="00BD6C5F">
              <w:t>Registered office and company number</w:t>
            </w:r>
          </w:p>
        </w:tc>
        <w:tc>
          <w:tcPr>
            <w:tcW w:w="3061" w:type="dxa"/>
          </w:tcPr>
          <w:p w14:paraId="63FBD68B" w14:textId="77777777" w:rsidR="00BC7DDA" w:rsidRPr="00BD6C5F" w:rsidRDefault="009B03E9" w:rsidP="002E04A2">
            <w:pPr>
              <w:pStyle w:val="Tabletext"/>
            </w:pPr>
            <w:r w:rsidRPr="00BD6C5F">
              <w:t>Related product/service description</w:t>
            </w:r>
          </w:p>
        </w:tc>
      </w:tr>
      <w:tr w:rsidR="00BC7DDA" w:rsidRPr="00BD6C5F" w14:paraId="0F932A6C" w14:textId="77777777" w:rsidTr="002E04A2">
        <w:tc>
          <w:tcPr>
            <w:tcW w:w="3402" w:type="dxa"/>
          </w:tcPr>
          <w:p w14:paraId="66FF93CF" w14:textId="77777777" w:rsidR="00BC7DDA" w:rsidRPr="00BD6C5F" w:rsidRDefault="00BC7DDA" w:rsidP="002E04A2">
            <w:pPr>
              <w:pStyle w:val="Tabletext"/>
            </w:pPr>
          </w:p>
        </w:tc>
        <w:tc>
          <w:tcPr>
            <w:tcW w:w="3005" w:type="dxa"/>
          </w:tcPr>
          <w:p w14:paraId="75D656BF" w14:textId="77777777" w:rsidR="00BC7DDA" w:rsidRPr="00BD6C5F" w:rsidRDefault="00BC7DDA" w:rsidP="002E04A2">
            <w:pPr>
              <w:pStyle w:val="Tabletext"/>
            </w:pPr>
          </w:p>
        </w:tc>
        <w:tc>
          <w:tcPr>
            <w:tcW w:w="3061" w:type="dxa"/>
          </w:tcPr>
          <w:p w14:paraId="3ACAC277" w14:textId="77777777" w:rsidR="00BC7DDA" w:rsidRPr="00BD6C5F" w:rsidRDefault="00BC7DDA" w:rsidP="002E04A2">
            <w:pPr>
              <w:pStyle w:val="Tabletext"/>
            </w:pPr>
          </w:p>
        </w:tc>
      </w:tr>
      <w:tr w:rsidR="00BC7DDA" w:rsidRPr="00BD6C5F" w14:paraId="5F8E392F" w14:textId="77777777" w:rsidTr="002E04A2">
        <w:tc>
          <w:tcPr>
            <w:tcW w:w="3402" w:type="dxa"/>
          </w:tcPr>
          <w:p w14:paraId="1BCF26E3" w14:textId="77777777" w:rsidR="00BC7DDA" w:rsidRPr="00BD6C5F" w:rsidRDefault="00BC7DDA" w:rsidP="002E04A2">
            <w:pPr>
              <w:pStyle w:val="Tabletext"/>
            </w:pPr>
          </w:p>
        </w:tc>
        <w:tc>
          <w:tcPr>
            <w:tcW w:w="3005" w:type="dxa"/>
          </w:tcPr>
          <w:p w14:paraId="75138809" w14:textId="77777777" w:rsidR="00BC7DDA" w:rsidRPr="00BD6C5F" w:rsidRDefault="00BC7DDA" w:rsidP="002E04A2">
            <w:pPr>
              <w:pStyle w:val="Tabletext"/>
            </w:pPr>
          </w:p>
        </w:tc>
        <w:tc>
          <w:tcPr>
            <w:tcW w:w="3061" w:type="dxa"/>
          </w:tcPr>
          <w:p w14:paraId="0956BC9B" w14:textId="77777777" w:rsidR="00BC7DDA" w:rsidRPr="00BD6C5F" w:rsidRDefault="00BC7DDA" w:rsidP="002E04A2">
            <w:pPr>
              <w:pStyle w:val="Tabletext"/>
            </w:pPr>
          </w:p>
        </w:tc>
      </w:tr>
      <w:tr w:rsidR="00BC7DDA" w:rsidRPr="00BD6C5F" w14:paraId="1D4D7FCB" w14:textId="77777777" w:rsidTr="002E04A2">
        <w:tc>
          <w:tcPr>
            <w:tcW w:w="3402" w:type="dxa"/>
          </w:tcPr>
          <w:p w14:paraId="6E34A6B9" w14:textId="77777777" w:rsidR="00BC7DDA" w:rsidRPr="00BD6C5F" w:rsidRDefault="00BC7DDA" w:rsidP="002E04A2">
            <w:pPr>
              <w:pStyle w:val="Tabletext"/>
            </w:pPr>
          </w:p>
        </w:tc>
        <w:tc>
          <w:tcPr>
            <w:tcW w:w="3005" w:type="dxa"/>
          </w:tcPr>
          <w:p w14:paraId="74ED0190" w14:textId="77777777" w:rsidR="00BC7DDA" w:rsidRPr="00BD6C5F" w:rsidRDefault="00BC7DDA" w:rsidP="002E04A2">
            <w:pPr>
              <w:pStyle w:val="Tabletext"/>
            </w:pPr>
          </w:p>
        </w:tc>
        <w:tc>
          <w:tcPr>
            <w:tcW w:w="3061" w:type="dxa"/>
          </w:tcPr>
          <w:p w14:paraId="4361E2FB" w14:textId="77777777" w:rsidR="00BC7DDA" w:rsidRPr="00BD6C5F" w:rsidRDefault="00BC7DDA" w:rsidP="002E04A2">
            <w:pPr>
              <w:pStyle w:val="Tabletext"/>
            </w:pPr>
          </w:p>
        </w:tc>
      </w:tr>
      <w:tr w:rsidR="00BC7DDA" w:rsidRPr="00BD6C5F" w14:paraId="013F9FBB" w14:textId="77777777" w:rsidTr="002E04A2">
        <w:tc>
          <w:tcPr>
            <w:tcW w:w="3402" w:type="dxa"/>
          </w:tcPr>
          <w:p w14:paraId="412C4299" w14:textId="77777777" w:rsidR="00BC7DDA" w:rsidRPr="00BD6C5F" w:rsidRDefault="00BC7DDA" w:rsidP="002E04A2">
            <w:pPr>
              <w:pStyle w:val="Tabletext"/>
            </w:pPr>
          </w:p>
        </w:tc>
        <w:tc>
          <w:tcPr>
            <w:tcW w:w="3005" w:type="dxa"/>
          </w:tcPr>
          <w:p w14:paraId="5A03B5BB" w14:textId="77777777" w:rsidR="00BC7DDA" w:rsidRPr="00BD6C5F" w:rsidRDefault="00BC7DDA" w:rsidP="002E04A2">
            <w:pPr>
              <w:pStyle w:val="Tabletext"/>
            </w:pPr>
          </w:p>
        </w:tc>
        <w:tc>
          <w:tcPr>
            <w:tcW w:w="3061" w:type="dxa"/>
          </w:tcPr>
          <w:p w14:paraId="5B5FB214" w14:textId="77777777" w:rsidR="00BC7DDA" w:rsidRPr="00BD6C5F" w:rsidRDefault="00BC7DDA" w:rsidP="002E04A2">
            <w:pPr>
              <w:pStyle w:val="Tabletext"/>
            </w:pPr>
          </w:p>
        </w:tc>
      </w:tr>
      <w:tr w:rsidR="00BC7DDA" w:rsidRPr="00BD6C5F" w14:paraId="1188B8D9" w14:textId="77777777" w:rsidTr="002E04A2">
        <w:tc>
          <w:tcPr>
            <w:tcW w:w="3402" w:type="dxa"/>
          </w:tcPr>
          <w:p w14:paraId="00DF8315" w14:textId="77777777" w:rsidR="00BC7DDA" w:rsidRPr="00BD6C5F" w:rsidRDefault="00BC7DDA" w:rsidP="002E04A2">
            <w:pPr>
              <w:pStyle w:val="Tabletext"/>
            </w:pPr>
          </w:p>
        </w:tc>
        <w:tc>
          <w:tcPr>
            <w:tcW w:w="3005" w:type="dxa"/>
          </w:tcPr>
          <w:p w14:paraId="19B46E4F" w14:textId="77777777" w:rsidR="00BC7DDA" w:rsidRPr="00BD6C5F" w:rsidRDefault="00BC7DDA" w:rsidP="002E04A2">
            <w:pPr>
              <w:pStyle w:val="Tabletext"/>
            </w:pPr>
          </w:p>
        </w:tc>
        <w:tc>
          <w:tcPr>
            <w:tcW w:w="3061" w:type="dxa"/>
          </w:tcPr>
          <w:p w14:paraId="39F89C16" w14:textId="77777777" w:rsidR="00BC7DDA" w:rsidRPr="00BD6C5F" w:rsidRDefault="00BC7DDA" w:rsidP="002E04A2">
            <w:pPr>
              <w:pStyle w:val="Tabletext"/>
            </w:pPr>
          </w:p>
        </w:tc>
      </w:tr>
      <w:tr w:rsidR="00BC7DDA" w:rsidRPr="00BD6C5F" w14:paraId="366596EF" w14:textId="77777777" w:rsidTr="002E04A2">
        <w:tc>
          <w:tcPr>
            <w:tcW w:w="3402" w:type="dxa"/>
          </w:tcPr>
          <w:p w14:paraId="45280525" w14:textId="77777777" w:rsidR="00BC7DDA" w:rsidRPr="00BD6C5F" w:rsidRDefault="00BC7DDA" w:rsidP="002E04A2">
            <w:pPr>
              <w:pStyle w:val="Tabletext"/>
            </w:pPr>
          </w:p>
        </w:tc>
        <w:tc>
          <w:tcPr>
            <w:tcW w:w="3005" w:type="dxa"/>
          </w:tcPr>
          <w:p w14:paraId="2B5A2BA4" w14:textId="77777777" w:rsidR="00BC7DDA" w:rsidRPr="00BD6C5F" w:rsidRDefault="00BC7DDA" w:rsidP="002E04A2">
            <w:pPr>
              <w:pStyle w:val="Tabletext"/>
            </w:pPr>
          </w:p>
        </w:tc>
        <w:tc>
          <w:tcPr>
            <w:tcW w:w="3061" w:type="dxa"/>
          </w:tcPr>
          <w:p w14:paraId="3D490C31" w14:textId="77777777" w:rsidR="00BC7DDA" w:rsidRPr="00BD6C5F" w:rsidRDefault="00BC7DDA" w:rsidP="002E04A2">
            <w:pPr>
              <w:pStyle w:val="Tabletext"/>
            </w:pPr>
          </w:p>
        </w:tc>
      </w:tr>
    </w:tbl>
    <w:p w14:paraId="3B061EBB" w14:textId="77777777" w:rsidR="008B479F" w:rsidRPr="00BD6C5F" w:rsidRDefault="008B479F" w:rsidP="00E22D21">
      <w:pPr>
        <w:rPr>
          <w:rFonts w:asciiTheme="minorHAnsi" w:hAnsiTheme="minorHAnsi" w:cstheme="minorHAnsi"/>
        </w:rPr>
      </w:pPr>
    </w:p>
    <w:p w14:paraId="474AB786" w14:textId="77777777" w:rsidR="00E22D21" w:rsidRPr="00BD6C5F" w:rsidRDefault="00E22D21" w:rsidP="00E22D21">
      <w:pPr>
        <w:rPr>
          <w:rFonts w:asciiTheme="minorHAnsi" w:hAnsiTheme="minorHAnsi" w:cstheme="minorHAnsi"/>
        </w:rPr>
      </w:pPr>
    </w:p>
    <w:p w14:paraId="07800A5A" w14:textId="77777777" w:rsidR="00E22D21" w:rsidRPr="00BD6C5F" w:rsidRDefault="00E22D21" w:rsidP="00E22D21">
      <w:pPr>
        <w:rPr>
          <w:rFonts w:asciiTheme="minorHAnsi" w:hAnsiTheme="minorHAnsi" w:cstheme="minorHAnsi"/>
        </w:rPr>
      </w:pPr>
    </w:p>
    <w:p w14:paraId="46C2651F" w14:textId="186F78F5" w:rsidR="00E22D21" w:rsidRPr="00BD6C5F" w:rsidRDefault="00E22D21" w:rsidP="00E22D21">
      <w:pPr>
        <w:rPr>
          <w:rFonts w:asciiTheme="minorHAnsi" w:hAnsiTheme="minorHAnsi" w:cstheme="minorHAnsi"/>
        </w:rPr>
        <w:sectPr w:rsidR="00E22D21" w:rsidRPr="00BD6C5F" w:rsidSect="00EA65BF">
          <w:headerReference w:type="default" r:id="rId72"/>
          <w:footerReference w:type="default" r:id="rId73"/>
          <w:pgSz w:w="11910" w:h="16840"/>
          <w:pgMar w:top="1701" w:right="851" w:bottom="1134" w:left="851" w:header="567" w:footer="567" w:gutter="0"/>
          <w:cols w:space="720"/>
        </w:sectPr>
      </w:pPr>
    </w:p>
    <w:p w14:paraId="1A952005" w14:textId="322455C6" w:rsidR="006F4549" w:rsidRDefault="006F4549" w:rsidP="006F4549">
      <w:pPr>
        <w:pStyle w:val="Dividername"/>
      </w:pPr>
      <w:r>
        <w:lastRenderedPageBreak/>
        <w:t xml:space="preserve">Schedule </w:t>
      </w:r>
      <w:bookmarkStart w:id="425" w:name="Schedule_12"/>
      <w:r>
        <w:t>12</w:t>
      </w:r>
      <w:bookmarkEnd w:id="425"/>
    </w:p>
    <w:p w14:paraId="65FA153E" w14:textId="3A3BA1DE" w:rsidR="006F4549" w:rsidRDefault="006F4549" w:rsidP="006F4549">
      <w:pPr>
        <w:pStyle w:val="Dividername"/>
      </w:pPr>
      <w:r w:rsidRPr="006F4549">
        <w:t>Software</w:t>
      </w:r>
    </w:p>
    <w:p w14:paraId="460DC98F" w14:textId="77777777" w:rsidR="006F4549" w:rsidRDefault="006F4549" w:rsidP="006F4549"/>
    <w:p w14:paraId="73EDC9E3" w14:textId="3DCFDB2C" w:rsidR="006F4549" w:rsidRDefault="006F4549" w:rsidP="006F4549"/>
    <w:p w14:paraId="6A17F5BB" w14:textId="77777777" w:rsidR="006F4549" w:rsidRDefault="006F4549" w:rsidP="006F4549"/>
    <w:p w14:paraId="39534C58" w14:textId="77777777" w:rsidR="006F4549" w:rsidRDefault="006F4549" w:rsidP="006F4549">
      <w:pPr>
        <w:sectPr w:rsidR="006F4549" w:rsidSect="006F4549">
          <w:headerReference w:type="default" r:id="rId74"/>
          <w:footerReference w:type="default" r:id="rId75"/>
          <w:pgSz w:w="11910" w:h="16840"/>
          <w:pgMar w:top="1701" w:right="851" w:bottom="1134" w:left="851" w:header="567" w:footer="567" w:gutter="0"/>
          <w:cols w:space="720"/>
          <w:docGrid w:linePitch="326"/>
        </w:sectPr>
      </w:pPr>
    </w:p>
    <w:p w14:paraId="048C969F" w14:textId="36A95F7B" w:rsidR="00BC7DDA" w:rsidRPr="00BD6C5F" w:rsidRDefault="002E04A2" w:rsidP="002E04A2">
      <w:pPr>
        <w:pStyle w:val="Heading1"/>
      </w:pPr>
      <w:bookmarkStart w:id="426" w:name="_Toc141720995"/>
      <w:r w:rsidRPr="00BD6C5F">
        <w:lastRenderedPageBreak/>
        <w:t>Schedule 12</w:t>
      </w:r>
      <w:r w:rsidR="0058158C" w:rsidRPr="00BD6C5F">
        <w:t>:</w:t>
      </w:r>
      <w:r w:rsidRPr="00BD6C5F">
        <w:t xml:space="preserve"> </w:t>
      </w:r>
      <w:bookmarkStart w:id="427" w:name="_Ref98252653"/>
      <w:bookmarkStart w:id="428" w:name="_Toc98332725"/>
      <w:bookmarkStart w:id="429" w:name="_Toc98852902"/>
      <w:r w:rsidRPr="00BD6C5F">
        <w:t>Software</w:t>
      </w:r>
      <w:bookmarkEnd w:id="427"/>
      <w:bookmarkEnd w:id="428"/>
      <w:bookmarkEnd w:id="429"/>
      <w:bookmarkEnd w:id="426"/>
    </w:p>
    <w:p w14:paraId="71D26AF4" w14:textId="030876B0" w:rsidR="000258C6" w:rsidRPr="00BD6C5F" w:rsidRDefault="000258C6" w:rsidP="002E04A2">
      <w:pPr>
        <w:jc w:val="center"/>
      </w:pPr>
      <w:r w:rsidRPr="00BD6C5F">
        <w:t>This is the schedule referred to in the foregoing agreement betwe</w:t>
      </w:r>
      <w:r w:rsidR="001A45F8" w:rsidRPr="00BD6C5F">
        <w:t>en [</w:t>
      </w:r>
      <w:r w:rsidR="001A45F8" w:rsidRPr="00BD6C5F">
        <w:rPr>
          <w:highlight w:val="yellow"/>
        </w:rPr>
        <w:t>name of party</w:t>
      </w:r>
      <w:r w:rsidR="001A45F8" w:rsidRPr="00BD6C5F">
        <w:t>] and [</w:t>
      </w:r>
      <w:r w:rsidR="001A45F8" w:rsidRPr="00BD6C5F">
        <w:rPr>
          <w:highlight w:val="yellow"/>
        </w:rPr>
        <w:t>name of party</w:t>
      </w:r>
      <w:r w:rsidR="001A45F8" w:rsidRPr="00BD6C5F">
        <w:t>] dated [</w:t>
      </w:r>
      <w:r w:rsidR="001A45F8" w:rsidRPr="00BD6C5F">
        <w:rPr>
          <w:highlight w:val="yellow"/>
        </w:rPr>
        <w:t>date</w:t>
      </w:r>
      <w:r w:rsidR="001A45F8" w:rsidRPr="00BD6C5F">
        <w:t>]</w:t>
      </w:r>
    </w:p>
    <w:p w14:paraId="417AFE33" w14:textId="77777777" w:rsidR="002E04A2" w:rsidRPr="00BD6C5F" w:rsidRDefault="002E04A2" w:rsidP="002E04A2"/>
    <w:p w14:paraId="6AA938A6" w14:textId="701CBE98" w:rsidR="00BC7DDA" w:rsidRPr="00BD6C5F" w:rsidRDefault="001A45F8" w:rsidP="00B71FC0">
      <w:pPr>
        <w:pStyle w:val="Numbered1"/>
        <w:numPr>
          <w:ilvl w:val="0"/>
          <w:numId w:val="90"/>
        </w:numPr>
      </w:pPr>
      <w:r w:rsidRPr="00BD6C5F">
        <w:t>The Software</w:t>
      </w:r>
    </w:p>
    <w:p w14:paraId="07C89969" w14:textId="45EF48CD" w:rsidR="00BC7DDA" w:rsidRPr="00BD6C5F" w:rsidRDefault="009B03E9" w:rsidP="00C5057A">
      <w:pPr>
        <w:pStyle w:val="Numbered11"/>
      </w:pPr>
      <w:r w:rsidRPr="00BD6C5F">
        <w:t xml:space="preserve">The Software below is licensed to the Authority in accordance </w:t>
      </w:r>
      <w:r w:rsidRPr="00D65E29">
        <w:t xml:space="preserve">with </w:t>
      </w:r>
      <w:r w:rsidR="005E736B" w:rsidRPr="00D65E29">
        <w:t>Clause </w:t>
      </w:r>
      <w:r w:rsidR="00AE13B8" w:rsidRPr="00D65E29">
        <w:t>7</w:t>
      </w:r>
      <w:r w:rsidRPr="00BD6C5F">
        <w:t xml:space="preserve"> (</w:t>
      </w:r>
      <w:r w:rsidRPr="00BD6C5F">
        <w:rPr>
          <w:i/>
        </w:rPr>
        <w:t>Intellectual Property Rights</w:t>
      </w:r>
      <w:r w:rsidRPr="00BD6C5F">
        <w:t xml:space="preserve">) and </w:t>
      </w:r>
      <w:r w:rsidR="0080120B" w:rsidRPr="00BD6C5F">
        <w:t>Schedule</w:t>
      </w:r>
      <w:r w:rsidR="00E10488" w:rsidRPr="00BD6C5F">
        <w:t> </w:t>
      </w:r>
      <w:r w:rsidR="00FB4461">
        <w:fldChar w:fldCharType="begin"/>
      </w:r>
      <w:r w:rsidR="00FB4461">
        <w:instrText xml:space="preserve"> REF Schedule_32 \h </w:instrText>
      </w:r>
      <w:r w:rsidR="00FB4461">
        <w:fldChar w:fldCharType="separate"/>
      </w:r>
      <w:r w:rsidR="009749A0" w:rsidRPr="00EE4F10">
        <w:t>32</w:t>
      </w:r>
      <w:r w:rsidR="00FB4461">
        <w:fldChar w:fldCharType="end"/>
      </w:r>
      <w:r w:rsidR="0080120B" w:rsidRPr="00BD6C5F">
        <w:t xml:space="preserve"> </w:t>
      </w:r>
      <w:r w:rsidRPr="00BD6C5F">
        <w:t>(</w:t>
      </w:r>
      <w:r w:rsidR="0080120B" w:rsidRPr="00BD6C5F">
        <w:rPr>
          <w:i/>
          <w:iCs/>
        </w:rPr>
        <w:t>Intellectual Property Rights</w:t>
      </w:r>
      <w:r w:rsidRPr="00BD6C5F">
        <w:t>).</w:t>
      </w:r>
    </w:p>
    <w:p w14:paraId="19882F05" w14:textId="79BA5234" w:rsidR="00BC7DDA" w:rsidRPr="00BD6C5F" w:rsidRDefault="009B03E9" w:rsidP="00C5057A">
      <w:pPr>
        <w:pStyle w:val="Numbered11"/>
      </w:pPr>
      <w:r w:rsidRPr="00BD6C5F">
        <w:t>The Parties agree that they will update this Schedule regularly, and in any event no less than every 6 (six) Months from the Effective Date, to record any Supplier Software or Third Party Software subsequently licensed by the Supplier or third parties for the purposes of the delivery of the Services.</w:t>
      </w:r>
      <w:r w:rsidR="00DB2677" w:rsidRPr="00BD6C5F">
        <w:t xml:space="preserve"> </w:t>
      </w:r>
    </w:p>
    <w:p w14:paraId="1880A158" w14:textId="44475EF8" w:rsidR="00BC7DDA" w:rsidRPr="00BD6C5F" w:rsidRDefault="001A45F8" w:rsidP="00C5057A">
      <w:pPr>
        <w:pStyle w:val="Numbered1"/>
      </w:pPr>
      <w:r w:rsidRPr="00BD6C5F">
        <w:t>Supplier Software</w:t>
      </w:r>
    </w:p>
    <w:p w14:paraId="2023AF4B" w14:textId="7BF0A114" w:rsidR="00BC7DDA" w:rsidRPr="00BD6C5F" w:rsidRDefault="009B03E9" w:rsidP="00F03CB1">
      <w:pPr>
        <w:pStyle w:val="BodyText"/>
        <w:keepNext/>
        <w:spacing w:before="100" w:after="200"/>
        <w:ind w:left="720"/>
        <w:rPr>
          <w:rFonts w:asciiTheme="minorHAnsi" w:hAnsiTheme="minorHAnsi" w:cstheme="minorHAnsi"/>
        </w:rPr>
      </w:pPr>
      <w:r w:rsidRPr="00BD6C5F">
        <w:rPr>
          <w:rFonts w:asciiTheme="minorHAnsi" w:hAnsiTheme="minorHAnsi" w:cstheme="minorHAnsi"/>
        </w:rPr>
        <w:t>The Supplier Software includes the following items:</w:t>
      </w:r>
    </w:p>
    <w:tbl>
      <w:tblPr>
        <w:tblStyle w:val="MSATable-header"/>
        <w:tblW w:w="0" w:type="auto"/>
        <w:tblInd w:w="720" w:type="dxa"/>
        <w:tblLayout w:type="fixed"/>
        <w:tblLook w:val="0620" w:firstRow="1" w:lastRow="0" w:firstColumn="0" w:lastColumn="0" w:noHBand="1" w:noVBand="1"/>
      </w:tblPr>
      <w:tblGrid>
        <w:gridCol w:w="1701"/>
        <w:gridCol w:w="2211"/>
        <w:gridCol w:w="1984"/>
        <w:gridCol w:w="1701"/>
        <w:gridCol w:w="1701"/>
        <w:gridCol w:w="1559"/>
        <w:gridCol w:w="1843"/>
        <w:gridCol w:w="1701"/>
      </w:tblGrid>
      <w:tr w:rsidR="00BC7DDA" w:rsidRPr="00BD6C5F" w14:paraId="423908B9" w14:textId="77777777" w:rsidTr="00F03CB1">
        <w:trPr>
          <w:cnfStyle w:val="100000000000" w:firstRow="1" w:lastRow="0" w:firstColumn="0" w:lastColumn="0" w:oddVBand="0" w:evenVBand="0" w:oddHBand="0" w:evenHBand="0" w:firstRowFirstColumn="0" w:firstRowLastColumn="0" w:lastRowFirstColumn="0" w:lastRowLastColumn="0"/>
          <w:trHeight w:val="20"/>
          <w:tblHeader/>
        </w:trPr>
        <w:tc>
          <w:tcPr>
            <w:tcW w:w="1701" w:type="dxa"/>
          </w:tcPr>
          <w:p w14:paraId="14088C44" w14:textId="77777777" w:rsidR="00BC7DDA" w:rsidRPr="00BD6C5F" w:rsidRDefault="009B03E9" w:rsidP="00F03CB1">
            <w:pPr>
              <w:pStyle w:val="Table-Text"/>
            </w:pPr>
            <w:r w:rsidRPr="00BD6C5F">
              <w:t>Software</w:t>
            </w:r>
          </w:p>
        </w:tc>
        <w:tc>
          <w:tcPr>
            <w:tcW w:w="2211" w:type="dxa"/>
          </w:tcPr>
          <w:p w14:paraId="26F9D323" w14:textId="77777777" w:rsidR="00BC7DDA" w:rsidRPr="00BD6C5F" w:rsidRDefault="009B03E9" w:rsidP="00F03CB1">
            <w:pPr>
              <w:pStyle w:val="Table-Text"/>
            </w:pPr>
            <w:r w:rsidRPr="00BD6C5F">
              <w:t>Supplier (if an Affiliate of the Supplier)</w:t>
            </w:r>
          </w:p>
        </w:tc>
        <w:tc>
          <w:tcPr>
            <w:tcW w:w="1984" w:type="dxa"/>
          </w:tcPr>
          <w:p w14:paraId="5925B5AA" w14:textId="77777777" w:rsidR="00BC7DDA" w:rsidRPr="00BD6C5F" w:rsidRDefault="009B03E9" w:rsidP="00F03CB1">
            <w:pPr>
              <w:pStyle w:val="Table-Text"/>
            </w:pPr>
            <w:r w:rsidRPr="00BD6C5F">
              <w:t>Purpose</w:t>
            </w:r>
          </w:p>
        </w:tc>
        <w:tc>
          <w:tcPr>
            <w:tcW w:w="1701" w:type="dxa"/>
          </w:tcPr>
          <w:p w14:paraId="16B70D55" w14:textId="77777777" w:rsidR="00BC7DDA" w:rsidRPr="00BD6C5F" w:rsidRDefault="009B03E9" w:rsidP="00F03CB1">
            <w:pPr>
              <w:pStyle w:val="Table-Text"/>
            </w:pPr>
            <w:r w:rsidRPr="00BD6C5F">
              <w:t>Number of Licences</w:t>
            </w:r>
          </w:p>
        </w:tc>
        <w:tc>
          <w:tcPr>
            <w:tcW w:w="1701" w:type="dxa"/>
          </w:tcPr>
          <w:p w14:paraId="07872FCD" w14:textId="77777777" w:rsidR="00BC7DDA" w:rsidRPr="00BD6C5F" w:rsidRDefault="009B03E9" w:rsidP="00F03CB1">
            <w:pPr>
              <w:pStyle w:val="Table-Text"/>
            </w:pPr>
            <w:r w:rsidRPr="00BD6C5F">
              <w:t>Restrictions</w:t>
            </w:r>
          </w:p>
        </w:tc>
        <w:tc>
          <w:tcPr>
            <w:tcW w:w="1559" w:type="dxa"/>
          </w:tcPr>
          <w:p w14:paraId="68418E9B" w14:textId="77777777" w:rsidR="00BC7DDA" w:rsidRPr="00BD6C5F" w:rsidRDefault="009B03E9" w:rsidP="00F03CB1">
            <w:pPr>
              <w:pStyle w:val="Table-Text"/>
            </w:pPr>
            <w:r w:rsidRPr="00BD6C5F">
              <w:t>Number of Copies</w:t>
            </w:r>
          </w:p>
        </w:tc>
        <w:tc>
          <w:tcPr>
            <w:tcW w:w="1843" w:type="dxa"/>
          </w:tcPr>
          <w:p w14:paraId="3608C6EC" w14:textId="5619CCC6" w:rsidR="00BC7DDA" w:rsidRPr="00BD6C5F" w:rsidRDefault="009B03E9" w:rsidP="00F03CB1">
            <w:pPr>
              <w:pStyle w:val="Table-Text"/>
            </w:pPr>
            <w:r w:rsidRPr="00BD6C5F">
              <w:t>Type (COTS or Non-COTS)</w:t>
            </w:r>
          </w:p>
        </w:tc>
        <w:tc>
          <w:tcPr>
            <w:tcW w:w="1701" w:type="dxa"/>
          </w:tcPr>
          <w:p w14:paraId="09C413D2" w14:textId="77777777" w:rsidR="00BC7DDA" w:rsidRPr="00BD6C5F" w:rsidRDefault="009B03E9" w:rsidP="00F03CB1">
            <w:pPr>
              <w:pStyle w:val="Table-Text"/>
            </w:pPr>
            <w:r w:rsidRPr="00BD6C5F">
              <w:t>Term/Expiry</w:t>
            </w:r>
          </w:p>
        </w:tc>
      </w:tr>
      <w:tr w:rsidR="00BC7DDA" w:rsidRPr="00BD6C5F" w14:paraId="277FD6AD" w14:textId="77777777" w:rsidTr="00F03CB1">
        <w:trPr>
          <w:trHeight w:val="20"/>
        </w:trPr>
        <w:tc>
          <w:tcPr>
            <w:tcW w:w="1701" w:type="dxa"/>
          </w:tcPr>
          <w:p w14:paraId="21108C35" w14:textId="77777777" w:rsidR="00BC7DDA" w:rsidRPr="00BD6C5F" w:rsidRDefault="00BC7DDA" w:rsidP="00F03CB1">
            <w:pPr>
              <w:pStyle w:val="Table-Text"/>
            </w:pPr>
          </w:p>
        </w:tc>
        <w:tc>
          <w:tcPr>
            <w:tcW w:w="2211" w:type="dxa"/>
          </w:tcPr>
          <w:p w14:paraId="12DF8F6B" w14:textId="77777777" w:rsidR="00BC7DDA" w:rsidRPr="00BD6C5F" w:rsidRDefault="00BC7DDA" w:rsidP="00F03CB1">
            <w:pPr>
              <w:pStyle w:val="Table-Text"/>
            </w:pPr>
          </w:p>
        </w:tc>
        <w:tc>
          <w:tcPr>
            <w:tcW w:w="1984" w:type="dxa"/>
          </w:tcPr>
          <w:p w14:paraId="258DBE42" w14:textId="77777777" w:rsidR="00BC7DDA" w:rsidRPr="00BD6C5F" w:rsidRDefault="00BC7DDA" w:rsidP="00F03CB1">
            <w:pPr>
              <w:pStyle w:val="Table-Text"/>
            </w:pPr>
          </w:p>
        </w:tc>
        <w:tc>
          <w:tcPr>
            <w:tcW w:w="1701" w:type="dxa"/>
          </w:tcPr>
          <w:p w14:paraId="49C8C145" w14:textId="77777777" w:rsidR="00BC7DDA" w:rsidRPr="00BD6C5F" w:rsidRDefault="00BC7DDA" w:rsidP="00F03CB1">
            <w:pPr>
              <w:pStyle w:val="Table-Text"/>
            </w:pPr>
          </w:p>
        </w:tc>
        <w:tc>
          <w:tcPr>
            <w:tcW w:w="1701" w:type="dxa"/>
          </w:tcPr>
          <w:p w14:paraId="35AB3EFF" w14:textId="77777777" w:rsidR="00BC7DDA" w:rsidRPr="00BD6C5F" w:rsidRDefault="00BC7DDA" w:rsidP="00F03CB1">
            <w:pPr>
              <w:pStyle w:val="Table-Text"/>
            </w:pPr>
          </w:p>
        </w:tc>
        <w:tc>
          <w:tcPr>
            <w:tcW w:w="1559" w:type="dxa"/>
          </w:tcPr>
          <w:p w14:paraId="059C88B1" w14:textId="77777777" w:rsidR="00BC7DDA" w:rsidRPr="00BD6C5F" w:rsidRDefault="00BC7DDA" w:rsidP="00F03CB1">
            <w:pPr>
              <w:pStyle w:val="Table-Text"/>
            </w:pPr>
          </w:p>
        </w:tc>
        <w:tc>
          <w:tcPr>
            <w:tcW w:w="1843" w:type="dxa"/>
          </w:tcPr>
          <w:p w14:paraId="6134AFC9" w14:textId="77777777" w:rsidR="00BC7DDA" w:rsidRPr="00BD6C5F" w:rsidRDefault="00BC7DDA" w:rsidP="00F03CB1">
            <w:pPr>
              <w:pStyle w:val="Table-Text"/>
            </w:pPr>
          </w:p>
        </w:tc>
        <w:tc>
          <w:tcPr>
            <w:tcW w:w="1701" w:type="dxa"/>
          </w:tcPr>
          <w:p w14:paraId="3D48A8C8" w14:textId="77777777" w:rsidR="00BC7DDA" w:rsidRPr="00BD6C5F" w:rsidRDefault="00BC7DDA" w:rsidP="00F03CB1">
            <w:pPr>
              <w:pStyle w:val="Table-Text"/>
            </w:pPr>
          </w:p>
        </w:tc>
      </w:tr>
      <w:tr w:rsidR="00BC7DDA" w:rsidRPr="00BD6C5F" w14:paraId="3FA880F4" w14:textId="77777777" w:rsidTr="00F03CB1">
        <w:trPr>
          <w:trHeight w:val="20"/>
        </w:trPr>
        <w:tc>
          <w:tcPr>
            <w:tcW w:w="1701" w:type="dxa"/>
          </w:tcPr>
          <w:p w14:paraId="6E5B7267" w14:textId="77777777" w:rsidR="00BC7DDA" w:rsidRPr="00BD6C5F" w:rsidRDefault="00BC7DDA" w:rsidP="00F03CB1">
            <w:pPr>
              <w:pStyle w:val="Table-Text"/>
            </w:pPr>
          </w:p>
        </w:tc>
        <w:tc>
          <w:tcPr>
            <w:tcW w:w="2211" w:type="dxa"/>
          </w:tcPr>
          <w:p w14:paraId="4540C52A" w14:textId="77777777" w:rsidR="00BC7DDA" w:rsidRPr="00BD6C5F" w:rsidRDefault="00BC7DDA" w:rsidP="00F03CB1">
            <w:pPr>
              <w:pStyle w:val="Table-Text"/>
            </w:pPr>
          </w:p>
        </w:tc>
        <w:tc>
          <w:tcPr>
            <w:tcW w:w="1984" w:type="dxa"/>
          </w:tcPr>
          <w:p w14:paraId="60D8BDE3" w14:textId="77777777" w:rsidR="00BC7DDA" w:rsidRPr="00BD6C5F" w:rsidRDefault="00BC7DDA" w:rsidP="00F03CB1">
            <w:pPr>
              <w:pStyle w:val="Table-Text"/>
            </w:pPr>
          </w:p>
        </w:tc>
        <w:tc>
          <w:tcPr>
            <w:tcW w:w="1701" w:type="dxa"/>
          </w:tcPr>
          <w:p w14:paraId="75F9A14D" w14:textId="77777777" w:rsidR="00BC7DDA" w:rsidRPr="00BD6C5F" w:rsidRDefault="00BC7DDA" w:rsidP="00F03CB1">
            <w:pPr>
              <w:pStyle w:val="Table-Text"/>
            </w:pPr>
          </w:p>
        </w:tc>
        <w:tc>
          <w:tcPr>
            <w:tcW w:w="1701" w:type="dxa"/>
          </w:tcPr>
          <w:p w14:paraId="04AE0023" w14:textId="77777777" w:rsidR="00BC7DDA" w:rsidRPr="00BD6C5F" w:rsidRDefault="00BC7DDA" w:rsidP="00F03CB1">
            <w:pPr>
              <w:pStyle w:val="Table-Text"/>
            </w:pPr>
          </w:p>
        </w:tc>
        <w:tc>
          <w:tcPr>
            <w:tcW w:w="1559" w:type="dxa"/>
          </w:tcPr>
          <w:p w14:paraId="2247E741" w14:textId="77777777" w:rsidR="00BC7DDA" w:rsidRPr="00BD6C5F" w:rsidRDefault="00BC7DDA" w:rsidP="00F03CB1">
            <w:pPr>
              <w:pStyle w:val="Table-Text"/>
            </w:pPr>
          </w:p>
        </w:tc>
        <w:tc>
          <w:tcPr>
            <w:tcW w:w="1843" w:type="dxa"/>
          </w:tcPr>
          <w:p w14:paraId="3B7F665B" w14:textId="77777777" w:rsidR="00BC7DDA" w:rsidRPr="00BD6C5F" w:rsidRDefault="00BC7DDA" w:rsidP="00F03CB1">
            <w:pPr>
              <w:pStyle w:val="Table-Text"/>
            </w:pPr>
          </w:p>
        </w:tc>
        <w:tc>
          <w:tcPr>
            <w:tcW w:w="1701" w:type="dxa"/>
          </w:tcPr>
          <w:p w14:paraId="21867E50" w14:textId="77777777" w:rsidR="00BC7DDA" w:rsidRPr="00BD6C5F" w:rsidRDefault="00BC7DDA" w:rsidP="00F03CB1">
            <w:pPr>
              <w:pStyle w:val="Table-Text"/>
            </w:pPr>
          </w:p>
        </w:tc>
      </w:tr>
      <w:tr w:rsidR="00BC7DDA" w:rsidRPr="00BD6C5F" w14:paraId="30579726" w14:textId="77777777" w:rsidTr="00F03CB1">
        <w:trPr>
          <w:trHeight w:val="20"/>
        </w:trPr>
        <w:tc>
          <w:tcPr>
            <w:tcW w:w="1701" w:type="dxa"/>
          </w:tcPr>
          <w:p w14:paraId="3E67EBD4" w14:textId="77777777" w:rsidR="00BC7DDA" w:rsidRPr="00BD6C5F" w:rsidRDefault="00BC7DDA" w:rsidP="00F03CB1">
            <w:pPr>
              <w:pStyle w:val="Table-Text"/>
            </w:pPr>
          </w:p>
        </w:tc>
        <w:tc>
          <w:tcPr>
            <w:tcW w:w="2211" w:type="dxa"/>
          </w:tcPr>
          <w:p w14:paraId="33CF0007" w14:textId="77777777" w:rsidR="00BC7DDA" w:rsidRPr="00BD6C5F" w:rsidRDefault="00BC7DDA" w:rsidP="00F03CB1">
            <w:pPr>
              <w:pStyle w:val="Table-Text"/>
            </w:pPr>
          </w:p>
        </w:tc>
        <w:tc>
          <w:tcPr>
            <w:tcW w:w="1984" w:type="dxa"/>
          </w:tcPr>
          <w:p w14:paraId="2740E87B" w14:textId="77777777" w:rsidR="00BC7DDA" w:rsidRPr="00BD6C5F" w:rsidRDefault="00BC7DDA" w:rsidP="00F03CB1">
            <w:pPr>
              <w:pStyle w:val="Table-Text"/>
            </w:pPr>
          </w:p>
        </w:tc>
        <w:tc>
          <w:tcPr>
            <w:tcW w:w="1701" w:type="dxa"/>
          </w:tcPr>
          <w:p w14:paraId="00238BA8" w14:textId="77777777" w:rsidR="00BC7DDA" w:rsidRPr="00BD6C5F" w:rsidRDefault="00BC7DDA" w:rsidP="00F03CB1">
            <w:pPr>
              <w:pStyle w:val="Table-Text"/>
            </w:pPr>
          </w:p>
        </w:tc>
        <w:tc>
          <w:tcPr>
            <w:tcW w:w="1701" w:type="dxa"/>
          </w:tcPr>
          <w:p w14:paraId="6EB15EC1" w14:textId="77777777" w:rsidR="00BC7DDA" w:rsidRPr="00BD6C5F" w:rsidRDefault="00BC7DDA" w:rsidP="00F03CB1">
            <w:pPr>
              <w:pStyle w:val="Table-Text"/>
            </w:pPr>
          </w:p>
        </w:tc>
        <w:tc>
          <w:tcPr>
            <w:tcW w:w="1559" w:type="dxa"/>
          </w:tcPr>
          <w:p w14:paraId="258D1132" w14:textId="77777777" w:rsidR="00BC7DDA" w:rsidRPr="00BD6C5F" w:rsidRDefault="00BC7DDA" w:rsidP="00F03CB1">
            <w:pPr>
              <w:pStyle w:val="Table-Text"/>
            </w:pPr>
          </w:p>
        </w:tc>
        <w:tc>
          <w:tcPr>
            <w:tcW w:w="1843" w:type="dxa"/>
          </w:tcPr>
          <w:p w14:paraId="2FD96F6D" w14:textId="77777777" w:rsidR="00BC7DDA" w:rsidRPr="00BD6C5F" w:rsidRDefault="00BC7DDA" w:rsidP="00F03CB1">
            <w:pPr>
              <w:pStyle w:val="Table-Text"/>
            </w:pPr>
          </w:p>
        </w:tc>
        <w:tc>
          <w:tcPr>
            <w:tcW w:w="1701" w:type="dxa"/>
          </w:tcPr>
          <w:p w14:paraId="43946E48" w14:textId="77777777" w:rsidR="00BC7DDA" w:rsidRPr="00BD6C5F" w:rsidRDefault="00BC7DDA" w:rsidP="00F03CB1">
            <w:pPr>
              <w:pStyle w:val="Table-Text"/>
            </w:pPr>
          </w:p>
        </w:tc>
      </w:tr>
      <w:tr w:rsidR="00BC7DDA" w:rsidRPr="00BD6C5F" w14:paraId="2D26165F" w14:textId="77777777" w:rsidTr="00F03CB1">
        <w:trPr>
          <w:trHeight w:val="20"/>
        </w:trPr>
        <w:tc>
          <w:tcPr>
            <w:tcW w:w="1701" w:type="dxa"/>
          </w:tcPr>
          <w:p w14:paraId="2B4E6239" w14:textId="77777777" w:rsidR="00BC7DDA" w:rsidRPr="00BD6C5F" w:rsidRDefault="00BC7DDA" w:rsidP="00F03CB1">
            <w:pPr>
              <w:pStyle w:val="Table-Text"/>
            </w:pPr>
          </w:p>
        </w:tc>
        <w:tc>
          <w:tcPr>
            <w:tcW w:w="2211" w:type="dxa"/>
          </w:tcPr>
          <w:p w14:paraId="791B013E" w14:textId="77777777" w:rsidR="00BC7DDA" w:rsidRPr="00BD6C5F" w:rsidRDefault="00BC7DDA" w:rsidP="00F03CB1">
            <w:pPr>
              <w:pStyle w:val="Table-Text"/>
            </w:pPr>
          </w:p>
        </w:tc>
        <w:tc>
          <w:tcPr>
            <w:tcW w:w="1984" w:type="dxa"/>
          </w:tcPr>
          <w:p w14:paraId="1C0B8DE1" w14:textId="77777777" w:rsidR="00BC7DDA" w:rsidRPr="00BD6C5F" w:rsidRDefault="00BC7DDA" w:rsidP="00F03CB1">
            <w:pPr>
              <w:pStyle w:val="Table-Text"/>
            </w:pPr>
          </w:p>
        </w:tc>
        <w:tc>
          <w:tcPr>
            <w:tcW w:w="1701" w:type="dxa"/>
          </w:tcPr>
          <w:p w14:paraId="024EA903" w14:textId="77777777" w:rsidR="00BC7DDA" w:rsidRPr="00BD6C5F" w:rsidRDefault="00BC7DDA" w:rsidP="00F03CB1">
            <w:pPr>
              <w:pStyle w:val="Table-Text"/>
            </w:pPr>
          </w:p>
        </w:tc>
        <w:tc>
          <w:tcPr>
            <w:tcW w:w="1701" w:type="dxa"/>
          </w:tcPr>
          <w:p w14:paraId="1EB69B61" w14:textId="77777777" w:rsidR="00BC7DDA" w:rsidRPr="00BD6C5F" w:rsidRDefault="00BC7DDA" w:rsidP="00F03CB1">
            <w:pPr>
              <w:pStyle w:val="Table-Text"/>
            </w:pPr>
          </w:p>
        </w:tc>
        <w:tc>
          <w:tcPr>
            <w:tcW w:w="1559" w:type="dxa"/>
          </w:tcPr>
          <w:p w14:paraId="5E739010" w14:textId="77777777" w:rsidR="00BC7DDA" w:rsidRPr="00BD6C5F" w:rsidRDefault="00BC7DDA" w:rsidP="00F03CB1">
            <w:pPr>
              <w:pStyle w:val="Table-Text"/>
            </w:pPr>
          </w:p>
        </w:tc>
        <w:tc>
          <w:tcPr>
            <w:tcW w:w="1843" w:type="dxa"/>
          </w:tcPr>
          <w:p w14:paraId="126A8CA8" w14:textId="77777777" w:rsidR="00BC7DDA" w:rsidRPr="00BD6C5F" w:rsidRDefault="00BC7DDA" w:rsidP="00F03CB1">
            <w:pPr>
              <w:pStyle w:val="Table-Text"/>
            </w:pPr>
          </w:p>
        </w:tc>
        <w:tc>
          <w:tcPr>
            <w:tcW w:w="1701" w:type="dxa"/>
          </w:tcPr>
          <w:p w14:paraId="1CA2D084" w14:textId="77777777" w:rsidR="00BC7DDA" w:rsidRPr="00BD6C5F" w:rsidRDefault="00BC7DDA" w:rsidP="00F03CB1">
            <w:pPr>
              <w:pStyle w:val="Table-Text"/>
            </w:pPr>
          </w:p>
        </w:tc>
      </w:tr>
      <w:tr w:rsidR="00BC7DDA" w:rsidRPr="00BD6C5F" w14:paraId="62DC5CAF" w14:textId="77777777" w:rsidTr="00F03CB1">
        <w:trPr>
          <w:trHeight w:val="20"/>
        </w:trPr>
        <w:tc>
          <w:tcPr>
            <w:tcW w:w="1701" w:type="dxa"/>
          </w:tcPr>
          <w:p w14:paraId="2934F9C1" w14:textId="77777777" w:rsidR="00BC7DDA" w:rsidRPr="00BD6C5F" w:rsidRDefault="00BC7DDA" w:rsidP="00F03CB1">
            <w:pPr>
              <w:pStyle w:val="Table-Text"/>
            </w:pPr>
          </w:p>
        </w:tc>
        <w:tc>
          <w:tcPr>
            <w:tcW w:w="2211" w:type="dxa"/>
          </w:tcPr>
          <w:p w14:paraId="705E2046" w14:textId="77777777" w:rsidR="00BC7DDA" w:rsidRPr="00BD6C5F" w:rsidRDefault="00BC7DDA" w:rsidP="00F03CB1">
            <w:pPr>
              <w:pStyle w:val="Table-Text"/>
            </w:pPr>
          </w:p>
        </w:tc>
        <w:tc>
          <w:tcPr>
            <w:tcW w:w="1984" w:type="dxa"/>
          </w:tcPr>
          <w:p w14:paraId="6609225A" w14:textId="77777777" w:rsidR="00BC7DDA" w:rsidRPr="00BD6C5F" w:rsidRDefault="00BC7DDA" w:rsidP="00F03CB1">
            <w:pPr>
              <w:pStyle w:val="Table-Text"/>
            </w:pPr>
          </w:p>
        </w:tc>
        <w:tc>
          <w:tcPr>
            <w:tcW w:w="1701" w:type="dxa"/>
          </w:tcPr>
          <w:p w14:paraId="0777B988" w14:textId="77777777" w:rsidR="00BC7DDA" w:rsidRPr="00BD6C5F" w:rsidRDefault="00BC7DDA" w:rsidP="00F03CB1">
            <w:pPr>
              <w:pStyle w:val="Table-Text"/>
            </w:pPr>
          </w:p>
        </w:tc>
        <w:tc>
          <w:tcPr>
            <w:tcW w:w="1701" w:type="dxa"/>
          </w:tcPr>
          <w:p w14:paraId="171539ED" w14:textId="77777777" w:rsidR="00BC7DDA" w:rsidRPr="00BD6C5F" w:rsidRDefault="00BC7DDA" w:rsidP="00F03CB1">
            <w:pPr>
              <w:pStyle w:val="Table-Text"/>
            </w:pPr>
          </w:p>
        </w:tc>
        <w:tc>
          <w:tcPr>
            <w:tcW w:w="1559" w:type="dxa"/>
          </w:tcPr>
          <w:p w14:paraId="245BF052" w14:textId="77777777" w:rsidR="00BC7DDA" w:rsidRPr="00BD6C5F" w:rsidRDefault="00BC7DDA" w:rsidP="00F03CB1">
            <w:pPr>
              <w:pStyle w:val="Table-Text"/>
            </w:pPr>
          </w:p>
        </w:tc>
        <w:tc>
          <w:tcPr>
            <w:tcW w:w="1843" w:type="dxa"/>
          </w:tcPr>
          <w:p w14:paraId="761F4E9B" w14:textId="77777777" w:rsidR="00BC7DDA" w:rsidRPr="00BD6C5F" w:rsidRDefault="00BC7DDA" w:rsidP="00F03CB1">
            <w:pPr>
              <w:pStyle w:val="Table-Text"/>
            </w:pPr>
          </w:p>
        </w:tc>
        <w:tc>
          <w:tcPr>
            <w:tcW w:w="1701" w:type="dxa"/>
          </w:tcPr>
          <w:p w14:paraId="2A1781D4" w14:textId="77777777" w:rsidR="00BC7DDA" w:rsidRPr="00BD6C5F" w:rsidRDefault="00BC7DDA" w:rsidP="00F03CB1">
            <w:pPr>
              <w:pStyle w:val="Table-Text"/>
            </w:pPr>
          </w:p>
        </w:tc>
      </w:tr>
      <w:tr w:rsidR="00BC7DDA" w:rsidRPr="00BD6C5F" w14:paraId="0651BF17" w14:textId="77777777" w:rsidTr="00F03CB1">
        <w:trPr>
          <w:trHeight w:val="20"/>
        </w:trPr>
        <w:tc>
          <w:tcPr>
            <w:tcW w:w="1701" w:type="dxa"/>
          </w:tcPr>
          <w:p w14:paraId="3ADC8808" w14:textId="77777777" w:rsidR="00BC7DDA" w:rsidRPr="00BD6C5F" w:rsidRDefault="00BC7DDA" w:rsidP="00F03CB1">
            <w:pPr>
              <w:pStyle w:val="Table-Text"/>
            </w:pPr>
          </w:p>
        </w:tc>
        <w:tc>
          <w:tcPr>
            <w:tcW w:w="2211" w:type="dxa"/>
          </w:tcPr>
          <w:p w14:paraId="395B684F" w14:textId="77777777" w:rsidR="00BC7DDA" w:rsidRPr="00BD6C5F" w:rsidRDefault="00BC7DDA" w:rsidP="00F03CB1">
            <w:pPr>
              <w:pStyle w:val="Table-Text"/>
            </w:pPr>
          </w:p>
        </w:tc>
        <w:tc>
          <w:tcPr>
            <w:tcW w:w="1984" w:type="dxa"/>
          </w:tcPr>
          <w:p w14:paraId="02BD6A88" w14:textId="77777777" w:rsidR="00BC7DDA" w:rsidRPr="00BD6C5F" w:rsidRDefault="00BC7DDA" w:rsidP="00F03CB1">
            <w:pPr>
              <w:pStyle w:val="Table-Text"/>
            </w:pPr>
          </w:p>
        </w:tc>
        <w:tc>
          <w:tcPr>
            <w:tcW w:w="1701" w:type="dxa"/>
          </w:tcPr>
          <w:p w14:paraId="37AC8FFD" w14:textId="77777777" w:rsidR="00BC7DDA" w:rsidRPr="00BD6C5F" w:rsidRDefault="00BC7DDA" w:rsidP="00F03CB1">
            <w:pPr>
              <w:pStyle w:val="Table-Text"/>
            </w:pPr>
          </w:p>
        </w:tc>
        <w:tc>
          <w:tcPr>
            <w:tcW w:w="1701" w:type="dxa"/>
          </w:tcPr>
          <w:p w14:paraId="721CB9AC" w14:textId="77777777" w:rsidR="00BC7DDA" w:rsidRPr="00BD6C5F" w:rsidRDefault="00BC7DDA" w:rsidP="00F03CB1">
            <w:pPr>
              <w:pStyle w:val="Table-Text"/>
            </w:pPr>
          </w:p>
        </w:tc>
        <w:tc>
          <w:tcPr>
            <w:tcW w:w="1559" w:type="dxa"/>
          </w:tcPr>
          <w:p w14:paraId="530BE761" w14:textId="77777777" w:rsidR="00BC7DDA" w:rsidRPr="00BD6C5F" w:rsidRDefault="00BC7DDA" w:rsidP="00F03CB1">
            <w:pPr>
              <w:pStyle w:val="Table-Text"/>
            </w:pPr>
          </w:p>
        </w:tc>
        <w:tc>
          <w:tcPr>
            <w:tcW w:w="1843" w:type="dxa"/>
          </w:tcPr>
          <w:p w14:paraId="0AB863A9" w14:textId="77777777" w:rsidR="00BC7DDA" w:rsidRPr="00BD6C5F" w:rsidRDefault="00BC7DDA" w:rsidP="00F03CB1">
            <w:pPr>
              <w:pStyle w:val="Table-Text"/>
            </w:pPr>
          </w:p>
        </w:tc>
        <w:tc>
          <w:tcPr>
            <w:tcW w:w="1701" w:type="dxa"/>
          </w:tcPr>
          <w:p w14:paraId="5ED401B1" w14:textId="77777777" w:rsidR="00BC7DDA" w:rsidRPr="00BD6C5F" w:rsidRDefault="00BC7DDA" w:rsidP="00F03CB1">
            <w:pPr>
              <w:pStyle w:val="Table-Text"/>
            </w:pPr>
          </w:p>
        </w:tc>
      </w:tr>
      <w:tr w:rsidR="00BC7DDA" w:rsidRPr="00BD6C5F" w14:paraId="7033D39D" w14:textId="77777777" w:rsidTr="00F03CB1">
        <w:trPr>
          <w:trHeight w:val="20"/>
        </w:trPr>
        <w:tc>
          <w:tcPr>
            <w:tcW w:w="1701" w:type="dxa"/>
          </w:tcPr>
          <w:p w14:paraId="091C9C64" w14:textId="77777777" w:rsidR="00BC7DDA" w:rsidRPr="00BD6C5F" w:rsidRDefault="00BC7DDA" w:rsidP="00F03CB1">
            <w:pPr>
              <w:pStyle w:val="Table-Text"/>
            </w:pPr>
          </w:p>
        </w:tc>
        <w:tc>
          <w:tcPr>
            <w:tcW w:w="2211" w:type="dxa"/>
          </w:tcPr>
          <w:p w14:paraId="29A8634C" w14:textId="77777777" w:rsidR="00BC7DDA" w:rsidRPr="00BD6C5F" w:rsidRDefault="00BC7DDA" w:rsidP="00F03CB1">
            <w:pPr>
              <w:pStyle w:val="Table-Text"/>
            </w:pPr>
          </w:p>
        </w:tc>
        <w:tc>
          <w:tcPr>
            <w:tcW w:w="1984" w:type="dxa"/>
          </w:tcPr>
          <w:p w14:paraId="3BF63293" w14:textId="77777777" w:rsidR="00BC7DDA" w:rsidRPr="00BD6C5F" w:rsidRDefault="00BC7DDA" w:rsidP="00F03CB1">
            <w:pPr>
              <w:pStyle w:val="Table-Text"/>
            </w:pPr>
          </w:p>
        </w:tc>
        <w:tc>
          <w:tcPr>
            <w:tcW w:w="1701" w:type="dxa"/>
          </w:tcPr>
          <w:p w14:paraId="6EFF14AE" w14:textId="77777777" w:rsidR="00BC7DDA" w:rsidRPr="00BD6C5F" w:rsidRDefault="00BC7DDA" w:rsidP="00F03CB1">
            <w:pPr>
              <w:pStyle w:val="Table-Text"/>
            </w:pPr>
          </w:p>
        </w:tc>
        <w:tc>
          <w:tcPr>
            <w:tcW w:w="1701" w:type="dxa"/>
          </w:tcPr>
          <w:p w14:paraId="4AC94AE6" w14:textId="77777777" w:rsidR="00BC7DDA" w:rsidRPr="00BD6C5F" w:rsidRDefault="00BC7DDA" w:rsidP="00F03CB1">
            <w:pPr>
              <w:pStyle w:val="Table-Text"/>
            </w:pPr>
          </w:p>
        </w:tc>
        <w:tc>
          <w:tcPr>
            <w:tcW w:w="1559" w:type="dxa"/>
          </w:tcPr>
          <w:p w14:paraId="274B44C7" w14:textId="77777777" w:rsidR="00BC7DDA" w:rsidRPr="00BD6C5F" w:rsidRDefault="00BC7DDA" w:rsidP="00F03CB1">
            <w:pPr>
              <w:pStyle w:val="Table-Text"/>
            </w:pPr>
          </w:p>
        </w:tc>
        <w:tc>
          <w:tcPr>
            <w:tcW w:w="1843" w:type="dxa"/>
          </w:tcPr>
          <w:p w14:paraId="0D9A5D5D" w14:textId="77777777" w:rsidR="00BC7DDA" w:rsidRPr="00BD6C5F" w:rsidRDefault="00BC7DDA" w:rsidP="00F03CB1">
            <w:pPr>
              <w:pStyle w:val="Table-Text"/>
            </w:pPr>
          </w:p>
        </w:tc>
        <w:tc>
          <w:tcPr>
            <w:tcW w:w="1701" w:type="dxa"/>
          </w:tcPr>
          <w:p w14:paraId="75FC6ECE" w14:textId="77777777" w:rsidR="00BC7DDA" w:rsidRPr="00BD6C5F" w:rsidRDefault="00BC7DDA" w:rsidP="00F03CB1">
            <w:pPr>
              <w:pStyle w:val="Table-Text"/>
            </w:pPr>
          </w:p>
        </w:tc>
      </w:tr>
    </w:tbl>
    <w:p w14:paraId="280B57E1" w14:textId="522D811B" w:rsidR="00BC7DDA" w:rsidRPr="00BD6C5F" w:rsidRDefault="00BC7DDA">
      <w:pPr>
        <w:pStyle w:val="BodyText"/>
        <w:spacing w:before="11"/>
        <w:rPr>
          <w:rFonts w:asciiTheme="minorHAnsi" w:hAnsiTheme="minorHAnsi" w:cstheme="minorHAnsi"/>
        </w:rPr>
      </w:pPr>
    </w:p>
    <w:p w14:paraId="563720D0" w14:textId="569E6E9C" w:rsidR="00BC7DDA" w:rsidRPr="00BD6C5F" w:rsidRDefault="001A45F8" w:rsidP="00C5057A">
      <w:pPr>
        <w:pStyle w:val="Numbered1"/>
      </w:pPr>
      <w:r w:rsidRPr="00BD6C5F">
        <w:lastRenderedPageBreak/>
        <w:t>Third Party Software</w:t>
      </w:r>
    </w:p>
    <w:p w14:paraId="1BF2AFBF" w14:textId="77777777" w:rsidR="00BC7DDA" w:rsidRPr="00BD6C5F" w:rsidRDefault="009B03E9" w:rsidP="00F03CB1">
      <w:pPr>
        <w:pStyle w:val="BodyText"/>
        <w:keepNext/>
        <w:spacing w:before="100" w:after="200"/>
        <w:ind w:left="720"/>
        <w:rPr>
          <w:rFonts w:asciiTheme="minorHAnsi" w:hAnsiTheme="minorHAnsi" w:cstheme="minorHAnsi"/>
        </w:rPr>
      </w:pPr>
      <w:r w:rsidRPr="00BD6C5F">
        <w:rPr>
          <w:rFonts w:asciiTheme="minorHAnsi" w:hAnsiTheme="minorHAnsi" w:cstheme="minorHAnsi"/>
        </w:rPr>
        <w:t>The Third Party Software shall include the following items:</w:t>
      </w:r>
    </w:p>
    <w:tbl>
      <w:tblPr>
        <w:tblStyle w:val="MSATable-header"/>
        <w:tblW w:w="0" w:type="auto"/>
        <w:tblInd w:w="720" w:type="dxa"/>
        <w:tblLayout w:type="fixed"/>
        <w:tblLook w:val="0620" w:firstRow="1" w:lastRow="0" w:firstColumn="0" w:lastColumn="0" w:noHBand="1" w:noVBand="1"/>
      </w:tblPr>
      <w:tblGrid>
        <w:gridCol w:w="1701"/>
        <w:gridCol w:w="2211"/>
        <w:gridCol w:w="1984"/>
        <w:gridCol w:w="1701"/>
        <w:gridCol w:w="1701"/>
        <w:gridCol w:w="1559"/>
        <w:gridCol w:w="1843"/>
        <w:gridCol w:w="1701"/>
      </w:tblGrid>
      <w:tr w:rsidR="00E84F7C" w:rsidRPr="00BD6C5F" w14:paraId="65D88248" w14:textId="77777777" w:rsidTr="00F03CB1">
        <w:trPr>
          <w:cnfStyle w:val="100000000000" w:firstRow="1" w:lastRow="0" w:firstColumn="0" w:lastColumn="0" w:oddVBand="0" w:evenVBand="0" w:oddHBand="0" w:evenHBand="0" w:firstRowFirstColumn="0" w:firstRowLastColumn="0" w:lastRowFirstColumn="0" w:lastRowLastColumn="0"/>
          <w:tblHeader/>
        </w:trPr>
        <w:tc>
          <w:tcPr>
            <w:tcW w:w="1701" w:type="dxa"/>
          </w:tcPr>
          <w:p w14:paraId="3252075C" w14:textId="39CA8220" w:rsidR="00E84F7C" w:rsidRPr="00BD6C5F" w:rsidRDefault="00E84F7C" w:rsidP="00F03CB1">
            <w:pPr>
              <w:pStyle w:val="Tabletext"/>
              <w:rPr>
                <w:bCs/>
              </w:rPr>
            </w:pPr>
            <w:r w:rsidRPr="00BD6C5F">
              <w:rPr>
                <w:bCs/>
              </w:rPr>
              <w:t>Third Party Software</w:t>
            </w:r>
          </w:p>
        </w:tc>
        <w:tc>
          <w:tcPr>
            <w:tcW w:w="2211" w:type="dxa"/>
          </w:tcPr>
          <w:p w14:paraId="0FF12FEA" w14:textId="77777777" w:rsidR="00E84F7C" w:rsidRPr="00BD6C5F" w:rsidRDefault="00E84F7C" w:rsidP="00F03CB1">
            <w:pPr>
              <w:pStyle w:val="Tabletext"/>
              <w:rPr>
                <w:bCs/>
              </w:rPr>
            </w:pPr>
            <w:r w:rsidRPr="00BD6C5F">
              <w:rPr>
                <w:bCs/>
              </w:rPr>
              <w:t>Supplier (if an Affiliate of the Supplier)</w:t>
            </w:r>
          </w:p>
        </w:tc>
        <w:tc>
          <w:tcPr>
            <w:tcW w:w="1984" w:type="dxa"/>
          </w:tcPr>
          <w:p w14:paraId="32C7CF2B" w14:textId="77777777" w:rsidR="00E84F7C" w:rsidRPr="00BD6C5F" w:rsidRDefault="00E84F7C" w:rsidP="00F03CB1">
            <w:pPr>
              <w:pStyle w:val="Tabletext"/>
              <w:rPr>
                <w:bCs/>
              </w:rPr>
            </w:pPr>
            <w:r w:rsidRPr="00BD6C5F">
              <w:rPr>
                <w:bCs/>
              </w:rPr>
              <w:t>Purpose</w:t>
            </w:r>
          </w:p>
        </w:tc>
        <w:tc>
          <w:tcPr>
            <w:tcW w:w="1701" w:type="dxa"/>
          </w:tcPr>
          <w:p w14:paraId="36637013" w14:textId="77777777" w:rsidR="00E84F7C" w:rsidRPr="00BD6C5F" w:rsidRDefault="00E84F7C" w:rsidP="00F03CB1">
            <w:pPr>
              <w:pStyle w:val="Tabletext"/>
              <w:rPr>
                <w:bCs/>
              </w:rPr>
            </w:pPr>
            <w:r w:rsidRPr="00BD6C5F">
              <w:rPr>
                <w:bCs/>
              </w:rPr>
              <w:t>Number of Licences</w:t>
            </w:r>
          </w:p>
        </w:tc>
        <w:tc>
          <w:tcPr>
            <w:tcW w:w="1701" w:type="dxa"/>
          </w:tcPr>
          <w:p w14:paraId="1FCF5F5F" w14:textId="77777777" w:rsidR="00E84F7C" w:rsidRPr="00BD6C5F" w:rsidRDefault="00E84F7C" w:rsidP="00F03CB1">
            <w:pPr>
              <w:pStyle w:val="Tabletext"/>
              <w:rPr>
                <w:bCs/>
              </w:rPr>
            </w:pPr>
            <w:r w:rsidRPr="00BD6C5F">
              <w:rPr>
                <w:bCs/>
              </w:rPr>
              <w:t>Restrictions</w:t>
            </w:r>
          </w:p>
        </w:tc>
        <w:tc>
          <w:tcPr>
            <w:tcW w:w="1559" w:type="dxa"/>
          </w:tcPr>
          <w:p w14:paraId="718A8A83" w14:textId="77777777" w:rsidR="00E84F7C" w:rsidRPr="00BD6C5F" w:rsidRDefault="00E84F7C" w:rsidP="00F03CB1">
            <w:pPr>
              <w:pStyle w:val="Tabletext"/>
              <w:rPr>
                <w:bCs/>
              </w:rPr>
            </w:pPr>
            <w:r w:rsidRPr="00BD6C5F">
              <w:rPr>
                <w:bCs/>
              </w:rPr>
              <w:t>Number of Copies</w:t>
            </w:r>
          </w:p>
        </w:tc>
        <w:tc>
          <w:tcPr>
            <w:tcW w:w="1843" w:type="dxa"/>
          </w:tcPr>
          <w:p w14:paraId="6AF0BCF9" w14:textId="77777777" w:rsidR="00E84F7C" w:rsidRPr="00BD6C5F" w:rsidRDefault="00E84F7C" w:rsidP="00F03CB1">
            <w:pPr>
              <w:pStyle w:val="Tabletext"/>
              <w:rPr>
                <w:bCs/>
              </w:rPr>
            </w:pPr>
            <w:r w:rsidRPr="00BD6C5F">
              <w:rPr>
                <w:bCs/>
              </w:rPr>
              <w:t>Type (COTS or Non- COTS)</w:t>
            </w:r>
          </w:p>
        </w:tc>
        <w:tc>
          <w:tcPr>
            <w:tcW w:w="1701" w:type="dxa"/>
          </w:tcPr>
          <w:p w14:paraId="308E8030" w14:textId="77777777" w:rsidR="00E84F7C" w:rsidRPr="00BD6C5F" w:rsidRDefault="00E84F7C" w:rsidP="00F03CB1">
            <w:pPr>
              <w:pStyle w:val="Tabletext"/>
              <w:rPr>
                <w:bCs/>
              </w:rPr>
            </w:pPr>
            <w:r w:rsidRPr="00BD6C5F">
              <w:rPr>
                <w:bCs/>
              </w:rPr>
              <w:t>Term/Expiry</w:t>
            </w:r>
          </w:p>
        </w:tc>
      </w:tr>
      <w:tr w:rsidR="00E84F7C" w:rsidRPr="00BD6C5F" w14:paraId="61B0AF97" w14:textId="77777777" w:rsidTr="00F03CB1">
        <w:tc>
          <w:tcPr>
            <w:tcW w:w="1701" w:type="dxa"/>
          </w:tcPr>
          <w:p w14:paraId="3E0B03FC" w14:textId="77777777" w:rsidR="00E84F7C" w:rsidRPr="00BD6C5F" w:rsidRDefault="00E84F7C" w:rsidP="00F03CB1">
            <w:pPr>
              <w:pStyle w:val="Tabletext"/>
            </w:pPr>
          </w:p>
        </w:tc>
        <w:tc>
          <w:tcPr>
            <w:tcW w:w="2211" w:type="dxa"/>
          </w:tcPr>
          <w:p w14:paraId="47A4AFBD" w14:textId="77777777" w:rsidR="00E84F7C" w:rsidRPr="00BD6C5F" w:rsidRDefault="00E84F7C" w:rsidP="00F03CB1">
            <w:pPr>
              <w:pStyle w:val="Tabletext"/>
            </w:pPr>
          </w:p>
        </w:tc>
        <w:tc>
          <w:tcPr>
            <w:tcW w:w="1984" w:type="dxa"/>
          </w:tcPr>
          <w:p w14:paraId="13F6D3A8" w14:textId="77777777" w:rsidR="00E84F7C" w:rsidRPr="00BD6C5F" w:rsidRDefault="00E84F7C" w:rsidP="00F03CB1">
            <w:pPr>
              <w:pStyle w:val="Tabletext"/>
            </w:pPr>
          </w:p>
        </w:tc>
        <w:tc>
          <w:tcPr>
            <w:tcW w:w="1701" w:type="dxa"/>
          </w:tcPr>
          <w:p w14:paraId="7F22A061" w14:textId="77777777" w:rsidR="00E84F7C" w:rsidRPr="00BD6C5F" w:rsidRDefault="00E84F7C" w:rsidP="00F03CB1">
            <w:pPr>
              <w:pStyle w:val="Tabletext"/>
            </w:pPr>
          </w:p>
        </w:tc>
        <w:tc>
          <w:tcPr>
            <w:tcW w:w="1701" w:type="dxa"/>
          </w:tcPr>
          <w:p w14:paraId="6E6FACF6" w14:textId="77777777" w:rsidR="00E84F7C" w:rsidRPr="00BD6C5F" w:rsidRDefault="00E84F7C" w:rsidP="00F03CB1">
            <w:pPr>
              <w:pStyle w:val="Tabletext"/>
            </w:pPr>
          </w:p>
        </w:tc>
        <w:tc>
          <w:tcPr>
            <w:tcW w:w="1559" w:type="dxa"/>
          </w:tcPr>
          <w:p w14:paraId="4D4B3FCB" w14:textId="77777777" w:rsidR="00E84F7C" w:rsidRPr="00BD6C5F" w:rsidRDefault="00E84F7C" w:rsidP="00F03CB1">
            <w:pPr>
              <w:pStyle w:val="Tabletext"/>
            </w:pPr>
          </w:p>
        </w:tc>
        <w:tc>
          <w:tcPr>
            <w:tcW w:w="1843" w:type="dxa"/>
          </w:tcPr>
          <w:p w14:paraId="5ADB3446" w14:textId="77777777" w:rsidR="00E84F7C" w:rsidRPr="00BD6C5F" w:rsidRDefault="00E84F7C" w:rsidP="00F03CB1">
            <w:pPr>
              <w:pStyle w:val="Tabletext"/>
            </w:pPr>
          </w:p>
        </w:tc>
        <w:tc>
          <w:tcPr>
            <w:tcW w:w="1701" w:type="dxa"/>
          </w:tcPr>
          <w:p w14:paraId="26713FFE" w14:textId="77777777" w:rsidR="00E84F7C" w:rsidRPr="00BD6C5F" w:rsidRDefault="00E84F7C" w:rsidP="00F03CB1">
            <w:pPr>
              <w:pStyle w:val="Tabletext"/>
            </w:pPr>
          </w:p>
        </w:tc>
      </w:tr>
      <w:tr w:rsidR="00E84F7C" w:rsidRPr="00BD6C5F" w14:paraId="4507D019" w14:textId="77777777" w:rsidTr="00F03CB1">
        <w:tc>
          <w:tcPr>
            <w:tcW w:w="1701" w:type="dxa"/>
          </w:tcPr>
          <w:p w14:paraId="524D1629" w14:textId="77777777" w:rsidR="00E84F7C" w:rsidRPr="00BD6C5F" w:rsidRDefault="00E84F7C" w:rsidP="00F03CB1">
            <w:pPr>
              <w:pStyle w:val="Tabletext"/>
            </w:pPr>
          </w:p>
        </w:tc>
        <w:tc>
          <w:tcPr>
            <w:tcW w:w="2211" w:type="dxa"/>
          </w:tcPr>
          <w:p w14:paraId="725808B8" w14:textId="77777777" w:rsidR="00E84F7C" w:rsidRPr="00BD6C5F" w:rsidRDefault="00E84F7C" w:rsidP="00F03CB1">
            <w:pPr>
              <w:pStyle w:val="Tabletext"/>
            </w:pPr>
          </w:p>
        </w:tc>
        <w:tc>
          <w:tcPr>
            <w:tcW w:w="1984" w:type="dxa"/>
          </w:tcPr>
          <w:p w14:paraId="36537547" w14:textId="77777777" w:rsidR="00E84F7C" w:rsidRPr="00BD6C5F" w:rsidRDefault="00E84F7C" w:rsidP="00F03CB1">
            <w:pPr>
              <w:pStyle w:val="Tabletext"/>
            </w:pPr>
          </w:p>
        </w:tc>
        <w:tc>
          <w:tcPr>
            <w:tcW w:w="1701" w:type="dxa"/>
          </w:tcPr>
          <w:p w14:paraId="3AC6F724" w14:textId="77777777" w:rsidR="00E84F7C" w:rsidRPr="00BD6C5F" w:rsidRDefault="00E84F7C" w:rsidP="00F03CB1">
            <w:pPr>
              <w:pStyle w:val="Tabletext"/>
            </w:pPr>
          </w:p>
        </w:tc>
        <w:tc>
          <w:tcPr>
            <w:tcW w:w="1701" w:type="dxa"/>
          </w:tcPr>
          <w:p w14:paraId="7E03EB74" w14:textId="77777777" w:rsidR="00E84F7C" w:rsidRPr="00BD6C5F" w:rsidRDefault="00E84F7C" w:rsidP="00F03CB1">
            <w:pPr>
              <w:pStyle w:val="Tabletext"/>
            </w:pPr>
          </w:p>
        </w:tc>
        <w:tc>
          <w:tcPr>
            <w:tcW w:w="1559" w:type="dxa"/>
          </w:tcPr>
          <w:p w14:paraId="776CB700" w14:textId="77777777" w:rsidR="00E84F7C" w:rsidRPr="00BD6C5F" w:rsidRDefault="00E84F7C" w:rsidP="00F03CB1">
            <w:pPr>
              <w:pStyle w:val="Tabletext"/>
            </w:pPr>
          </w:p>
        </w:tc>
        <w:tc>
          <w:tcPr>
            <w:tcW w:w="1843" w:type="dxa"/>
          </w:tcPr>
          <w:p w14:paraId="20B57091" w14:textId="77777777" w:rsidR="00E84F7C" w:rsidRPr="00BD6C5F" w:rsidRDefault="00E84F7C" w:rsidP="00F03CB1">
            <w:pPr>
              <w:pStyle w:val="Tabletext"/>
            </w:pPr>
          </w:p>
        </w:tc>
        <w:tc>
          <w:tcPr>
            <w:tcW w:w="1701" w:type="dxa"/>
          </w:tcPr>
          <w:p w14:paraId="6BAC1E00" w14:textId="77777777" w:rsidR="00E84F7C" w:rsidRPr="00BD6C5F" w:rsidRDefault="00E84F7C" w:rsidP="00F03CB1">
            <w:pPr>
              <w:pStyle w:val="Tabletext"/>
            </w:pPr>
          </w:p>
        </w:tc>
      </w:tr>
      <w:tr w:rsidR="00E84F7C" w:rsidRPr="00BD6C5F" w14:paraId="609BFBD2" w14:textId="77777777" w:rsidTr="00F03CB1">
        <w:tc>
          <w:tcPr>
            <w:tcW w:w="1701" w:type="dxa"/>
          </w:tcPr>
          <w:p w14:paraId="57C730B6" w14:textId="77777777" w:rsidR="00E84F7C" w:rsidRPr="00BD6C5F" w:rsidRDefault="00E84F7C" w:rsidP="00F03CB1">
            <w:pPr>
              <w:pStyle w:val="Tabletext"/>
            </w:pPr>
          </w:p>
        </w:tc>
        <w:tc>
          <w:tcPr>
            <w:tcW w:w="2211" w:type="dxa"/>
          </w:tcPr>
          <w:p w14:paraId="0FA4A9F6" w14:textId="77777777" w:rsidR="00E84F7C" w:rsidRPr="00BD6C5F" w:rsidRDefault="00E84F7C" w:rsidP="00F03CB1">
            <w:pPr>
              <w:pStyle w:val="Tabletext"/>
            </w:pPr>
          </w:p>
        </w:tc>
        <w:tc>
          <w:tcPr>
            <w:tcW w:w="1984" w:type="dxa"/>
          </w:tcPr>
          <w:p w14:paraId="3B18EECD" w14:textId="77777777" w:rsidR="00E84F7C" w:rsidRPr="00BD6C5F" w:rsidRDefault="00E84F7C" w:rsidP="00F03CB1">
            <w:pPr>
              <w:pStyle w:val="Tabletext"/>
            </w:pPr>
          </w:p>
        </w:tc>
        <w:tc>
          <w:tcPr>
            <w:tcW w:w="1701" w:type="dxa"/>
          </w:tcPr>
          <w:p w14:paraId="468DFD4C" w14:textId="77777777" w:rsidR="00E84F7C" w:rsidRPr="00BD6C5F" w:rsidRDefault="00E84F7C" w:rsidP="00F03CB1">
            <w:pPr>
              <w:pStyle w:val="Tabletext"/>
            </w:pPr>
          </w:p>
        </w:tc>
        <w:tc>
          <w:tcPr>
            <w:tcW w:w="1701" w:type="dxa"/>
          </w:tcPr>
          <w:p w14:paraId="503B29BF" w14:textId="77777777" w:rsidR="00E84F7C" w:rsidRPr="00BD6C5F" w:rsidRDefault="00E84F7C" w:rsidP="00F03CB1">
            <w:pPr>
              <w:pStyle w:val="Tabletext"/>
            </w:pPr>
          </w:p>
        </w:tc>
        <w:tc>
          <w:tcPr>
            <w:tcW w:w="1559" w:type="dxa"/>
          </w:tcPr>
          <w:p w14:paraId="08BD55C3" w14:textId="77777777" w:rsidR="00E84F7C" w:rsidRPr="00BD6C5F" w:rsidRDefault="00E84F7C" w:rsidP="00F03CB1">
            <w:pPr>
              <w:pStyle w:val="Tabletext"/>
            </w:pPr>
          </w:p>
        </w:tc>
        <w:tc>
          <w:tcPr>
            <w:tcW w:w="1843" w:type="dxa"/>
          </w:tcPr>
          <w:p w14:paraId="628FD75B" w14:textId="77777777" w:rsidR="00E84F7C" w:rsidRPr="00BD6C5F" w:rsidRDefault="00E84F7C" w:rsidP="00F03CB1">
            <w:pPr>
              <w:pStyle w:val="Tabletext"/>
            </w:pPr>
          </w:p>
        </w:tc>
        <w:tc>
          <w:tcPr>
            <w:tcW w:w="1701" w:type="dxa"/>
          </w:tcPr>
          <w:p w14:paraId="43459CC5" w14:textId="77777777" w:rsidR="00E84F7C" w:rsidRPr="00BD6C5F" w:rsidRDefault="00E84F7C" w:rsidP="00F03CB1">
            <w:pPr>
              <w:pStyle w:val="Tabletext"/>
            </w:pPr>
          </w:p>
        </w:tc>
      </w:tr>
      <w:tr w:rsidR="00E84F7C" w:rsidRPr="00BD6C5F" w14:paraId="11F78393" w14:textId="77777777" w:rsidTr="00F03CB1">
        <w:tc>
          <w:tcPr>
            <w:tcW w:w="1701" w:type="dxa"/>
          </w:tcPr>
          <w:p w14:paraId="5B18815A" w14:textId="77777777" w:rsidR="00E84F7C" w:rsidRPr="00BD6C5F" w:rsidRDefault="00E84F7C" w:rsidP="00F03CB1">
            <w:pPr>
              <w:pStyle w:val="Tabletext"/>
            </w:pPr>
          </w:p>
        </w:tc>
        <w:tc>
          <w:tcPr>
            <w:tcW w:w="2211" w:type="dxa"/>
          </w:tcPr>
          <w:p w14:paraId="56274045" w14:textId="77777777" w:rsidR="00E84F7C" w:rsidRPr="00BD6C5F" w:rsidRDefault="00E84F7C" w:rsidP="00F03CB1">
            <w:pPr>
              <w:pStyle w:val="Tabletext"/>
            </w:pPr>
          </w:p>
        </w:tc>
        <w:tc>
          <w:tcPr>
            <w:tcW w:w="1984" w:type="dxa"/>
          </w:tcPr>
          <w:p w14:paraId="3AD98A75" w14:textId="77777777" w:rsidR="00E84F7C" w:rsidRPr="00BD6C5F" w:rsidRDefault="00E84F7C" w:rsidP="00F03CB1">
            <w:pPr>
              <w:pStyle w:val="Tabletext"/>
            </w:pPr>
          </w:p>
        </w:tc>
        <w:tc>
          <w:tcPr>
            <w:tcW w:w="1701" w:type="dxa"/>
          </w:tcPr>
          <w:p w14:paraId="46A179DA" w14:textId="77777777" w:rsidR="00E84F7C" w:rsidRPr="00BD6C5F" w:rsidRDefault="00E84F7C" w:rsidP="00F03CB1">
            <w:pPr>
              <w:pStyle w:val="Tabletext"/>
            </w:pPr>
          </w:p>
        </w:tc>
        <w:tc>
          <w:tcPr>
            <w:tcW w:w="1701" w:type="dxa"/>
          </w:tcPr>
          <w:p w14:paraId="3BCC87BF" w14:textId="77777777" w:rsidR="00E84F7C" w:rsidRPr="00BD6C5F" w:rsidRDefault="00E84F7C" w:rsidP="00F03CB1">
            <w:pPr>
              <w:pStyle w:val="Tabletext"/>
            </w:pPr>
          </w:p>
        </w:tc>
        <w:tc>
          <w:tcPr>
            <w:tcW w:w="1559" w:type="dxa"/>
          </w:tcPr>
          <w:p w14:paraId="30808547" w14:textId="77777777" w:rsidR="00E84F7C" w:rsidRPr="00BD6C5F" w:rsidRDefault="00E84F7C" w:rsidP="00F03CB1">
            <w:pPr>
              <w:pStyle w:val="Tabletext"/>
            </w:pPr>
          </w:p>
        </w:tc>
        <w:tc>
          <w:tcPr>
            <w:tcW w:w="1843" w:type="dxa"/>
          </w:tcPr>
          <w:p w14:paraId="4D85B4EE" w14:textId="77777777" w:rsidR="00E84F7C" w:rsidRPr="00BD6C5F" w:rsidRDefault="00E84F7C" w:rsidP="00F03CB1">
            <w:pPr>
              <w:pStyle w:val="Tabletext"/>
            </w:pPr>
          </w:p>
        </w:tc>
        <w:tc>
          <w:tcPr>
            <w:tcW w:w="1701" w:type="dxa"/>
          </w:tcPr>
          <w:p w14:paraId="1D7AFAE2" w14:textId="77777777" w:rsidR="00E84F7C" w:rsidRPr="00BD6C5F" w:rsidRDefault="00E84F7C" w:rsidP="00F03CB1">
            <w:pPr>
              <w:pStyle w:val="Tabletext"/>
            </w:pPr>
          </w:p>
        </w:tc>
      </w:tr>
      <w:tr w:rsidR="00E84F7C" w:rsidRPr="00BD6C5F" w14:paraId="2191E1E2" w14:textId="77777777" w:rsidTr="00F03CB1">
        <w:tc>
          <w:tcPr>
            <w:tcW w:w="1701" w:type="dxa"/>
          </w:tcPr>
          <w:p w14:paraId="5F7F5F37" w14:textId="77777777" w:rsidR="00E84F7C" w:rsidRPr="00BD6C5F" w:rsidRDefault="00E84F7C" w:rsidP="00F03CB1">
            <w:pPr>
              <w:pStyle w:val="Tabletext"/>
            </w:pPr>
          </w:p>
        </w:tc>
        <w:tc>
          <w:tcPr>
            <w:tcW w:w="2211" w:type="dxa"/>
          </w:tcPr>
          <w:p w14:paraId="34749F64" w14:textId="77777777" w:rsidR="00E84F7C" w:rsidRPr="00BD6C5F" w:rsidRDefault="00E84F7C" w:rsidP="00F03CB1">
            <w:pPr>
              <w:pStyle w:val="Tabletext"/>
            </w:pPr>
          </w:p>
        </w:tc>
        <w:tc>
          <w:tcPr>
            <w:tcW w:w="1984" w:type="dxa"/>
          </w:tcPr>
          <w:p w14:paraId="79139412" w14:textId="77777777" w:rsidR="00E84F7C" w:rsidRPr="00BD6C5F" w:rsidRDefault="00E84F7C" w:rsidP="00F03CB1">
            <w:pPr>
              <w:pStyle w:val="Tabletext"/>
            </w:pPr>
          </w:p>
        </w:tc>
        <w:tc>
          <w:tcPr>
            <w:tcW w:w="1701" w:type="dxa"/>
          </w:tcPr>
          <w:p w14:paraId="7F246115" w14:textId="77777777" w:rsidR="00E84F7C" w:rsidRPr="00BD6C5F" w:rsidRDefault="00E84F7C" w:rsidP="00F03CB1">
            <w:pPr>
              <w:pStyle w:val="Tabletext"/>
            </w:pPr>
          </w:p>
        </w:tc>
        <w:tc>
          <w:tcPr>
            <w:tcW w:w="1701" w:type="dxa"/>
          </w:tcPr>
          <w:p w14:paraId="31AD6E39" w14:textId="77777777" w:rsidR="00E84F7C" w:rsidRPr="00BD6C5F" w:rsidRDefault="00E84F7C" w:rsidP="00F03CB1">
            <w:pPr>
              <w:pStyle w:val="Tabletext"/>
            </w:pPr>
          </w:p>
        </w:tc>
        <w:tc>
          <w:tcPr>
            <w:tcW w:w="1559" w:type="dxa"/>
          </w:tcPr>
          <w:p w14:paraId="656A4377" w14:textId="77777777" w:rsidR="00E84F7C" w:rsidRPr="00BD6C5F" w:rsidRDefault="00E84F7C" w:rsidP="00F03CB1">
            <w:pPr>
              <w:pStyle w:val="Tabletext"/>
            </w:pPr>
          </w:p>
        </w:tc>
        <w:tc>
          <w:tcPr>
            <w:tcW w:w="1843" w:type="dxa"/>
          </w:tcPr>
          <w:p w14:paraId="38AB265D" w14:textId="77777777" w:rsidR="00E84F7C" w:rsidRPr="00BD6C5F" w:rsidRDefault="00E84F7C" w:rsidP="00F03CB1">
            <w:pPr>
              <w:pStyle w:val="Tabletext"/>
            </w:pPr>
          </w:p>
        </w:tc>
        <w:tc>
          <w:tcPr>
            <w:tcW w:w="1701" w:type="dxa"/>
          </w:tcPr>
          <w:p w14:paraId="18EB9A79" w14:textId="77777777" w:rsidR="00E84F7C" w:rsidRPr="00BD6C5F" w:rsidRDefault="00E84F7C" w:rsidP="00F03CB1">
            <w:pPr>
              <w:pStyle w:val="Tabletext"/>
            </w:pPr>
          </w:p>
        </w:tc>
      </w:tr>
      <w:tr w:rsidR="00E84F7C" w:rsidRPr="00BD6C5F" w14:paraId="47C4AA25" w14:textId="77777777" w:rsidTr="00F03CB1">
        <w:tc>
          <w:tcPr>
            <w:tcW w:w="1701" w:type="dxa"/>
          </w:tcPr>
          <w:p w14:paraId="74937157" w14:textId="77777777" w:rsidR="00E84F7C" w:rsidRPr="00BD6C5F" w:rsidRDefault="00E84F7C" w:rsidP="00F03CB1">
            <w:pPr>
              <w:pStyle w:val="Tabletext"/>
            </w:pPr>
          </w:p>
        </w:tc>
        <w:tc>
          <w:tcPr>
            <w:tcW w:w="2211" w:type="dxa"/>
          </w:tcPr>
          <w:p w14:paraId="5770196E" w14:textId="77777777" w:rsidR="00E84F7C" w:rsidRPr="00BD6C5F" w:rsidRDefault="00E84F7C" w:rsidP="00F03CB1">
            <w:pPr>
              <w:pStyle w:val="Tabletext"/>
            </w:pPr>
          </w:p>
        </w:tc>
        <w:tc>
          <w:tcPr>
            <w:tcW w:w="1984" w:type="dxa"/>
          </w:tcPr>
          <w:p w14:paraId="028C7080" w14:textId="77777777" w:rsidR="00E84F7C" w:rsidRPr="00BD6C5F" w:rsidRDefault="00E84F7C" w:rsidP="00F03CB1">
            <w:pPr>
              <w:pStyle w:val="Tabletext"/>
            </w:pPr>
          </w:p>
        </w:tc>
        <w:tc>
          <w:tcPr>
            <w:tcW w:w="1701" w:type="dxa"/>
          </w:tcPr>
          <w:p w14:paraId="60C48250" w14:textId="77777777" w:rsidR="00E84F7C" w:rsidRPr="00BD6C5F" w:rsidRDefault="00E84F7C" w:rsidP="00F03CB1">
            <w:pPr>
              <w:pStyle w:val="Tabletext"/>
            </w:pPr>
          </w:p>
        </w:tc>
        <w:tc>
          <w:tcPr>
            <w:tcW w:w="1701" w:type="dxa"/>
          </w:tcPr>
          <w:p w14:paraId="6DC83085" w14:textId="77777777" w:rsidR="00E84F7C" w:rsidRPr="00BD6C5F" w:rsidRDefault="00E84F7C" w:rsidP="00F03CB1">
            <w:pPr>
              <w:pStyle w:val="Tabletext"/>
            </w:pPr>
          </w:p>
        </w:tc>
        <w:tc>
          <w:tcPr>
            <w:tcW w:w="1559" w:type="dxa"/>
          </w:tcPr>
          <w:p w14:paraId="33FA6005" w14:textId="77777777" w:rsidR="00E84F7C" w:rsidRPr="00BD6C5F" w:rsidRDefault="00E84F7C" w:rsidP="00F03CB1">
            <w:pPr>
              <w:pStyle w:val="Tabletext"/>
            </w:pPr>
          </w:p>
        </w:tc>
        <w:tc>
          <w:tcPr>
            <w:tcW w:w="1843" w:type="dxa"/>
          </w:tcPr>
          <w:p w14:paraId="2742637A" w14:textId="77777777" w:rsidR="00E84F7C" w:rsidRPr="00BD6C5F" w:rsidRDefault="00E84F7C" w:rsidP="00F03CB1">
            <w:pPr>
              <w:pStyle w:val="Tabletext"/>
            </w:pPr>
          </w:p>
        </w:tc>
        <w:tc>
          <w:tcPr>
            <w:tcW w:w="1701" w:type="dxa"/>
          </w:tcPr>
          <w:p w14:paraId="38EF19FC" w14:textId="77777777" w:rsidR="00E84F7C" w:rsidRPr="00BD6C5F" w:rsidRDefault="00E84F7C" w:rsidP="00F03CB1">
            <w:pPr>
              <w:pStyle w:val="Tabletext"/>
            </w:pPr>
          </w:p>
        </w:tc>
      </w:tr>
      <w:tr w:rsidR="00E84F7C" w:rsidRPr="00BD6C5F" w14:paraId="1A235AB9" w14:textId="77777777" w:rsidTr="00F03CB1">
        <w:tc>
          <w:tcPr>
            <w:tcW w:w="1701" w:type="dxa"/>
          </w:tcPr>
          <w:p w14:paraId="5EC01FDC" w14:textId="77777777" w:rsidR="00E84F7C" w:rsidRPr="00BD6C5F" w:rsidRDefault="00E84F7C" w:rsidP="00F03CB1">
            <w:pPr>
              <w:pStyle w:val="Tabletext"/>
            </w:pPr>
          </w:p>
        </w:tc>
        <w:tc>
          <w:tcPr>
            <w:tcW w:w="2211" w:type="dxa"/>
          </w:tcPr>
          <w:p w14:paraId="0B9333A3" w14:textId="77777777" w:rsidR="00E84F7C" w:rsidRPr="00BD6C5F" w:rsidRDefault="00E84F7C" w:rsidP="00F03CB1">
            <w:pPr>
              <w:pStyle w:val="Tabletext"/>
            </w:pPr>
          </w:p>
        </w:tc>
        <w:tc>
          <w:tcPr>
            <w:tcW w:w="1984" w:type="dxa"/>
          </w:tcPr>
          <w:p w14:paraId="2930993B" w14:textId="77777777" w:rsidR="00E84F7C" w:rsidRPr="00BD6C5F" w:rsidRDefault="00E84F7C" w:rsidP="00F03CB1">
            <w:pPr>
              <w:pStyle w:val="Tabletext"/>
            </w:pPr>
          </w:p>
        </w:tc>
        <w:tc>
          <w:tcPr>
            <w:tcW w:w="1701" w:type="dxa"/>
          </w:tcPr>
          <w:p w14:paraId="48733BEF" w14:textId="77777777" w:rsidR="00E84F7C" w:rsidRPr="00BD6C5F" w:rsidRDefault="00E84F7C" w:rsidP="00F03CB1">
            <w:pPr>
              <w:pStyle w:val="Tabletext"/>
            </w:pPr>
          </w:p>
        </w:tc>
        <w:tc>
          <w:tcPr>
            <w:tcW w:w="1701" w:type="dxa"/>
          </w:tcPr>
          <w:p w14:paraId="07CF0EF4" w14:textId="77777777" w:rsidR="00E84F7C" w:rsidRPr="00BD6C5F" w:rsidRDefault="00E84F7C" w:rsidP="00F03CB1">
            <w:pPr>
              <w:pStyle w:val="Tabletext"/>
            </w:pPr>
          </w:p>
        </w:tc>
        <w:tc>
          <w:tcPr>
            <w:tcW w:w="1559" w:type="dxa"/>
          </w:tcPr>
          <w:p w14:paraId="2D7D52ED" w14:textId="77777777" w:rsidR="00E84F7C" w:rsidRPr="00BD6C5F" w:rsidRDefault="00E84F7C" w:rsidP="00F03CB1">
            <w:pPr>
              <w:pStyle w:val="Tabletext"/>
            </w:pPr>
          </w:p>
        </w:tc>
        <w:tc>
          <w:tcPr>
            <w:tcW w:w="1843" w:type="dxa"/>
          </w:tcPr>
          <w:p w14:paraId="3BE30EFC" w14:textId="77777777" w:rsidR="00E84F7C" w:rsidRPr="00BD6C5F" w:rsidRDefault="00E84F7C" w:rsidP="00F03CB1">
            <w:pPr>
              <w:pStyle w:val="Tabletext"/>
            </w:pPr>
          </w:p>
        </w:tc>
        <w:tc>
          <w:tcPr>
            <w:tcW w:w="1701" w:type="dxa"/>
          </w:tcPr>
          <w:p w14:paraId="10C2BEEE" w14:textId="77777777" w:rsidR="00E84F7C" w:rsidRPr="00BD6C5F" w:rsidRDefault="00E84F7C" w:rsidP="00F03CB1">
            <w:pPr>
              <w:pStyle w:val="Tabletext"/>
            </w:pPr>
          </w:p>
        </w:tc>
      </w:tr>
    </w:tbl>
    <w:p w14:paraId="5A97E45F" w14:textId="77777777" w:rsidR="003D4F45" w:rsidRPr="00BD6C5F" w:rsidRDefault="003D4F45" w:rsidP="00F03CB1"/>
    <w:p w14:paraId="1C93EA5F" w14:textId="77777777" w:rsidR="00F03CB1" w:rsidRPr="00BD6C5F" w:rsidRDefault="00F03CB1" w:rsidP="00F03CB1"/>
    <w:p w14:paraId="2D9F457B" w14:textId="77777777" w:rsidR="00F03CB1" w:rsidRPr="00BD6C5F" w:rsidRDefault="00F03CB1" w:rsidP="00F03CB1"/>
    <w:p w14:paraId="608035D1" w14:textId="7192F3C8" w:rsidR="00F03CB1" w:rsidRPr="00BD6C5F" w:rsidRDefault="00F03CB1" w:rsidP="00F03CB1">
      <w:pPr>
        <w:sectPr w:rsidR="00F03CB1" w:rsidRPr="00BD6C5F" w:rsidSect="00EA65BF">
          <w:pgSz w:w="16840" w:h="11910" w:orient="landscape"/>
          <w:pgMar w:top="1701" w:right="851" w:bottom="1134" w:left="851" w:header="567" w:footer="567" w:gutter="0"/>
          <w:cols w:space="720"/>
          <w:docGrid w:linePitch="299"/>
        </w:sectPr>
      </w:pPr>
    </w:p>
    <w:p w14:paraId="2A465420" w14:textId="67DFD53A" w:rsidR="00BC7DDA" w:rsidRPr="00BD6C5F" w:rsidRDefault="001A45F8" w:rsidP="00F03CB1">
      <w:pPr>
        <w:pStyle w:val="Heading2"/>
      </w:pPr>
      <w:bookmarkStart w:id="430" w:name="_Toc98332727"/>
      <w:bookmarkStart w:id="431" w:name="_Toc141720996"/>
      <w:r w:rsidRPr="00BD6C5F">
        <w:lastRenderedPageBreak/>
        <w:t xml:space="preserve">Annex </w:t>
      </w:r>
      <w:bookmarkStart w:id="432" w:name="Schedule_12_Annex_1"/>
      <w:r w:rsidR="00483480">
        <w:t>1</w:t>
      </w:r>
      <w:bookmarkEnd w:id="432"/>
      <w:r w:rsidRPr="00BD6C5F">
        <w:t xml:space="preserve">: </w:t>
      </w:r>
      <w:bookmarkStart w:id="433" w:name="_Toc98852904"/>
      <w:r w:rsidRPr="00BD6C5F">
        <w:t>Form of Confidentiality Undertaking</w:t>
      </w:r>
      <w:bookmarkEnd w:id="430"/>
      <w:bookmarkEnd w:id="433"/>
      <w:bookmarkEnd w:id="431"/>
    </w:p>
    <w:p w14:paraId="5367C3C5" w14:textId="5ADFA692" w:rsidR="00BC7DDA" w:rsidRPr="00BD6C5F" w:rsidRDefault="009B03E9" w:rsidP="00A47A7E">
      <w:pPr>
        <w:keepNext/>
        <w:spacing w:before="100" w:after="200"/>
        <w:rPr>
          <w:b/>
          <w:bCs/>
        </w:rPr>
      </w:pPr>
      <w:r w:rsidRPr="00BD6C5F">
        <w:rPr>
          <w:b/>
          <w:bCs/>
        </w:rPr>
        <w:t>CONFIDENTIALITY AGREEMENT</w:t>
      </w:r>
    </w:p>
    <w:p w14:paraId="4D9778A8" w14:textId="46FCA4B7" w:rsidR="00E84F7C" w:rsidRPr="00BD6C5F" w:rsidRDefault="00E84F7C" w:rsidP="00A47A7E">
      <w:pPr>
        <w:keepNext/>
        <w:spacing w:before="100" w:after="200"/>
        <w:rPr>
          <w:b/>
          <w:bCs/>
        </w:rPr>
      </w:pPr>
      <w:r w:rsidRPr="00BD6C5F">
        <w:rPr>
          <w:b/>
          <w:bCs/>
        </w:rPr>
        <w:t>BETWEEN:</w:t>
      </w:r>
    </w:p>
    <w:p w14:paraId="170F9A72" w14:textId="2E8DAFE1" w:rsidR="00BC7DDA" w:rsidRPr="00BD6C5F" w:rsidRDefault="009B03E9" w:rsidP="002B3242">
      <w:pPr>
        <w:pStyle w:val="ListParagraph"/>
        <w:numPr>
          <w:ilvl w:val="0"/>
          <w:numId w:val="8"/>
        </w:numPr>
        <w:tabs>
          <w:tab w:val="left" w:pos="720"/>
        </w:tabs>
        <w:spacing w:before="92"/>
        <w:ind w:left="720" w:hanging="720"/>
        <w:rPr>
          <w:rFonts w:asciiTheme="minorHAnsi" w:hAnsiTheme="minorHAnsi" w:cstheme="minorHAnsi"/>
          <w:szCs w:val="24"/>
        </w:rPr>
      </w:pPr>
      <w:r w:rsidRPr="00566661">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566661">
        <w:rPr>
          <w:rFonts w:asciiTheme="minorHAnsi" w:hAnsiTheme="minorHAnsi" w:cstheme="minorHAnsi"/>
          <w:bCs/>
          <w:szCs w:val="24"/>
          <w:shd w:val="clear" w:color="auto" w:fill="FFFF00"/>
        </w:rPr>
        <w:t xml:space="preserve"> name]</w:t>
      </w:r>
      <w:r w:rsidRPr="00566661">
        <w:rPr>
          <w:rFonts w:asciiTheme="minorHAnsi" w:hAnsiTheme="minorHAnsi" w:cstheme="minorHAnsi"/>
          <w:bCs/>
          <w:szCs w:val="24"/>
        </w:rPr>
        <w:t xml:space="preserve"> of </w:t>
      </w:r>
      <w:r w:rsidRPr="00566661">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566661">
        <w:rPr>
          <w:rFonts w:asciiTheme="minorHAnsi" w:hAnsiTheme="minorHAnsi" w:cstheme="minorHAnsi"/>
          <w:bCs/>
          <w:szCs w:val="24"/>
          <w:shd w:val="clear" w:color="auto" w:fill="FFFF00"/>
        </w:rPr>
        <w:t xml:space="preserve"> address]</w:t>
      </w:r>
      <w:r w:rsidRPr="00566661">
        <w:rPr>
          <w:rFonts w:asciiTheme="minorHAnsi" w:hAnsiTheme="minorHAnsi" w:cstheme="minorHAnsi"/>
          <w:bCs/>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Sub-licensee</w:t>
      </w:r>
      <w:r w:rsidR="00A4555C" w:rsidRPr="00BD6C5F">
        <w:rPr>
          <w:rFonts w:asciiTheme="minorHAnsi" w:hAnsiTheme="minorHAnsi" w:cstheme="minorHAnsi"/>
          <w:szCs w:val="24"/>
        </w:rPr>
        <w:t>”</w:t>
      </w:r>
      <w:r w:rsidRPr="00BD6C5F">
        <w:rPr>
          <w:rFonts w:asciiTheme="minorHAnsi" w:hAnsiTheme="minorHAnsi" w:cstheme="minorHAnsi"/>
          <w:szCs w:val="24"/>
        </w:rPr>
        <w:t>); and</w:t>
      </w:r>
    </w:p>
    <w:p w14:paraId="4CA4D497" w14:textId="5C574C00" w:rsidR="00BC7DDA" w:rsidRPr="00BD6C5F" w:rsidRDefault="009B03E9" w:rsidP="002B3242">
      <w:pPr>
        <w:pStyle w:val="ListParagraph"/>
        <w:numPr>
          <w:ilvl w:val="0"/>
          <w:numId w:val="8"/>
        </w:numPr>
        <w:tabs>
          <w:tab w:val="left" w:pos="720"/>
        </w:tabs>
        <w:spacing w:line="242" w:lineRule="auto"/>
        <w:ind w:left="720" w:right="1083" w:hanging="720"/>
        <w:rPr>
          <w:rFonts w:asciiTheme="minorHAnsi" w:hAnsiTheme="minorHAnsi" w:cstheme="minorHAnsi"/>
          <w:szCs w:val="24"/>
        </w:rPr>
      </w:pPr>
      <w:r w:rsidRPr="00566661">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566661">
        <w:rPr>
          <w:rFonts w:asciiTheme="minorHAnsi" w:hAnsiTheme="minorHAnsi" w:cstheme="minorHAnsi"/>
          <w:bCs/>
          <w:szCs w:val="24"/>
          <w:shd w:val="clear" w:color="auto" w:fill="FFFF00"/>
        </w:rPr>
        <w:t xml:space="preserve"> name]</w:t>
      </w:r>
      <w:r w:rsidRPr="00566661">
        <w:rPr>
          <w:rFonts w:asciiTheme="minorHAnsi" w:hAnsiTheme="minorHAnsi" w:cstheme="minorHAnsi"/>
          <w:bCs/>
          <w:szCs w:val="24"/>
        </w:rPr>
        <w:t xml:space="preserve"> of </w:t>
      </w:r>
      <w:r w:rsidRPr="00566661">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566661">
        <w:rPr>
          <w:rFonts w:asciiTheme="minorHAnsi" w:hAnsiTheme="minorHAnsi" w:cstheme="minorHAnsi"/>
          <w:bCs/>
          <w:szCs w:val="24"/>
          <w:shd w:val="clear" w:color="auto" w:fill="FFFF00"/>
        </w:rPr>
        <w:t xml:space="preserve"> address]</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Supplier</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together with the Supplier, the </w:t>
      </w:r>
      <w:r w:rsidR="00A4555C" w:rsidRPr="00BD6C5F">
        <w:rPr>
          <w:rFonts w:asciiTheme="minorHAnsi" w:hAnsiTheme="minorHAnsi" w:cstheme="minorHAnsi"/>
          <w:szCs w:val="24"/>
        </w:rPr>
        <w:t>“</w:t>
      </w:r>
      <w:r w:rsidRPr="00BD6C5F">
        <w:rPr>
          <w:rFonts w:asciiTheme="minorHAnsi" w:hAnsiTheme="minorHAnsi" w:cstheme="minorHAnsi"/>
          <w:b/>
          <w:szCs w:val="24"/>
        </w:rPr>
        <w:t>Parties</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6A7C8224" w14:textId="77777777" w:rsidR="00BC7DDA" w:rsidRPr="00BD6C5F" w:rsidRDefault="009B03E9" w:rsidP="00A47A7E">
      <w:pPr>
        <w:keepNext/>
        <w:spacing w:before="100" w:after="200"/>
        <w:rPr>
          <w:b/>
          <w:bCs/>
        </w:rPr>
      </w:pPr>
      <w:r w:rsidRPr="00BD6C5F">
        <w:rPr>
          <w:b/>
          <w:bCs/>
        </w:rPr>
        <w:t>WHEREAS:</w:t>
      </w:r>
    </w:p>
    <w:p w14:paraId="45997E63" w14:textId="4107CB16" w:rsidR="00BC7DDA" w:rsidRPr="00BD6C5F" w:rsidRDefault="009B03E9" w:rsidP="002B3242">
      <w:pPr>
        <w:pStyle w:val="ListParagraph"/>
        <w:numPr>
          <w:ilvl w:val="1"/>
          <w:numId w:val="8"/>
        </w:numPr>
        <w:tabs>
          <w:tab w:val="left" w:pos="720"/>
        </w:tabs>
        <w:ind w:right="220" w:hanging="720"/>
        <w:rPr>
          <w:rFonts w:asciiTheme="minorHAnsi" w:hAnsiTheme="minorHAnsi" w:cstheme="minorHAnsi"/>
          <w:szCs w:val="24"/>
        </w:rPr>
      </w:pP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name of Authority]</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Authority</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the Supplier are party to a contract dated </w:t>
      </w: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date]</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Contract</w:t>
      </w:r>
      <w:r w:rsidR="00A4555C" w:rsidRPr="00BD6C5F">
        <w:rPr>
          <w:rFonts w:asciiTheme="minorHAnsi" w:hAnsiTheme="minorHAnsi" w:cstheme="minorHAnsi"/>
          <w:szCs w:val="24"/>
        </w:rPr>
        <w:t>”</w:t>
      </w:r>
      <w:r w:rsidRPr="00BD6C5F">
        <w:rPr>
          <w:rFonts w:asciiTheme="minorHAnsi" w:hAnsiTheme="minorHAnsi" w:cstheme="minorHAnsi"/>
          <w:szCs w:val="24"/>
        </w:rPr>
        <w:t>) for the provision by the Supplier o</w:t>
      </w:r>
      <w:r w:rsidR="00312782" w:rsidRPr="00BD6C5F">
        <w:rPr>
          <w:rFonts w:asciiTheme="minorHAnsi" w:hAnsiTheme="minorHAnsi" w:cstheme="minorHAnsi"/>
          <w:szCs w:val="24"/>
        </w:rPr>
        <w:t xml:space="preserve">f </w:t>
      </w: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brief description of services]</w:t>
      </w:r>
      <w:r w:rsidRPr="00BD6C5F">
        <w:rPr>
          <w:rFonts w:asciiTheme="minorHAnsi" w:hAnsiTheme="minorHAnsi" w:cstheme="minorHAnsi"/>
          <w:szCs w:val="24"/>
        </w:rPr>
        <w:t xml:space="preserve"> to the Authority.</w:t>
      </w:r>
    </w:p>
    <w:p w14:paraId="2C92779B" w14:textId="5AE821A3" w:rsidR="00BC7DDA" w:rsidRPr="00BD6C5F" w:rsidRDefault="009B03E9" w:rsidP="002B3242">
      <w:pPr>
        <w:pStyle w:val="ListParagraph"/>
        <w:numPr>
          <w:ilvl w:val="1"/>
          <w:numId w:val="8"/>
        </w:numPr>
        <w:tabs>
          <w:tab w:val="left" w:pos="720"/>
        </w:tabs>
        <w:spacing w:before="203"/>
        <w:ind w:right="457" w:hanging="720"/>
        <w:rPr>
          <w:rFonts w:asciiTheme="minorHAnsi" w:hAnsiTheme="minorHAnsi" w:cstheme="minorHAnsi"/>
          <w:szCs w:val="24"/>
        </w:rPr>
      </w:pPr>
      <w:bookmarkStart w:id="434" w:name="_bookmark145"/>
      <w:bookmarkEnd w:id="434"/>
      <w:r w:rsidRPr="00BD6C5F">
        <w:rPr>
          <w:rFonts w:asciiTheme="minorHAnsi" w:hAnsiTheme="minorHAnsi" w:cstheme="minorHAnsi"/>
          <w:szCs w:val="24"/>
        </w:rPr>
        <w:t xml:space="preserve">The Authority wishes to grant a sub-licence to the Sub-licensee in respect of certain software and intellectual property rights licensed to the Authority pursuant to the Contract (the </w:t>
      </w:r>
      <w:r w:rsidR="00A4555C" w:rsidRPr="00BD6C5F">
        <w:rPr>
          <w:rFonts w:asciiTheme="minorHAnsi" w:hAnsiTheme="minorHAnsi" w:cstheme="minorHAnsi"/>
          <w:szCs w:val="24"/>
        </w:rPr>
        <w:t>“</w:t>
      </w:r>
      <w:r w:rsidRPr="00BD6C5F">
        <w:rPr>
          <w:rFonts w:asciiTheme="minorHAnsi" w:hAnsiTheme="minorHAnsi" w:cstheme="minorHAnsi"/>
          <w:b/>
          <w:szCs w:val="24"/>
        </w:rPr>
        <w:t>Sub-licence</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0A032E68" w14:textId="0661A732" w:rsidR="00BC7DDA" w:rsidRPr="00BD6C5F" w:rsidRDefault="009B03E9" w:rsidP="002B3242">
      <w:pPr>
        <w:pStyle w:val="ListParagraph"/>
        <w:numPr>
          <w:ilvl w:val="1"/>
          <w:numId w:val="8"/>
        </w:numPr>
        <w:tabs>
          <w:tab w:val="left" w:pos="720"/>
        </w:tabs>
        <w:spacing w:before="197"/>
        <w:ind w:right="438" w:hanging="720"/>
        <w:rPr>
          <w:rFonts w:asciiTheme="minorHAnsi" w:hAnsiTheme="minorHAnsi" w:cstheme="minorHAnsi"/>
          <w:szCs w:val="24"/>
        </w:rPr>
      </w:pPr>
      <w:r w:rsidRPr="00BD6C5F">
        <w:rPr>
          <w:rFonts w:asciiTheme="minorHAnsi" w:hAnsiTheme="minorHAnsi" w:cstheme="minorHAnsi"/>
          <w:szCs w:val="24"/>
        </w:rPr>
        <w:t>It is a requirement of the Contract that, before the Authority grants such sub-licence to the Sub-licensee, the Sub-licensee execute a confidentiality agreement in favour of the Supplier in or substantially in the form of this Agreement to protect the Confidential Information of the Supplier.</w:t>
      </w:r>
    </w:p>
    <w:p w14:paraId="37180EFE" w14:textId="77777777" w:rsidR="00BC7DDA" w:rsidRPr="00BD6C5F" w:rsidRDefault="009B03E9" w:rsidP="00B05B36">
      <w:pPr>
        <w:spacing w:before="100" w:after="200"/>
        <w:rPr>
          <w:b/>
          <w:bCs/>
        </w:rPr>
      </w:pPr>
      <w:r w:rsidRPr="00BD6C5F">
        <w:rPr>
          <w:b/>
          <w:bCs/>
        </w:rPr>
        <w:t>IT IS AGREED as follows:</w:t>
      </w:r>
    </w:p>
    <w:p w14:paraId="3103FD7E" w14:textId="77777777" w:rsidR="00BC7DDA" w:rsidRPr="00BD6C5F" w:rsidRDefault="009B03E9" w:rsidP="00B71FC0">
      <w:pPr>
        <w:pStyle w:val="AppendixText1"/>
        <w:numPr>
          <w:ilvl w:val="0"/>
          <w:numId w:val="152"/>
        </w:numPr>
      </w:pPr>
      <w:r w:rsidRPr="00BD6C5F">
        <w:t>Interpretation</w:t>
      </w:r>
    </w:p>
    <w:p w14:paraId="01208EBD" w14:textId="1EBCB158" w:rsidR="00BC7DDA" w:rsidRPr="00BD6C5F" w:rsidRDefault="009B03E9" w:rsidP="00A47A7E">
      <w:pPr>
        <w:pStyle w:val="AppendixText2"/>
        <w:keepNext/>
      </w:pPr>
      <w:r w:rsidRPr="00BD6C5F">
        <w:t>In this Agreement, unless the context otherwise requires:</w:t>
      </w:r>
    </w:p>
    <w:tbl>
      <w:tblPr>
        <w:tblStyle w:val="TableGrid"/>
        <w:tblW w:w="952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3572"/>
        <w:gridCol w:w="5953"/>
      </w:tblGrid>
      <w:tr w:rsidR="00F03CB1" w:rsidRPr="00BD6C5F" w14:paraId="3C83DB99" w14:textId="77777777" w:rsidTr="00136E05">
        <w:trPr>
          <w:trHeight w:val="20"/>
        </w:trPr>
        <w:tc>
          <w:tcPr>
            <w:tcW w:w="3572" w:type="dxa"/>
          </w:tcPr>
          <w:p w14:paraId="23AAA6F8" w14:textId="097E3FF8" w:rsidR="00F03CB1" w:rsidRPr="00BD6C5F" w:rsidRDefault="00F03CB1" w:rsidP="00F03CB1">
            <w:pPr>
              <w:pStyle w:val="Tabletext"/>
              <w:rPr>
                <w:rFonts w:asciiTheme="minorHAnsi" w:hAnsiTheme="minorHAnsi" w:cstheme="minorHAnsi"/>
              </w:rPr>
            </w:pPr>
            <w:r w:rsidRPr="00BD6C5F">
              <w:rPr>
                <w:rFonts w:asciiTheme="minorHAnsi" w:hAnsiTheme="minorHAnsi" w:cstheme="minorHAnsi"/>
                <w:b/>
              </w:rPr>
              <w:t>“Confidential Information”</w:t>
            </w:r>
          </w:p>
        </w:tc>
        <w:tc>
          <w:tcPr>
            <w:tcW w:w="5953" w:type="dxa"/>
          </w:tcPr>
          <w:p w14:paraId="7A29CC49" w14:textId="5EFE7071" w:rsidR="00F03CB1" w:rsidRPr="00BD6C5F" w:rsidRDefault="00F03CB1" w:rsidP="00F03CB1">
            <w:pPr>
              <w:pStyle w:val="Tabletext"/>
              <w:rPr>
                <w:rFonts w:asciiTheme="minorHAnsi" w:hAnsiTheme="minorHAnsi" w:cstheme="minorHAnsi"/>
              </w:rPr>
            </w:pPr>
            <w:r w:rsidRPr="00BD6C5F">
              <w:rPr>
                <w:rFonts w:asciiTheme="minorHAnsi" w:hAnsiTheme="minorHAnsi" w:cstheme="minorHAnsi"/>
              </w:rPr>
              <w:t>means:</w:t>
            </w:r>
          </w:p>
          <w:p w14:paraId="51DFD908" w14:textId="6B57E687" w:rsidR="00F03CB1" w:rsidRPr="00BD6C5F" w:rsidRDefault="00F03CB1" w:rsidP="002B3242">
            <w:pPr>
              <w:pStyle w:val="Tablea"/>
            </w:pPr>
            <w:r w:rsidRPr="00BD6C5F">
              <w:t xml:space="preserve">Information, including all personal data within the meaning of the Data Protection Act 2018, and however it is conveyed, provided by the </w:t>
            </w:r>
            <w:r w:rsidRPr="002B3242">
              <w:t>Authority</w:t>
            </w:r>
            <w:r w:rsidRPr="00BD6C5F">
              <w:t xml:space="preserve"> to the Sub-licensee pursuant to or in connection with the Sub-licence that relates to:</w:t>
            </w:r>
          </w:p>
          <w:p w14:paraId="1395ECD6" w14:textId="77777777" w:rsidR="00F03CB1" w:rsidRPr="00BD6C5F" w:rsidRDefault="00F03CB1" w:rsidP="00381D62">
            <w:pPr>
              <w:pStyle w:val="Tableai"/>
            </w:pPr>
            <w:r w:rsidRPr="00BD6C5F">
              <w:t>the Supplier; or</w:t>
            </w:r>
          </w:p>
          <w:p w14:paraId="79AB9AEA" w14:textId="77777777" w:rsidR="00F03CB1" w:rsidRPr="00BD6C5F" w:rsidRDefault="00F03CB1" w:rsidP="00381D62">
            <w:pPr>
              <w:pStyle w:val="Tableai"/>
            </w:pPr>
            <w:r w:rsidRPr="00BD6C5F">
              <w:t>the operations, business, affairs, developments, intellectual property rights, trade secrets, know-how and/or personnel of the Supplier;</w:t>
            </w:r>
          </w:p>
          <w:p w14:paraId="476306A8" w14:textId="77777777" w:rsidR="00F03CB1" w:rsidRPr="00BD6C5F" w:rsidRDefault="00F03CB1" w:rsidP="002B3242">
            <w:pPr>
              <w:pStyle w:val="Tablea"/>
            </w:pPr>
            <w:r w:rsidRPr="00BD6C5F">
              <w:t>the source code and the object code of the software sub-licensed to the Sub-licensee pursuant to the Sub-licence together with build information, relevant design and development information, technical</w:t>
            </w:r>
          </w:p>
          <w:p w14:paraId="3D033A6A" w14:textId="77777777" w:rsidR="00F03CB1" w:rsidRPr="00BD6C5F" w:rsidRDefault="00F03CB1" w:rsidP="002B3242">
            <w:pPr>
              <w:pStyle w:val="Tablea"/>
            </w:pPr>
            <w:r w:rsidRPr="00BD6C5F">
              <w:t xml:space="preserve">specifications of all functionality including those not included in standard manuals (such as </w:t>
            </w:r>
            <w:r w:rsidRPr="00BD6C5F">
              <w:lastRenderedPageBreak/>
              <w:t>those that modify system performance and access levels), configuration details, test scripts, user manuals, operating manuals, process definitions and procedures, and all such other documentation supplied by the Supplier to the Authority pursuant to or in connection with the Sub-licence;</w:t>
            </w:r>
          </w:p>
          <w:p w14:paraId="3FE4D71D" w14:textId="2A60775C" w:rsidR="00F03CB1" w:rsidRPr="00BD6C5F" w:rsidRDefault="00F03CB1" w:rsidP="002B3242">
            <w:pPr>
              <w:pStyle w:val="Tablea"/>
            </w:pPr>
            <w:r w:rsidRPr="00BD6C5F">
              <w:t>other Information provided by the Authority pursuant to this Agreement to the Sub-licensee that is clearly designated as being confidential or equivalent or that ought reasonably to be considered to be confidential which comes (or has come) to the Sub-licensee’s attention or into the Sub-licensee’s possession in connection with the Sub-licence; and</w:t>
            </w:r>
          </w:p>
          <w:p w14:paraId="491D4EDF" w14:textId="77777777" w:rsidR="00F03CB1" w:rsidRPr="00BD6C5F" w:rsidRDefault="00F03CB1" w:rsidP="002B3242">
            <w:pPr>
              <w:pStyle w:val="Tablea"/>
            </w:pPr>
            <w:r w:rsidRPr="00BD6C5F">
              <w:t>Information derived from any of the above,</w:t>
            </w:r>
          </w:p>
          <w:p w14:paraId="0467AAF7" w14:textId="77777777" w:rsidR="00F03CB1" w:rsidRPr="00BD6C5F" w:rsidRDefault="00F03CB1" w:rsidP="00F03CB1">
            <w:pPr>
              <w:pStyle w:val="Tabletext"/>
              <w:rPr>
                <w:rFonts w:asciiTheme="minorHAnsi" w:hAnsiTheme="minorHAnsi" w:cstheme="minorHAnsi"/>
              </w:rPr>
            </w:pPr>
            <w:r w:rsidRPr="00BD6C5F">
              <w:rPr>
                <w:rFonts w:asciiTheme="minorHAnsi" w:hAnsiTheme="minorHAnsi" w:cstheme="minorHAnsi"/>
              </w:rPr>
              <w:t>but not including any Information that:</w:t>
            </w:r>
          </w:p>
          <w:p w14:paraId="18167311" w14:textId="77777777" w:rsidR="00F03CB1" w:rsidRPr="00BD6C5F" w:rsidRDefault="00F03CB1" w:rsidP="002B3242">
            <w:pPr>
              <w:pStyle w:val="Tablea"/>
            </w:pPr>
            <w:r w:rsidRPr="00BD6C5F">
              <w:t>was in the possession of the Sub-licensee without obligation of confidentiality prior to its disclosure by the Authority;</w:t>
            </w:r>
          </w:p>
          <w:p w14:paraId="30490288" w14:textId="77777777" w:rsidR="00F03CB1" w:rsidRPr="00BD6C5F" w:rsidRDefault="00F03CB1" w:rsidP="002B3242">
            <w:pPr>
              <w:pStyle w:val="Tablea"/>
            </w:pPr>
            <w:r w:rsidRPr="00BD6C5F">
              <w:t>was already generally available and in the public domain at the time of disclosure otherwise than by a breach of this Agreement or breach of a duty of confidentiality; or</w:t>
            </w:r>
          </w:p>
          <w:p w14:paraId="64D43861" w14:textId="7BF2ED73" w:rsidR="00F03CB1" w:rsidRPr="00BD6C5F" w:rsidRDefault="00F03CB1" w:rsidP="002B3242">
            <w:pPr>
              <w:pStyle w:val="Tablea"/>
            </w:pPr>
            <w:r w:rsidRPr="00BD6C5F">
              <w:t>was independently developed without access to the Information;</w:t>
            </w:r>
          </w:p>
        </w:tc>
      </w:tr>
      <w:tr w:rsidR="000317B9" w:rsidRPr="00BD6C5F" w14:paraId="66365860" w14:textId="77777777" w:rsidTr="00136E05">
        <w:tc>
          <w:tcPr>
            <w:tcW w:w="3572" w:type="dxa"/>
          </w:tcPr>
          <w:p w14:paraId="6A18D20B" w14:textId="2F3D3562" w:rsidR="000317B9" w:rsidRPr="00BD6C5F" w:rsidRDefault="00A4555C" w:rsidP="00F03CB1">
            <w:pPr>
              <w:pStyle w:val="Tabletext"/>
              <w:rPr>
                <w:rFonts w:asciiTheme="minorHAnsi" w:hAnsiTheme="minorHAnsi" w:cstheme="minorHAnsi"/>
                <w:b/>
              </w:rPr>
            </w:pPr>
            <w:r w:rsidRPr="00BD6C5F">
              <w:rPr>
                <w:rFonts w:asciiTheme="minorHAnsi" w:hAnsiTheme="minorHAnsi" w:cstheme="minorHAnsi"/>
                <w:b/>
              </w:rPr>
              <w:lastRenderedPageBreak/>
              <w:t>“</w:t>
            </w:r>
            <w:r w:rsidR="000317B9" w:rsidRPr="00BD6C5F">
              <w:rPr>
                <w:rFonts w:asciiTheme="minorHAnsi" w:hAnsiTheme="minorHAnsi" w:cstheme="minorHAnsi"/>
                <w:b/>
              </w:rPr>
              <w:t>Information</w:t>
            </w:r>
            <w:r w:rsidRPr="00BD6C5F">
              <w:rPr>
                <w:rFonts w:asciiTheme="minorHAnsi" w:hAnsiTheme="minorHAnsi" w:cstheme="minorHAnsi"/>
                <w:b/>
              </w:rPr>
              <w:t>”</w:t>
            </w:r>
          </w:p>
        </w:tc>
        <w:tc>
          <w:tcPr>
            <w:tcW w:w="5953" w:type="dxa"/>
          </w:tcPr>
          <w:p w14:paraId="553ED320" w14:textId="7B70843A" w:rsidR="000317B9" w:rsidRPr="00BD6C5F" w:rsidRDefault="000317B9" w:rsidP="00F03CB1">
            <w:pPr>
              <w:pStyle w:val="Tabletext"/>
              <w:rPr>
                <w:rFonts w:asciiTheme="minorHAnsi" w:hAnsiTheme="minorHAnsi" w:cstheme="minorHAnsi"/>
              </w:rPr>
            </w:pPr>
            <w:r w:rsidRPr="00BD6C5F">
              <w:rPr>
                <w:rFonts w:asciiTheme="minorHAnsi" w:hAnsiTheme="minorHAnsi" w:cstheme="minorHAnsi"/>
              </w:rPr>
              <w:t>means all information of whatever nature, however conveyed and in whatever form, including in writing, orally, by demonstration, electronically and in a tangible, visual or machine-readable medium (including CD-ROM, magnetic and digital form); and</w:t>
            </w:r>
          </w:p>
        </w:tc>
      </w:tr>
      <w:tr w:rsidR="000317B9" w:rsidRPr="00BD6C5F" w14:paraId="1FA4A888" w14:textId="77777777" w:rsidTr="00136E05">
        <w:tc>
          <w:tcPr>
            <w:tcW w:w="3572" w:type="dxa"/>
          </w:tcPr>
          <w:p w14:paraId="5AEBE4B8" w14:textId="53B6B89E" w:rsidR="000317B9" w:rsidRPr="00BD6C5F" w:rsidRDefault="00A4555C" w:rsidP="00F03CB1">
            <w:pPr>
              <w:pStyle w:val="Tabletext"/>
              <w:rPr>
                <w:rFonts w:asciiTheme="minorHAnsi" w:hAnsiTheme="minorHAnsi" w:cstheme="minorHAnsi"/>
                <w:b/>
              </w:rPr>
            </w:pPr>
            <w:r w:rsidRPr="00BD6C5F">
              <w:rPr>
                <w:rFonts w:asciiTheme="minorHAnsi" w:hAnsiTheme="minorHAnsi" w:cstheme="minorHAnsi"/>
                <w:b/>
              </w:rPr>
              <w:t>“</w:t>
            </w:r>
            <w:r w:rsidR="000317B9" w:rsidRPr="00BD6C5F">
              <w:rPr>
                <w:rFonts w:asciiTheme="minorHAnsi" w:hAnsiTheme="minorHAnsi" w:cstheme="minorHAnsi"/>
                <w:b/>
              </w:rPr>
              <w:t>Sub-licence</w:t>
            </w:r>
            <w:r w:rsidRPr="00BD6C5F">
              <w:rPr>
                <w:rFonts w:asciiTheme="minorHAnsi" w:hAnsiTheme="minorHAnsi" w:cstheme="minorHAnsi"/>
                <w:b/>
              </w:rPr>
              <w:t>”</w:t>
            </w:r>
          </w:p>
        </w:tc>
        <w:tc>
          <w:tcPr>
            <w:tcW w:w="5953" w:type="dxa"/>
          </w:tcPr>
          <w:p w14:paraId="26B24242" w14:textId="7E82989E" w:rsidR="000317B9" w:rsidRPr="00BD6C5F" w:rsidRDefault="000317B9" w:rsidP="002B3242">
            <w:pPr>
              <w:pStyle w:val="Tabletext"/>
            </w:pPr>
            <w:r w:rsidRPr="00BD6C5F">
              <w:t xml:space="preserve">has the meaning given to that expression in </w:t>
            </w:r>
            <w:r w:rsidRPr="002B3242">
              <w:rPr>
                <w:rFonts w:asciiTheme="minorHAnsi" w:hAnsiTheme="minorHAnsi" w:cstheme="minorHAnsi"/>
              </w:rPr>
              <w:t>recital</w:t>
            </w:r>
            <w:r w:rsidRPr="00BD6C5F">
              <w:t xml:space="preserve"> (B) to this Agreement.</w:t>
            </w:r>
          </w:p>
        </w:tc>
      </w:tr>
    </w:tbl>
    <w:p w14:paraId="7C32C080" w14:textId="77777777" w:rsidR="00BC7DDA" w:rsidRPr="00BD6C5F" w:rsidRDefault="009B03E9" w:rsidP="00A47A7E">
      <w:pPr>
        <w:pStyle w:val="AppendixText2"/>
        <w:keepNext/>
      </w:pPr>
      <w:r w:rsidRPr="00BD6C5F">
        <w:t>In this Agreement:</w:t>
      </w:r>
    </w:p>
    <w:p w14:paraId="420FF3B9" w14:textId="77777777" w:rsidR="00BC7DDA" w:rsidRPr="00BD6C5F" w:rsidRDefault="009B03E9" w:rsidP="00D45FE6">
      <w:pPr>
        <w:pStyle w:val="AppendixText3"/>
      </w:pPr>
      <w:r w:rsidRPr="00BD6C5F">
        <w:t>a reference to any gender includes a reference to other genders;</w:t>
      </w:r>
    </w:p>
    <w:p w14:paraId="7905D88B" w14:textId="77777777" w:rsidR="00BC7DDA" w:rsidRPr="00BD6C5F" w:rsidRDefault="009B03E9" w:rsidP="00D45FE6">
      <w:pPr>
        <w:pStyle w:val="AppendixText3"/>
      </w:pPr>
      <w:r w:rsidRPr="00BD6C5F">
        <w:t>the singular includes the plural and vice versa;</w:t>
      </w:r>
    </w:p>
    <w:p w14:paraId="7ADB56A1" w14:textId="66AE6DB1" w:rsidR="00BC7DDA" w:rsidRPr="00BD6C5F" w:rsidRDefault="009B03E9" w:rsidP="00D45FE6">
      <w:pPr>
        <w:pStyle w:val="AppendixText3"/>
      </w:pPr>
      <w:r w:rsidRPr="00BD6C5F">
        <w:t xml:space="preserve">the words </w:t>
      </w:r>
      <w:r w:rsidR="00A4555C" w:rsidRPr="00BD6C5F">
        <w:t>“</w:t>
      </w:r>
      <w:r w:rsidRPr="00BD6C5F">
        <w:t>include</w:t>
      </w:r>
      <w:r w:rsidR="00A4555C" w:rsidRPr="00BD6C5F">
        <w:t>”</w:t>
      </w:r>
      <w:r w:rsidRPr="00BD6C5F">
        <w:t xml:space="preserve"> and cognate expressions shall be construed as if they were immediately followed by the words </w:t>
      </w:r>
      <w:r w:rsidR="00A4555C" w:rsidRPr="00BD6C5F">
        <w:t>“</w:t>
      </w:r>
      <w:r w:rsidRPr="00BD6C5F">
        <w:t>without limitation</w:t>
      </w:r>
      <w:r w:rsidR="00A4555C" w:rsidRPr="00BD6C5F">
        <w:t>”</w:t>
      </w:r>
      <w:r w:rsidRPr="00BD6C5F">
        <w:t>;</w:t>
      </w:r>
    </w:p>
    <w:p w14:paraId="4B975998" w14:textId="77777777" w:rsidR="00BC7DDA" w:rsidRPr="00BD6C5F" w:rsidRDefault="009B03E9" w:rsidP="00D45FE6">
      <w:pPr>
        <w:pStyle w:val="AppendixText3"/>
      </w:pPr>
      <w:r w:rsidRPr="00BD6C5F">
        <w:t>references to any statutory provision include a reference to that provision as modified, replaced, amended and/or re-enacted from time to time (before or after the date of signature of this Agreement) and any prior or subsequent subordinate legislation made under it;</w:t>
      </w:r>
    </w:p>
    <w:p w14:paraId="085506D8" w14:textId="77777777" w:rsidR="00BC7DDA" w:rsidRPr="00BD6C5F" w:rsidRDefault="009B03E9" w:rsidP="00D45FE6">
      <w:pPr>
        <w:pStyle w:val="AppendixText3"/>
      </w:pPr>
      <w:r w:rsidRPr="00BD6C5F">
        <w:lastRenderedPageBreak/>
        <w:t>headings are included for ease of reference only and shall not affect the interpretation or construction of this Agreement; and</w:t>
      </w:r>
    </w:p>
    <w:p w14:paraId="40F45227" w14:textId="77777777" w:rsidR="00BC7DDA" w:rsidRPr="00BD6C5F" w:rsidRDefault="009B03E9" w:rsidP="00D45FE6">
      <w:pPr>
        <w:pStyle w:val="AppendixText3"/>
      </w:pPr>
      <w:r w:rsidRPr="00BD6C5F">
        <w:t>references to Clauses are to clauses of this Agreement.</w:t>
      </w:r>
    </w:p>
    <w:p w14:paraId="78007928" w14:textId="77777777" w:rsidR="00BC7DDA" w:rsidRPr="00BD6C5F" w:rsidRDefault="009B03E9" w:rsidP="00B71FC0">
      <w:pPr>
        <w:pStyle w:val="AppendixText1"/>
        <w:numPr>
          <w:ilvl w:val="0"/>
          <w:numId w:val="152"/>
        </w:numPr>
      </w:pPr>
      <w:r w:rsidRPr="00BD6C5F">
        <w:t>Confidentiality Obligations</w:t>
      </w:r>
    </w:p>
    <w:p w14:paraId="4534EF50" w14:textId="51CFC54F" w:rsidR="00BC7DDA" w:rsidRPr="00BD6C5F" w:rsidRDefault="009B03E9" w:rsidP="00A47A7E">
      <w:pPr>
        <w:pStyle w:val="AppendixText2"/>
        <w:keepNext/>
      </w:pPr>
      <w:r w:rsidRPr="00BD6C5F">
        <w:t>In consideration of the Authority entering into the Sub-licence, the Sub-licensee shall:</w:t>
      </w:r>
    </w:p>
    <w:p w14:paraId="1ACDAC9A" w14:textId="77777777" w:rsidR="00BC7DDA" w:rsidRPr="00BD6C5F" w:rsidRDefault="009B03E9" w:rsidP="00D45FE6">
      <w:pPr>
        <w:pStyle w:val="AppendixText3"/>
      </w:pPr>
      <w:r w:rsidRPr="00BD6C5F">
        <w:t>treat all Confidential Information as secret and confidential;</w:t>
      </w:r>
    </w:p>
    <w:p w14:paraId="5F634FEF" w14:textId="77777777" w:rsidR="00BC7DDA" w:rsidRPr="00BD6C5F" w:rsidRDefault="009B03E9" w:rsidP="00D45FE6">
      <w:pPr>
        <w:pStyle w:val="AppendixText3"/>
      </w:pPr>
      <w:r w:rsidRPr="00BD6C5F">
        <w:t>have in place and maintain proper security measures and procedures to protect the confidentiality of the Confidential Information (having regard to its form and nature);</w:t>
      </w:r>
    </w:p>
    <w:p w14:paraId="7FFE624E" w14:textId="77777777" w:rsidR="00BC7DDA" w:rsidRPr="00BD6C5F" w:rsidRDefault="009B03E9" w:rsidP="00D45FE6">
      <w:pPr>
        <w:pStyle w:val="AppendixText3"/>
      </w:pPr>
      <w:r w:rsidRPr="00BD6C5F">
        <w:t>not disclose or permit the disclosure of any of the Confidential Information to any other person without obtaining the prior written consent of the Supplier or except as expressly set out in this Agreement;</w:t>
      </w:r>
    </w:p>
    <w:p w14:paraId="5D0E4C69" w14:textId="77777777" w:rsidR="00BC7DDA" w:rsidRPr="00BD6C5F" w:rsidRDefault="009B03E9" w:rsidP="00D45FE6">
      <w:pPr>
        <w:pStyle w:val="AppendixText3"/>
      </w:pPr>
      <w:r w:rsidRPr="00BD6C5F">
        <w:t>not transfer any of the Confidential Information outside the United Kingdom;</w:t>
      </w:r>
    </w:p>
    <w:p w14:paraId="08963E93" w14:textId="77777777" w:rsidR="00BC7DDA" w:rsidRPr="00BD6C5F" w:rsidRDefault="009B03E9" w:rsidP="00D45FE6">
      <w:pPr>
        <w:pStyle w:val="AppendixText3"/>
      </w:pPr>
      <w:r w:rsidRPr="00BD6C5F">
        <w:t>not use or exploit any of the Confidential Information for any purpose whatsoever other than as permitted under the Sub-licence;</w:t>
      </w:r>
    </w:p>
    <w:p w14:paraId="06EB4C7F" w14:textId="77777777" w:rsidR="00BC7DDA" w:rsidRPr="00BD6C5F" w:rsidRDefault="009B03E9" w:rsidP="00D45FE6">
      <w:pPr>
        <w:pStyle w:val="AppendixText3"/>
      </w:pPr>
      <w:r w:rsidRPr="00BD6C5F">
        <w:t>immediately notify the Supplier in writing if it suspects or becomes aware of any unauthorised access, copying, use or disclosure in any form of any of the Confidential Information; and</w:t>
      </w:r>
    </w:p>
    <w:p w14:paraId="0BE2555E" w14:textId="77777777" w:rsidR="00BC7DDA" w:rsidRPr="00BD6C5F" w:rsidRDefault="009B03E9" w:rsidP="00D45FE6">
      <w:pPr>
        <w:pStyle w:val="AppendixText3"/>
      </w:pPr>
      <w:r w:rsidRPr="00BD6C5F">
        <w:t>upon the expiry or termination of the Sub-licence:</w:t>
      </w:r>
    </w:p>
    <w:p w14:paraId="04F1B797" w14:textId="77777777" w:rsidR="00BC7DDA" w:rsidRPr="00BD6C5F" w:rsidRDefault="009B03E9" w:rsidP="00A47A7E">
      <w:pPr>
        <w:pStyle w:val="AppendixText3"/>
        <w:keepNext/>
      </w:pPr>
      <w:r w:rsidRPr="00BD6C5F">
        <w:t>destroy or return to the Supplier all documents and other tangible materials that contain any of the Confidential Information;</w:t>
      </w:r>
    </w:p>
    <w:p w14:paraId="481CD76C" w14:textId="77777777" w:rsidR="00BC7DDA" w:rsidRPr="00BD6C5F" w:rsidRDefault="009B03E9" w:rsidP="00381D62">
      <w:pPr>
        <w:pStyle w:val="Numbered111a"/>
      </w:pPr>
      <w:r w:rsidRPr="00BD6C5F">
        <w:t>ensure, so far as reasonably practicable, that all Confidential Information held in electronic, digital or other machine- readable form ceases to be readily accessible (other than by the information technology staff of the Sub-licensee) from any computer, word processor, voicemail system or any other device; and</w:t>
      </w:r>
    </w:p>
    <w:p w14:paraId="15813396" w14:textId="77777777" w:rsidR="00BC7DDA" w:rsidRPr="00BD6C5F" w:rsidRDefault="009B03E9" w:rsidP="001A45F8">
      <w:pPr>
        <w:pStyle w:val="Numbered111a"/>
        <w:rPr>
          <w:lang w:val="en-GB"/>
        </w:rPr>
      </w:pPr>
      <w:r w:rsidRPr="00BD6C5F">
        <w:rPr>
          <w:lang w:val="en-GB"/>
        </w:rPr>
        <w:t>make no further use of any Confidential Information.</w:t>
      </w:r>
    </w:p>
    <w:p w14:paraId="03F8862A" w14:textId="090E5E97" w:rsidR="00BC7DDA" w:rsidRPr="00BD6C5F" w:rsidRDefault="009B03E9" w:rsidP="00B71FC0">
      <w:pPr>
        <w:pStyle w:val="AppendixText1"/>
        <w:numPr>
          <w:ilvl w:val="0"/>
          <w:numId w:val="152"/>
        </w:numPr>
      </w:pPr>
      <w:r w:rsidRPr="00BD6C5F">
        <w:t>Permitted Disclosures</w:t>
      </w:r>
    </w:p>
    <w:p w14:paraId="703FA1F1" w14:textId="77777777" w:rsidR="00BC7DDA" w:rsidRPr="00BD6C5F" w:rsidRDefault="009B03E9" w:rsidP="00A47A7E">
      <w:pPr>
        <w:pStyle w:val="AppendixText2"/>
        <w:keepNext/>
      </w:pPr>
      <w:r w:rsidRPr="00BD6C5F">
        <w:t>The Sub-licensee may disclose Confidential Information to those of its directors, officers, employees, consultants and professional advisers who:</w:t>
      </w:r>
    </w:p>
    <w:p w14:paraId="54348C97" w14:textId="77777777" w:rsidR="00BC7DDA" w:rsidRPr="00BD6C5F" w:rsidRDefault="009B03E9" w:rsidP="00D45FE6">
      <w:pPr>
        <w:pStyle w:val="AppendixText3"/>
      </w:pPr>
      <w:r w:rsidRPr="00BD6C5F">
        <w:t>reasonably need to receive the Confidential Information in connection with the Sub-licence; and</w:t>
      </w:r>
    </w:p>
    <w:p w14:paraId="7F026860" w14:textId="77777777" w:rsidR="00BC7DDA" w:rsidRPr="00BD6C5F" w:rsidRDefault="009B03E9" w:rsidP="00D45FE6">
      <w:pPr>
        <w:pStyle w:val="AppendixText3"/>
      </w:pPr>
      <w:r w:rsidRPr="00BD6C5F">
        <w:t>have been informed by the Sub-licensee of the confidential nature of the Confidential Information; and</w:t>
      </w:r>
    </w:p>
    <w:p w14:paraId="1A6B1DD1" w14:textId="77777777" w:rsidR="00BC7DDA" w:rsidRPr="00BD6C5F" w:rsidRDefault="009B03E9" w:rsidP="00D45FE6">
      <w:pPr>
        <w:pStyle w:val="AppendixText3"/>
      </w:pPr>
      <w:r w:rsidRPr="00BD6C5F">
        <w:t>have agreed to terms similar to those in this Agreement.</w:t>
      </w:r>
    </w:p>
    <w:p w14:paraId="1A63A6FB" w14:textId="77777777" w:rsidR="00BC7DDA" w:rsidRPr="00BD6C5F" w:rsidRDefault="009B03E9" w:rsidP="001D1A25">
      <w:pPr>
        <w:pStyle w:val="AppendixText2"/>
      </w:pPr>
      <w:bookmarkStart w:id="435" w:name="_bookmark146"/>
      <w:bookmarkStart w:id="436" w:name="_Ref98850616"/>
      <w:bookmarkEnd w:id="435"/>
      <w:r w:rsidRPr="00BD6C5F">
        <w:lastRenderedPageBreak/>
        <w:t>The Sub-licensee shall be entitled to disclose Confidential Information to the extent that it is required to do so by applicable law or by order of a court or other public body that has jurisdiction over the Sub-licensee.</w:t>
      </w:r>
      <w:bookmarkEnd w:id="436"/>
    </w:p>
    <w:p w14:paraId="7C09ACAB" w14:textId="3A5883F8" w:rsidR="00BC7DDA" w:rsidRPr="00BD6C5F" w:rsidRDefault="009B03E9" w:rsidP="00A47A7E">
      <w:pPr>
        <w:pStyle w:val="AppendixText2"/>
        <w:keepNext/>
      </w:pPr>
      <w:r w:rsidRPr="00BD6C5F">
        <w:t xml:space="preserve">Before making a disclosure pursuant to </w:t>
      </w:r>
      <w:r w:rsidR="005E736B" w:rsidRPr="00BD6C5F">
        <w:t>Clause </w:t>
      </w:r>
      <w:r w:rsidR="00515DA7" w:rsidRPr="00BD6C5F">
        <w:fldChar w:fldCharType="begin"/>
      </w:r>
      <w:r w:rsidR="00515DA7" w:rsidRPr="00BD6C5F">
        <w:instrText xml:space="preserve"> REF _Ref98850616 \w \h </w:instrText>
      </w:r>
      <w:r w:rsidR="00AD7DD0" w:rsidRPr="00BD6C5F">
        <w:instrText xml:space="preserve"> \* MERGEFORMAT </w:instrText>
      </w:r>
      <w:r w:rsidR="00515DA7" w:rsidRPr="00BD6C5F">
        <w:fldChar w:fldCharType="separate"/>
      </w:r>
      <w:r w:rsidR="009749A0">
        <w:t>3.2</w:t>
      </w:r>
      <w:r w:rsidR="00515DA7" w:rsidRPr="00BD6C5F">
        <w:fldChar w:fldCharType="end"/>
      </w:r>
      <w:r w:rsidRPr="00BD6C5F">
        <w:t>, the Sub-licensee shall, if the circumstances permit:</w:t>
      </w:r>
    </w:p>
    <w:p w14:paraId="1A3212E3" w14:textId="77777777" w:rsidR="00BC7DDA" w:rsidRPr="00BD6C5F" w:rsidRDefault="009B03E9" w:rsidP="00D45FE6">
      <w:pPr>
        <w:pStyle w:val="AppendixText3"/>
      </w:pPr>
      <w:r w:rsidRPr="00BD6C5F">
        <w:t>notify the Supplier in writing of the proposed disclosure as soon as possible (and if possible before the court or other public body orders the disclosure of the Confidential Information); and</w:t>
      </w:r>
    </w:p>
    <w:p w14:paraId="0E0B3E33" w14:textId="77777777" w:rsidR="00BC7DDA" w:rsidRPr="00BD6C5F" w:rsidRDefault="009B03E9" w:rsidP="00D45FE6">
      <w:pPr>
        <w:pStyle w:val="AppendixText3"/>
      </w:pPr>
      <w:r w:rsidRPr="00BD6C5F">
        <w:t>ask the court or other public body to treat the Confidential Information as confidential.</w:t>
      </w:r>
    </w:p>
    <w:p w14:paraId="0A689191" w14:textId="77777777" w:rsidR="00BC7DDA" w:rsidRPr="00BD6C5F" w:rsidRDefault="009B03E9" w:rsidP="00B71FC0">
      <w:pPr>
        <w:pStyle w:val="AppendixText1"/>
        <w:numPr>
          <w:ilvl w:val="0"/>
          <w:numId w:val="152"/>
        </w:numPr>
      </w:pPr>
      <w:r w:rsidRPr="00BD6C5F">
        <w:t>General</w:t>
      </w:r>
    </w:p>
    <w:p w14:paraId="68A5232B" w14:textId="77777777" w:rsidR="00BC7DDA" w:rsidRPr="00BD6C5F" w:rsidRDefault="009B03E9" w:rsidP="001D1A25">
      <w:pPr>
        <w:pStyle w:val="AppendixText2"/>
      </w:pPr>
      <w:r w:rsidRPr="00BD6C5F">
        <w:t>The Sub-licensee acknowledges and agrees that all property, including intellectual property rights, in Confidential Information disclosed to it by the Supplier shall remain with and be vested in the Supplier.</w:t>
      </w:r>
    </w:p>
    <w:p w14:paraId="22430B01" w14:textId="77777777" w:rsidR="00BC7DDA" w:rsidRPr="00BD6C5F" w:rsidRDefault="009B03E9" w:rsidP="00A47A7E">
      <w:pPr>
        <w:pStyle w:val="AppendixText2"/>
        <w:keepNext/>
      </w:pPr>
      <w:r w:rsidRPr="00BD6C5F">
        <w:t>This Agreement does not include, expressly or by implication, any representations, warranties or other obligations:</w:t>
      </w:r>
    </w:p>
    <w:p w14:paraId="0109EBCD" w14:textId="77777777" w:rsidR="00BC7DDA" w:rsidRPr="00BD6C5F" w:rsidRDefault="009B03E9" w:rsidP="00D45FE6">
      <w:pPr>
        <w:pStyle w:val="AppendixText3"/>
      </w:pPr>
      <w:r w:rsidRPr="00BD6C5F">
        <w:t>to grant the Sub-licensee any licence or rights other than as may be expressly stated in the Sub-licence;</w:t>
      </w:r>
    </w:p>
    <w:p w14:paraId="74A7C10E" w14:textId="77777777" w:rsidR="00BC7DDA" w:rsidRPr="00BD6C5F" w:rsidRDefault="009B03E9" w:rsidP="00D45FE6">
      <w:pPr>
        <w:pStyle w:val="AppendixText3"/>
      </w:pPr>
      <w:r w:rsidRPr="00BD6C5F">
        <w:t>to require the Supplier to disclose, continue disclosing or update any Confidential Information; or</w:t>
      </w:r>
    </w:p>
    <w:p w14:paraId="62A62F05" w14:textId="77777777" w:rsidR="00BC7DDA" w:rsidRPr="00BD6C5F" w:rsidRDefault="009B03E9" w:rsidP="00D45FE6">
      <w:pPr>
        <w:pStyle w:val="AppendixText3"/>
      </w:pPr>
      <w:r w:rsidRPr="00BD6C5F">
        <w:t>as to the accuracy, efficacy, completeness, capabilities, safety or any other qualities whatsoever of any Information or materials provided pursuant to or in anticipation of the Sub-licence.</w:t>
      </w:r>
    </w:p>
    <w:p w14:paraId="1C66BEA4" w14:textId="77777777" w:rsidR="00BC7DDA" w:rsidRPr="00BD6C5F" w:rsidRDefault="009B03E9" w:rsidP="001D1A25">
      <w:pPr>
        <w:pStyle w:val="AppendixText2"/>
      </w:pPr>
      <w:r w:rsidRPr="00BD6C5F">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61150B8B" w14:textId="4AC9F846" w:rsidR="00BC7DDA" w:rsidRPr="00BD6C5F" w:rsidRDefault="009B03E9" w:rsidP="001D1A25">
      <w:pPr>
        <w:pStyle w:val="AppendixText2"/>
      </w:pPr>
      <w:r w:rsidRPr="00BD6C5F">
        <w:t>Without prejudice to any other rights or remedies that the Supplier may have, the Sub-licensee acknowledges and agrees that damages alone may not be an adequate remedy for any breach by the Sub-licensee of any of the</w:t>
      </w:r>
      <w:r w:rsidR="00DB2677" w:rsidRPr="00BD6C5F">
        <w:t xml:space="preserve"> </w:t>
      </w:r>
      <w:r w:rsidRPr="00BD6C5F">
        <w:t xml:space="preserve">provisions of this Agreement. Accordingly, the Sub-licensee acknowledges that the Supplier shall be entitled to the remedies of interdict and </w:t>
      </w:r>
      <w:r w:rsidR="00CE0A8B" w:rsidRPr="00BD6C5F">
        <w:t xml:space="preserve">specific </w:t>
      </w:r>
      <w:r w:rsidRPr="00BD6C5F">
        <w:t>implement for any threatened or actual breach of this Agreement and/or breach of confidence and that no proof of special damages shall be necessary for the enforcement of such remedies.</w:t>
      </w:r>
    </w:p>
    <w:p w14:paraId="7F68C469" w14:textId="77777777" w:rsidR="00BC7DDA" w:rsidRPr="00BD6C5F" w:rsidRDefault="009B03E9" w:rsidP="001D1A25">
      <w:pPr>
        <w:pStyle w:val="AppendixText2"/>
      </w:pPr>
      <w:r w:rsidRPr="00BD6C5F">
        <w:t>The maximum liability of the Sub-licensee to the Supplier for any breach of this Agreement shall be limited to ten million pounds (£10,000,000).</w:t>
      </w:r>
    </w:p>
    <w:p w14:paraId="7143E614" w14:textId="12D090B9" w:rsidR="00BC7DDA" w:rsidRPr="00BD6C5F" w:rsidRDefault="009B03E9" w:rsidP="001D1A25">
      <w:pPr>
        <w:pStyle w:val="AppendixText2"/>
      </w:pPr>
      <w:r w:rsidRPr="00BD6C5F">
        <w:t>For the purposes of the C</w:t>
      </w:r>
      <w:r w:rsidR="00CE0A8B" w:rsidRPr="00BD6C5F">
        <w:t>ontract (</w:t>
      </w:r>
      <w:r w:rsidRPr="00BD6C5F">
        <w:t>T</w:t>
      </w:r>
      <w:r w:rsidR="00CE0A8B" w:rsidRPr="00BD6C5F">
        <w:t xml:space="preserve">hird </w:t>
      </w:r>
      <w:r w:rsidRPr="00BD6C5F">
        <w:t>P</w:t>
      </w:r>
      <w:r w:rsidR="00CE0A8B" w:rsidRPr="00BD6C5F">
        <w:t xml:space="preserve">arty </w:t>
      </w:r>
      <w:r w:rsidRPr="00BD6C5F">
        <w:t>R</w:t>
      </w:r>
      <w:r w:rsidR="00CE0A8B" w:rsidRPr="00BD6C5F">
        <w:t>ights) (</w:t>
      </w:r>
      <w:r w:rsidRPr="00BD6C5F">
        <w:t>S</w:t>
      </w:r>
      <w:r w:rsidR="00CE0A8B" w:rsidRPr="00BD6C5F">
        <w:t xml:space="preserve">cotland) </w:t>
      </w:r>
      <w:r w:rsidRPr="00BD6C5F">
        <w:t>A</w:t>
      </w:r>
      <w:r w:rsidR="00CE0A8B" w:rsidRPr="00BD6C5F">
        <w:t>ct 2017</w:t>
      </w:r>
      <w:r w:rsidRPr="00BD6C5F">
        <w:t xml:space="preserve"> no one other than the Parties has the right to enforce the terms of this Agreement.</w:t>
      </w:r>
    </w:p>
    <w:p w14:paraId="5400EE04" w14:textId="77777777" w:rsidR="00E52DF5" w:rsidRDefault="009B03E9" w:rsidP="001D1A25">
      <w:pPr>
        <w:pStyle w:val="AppendixText2"/>
      </w:pPr>
      <w:r w:rsidRPr="00BD6C5F">
        <w:t>Each Party shall be responsible for all costs incurred by it or on its behalf in connection with this Agreement</w:t>
      </w:r>
    </w:p>
    <w:p w14:paraId="66405E6D" w14:textId="77777777" w:rsidR="00E52DF5" w:rsidRDefault="00E52DF5" w:rsidP="00E52DF5">
      <w:pPr>
        <w:pStyle w:val="AppendixText2"/>
      </w:pPr>
      <w:r>
        <w:lastRenderedPageBreak/>
        <w:t>This agreement may be executed in any number of counterparts and by each of the parties on separate counterparts all as permitted by The Legal Writings (Counterparts and Delivery) (Scotland) Act 2015.</w:t>
      </w:r>
    </w:p>
    <w:p w14:paraId="4E735ECD" w14:textId="77777777" w:rsidR="00E52DF5" w:rsidRDefault="00E52DF5" w:rsidP="00E52DF5">
      <w:pPr>
        <w:pStyle w:val="AppendixText2"/>
      </w:pPr>
      <w:r>
        <w:t>Where executed in counterparts:</w:t>
      </w:r>
    </w:p>
    <w:p w14:paraId="3B08CB32" w14:textId="77777777" w:rsidR="00E52DF5" w:rsidRDefault="00E52DF5" w:rsidP="00E52DF5">
      <w:pPr>
        <w:pStyle w:val="AppendixText3"/>
      </w:pPr>
      <w:r>
        <w:t xml:space="preserve">this agreement will not take effect until each of the counterparts has been delivered; </w:t>
      </w:r>
    </w:p>
    <w:p w14:paraId="5B680625" w14:textId="77777777" w:rsidR="00E52DF5" w:rsidRDefault="00E52DF5" w:rsidP="00E52DF5">
      <w:pPr>
        <w:pStyle w:val="AppendixText3"/>
      </w:pPr>
      <w:r>
        <w:t>each counterpart will be held as undelivered until the parties agree a date on which the counterparts are to be treated as delivered; and</w:t>
      </w:r>
    </w:p>
    <w:p w14:paraId="40C09022" w14:textId="77777777" w:rsidR="00E52DF5" w:rsidRDefault="00E52DF5" w:rsidP="00E52DF5">
      <w:pPr>
        <w:pStyle w:val="AppendixText3"/>
      </w:pPr>
      <w:r>
        <w:t>the date of delivery may be inserted on page 1 in the blank provided for the delivery date of this agreement.</w:t>
      </w:r>
    </w:p>
    <w:p w14:paraId="7E5A3D35" w14:textId="77777777" w:rsidR="00BC7DDA" w:rsidRPr="00BD6C5F" w:rsidRDefault="009B03E9" w:rsidP="00B71FC0">
      <w:pPr>
        <w:pStyle w:val="AppendixText1"/>
        <w:numPr>
          <w:ilvl w:val="0"/>
          <w:numId w:val="152"/>
        </w:numPr>
      </w:pPr>
      <w:r w:rsidRPr="00BD6C5F">
        <w:t>Notices</w:t>
      </w:r>
    </w:p>
    <w:p w14:paraId="66EB1F40" w14:textId="4C238A18" w:rsidR="00BC7DDA" w:rsidRPr="00BD6C5F" w:rsidRDefault="009B03E9" w:rsidP="001D1A25">
      <w:pPr>
        <w:pStyle w:val="AppendixText2"/>
      </w:pPr>
      <w:r w:rsidRPr="00BD6C5F">
        <w:t xml:space="preserve">Any notice to be given under this Agreement (each a </w:t>
      </w:r>
      <w:r w:rsidR="00A4555C" w:rsidRPr="00BD6C5F">
        <w:t>“</w:t>
      </w:r>
      <w:r w:rsidRPr="00BD6C5F">
        <w:rPr>
          <w:b/>
        </w:rPr>
        <w:t>Notice</w:t>
      </w:r>
      <w:r w:rsidR="00A4555C" w:rsidRPr="00BD6C5F">
        <w:t>”</w:t>
      </w:r>
      <w:r w:rsidRPr="00BD6C5F">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r w:rsidR="005E736B" w:rsidRPr="00BD6C5F">
        <w:t>Clause </w:t>
      </w:r>
      <w:r w:rsidR="00515DA7" w:rsidRPr="00BD6C5F">
        <w:fldChar w:fldCharType="begin"/>
      </w:r>
      <w:r w:rsidR="00515DA7" w:rsidRPr="00BD6C5F">
        <w:instrText xml:space="preserve"> REF _Ref98850648 \w \h </w:instrText>
      </w:r>
      <w:r w:rsidR="00AD7DD0" w:rsidRPr="00BD6C5F">
        <w:instrText xml:space="preserve"> \* MERGEFORMAT </w:instrText>
      </w:r>
      <w:r w:rsidR="00515DA7" w:rsidRPr="00BD6C5F">
        <w:fldChar w:fldCharType="separate"/>
      </w:r>
      <w:r w:rsidR="009749A0">
        <w:t>5.2</w:t>
      </w:r>
      <w:r w:rsidR="00515DA7" w:rsidRPr="00BD6C5F">
        <w:fldChar w:fldCharType="end"/>
      </w:r>
      <w:r w:rsidRPr="00BD6C5F">
        <w:t>.</w:t>
      </w:r>
    </w:p>
    <w:p w14:paraId="651AC3F9" w14:textId="77777777" w:rsidR="00BC7DDA" w:rsidRPr="00BD6C5F" w:rsidRDefault="009B03E9" w:rsidP="00A47A7E">
      <w:pPr>
        <w:pStyle w:val="AppendixText2"/>
        <w:keepNext/>
      </w:pPr>
      <w:bookmarkStart w:id="437" w:name="_bookmark147"/>
      <w:bookmarkStart w:id="438" w:name="_Ref98850648"/>
      <w:bookmarkEnd w:id="437"/>
      <w:r w:rsidRPr="00BD6C5F">
        <w:t>Any Notice:</w:t>
      </w:r>
      <w:bookmarkEnd w:id="438"/>
    </w:p>
    <w:p w14:paraId="4EDD0C9C" w14:textId="246E41C3" w:rsidR="00BC7DDA" w:rsidRPr="00566661" w:rsidRDefault="009B03E9" w:rsidP="00D45FE6">
      <w:pPr>
        <w:pStyle w:val="AppendixText3"/>
      </w:pPr>
      <w:r w:rsidRPr="00BD6C5F">
        <w:t>if to be given to the Su</w:t>
      </w:r>
      <w:r w:rsidRPr="00566661">
        <w:t>pplier shall be sent to:</w:t>
      </w:r>
      <w:r w:rsidR="00312782" w:rsidRPr="00566661">
        <w:t xml:space="preserve"> </w:t>
      </w:r>
      <w:r w:rsidRPr="00566661">
        <w:rPr>
          <w:shd w:val="clear" w:color="auto" w:fill="FFFF00"/>
        </w:rPr>
        <w:t>[Address]</w:t>
      </w:r>
    </w:p>
    <w:p w14:paraId="11399EC2" w14:textId="1339D167" w:rsidR="00BC7DDA" w:rsidRPr="00566661" w:rsidRDefault="009B03E9" w:rsidP="00A61E0D">
      <w:pPr>
        <w:spacing w:before="100" w:after="200"/>
        <w:ind w:left="1803"/>
        <w:rPr>
          <w:rFonts w:asciiTheme="minorHAnsi" w:hAnsiTheme="minorHAnsi" w:cstheme="minorHAnsi"/>
          <w:szCs w:val="24"/>
        </w:rPr>
      </w:pPr>
      <w:r w:rsidRPr="00566661">
        <w:rPr>
          <w:rFonts w:asciiTheme="minorHAnsi" w:hAnsiTheme="minorHAnsi" w:cstheme="minorHAnsi"/>
          <w:szCs w:val="24"/>
        </w:rPr>
        <w:t xml:space="preserve">Attention: </w:t>
      </w:r>
      <w:r w:rsidRPr="00566661">
        <w:rPr>
          <w:rFonts w:asciiTheme="minorHAnsi" w:hAnsiTheme="minorHAnsi" w:cstheme="minorHAnsi"/>
          <w:szCs w:val="24"/>
          <w:shd w:val="clear" w:color="auto" w:fill="FFFF00"/>
        </w:rPr>
        <w:t xml:space="preserve">[Contact name and/or position, e.g. </w:t>
      </w:r>
      <w:r w:rsidR="00A4555C" w:rsidRPr="00566661">
        <w:rPr>
          <w:rFonts w:asciiTheme="minorHAnsi" w:hAnsiTheme="minorHAnsi" w:cstheme="minorHAnsi"/>
          <w:szCs w:val="24"/>
          <w:shd w:val="clear" w:color="auto" w:fill="FFFF00"/>
        </w:rPr>
        <w:t>“</w:t>
      </w:r>
      <w:r w:rsidRPr="00566661">
        <w:rPr>
          <w:rFonts w:asciiTheme="minorHAnsi" w:hAnsiTheme="minorHAnsi" w:cstheme="minorHAnsi"/>
          <w:szCs w:val="24"/>
          <w:shd w:val="clear" w:color="auto" w:fill="FFFF00"/>
        </w:rPr>
        <w:t>The Finance Director</w:t>
      </w:r>
      <w:r w:rsidR="00A4555C" w:rsidRPr="00566661">
        <w:rPr>
          <w:rFonts w:asciiTheme="minorHAnsi" w:hAnsiTheme="minorHAnsi" w:cstheme="minorHAnsi"/>
          <w:szCs w:val="24"/>
          <w:shd w:val="clear" w:color="auto" w:fill="FFFF00"/>
        </w:rPr>
        <w:t>”</w:t>
      </w:r>
      <w:r w:rsidRPr="00566661">
        <w:rPr>
          <w:rFonts w:asciiTheme="minorHAnsi" w:hAnsiTheme="minorHAnsi" w:cstheme="minorHAnsi"/>
          <w:szCs w:val="24"/>
          <w:shd w:val="clear" w:color="auto" w:fill="FFFF00"/>
        </w:rPr>
        <w:t>]</w:t>
      </w:r>
    </w:p>
    <w:p w14:paraId="6A8C2309" w14:textId="29E8322E" w:rsidR="00BC7DDA" w:rsidRPr="00566661" w:rsidRDefault="009B03E9" w:rsidP="00D45FE6">
      <w:pPr>
        <w:pStyle w:val="AppendixText3"/>
      </w:pPr>
      <w:bookmarkStart w:id="439" w:name="_Ref98256810"/>
      <w:r w:rsidRPr="00566661">
        <w:t>if to be given to the Sub-licensee shall be sent to:</w:t>
      </w:r>
      <w:r w:rsidR="00312782" w:rsidRPr="00566661">
        <w:t xml:space="preserve"> </w:t>
      </w:r>
      <w:r w:rsidRPr="00566661">
        <w:rPr>
          <w:shd w:val="clear" w:color="auto" w:fill="FFFF00"/>
        </w:rPr>
        <w:t>[Name of Organisation]</w:t>
      </w:r>
      <w:bookmarkEnd w:id="439"/>
    </w:p>
    <w:p w14:paraId="36E2432B" w14:textId="67E0405F" w:rsidR="00A02AC3" w:rsidRPr="00566661" w:rsidRDefault="009B03E9" w:rsidP="00A61E0D">
      <w:pPr>
        <w:spacing w:before="100" w:after="200"/>
        <w:ind w:left="1803"/>
        <w:rPr>
          <w:rFonts w:asciiTheme="minorHAnsi" w:hAnsiTheme="minorHAnsi" w:cstheme="minorHAnsi"/>
          <w:szCs w:val="24"/>
        </w:rPr>
      </w:pPr>
      <w:r w:rsidRPr="00566661">
        <w:rPr>
          <w:rFonts w:asciiTheme="minorHAnsi" w:hAnsiTheme="minorHAnsi" w:cstheme="minorHAnsi"/>
          <w:szCs w:val="24"/>
          <w:shd w:val="clear" w:color="auto" w:fill="FFFF00"/>
        </w:rPr>
        <w:t>[Address]</w:t>
      </w:r>
    </w:p>
    <w:p w14:paraId="443E772C" w14:textId="7FE192D6" w:rsidR="00A02AC3" w:rsidRPr="00BD6C5F" w:rsidRDefault="00A02AC3" w:rsidP="00A61E0D">
      <w:pPr>
        <w:spacing w:before="100" w:after="200"/>
        <w:ind w:left="1803"/>
        <w:rPr>
          <w:rFonts w:asciiTheme="minorHAnsi" w:hAnsiTheme="minorHAnsi" w:cstheme="minorHAnsi"/>
          <w:szCs w:val="24"/>
        </w:rPr>
      </w:pPr>
      <w:r w:rsidRPr="00BD6C5F">
        <w:rPr>
          <w:rFonts w:asciiTheme="minorHAnsi" w:hAnsiTheme="minorHAnsi" w:cstheme="minorHAnsi"/>
          <w:szCs w:val="24"/>
        </w:rPr>
        <w:t xml:space="preserve">Attention: </w:t>
      </w:r>
      <w:r w:rsidRPr="00BD6C5F">
        <w:rPr>
          <w:rFonts w:asciiTheme="minorHAnsi" w:hAnsiTheme="minorHAnsi" w:cstheme="minorHAnsi"/>
          <w:szCs w:val="24"/>
          <w:shd w:val="clear" w:color="auto" w:fill="FFFF00"/>
        </w:rPr>
        <w:t>[</w:t>
      </w:r>
      <w:r w:rsidRPr="00BD6C5F">
        <w:rPr>
          <w:rFonts w:asciiTheme="minorHAnsi" w:hAnsiTheme="minorHAnsi" w:cstheme="minorHAnsi"/>
          <w:szCs w:val="24"/>
          <w:shd w:val="clear" w:color="auto" w:fill="FFFF00"/>
        </w:rPr>
        <w:tab/>
      </w:r>
      <w:r w:rsidRPr="00BD6C5F">
        <w:rPr>
          <w:rFonts w:asciiTheme="minorHAnsi" w:hAnsiTheme="minorHAnsi" w:cstheme="minorHAnsi"/>
          <w:szCs w:val="24"/>
          <w:shd w:val="clear" w:color="auto" w:fill="FFFF00"/>
        </w:rPr>
        <w:tab/>
      </w:r>
      <w:r w:rsidRPr="00BD6C5F">
        <w:rPr>
          <w:rFonts w:asciiTheme="minorHAnsi" w:hAnsiTheme="minorHAnsi" w:cstheme="minorHAnsi"/>
          <w:szCs w:val="24"/>
          <w:shd w:val="clear" w:color="auto" w:fill="FFFF00"/>
        </w:rPr>
        <w:tab/>
        <w:t>]</w:t>
      </w:r>
    </w:p>
    <w:p w14:paraId="46A6FA77" w14:textId="77777777" w:rsidR="00BC7DDA" w:rsidRPr="00BD6C5F" w:rsidRDefault="009B03E9" w:rsidP="00B71FC0">
      <w:pPr>
        <w:pStyle w:val="AppendixText1"/>
        <w:numPr>
          <w:ilvl w:val="0"/>
          <w:numId w:val="152"/>
        </w:numPr>
      </w:pPr>
      <w:r w:rsidRPr="00BD6C5F">
        <w:t>Governing law</w:t>
      </w:r>
    </w:p>
    <w:p w14:paraId="0EE36F3D" w14:textId="77777777" w:rsidR="00BC7DDA" w:rsidRPr="00BD6C5F" w:rsidRDefault="009B03E9" w:rsidP="00D45FE6">
      <w:pPr>
        <w:pStyle w:val="AppendixText2"/>
      </w:pPr>
      <w:r w:rsidRPr="00BD6C5F">
        <w:t>This Agreement shall be governed by, and construed in accordance with, the laws of Scotland and any matter claim or dispute arising out of or in connection with this Agreement whether contractual or non-contractual, shall be governed by and determined in accordance with the laws of Scotland.</w:t>
      </w:r>
    </w:p>
    <w:p w14:paraId="462F3FFE" w14:textId="77777777" w:rsidR="00BC7DDA" w:rsidRPr="00BD6C5F" w:rsidRDefault="009B03E9" w:rsidP="00D45FE6">
      <w:pPr>
        <w:pStyle w:val="AppendixText2"/>
      </w:pPr>
      <w:r w:rsidRPr="00BD6C5F">
        <w:t>Each Party hereby irrevocably submits to the exclusive jurisdiction of the Court of Session in respect of any claim or dispute arising out of or in connection with this Agreement.</w:t>
      </w:r>
    </w:p>
    <w:p w14:paraId="065840B2" w14:textId="6C7E8460" w:rsidR="00BC7DDA" w:rsidRPr="00BD6C5F" w:rsidRDefault="009B03E9" w:rsidP="00A61E0D">
      <w:pPr>
        <w:pStyle w:val="BodyText"/>
        <w:spacing w:before="100" w:after="200"/>
        <w:rPr>
          <w:rFonts w:asciiTheme="minorHAnsi" w:hAnsiTheme="minorHAnsi" w:cstheme="minorHAnsi"/>
        </w:rPr>
      </w:pPr>
      <w:r w:rsidRPr="00BD6C5F">
        <w:rPr>
          <w:rFonts w:asciiTheme="minorHAnsi" w:hAnsiTheme="minorHAnsi" w:cstheme="minorHAnsi"/>
          <w:b/>
        </w:rPr>
        <w:t xml:space="preserve">IN WITNESS WHEREOF </w:t>
      </w:r>
      <w:r w:rsidRPr="00BD6C5F">
        <w:rPr>
          <w:rFonts w:asciiTheme="minorHAnsi" w:hAnsiTheme="minorHAnsi" w:cstheme="minorHAnsi"/>
        </w:rPr>
        <w:t xml:space="preserve">these presents consisting of this page and the </w:t>
      </w:r>
      <w:r w:rsidRPr="00BD6C5F">
        <w:rPr>
          <w:rFonts w:asciiTheme="minorHAnsi" w:hAnsiTheme="minorHAnsi" w:cstheme="minorHAnsi"/>
          <w:highlight w:val="yellow"/>
        </w:rPr>
        <w:t>[ ]</w:t>
      </w:r>
      <w:r w:rsidRPr="00BD6C5F">
        <w:rPr>
          <w:rFonts w:asciiTheme="minorHAnsi" w:hAnsiTheme="minorHAnsi" w:cstheme="minorHAnsi"/>
        </w:rPr>
        <w:t xml:space="preserve"> preceding pages are executed in duplicate as follows:</w:t>
      </w:r>
    </w:p>
    <w:p w14:paraId="69DBA52F" w14:textId="77777777" w:rsidR="00BC7DDA" w:rsidRPr="00BD6C5F" w:rsidRDefault="00BC7DDA">
      <w:pPr>
        <w:pStyle w:val="BodyText"/>
        <w:spacing w:after="1"/>
        <w:rPr>
          <w:rFonts w:asciiTheme="minorHAnsi" w:hAnsiTheme="minorHAnsi" w:cstheme="minorHAnsi"/>
          <w:bCs/>
        </w:rPr>
      </w:pPr>
    </w:p>
    <w:tbl>
      <w:tblPr>
        <w:tblW w:w="9378" w:type="dxa"/>
        <w:tblLayout w:type="fixed"/>
        <w:tblLook w:val="0000" w:firstRow="0" w:lastRow="0" w:firstColumn="0" w:lastColumn="0" w:noHBand="0" w:noVBand="0"/>
      </w:tblPr>
      <w:tblGrid>
        <w:gridCol w:w="2070"/>
        <w:gridCol w:w="2160"/>
        <w:gridCol w:w="270"/>
        <w:gridCol w:w="2340"/>
        <w:gridCol w:w="2538"/>
      </w:tblGrid>
      <w:tr w:rsidR="003C25EE" w:rsidRPr="003B05DC" w14:paraId="63B9DD71" w14:textId="77777777" w:rsidTr="00963796">
        <w:trPr>
          <w:cantSplit/>
        </w:trPr>
        <w:tc>
          <w:tcPr>
            <w:tcW w:w="4230" w:type="dxa"/>
            <w:gridSpan w:val="2"/>
          </w:tcPr>
          <w:p w14:paraId="10BC67FF" w14:textId="77777777" w:rsidR="003C25EE" w:rsidRPr="00FA1464" w:rsidRDefault="003C25EE" w:rsidP="00963796">
            <w:pPr>
              <w:pStyle w:val="Executionclause"/>
              <w:keepNext/>
              <w:rPr>
                <w:rFonts w:ascii="Arial" w:hAnsi="Arial" w:cs="Arial"/>
                <w:sz w:val="24"/>
                <w:szCs w:val="24"/>
              </w:rPr>
            </w:pPr>
            <w:r w:rsidRPr="00FA1464">
              <w:rPr>
                <w:rFonts w:ascii="Arial" w:hAnsi="Arial" w:cs="Arial"/>
                <w:b/>
                <w:sz w:val="24"/>
                <w:szCs w:val="24"/>
              </w:rPr>
              <w:lastRenderedPageBreak/>
              <w:t xml:space="preserve">SUBSCRIBED </w:t>
            </w:r>
            <w:r w:rsidRPr="00FA1464">
              <w:rPr>
                <w:rFonts w:ascii="Arial" w:hAnsi="Arial" w:cs="Arial"/>
                <w:sz w:val="24"/>
                <w:szCs w:val="24"/>
              </w:rPr>
              <w:t xml:space="preserve">for and on behalf of </w:t>
            </w:r>
            <w:r w:rsidRPr="00FA1464">
              <w:rPr>
                <w:rFonts w:ascii="Arial" w:hAnsi="Arial" w:cs="Arial"/>
                <w:sz w:val="24"/>
                <w:szCs w:val="24"/>
                <w:highlight w:val="yellow"/>
              </w:rPr>
              <w:t>[</w:t>
            </w:r>
            <w:r w:rsidRPr="00FA1464">
              <w:rPr>
                <w:rFonts w:ascii="Arial" w:hAnsi="Arial" w:cs="Arial"/>
                <w:b/>
                <w:bCs/>
                <w:caps/>
                <w:sz w:val="24"/>
                <w:szCs w:val="24"/>
                <w:highlight w:val="yellow"/>
              </w:rPr>
              <w:t>name of SUPPLIER</w:t>
            </w:r>
            <w:r w:rsidRPr="00FA1464">
              <w:rPr>
                <w:rFonts w:ascii="Arial" w:hAnsi="Arial" w:cs="Arial"/>
                <w:sz w:val="24"/>
                <w:szCs w:val="24"/>
                <w:highlight w:val="yellow"/>
              </w:rPr>
              <w:t>]</w:t>
            </w:r>
            <w:r w:rsidRPr="00FA1464">
              <w:rPr>
                <w:rFonts w:ascii="Arial" w:hAnsi="Arial" w:cs="Arial"/>
                <w:sz w:val="24"/>
                <w:szCs w:val="24"/>
              </w:rPr>
              <w:t xml:space="preserve"> by </w:t>
            </w:r>
            <w:r w:rsidRPr="00FA1464">
              <w:rPr>
                <w:rFonts w:ascii="Arial" w:hAnsi="Arial" w:cs="Arial"/>
                <w:sz w:val="24"/>
                <w:szCs w:val="24"/>
                <w:highlight w:val="yellow"/>
              </w:rPr>
              <w:t>[a director][the secretary][an authorised</w:t>
            </w:r>
            <w:r w:rsidRPr="00FA1464">
              <w:rPr>
                <w:rFonts w:ascii="Arial" w:hAnsi="Arial" w:cs="Arial"/>
                <w:b/>
                <w:sz w:val="24"/>
                <w:szCs w:val="24"/>
                <w:highlight w:val="yellow"/>
              </w:rPr>
              <w:t xml:space="preserve"> </w:t>
            </w:r>
            <w:r w:rsidRPr="00FA1464">
              <w:rPr>
                <w:rFonts w:ascii="Arial" w:hAnsi="Arial" w:cs="Arial"/>
                <w:sz w:val="24"/>
                <w:szCs w:val="24"/>
                <w:highlight w:val="yellow"/>
              </w:rPr>
              <w:t>signatory]</w:t>
            </w:r>
            <w:r w:rsidRPr="00FA1464">
              <w:rPr>
                <w:rFonts w:ascii="Arial" w:hAnsi="Arial" w:cs="Arial"/>
                <w:sz w:val="24"/>
                <w:szCs w:val="24"/>
              </w:rPr>
              <w:t xml:space="preserve"> in the presence of a witness on the </w:t>
            </w:r>
            <w:r w:rsidRPr="00FA1464">
              <w:rPr>
                <w:rFonts w:ascii="Arial" w:hAnsi="Arial" w:cs="Arial"/>
                <w:sz w:val="24"/>
                <w:szCs w:val="24"/>
                <w:highlight w:val="yellow"/>
              </w:rPr>
              <w:t>[</w:t>
            </w:r>
            <w:r w:rsidRPr="00FA1464">
              <w:rPr>
                <w:rFonts w:ascii="Arial" w:hAnsi="Arial" w:cs="Arial"/>
                <w:b/>
                <w:sz w:val="24"/>
                <w:szCs w:val="24"/>
                <w:highlight w:val="yellow"/>
              </w:rPr>
              <w:t>DATE</w:t>
            </w:r>
            <w:r w:rsidRPr="00FA1464">
              <w:rPr>
                <w:rFonts w:ascii="Arial" w:hAnsi="Arial" w:cs="Arial"/>
                <w:sz w:val="24"/>
                <w:szCs w:val="24"/>
                <w:highlight w:val="yellow"/>
              </w:rPr>
              <w:t>]</w:t>
            </w:r>
            <w:r w:rsidRPr="00FA1464">
              <w:rPr>
                <w:rFonts w:ascii="Arial" w:hAnsi="Arial" w:cs="Arial"/>
                <w:sz w:val="24"/>
                <w:szCs w:val="24"/>
              </w:rPr>
              <w:t xml:space="preserve"> day of </w:t>
            </w:r>
            <w:r w:rsidRPr="00FA1464">
              <w:rPr>
                <w:rFonts w:ascii="Arial" w:hAnsi="Arial" w:cs="Arial"/>
                <w:sz w:val="24"/>
                <w:szCs w:val="24"/>
                <w:highlight w:val="yellow"/>
              </w:rPr>
              <w:t>[</w:t>
            </w:r>
            <w:r w:rsidRPr="00FA1464">
              <w:rPr>
                <w:rFonts w:ascii="Arial" w:hAnsi="Arial" w:cs="Arial"/>
                <w:b/>
                <w:sz w:val="24"/>
                <w:szCs w:val="24"/>
                <w:highlight w:val="yellow"/>
              </w:rPr>
              <w:t>MONTH</w:t>
            </w:r>
            <w:r w:rsidRPr="00FA1464">
              <w:rPr>
                <w:rFonts w:ascii="Arial" w:hAnsi="Arial" w:cs="Arial"/>
                <w:sz w:val="24"/>
                <w:szCs w:val="24"/>
                <w:highlight w:val="yellow"/>
              </w:rPr>
              <w:t>][</w:t>
            </w:r>
            <w:r w:rsidRPr="00FA1464">
              <w:rPr>
                <w:rFonts w:ascii="Arial" w:hAnsi="Arial" w:cs="Arial"/>
                <w:b/>
                <w:sz w:val="24"/>
                <w:szCs w:val="24"/>
                <w:highlight w:val="yellow"/>
              </w:rPr>
              <w:t>YEAR</w:t>
            </w:r>
            <w:r w:rsidRPr="00FA1464">
              <w:rPr>
                <w:rFonts w:ascii="Arial" w:hAnsi="Arial" w:cs="Arial"/>
                <w:sz w:val="24"/>
                <w:szCs w:val="24"/>
                <w:highlight w:val="yellow"/>
              </w:rPr>
              <w:t>]</w:t>
            </w:r>
            <w:r w:rsidRPr="00FA1464">
              <w:rPr>
                <w:rFonts w:ascii="Arial" w:hAnsi="Arial" w:cs="Arial"/>
                <w:sz w:val="24"/>
                <w:szCs w:val="24"/>
              </w:rPr>
              <w:t xml:space="preserve"> at </w:t>
            </w:r>
            <w:r w:rsidRPr="00FA1464">
              <w:rPr>
                <w:rFonts w:ascii="Arial" w:hAnsi="Arial" w:cs="Arial"/>
                <w:sz w:val="24"/>
                <w:szCs w:val="24"/>
                <w:highlight w:val="yellow"/>
              </w:rPr>
              <w:t>[</w:t>
            </w:r>
            <w:r w:rsidRPr="00FA1464">
              <w:rPr>
                <w:rFonts w:ascii="Arial" w:hAnsi="Arial" w:cs="Arial"/>
                <w:b/>
                <w:sz w:val="24"/>
                <w:szCs w:val="24"/>
                <w:highlight w:val="yellow"/>
              </w:rPr>
              <w:t>PLACE OF SUBSCRIPTION</w:t>
            </w:r>
            <w:r w:rsidRPr="00FA1464">
              <w:rPr>
                <w:rFonts w:ascii="Arial" w:hAnsi="Arial" w:cs="Arial"/>
                <w:sz w:val="24"/>
                <w:szCs w:val="24"/>
                <w:highlight w:val="yellow"/>
              </w:rPr>
              <w:t>]:</w:t>
            </w:r>
          </w:p>
        </w:tc>
        <w:tc>
          <w:tcPr>
            <w:tcW w:w="270" w:type="dxa"/>
          </w:tcPr>
          <w:p w14:paraId="26EE6CDE" w14:textId="77777777" w:rsidR="003C25EE" w:rsidRPr="00FA1464" w:rsidRDefault="003C25EE" w:rsidP="00963796">
            <w:pPr>
              <w:pStyle w:val="Executionclause"/>
              <w:keepNext/>
              <w:rPr>
                <w:rFonts w:ascii="Arial" w:hAnsi="Arial" w:cs="Arial"/>
                <w:sz w:val="24"/>
                <w:szCs w:val="24"/>
              </w:rPr>
            </w:pPr>
          </w:p>
        </w:tc>
        <w:tc>
          <w:tcPr>
            <w:tcW w:w="2340" w:type="dxa"/>
            <w:vAlign w:val="bottom"/>
          </w:tcPr>
          <w:p w14:paraId="23D34236" w14:textId="77777777" w:rsidR="003C25EE" w:rsidRPr="00FA1464" w:rsidRDefault="003C25EE" w:rsidP="00963796">
            <w:pPr>
              <w:pStyle w:val="Executionclause"/>
              <w:keepNext/>
              <w:jc w:val="right"/>
              <w:rPr>
                <w:rFonts w:ascii="Arial" w:hAnsi="Arial" w:cs="Arial"/>
                <w:sz w:val="24"/>
                <w:szCs w:val="24"/>
              </w:rPr>
            </w:pPr>
            <w:r w:rsidRPr="00FA1464">
              <w:rPr>
                <w:rFonts w:ascii="Arial" w:hAnsi="Arial" w:cs="Arial"/>
                <w:sz w:val="24"/>
                <w:szCs w:val="24"/>
              </w:rPr>
              <w:t>Signature</w:t>
            </w:r>
          </w:p>
        </w:tc>
        <w:tc>
          <w:tcPr>
            <w:tcW w:w="2538" w:type="dxa"/>
            <w:tcBorders>
              <w:top w:val="nil"/>
              <w:left w:val="nil"/>
              <w:bottom w:val="dashed" w:sz="4" w:space="0" w:color="auto"/>
              <w:right w:val="nil"/>
            </w:tcBorders>
          </w:tcPr>
          <w:p w14:paraId="7A9FE8FB" w14:textId="77777777" w:rsidR="003C25EE" w:rsidRPr="00FA1464" w:rsidRDefault="003C25EE" w:rsidP="00963796">
            <w:pPr>
              <w:pStyle w:val="Executionclause"/>
              <w:keepNext/>
              <w:rPr>
                <w:rFonts w:ascii="Arial" w:hAnsi="Arial" w:cs="Arial"/>
                <w:b/>
                <w:bCs/>
                <w:sz w:val="24"/>
                <w:szCs w:val="24"/>
              </w:rPr>
            </w:pPr>
          </w:p>
        </w:tc>
      </w:tr>
      <w:tr w:rsidR="003C25EE" w:rsidRPr="003B05DC" w14:paraId="4D7D28F1" w14:textId="77777777" w:rsidTr="00963796">
        <w:trPr>
          <w:cantSplit/>
        </w:trPr>
        <w:tc>
          <w:tcPr>
            <w:tcW w:w="4230" w:type="dxa"/>
            <w:gridSpan w:val="2"/>
          </w:tcPr>
          <w:p w14:paraId="6C71266B" w14:textId="77777777" w:rsidR="003C25EE" w:rsidRPr="00FA1464" w:rsidRDefault="003C25EE" w:rsidP="00963796">
            <w:pPr>
              <w:pStyle w:val="Executionclause"/>
              <w:keepNext/>
              <w:rPr>
                <w:rFonts w:ascii="Arial" w:hAnsi="Arial" w:cs="Arial"/>
                <w:sz w:val="24"/>
                <w:szCs w:val="24"/>
              </w:rPr>
            </w:pPr>
          </w:p>
        </w:tc>
        <w:tc>
          <w:tcPr>
            <w:tcW w:w="270" w:type="dxa"/>
          </w:tcPr>
          <w:p w14:paraId="4BDBC610" w14:textId="77777777" w:rsidR="003C25EE" w:rsidRPr="00FA1464" w:rsidRDefault="003C25EE" w:rsidP="00963796">
            <w:pPr>
              <w:pStyle w:val="Executionclause"/>
              <w:rPr>
                <w:rFonts w:ascii="Arial" w:hAnsi="Arial" w:cs="Arial"/>
                <w:sz w:val="24"/>
                <w:szCs w:val="24"/>
              </w:rPr>
            </w:pPr>
          </w:p>
        </w:tc>
        <w:tc>
          <w:tcPr>
            <w:tcW w:w="2340" w:type="dxa"/>
          </w:tcPr>
          <w:p w14:paraId="494A42EE" w14:textId="77777777" w:rsidR="003C25EE" w:rsidRPr="00FA1464" w:rsidRDefault="003C25EE" w:rsidP="00963796">
            <w:pPr>
              <w:pStyle w:val="Executionclause"/>
              <w:jc w:val="right"/>
              <w:rPr>
                <w:rFonts w:ascii="Arial" w:hAnsi="Arial" w:cs="Arial"/>
                <w:sz w:val="24"/>
                <w:szCs w:val="24"/>
              </w:rPr>
            </w:pPr>
          </w:p>
        </w:tc>
        <w:tc>
          <w:tcPr>
            <w:tcW w:w="2538" w:type="dxa"/>
            <w:tcBorders>
              <w:top w:val="dashed" w:sz="4" w:space="0" w:color="auto"/>
              <w:left w:val="nil"/>
              <w:right w:val="nil"/>
            </w:tcBorders>
          </w:tcPr>
          <w:p w14:paraId="40F68C9D" w14:textId="77777777" w:rsidR="003C25EE" w:rsidRPr="00FA1464" w:rsidRDefault="003C25EE" w:rsidP="00963796">
            <w:pPr>
              <w:pStyle w:val="Executionclause"/>
              <w:rPr>
                <w:rFonts w:ascii="Arial" w:hAnsi="Arial" w:cs="Arial"/>
                <w:b/>
                <w:bCs/>
                <w:sz w:val="24"/>
                <w:szCs w:val="24"/>
              </w:rPr>
            </w:pPr>
          </w:p>
        </w:tc>
      </w:tr>
      <w:tr w:rsidR="003C25EE" w:rsidRPr="003B05DC" w14:paraId="19004B58" w14:textId="77777777" w:rsidTr="00963796">
        <w:trPr>
          <w:cantSplit/>
        </w:trPr>
        <w:tc>
          <w:tcPr>
            <w:tcW w:w="4230" w:type="dxa"/>
            <w:gridSpan w:val="2"/>
          </w:tcPr>
          <w:p w14:paraId="55989172" w14:textId="77777777" w:rsidR="003C25EE" w:rsidRPr="00FA1464" w:rsidRDefault="003C25EE" w:rsidP="00963796">
            <w:pPr>
              <w:pStyle w:val="Executionclause"/>
              <w:keepNext/>
              <w:rPr>
                <w:rFonts w:ascii="Arial" w:hAnsi="Arial" w:cs="Arial"/>
                <w:sz w:val="24"/>
                <w:szCs w:val="24"/>
              </w:rPr>
            </w:pPr>
          </w:p>
        </w:tc>
        <w:tc>
          <w:tcPr>
            <w:tcW w:w="270" w:type="dxa"/>
          </w:tcPr>
          <w:p w14:paraId="5910B1D5" w14:textId="77777777" w:rsidR="003C25EE" w:rsidRPr="00FA1464" w:rsidRDefault="003C25EE" w:rsidP="00963796">
            <w:pPr>
              <w:pStyle w:val="Executionclause"/>
              <w:rPr>
                <w:rFonts w:ascii="Arial" w:hAnsi="Arial" w:cs="Arial"/>
                <w:sz w:val="24"/>
                <w:szCs w:val="24"/>
              </w:rPr>
            </w:pPr>
          </w:p>
        </w:tc>
        <w:tc>
          <w:tcPr>
            <w:tcW w:w="2340" w:type="dxa"/>
          </w:tcPr>
          <w:p w14:paraId="70831609" w14:textId="77777777" w:rsidR="003C25EE" w:rsidRPr="00FA1464" w:rsidRDefault="003C25EE" w:rsidP="00963796">
            <w:pPr>
              <w:pStyle w:val="Executionclause"/>
              <w:spacing w:before="40"/>
              <w:jc w:val="right"/>
              <w:rPr>
                <w:rFonts w:ascii="Arial" w:hAnsi="Arial" w:cs="Arial"/>
                <w:sz w:val="24"/>
                <w:szCs w:val="24"/>
              </w:rPr>
            </w:pPr>
            <w:r w:rsidRPr="00FA1464">
              <w:rPr>
                <w:rFonts w:ascii="Arial" w:hAnsi="Arial" w:cs="Arial"/>
                <w:sz w:val="24"/>
                <w:szCs w:val="24"/>
              </w:rPr>
              <w:t>Name (block capitals)</w:t>
            </w:r>
          </w:p>
        </w:tc>
        <w:tc>
          <w:tcPr>
            <w:tcW w:w="2538" w:type="dxa"/>
            <w:tcBorders>
              <w:left w:val="nil"/>
              <w:bottom w:val="dashed" w:sz="4" w:space="0" w:color="auto"/>
              <w:right w:val="nil"/>
            </w:tcBorders>
          </w:tcPr>
          <w:p w14:paraId="6FF1596B" w14:textId="77777777" w:rsidR="003C25EE" w:rsidRPr="00FA1464" w:rsidRDefault="003C25EE" w:rsidP="00963796">
            <w:pPr>
              <w:pStyle w:val="Executionclause"/>
              <w:rPr>
                <w:rFonts w:ascii="Arial" w:hAnsi="Arial" w:cs="Arial"/>
                <w:b/>
                <w:bCs/>
                <w:sz w:val="24"/>
                <w:szCs w:val="24"/>
              </w:rPr>
            </w:pPr>
          </w:p>
        </w:tc>
      </w:tr>
      <w:tr w:rsidR="003C25EE" w:rsidRPr="003B05DC" w14:paraId="5E76815A" w14:textId="77777777" w:rsidTr="00963796">
        <w:trPr>
          <w:cantSplit/>
        </w:trPr>
        <w:tc>
          <w:tcPr>
            <w:tcW w:w="4230" w:type="dxa"/>
            <w:gridSpan w:val="2"/>
          </w:tcPr>
          <w:p w14:paraId="3B5730FB" w14:textId="77777777" w:rsidR="003C25EE" w:rsidRPr="00FA1464" w:rsidRDefault="003C25EE" w:rsidP="00963796">
            <w:pPr>
              <w:pStyle w:val="Executionclause"/>
              <w:keepNext/>
              <w:rPr>
                <w:rFonts w:ascii="Arial" w:hAnsi="Arial" w:cs="Arial"/>
                <w:sz w:val="24"/>
                <w:szCs w:val="24"/>
              </w:rPr>
            </w:pPr>
          </w:p>
        </w:tc>
        <w:tc>
          <w:tcPr>
            <w:tcW w:w="270" w:type="dxa"/>
          </w:tcPr>
          <w:p w14:paraId="1AFEE800" w14:textId="77777777" w:rsidR="003C25EE" w:rsidRPr="00FA1464" w:rsidRDefault="003C25EE" w:rsidP="00963796">
            <w:pPr>
              <w:pStyle w:val="Executionclause"/>
              <w:rPr>
                <w:rFonts w:ascii="Arial" w:hAnsi="Arial" w:cs="Arial"/>
                <w:sz w:val="24"/>
                <w:szCs w:val="24"/>
              </w:rPr>
            </w:pPr>
          </w:p>
        </w:tc>
        <w:tc>
          <w:tcPr>
            <w:tcW w:w="2340" w:type="dxa"/>
          </w:tcPr>
          <w:p w14:paraId="4017012C" w14:textId="77777777" w:rsidR="003C25EE" w:rsidRPr="00FA1464" w:rsidRDefault="003C25EE" w:rsidP="00963796">
            <w:pPr>
              <w:pStyle w:val="Executionclause"/>
              <w:rPr>
                <w:rFonts w:ascii="Arial" w:hAnsi="Arial" w:cs="Arial"/>
                <w:sz w:val="24"/>
                <w:szCs w:val="24"/>
              </w:rPr>
            </w:pPr>
          </w:p>
        </w:tc>
        <w:tc>
          <w:tcPr>
            <w:tcW w:w="2538" w:type="dxa"/>
            <w:tcBorders>
              <w:top w:val="dashed" w:sz="4" w:space="0" w:color="auto"/>
              <w:left w:val="nil"/>
              <w:right w:val="nil"/>
            </w:tcBorders>
          </w:tcPr>
          <w:p w14:paraId="4D94BF2A" w14:textId="77777777" w:rsidR="003C25EE" w:rsidRPr="00FA1464" w:rsidRDefault="003C25EE" w:rsidP="00963796">
            <w:pPr>
              <w:pStyle w:val="Executionclause"/>
              <w:spacing w:before="40"/>
              <w:rPr>
                <w:rFonts w:ascii="Arial" w:hAnsi="Arial" w:cs="Arial"/>
                <w:bCs/>
                <w:sz w:val="24"/>
                <w:szCs w:val="24"/>
                <w:highlight w:val="yellow"/>
              </w:rPr>
            </w:pPr>
            <w:r w:rsidRPr="00FA1464">
              <w:rPr>
                <w:rFonts w:ascii="Arial" w:hAnsi="Arial" w:cs="Arial"/>
                <w:bCs/>
                <w:sz w:val="24"/>
                <w:szCs w:val="24"/>
                <w:highlight w:val="yellow"/>
              </w:rPr>
              <w:t>[</w:t>
            </w:r>
            <w:r w:rsidRPr="00FA1464">
              <w:rPr>
                <w:rFonts w:ascii="Arial" w:hAnsi="Arial" w:cs="Arial"/>
                <w:b/>
                <w:bCs/>
                <w:sz w:val="24"/>
                <w:szCs w:val="24"/>
                <w:highlight w:val="yellow"/>
              </w:rPr>
              <w:t>Director</w:t>
            </w:r>
            <w:r w:rsidRPr="00FA1464">
              <w:rPr>
                <w:rFonts w:ascii="Arial" w:hAnsi="Arial" w:cs="Arial"/>
                <w:sz w:val="24"/>
                <w:szCs w:val="24"/>
                <w:highlight w:val="yellow"/>
              </w:rPr>
              <w:t>][</w:t>
            </w:r>
            <w:r w:rsidRPr="00FA1464">
              <w:rPr>
                <w:rFonts w:ascii="Arial" w:hAnsi="Arial" w:cs="Arial"/>
                <w:b/>
                <w:sz w:val="24"/>
                <w:szCs w:val="24"/>
                <w:highlight w:val="yellow"/>
              </w:rPr>
              <w:t>Secretary</w:t>
            </w:r>
            <w:r w:rsidRPr="00FA1464">
              <w:rPr>
                <w:rFonts w:ascii="Arial" w:hAnsi="Arial" w:cs="Arial"/>
                <w:sz w:val="24"/>
                <w:szCs w:val="24"/>
                <w:highlight w:val="yellow"/>
              </w:rPr>
              <w:t>]</w:t>
            </w:r>
            <w:r w:rsidRPr="00FA1464">
              <w:rPr>
                <w:rFonts w:ascii="Arial" w:hAnsi="Arial" w:cs="Arial"/>
                <w:sz w:val="24"/>
                <w:szCs w:val="24"/>
                <w:highlight w:val="yellow"/>
              </w:rPr>
              <w:br/>
              <w:t>[</w:t>
            </w:r>
            <w:r w:rsidRPr="00FA1464">
              <w:rPr>
                <w:rFonts w:ascii="Arial" w:hAnsi="Arial" w:cs="Arial"/>
                <w:b/>
                <w:sz w:val="24"/>
                <w:szCs w:val="24"/>
                <w:highlight w:val="yellow"/>
              </w:rPr>
              <w:t>Authorised Signatory</w:t>
            </w:r>
            <w:r w:rsidRPr="00FA1464">
              <w:rPr>
                <w:rFonts w:ascii="Arial" w:hAnsi="Arial" w:cs="Arial"/>
                <w:sz w:val="24"/>
                <w:szCs w:val="24"/>
                <w:highlight w:val="yellow"/>
              </w:rPr>
              <w:t>]</w:t>
            </w:r>
          </w:p>
        </w:tc>
      </w:tr>
      <w:tr w:rsidR="003C25EE" w:rsidRPr="003B05DC" w14:paraId="02EFD9E8" w14:textId="77777777" w:rsidTr="00963796">
        <w:trPr>
          <w:cantSplit/>
        </w:trPr>
        <w:tc>
          <w:tcPr>
            <w:tcW w:w="2070" w:type="dxa"/>
          </w:tcPr>
          <w:p w14:paraId="034D4466" w14:textId="77777777" w:rsidR="003C25EE" w:rsidRPr="00FA1464" w:rsidRDefault="003C25EE" w:rsidP="00963796">
            <w:pPr>
              <w:pStyle w:val="Executionclause"/>
              <w:keepNext/>
              <w:spacing w:before="40"/>
              <w:rPr>
                <w:rFonts w:ascii="Arial" w:hAnsi="Arial" w:cs="Arial"/>
                <w:sz w:val="24"/>
                <w:szCs w:val="24"/>
              </w:rPr>
            </w:pPr>
            <w:r w:rsidRPr="00FA1464">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4645A358" w14:textId="77777777" w:rsidR="003C25EE" w:rsidRPr="00FA1464" w:rsidRDefault="003C25EE" w:rsidP="00963796">
            <w:pPr>
              <w:pStyle w:val="Executionclause"/>
              <w:rPr>
                <w:rFonts w:ascii="Arial" w:hAnsi="Arial" w:cs="Arial"/>
                <w:sz w:val="24"/>
                <w:szCs w:val="24"/>
              </w:rPr>
            </w:pPr>
          </w:p>
        </w:tc>
        <w:tc>
          <w:tcPr>
            <w:tcW w:w="4878" w:type="dxa"/>
            <w:gridSpan w:val="2"/>
          </w:tcPr>
          <w:p w14:paraId="789839D7" w14:textId="77777777" w:rsidR="003C25EE" w:rsidRPr="00FA1464" w:rsidRDefault="003C25EE" w:rsidP="00963796">
            <w:pPr>
              <w:pStyle w:val="Executionclause"/>
              <w:rPr>
                <w:rFonts w:ascii="Arial" w:hAnsi="Arial" w:cs="Arial"/>
                <w:sz w:val="24"/>
                <w:szCs w:val="24"/>
              </w:rPr>
            </w:pPr>
          </w:p>
        </w:tc>
      </w:tr>
      <w:tr w:rsidR="003C25EE" w:rsidRPr="003B05DC" w14:paraId="16C868ED" w14:textId="77777777" w:rsidTr="00963796">
        <w:trPr>
          <w:cantSplit/>
        </w:trPr>
        <w:tc>
          <w:tcPr>
            <w:tcW w:w="2070" w:type="dxa"/>
          </w:tcPr>
          <w:p w14:paraId="468742DE" w14:textId="77777777" w:rsidR="003C25EE" w:rsidRPr="00FA1464" w:rsidRDefault="003C25EE" w:rsidP="00963796">
            <w:pPr>
              <w:pStyle w:val="Executionclause"/>
              <w:keepNext/>
              <w:spacing w:before="40"/>
              <w:jc w:val="right"/>
              <w:rPr>
                <w:rFonts w:ascii="Arial" w:hAnsi="Arial" w:cs="Arial"/>
                <w:sz w:val="24"/>
                <w:szCs w:val="24"/>
              </w:rPr>
            </w:pPr>
          </w:p>
        </w:tc>
        <w:tc>
          <w:tcPr>
            <w:tcW w:w="2430" w:type="dxa"/>
            <w:gridSpan w:val="2"/>
          </w:tcPr>
          <w:p w14:paraId="4E1D1139" w14:textId="77777777" w:rsidR="003C25EE" w:rsidRPr="00FA1464" w:rsidRDefault="003C25EE" w:rsidP="00963796">
            <w:pPr>
              <w:pStyle w:val="Executionclause"/>
              <w:rPr>
                <w:rFonts w:ascii="Arial" w:hAnsi="Arial" w:cs="Arial"/>
                <w:sz w:val="24"/>
                <w:szCs w:val="24"/>
              </w:rPr>
            </w:pPr>
          </w:p>
        </w:tc>
        <w:tc>
          <w:tcPr>
            <w:tcW w:w="4878" w:type="dxa"/>
            <w:gridSpan w:val="2"/>
          </w:tcPr>
          <w:p w14:paraId="4C2A88A1" w14:textId="77777777" w:rsidR="003C25EE" w:rsidRPr="00FA1464" w:rsidRDefault="003C25EE" w:rsidP="00963796">
            <w:pPr>
              <w:pStyle w:val="Executionclause"/>
              <w:rPr>
                <w:rFonts w:ascii="Arial" w:hAnsi="Arial" w:cs="Arial"/>
                <w:sz w:val="24"/>
                <w:szCs w:val="24"/>
              </w:rPr>
            </w:pPr>
          </w:p>
        </w:tc>
      </w:tr>
      <w:tr w:rsidR="003C25EE" w:rsidRPr="003B05DC" w14:paraId="754669BF" w14:textId="77777777" w:rsidTr="00963796">
        <w:trPr>
          <w:cantSplit/>
        </w:trPr>
        <w:tc>
          <w:tcPr>
            <w:tcW w:w="2070" w:type="dxa"/>
          </w:tcPr>
          <w:p w14:paraId="216DF6CF" w14:textId="77777777" w:rsidR="003C25EE" w:rsidRPr="00FA1464" w:rsidRDefault="003C25EE" w:rsidP="00963796">
            <w:pPr>
              <w:pStyle w:val="Executionclause"/>
              <w:keepNext/>
              <w:spacing w:before="40"/>
              <w:rPr>
                <w:rFonts w:ascii="Arial" w:hAnsi="Arial" w:cs="Arial"/>
                <w:sz w:val="24"/>
                <w:szCs w:val="24"/>
              </w:rPr>
            </w:pPr>
            <w:r w:rsidRPr="00FA1464">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12A22B35" w14:textId="77777777" w:rsidR="003C25EE" w:rsidRPr="00FA1464" w:rsidRDefault="003C25EE" w:rsidP="00963796">
            <w:pPr>
              <w:pStyle w:val="Executionclause"/>
              <w:rPr>
                <w:rFonts w:ascii="Arial" w:hAnsi="Arial" w:cs="Arial"/>
                <w:sz w:val="24"/>
                <w:szCs w:val="24"/>
              </w:rPr>
            </w:pPr>
          </w:p>
        </w:tc>
        <w:tc>
          <w:tcPr>
            <w:tcW w:w="4878" w:type="dxa"/>
            <w:gridSpan w:val="2"/>
          </w:tcPr>
          <w:p w14:paraId="72605915" w14:textId="77777777" w:rsidR="003C25EE" w:rsidRPr="00FA1464" w:rsidRDefault="003C25EE" w:rsidP="00963796">
            <w:pPr>
              <w:pStyle w:val="Executionclause"/>
              <w:rPr>
                <w:rFonts w:ascii="Arial" w:hAnsi="Arial" w:cs="Arial"/>
                <w:sz w:val="24"/>
                <w:szCs w:val="24"/>
              </w:rPr>
            </w:pPr>
          </w:p>
        </w:tc>
      </w:tr>
      <w:tr w:rsidR="003C25EE" w:rsidRPr="003B05DC" w14:paraId="01BD338F" w14:textId="77777777" w:rsidTr="00963796">
        <w:trPr>
          <w:cantSplit/>
        </w:trPr>
        <w:tc>
          <w:tcPr>
            <w:tcW w:w="2070" w:type="dxa"/>
          </w:tcPr>
          <w:p w14:paraId="2953AC9D" w14:textId="77777777" w:rsidR="003C25EE" w:rsidRPr="00FA1464" w:rsidRDefault="003C25EE" w:rsidP="00963796">
            <w:pPr>
              <w:pStyle w:val="Executionclause"/>
              <w:keepNext/>
              <w:rPr>
                <w:rFonts w:ascii="Arial" w:hAnsi="Arial" w:cs="Arial"/>
                <w:sz w:val="24"/>
                <w:szCs w:val="24"/>
              </w:rPr>
            </w:pPr>
            <w:r w:rsidRPr="00FA1464">
              <w:rPr>
                <w:rFonts w:ascii="Arial" w:hAnsi="Arial" w:cs="Arial"/>
                <w:sz w:val="24"/>
                <w:szCs w:val="24"/>
              </w:rPr>
              <w:t>(block capitals)</w:t>
            </w:r>
          </w:p>
        </w:tc>
        <w:tc>
          <w:tcPr>
            <w:tcW w:w="2430" w:type="dxa"/>
            <w:gridSpan w:val="2"/>
            <w:tcBorders>
              <w:top w:val="dashed" w:sz="4" w:space="0" w:color="auto"/>
              <w:left w:val="nil"/>
              <w:bottom w:val="nil"/>
              <w:right w:val="nil"/>
            </w:tcBorders>
          </w:tcPr>
          <w:p w14:paraId="0A11CFFD" w14:textId="77777777" w:rsidR="003C25EE" w:rsidRPr="00FA1464" w:rsidRDefault="003C25EE" w:rsidP="00963796">
            <w:pPr>
              <w:pStyle w:val="Executionclause"/>
              <w:rPr>
                <w:rFonts w:ascii="Arial" w:hAnsi="Arial" w:cs="Arial"/>
                <w:sz w:val="24"/>
                <w:szCs w:val="24"/>
              </w:rPr>
            </w:pPr>
          </w:p>
        </w:tc>
        <w:tc>
          <w:tcPr>
            <w:tcW w:w="4878" w:type="dxa"/>
            <w:gridSpan w:val="2"/>
          </w:tcPr>
          <w:p w14:paraId="6864E54A" w14:textId="77777777" w:rsidR="003C25EE" w:rsidRPr="00FA1464" w:rsidRDefault="003C25EE" w:rsidP="00963796">
            <w:pPr>
              <w:pStyle w:val="Executionclause"/>
              <w:rPr>
                <w:rFonts w:ascii="Arial" w:hAnsi="Arial" w:cs="Arial"/>
                <w:sz w:val="24"/>
                <w:szCs w:val="24"/>
              </w:rPr>
            </w:pPr>
          </w:p>
        </w:tc>
      </w:tr>
      <w:tr w:rsidR="003C25EE" w:rsidRPr="003B05DC" w14:paraId="3CE8F7DA" w14:textId="77777777" w:rsidTr="00963796">
        <w:trPr>
          <w:cantSplit/>
        </w:trPr>
        <w:tc>
          <w:tcPr>
            <w:tcW w:w="2070" w:type="dxa"/>
          </w:tcPr>
          <w:p w14:paraId="526FA919" w14:textId="77777777" w:rsidR="003C25EE" w:rsidRPr="00FA1464" w:rsidRDefault="003C25EE" w:rsidP="00963796">
            <w:pPr>
              <w:pStyle w:val="Executionclause"/>
              <w:keepNext/>
              <w:spacing w:before="40"/>
              <w:jc w:val="right"/>
              <w:rPr>
                <w:rFonts w:ascii="Arial" w:hAnsi="Arial" w:cs="Arial"/>
                <w:sz w:val="24"/>
                <w:szCs w:val="24"/>
              </w:rPr>
            </w:pPr>
          </w:p>
        </w:tc>
        <w:tc>
          <w:tcPr>
            <w:tcW w:w="2430" w:type="dxa"/>
            <w:gridSpan w:val="2"/>
          </w:tcPr>
          <w:p w14:paraId="20B70E1C" w14:textId="77777777" w:rsidR="003C25EE" w:rsidRPr="00FA1464" w:rsidRDefault="003C25EE" w:rsidP="00963796">
            <w:pPr>
              <w:pStyle w:val="Executionclause"/>
              <w:rPr>
                <w:rFonts w:ascii="Arial" w:hAnsi="Arial" w:cs="Arial"/>
                <w:sz w:val="24"/>
                <w:szCs w:val="24"/>
              </w:rPr>
            </w:pPr>
          </w:p>
        </w:tc>
        <w:tc>
          <w:tcPr>
            <w:tcW w:w="4878" w:type="dxa"/>
            <w:gridSpan w:val="2"/>
          </w:tcPr>
          <w:p w14:paraId="29A5137A" w14:textId="77777777" w:rsidR="003C25EE" w:rsidRPr="00FA1464" w:rsidRDefault="003C25EE" w:rsidP="00963796">
            <w:pPr>
              <w:pStyle w:val="Executionclause"/>
              <w:rPr>
                <w:rFonts w:ascii="Arial" w:hAnsi="Arial" w:cs="Arial"/>
                <w:sz w:val="24"/>
                <w:szCs w:val="24"/>
              </w:rPr>
            </w:pPr>
          </w:p>
        </w:tc>
      </w:tr>
      <w:tr w:rsidR="003C25EE" w:rsidRPr="003B05DC" w14:paraId="33C1F1EF" w14:textId="77777777" w:rsidTr="00963796">
        <w:trPr>
          <w:cantSplit/>
        </w:trPr>
        <w:tc>
          <w:tcPr>
            <w:tcW w:w="2070" w:type="dxa"/>
          </w:tcPr>
          <w:p w14:paraId="50793971" w14:textId="77777777" w:rsidR="003C25EE" w:rsidRPr="00FA1464" w:rsidRDefault="003C25EE" w:rsidP="00963796">
            <w:pPr>
              <w:pStyle w:val="Executionclause"/>
              <w:keepNext/>
              <w:spacing w:before="40"/>
              <w:rPr>
                <w:rFonts w:ascii="Arial" w:hAnsi="Arial" w:cs="Arial"/>
                <w:sz w:val="24"/>
                <w:szCs w:val="24"/>
              </w:rPr>
            </w:pPr>
            <w:r w:rsidRPr="00FA1464">
              <w:rPr>
                <w:rFonts w:ascii="Arial" w:hAnsi="Arial" w:cs="Arial"/>
                <w:sz w:val="24"/>
                <w:szCs w:val="24"/>
              </w:rPr>
              <w:t>Witness address</w:t>
            </w:r>
          </w:p>
        </w:tc>
        <w:tc>
          <w:tcPr>
            <w:tcW w:w="2430" w:type="dxa"/>
            <w:gridSpan w:val="2"/>
            <w:tcBorders>
              <w:top w:val="nil"/>
              <w:left w:val="nil"/>
              <w:bottom w:val="dashed" w:sz="4" w:space="0" w:color="auto"/>
              <w:right w:val="nil"/>
            </w:tcBorders>
          </w:tcPr>
          <w:p w14:paraId="559D7652" w14:textId="77777777" w:rsidR="003C25EE" w:rsidRPr="00FA1464" w:rsidRDefault="003C25EE" w:rsidP="00963796">
            <w:pPr>
              <w:pStyle w:val="Executionclause"/>
              <w:rPr>
                <w:rFonts w:ascii="Arial" w:hAnsi="Arial" w:cs="Arial"/>
                <w:sz w:val="24"/>
                <w:szCs w:val="24"/>
              </w:rPr>
            </w:pPr>
          </w:p>
        </w:tc>
        <w:tc>
          <w:tcPr>
            <w:tcW w:w="4878" w:type="dxa"/>
            <w:gridSpan w:val="2"/>
          </w:tcPr>
          <w:p w14:paraId="14D11291" w14:textId="77777777" w:rsidR="003C25EE" w:rsidRPr="00FA1464" w:rsidRDefault="003C25EE" w:rsidP="00963796">
            <w:pPr>
              <w:pStyle w:val="Executionclause"/>
              <w:rPr>
                <w:rFonts w:ascii="Arial" w:hAnsi="Arial" w:cs="Arial"/>
                <w:sz w:val="24"/>
                <w:szCs w:val="24"/>
              </w:rPr>
            </w:pPr>
          </w:p>
        </w:tc>
      </w:tr>
      <w:tr w:rsidR="003C25EE" w:rsidRPr="003B05DC" w14:paraId="06C1C3EA" w14:textId="77777777" w:rsidTr="00963796">
        <w:trPr>
          <w:cantSplit/>
        </w:trPr>
        <w:tc>
          <w:tcPr>
            <w:tcW w:w="2070" w:type="dxa"/>
          </w:tcPr>
          <w:p w14:paraId="326B2C93" w14:textId="77777777" w:rsidR="003C25EE" w:rsidRPr="00FA1464" w:rsidRDefault="003C25EE" w:rsidP="00963796">
            <w:pPr>
              <w:pStyle w:val="Executionclause"/>
              <w:keepNext/>
              <w:spacing w:before="40"/>
              <w:jc w:val="right"/>
              <w:rPr>
                <w:rFonts w:ascii="Arial" w:hAnsi="Arial" w:cs="Arial"/>
                <w:sz w:val="24"/>
                <w:szCs w:val="24"/>
              </w:rPr>
            </w:pPr>
          </w:p>
        </w:tc>
        <w:tc>
          <w:tcPr>
            <w:tcW w:w="2430" w:type="dxa"/>
            <w:gridSpan w:val="2"/>
          </w:tcPr>
          <w:p w14:paraId="5499D992" w14:textId="77777777" w:rsidR="003C25EE" w:rsidRPr="00FA1464" w:rsidRDefault="003C25EE" w:rsidP="00963796">
            <w:pPr>
              <w:pStyle w:val="Executionclause"/>
              <w:rPr>
                <w:rFonts w:ascii="Arial" w:hAnsi="Arial" w:cs="Arial"/>
                <w:sz w:val="24"/>
                <w:szCs w:val="24"/>
              </w:rPr>
            </w:pPr>
          </w:p>
        </w:tc>
        <w:tc>
          <w:tcPr>
            <w:tcW w:w="4878" w:type="dxa"/>
            <w:gridSpan w:val="2"/>
          </w:tcPr>
          <w:p w14:paraId="2D3C8B89" w14:textId="77777777" w:rsidR="003C25EE" w:rsidRPr="00FA1464" w:rsidRDefault="003C25EE" w:rsidP="00963796">
            <w:pPr>
              <w:pStyle w:val="Executionclause"/>
              <w:rPr>
                <w:rFonts w:ascii="Arial" w:hAnsi="Arial" w:cs="Arial"/>
                <w:sz w:val="24"/>
                <w:szCs w:val="24"/>
              </w:rPr>
            </w:pPr>
          </w:p>
        </w:tc>
      </w:tr>
      <w:tr w:rsidR="003C25EE" w:rsidRPr="003B05DC" w14:paraId="3CD93BCF" w14:textId="77777777" w:rsidTr="00963796">
        <w:trPr>
          <w:cantSplit/>
        </w:trPr>
        <w:tc>
          <w:tcPr>
            <w:tcW w:w="2070" w:type="dxa"/>
          </w:tcPr>
          <w:p w14:paraId="5285A3E0" w14:textId="77777777" w:rsidR="003C25EE" w:rsidRPr="00FA1464" w:rsidRDefault="003C25EE" w:rsidP="00963796">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6BECA73B" w14:textId="77777777" w:rsidR="003C25EE" w:rsidRPr="00FA1464" w:rsidRDefault="003C25EE" w:rsidP="00963796">
            <w:pPr>
              <w:pStyle w:val="Executionclause"/>
              <w:rPr>
                <w:rFonts w:ascii="Arial" w:hAnsi="Arial" w:cs="Arial"/>
                <w:sz w:val="24"/>
                <w:szCs w:val="24"/>
              </w:rPr>
            </w:pPr>
          </w:p>
        </w:tc>
        <w:tc>
          <w:tcPr>
            <w:tcW w:w="4878" w:type="dxa"/>
            <w:gridSpan w:val="2"/>
          </w:tcPr>
          <w:p w14:paraId="70D880FC" w14:textId="77777777" w:rsidR="003C25EE" w:rsidRPr="00FA1464" w:rsidRDefault="003C25EE" w:rsidP="00963796">
            <w:pPr>
              <w:pStyle w:val="Executionclause"/>
              <w:rPr>
                <w:rFonts w:ascii="Arial" w:hAnsi="Arial" w:cs="Arial"/>
                <w:sz w:val="24"/>
                <w:szCs w:val="24"/>
              </w:rPr>
            </w:pPr>
          </w:p>
        </w:tc>
      </w:tr>
      <w:tr w:rsidR="003C25EE" w:rsidRPr="003B05DC" w14:paraId="54AA0189" w14:textId="77777777" w:rsidTr="00963796">
        <w:trPr>
          <w:cantSplit/>
        </w:trPr>
        <w:tc>
          <w:tcPr>
            <w:tcW w:w="2070" w:type="dxa"/>
          </w:tcPr>
          <w:p w14:paraId="74D83C34" w14:textId="77777777" w:rsidR="003C25EE" w:rsidRPr="00FA1464" w:rsidRDefault="003C25EE" w:rsidP="00963796">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268A8616" w14:textId="77777777" w:rsidR="003C25EE" w:rsidRPr="00FA1464" w:rsidRDefault="003C25EE" w:rsidP="00963796">
            <w:pPr>
              <w:pStyle w:val="Executionclause"/>
              <w:rPr>
                <w:rFonts w:ascii="Arial" w:hAnsi="Arial" w:cs="Arial"/>
                <w:sz w:val="24"/>
                <w:szCs w:val="24"/>
              </w:rPr>
            </w:pPr>
          </w:p>
        </w:tc>
        <w:tc>
          <w:tcPr>
            <w:tcW w:w="4878" w:type="dxa"/>
            <w:gridSpan w:val="2"/>
          </w:tcPr>
          <w:p w14:paraId="2B46C2C0" w14:textId="77777777" w:rsidR="003C25EE" w:rsidRPr="00FA1464" w:rsidRDefault="003C25EE" w:rsidP="00963796">
            <w:pPr>
              <w:pStyle w:val="Executionclause"/>
              <w:rPr>
                <w:rFonts w:ascii="Arial" w:hAnsi="Arial" w:cs="Arial"/>
                <w:sz w:val="24"/>
                <w:szCs w:val="24"/>
              </w:rPr>
            </w:pPr>
          </w:p>
        </w:tc>
      </w:tr>
      <w:tr w:rsidR="003C25EE" w:rsidRPr="003B05DC" w14:paraId="0630E688" w14:textId="77777777" w:rsidTr="00963796">
        <w:trPr>
          <w:cantSplit/>
        </w:trPr>
        <w:tc>
          <w:tcPr>
            <w:tcW w:w="2070" w:type="dxa"/>
          </w:tcPr>
          <w:p w14:paraId="1909D10B" w14:textId="77777777" w:rsidR="003C25EE" w:rsidRPr="00FA1464" w:rsidRDefault="003C25EE" w:rsidP="00963796">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28A55888" w14:textId="77777777" w:rsidR="003C25EE" w:rsidRPr="00FA1464" w:rsidRDefault="003C25EE" w:rsidP="00963796">
            <w:pPr>
              <w:pStyle w:val="Executionclause"/>
              <w:rPr>
                <w:rFonts w:ascii="Arial" w:hAnsi="Arial" w:cs="Arial"/>
                <w:sz w:val="24"/>
                <w:szCs w:val="24"/>
              </w:rPr>
            </w:pPr>
          </w:p>
        </w:tc>
        <w:tc>
          <w:tcPr>
            <w:tcW w:w="4878" w:type="dxa"/>
            <w:gridSpan w:val="2"/>
          </w:tcPr>
          <w:p w14:paraId="6A422276" w14:textId="77777777" w:rsidR="003C25EE" w:rsidRPr="00FA1464" w:rsidRDefault="003C25EE" w:rsidP="00963796">
            <w:pPr>
              <w:pStyle w:val="Executionclause"/>
              <w:rPr>
                <w:rFonts w:ascii="Arial" w:hAnsi="Arial" w:cs="Arial"/>
                <w:sz w:val="24"/>
                <w:szCs w:val="24"/>
              </w:rPr>
            </w:pPr>
          </w:p>
        </w:tc>
      </w:tr>
    </w:tbl>
    <w:p w14:paraId="42448C38" w14:textId="77777777" w:rsidR="00A61E0D" w:rsidRDefault="00A61E0D" w:rsidP="00A61E0D"/>
    <w:p w14:paraId="077575B1" w14:textId="77777777" w:rsidR="002D3344" w:rsidRDefault="002D3344" w:rsidP="002D3344"/>
    <w:p w14:paraId="4CBA6130" w14:textId="77777777" w:rsidR="002D3344" w:rsidRDefault="002D3344" w:rsidP="002D3344">
      <w:pPr>
        <w:tabs>
          <w:tab w:val="left" w:pos="1674"/>
        </w:tabs>
      </w:pPr>
      <w:r>
        <w:tab/>
      </w:r>
    </w:p>
    <w:tbl>
      <w:tblPr>
        <w:tblW w:w="9378" w:type="dxa"/>
        <w:tblLayout w:type="fixed"/>
        <w:tblLook w:val="0000" w:firstRow="0" w:lastRow="0" w:firstColumn="0" w:lastColumn="0" w:noHBand="0" w:noVBand="0"/>
      </w:tblPr>
      <w:tblGrid>
        <w:gridCol w:w="2070"/>
        <w:gridCol w:w="2160"/>
        <w:gridCol w:w="270"/>
        <w:gridCol w:w="2340"/>
        <w:gridCol w:w="2538"/>
      </w:tblGrid>
      <w:tr w:rsidR="002D3344" w:rsidRPr="003B05DC" w14:paraId="63C8856B" w14:textId="77777777" w:rsidTr="00963796">
        <w:trPr>
          <w:cantSplit/>
        </w:trPr>
        <w:tc>
          <w:tcPr>
            <w:tcW w:w="4230" w:type="dxa"/>
            <w:gridSpan w:val="2"/>
          </w:tcPr>
          <w:p w14:paraId="252F5F95" w14:textId="77777777" w:rsidR="002D3344" w:rsidRPr="00FA1464" w:rsidRDefault="002D3344" w:rsidP="00963796">
            <w:pPr>
              <w:pStyle w:val="Executionclause"/>
              <w:keepNext/>
              <w:rPr>
                <w:rFonts w:ascii="Arial" w:hAnsi="Arial" w:cs="Arial"/>
                <w:sz w:val="24"/>
                <w:szCs w:val="24"/>
              </w:rPr>
            </w:pPr>
            <w:r w:rsidRPr="00FA1464">
              <w:rPr>
                <w:rFonts w:ascii="Arial" w:hAnsi="Arial" w:cs="Arial"/>
                <w:b/>
                <w:sz w:val="24"/>
                <w:szCs w:val="24"/>
              </w:rPr>
              <w:lastRenderedPageBreak/>
              <w:t xml:space="preserve">SUBSCRIBED </w:t>
            </w:r>
            <w:r w:rsidRPr="00FA1464">
              <w:rPr>
                <w:rFonts w:ascii="Arial" w:hAnsi="Arial" w:cs="Arial"/>
                <w:sz w:val="24"/>
                <w:szCs w:val="24"/>
              </w:rPr>
              <w:t xml:space="preserve">for and on behalf of </w:t>
            </w:r>
            <w:r w:rsidRPr="00FA1464">
              <w:rPr>
                <w:rFonts w:ascii="Arial" w:hAnsi="Arial" w:cs="Arial"/>
                <w:sz w:val="24"/>
                <w:szCs w:val="24"/>
                <w:highlight w:val="yellow"/>
              </w:rPr>
              <w:t>[</w:t>
            </w:r>
            <w:r w:rsidRPr="00FA1464">
              <w:rPr>
                <w:rFonts w:ascii="Arial" w:hAnsi="Arial" w:cs="Arial"/>
                <w:b/>
                <w:bCs/>
                <w:caps/>
                <w:sz w:val="24"/>
                <w:szCs w:val="24"/>
                <w:highlight w:val="yellow"/>
              </w:rPr>
              <w:t xml:space="preserve">name of </w:t>
            </w:r>
            <w:r w:rsidRPr="003B05DC">
              <w:rPr>
                <w:rFonts w:ascii="Arial" w:hAnsi="Arial" w:cs="Arial"/>
                <w:b/>
                <w:bCs/>
                <w:caps/>
                <w:sz w:val="24"/>
                <w:szCs w:val="24"/>
                <w:highlight w:val="yellow"/>
              </w:rPr>
              <w:t>SUB-LICENSEE</w:t>
            </w:r>
            <w:r w:rsidRPr="00FA1464">
              <w:rPr>
                <w:rFonts w:ascii="Arial" w:hAnsi="Arial" w:cs="Arial"/>
                <w:sz w:val="24"/>
                <w:szCs w:val="24"/>
                <w:highlight w:val="yellow"/>
              </w:rPr>
              <w:t>]</w:t>
            </w:r>
            <w:r w:rsidRPr="00FA1464">
              <w:rPr>
                <w:rFonts w:ascii="Arial" w:hAnsi="Arial" w:cs="Arial"/>
                <w:sz w:val="24"/>
                <w:szCs w:val="24"/>
              </w:rPr>
              <w:t xml:space="preserve"> by </w:t>
            </w:r>
            <w:r w:rsidRPr="00FA1464">
              <w:rPr>
                <w:rFonts w:ascii="Arial" w:hAnsi="Arial" w:cs="Arial"/>
                <w:sz w:val="24"/>
                <w:szCs w:val="24"/>
                <w:highlight w:val="yellow"/>
              </w:rPr>
              <w:t>[a director][the secretary][an authorised</w:t>
            </w:r>
            <w:r w:rsidRPr="00FA1464">
              <w:rPr>
                <w:rFonts w:ascii="Arial" w:hAnsi="Arial" w:cs="Arial"/>
                <w:b/>
                <w:sz w:val="24"/>
                <w:szCs w:val="24"/>
                <w:highlight w:val="yellow"/>
              </w:rPr>
              <w:t xml:space="preserve"> </w:t>
            </w:r>
            <w:r w:rsidRPr="00FA1464">
              <w:rPr>
                <w:rFonts w:ascii="Arial" w:hAnsi="Arial" w:cs="Arial"/>
                <w:sz w:val="24"/>
                <w:szCs w:val="24"/>
                <w:highlight w:val="yellow"/>
              </w:rPr>
              <w:t>signatory]</w:t>
            </w:r>
            <w:r w:rsidRPr="00FA1464">
              <w:rPr>
                <w:rFonts w:ascii="Arial" w:hAnsi="Arial" w:cs="Arial"/>
                <w:sz w:val="24"/>
                <w:szCs w:val="24"/>
              </w:rPr>
              <w:t xml:space="preserve"> in the presence of a witness on the </w:t>
            </w:r>
            <w:r w:rsidRPr="00FA1464">
              <w:rPr>
                <w:rFonts w:ascii="Arial" w:hAnsi="Arial" w:cs="Arial"/>
                <w:sz w:val="24"/>
                <w:szCs w:val="24"/>
                <w:highlight w:val="yellow"/>
              </w:rPr>
              <w:t>[</w:t>
            </w:r>
            <w:r w:rsidRPr="00FA1464">
              <w:rPr>
                <w:rFonts w:ascii="Arial" w:hAnsi="Arial" w:cs="Arial"/>
                <w:b/>
                <w:sz w:val="24"/>
                <w:szCs w:val="24"/>
                <w:highlight w:val="yellow"/>
              </w:rPr>
              <w:t>DATE</w:t>
            </w:r>
            <w:r w:rsidRPr="00FA1464">
              <w:rPr>
                <w:rFonts w:ascii="Arial" w:hAnsi="Arial" w:cs="Arial"/>
                <w:sz w:val="24"/>
                <w:szCs w:val="24"/>
                <w:highlight w:val="yellow"/>
              </w:rPr>
              <w:t>]</w:t>
            </w:r>
            <w:r w:rsidRPr="00FA1464">
              <w:rPr>
                <w:rFonts w:ascii="Arial" w:hAnsi="Arial" w:cs="Arial"/>
                <w:sz w:val="24"/>
                <w:szCs w:val="24"/>
              </w:rPr>
              <w:t xml:space="preserve"> day of </w:t>
            </w:r>
            <w:r w:rsidRPr="00FA1464">
              <w:rPr>
                <w:rFonts w:ascii="Arial" w:hAnsi="Arial" w:cs="Arial"/>
                <w:sz w:val="24"/>
                <w:szCs w:val="24"/>
                <w:highlight w:val="yellow"/>
              </w:rPr>
              <w:t>[</w:t>
            </w:r>
            <w:r w:rsidRPr="00FA1464">
              <w:rPr>
                <w:rFonts w:ascii="Arial" w:hAnsi="Arial" w:cs="Arial"/>
                <w:b/>
                <w:sz w:val="24"/>
                <w:szCs w:val="24"/>
                <w:highlight w:val="yellow"/>
              </w:rPr>
              <w:t>MONTH</w:t>
            </w:r>
            <w:r w:rsidRPr="00FA1464">
              <w:rPr>
                <w:rFonts w:ascii="Arial" w:hAnsi="Arial" w:cs="Arial"/>
                <w:sz w:val="24"/>
                <w:szCs w:val="24"/>
                <w:highlight w:val="yellow"/>
              </w:rPr>
              <w:t>] [</w:t>
            </w:r>
            <w:r w:rsidRPr="00FA1464">
              <w:rPr>
                <w:rFonts w:ascii="Arial" w:hAnsi="Arial" w:cs="Arial"/>
                <w:b/>
                <w:sz w:val="24"/>
                <w:szCs w:val="24"/>
                <w:highlight w:val="yellow"/>
              </w:rPr>
              <w:t>YEAR</w:t>
            </w:r>
            <w:r w:rsidRPr="00FA1464">
              <w:rPr>
                <w:rFonts w:ascii="Arial" w:hAnsi="Arial" w:cs="Arial"/>
                <w:sz w:val="24"/>
                <w:szCs w:val="24"/>
                <w:highlight w:val="yellow"/>
              </w:rPr>
              <w:t>]</w:t>
            </w:r>
            <w:r w:rsidRPr="00FA1464">
              <w:rPr>
                <w:rFonts w:ascii="Arial" w:hAnsi="Arial" w:cs="Arial"/>
                <w:sz w:val="24"/>
                <w:szCs w:val="24"/>
              </w:rPr>
              <w:t xml:space="preserve"> at </w:t>
            </w:r>
            <w:r w:rsidRPr="00FA1464">
              <w:rPr>
                <w:rFonts w:ascii="Arial" w:hAnsi="Arial" w:cs="Arial"/>
                <w:sz w:val="24"/>
                <w:szCs w:val="24"/>
                <w:highlight w:val="yellow"/>
              </w:rPr>
              <w:t>[</w:t>
            </w:r>
            <w:r w:rsidRPr="00FA1464">
              <w:rPr>
                <w:rFonts w:ascii="Arial" w:hAnsi="Arial" w:cs="Arial"/>
                <w:b/>
                <w:sz w:val="24"/>
                <w:szCs w:val="24"/>
                <w:highlight w:val="yellow"/>
              </w:rPr>
              <w:t>PLACE OF SUBSCRIPTION</w:t>
            </w:r>
            <w:r w:rsidRPr="00FA1464">
              <w:rPr>
                <w:rFonts w:ascii="Arial" w:hAnsi="Arial" w:cs="Arial"/>
                <w:sz w:val="24"/>
                <w:szCs w:val="24"/>
                <w:highlight w:val="yellow"/>
              </w:rPr>
              <w:t>]:</w:t>
            </w:r>
          </w:p>
        </w:tc>
        <w:tc>
          <w:tcPr>
            <w:tcW w:w="270" w:type="dxa"/>
          </w:tcPr>
          <w:p w14:paraId="2572953F" w14:textId="77777777" w:rsidR="002D3344" w:rsidRPr="00FA1464" w:rsidRDefault="002D3344" w:rsidP="00963796">
            <w:pPr>
              <w:pStyle w:val="Executionclause"/>
              <w:keepNext/>
              <w:rPr>
                <w:rFonts w:ascii="Arial" w:hAnsi="Arial" w:cs="Arial"/>
                <w:sz w:val="24"/>
                <w:szCs w:val="24"/>
              </w:rPr>
            </w:pPr>
            <w:r w:rsidRPr="00FA1464">
              <w:rPr>
                <w:rFonts w:ascii="Arial" w:hAnsi="Arial" w:cs="Arial"/>
                <w:sz w:val="24"/>
                <w:szCs w:val="24"/>
              </w:rPr>
              <w:t>))))))</w:t>
            </w:r>
          </w:p>
        </w:tc>
        <w:tc>
          <w:tcPr>
            <w:tcW w:w="2340" w:type="dxa"/>
            <w:vAlign w:val="bottom"/>
          </w:tcPr>
          <w:p w14:paraId="37D45B9E" w14:textId="77777777" w:rsidR="002D3344" w:rsidRPr="00FA1464" w:rsidRDefault="002D3344" w:rsidP="00963796">
            <w:pPr>
              <w:pStyle w:val="Executionclause"/>
              <w:keepNext/>
              <w:jc w:val="right"/>
              <w:rPr>
                <w:rFonts w:ascii="Arial" w:hAnsi="Arial" w:cs="Arial"/>
                <w:sz w:val="24"/>
                <w:szCs w:val="24"/>
              </w:rPr>
            </w:pPr>
            <w:r w:rsidRPr="00FA1464">
              <w:rPr>
                <w:rFonts w:ascii="Arial" w:hAnsi="Arial" w:cs="Arial"/>
                <w:sz w:val="24"/>
                <w:szCs w:val="24"/>
              </w:rPr>
              <w:t>Signature</w:t>
            </w:r>
          </w:p>
        </w:tc>
        <w:tc>
          <w:tcPr>
            <w:tcW w:w="2538" w:type="dxa"/>
            <w:tcBorders>
              <w:top w:val="nil"/>
              <w:left w:val="nil"/>
              <w:bottom w:val="dashed" w:sz="4" w:space="0" w:color="auto"/>
              <w:right w:val="nil"/>
            </w:tcBorders>
          </w:tcPr>
          <w:p w14:paraId="68CB8C0C" w14:textId="77777777" w:rsidR="002D3344" w:rsidRPr="00FA1464" w:rsidRDefault="002D3344" w:rsidP="00963796">
            <w:pPr>
              <w:pStyle w:val="Executionclause"/>
              <w:keepNext/>
              <w:rPr>
                <w:rFonts w:ascii="Arial" w:hAnsi="Arial" w:cs="Arial"/>
                <w:b/>
                <w:bCs/>
                <w:sz w:val="24"/>
                <w:szCs w:val="24"/>
              </w:rPr>
            </w:pPr>
          </w:p>
        </w:tc>
      </w:tr>
      <w:tr w:rsidR="002D3344" w:rsidRPr="003B05DC" w14:paraId="18712F33" w14:textId="77777777" w:rsidTr="00963796">
        <w:trPr>
          <w:cantSplit/>
        </w:trPr>
        <w:tc>
          <w:tcPr>
            <w:tcW w:w="4230" w:type="dxa"/>
            <w:gridSpan w:val="2"/>
          </w:tcPr>
          <w:p w14:paraId="1EB34AA4" w14:textId="77777777" w:rsidR="002D3344" w:rsidRPr="00FA1464" w:rsidRDefault="002D3344" w:rsidP="00963796">
            <w:pPr>
              <w:pStyle w:val="Executionclause"/>
              <w:keepNext/>
              <w:rPr>
                <w:rFonts w:ascii="Arial" w:hAnsi="Arial" w:cs="Arial"/>
                <w:sz w:val="24"/>
                <w:szCs w:val="24"/>
              </w:rPr>
            </w:pPr>
          </w:p>
        </w:tc>
        <w:tc>
          <w:tcPr>
            <w:tcW w:w="270" w:type="dxa"/>
          </w:tcPr>
          <w:p w14:paraId="5F433737" w14:textId="77777777" w:rsidR="002D3344" w:rsidRPr="00FA1464" w:rsidRDefault="002D3344" w:rsidP="00963796">
            <w:pPr>
              <w:pStyle w:val="Executionclause"/>
              <w:rPr>
                <w:rFonts w:ascii="Arial" w:hAnsi="Arial" w:cs="Arial"/>
                <w:sz w:val="24"/>
                <w:szCs w:val="24"/>
              </w:rPr>
            </w:pPr>
          </w:p>
        </w:tc>
        <w:tc>
          <w:tcPr>
            <w:tcW w:w="2340" w:type="dxa"/>
          </w:tcPr>
          <w:p w14:paraId="30AA1751" w14:textId="77777777" w:rsidR="002D3344" w:rsidRPr="00FA1464" w:rsidRDefault="002D3344" w:rsidP="00963796">
            <w:pPr>
              <w:pStyle w:val="Executionclause"/>
              <w:jc w:val="right"/>
              <w:rPr>
                <w:rFonts w:ascii="Arial" w:hAnsi="Arial" w:cs="Arial"/>
                <w:sz w:val="24"/>
                <w:szCs w:val="24"/>
              </w:rPr>
            </w:pPr>
          </w:p>
        </w:tc>
        <w:tc>
          <w:tcPr>
            <w:tcW w:w="2538" w:type="dxa"/>
            <w:tcBorders>
              <w:top w:val="dashed" w:sz="4" w:space="0" w:color="auto"/>
              <w:left w:val="nil"/>
              <w:right w:val="nil"/>
            </w:tcBorders>
          </w:tcPr>
          <w:p w14:paraId="084D4C34" w14:textId="77777777" w:rsidR="002D3344" w:rsidRPr="00FA1464" w:rsidRDefault="002D3344" w:rsidP="00963796">
            <w:pPr>
              <w:pStyle w:val="Executionclause"/>
              <w:rPr>
                <w:rFonts w:ascii="Arial" w:hAnsi="Arial" w:cs="Arial"/>
                <w:b/>
                <w:bCs/>
                <w:sz w:val="24"/>
                <w:szCs w:val="24"/>
              </w:rPr>
            </w:pPr>
          </w:p>
        </w:tc>
      </w:tr>
      <w:tr w:rsidR="002D3344" w:rsidRPr="003B05DC" w14:paraId="765F0E04" w14:textId="77777777" w:rsidTr="00963796">
        <w:trPr>
          <w:cantSplit/>
        </w:trPr>
        <w:tc>
          <w:tcPr>
            <w:tcW w:w="4230" w:type="dxa"/>
            <w:gridSpan w:val="2"/>
          </w:tcPr>
          <w:p w14:paraId="492C75DE" w14:textId="77777777" w:rsidR="002D3344" w:rsidRPr="00FA1464" w:rsidRDefault="002D3344" w:rsidP="00963796">
            <w:pPr>
              <w:pStyle w:val="Executionclause"/>
              <w:keepNext/>
              <w:rPr>
                <w:rFonts w:ascii="Arial" w:hAnsi="Arial" w:cs="Arial"/>
                <w:sz w:val="24"/>
                <w:szCs w:val="24"/>
              </w:rPr>
            </w:pPr>
          </w:p>
        </w:tc>
        <w:tc>
          <w:tcPr>
            <w:tcW w:w="270" w:type="dxa"/>
          </w:tcPr>
          <w:p w14:paraId="49B2A448" w14:textId="77777777" w:rsidR="002D3344" w:rsidRPr="00FA1464" w:rsidRDefault="002D3344" w:rsidP="00963796">
            <w:pPr>
              <w:pStyle w:val="Executionclause"/>
              <w:rPr>
                <w:rFonts w:ascii="Arial" w:hAnsi="Arial" w:cs="Arial"/>
                <w:sz w:val="24"/>
                <w:szCs w:val="24"/>
              </w:rPr>
            </w:pPr>
          </w:p>
        </w:tc>
        <w:tc>
          <w:tcPr>
            <w:tcW w:w="2340" w:type="dxa"/>
          </w:tcPr>
          <w:p w14:paraId="655547CE" w14:textId="77777777" w:rsidR="002D3344" w:rsidRPr="00FA1464" w:rsidRDefault="002D3344" w:rsidP="00963796">
            <w:pPr>
              <w:pStyle w:val="Executionclause"/>
              <w:spacing w:before="40"/>
              <w:jc w:val="right"/>
              <w:rPr>
                <w:rFonts w:ascii="Arial" w:hAnsi="Arial" w:cs="Arial"/>
                <w:sz w:val="24"/>
                <w:szCs w:val="24"/>
              </w:rPr>
            </w:pPr>
            <w:r w:rsidRPr="00FA1464">
              <w:rPr>
                <w:rFonts w:ascii="Arial" w:hAnsi="Arial" w:cs="Arial"/>
                <w:sz w:val="24"/>
                <w:szCs w:val="24"/>
              </w:rPr>
              <w:t>Name (block capitals)</w:t>
            </w:r>
          </w:p>
        </w:tc>
        <w:tc>
          <w:tcPr>
            <w:tcW w:w="2538" w:type="dxa"/>
            <w:tcBorders>
              <w:left w:val="nil"/>
              <w:bottom w:val="dashed" w:sz="4" w:space="0" w:color="auto"/>
              <w:right w:val="nil"/>
            </w:tcBorders>
          </w:tcPr>
          <w:p w14:paraId="13B08806" w14:textId="77777777" w:rsidR="002D3344" w:rsidRPr="00FA1464" w:rsidRDefault="002D3344" w:rsidP="00963796">
            <w:pPr>
              <w:pStyle w:val="Executionclause"/>
              <w:rPr>
                <w:rFonts w:ascii="Arial" w:hAnsi="Arial" w:cs="Arial"/>
                <w:b/>
                <w:bCs/>
                <w:sz w:val="24"/>
                <w:szCs w:val="24"/>
              </w:rPr>
            </w:pPr>
          </w:p>
        </w:tc>
      </w:tr>
      <w:tr w:rsidR="002D3344" w:rsidRPr="003B05DC" w14:paraId="2DED644E" w14:textId="77777777" w:rsidTr="00963796">
        <w:trPr>
          <w:cantSplit/>
        </w:trPr>
        <w:tc>
          <w:tcPr>
            <w:tcW w:w="4230" w:type="dxa"/>
            <w:gridSpan w:val="2"/>
          </w:tcPr>
          <w:p w14:paraId="37A9A65D" w14:textId="77777777" w:rsidR="002D3344" w:rsidRPr="00FA1464" w:rsidRDefault="002D3344" w:rsidP="00963796">
            <w:pPr>
              <w:pStyle w:val="Executionclause"/>
              <w:keepNext/>
              <w:rPr>
                <w:rFonts w:ascii="Arial" w:hAnsi="Arial" w:cs="Arial"/>
                <w:sz w:val="24"/>
                <w:szCs w:val="24"/>
              </w:rPr>
            </w:pPr>
          </w:p>
        </w:tc>
        <w:tc>
          <w:tcPr>
            <w:tcW w:w="270" w:type="dxa"/>
          </w:tcPr>
          <w:p w14:paraId="026021D2" w14:textId="77777777" w:rsidR="002D3344" w:rsidRPr="00FA1464" w:rsidRDefault="002D3344" w:rsidP="00963796">
            <w:pPr>
              <w:pStyle w:val="Executionclause"/>
              <w:rPr>
                <w:rFonts w:ascii="Arial" w:hAnsi="Arial" w:cs="Arial"/>
                <w:sz w:val="24"/>
                <w:szCs w:val="24"/>
              </w:rPr>
            </w:pPr>
          </w:p>
        </w:tc>
        <w:tc>
          <w:tcPr>
            <w:tcW w:w="2340" w:type="dxa"/>
          </w:tcPr>
          <w:p w14:paraId="3CFE1536" w14:textId="77777777" w:rsidR="002D3344" w:rsidRPr="00FA1464" w:rsidRDefault="002D3344" w:rsidP="00963796">
            <w:pPr>
              <w:pStyle w:val="Executionclause"/>
              <w:rPr>
                <w:rFonts w:ascii="Arial" w:hAnsi="Arial" w:cs="Arial"/>
                <w:sz w:val="24"/>
                <w:szCs w:val="24"/>
              </w:rPr>
            </w:pPr>
          </w:p>
        </w:tc>
        <w:tc>
          <w:tcPr>
            <w:tcW w:w="2538" w:type="dxa"/>
            <w:tcBorders>
              <w:top w:val="dashed" w:sz="4" w:space="0" w:color="auto"/>
              <w:left w:val="nil"/>
              <w:right w:val="nil"/>
            </w:tcBorders>
          </w:tcPr>
          <w:p w14:paraId="7A807AA1" w14:textId="77777777" w:rsidR="002D3344" w:rsidRPr="00FA1464" w:rsidRDefault="002D3344" w:rsidP="00963796">
            <w:pPr>
              <w:pStyle w:val="Executionclause"/>
              <w:spacing w:before="40"/>
              <w:rPr>
                <w:rFonts w:ascii="Arial" w:hAnsi="Arial" w:cs="Arial"/>
                <w:bCs/>
                <w:sz w:val="24"/>
                <w:szCs w:val="24"/>
                <w:highlight w:val="yellow"/>
              </w:rPr>
            </w:pPr>
            <w:r w:rsidRPr="00FA1464">
              <w:rPr>
                <w:rFonts w:ascii="Arial" w:hAnsi="Arial" w:cs="Arial"/>
                <w:bCs/>
                <w:sz w:val="24"/>
                <w:szCs w:val="24"/>
                <w:highlight w:val="yellow"/>
              </w:rPr>
              <w:t>[</w:t>
            </w:r>
            <w:r w:rsidRPr="00FA1464">
              <w:rPr>
                <w:rFonts w:ascii="Arial" w:hAnsi="Arial" w:cs="Arial"/>
                <w:b/>
                <w:bCs/>
                <w:sz w:val="24"/>
                <w:szCs w:val="24"/>
                <w:highlight w:val="yellow"/>
              </w:rPr>
              <w:t>Director</w:t>
            </w:r>
            <w:r w:rsidRPr="00FA1464">
              <w:rPr>
                <w:rFonts w:ascii="Arial" w:hAnsi="Arial" w:cs="Arial"/>
                <w:sz w:val="24"/>
                <w:szCs w:val="24"/>
                <w:highlight w:val="yellow"/>
              </w:rPr>
              <w:t>][</w:t>
            </w:r>
            <w:r w:rsidRPr="00FA1464">
              <w:rPr>
                <w:rFonts w:ascii="Arial" w:hAnsi="Arial" w:cs="Arial"/>
                <w:b/>
                <w:sz w:val="24"/>
                <w:szCs w:val="24"/>
                <w:highlight w:val="yellow"/>
              </w:rPr>
              <w:t>Secretary</w:t>
            </w:r>
            <w:r w:rsidRPr="00FA1464">
              <w:rPr>
                <w:rFonts w:ascii="Arial" w:hAnsi="Arial" w:cs="Arial"/>
                <w:sz w:val="24"/>
                <w:szCs w:val="24"/>
                <w:highlight w:val="yellow"/>
              </w:rPr>
              <w:t>]</w:t>
            </w:r>
            <w:r w:rsidRPr="00FA1464">
              <w:rPr>
                <w:rFonts w:ascii="Arial" w:hAnsi="Arial" w:cs="Arial"/>
                <w:sz w:val="24"/>
                <w:szCs w:val="24"/>
                <w:highlight w:val="yellow"/>
              </w:rPr>
              <w:br/>
              <w:t>[</w:t>
            </w:r>
            <w:r w:rsidRPr="00FA1464">
              <w:rPr>
                <w:rFonts w:ascii="Arial" w:hAnsi="Arial" w:cs="Arial"/>
                <w:b/>
                <w:sz w:val="24"/>
                <w:szCs w:val="24"/>
                <w:highlight w:val="yellow"/>
              </w:rPr>
              <w:t>Authorised Signatory</w:t>
            </w:r>
            <w:r w:rsidRPr="00FA1464">
              <w:rPr>
                <w:rFonts w:ascii="Arial" w:hAnsi="Arial" w:cs="Arial"/>
                <w:sz w:val="24"/>
                <w:szCs w:val="24"/>
                <w:highlight w:val="yellow"/>
              </w:rPr>
              <w:t>]</w:t>
            </w:r>
          </w:p>
        </w:tc>
      </w:tr>
      <w:tr w:rsidR="002D3344" w:rsidRPr="003B05DC" w14:paraId="799EF18E" w14:textId="77777777" w:rsidTr="00963796">
        <w:trPr>
          <w:cantSplit/>
        </w:trPr>
        <w:tc>
          <w:tcPr>
            <w:tcW w:w="2070" w:type="dxa"/>
          </w:tcPr>
          <w:p w14:paraId="072DDAE2" w14:textId="77777777" w:rsidR="002D3344" w:rsidRPr="00FA1464" w:rsidRDefault="002D3344" w:rsidP="00963796">
            <w:pPr>
              <w:pStyle w:val="Executionclause"/>
              <w:keepNext/>
              <w:spacing w:before="40"/>
              <w:rPr>
                <w:rFonts w:ascii="Arial" w:hAnsi="Arial" w:cs="Arial"/>
                <w:sz w:val="24"/>
                <w:szCs w:val="24"/>
              </w:rPr>
            </w:pPr>
            <w:r w:rsidRPr="00FA1464">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0532BBB7" w14:textId="77777777" w:rsidR="002D3344" w:rsidRPr="00FA1464" w:rsidRDefault="002D3344" w:rsidP="00963796">
            <w:pPr>
              <w:pStyle w:val="Executionclause"/>
              <w:rPr>
                <w:rFonts w:ascii="Arial" w:hAnsi="Arial" w:cs="Arial"/>
                <w:sz w:val="24"/>
                <w:szCs w:val="24"/>
              </w:rPr>
            </w:pPr>
          </w:p>
        </w:tc>
        <w:tc>
          <w:tcPr>
            <w:tcW w:w="4878" w:type="dxa"/>
            <w:gridSpan w:val="2"/>
          </w:tcPr>
          <w:p w14:paraId="06580405" w14:textId="77777777" w:rsidR="002D3344" w:rsidRPr="00FA1464" w:rsidRDefault="002D3344" w:rsidP="00963796">
            <w:pPr>
              <w:pStyle w:val="Executionclause"/>
              <w:rPr>
                <w:rFonts w:ascii="Arial" w:hAnsi="Arial" w:cs="Arial"/>
                <w:sz w:val="24"/>
                <w:szCs w:val="24"/>
              </w:rPr>
            </w:pPr>
          </w:p>
        </w:tc>
      </w:tr>
      <w:tr w:rsidR="002D3344" w:rsidRPr="003B05DC" w14:paraId="6B57FB5E" w14:textId="77777777" w:rsidTr="00963796">
        <w:trPr>
          <w:cantSplit/>
        </w:trPr>
        <w:tc>
          <w:tcPr>
            <w:tcW w:w="2070" w:type="dxa"/>
          </w:tcPr>
          <w:p w14:paraId="61A5C833" w14:textId="77777777" w:rsidR="002D3344" w:rsidRPr="00FA1464" w:rsidRDefault="002D3344" w:rsidP="00963796">
            <w:pPr>
              <w:pStyle w:val="Executionclause"/>
              <w:keepNext/>
              <w:spacing w:before="40"/>
              <w:jc w:val="right"/>
              <w:rPr>
                <w:rFonts w:ascii="Arial" w:hAnsi="Arial" w:cs="Arial"/>
                <w:sz w:val="24"/>
                <w:szCs w:val="24"/>
              </w:rPr>
            </w:pPr>
          </w:p>
        </w:tc>
        <w:tc>
          <w:tcPr>
            <w:tcW w:w="2430" w:type="dxa"/>
            <w:gridSpan w:val="2"/>
          </w:tcPr>
          <w:p w14:paraId="2FFE30DC" w14:textId="77777777" w:rsidR="002D3344" w:rsidRPr="00FA1464" w:rsidRDefault="002D3344" w:rsidP="00963796">
            <w:pPr>
              <w:pStyle w:val="Executionclause"/>
              <w:rPr>
                <w:rFonts w:ascii="Arial" w:hAnsi="Arial" w:cs="Arial"/>
                <w:sz w:val="24"/>
                <w:szCs w:val="24"/>
              </w:rPr>
            </w:pPr>
          </w:p>
        </w:tc>
        <w:tc>
          <w:tcPr>
            <w:tcW w:w="4878" w:type="dxa"/>
            <w:gridSpan w:val="2"/>
          </w:tcPr>
          <w:p w14:paraId="45A523B7" w14:textId="77777777" w:rsidR="002D3344" w:rsidRPr="00FA1464" w:rsidRDefault="002D3344" w:rsidP="00963796">
            <w:pPr>
              <w:pStyle w:val="Executionclause"/>
              <w:rPr>
                <w:rFonts w:ascii="Arial" w:hAnsi="Arial" w:cs="Arial"/>
                <w:sz w:val="24"/>
                <w:szCs w:val="24"/>
              </w:rPr>
            </w:pPr>
          </w:p>
        </w:tc>
      </w:tr>
      <w:tr w:rsidR="002D3344" w:rsidRPr="003B05DC" w14:paraId="01003D34" w14:textId="77777777" w:rsidTr="00963796">
        <w:trPr>
          <w:cantSplit/>
        </w:trPr>
        <w:tc>
          <w:tcPr>
            <w:tcW w:w="2070" w:type="dxa"/>
          </w:tcPr>
          <w:p w14:paraId="295347D3" w14:textId="77777777" w:rsidR="002D3344" w:rsidRPr="00FA1464" w:rsidRDefault="002D3344" w:rsidP="00963796">
            <w:pPr>
              <w:pStyle w:val="Executionclause"/>
              <w:keepNext/>
              <w:spacing w:before="40"/>
              <w:rPr>
                <w:rFonts w:ascii="Arial" w:hAnsi="Arial" w:cs="Arial"/>
                <w:sz w:val="24"/>
                <w:szCs w:val="24"/>
              </w:rPr>
            </w:pPr>
            <w:r w:rsidRPr="00FA1464">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7AF73B19" w14:textId="77777777" w:rsidR="002D3344" w:rsidRPr="00FA1464" w:rsidRDefault="002D3344" w:rsidP="00963796">
            <w:pPr>
              <w:pStyle w:val="Executionclause"/>
              <w:rPr>
                <w:rFonts w:ascii="Arial" w:hAnsi="Arial" w:cs="Arial"/>
                <w:sz w:val="24"/>
                <w:szCs w:val="24"/>
              </w:rPr>
            </w:pPr>
          </w:p>
        </w:tc>
        <w:tc>
          <w:tcPr>
            <w:tcW w:w="4878" w:type="dxa"/>
            <w:gridSpan w:val="2"/>
          </w:tcPr>
          <w:p w14:paraId="79A318ED" w14:textId="77777777" w:rsidR="002D3344" w:rsidRPr="00FA1464" w:rsidRDefault="002D3344" w:rsidP="00963796">
            <w:pPr>
              <w:pStyle w:val="Executionclause"/>
              <w:rPr>
                <w:rFonts w:ascii="Arial" w:hAnsi="Arial" w:cs="Arial"/>
                <w:sz w:val="24"/>
                <w:szCs w:val="24"/>
              </w:rPr>
            </w:pPr>
          </w:p>
        </w:tc>
      </w:tr>
      <w:tr w:rsidR="002D3344" w:rsidRPr="003B05DC" w14:paraId="46781260" w14:textId="77777777" w:rsidTr="00963796">
        <w:trPr>
          <w:cantSplit/>
        </w:trPr>
        <w:tc>
          <w:tcPr>
            <w:tcW w:w="2070" w:type="dxa"/>
          </w:tcPr>
          <w:p w14:paraId="0138A62C" w14:textId="77777777" w:rsidR="002D3344" w:rsidRPr="00FA1464" w:rsidRDefault="002D3344" w:rsidP="00963796">
            <w:pPr>
              <w:pStyle w:val="Executionclause"/>
              <w:keepNext/>
              <w:rPr>
                <w:rFonts w:ascii="Arial" w:hAnsi="Arial" w:cs="Arial"/>
                <w:sz w:val="24"/>
                <w:szCs w:val="24"/>
              </w:rPr>
            </w:pPr>
            <w:r w:rsidRPr="00FA1464">
              <w:rPr>
                <w:rFonts w:ascii="Arial" w:hAnsi="Arial" w:cs="Arial"/>
                <w:sz w:val="24"/>
                <w:szCs w:val="24"/>
              </w:rPr>
              <w:t>(block capitals)</w:t>
            </w:r>
          </w:p>
        </w:tc>
        <w:tc>
          <w:tcPr>
            <w:tcW w:w="2430" w:type="dxa"/>
            <w:gridSpan w:val="2"/>
            <w:tcBorders>
              <w:top w:val="dashed" w:sz="4" w:space="0" w:color="auto"/>
              <w:left w:val="nil"/>
              <w:bottom w:val="nil"/>
              <w:right w:val="nil"/>
            </w:tcBorders>
          </w:tcPr>
          <w:p w14:paraId="754B94E3" w14:textId="77777777" w:rsidR="002D3344" w:rsidRPr="00FA1464" w:rsidRDefault="002D3344" w:rsidP="00963796">
            <w:pPr>
              <w:pStyle w:val="Executionclause"/>
              <w:rPr>
                <w:rFonts w:ascii="Arial" w:hAnsi="Arial" w:cs="Arial"/>
                <w:sz w:val="24"/>
                <w:szCs w:val="24"/>
              </w:rPr>
            </w:pPr>
          </w:p>
        </w:tc>
        <w:tc>
          <w:tcPr>
            <w:tcW w:w="4878" w:type="dxa"/>
            <w:gridSpan w:val="2"/>
          </w:tcPr>
          <w:p w14:paraId="6F9BC8ED" w14:textId="77777777" w:rsidR="002D3344" w:rsidRPr="00FA1464" w:rsidRDefault="002D3344" w:rsidP="00963796">
            <w:pPr>
              <w:pStyle w:val="Executionclause"/>
              <w:rPr>
                <w:rFonts w:ascii="Arial" w:hAnsi="Arial" w:cs="Arial"/>
                <w:sz w:val="24"/>
                <w:szCs w:val="24"/>
              </w:rPr>
            </w:pPr>
          </w:p>
        </w:tc>
      </w:tr>
      <w:tr w:rsidR="002D3344" w:rsidRPr="003B05DC" w14:paraId="784CAF17" w14:textId="77777777" w:rsidTr="00963796">
        <w:trPr>
          <w:cantSplit/>
        </w:trPr>
        <w:tc>
          <w:tcPr>
            <w:tcW w:w="2070" w:type="dxa"/>
          </w:tcPr>
          <w:p w14:paraId="0765C478" w14:textId="77777777" w:rsidR="002D3344" w:rsidRPr="00FA1464" w:rsidRDefault="002D3344" w:rsidP="00963796">
            <w:pPr>
              <w:pStyle w:val="Executionclause"/>
              <w:keepNext/>
              <w:spacing w:before="40"/>
              <w:jc w:val="right"/>
              <w:rPr>
                <w:rFonts w:ascii="Arial" w:hAnsi="Arial" w:cs="Arial"/>
                <w:sz w:val="24"/>
                <w:szCs w:val="24"/>
              </w:rPr>
            </w:pPr>
          </w:p>
        </w:tc>
        <w:tc>
          <w:tcPr>
            <w:tcW w:w="2430" w:type="dxa"/>
            <w:gridSpan w:val="2"/>
          </w:tcPr>
          <w:p w14:paraId="662EF008" w14:textId="77777777" w:rsidR="002D3344" w:rsidRPr="00FA1464" w:rsidRDefault="002D3344" w:rsidP="00963796">
            <w:pPr>
              <w:pStyle w:val="Executionclause"/>
              <w:rPr>
                <w:rFonts w:ascii="Arial" w:hAnsi="Arial" w:cs="Arial"/>
                <w:sz w:val="24"/>
                <w:szCs w:val="24"/>
              </w:rPr>
            </w:pPr>
          </w:p>
        </w:tc>
        <w:tc>
          <w:tcPr>
            <w:tcW w:w="4878" w:type="dxa"/>
            <w:gridSpan w:val="2"/>
          </w:tcPr>
          <w:p w14:paraId="31BB44D7" w14:textId="77777777" w:rsidR="002D3344" w:rsidRPr="00FA1464" w:rsidRDefault="002D3344" w:rsidP="00963796">
            <w:pPr>
              <w:pStyle w:val="Executionclause"/>
              <w:rPr>
                <w:rFonts w:ascii="Arial" w:hAnsi="Arial" w:cs="Arial"/>
                <w:sz w:val="24"/>
                <w:szCs w:val="24"/>
              </w:rPr>
            </w:pPr>
          </w:p>
        </w:tc>
      </w:tr>
      <w:tr w:rsidR="002D3344" w:rsidRPr="003B05DC" w14:paraId="2A8C199E" w14:textId="77777777" w:rsidTr="00963796">
        <w:trPr>
          <w:cantSplit/>
        </w:trPr>
        <w:tc>
          <w:tcPr>
            <w:tcW w:w="2070" w:type="dxa"/>
          </w:tcPr>
          <w:p w14:paraId="30E5EE08" w14:textId="77777777" w:rsidR="002D3344" w:rsidRPr="00FA1464" w:rsidRDefault="002D3344" w:rsidP="00963796">
            <w:pPr>
              <w:pStyle w:val="Executionclause"/>
              <w:keepNext/>
              <w:spacing w:before="40"/>
              <w:rPr>
                <w:rFonts w:ascii="Arial" w:hAnsi="Arial" w:cs="Arial"/>
                <w:sz w:val="24"/>
                <w:szCs w:val="24"/>
              </w:rPr>
            </w:pPr>
            <w:r w:rsidRPr="00FA1464">
              <w:rPr>
                <w:rFonts w:ascii="Arial" w:hAnsi="Arial" w:cs="Arial"/>
                <w:sz w:val="24"/>
                <w:szCs w:val="24"/>
              </w:rPr>
              <w:t>Witness address</w:t>
            </w:r>
          </w:p>
        </w:tc>
        <w:tc>
          <w:tcPr>
            <w:tcW w:w="2430" w:type="dxa"/>
            <w:gridSpan w:val="2"/>
            <w:tcBorders>
              <w:top w:val="nil"/>
              <w:left w:val="nil"/>
              <w:bottom w:val="dashed" w:sz="4" w:space="0" w:color="auto"/>
              <w:right w:val="nil"/>
            </w:tcBorders>
          </w:tcPr>
          <w:p w14:paraId="7FE9794D" w14:textId="77777777" w:rsidR="002D3344" w:rsidRPr="00FA1464" w:rsidRDefault="002D3344" w:rsidP="00963796">
            <w:pPr>
              <w:pStyle w:val="Executionclause"/>
              <w:rPr>
                <w:rFonts w:ascii="Arial" w:hAnsi="Arial" w:cs="Arial"/>
                <w:sz w:val="24"/>
                <w:szCs w:val="24"/>
              </w:rPr>
            </w:pPr>
          </w:p>
        </w:tc>
        <w:tc>
          <w:tcPr>
            <w:tcW w:w="4878" w:type="dxa"/>
            <w:gridSpan w:val="2"/>
          </w:tcPr>
          <w:p w14:paraId="3ADF7B5B" w14:textId="77777777" w:rsidR="002D3344" w:rsidRPr="00FA1464" w:rsidRDefault="002D3344" w:rsidP="00963796">
            <w:pPr>
              <w:pStyle w:val="Executionclause"/>
              <w:rPr>
                <w:rFonts w:ascii="Arial" w:hAnsi="Arial" w:cs="Arial"/>
                <w:sz w:val="24"/>
                <w:szCs w:val="24"/>
              </w:rPr>
            </w:pPr>
          </w:p>
        </w:tc>
      </w:tr>
      <w:tr w:rsidR="002D3344" w:rsidRPr="003B05DC" w14:paraId="70E0696F" w14:textId="77777777" w:rsidTr="00963796">
        <w:trPr>
          <w:cantSplit/>
        </w:trPr>
        <w:tc>
          <w:tcPr>
            <w:tcW w:w="2070" w:type="dxa"/>
          </w:tcPr>
          <w:p w14:paraId="5BBF87C8" w14:textId="77777777" w:rsidR="002D3344" w:rsidRPr="00FA1464" w:rsidRDefault="002D3344" w:rsidP="00963796">
            <w:pPr>
              <w:pStyle w:val="Executionclause"/>
              <w:keepNext/>
              <w:spacing w:before="40"/>
              <w:jc w:val="right"/>
              <w:rPr>
                <w:rFonts w:ascii="Arial" w:hAnsi="Arial" w:cs="Arial"/>
                <w:sz w:val="24"/>
                <w:szCs w:val="24"/>
              </w:rPr>
            </w:pPr>
          </w:p>
        </w:tc>
        <w:tc>
          <w:tcPr>
            <w:tcW w:w="2430" w:type="dxa"/>
            <w:gridSpan w:val="2"/>
          </w:tcPr>
          <w:p w14:paraId="5DC8E523" w14:textId="77777777" w:rsidR="002D3344" w:rsidRPr="00FA1464" w:rsidRDefault="002D3344" w:rsidP="00963796">
            <w:pPr>
              <w:pStyle w:val="Executionclause"/>
              <w:rPr>
                <w:rFonts w:ascii="Arial" w:hAnsi="Arial" w:cs="Arial"/>
                <w:sz w:val="24"/>
                <w:szCs w:val="24"/>
              </w:rPr>
            </w:pPr>
          </w:p>
        </w:tc>
        <w:tc>
          <w:tcPr>
            <w:tcW w:w="4878" w:type="dxa"/>
            <w:gridSpan w:val="2"/>
          </w:tcPr>
          <w:p w14:paraId="7F0B559D" w14:textId="77777777" w:rsidR="002D3344" w:rsidRPr="00FA1464" w:rsidRDefault="002D3344" w:rsidP="00963796">
            <w:pPr>
              <w:pStyle w:val="Executionclause"/>
              <w:rPr>
                <w:rFonts w:ascii="Arial" w:hAnsi="Arial" w:cs="Arial"/>
                <w:sz w:val="24"/>
                <w:szCs w:val="24"/>
              </w:rPr>
            </w:pPr>
          </w:p>
        </w:tc>
      </w:tr>
      <w:tr w:rsidR="002D3344" w:rsidRPr="003B05DC" w14:paraId="4B3D0371" w14:textId="77777777" w:rsidTr="00963796">
        <w:trPr>
          <w:cantSplit/>
        </w:trPr>
        <w:tc>
          <w:tcPr>
            <w:tcW w:w="2070" w:type="dxa"/>
          </w:tcPr>
          <w:p w14:paraId="6C39BBD6" w14:textId="77777777" w:rsidR="002D3344" w:rsidRPr="00FA1464" w:rsidRDefault="002D3344" w:rsidP="00963796">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7DE7EBF6" w14:textId="77777777" w:rsidR="002D3344" w:rsidRPr="00FA1464" w:rsidRDefault="002D3344" w:rsidP="00963796">
            <w:pPr>
              <w:pStyle w:val="Executionclause"/>
              <w:rPr>
                <w:rFonts w:ascii="Arial" w:hAnsi="Arial" w:cs="Arial"/>
                <w:sz w:val="24"/>
                <w:szCs w:val="24"/>
              </w:rPr>
            </w:pPr>
          </w:p>
        </w:tc>
        <w:tc>
          <w:tcPr>
            <w:tcW w:w="4878" w:type="dxa"/>
            <w:gridSpan w:val="2"/>
          </w:tcPr>
          <w:p w14:paraId="455439DF" w14:textId="77777777" w:rsidR="002D3344" w:rsidRPr="00FA1464" w:rsidRDefault="002D3344" w:rsidP="00963796">
            <w:pPr>
              <w:pStyle w:val="Executionclause"/>
              <w:rPr>
                <w:rFonts w:ascii="Arial" w:hAnsi="Arial" w:cs="Arial"/>
                <w:sz w:val="24"/>
                <w:szCs w:val="24"/>
              </w:rPr>
            </w:pPr>
          </w:p>
        </w:tc>
      </w:tr>
      <w:tr w:rsidR="002D3344" w:rsidRPr="003B05DC" w14:paraId="7E518EC6" w14:textId="77777777" w:rsidTr="00963796">
        <w:trPr>
          <w:cantSplit/>
        </w:trPr>
        <w:tc>
          <w:tcPr>
            <w:tcW w:w="2070" w:type="dxa"/>
          </w:tcPr>
          <w:p w14:paraId="7EB9E14F" w14:textId="77777777" w:rsidR="002D3344" w:rsidRPr="00FA1464" w:rsidRDefault="002D3344" w:rsidP="00963796">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3C059D0B" w14:textId="77777777" w:rsidR="002D3344" w:rsidRPr="00FA1464" w:rsidRDefault="002D3344" w:rsidP="00963796">
            <w:pPr>
              <w:pStyle w:val="Executionclause"/>
              <w:rPr>
                <w:rFonts w:ascii="Arial" w:hAnsi="Arial" w:cs="Arial"/>
                <w:sz w:val="24"/>
                <w:szCs w:val="24"/>
              </w:rPr>
            </w:pPr>
          </w:p>
        </w:tc>
        <w:tc>
          <w:tcPr>
            <w:tcW w:w="4878" w:type="dxa"/>
            <w:gridSpan w:val="2"/>
          </w:tcPr>
          <w:p w14:paraId="3E6686E3" w14:textId="77777777" w:rsidR="002D3344" w:rsidRPr="00FA1464" w:rsidRDefault="002D3344" w:rsidP="00963796">
            <w:pPr>
              <w:pStyle w:val="Executionclause"/>
              <w:rPr>
                <w:rFonts w:ascii="Arial" w:hAnsi="Arial" w:cs="Arial"/>
                <w:sz w:val="24"/>
                <w:szCs w:val="24"/>
              </w:rPr>
            </w:pPr>
          </w:p>
        </w:tc>
      </w:tr>
      <w:tr w:rsidR="002D3344" w:rsidRPr="003B05DC" w14:paraId="5A1D6972" w14:textId="77777777" w:rsidTr="00963796">
        <w:trPr>
          <w:cantSplit/>
        </w:trPr>
        <w:tc>
          <w:tcPr>
            <w:tcW w:w="2070" w:type="dxa"/>
          </w:tcPr>
          <w:p w14:paraId="19DF39BE" w14:textId="77777777" w:rsidR="002D3344" w:rsidRPr="00FA1464" w:rsidRDefault="002D3344" w:rsidP="00963796">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23B6F296" w14:textId="77777777" w:rsidR="002D3344" w:rsidRPr="00FA1464" w:rsidRDefault="002D3344" w:rsidP="00963796">
            <w:pPr>
              <w:pStyle w:val="Executionclause"/>
              <w:rPr>
                <w:rFonts w:ascii="Arial" w:hAnsi="Arial" w:cs="Arial"/>
                <w:sz w:val="24"/>
                <w:szCs w:val="24"/>
              </w:rPr>
            </w:pPr>
          </w:p>
        </w:tc>
        <w:tc>
          <w:tcPr>
            <w:tcW w:w="4878" w:type="dxa"/>
            <w:gridSpan w:val="2"/>
          </w:tcPr>
          <w:p w14:paraId="3C851FB0" w14:textId="77777777" w:rsidR="002D3344" w:rsidRPr="00FA1464" w:rsidRDefault="002D3344" w:rsidP="00963796">
            <w:pPr>
              <w:pStyle w:val="Executionclause"/>
              <w:rPr>
                <w:rFonts w:ascii="Arial" w:hAnsi="Arial" w:cs="Arial"/>
                <w:sz w:val="24"/>
                <w:szCs w:val="24"/>
              </w:rPr>
            </w:pPr>
          </w:p>
        </w:tc>
      </w:tr>
    </w:tbl>
    <w:p w14:paraId="1885C3A5" w14:textId="59F2A540" w:rsidR="002D3344" w:rsidRDefault="002D3344" w:rsidP="002D3344">
      <w:pPr>
        <w:tabs>
          <w:tab w:val="left" w:pos="1674"/>
        </w:tabs>
      </w:pPr>
    </w:p>
    <w:p w14:paraId="65FC0852" w14:textId="3946EF7F" w:rsidR="002D3344" w:rsidRPr="002D3344" w:rsidRDefault="002D3344" w:rsidP="002D3344">
      <w:pPr>
        <w:tabs>
          <w:tab w:val="left" w:pos="1674"/>
        </w:tabs>
        <w:sectPr w:rsidR="002D3344" w:rsidRPr="002D3344" w:rsidSect="00EA65BF">
          <w:footerReference w:type="default" r:id="rId76"/>
          <w:pgSz w:w="11910" w:h="16840"/>
          <w:pgMar w:top="1701" w:right="851" w:bottom="1134" w:left="851" w:header="567" w:footer="567" w:gutter="0"/>
          <w:cols w:space="720"/>
        </w:sectPr>
      </w:pPr>
      <w:r>
        <w:tab/>
      </w:r>
    </w:p>
    <w:p w14:paraId="769A91C4" w14:textId="6360123D" w:rsidR="004F122B" w:rsidRDefault="004F122B" w:rsidP="004F122B">
      <w:pPr>
        <w:pStyle w:val="Dividername"/>
      </w:pPr>
      <w:bookmarkStart w:id="440" w:name="_bookmark149"/>
      <w:bookmarkEnd w:id="440"/>
      <w:r>
        <w:lastRenderedPageBreak/>
        <w:t xml:space="preserve">Schedule </w:t>
      </w:r>
      <w:bookmarkStart w:id="441" w:name="Schedule_13"/>
      <w:r>
        <w:t>13</w:t>
      </w:r>
      <w:bookmarkEnd w:id="441"/>
    </w:p>
    <w:p w14:paraId="22D70956" w14:textId="6F071DE0" w:rsidR="004F122B" w:rsidRDefault="004F122B" w:rsidP="004F122B">
      <w:pPr>
        <w:pStyle w:val="Dividername"/>
      </w:pPr>
      <w:r w:rsidRPr="004F122B">
        <w:t>Implementation Plan</w:t>
      </w:r>
    </w:p>
    <w:p w14:paraId="2E8DE8E8" w14:textId="77777777" w:rsidR="004F122B" w:rsidRDefault="004F122B" w:rsidP="004F122B"/>
    <w:p w14:paraId="1E852B5A" w14:textId="5E419E1C" w:rsidR="00BC7DDA" w:rsidRPr="00BD6C5F" w:rsidRDefault="00A61E0D" w:rsidP="004F122B">
      <w:pPr>
        <w:pStyle w:val="Heading1"/>
        <w:pageBreakBefore/>
      </w:pPr>
      <w:bookmarkStart w:id="442" w:name="_Toc141720997"/>
      <w:r w:rsidRPr="00BD6C5F">
        <w:lastRenderedPageBreak/>
        <w:t>Schedule 13</w:t>
      </w:r>
      <w:r w:rsidR="0058158C" w:rsidRPr="00BD6C5F">
        <w:t>:</w:t>
      </w:r>
      <w:r w:rsidRPr="00BD6C5F">
        <w:t xml:space="preserve"> </w:t>
      </w:r>
      <w:bookmarkStart w:id="443" w:name="_Ref98253776"/>
      <w:bookmarkStart w:id="444" w:name="_Ref98256888"/>
      <w:bookmarkStart w:id="445" w:name="_Ref98256895"/>
      <w:bookmarkStart w:id="446" w:name="_Ref98256909"/>
      <w:bookmarkStart w:id="447" w:name="_Ref98257834"/>
      <w:bookmarkStart w:id="448" w:name="_Ref98257873"/>
      <w:bookmarkStart w:id="449" w:name="_Toc98332728"/>
      <w:bookmarkStart w:id="450" w:name="_Toc98852905"/>
      <w:r w:rsidRPr="00BD6C5F">
        <w:t>Implementation Plan</w:t>
      </w:r>
      <w:bookmarkEnd w:id="443"/>
      <w:bookmarkEnd w:id="444"/>
      <w:bookmarkEnd w:id="445"/>
      <w:bookmarkEnd w:id="446"/>
      <w:bookmarkEnd w:id="447"/>
      <w:bookmarkEnd w:id="448"/>
      <w:bookmarkEnd w:id="449"/>
      <w:bookmarkEnd w:id="450"/>
      <w:bookmarkEnd w:id="442"/>
    </w:p>
    <w:p w14:paraId="7F9F9C8D" w14:textId="4707E5E1" w:rsidR="000258C6" w:rsidRPr="00BD6C5F" w:rsidRDefault="000258C6" w:rsidP="00A61E0D">
      <w:pPr>
        <w:jc w:val="center"/>
      </w:pPr>
      <w:r w:rsidRPr="00BD6C5F">
        <w:t>This is the schedule referred to in the foregoing agreement betwe</w:t>
      </w:r>
      <w:r w:rsidR="001A45F8" w:rsidRPr="00BD6C5F">
        <w:t>en [</w:t>
      </w:r>
      <w:r w:rsidR="001A45F8" w:rsidRPr="00BD6C5F">
        <w:rPr>
          <w:highlight w:val="yellow"/>
        </w:rPr>
        <w:t>name of party</w:t>
      </w:r>
      <w:r w:rsidR="001A45F8" w:rsidRPr="00BD6C5F">
        <w:t>] and [</w:t>
      </w:r>
      <w:r w:rsidR="001A45F8" w:rsidRPr="00BD6C5F">
        <w:rPr>
          <w:highlight w:val="yellow"/>
        </w:rPr>
        <w:t>name of party</w:t>
      </w:r>
      <w:r w:rsidR="001A45F8" w:rsidRPr="00BD6C5F">
        <w:t>] dated [</w:t>
      </w:r>
      <w:r w:rsidR="001A45F8" w:rsidRPr="00BD6C5F">
        <w:rPr>
          <w:highlight w:val="yellow"/>
        </w:rPr>
        <w:t>date</w:t>
      </w:r>
      <w:r w:rsidR="001A45F8" w:rsidRPr="00BD6C5F">
        <w:t>]</w:t>
      </w:r>
    </w:p>
    <w:p w14:paraId="09B92021" w14:textId="77777777" w:rsidR="00A61E0D" w:rsidRPr="00BD6C5F" w:rsidRDefault="00A61E0D" w:rsidP="00A61E0D"/>
    <w:p w14:paraId="02157164" w14:textId="2EA5EAAD" w:rsidR="00BC7DDA" w:rsidRPr="00BD6C5F" w:rsidRDefault="00185D6A" w:rsidP="00B71FC0">
      <w:pPr>
        <w:pStyle w:val="Numbered1"/>
        <w:numPr>
          <w:ilvl w:val="0"/>
          <w:numId w:val="91"/>
        </w:numPr>
      </w:pPr>
      <w:r w:rsidRPr="00BD6C5F">
        <w:t>Introduction</w:t>
      </w:r>
    </w:p>
    <w:p w14:paraId="0BABB83D" w14:textId="77777777" w:rsidR="00BC7DDA" w:rsidRPr="00BD6C5F" w:rsidRDefault="009B03E9" w:rsidP="00A47A7E">
      <w:pPr>
        <w:pStyle w:val="Numbered11"/>
        <w:keepNext/>
      </w:pPr>
      <w:r w:rsidRPr="00BD6C5F">
        <w:t>This Schedule:</w:t>
      </w:r>
    </w:p>
    <w:p w14:paraId="66FABC47" w14:textId="77777777" w:rsidR="00BC7DDA" w:rsidRPr="00BD6C5F" w:rsidRDefault="009B03E9" w:rsidP="00185D6A">
      <w:pPr>
        <w:pStyle w:val="Numbered111"/>
      </w:pPr>
      <w:r w:rsidRPr="00BD6C5F">
        <w:t>defines the process for the preparation and implementation of the Outline Implementation Plan and Detailed Implementation Plan; and</w:t>
      </w:r>
    </w:p>
    <w:p w14:paraId="3C15DB8A" w14:textId="77777777" w:rsidR="00BC7DDA" w:rsidRPr="00BD6C5F" w:rsidRDefault="009B03E9" w:rsidP="00185D6A">
      <w:pPr>
        <w:pStyle w:val="Numbered111"/>
      </w:pPr>
      <w:r w:rsidRPr="00BD6C5F">
        <w:t>identifies the Milestones (and associated Deliverables) including the Milestones which trigger payment to the Supplier of the applicable Milestone Payments following the issue of the applicable Milestone Achievement Certificate.</w:t>
      </w:r>
    </w:p>
    <w:p w14:paraId="2D941E9E" w14:textId="1394379A" w:rsidR="00BC7DDA" w:rsidRPr="00BD6C5F" w:rsidRDefault="00185D6A" w:rsidP="00C5057A">
      <w:pPr>
        <w:pStyle w:val="Numbered1"/>
      </w:pPr>
      <w:r w:rsidRPr="00BD6C5F">
        <w:t>Outline Implementation Plan</w:t>
      </w:r>
    </w:p>
    <w:p w14:paraId="266752F1" w14:textId="15AA9319" w:rsidR="00BC7DDA" w:rsidRPr="00BD6C5F" w:rsidRDefault="009B03E9" w:rsidP="00C5057A">
      <w:pPr>
        <w:pStyle w:val="Numbered11"/>
      </w:pPr>
      <w:r w:rsidRPr="00BD6C5F">
        <w:t xml:space="preserve">The Outline Implementation Plan is set out in </w:t>
      </w:r>
      <w:r w:rsidR="00C101F7">
        <w:t>Annex </w:t>
      </w:r>
      <w:r w:rsidR="00C101F7">
        <w:fldChar w:fldCharType="begin"/>
      </w:r>
      <w:r w:rsidR="00C101F7">
        <w:instrText xml:space="preserve"> REF Schedule_13_Annex_1 \h </w:instrText>
      </w:r>
      <w:r w:rsidR="00C101F7">
        <w:fldChar w:fldCharType="separate"/>
      </w:r>
      <w:r w:rsidR="009749A0">
        <w:t>1</w:t>
      </w:r>
      <w:r w:rsidR="00C101F7">
        <w:fldChar w:fldCharType="end"/>
      </w:r>
      <w:r w:rsidRPr="00BD6C5F">
        <w:t>.</w:t>
      </w:r>
    </w:p>
    <w:p w14:paraId="64E59C39" w14:textId="5D8EF5D1" w:rsidR="00BC7DDA" w:rsidRPr="00BD6C5F" w:rsidRDefault="009B03E9" w:rsidP="00C5057A">
      <w:pPr>
        <w:pStyle w:val="Numbered11"/>
      </w:pPr>
      <w:r w:rsidRPr="00BD6C5F">
        <w:t xml:space="preserve">All changes to the Outline Implementation Plan shall be subject to the Change Control Procedure provided that the Supplier shall not attempt to postpone any of the Milestones using the Change Control Procedure or otherwise (except in accordance with </w:t>
      </w:r>
      <w:r w:rsidR="005E736B" w:rsidRPr="00BD6C5F">
        <w:t>Clause </w:t>
      </w:r>
      <w:r w:rsidR="00A22CA1" w:rsidRPr="00BD6C5F">
        <w:t>29</w:t>
      </w:r>
      <w:r w:rsidRPr="00BD6C5F">
        <w:t xml:space="preserve"> (</w:t>
      </w:r>
      <w:r w:rsidRPr="00BD6C5F">
        <w:rPr>
          <w:i/>
        </w:rPr>
        <w:t>Authority Cause</w:t>
      </w:r>
      <w:r w:rsidRPr="00BD6C5F">
        <w:t>)).</w:t>
      </w:r>
    </w:p>
    <w:p w14:paraId="57A72B25" w14:textId="50A59FB1" w:rsidR="00BC7DDA" w:rsidRPr="00BD6C5F" w:rsidRDefault="00185D6A" w:rsidP="00C5057A">
      <w:pPr>
        <w:pStyle w:val="Numbered1"/>
      </w:pPr>
      <w:bookmarkStart w:id="451" w:name="_bookmark150"/>
      <w:bookmarkStart w:id="452" w:name="_Ref98257827"/>
      <w:bookmarkEnd w:id="451"/>
      <w:r w:rsidRPr="00BD6C5F">
        <w:t>Approval of the Detailed Implementation Plan</w:t>
      </w:r>
      <w:bookmarkEnd w:id="452"/>
    </w:p>
    <w:p w14:paraId="432F0E9F" w14:textId="77777777" w:rsidR="00BC7DDA" w:rsidRPr="00BD6C5F" w:rsidRDefault="009B03E9" w:rsidP="00C5057A">
      <w:pPr>
        <w:pStyle w:val="Numbered11"/>
      </w:pPr>
      <w:bookmarkStart w:id="453" w:name="_bookmark151"/>
      <w:bookmarkStart w:id="454" w:name="_Ref98410271"/>
      <w:bookmarkEnd w:id="453"/>
      <w:r w:rsidRPr="00BD6C5F">
        <w:t>The Supplier shall submit a draft of the Detailed Implementation Plan to the Authority for approval within 20 Working Days of the Effective Date.</w:t>
      </w:r>
      <w:bookmarkEnd w:id="454"/>
    </w:p>
    <w:p w14:paraId="7F50BDFA" w14:textId="77777777" w:rsidR="00BC7DDA" w:rsidRPr="00BD6C5F" w:rsidRDefault="009B03E9" w:rsidP="00A47A7E">
      <w:pPr>
        <w:pStyle w:val="Numbered11"/>
        <w:keepNext/>
      </w:pPr>
      <w:r w:rsidRPr="00BD6C5F">
        <w:t>The Supplier shall ensure that the draft Detailed Implementation Plan:</w:t>
      </w:r>
    </w:p>
    <w:p w14:paraId="57952651" w14:textId="77777777" w:rsidR="00BC7DDA" w:rsidRPr="00BD6C5F" w:rsidRDefault="009B03E9" w:rsidP="00185D6A">
      <w:pPr>
        <w:pStyle w:val="Numbered111"/>
      </w:pPr>
      <w:r w:rsidRPr="00BD6C5F">
        <w:t>incorporates all of the Milestones and Milestone Dates set out in the Outline Implementation Plan;</w:t>
      </w:r>
    </w:p>
    <w:p w14:paraId="0FEBCD11" w14:textId="13B880FA" w:rsidR="00BC7DDA" w:rsidRPr="00BD6C5F" w:rsidRDefault="009B03E9" w:rsidP="00A47A7E">
      <w:pPr>
        <w:pStyle w:val="Numbered111"/>
        <w:keepNext/>
      </w:pPr>
      <w:r w:rsidRPr="00BD6C5F">
        <w:t>includes (as a minimum) the Supplier</w:t>
      </w:r>
      <w:r w:rsidR="00A4555C" w:rsidRPr="00BD6C5F">
        <w:t>’</w:t>
      </w:r>
      <w:r w:rsidRPr="00BD6C5F">
        <w:t>s proposed timescales in respect of the following for each of the Milestones:</w:t>
      </w:r>
    </w:p>
    <w:p w14:paraId="6426BE45" w14:textId="77777777" w:rsidR="00BC7DDA" w:rsidRPr="00BD6C5F" w:rsidRDefault="009B03E9" w:rsidP="00381D62">
      <w:pPr>
        <w:pStyle w:val="Numbered111a"/>
        <w:rPr>
          <w:lang w:val="en-GB"/>
        </w:rPr>
      </w:pPr>
      <w:r w:rsidRPr="00BD6C5F">
        <w:rPr>
          <w:lang w:val="en-GB"/>
        </w:rPr>
        <w:t>the completion of each design document;</w:t>
      </w:r>
    </w:p>
    <w:p w14:paraId="3D5E46A4" w14:textId="77777777" w:rsidR="00BC7DDA" w:rsidRPr="00BD6C5F" w:rsidRDefault="009B03E9" w:rsidP="00185D6A">
      <w:pPr>
        <w:pStyle w:val="Numbered111a"/>
        <w:rPr>
          <w:lang w:val="en-GB"/>
        </w:rPr>
      </w:pPr>
      <w:r w:rsidRPr="00BD6C5F">
        <w:rPr>
          <w:lang w:val="en-GB"/>
        </w:rPr>
        <w:t>the completion of the build phase;</w:t>
      </w:r>
    </w:p>
    <w:p w14:paraId="64C8D8CB" w14:textId="1EB92CFB" w:rsidR="00BC7DDA" w:rsidRPr="00BD6C5F" w:rsidRDefault="009B03E9" w:rsidP="00185D6A">
      <w:pPr>
        <w:pStyle w:val="Numbered111a"/>
        <w:rPr>
          <w:lang w:val="en-GB"/>
        </w:rPr>
      </w:pPr>
      <w:r w:rsidRPr="00BD6C5F">
        <w:rPr>
          <w:lang w:val="en-GB"/>
        </w:rPr>
        <w:t xml:space="preserve">the completion of any Testing to be undertaken in accordance with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Schedule_14 \h </w:instrText>
      </w:r>
      <w:r w:rsidR="0019439D">
        <w:rPr>
          <w:rFonts w:asciiTheme="minorHAnsi" w:hAnsiTheme="minorHAnsi" w:cstheme="minorHAnsi"/>
        </w:rPr>
      </w:r>
      <w:r w:rsidR="0019439D">
        <w:rPr>
          <w:rFonts w:asciiTheme="minorHAnsi" w:hAnsiTheme="minorHAnsi" w:cstheme="minorHAnsi"/>
        </w:rPr>
        <w:fldChar w:fldCharType="separate"/>
      </w:r>
      <w:r w:rsidR="009749A0">
        <w:t>14</w:t>
      </w:r>
      <w:r w:rsidR="0019439D">
        <w:rPr>
          <w:rFonts w:asciiTheme="minorHAnsi" w:hAnsiTheme="minorHAnsi" w:cstheme="minorHAnsi"/>
        </w:rPr>
        <w:fldChar w:fldCharType="end"/>
      </w:r>
      <w:r w:rsidRPr="00BD6C5F">
        <w:rPr>
          <w:lang w:val="en-GB"/>
        </w:rPr>
        <w:t xml:space="preserve"> (</w:t>
      </w:r>
      <w:r w:rsidRPr="00BD6C5F">
        <w:rPr>
          <w:i/>
          <w:lang w:val="en-GB"/>
        </w:rPr>
        <w:t>Testing Procedures</w:t>
      </w:r>
      <w:r w:rsidRPr="00BD6C5F">
        <w:rPr>
          <w:lang w:val="en-GB"/>
        </w:rPr>
        <w:t>); and</w:t>
      </w:r>
    </w:p>
    <w:p w14:paraId="0831CE13" w14:textId="77777777" w:rsidR="00BC7DDA" w:rsidRPr="00BD6C5F" w:rsidRDefault="009B03E9" w:rsidP="00185D6A">
      <w:pPr>
        <w:pStyle w:val="Numbered111a"/>
        <w:rPr>
          <w:lang w:val="en-GB"/>
        </w:rPr>
      </w:pPr>
      <w:r w:rsidRPr="00BD6C5F">
        <w:rPr>
          <w:lang w:val="en-GB"/>
        </w:rPr>
        <w:t>training and roll-out activities;</w:t>
      </w:r>
    </w:p>
    <w:p w14:paraId="79BB58B6" w14:textId="77777777" w:rsidR="00BC7DDA" w:rsidRPr="00BD6C5F" w:rsidRDefault="009B03E9" w:rsidP="00185D6A">
      <w:pPr>
        <w:pStyle w:val="Numbered111"/>
      </w:pPr>
      <w:r w:rsidRPr="00BD6C5F">
        <w:t>clearly outlines all the steps required to implement the Milestones to be achieved in the next 15 months, together with a high level plan for the rest of the programme, in conformity with the Authority Requirements;</w:t>
      </w:r>
    </w:p>
    <w:p w14:paraId="23472598" w14:textId="77777777" w:rsidR="00BC7DDA" w:rsidRPr="00BD6C5F" w:rsidRDefault="009B03E9" w:rsidP="00A47A7E">
      <w:pPr>
        <w:pStyle w:val="Numbered111"/>
        <w:widowControl/>
      </w:pPr>
      <w:r w:rsidRPr="00BD6C5F">
        <w:lastRenderedPageBreak/>
        <w:t>clearly outlines the required roles and responsibilities of both Parties, including staffing requirements; and</w:t>
      </w:r>
    </w:p>
    <w:p w14:paraId="7B7A0C36" w14:textId="77777777" w:rsidR="00BC7DDA" w:rsidRPr="00BD6C5F" w:rsidRDefault="009B03E9" w:rsidP="00185D6A">
      <w:pPr>
        <w:pStyle w:val="Numbered111"/>
      </w:pPr>
      <w:r w:rsidRPr="00BD6C5F">
        <w:t>is produced using a software tool as specified, or agreed by the Authority.</w:t>
      </w:r>
    </w:p>
    <w:p w14:paraId="12BE8A2F" w14:textId="217F6F47" w:rsidR="00BC7DDA" w:rsidRPr="00BD6C5F" w:rsidRDefault="009B03E9" w:rsidP="00A47A7E">
      <w:pPr>
        <w:pStyle w:val="Numbered11"/>
        <w:keepNext/>
      </w:pPr>
      <w:r w:rsidRPr="00BD6C5F">
        <w:t xml:space="preserve">Prior to the submission of the draft Detailed Implementation Plan to the Authority in accordance with Paragraph </w:t>
      </w:r>
      <w:r w:rsidR="00F65834" w:rsidRPr="00BD6C5F">
        <w:fldChar w:fldCharType="begin"/>
      </w:r>
      <w:r w:rsidR="00F65834" w:rsidRPr="00BD6C5F">
        <w:instrText xml:space="preserve"> REF _Ref98410271 \n \h </w:instrText>
      </w:r>
      <w:r w:rsidR="00AD7DD0" w:rsidRPr="00BD6C5F">
        <w:instrText xml:space="preserve"> \* MERGEFORMAT </w:instrText>
      </w:r>
      <w:r w:rsidR="00F65834" w:rsidRPr="00BD6C5F">
        <w:fldChar w:fldCharType="separate"/>
      </w:r>
      <w:r w:rsidR="009749A0">
        <w:t>3.1</w:t>
      </w:r>
      <w:r w:rsidR="00F65834" w:rsidRPr="00BD6C5F">
        <w:fldChar w:fldCharType="end"/>
      </w:r>
      <w:r w:rsidRPr="00BD6C5F">
        <w:t>, the Authority shall have the right:</w:t>
      </w:r>
    </w:p>
    <w:p w14:paraId="32C7DE14" w14:textId="77777777" w:rsidR="00BC7DDA" w:rsidRPr="00BD6C5F" w:rsidRDefault="009B03E9" w:rsidP="00A47A7E">
      <w:pPr>
        <w:pStyle w:val="Numbered111"/>
        <w:keepNext/>
      </w:pPr>
      <w:r w:rsidRPr="00BD6C5F">
        <w:t>to review any documentation produced by the Supplier in relation to the development of the Detailed Implementation Plan, including:</w:t>
      </w:r>
    </w:p>
    <w:p w14:paraId="389F772A" w14:textId="21F26B63" w:rsidR="00BC7DDA" w:rsidRPr="00BD6C5F" w:rsidRDefault="009B03E9" w:rsidP="00381D62">
      <w:pPr>
        <w:pStyle w:val="Numbered111a"/>
      </w:pPr>
      <w:r w:rsidRPr="00BD6C5F">
        <w:t>details of the Supplier</w:t>
      </w:r>
      <w:r w:rsidR="00A4555C" w:rsidRPr="00BD6C5F">
        <w:t>’</w:t>
      </w:r>
      <w:r w:rsidRPr="00BD6C5F">
        <w:t>s intended approach to the Detailed Implementation Plan and its development;</w:t>
      </w:r>
    </w:p>
    <w:p w14:paraId="58AB4E30" w14:textId="77777777" w:rsidR="00BC7DDA" w:rsidRPr="00BD6C5F" w:rsidRDefault="009B03E9" w:rsidP="00185D6A">
      <w:pPr>
        <w:pStyle w:val="Numbered111a"/>
        <w:rPr>
          <w:lang w:val="en-GB"/>
        </w:rPr>
      </w:pPr>
      <w:r w:rsidRPr="00BD6C5F">
        <w:rPr>
          <w:lang w:val="en-GB"/>
        </w:rPr>
        <w:t>copies of any drafts of the Detailed Implementation Plan produced by the Supplier; and</w:t>
      </w:r>
    </w:p>
    <w:p w14:paraId="3EE36FAA" w14:textId="77777777" w:rsidR="00BC7DDA" w:rsidRPr="00BD6C5F" w:rsidRDefault="009B03E9" w:rsidP="00185D6A">
      <w:pPr>
        <w:pStyle w:val="Numbered111a"/>
        <w:rPr>
          <w:lang w:val="en-GB"/>
        </w:rPr>
      </w:pPr>
      <w:r w:rsidRPr="00BD6C5F">
        <w:rPr>
          <w:lang w:val="en-GB"/>
        </w:rPr>
        <w:t>any other work in progress in relation to the Detailed Implementation Plan; and</w:t>
      </w:r>
    </w:p>
    <w:p w14:paraId="363F99A3" w14:textId="77777777" w:rsidR="00BC7DDA" w:rsidRPr="00BD6C5F" w:rsidRDefault="009B03E9" w:rsidP="00185D6A">
      <w:pPr>
        <w:pStyle w:val="Numbered111"/>
      </w:pPr>
      <w:r w:rsidRPr="00BD6C5F">
        <w:t>to require the Supplier to include any reasonable changes or provisions in the Detailed Implementation Plan.</w:t>
      </w:r>
    </w:p>
    <w:p w14:paraId="40F5C3A1" w14:textId="77777777" w:rsidR="00BC7DDA" w:rsidRPr="00BD6C5F" w:rsidRDefault="009B03E9" w:rsidP="00A47A7E">
      <w:pPr>
        <w:pStyle w:val="Numbered11"/>
        <w:keepNext/>
      </w:pPr>
      <w:bookmarkStart w:id="455" w:name="_bookmark152"/>
      <w:bookmarkStart w:id="456" w:name="_Ref98410283"/>
      <w:bookmarkEnd w:id="455"/>
      <w:r w:rsidRPr="00BD6C5F">
        <w:t>Following receipt of the draft Detailed Implementation Plan from the Supplier, the Authority shall:</w:t>
      </w:r>
      <w:bookmarkEnd w:id="456"/>
    </w:p>
    <w:p w14:paraId="2F5EC0EB" w14:textId="77777777" w:rsidR="00BC7DDA" w:rsidRPr="00BD6C5F" w:rsidRDefault="009B03E9" w:rsidP="00185D6A">
      <w:pPr>
        <w:pStyle w:val="Numbered111"/>
      </w:pPr>
      <w:r w:rsidRPr="00BD6C5F">
        <w:t>review and comment on the draft Detailed Implementation Plan as soon as reasonably practicable; and</w:t>
      </w:r>
    </w:p>
    <w:p w14:paraId="611BD182" w14:textId="77777777" w:rsidR="00BC7DDA" w:rsidRPr="00BD6C5F" w:rsidRDefault="009B03E9" w:rsidP="00185D6A">
      <w:pPr>
        <w:pStyle w:val="Numbered111"/>
      </w:pPr>
      <w:r w:rsidRPr="00BD6C5F">
        <w:t>notify the Supplier in writing that it approves or rejects the draft Detailed Implementation Plan no later than 20 Working Days after the date on which the draft Detailed Implementation Plan is first delivered to the Authority.</w:t>
      </w:r>
    </w:p>
    <w:p w14:paraId="034155C7" w14:textId="77777777" w:rsidR="00BC7DDA" w:rsidRPr="00BD6C5F" w:rsidRDefault="009B03E9" w:rsidP="00A47A7E">
      <w:pPr>
        <w:pStyle w:val="Numbered11"/>
        <w:keepNext/>
      </w:pPr>
      <w:bookmarkStart w:id="457" w:name="_bookmark153"/>
      <w:bookmarkStart w:id="458" w:name="_Ref98410291"/>
      <w:bookmarkEnd w:id="457"/>
      <w:r w:rsidRPr="00BD6C5F">
        <w:t>If the Authority rejects the draft Detailed Implementation Plan:</w:t>
      </w:r>
      <w:bookmarkEnd w:id="458"/>
    </w:p>
    <w:p w14:paraId="7C8455D5" w14:textId="77777777" w:rsidR="00BC7DDA" w:rsidRPr="00BD6C5F" w:rsidRDefault="009B03E9" w:rsidP="00185D6A">
      <w:pPr>
        <w:pStyle w:val="Numbered111"/>
      </w:pPr>
      <w:r w:rsidRPr="00BD6C5F">
        <w:t>the Authority shall inform the Supplier in writing of its reasons for its rejection; and</w:t>
      </w:r>
    </w:p>
    <w:p w14:paraId="7BDDC277" w14:textId="6BAAA870" w:rsidR="00BC7DDA" w:rsidRPr="00BD6C5F" w:rsidRDefault="009B03E9" w:rsidP="00185D6A">
      <w:pPr>
        <w:pStyle w:val="Numbered111"/>
      </w:pPr>
      <w:r w:rsidRPr="00BD6C5F">
        <w:t>the Supplier shall then revise the draft Detailed Implementation Plan (taking reasonable account of the Authority</w:t>
      </w:r>
      <w:r w:rsidR="00A4555C" w:rsidRPr="00BD6C5F">
        <w:t>’</w:t>
      </w:r>
      <w:r w:rsidRPr="00BD6C5F">
        <w:t>s comments) and shall re-submit a revised draft Detailed Implementation Plan to the Authority for the Authority</w:t>
      </w:r>
      <w:r w:rsidR="00A4555C" w:rsidRPr="00BD6C5F">
        <w:t>’</w:t>
      </w:r>
      <w:r w:rsidRPr="00BD6C5F">
        <w:t>s approval within 20 Working Days of the date of the Authority</w:t>
      </w:r>
      <w:r w:rsidR="00A4555C" w:rsidRPr="00BD6C5F">
        <w:t>’</w:t>
      </w:r>
      <w:r w:rsidRPr="00BD6C5F">
        <w:t xml:space="preserve">s notice of rejection. The provisions of Paragraph </w:t>
      </w:r>
      <w:r w:rsidR="00F65834" w:rsidRPr="00BD6C5F">
        <w:fldChar w:fldCharType="begin"/>
      </w:r>
      <w:r w:rsidR="00F65834" w:rsidRPr="00BD6C5F">
        <w:instrText xml:space="preserve"> REF _Ref98410283 \n \h </w:instrText>
      </w:r>
      <w:r w:rsidR="00AD7DD0" w:rsidRPr="00BD6C5F">
        <w:instrText xml:space="preserve"> \* MERGEFORMAT </w:instrText>
      </w:r>
      <w:r w:rsidR="00F65834" w:rsidRPr="00BD6C5F">
        <w:fldChar w:fldCharType="separate"/>
      </w:r>
      <w:r w:rsidR="009749A0">
        <w:t>3.4</w:t>
      </w:r>
      <w:r w:rsidR="00F65834" w:rsidRPr="00BD6C5F">
        <w:fldChar w:fldCharType="end"/>
      </w:r>
      <w:r w:rsidRPr="00BD6C5F">
        <w:t xml:space="preserve"> and this Paragraph </w:t>
      </w:r>
      <w:r w:rsidR="00F65834" w:rsidRPr="00BD6C5F">
        <w:fldChar w:fldCharType="begin"/>
      </w:r>
      <w:r w:rsidR="00F65834" w:rsidRPr="00BD6C5F">
        <w:instrText xml:space="preserve"> REF _Ref98410291 \n \h </w:instrText>
      </w:r>
      <w:r w:rsidR="00AD7DD0" w:rsidRPr="00BD6C5F">
        <w:instrText xml:space="preserve"> \* MERGEFORMAT </w:instrText>
      </w:r>
      <w:r w:rsidR="00F65834" w:rsidRPr="00BD6C5F">
        <w:fldChar w:fldCharType="separate"/>
      </w:r>
      <w:r w:rsidR="009749A0">
        <w:t>3.5</w:t>
      </w:r>
      <w:r w:rsidR="00F65834" w:rsidRPr="00BD6C5F">
        <w:fldChar w:fldCharType="end"/>
      </w:r>
      <w:r w:rsidRPr="00BD6C5F">
        <w:t xml:space="preserve"> shall apply again to any resubmitted draft Detailed Implementation Plan, provided that either Party may refer any disputed matters for resolution by the Dispute Resolution Procedure at any time.</w:t>
      </w:r>
    </w:p>
    <w:p w14:paraId="057A4A57" w14:textId="49643E87" w:rsidR="00BC7DDA" w:rsidRPr="00BD6C5F" w:rsidRDefault="009B03E9" w:rsidP="00C5057A">
      <w:pPr>
        <w:pStyle w:val="Numbered11"/>
      </w:pPr>
      <w:r w:rsidRPr="00BD6C5F">
        <w:t>If the Authority approves the draft Detailed Implementation Plan, it shall replace the Outline Implementation Plan from the date of the Authority</w:t>
      </w:r>
      <w:r w:rsidR="00A4555C" w:rsidRPr="00BD6C5F">
        <w:t>’</w:t>
      </w:r>
      <w:r w:rsidRPr="00BD6C5F">
        <w:t>s notice of approval.</w:t>
      </w:r>
    </w:p>
    <w:p w14:paraId="3F82AFDE" w14:textId="17FA6E71" w:rsidR="00BC7DDA" w:rsidRPr="00BD6C5F" w:rsidRDefault="00185D6A" w:rsidP="00C5057A">
      <w:pPr>
        <w:pStyle w:val="Numbered1"/>
      </w:pPr>
      <w:bookmarkStart w:id="459" w:name="_bookmark154"/>
      <w:bookmarkStart w:id="460" w:name="_Ref98257865"/>
      <w:bookmarkEnd w:id="459"/>
      <w:r w:rsidRPr="00BD6C5F">
        <w:lastRenderedPageBreak/>
        <w:t>Updates to and Maintenance of the Detailed Implementation Plan</w:t>
      </w:r>
      <w:bookmarkEnd w:id="460"/>
    </w:p>
    <w:p w14:paraId="13A19D56" w14:textId="77777777" w:rsidR="00BC7DDA" w:rsidRPr="00BD6C5F" w:rsidRDefault="009B03E9" w:rsidP="00A47A7E">
      <w:pPr>
        <w:pStyle w:val="Numbered11"/>
        <w:keepNext/>
      </w:pPr>
      <w:r w:rsidRPr="00BD6C5F">
        <w:t>Following the approval of the Detailed Implementation Plan by the Authority:</w:t>
      </w:r>
    </w:p>
    <w:p w14:paraId="1D17EC6F" w14:textId="5079341B" w:rsidR="00BC7DDA" w:rsidRPr="00BD6C5F" w:rsidRDefault="009B03E9" w:rsidP="00A47A7E">
      <w:pPr>
        <w:pStyle w:val="Numbered111"/>
        <w:widowControl/>
      </w:pPr>
      <w:bookmarkStart w:id="461" w:name="_bookmark155"/>
      <w:bookmarkStart w:id="462" w:name="_Ref98410306"/>
      <w:bookmarkEnd w:id="461"/>
      <w:r w:rsidRPr="00BD6C5F">
        <w:t>the Supplier shall submit a revised Detailed Implementation Plan to the Authority every 3 months starting 3 months from the Effective Date;</w:t>
      </w:r>
      <w:bookmarkEnd w:id="462"/>
    </w:p>
    <w:p w14:paraId="39D61480" w14:textId="3F9CADD0" w:rsidR="00BC7DDA" w:rsidRPr="00BD6C5F" w:rsidRDefault="009B03E9" w:rsidP="00185D6A">
      <w:pPr>
        <w:pStyle w:val="Numbered111"/>
      </w:pPr>
      <w:r w:rsidRPr="00BD6C5F">
        <w:t xml:space="preserve">without prejudice to Paragraph </w:t>
      </w:r>
      <w:r w:rsidR="00F65834" w:rsidRPr="00BD6C5F">
        <w:fldChar w:fldCharType="begin"/>
      </w:r>
      <w:r w:rsidR="00F65834" w:rsidRPr="00BD6C5F">
        <w:instrText xml:space="preserve"> REF _Ref98410306 \w \h </w:instrText>
      </w:r>
      <w:r w:rsidR="00AD7DD0" w:rsidRPr="00BD6C5F">
        <w:instrText xml:space="preserve"> \* MERGEFORMAT </w:instrText>
      </w:r>
      <w:r w:rsidR="00F65834" w:rsidRPr="00BD6C5F">
        <w:fldChar w:fldCharType="separate"/>
      </w:r>
      <w:r w:rsidR="009749A0">
        <w:t>4.1.1</w:t>
      </w:r>
      <w:r w:rsidR="00F65834" w:rsidRPr="00BD6C5F">
        <w:fldChar w:fldCharType="end"/>
      </w:r>
      <w:r w:rsidRPr="00BD6C5F">
        <w:t>, the Authority shall be entitled to request a revised Detailed Implementation Plan at any time by giving written notice to the Supplier and the Supplier shall submit a draft revised Detailed Implementation Plan to the Authority within 20 Working Days of receiving such a request from the Authority (or such longer period as the Parties may agree provided that any failure to agree such longer period shall be referred to the Dispute Resolution Procedure);</w:t>
      </w:r>
    </w:p>
    <w:p w14:paraId="64DD327D" w14:textId="3C44FC89" w:rsidR="00BC7DDA" w:rsidRPr="00BD6C5F" w:rsidRDefault="009B03E9" w:rsidP="00185D6A">
      <w:pPr>
        <w:pStyle w:val="Numbered111"/>
      </w:pPr>
      <w:r w:rsidRPr="00BD6C5F">
        <w:t xml:space="preserve">any revised Detailed Implementation Plan shall (subject to Paragraph </w:t>
      </w:r>
      <w:r w:rsidR="00F65834" w:rsidRPr="00BD6C5F">
        <w:fldChar w:fldCharType="begin"/>
      </w:r>
      <w:r w:rsidR="00F65834" w:rsidRPr="00BD6C5F">
        <w:instrText xml:space="preserve"> REF _Ref98410321 \n \h </w:instrText>
      </w:r>
      <w:r w:rsidR="00AD7DD0" w:rsidRPr="00BD6C5F">
        <w:instrText xml:space="preserve"> \* MERGEFORMAT </w:instrText>
      </w:r>
      <w:r w:rsidR="00F65834" w:rsidRPr="00BD6C5F">
        <w:fldChar w:fldCharType="separate"/>
      </w:r>
      <w:r w:rsidR="009749A0">
        <w:t>4.2</w:t>
      </w:r>
      <w:r w:rsidR="00F65834" w:rsidRPr="00BD6C5F">
        <w:fldChar w:fldCharType="end"/>
      </w:r>
      <w:r w:rsidRPr="00BD6C5F">
        <w:t xml:space="preserve">) be submitted by the Supplier for approval in accordance with the procedure set out in Paragraph </w:t>
      </w:r>
      <w:r w:rsidR="00F65834" w:rsidRPr="00BD6C5F">
        <w:fldChar w:fldCharType="begin"/>
      </w:r>
      <w:r w:rsidR="00F65834" w:rsidRPr="00BD6C5F">
        <w:instrText xml:space="preserve"> REF _Ref98257827 \n \h </w:instrText>
      </w:r>
      <w:r w:rsidR="00AD7DD0" w:rsidRPr="00BD6C5F">
        <w:instrText xml:space="preserve"> \* MERGEFORMAT </w:instrText>
      </w:r>
      <w:r w:rsidR="00F65834" w:rsidRPr="00BD6C5F">
        <w:fldChar w:fldCharType="separate"/>
      </w:r>
      <w:r w:rsidR="009749A0">
        <w:t>3</w:t>
      </w:r>
      <w:r w:rsidR="00F65834" w:rsidRPr="00BD6C5F">
        <w:fldChar w:fldCharType="end"/>
      </w:r>
      <w:r w:rsidRPr="00BD6C5F">
        <w:t>; and</w:t>
      </w:r>
    </w:p>
    <w:p w14:paraId="14E6C3E6" w14:textId="4899923A" w:rsidR="00BC7DDA" w:rsidRPr="00BD6C5F" w:rsidRDefault="009B03E9" w:rsidP="00185D6A">
      <w:pPr>
        <w:pStyle w:val="Numbered111"/>
      </w:pPr>
      <w:r w:rsidRPr="00BD6C5F">
        <w:t>the Supplier</w:t>
      </w:r>
      <w:r w:rsidR="00A4555C" w:rsidRPr="00BD6C5F">
        <w:t>’</w:t>
      </w:r>
      <w:r w:rsidRPr="00BD6C5F">
        <w:t xml:space="preserve">s performance against the Implementation Plan shall be monitored at meetings of the Service Management Board (as defined in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Schedule_21 \h </w:instrText>
      </w:r>
      <w:r w:rsidR="00346653">
        <w:rPr>
          <w:rFonts w:asciiTheme="minorHAnsi" w:hAnsiTheme="minorHAnsi" w:cstheme="minorHAnsi"/>
        </w:rPr>
      </w:r>
      <w:r w:rsidR="00346653">
        <w:rPr>
          <w:rFonts w:asciiTheme="minorHAnsi" w:hAnsiTheme="minorHAnsi" w:cstheme="minorHAnsi"/>
        </w:rPr>
        <w:fldChar w:fldCharType="separate"/>
      </w:r>
      <w:r w:rsidR="009749A0">
        <w:t>21</w:t>
      </w:r>
      <w:r w:rsidR="00346653">
        <w:rPr>
          <w:rFonts w:asciiTheme="minorHAnsi" w:hAnsiTheme="minorHAnsi" w:cstheme="minorHAnsi"/>
        </w:rPr>
        <w:fldChar w:fldCharType="end"/>
      </w:r>
      <w:r w:rsidRPr="00BD6C5F">
        <w:t xml:space="preserve"> (</w:t>
      </w:r>
      <w:r w:rsidRPr="00BD6C5F">
        <w:rPr>
          <w:i/>
        </w:rPr>
        <w:t>Governance</w:t>
      </w:r>
      <w:r w:rsidRPr="00BD6C5F">
        <w:t>). In preparation for such meetings, the current Detailed Implementation Plan shall be provided by the Supplier to the Authority not less than 5 Working Days in advance of each meeting of the Service Management Board.</w:t>
      </w:r>
    </w:p>
    <w:p w14:paraId="73F603E7" w14:textId="567A6E6B" w:rsidR="00BC7DDA" w:rsidRPr="00BD6C5F" w:rsidRDefault="009B03E9" w:rsidP="00C5057A">
      <w:pPr>
        <w:pStyle w:val="Numbered11"/>
      </w:pPr>
      <w:bookmarkStart w:id="463" w:name="_bookmark156"/>
      <w:bookmarkStart w:id="464" w:name="_Ref98410321"/>
      <w:bookmarkEnd w:id="463"/>
      <w:r w:rsidRPr="00BD6C5F">
        <w:t>Save for any amendments which are of a type identified and notified by the Authority (at the Authority</w:t>
      </w:r>
      <w:r w:rsidR="00A4555C" w:rsidRPr="00BD6C5F">
        <w:t>’</w:t>
      </w:r>
      <w:r w:rsidRPr="00BD6C5F">
        <w:t>s discretion) to the Supplier in writing as not requiring approval, any material amendments to the Detailed Implementation Plan shall be subject to the Change Control Procedure provided that:</w:t>
      </w:r>
      <w:bookmarkEnd w:id="464"/>
    </w:p>
    <w:p w14:paraId="40009B58" w14:textId="77777777" w:rsidR="00BC7DDA" w:rsidRPr="00BD6C5F" w:rsidRDefault="009B03E9" w:rsidP="00185D6A">
      <w:pPr>
        <w:pStyle w:val="Numbered111"/>
      </w:pPr>
      <w:r w:rsidRPr="00BD6C5F">
        <w:t>any amendments to elements of the Detailed Implementation Plan which are based on the contents of the Outline Implementation Plan shall be deemed to be material amendments; and</w:t>
      </w:r>
    </w:p>
    <w:p w14:paraId="7254647E" w14:textId="4F93721D" w:rsidR="00BC7DDA" w:rsidRPr="00BD6C5F" w:rsidRDefault="009B03E9" w:rsidP="00185D6A">
      <w:pPr>
        <w:pStyle w:val="Numbered111"/>
      </w:pPr>
      <w:r w:rsidRPr="00BD6C5F">
        <w:t xml:space="preserve">in no circumstances shall the Supplier be entitled to alter or request an alteration to any Milestone Date except in accordance with </w:t>
      </w:r>
      <w:r w:rsidR="005E736B" w:rsidRPr="00BD6C5F">
        <w:t>Clause </w:t>
      </w:r>
      <w:r w:rsidR="00A22CA1" w:rsidRPr="00BD6C5F">
        <w:t>29</w:t>
      </w:r>
      <w:r w:rsidRPr="00BD6C5F">
        <w:t xml:space="preserve"> (</w:t>
      </w:r>
      <w:r w:rsidRPr="00BD6C5F">
        <w:rPr>
          <w:i/>
        </w:rPr>
        <w:t>Authority Cause</w:t>
      </w:r>
      <w:r w:rsidRPr="00BD6C5F">
        <w:t>).</w:t>
      </w:r>
    </w:p>
    <w:p w14:paraId="2AA03AB3" w14:textId="77777777" w:rsidR="00BC7DDA" w:rsidRPr="00BD6C5F" w:rsidRDefault="009B03E9" w:rsidP="00C5057A">
      <w:pPr>
        <w:pStyle w:val="Numbered11"/>
      </w:pPr>
      <w:r w:rsidRPr="00BD6C5F">
        <w:t>Any proposed amendments to the Detailed Implementation Plan shall not come into force until they have been approved in writing by the Authority.</w:t>
      </w:r>
    </w:p>
    <w:p w14:paraId="5FF8A17E" w14:textId="243FFF49" w:rsidR="00BC7DDA" w:rsidRPr="00BD6C5F" w:rsidRDefault="00185D6A" w:rsidP="00C5057A">
      <w:pPr>
        <w:pStyle w:val="Numbered1"/>
      </w:pPr>
      <w:r w:rsidRPr="00BD6C5F">
        <w:t>Government Reviews</w:t>
      </w:r>
    </w:p>
    <w:p w14:paraId="60584F04" w14:textId="77777777" w:rsidR="00BC7DDA" w:rsidRPr="00BD6C5F" w:rsidRDefault="009B03E9" w:rsidP="00C5057A">
      <w:pPr>
        <w:pStyle w:val="Numbered11"/>
      </w:pPr>
      <w:r w:rsidRPr="00BD6C5F">
        <w:t>The Supplier acknowledges that the Services may be subject to Government review at key stages of the project. The Supplier shall cooperate with any bodies undertaking such review and shall allow for such reasonable assistance as may be required for this purpose within the Charges.</w:t>
      </w:r>
    </w:p>
    <w:p w14:paraId="786D440E" w14:textId="77777777" w:rsidR="00A61E0D" w:rsidRPr="00BD6C5F" w:rsidRDefault="00A61E0D">
      <w:pPr>
        <w:rPr>
          <w:rFonts w:asciiTheme="minorHAnsi" w:hAnsiTheme="minorHAnsi" w:cstheme="minorHAnsi"/>
        </w:rPr>
      </w:pPr>
    </w:p>
    <w:p w14:paraId="12431E43" w14:textId="36F1E1B9" w:rsidR="003D4F45" w:rsidRPr="00BD6C5F" w:rsidRDefault="003D4F45">
      <w:pPr>
        <w:rPr>
          <w:rFonts w:asciiTheme="minorHAnsi" w:hAnsiTheme="minorHAnsi" w:cstheme="minorHAnsi"/>
          <w:szCs w:val="24"/>
        </w:rPr>
      </w:pPr>
      <w:r w:rsidRPr="00BD6C5F">
        <w:rPr>
          <w:rFonts w:asciiTheme="minorHAnsi" w:hAnsiTheme="minorHAnsi" w:cstheme="minorHAnsi"/>
        </w:rPr>
        <w:br w:type="page"/>
      </w:r>
    </w:p>
    <w:p w14:paraId="37459674" w14:textId="148F14CD" w:rsidR="00BC7DDA" w:rsidRPr="00BD6C5F" w:rsidRDefault="00185D6A" w:rsidP="00A61E0D">
      <w:pPr>
        <w:pStyle w:val="Heading2"/>
      </w:pPr>
      <w:bookmarkStart w:id="465" w:name="_bookmark157"/>
      <w:bookmarkStart w:id="466" w:name="_Toc98332729"/>
      <w:bookmarkStart w:id="467" w:name="_Ref98334641"/>
      <w:bookmarkStart w:id="468" w:name="_Ref98341685"/>
      <w:bookmarkStart w:id="469" w:name="_Toc98852906"/>
      <w:bookmarkStart w:id="470" w:name="_Toc141720998"/>
      <w:bookmarkEnd w:id="465"/>
      <w:r w:rsidRPr="00BD6C5F">
        <w:lastRenderedPageBreak/>
        <w:t xml:space="preserve">Annex </w:t>
      </w:r>
      <w:bookmarkStart w:id="471" w:name="Schedule_13_Annex_1"/>
      <w:r w:rsidR="00EF1BFD">
        <w:t>1</w:t>
      </w:r>
      <w:bookmarkEnd w:id="471"/>
      <w:r w:rsidRPr="00BD6C5F">
        <w:t>: Outline Implementation Plan</w:t>
      </w:r>
      <w:bookmarkEnd w:id="466"/>
      <w:bookmarkEnd w:id="467"/>
      <w:bookmarkEnd w:id="468"/>
      <w:bookmarkEnd w:id="469"/>
      <w:bookmarkEnd w:id="470"/>
    </w:p>
    <w:tbl>
      <w:tblPr>
        <w:tblStyle w:val="MSATable-header"/>
        <w:tblW w:w="10261" w:type="dxa"/>
        <w:tblLayout w:type="fixed"/>
        <w:tblLook w:val="0620" w:firstRow="1" w:lastRow="0" w:firstColumn="0" w:lastColumn="0" w:noHBand="1" w:noVBand="1"/>
      </w:tblPr>
      <w:tblGrid>
        <w:gridCol w:w="1885"/>
        <w:gridCol w:w="2933"/>
        <w:gridCol w:w="1276"/>
        <w:gridCol w:w="1276"/>
        <w:gridCol w:w="1984"/>
        <w:gridCol w:w="907"/>
      </w:tblGrid>
      <w:tr w:rsidR="00BC7DDA" w:rsidRPr="00BD6C5F" w14:paraId="56D792E7" w14:textId="77777777" w:rsidTr="00A47A7E">
        <w:trPr>
          <w:cnfStyle w:val="100000000000" w:firstRow="1" w:lastRow="0" w:firstColumn="0" w:lastColumn="0" w:oddVBand="0" w:evenVBand="0" w:oddHBand="0" w:evenHBand="0" w:firstRowFirstColumn="0" w:firstRowLastColumn="0" w:lastRowFirstColumn="0" w:lastRowLastColumn="0"/>
          <w:trHeight w:val="20"/>
          <w:tblHeader/>
        </w:trPr>
        <w:tc>
          <w:tcPr>
            <w:tcW w:w="1885" w:type="dxa"/>
          </w:tcPr>
          <w:p w14:paraId="1F1D3D35"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Milestone</w:t>
            </w:r>
          </w:p>
        </w:tc>
        <w:tc>
          <w:tcPr>
            <w:tcW w:w="2933" w:type="dxa"/>
          </w:tcPr>
          <w:p w14:paraId="3FC1CF61"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Deliverables</w:t>
            </w:r>
          </w:p>
          <w:p w14:paraId="093D8DC4" w14:textId="77777777" w:rsidR="00BC7DDA" w:rsidRPr="00BD6C5F" w:rsidRDefault="009B03E9" w:rsidP="00A61E0D">
            <w:pPr>
              <w:pStyle w:val="Tabletext"/>
              <w:rPr>
                <w:rFonts w:asciiTheme="minorHAnsi" w:hAnsiTheme="minorHAnsi" w:cstheme="minorHAnsi"/>
                <w:iCs/>
                <w:sz w:val="22"/>
                <w:szCs w:val="22"/>
              </w:rPr>
            </w:pPr>
            <w:r w:rsidRPr="00BD6C5F">
              <w:rPr>
                <w:rFonts w:asciiTheme="minorHAnsi" w:hAnsiTheme="minorHAnsi" w:cstheme="minorHAnsi"/>
                <w:iCs/>
                <w:sz w:val="22"/>
                <w:szCs w:val="22"/>
              </w:rPr>
              <w:t>(bulleted list showing all Deliverables (and associated tasks) required for each Milestone)</w:t>
            </w:r>
          </w:p>
        </w:tc>
        <w:tc>
          <w:tcPr>
            <w:tcW w:w="1276" w:type="dxa"/>
          </w:tcPr>
          <w:p w14:paraId="19743D4C" w14:textId="77777777" w:rsidR="00BC7DDA" w:rsidRPr="00BD6C5F" w:rsidRDefault="009B03E9" w:rsidP="00A61E0D">
            <w:pPr>
              <w:pStyle w:val="Tabletext"/>
              <w:rPr>
                <w:rFonts w:asciiTheme="minorHAnsi" w:hAnsiTheme="minorHAnsi" w:cstheme="minorHAnsi"/>
                <w:i/>
              </w:rPr>
            </w:pPr>
            <w:r w:rsidRPr="00BD6C5F">
              <w:rPr>
                <w:rFonts w:asciiTheme="minorHAnsi" w:hAnsiTheme="minorHAnsi" w:cstheme="minorHAnsi"/>
              </w:rPr>
              <w:t xml:space="preserve">Duration </w:t>
            </w:r>
            <w:r w:rsidRPr="00BD6C5F">
              <w:rPr>
                <w:rFonts w:asciiTheme="minorHAnsi" w:hAnsiTheme="minorHAnsi" w:cstheme="minorHAnsi"/>
                <w:iCs/>
                <w:sz w:val="22"/>
                <w:szCs w:val="22"/>
              </w:rPr>
              <w:t>(Working Days)</w:t>
            </w:r>
          </w:p>
        </w:tc>
        <w:tc>
          <w:tcPr>
            <w:tcW w:w="1276" w:type="dxa"/>
          </w:tcPr>
          <w:p w14:paraId="1B603CB7"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Milestone Date</w:t>
            </w:r>
          </w:p>
        </w:tc>
        <w:tc>
          <w:tcPr>
            <w:tcW w:w="1984" w:type="dxa"/>
          </w:tcPr>
          <w:p w14:paraId="5606037C" w14:textId="768AFE5D" w:rsidR="00BC7DDA" w:rsidRPr="00BD6C5F" w:rsidRDefault="009B03E9" w:rsidP="00A61E0D">
            <w:pPr>
              <w:pStyle w:val="Tabletext"/>
              <w:rPr>
                <w:rFonts w:asciiTheme="minorHAnsi" w:hAnsiTheme="minorHAnsi" w:cstheme="minorHAnsi"/>
                <w:i/>
              </w:rPr>
            </w:pPr>
            <w:r w:rsidRPr="00BD6C5F">
              <w:rPr>
                <w:rFonts w:asciiTheme="minorHAnsi" w:hAnsiTheme="minorHAnsi" w:cstheme="minorHAnsi"/>
              </w:rPr>
              <w:t>Authority Responsib</w:t>
            </w:r>
            <w:r w:rsidR="00971138" w:rsidRPr="00BD6C5F">
              <w:rPr>
                <w:rFonts w:asciiTheme="minorHAnsi" w:hAnsiTheme="minorHAnsi" w:cstheme="minorHAnsi"/>
              </w:rPr>
              <w:t>i</w:t>
            </w:r>
            <w:r w:rsidRPr="00BD6C5F">
              <w:rPr>
                <w:rFonts w:asciiTheme="minorHAnsi" w:hAnsiTheme="minorHAnsi" w:cstheme="minorHAnsi"/>
              </w:rPr>
              <w:t xml:space="preserve">lities </w:t>
            </w:r>
            <w:r w:rsidRPr="00BD6C5F">
              <w:rPr>
                <w:rFonts w:asciiTheme="minorHAnsi" w:hAnsiTheme="minorHAnsi" w:cstheme="minorHAnsi"/>
                <w:iCs/>
                <w:sz w:val="22"/>
                <w:szCs w:val="22"/>
              </w:rPr>
              <w:t>(if applicable)</w:t>
            </w:r>
          </w:p>
        </w:tc>
        <w:tc>
          <w:tcPr>
            <w:tcW w:w="907" w:type="dxa"/>
          </w:tcPr>
          <w:p w14:paraId="3FC07F11"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Link to ATP/ CPP</w:t>
            </w:r>
          </w:p>
        </w:tc>
      </w:tr>
      <w:tr w:rsidR="00A61E0D" w:rsidRPr="00BD6C5F" w14:paraId="56FBD095" w14:textId="77777777" w:rsidTr="00A47A7E">
        <w:trPr>
          <w:trHeight w:val="20"/>
        </w:trPr>
        <w:tc>
          <w:tcPr>
            <w:tcW w:w="1885" w:type="dxa"/>
          </w:tcPr>
          <w:p w14:paraId="272B9F0E" w14:textId="2D803C10" w:rsidR="00A61E0D" w:rsidRPr="00BD6C5F" w:rsidRDefault="00A61E0D" w:rsidP="00A61E0D">
            <w:pPr>
              <w:pStyle w:val="Tabletext"/>
            </w:pPr>
            <w:r w:rsidRPr="00BD6C5F">
              <w:t>Concept Design</w:t>
            </w:r>
          </w:p>
        </w:tc>
        <w:tc>
          <w:tcPr>
            <w:tcW w:w="2933" w:type="dxa"/>
          </w:tcPr>
          <w:p w14:paraId="0490D448" w14:textId="6C5A076D" w:rsidR="00A61E0D" w:rsidRPr="00BD6C5F" w:rsidRDefault="00A61E0D" w:rsidP="00A61E0D">
            <w:pPr>
              <w:pStyle w:val="Tabletext"/>
              <w:rPr>
                <w:highlight w:val="yellow"/>
              </w:rPr>
            </w:pPr>
            <w:r w:rsidRPr="00BD6C5F">
              <w:rPr>
                <w:highlight w:val="yellow"/>
              </w:rPr>
              <w:t>[Statement of Requirements</w:t>
            </w:r>
          </w:p>
          <w:p w14:paraId="1E19CE27" w14:textId="58D18C41" w:rsidR="00A61E0D" w:rsidRPr="00BD6C5F" w:rsidRDefault="00A61E0D" w:rsidP="00A61E0D">
            <w:pPr>
              <w:pStyle w:val="Tabletext"/>
              <w:rPr>
                <w:highlight w:val="yellow"/>
              </w:rPr>
            </w:pPr>
            <w:r w:rsidRPr="00BD6C5F">
              <w:rPr>
                <w:highlight w:val="yellow"/>
              </w:rPr>
              <w:t>System/Application</w:t>
            </w:r>
            <w:r w:rsidR="00042DE0" w:rsidRPr="00BD6C5F">
              <w:rPr>
                <w:highlight w:val="yellow"/>
              </w:rPr>
              <w:t xml:space="preserve"> </w:t>
            </w:r>
            <w:r w:rsidRPr="00BD6C5F">
              <w:rPr>
                <w:highlight w:val="yellow"/>
              </w:rPr>
              <w:t>Specifications</w:t>
            </w:r>
          </w:p>
          <w:p w14:paraId="5F0682D6" w14:textId="35297213" w:rsidR="00A61E0D" w:rsidRPr="00BD6C5F" w:rsidRDefault="00A61E0D" w:rsidP="00A61E0D">
            <w:pPr>
              <w:pStyle w:val="Tabletext"/>
              <w:rPr>
                <w:highlight w:val="yellow"/>
              </w:rPr>
            </w:pPr>
            <w:r w:rsidRPr="00BD6C5F">
              <w:rPr>
                <w:highlight w:val="yellow"/>
              </w:rPr>
              <w:t>Interface Specifications</w:t>
            </w:r>
          </w:p>
          <w:p w14:paraId="0EE245FE" w14:textId="29DDAC9C" w:rsidR="00A61E0D" w:rsidRPr="00BD6C5F" w:rsidRDefault="00A61E0D" w:rsidP="00A61E0D">
            <w:pPr>
              <w:pStyle w:val="Tabletext"/>
              <w:rPr>
                <w:highlight w:val="yellow"/>
              </w:rPr>
            </w:pPr>
            <w:r w:rsidRPr="00BD6C5F">
              <w:rPr>
                <w:highlight w:val="yellow"/>
              </w:rPr>
              <w:t>Systems Testing</w:t>
            </w:r>
            <w:r w:rsidR="00042DE0" w:rsidRPr="00BD6C5F">
              <w:rPr>
                <w:highlight w:val="yellow"/>
              </w:rPr>
              <w:t xml:space="preserve"> </w:t>
            </w:r>
            <w:r w:rsidRPr="00BD6C5F">
              <w:rPr>
                <w:highlight w:val="yellow"/>
              </w:rPr>
              <w:t>Strategy</w:t>
            </w:r>
          </w:p>
          <w:p w14:paraId="3D4819DF" w14:textId="30AEAB21" w:rsidR="00A61E0D" w:rsidRPr="00BD6C5F" w:rsidRDefault="00A61E0D" w:rsidP="00A61E0D">
            <w:pPr>
              <w:pStyle w:val="Tabletext"/>
              <w:rPr>
                <w:highlight w:val="yellow"/>
              </w:rPr>
            </w:pPr>
            <w:r w:rsidRPr="00BD6C5F">
              <w:rPr>
                <w:highlight w:val="yellow"/>
              </w:rPr>
              <w:t>Implementation Strategy</w:t>
            </w:r>
            <w:r w:rsidR="00042DE0" w:rsidRPr="00BD6C5F">
              <w:rPr>
                <w:highlight w:val="yellow"/>
              </w:rPr>
              <w:t xml:space="preserve"> </w:t>
            </w:r>
            <w:r w:rsidRPr="00BD6C5F">
              <w:rPr>
                <w:highlight w:val="yellow"/>
              </w:rPr>
              <w:t>and Plan</w:t>
            </w:r>
          </w:p>
          <w:p w14:paraId="566A25C8" w14:textId="54207B9B" w:rsidR="00A61E0D" w:rsidRPr="00BD6C5F" w:rsidRDefault="00A61E0D" w:rsidP="00A61E0D">
            <w:pPr>
              <w:pStyle w:val="Tabletext"/>
              <w:rPr>
                <w:highlight w:val="yellow"/>
              </w:rPr>
            </w:pPr>
            <w:r w:rsidRPr="00BD6C5F">
              <w:rPr>
                <w:highlight w:val="yellow"/>
              </w:rPr>
              <w:t>Risk and Issues</w:t>
            </w:r>
            <w:r w:rsidR="00042DE0" w:rsidRPr="00BD6C5F">
              <w:rPr>
                <w:highlight w:val="yellow"/>
              </w:rPr>
              <w:t xml:space="preserve"> </w:t>
            </w:r>
            <w:r w:rsidRPr="00BD6C5F">
              <w:rPr>
                <w:highlight w:val="yellow"/>
              </w:rPr>
              <w:t>Management Plan</w:t>
            </w:r>
          </w:p>
          <w:p w14:paraId="29900DA2" w14:textId="1F69DAFF" w:rsidR="00A61E0D" w:rsidRPr="00BD6C5F" w:rsidRDefault="00A61E0D" w:rsidP="00A61E0D">
            <w:pPr>
              <w:pStyle w:val="Tabletext"/>
              <w:rPr>
                <w:highlight w:val="yellow"/>
              </w:rPr>
            </w:pPr>
            <w:r w:rsidRPr="00BD6C5F">
              <w:rPr>
                <w:highlight w:val="yellow"/>
              </w:rPr>
              <w:t>Outline Disaster</w:t>
            </w:r>
            <w:r w:rsidR="00042DE0" w:rsidRPr="00BD6C5F">
              <w:rPr>
                <w:highlight w:val="yellow"/>
              </w:rPr>
              <w:t xml:space="preserve"> </w:t>
            </w:r>
            <w:r w:rsidRPr="00BD6C5F">
              <w:rPr>
                <w:highlight w:val="yellow"/>
              </w:rPr>
              <w:t>Recovery Plan</w:t>
            </w:r>
          </w:p>
          <w:p w14:paraId="1667D0DA" w14:textId="03C73A47" w:rsidR="00A61E0D" w:rsidRPr="00BD6C5F" w:rsidRDefault="00A61E0D" w:rsidP="00A61E0D">
            <w:pPr>
              <w:pStyle w:val="Tabletext"/>
              <w:rPr>
                <w:highlight w:val="yellow"/>
              </w:rPr>
            </w:pPr>
            <w:r w:rsidRPr="00BD6C5F">
              <w:rPr>
                <w:highlight w:val="yellow"/>
              </w:rPr>
              <w:t>Project Schedule</w:t>
            </w:r>
          </w:p>
          <w:p w14:paraId="4F81AE95" w14:textId="3B7E1BF7" w:rsidR="00A61E0D" w:rsidRPr="00BD6C5F" w:rsidRDefault="00A61E0D" w:rsidP="00042DE0">
            <w:pPr>
              <w:pStyle w:val="Tabletext"/>
            </w:pPr>
            <w:r w:rsidRPr="00BD6C5F">
              <w:rPr>
                <w:highlight w:val="yellow"/>
              </w:rPr>
              <w:t>Service Management</w:t>
            </w:r>
            <w:r w:rsidR="00042DE0" w:rsidRPr="00BD6C5F">
              <w:rPr>
                <w:highlight w:val="yellow"/>
              </w:rPr>
              <w:t xml:space="preserve"> </w:t>
            </w:r>
            <w:r w:rsidRPr="00BD6C5F">
              <w:rPr>
                <w:highlight w:val="yellow"/>
              </w:rPr>
              <w:t>Plan]</w:t>
            </w:r>
          </w:p>
        </w:tc>
        <w:tc>
          <w:tcPr>
            <w:tcW w:w="1276" w:type="dxa"/>
          </w:tcPr>
          <w:p w14:paraId="3D136372" w14:textId="77777777" w:rsidR="00A61E0D" w:rsidRPr="00BD6C5F" w:rsidRDefault="00A61E0D" w:rsidP="00A61E0D">
            <w:pPr>
              <w:pStyle w:val="Tabletext"/>
            </w:pPr>
          </w:p>
        </w:tc>
        <w:tc>
          <w:tcPr>
            <w:tcW w:w="1276" w:type="dxa"/>
          </w:tcPr>
          <w:p w14:paraId="2BDAD3AC" w14:textId="77777777" w:rsidR="00A61E0D" w:rsidRPr="00BD6C5F" w:rsidRDefault="00A61E0D" w:rsidP="00A61E0D">
            <w:pPr>
              <w:pStyle w:val="Tabletext"/>
            </w:pPr>
          </w:p>
        </w:tc>
        <w:tc>
          <w:tcPr>
            <w:tcW w:w="1984" w:type="dxa"/>
          </w:tcPr>
          <w:p w14:paraId="04F73D5D" w14:textId="77777777" w:rsidR="00A61E0D" w:rsidRPr="00BD6C5F" w:rsidRDefault="00A61E0D" w:rsidP="00A61E0D">
            <w:pPr>
              <w:pStyle w:val="Tabletext"/>
            </w:pPr>
          </w:p>
        </w:tc>
        <w:tc>
          <w:tcPr>
            <w:tcW w:w="907" w:type="dxa"/>
          </w:tcPr>
          <w:p w14:paraId="1BF9BE07" w14:textId="77777777" w:rsidR="00A61E0D" w:rsidRPr="00BD6C5F" w:rsidRDefault="00A61E0D" w:rsidP="00A61E0D">
            <w:pPr>
              <w:pStyle w:val="Tabletext"/>
            </w:pPr>
          </w:p>
        </w:tc>
      </w:tr>
      <w:tr w:rsidR="00A61E0D" w:rsidRPr="00BD6C5F" w14:paraId="1033C784" w14:textId="77777777" w:rsidTr="00A47A7E">
        <w:trPr>
          <w:trHeight w:val="20"/>
        </w:trPr>
        <w:tc>
          <w:tcPr>
            <w:tcW w:w="1885" w:type="dxa"/>
          </w:tcPr>
          <w:p w14:paraId="4ECAAE79" w14:textId="5D1EA236" w:rsidR="00A61E0D" w:rsidRPr="00BD6C5F" w:rsidRDefault="00A61E0D" w:rsidP="00A61E0D">
            <w:pPr>
              <w:pStyle w:val="Tabletext"/>
              <w:rPr>
                <w:rFonts w:asciiTheme="minorHAnsi" w:hAnsiTheme="minorHAnsi" w:cstheme="minorHAnsi"/>
              </w:rPr>
            </w:pPr>
            <w:r w:rsidRPr="00BD6C5F">
              <w:rPr>
                <w:rFonts w:asciiTheme="minorHAnsi" w:hAnsiTheme="minorHAnsi" w:cstheme="minorHAnsi"/>
              </w:rPr>
              <w:t>Full Development</w:t>
            </w:r>
          </w:p>
        </w:tc>
        <w:tc>
          <w:tcPr>
            <w:tcW w:w="2933" w:type="dxa"/>
          </w:tcPr>
          <w:p w14:paraId="30FAC874" w14:textId="78D3281E"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[Design Verification</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Reports</w:t>
            </w:r>
          </w:p>
          <w:p w14:paraId="4398F034" w14:textId="17699CF1"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Design Validation</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Reports</w:t>
            </w:r>
          </w:p>
          <w:p w14:paraId="0BDDB749" w14:textId="15711FEC"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Change Management</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Plan</w:t>
            </w:r>
          </w:p>
          <w:p w14:paraId="7F086FDB" w14:textId="2219F378"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System/Application</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Implementation Plan</w:t>
            </w:r>
          </w:p>
          <w:p w14:paraId="11FF4C3A" w14:textId="42A1D7EC"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Risk and Issues</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Management</w:t>
            </w:r>
          </w:p>
          <w:p w14:paraId="0A1BFD55" w14:textId="77777777" w:rsidR="00A61E0D" w:rsidRPr="00BD6C5F" w:rsidRDefault="00A61E0D" w:rsidP="00A61E0D">
            <w:pPr>
              <w:pStyle w:val="Tabletext"/>
              <w:rPr>
                <w:rFonts w:asciiTheme="minorHAnsi" w:hAnsiTheme="minorHAnsi" w:cstheme="minorHAnsi"/>
                <w:highlight w:val="yellow"/>
              </w:rPr>
            </w:pPr>
            <w:r w:rsidRPr="00BD6C5F">
              <w:rPr>
                <w:rFonts w:asciiTheme="minorHAnsi" w:hAnsiTheme="minorHAnsi" w:cstheme="minorHAnsi"/>
                <w:highlight w:val="yellow"/>
              </w:rPr>
              <w:t>Project Schedule</w:t>
            </w:r>
          </w:p>
          <w:p w14:paraId="5094305F" w14:textId="21E66DE7" w:rsidR="00A61E0D" w:rsidRPr="00BD6C5F" w:rsidRDefault="00A61E0D" w:rsidP="00042DE0">
            <w:pPr>
              <w:pStyle w:val="Tabletext"/>
              <w:rPr>
                <w:rFonts w:asciiTheme="minorHAnsi" w:hAnsiTheme="minorHAnsi" w:cstheme="minorHAnsi"/>
              </w:rPr>
            </w:pPr>
            <w:r w:rsidRPr="00BD6C5F">
              <w:rPr>
                <w:rFonts w:asciiTheme="minorHAnsi" w:hAnsiTheme="minorHAnsi" w:cstheme="minorHAnsi"/>
                <w:highlight w:val="yellow"/>
              </w:rPr>
              <w:t>Service Management</w:t>
            </w:r>
            <w:r w:rsidR="00042DE0" w:rsidRPr="00BD6C5F">
              <w:rPr>
                <w:rFonts w:asciiTheme="minorHAnsi" w:hAnsiTheme="minorHAnsi" w:cstheme="minorHAnsi"/>
                <w:highlight w:val="yellow"/>
              </w:rPr>
              <w:t xml:space="preserve"> </w:t>
            </w:r>
            <w:r w:rsidRPr="00BD6C5F">
              <w:rPr>
                <w:rFonts w:asciiTheme="minorHAnsi" w:hAnsiTheme="minorHAnsi" w:cstheme="minorHAnsi"/>
                <w:highlight w:val="yellow"/>
              </w:rPr>
              <w:t>Plan]</w:t>
            </w:r>
          </w:p>
        </w:tc>
        <w:tc>
          <w:tcPr>
            <w:tcW w:w="1276" w:type="dxa"/>
          </w:tcPr>
          <w:p w14:paraId="6010933D" w14:textId="77777777" w:rsidR="00A61E0D" w:rsidRPr="00BD6C5F" w:rsidRDefault="00A61E0D" w:rsidP="00A61E0D">
            <w:pPr>
              <w:pStyle w:val="Tabletext"/>
              <w:rPr>
                <w:rFonts w:asciiTheme="minorHAnsi" w:hAnsiTheme="minorHAnsi" w:cstheme="minorHAnsi"/>
              </w:rPr>
            </w:pPr>
          </w:p>
        </w:tc>
        <w:tc>
          <w:tcPr>
            <w:tcW w:w="1276" w:type="dxa"/>
          </w:tcPr>
          <w:p w14:paraId="76ED661F" w14:textId="77777777" w:rsidR="00A61E0D" w:rsidRPr="00BD6C5F" w:rsidRDefault="00A61E0D" w:rsidP="00A61E0D">
            <w:pPr>
              <w:pStyle w:val="Tabletext"/>
              <w:rPr>
                <w:rFonts w:asciiTheme="minorHAnsi" w:hAnsiTheme="minorHAnsi" w:cstheme="minorHAnsi"/>
              </w:rPr>
            </w:pPr>
          </w:p>
        </w:tc>
        <w:tc>
          <w:tcPr>
            <w:tcW w:w="1984" w:type="dxa"/>
          </w:tcPr>
          <w:p w14:paraId="0C73A0BC" w14:textId="77777777" w:rsidR="00A61E0D" w:rsidRPr="00BD6C5F" w:rsidRDefault="00A61E0D" w:rsidP="00A61E0D">
            <w:pPr>
              <w:pStyle w:val="Tabletext"/>
              <w:rPr>
                <w:rFonts w:asciiTheme="minorHAnsi" w:hAnsiTheme="minorHAnsi" w:cstheme="minorHAnsi"/>
              </w:rPr>
            </w:pPr>
          </w:p>
        </w:tc>
        <w:tc>
          <w:tcPr>
            <w:tcW w:w="907" w:type="dxa"/>
          </w:tcPr>
          <w:p w14:paraId="4AEA0E4F" w14:textId="77777777" w:rsidR="00A61E0D" w:rsidRPr="00BD6C5F" w:rsidRDefault="00A61E0D" w:rsidP="00A61E0D">
            <w:pPr>
              <w:pStyle w:val="Tabletext"/>
              <w:rPr>
                <w:rFonts w:asciiTheme="minorHAnsi" w:hAnsiTheme="minorHAnsi" w:cstheme="minorHAnsi"/>
              </w:rPr>
            </w:pPr>
          </w:p>
        </w:tc>
      </w:tr>
      <w:tr w:rsidR="00BC7DDA" w:rsidRPr="00BD6C5F" w14:paraId="7EEE657F" w14:textId="77777777" w:rsidTr="00A47A7E">
        <w:trPr>
          <w:trHeight w:val="20"/>
        </w:trPr>
        <w:tc>
          <w:tcPr>
            <w:tcW w:w="1885" w:type="dxa"/>
          </w:tcPr>
          <w:p w14:paraId="78E9D3FF"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System User Testing</w:t>
            </w:r>
          </w:p>
        </w:tc>
        <w:tc>
          <w:tcPr>
            <w:tcW w:w="2933" w:type="dxa"/>
          </w:tcPr>
          <w:p w14:paraId="3D76D1DA"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System Test Report Risk and Issues Management Plan Project Schedule Service Management Plan</w:t>
            </w:r>
          </w:p>
          <w:p w14:paraId="125D678C"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Defects Log</w:t>
            </w:r>
          </w:p>
          <w:p w14:paraId="245A270D"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lastRenderedPageBreak/>
              <w:t>Final Inspection and Testing Report</w:t>
            </w:r>
          </w:p>
        </w:tc>
        <w:tc>
          <w:tcPr>
            <w:tcW w:w="1276" w:type="dxa"/>
          </w:tcPr>
          <w:p w14:paraId="3198D240" w14:textId="77777777" w:rsidR="00BC7DDA" w:rsidRPr="00BD6C5F" w:rsidRDefault="00BC7DDA" w:rsidP="00A61E0D">
            <w:pPr>
              <w:pStyle w:val="Tabletext"/>
              <w:rPr>
                <w:rFonts w:asciiTheme="minorHAnsi" w:hAnsiTheme="minorHAnsi" w:cstheme="minorHAnsi"/>
              </w:rPr>
            </w:pPr>
          </w:p>
        </w:tc>
        <w:tc>
          <w:tcPr>
            <w:tcW w:w="1276" w:type="dxa"/>
          </w:tcPr>
          <w:p w14:paraId="4EC6A163" w14:textId="77777777" w:rsidR="00BC7DDA" w:rsidRPr="00BD6C5F" w:rsidRDefault="00BC7DDA" w:rsidP="00A61E0D">
            <w:pPr>
              <w:pStyle w:val="Tabletext"/>
              <w:rPr>
                <w:rFonts w:asciiTheme="minorHAnsi" w:hAnsiTheme="minorHAnsi" w:cstheme="minorHAnsi"/>
              </w:rPr>
            </w:pPr>
          </w:p>
        </w:tc>
        <w:tc>
          <w:tcPr>
            <w:tcW w:w="1984" w:type="dxa"/>
          </w:tcPr>
          <w:p w14:paraId="352A3F63" w14:textId="77777777" w:rsidR="00BC7DDA" w:rsidRPr="00BD6C5F" w:rsidRDefault="00BC7DDA" w:rsidP="00A61E0D">
            <w:pPr>
              <w:pStyle w:val="Tabletext"/>
              <w:rPr>
                <w:rFonts w:asciiTheme="minorHAnsi" w:hAnsiTheme="minorHAnsi" w:cstheme="minorHAnsi"/>
              </w:rPr>
            </w:pPr>
          </w:p>
        </w:tc>
        <w:tc>
          <w:tcPr>
            <w:tcW w:w="907" w:type="dxa"/>
          </w:tcPr>
          <w:p w14:paraId="30CE8C70" w14:textId="77777777" w:rsidR="00BC7DDA" w:rsidRPr="00BD6C5F" w:rsidRDefault="00BC7DDA" w:rsidP="00A61E0D">
            <w:pPr>
              <w:pStyle w:val="Tabletext"/>
              <w:rPr>
                <w:rFonts w:asciiTheme="minorHAnsi" w:hAnsiTheme="minorHAnsi" w:cstheme="minorHAnsi"/>
              </w:rPr>
            </w:pPr>
          </w:p>
        </w:tc>
      </w:tr>
      <w:tr w:rsidR="00BC7DDA" w:rsidRPr="00BD6C5F" w14:paraId="659B552C" w14:textId="77777777" w:rsidTr="00A47A7E">
        <w:trPr>
          <w:trHeight w:val="20"/>
        </w:trPr>
        <w:tc>
          <w:tcPr>
            <w:tcW w:w="1885" w:type="dxa"/>
          </w:tcPr>
          <w:p w14:paraId="1AB8BDEA"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User Readiness for Service</w:t>
            </w:r>
          </w:p>
        </w:tc>
        <w:tc>
          <w:tcPr>
            <w:tcW w:w="2933" w:type="dxa"/>
          </w:tcPr>
          <w:p w14:paraId="3C5A6864"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Training Plan</w:t>
            </w:r>
          </w:p>
          <w:p w14:paraId="73638883"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Risk and Issues Log Implementation Plan Operations Plan Data Conversion &amp; Cutover Plan Project Schedule</w:t>
            </w:r>
          </w:p>
          <w:p w14:paraId="4C78EEAB"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Service Management Plan</w:t>
            </w:r>
          </w:p>
        </w:tc>
        <w:tc>
          <w:tcPr>
            <w:tcW w:w="1276" w:type="dxa"/>
          </w:tcPr>
          <w:p w14:paraId="5668F14F" w14:textId="77777777" w:rsidR="00BC7DDA" w:rsidRPr="00BD6C5F" w:rsidRDefault="00BC7DDA" w:rsidP="00A61E0D">
            <w:pPr>
              <w:pStyle w:val="Tabletext"/>
              <w:rPr>
                <w:rFonts w:asciiTheme="minorHAnsi" w:hAnsiTheme="minorHAnsi" w:cstheme="minorHAnsi"/>
              </w:rPr>
            </w:pPr>
          </w:p>
        </w:tc>
        <w:tc>
          <w:tcPr>
            <w:tcW w:w="1276" w:type="dxa"/>
          </w:tcPr>
          <w:p w14:paraId="12FE3FB7" w14:textId="77777777" w:rsidR="00BC7DDA" w:rsidRPr="00BD6C5F" w:rsidRDefault="00BC7DDA" w:rsidP="00A61E0D">
            <w:pPr>
              <w:pStyle w:val="Tabletext"/>
              <w:rPr>
                <w:rFonts w:asciiTheme="minorHAnsi" w:hAnsiTheme="minorHAnsi" w:cstheme="minorHAnsi"/>
              </w:rPr>
            </w:pPr>
          </w:p>
        </w:tc>
        <w:tc>
          <w:tcPr>
            <w:tcW w:w="1984" w:type="dxa"/>
          </w:tcPr>
          <w:p w14:paraId="3EDF050E" w14:textId="77777777" w:rsidR="00BC7DDA" w:rsidRPr="00BD6C5F" w:rsidRDefault="00BC7DDA" w:rsidP="00A61E0D">
            <w:pPr>
              <w:pStyle w:val="Tabletext"/>
              <w:rPr>
                <w:rFonts w:asciiTheme="minorHAnsi" w:hAnsiTheme="minorHAnsi" w:cstheme="minorHAnsi"/>
              </w:rPr>
            </w:pPr>
          </w:p>
        </w:tc>
        <w:tc>
          <w:tcPr>
            <w:tcW w:w="907" w:type="dxa"/>
          </w:tcPr>
          <w:p w14:paraId="0CD1BF0F" w14:textId="77777777" w:rsidR="00BC7DDA" w:rsidRPr="00BD6C5F" w:rsidRDefault="00BC7DDA" w:rsidP="00A61E0D">
            <w:pPr>
              <w:pStyle w:val="Tabletext"/>
              <w:rPr>
                <w:rFonts w:asciiTheme="minorHAnsi" w:hAnsiTheme="minorHAnsi" w:cstheme="minorHAnsi"/>
              </w:rPr>
            </w:pPr>
          </w:p>
        </w:tc>
      </w:tr>
      <w:tr w:rsidR="00BC7DDA" w:rsidRPr="00BD6C5F" w14:paraId="0A5C0583" w14:textId="77777777" w:rsidTr="00A47A7E">
        <w:trPr>
          <w:trHeight w:val="20"/>
        </w:trPr>
        <w:tc>
          <w:tcPr>
            <w:tcW w:w="1885" w:type="dxa"/>
          </w:tcPr>
          <w:p w14:paraId="131F7811" w14:textId="42E39AEF"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Implement</w:t>
            </w:r>
            <w:r w:rsidR="00971138" w:rsidRPr="00BD6C5F">
              <w:rPr>
                <w:rFonts w:asciiTheme="minorHAnsi" w:hAnsiTheme="minorHAnsi" w:cstheme="minorHAnsi"/>
              </w:rPr>
              <w:t>ation</w:t>
            </w:r>
            <w:r w:rsidRPr="00BD6C5F">
              <w:rPr>
                <w:rFonts w:asciiTheme="minorHAnsi" w:hAnsiTheme="minorHAnsi" w:cstheme="minorHAnsi"/>
              </w:rPr>
              <w:t xml:space="preserve"> </w:t>
            </w:r>
          </w:p>
        </w:tc>
        <w:tc>
          <w:tcPr>
            <w:tcW w:w="2933" w:type="dxa"/>
          </w:tcPr>
          <w:p w14:paraId="394DDA0D"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Implementation Plan Training Scripts</w:t>
            </w:r>
          </w:p>
        </w:tc>
        <w:tc>
          <w:tcPr>
            <w:tcW w:w="1276" w:type="dxa"/>
          </w:tcPr>
          <w:p w14:paraId="7AB2EF33" w14:textId="77777777" w:rsidR="00BC7DDA" w:rsidRPr="00BD6C5F" w:rsidRDefault="00BC7DDA" w:rsidP="00A61E0D">
            <w:pPr>
              <w:pStyle w:val="Tabletext"/>
              <w:rPr>
                <w:rFonts w:asciiTheme="minorHAnsi" w:hAnsiTheme="minorHAnsi" w:cstheme="minorHAnsi"/>
              </w:rPr>
            </w:pPr>
          </w:p>
        </w:tc>
        <w:tc>
          <w:tcPr>
            <w:tcW w:w="1276" w:type="dxa"/>
          </w:tcPr>
          <w:p w14:paraId="3D8F667F" w14:textId="77777777" w:rsidR="00BC7DDA" w:rsidRPr="00BD6C5F" w:rsidRDefault="00BC7DDA" w:rsidP="00A61E0D">
            <w:pPr>
              <w:pStyle w:val="Tabletext"/>
              <w:rPr>
                <w:rFonts w:asciiTheme="minorHAnsi" w:hAnsiTheme="minorHAnsi" w:cstheme="minorHAnsi"/>
              </w:rPr>
            </w:pPr>
          </w:p>
        </w:tc>
        <w:tc>
          <w:tcPr>
            <w:tcW w:w="1984" w:type="dxa"/>
          </w:tcPr>
          <w:p w14:paraId="415BF06D" w14:textId="77777777" w:rsidR="00BC7DDA" w:rsidRPr="00BD6C5F" w:rsidRDefault="00BC7DDA" w:rsidP="00A61E0D">
            <w:pPr>
              <w:pStyle w:val="Tabletext"/>
              <w:rPr>
                <w:rFonts w:asciiTheme="minorHAnsi" w:hAnsiTheme="minorHAnsi" w:cstheme="minorHAnsi"/>
              </w:rPr>
            </w:pPr>
          </w:p>
        </w:tc>
        <w:tc>
          <w:tcPr>
            <w:tcW w:w="907" w:type="dxa"/>
          </w:tcPr>
          <w:p w14:paraId="7F235AB6" w14:textId="77777777" w:rsidR="00BC7DDA" w:rsidRPr="00BD6C5F" w:rsidRDefault="00BC7DDA" w:rsidP="00A61E0D">
            <w:pPr>
              <w:pStyle w:val="Tabletext"/>
              <w:rPr>
                <w:rFonts w:asciiTheme="minorHAnsi" w:hAnsiTheme="minorHAnsi" w:cstheme="minorHAnsi"/>
              </w:rPr>
            </w:pPr>
          </w:p>
        </w:tc>
      </w:tr>
      <w:tr w:rsidR="00BC7DDA" w:rsidRPr="00BD6C5F" w14:paraId="0EEAF807" w14:textId="77777777" w:rsidTr="00A47A7E">
        <w:trPr>
          <w:trHeight w:val="20"/>
        </w:trPr>
        <w:tc>
          <w:tcPr>
            <w:tcW w:w="1885" w:type="dxa"/>
          </w:tcPr>
          <w:p w14:paraId="074C1CC7"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In Service Support</w:t>
            </w:r>
          </w:p>
        </w:tc>
        <w:tc>
          <w:tcPr>
            <w:tcW w:w="2933" w:type="dxa"/>
          </w:tcPr>
          <w:p w14:paraId="0DF8BBE3"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Post Implementation Report</w:t>
            </w:r>
          </w:p>
          <w:p w14:paraId="1A4CB2C8"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Data Conversion and Cut-Over Plan Service Delivery Reports</w:t>
            </w:r>
          </w:p>
          <w:p w14:paraId="0B7368CB"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Risk and Issues Log Service Management Plan</w:t>
            </w:r>
          </w:p>
          <w:p w14:paraId="6587E7D2" w14:textId="77777777" w:rsidR="00BC7DDA" w:rsidRPr="00BD6C5F" w:rsidRDefault="009B03E9" w:rsidP="00A61E0D">
            <w:pPr>
              <w:pStyle w:val="Tabletext"/>
              <w:rPr>
                <w:rFonts w:asciiTheme="minorHAnsi" w:hAnsiTheme="minorHAnsi" w:cstheme="minorHAnsi"/>
              </w:rPr>
            </w:pPr>
            <w:r w:rsidRPr="00BD6C5F">
              <w:rPr>
                <w:rFonts w:asciiTheme="minorHAnsi" w:hAnsiTheme="minorHAnsi" w:cstheme="minorHAnsi"/>
              </w:rPr>
              <w:t>Defects Log</w:t>
            </w:r>
          </w:p>
        </w:tc>
        <w:tc>
          <w:tcPr>
            <w:tcW w:w="1276" w:type="dxa"/>
          </w:tcPr>
          <w:p w14:paraId="29D54659" w14:textId="77777777" w:rsidR="00BC7DDA" w:rsidRPr="00BD6C5F" w:rsidRDefault="00BC7DDA" w:rsidP="00A61E0D">
            <w:pPr>
              <w:pStyle w:val="Tabletext"/>
              <w:rPr>
                <w:rFonts w:asciiTheme="minorHAnsi" w:hAnsiTheme="minorHAnsi" w:cstheme="minorHAnsi"/>
              </w:rPr>
            </w:pPr>
          </w:p>
        </w:tc>
        <w:tc>
          <w:tcPr>
            <w:tcW w:w="1276" w:type="dxa"/>
          </w:tcPr>
          <w:p w14:paraId="75F87CC0" w14:textId="77777777" w:rsidR="00BC7DDA" w:rsidRPr="00BD6C5F" w:rsidRDefault="00BC7DDA" w:rsidP="00A61E0D">
            <w:pPr>
              <w:pStyle w:val="Tabletext"/>
              <w:rPr>
                <w:rFonts w:asciiTheme="minorHAnsi" w:hAnsiTheme="minorHAnsi" w:cstheme="minorHAnsi"/>
              </w:rPr>
            </w:pPr>
          </w:p>
        </w:tc>
        <w:tc>
          <w:tcPr>
            <w:tcW w:w="1984" w:type="dxa"/>
          </w:tcPr>
          <w:p w14:paraId="58D6C956" w14:textId="77777777" w:rsidR="00BC7DDA" w:rsidRPr="00BD6C5F" w:rsidRDefault="00BC7DDA" w:rsidP="00A61E0D">
            <w:pPr>
              <w:pStyle w:val="Tabletext"/>
              <w:rPr>
                <w:rFonts w:asciiTheme="minorHAnsi" w:hAnsiTheme="minorHAnsi" w:cstheme="minorHAnsi"/>
              </w:rPr>
            </w:pPr>
          </w:p>
        </w:tc>
        <w:tc>
          <w:tcPr>
            <w:tcW w:w="907" w:type="dxa"/>
          </w:tcPr>
          <w:p w14:paraId="42F6BE2F" w14:textId="77777777" w:rsidR="00BC7DDA" w:rsidRPr="00BD6C5F" w:rsidRDefault="00BC7DDA" w:rsidP="00A61E0D">
            <w:pPr>
              <w:pStyle w:val="Tabletext"/>
              <w:rPr>
                <w:rFonts w:asciiTheme="minorHAnsi" w:hAnsiTheme="minorHAnsi" w:cstheme="minorHAnsi"/>
              </w:rPr>
            </w:pPr>
          </w:p>
        </w:tc>
      </w:tr>
    </w:tbl>
    <w:p w14:paraId="6CD2B9CF" w14:textId="77777777" w:rsidR="003D4F45" w:rsidRPr="00BD6C5F" w:rsidRDefault="003D4F45" w:rsidP="00A61E0D"/>
    <w:p w14:paraId="094B87EF" w14:textId="77777777" w:rsidR="00A61E0D" w:rsidRPr="00BD6C5F" w:rsidRDefault="00A61E0D" w:rsidP="00A61E0D"/>
    <w:p w14:paraId="513BADF1" w14:textId="6B2F1BD4" w:rsidR="00A61E0D" w:rsidRPr="00BD6C5F" w:rsidRDefault="00A61E0D" w:rsidP="00A61E0D">
      <w:pPr>
        <w:sectPr w:rsidR="00A61E0D" w:rsidRPr="00BD6C5F" w:rsidSect="00EA65BF">
          <w:headerReference w:type="default" r:id="rId77"/>
          <w:footerReference w:type="default" r:id="rId78"/>
          <w:pgSz w:w="11910" w:h="16840"/>
          <w:pgMar w:top="1701" w:right="851" w:bottom="1134" w:left="851" w:header="567" w:footer="567" w:gutter="0"/>
          <w:cols w:space="720"/>
        </w:sectPr>
      </w:pPr>
    </w:p>
    <w:p w14:paraId="1F6C673D" w14:textId="48B13D06" w:rsidR="004F122B" w:rsidRDefault="004F122B" w:rsidP="004F122B">
      <w:pPr>
        <w:pStyle w:val="Dividername"/>
      </w:pPr>
      <w:bookmarkStart w:id="472" w:name="_bookmark158"/>
      <w:bookmarkStart w:id="473" w:name="_bookmark159"/>
      <w:bookmarkStart w:id="474" w:name="_Ref98252660"/>
      <w:bookmarkStart w:id="475" w:name="_Toc98332730"/>
      <w:bookmarkStart w:id="476" w:name="_Toc98852907"/>
      <w:bookmarkEnd w:id="472"/>
      <w:bookmarkEnd w:id="473"/>
      <w:r>
        <w:lastRenderedPageBreak/>
        <w:t xml:space="preserve">Schedule </w:t>
      </w:r>
      <w:bookmarkStart w:id="477" w:name="Schedule_14"/>
      <w:r>
        <w:t>14</w:t>
      </w:r>
      <w:bookmarkEnd w:id="477"/>
    </w:p>
    <w:p w14:paraId="1CC1494F" w14:textId="1AFE10E0" w:rsidR="004F122B" w:rsidRDefault="004F122B" w:rsidP="004F122B">
      <w:pPr>
        <w:pStyle w:val="Dividername"/>
      </w:pPr>
      <w:r w:rsidRPr="004F122B">
        <w:t>Testing Procedures</w:t>
      </w:r>
    </w:p>
    <w:p w14:paraId="3E260D61" w14:textId="77777777" w:rsidR="004F122B" w:rsidRDefault="004F122B" w:rsidP="004F122B"/>
    <w:p w14:paraId="63A87337" w14:textId="064E3607" w:rsidR="00BC7DDA" w:rsidRPr="00BD6C5F" w:rsidRDefault="00A61E0D" w:rsidP="004F122B">
      <w:pPr>
        <w:pStyle w:val="Heading1"/>
        <w:pageBreakBefore/>
      </w:pPr>
      <w:bookmarkStart w:id="478" w:name="_Toc141720999"/>
      <w:r w:rsidRPr="00BD6C5F">
        <w:lastRenderedPageBreak/>
        <w:t>Schedule 14</w:t>
      </w:r>
      <w:r w:rsidR="0058158C" w:rsidRPr="00BD6C5F">
        <w:t>:</w:t>
      </w:r>
      <w:r w:rsidRPr="00BD6C5F">
        <w:t xml:space="preserve"> Testing Procedures</w:t>
      </w:r>
      <w:bookmarkEnd w:id="474"/>
      <w:bookmarkEnd w:id="475"/>
      <w:bookmarkEnd w:id="476"/>
      <w:bookmarkEnd w:id="478"/>
    </w:p>
    <w:p w14:paraId="4AC18807" w14:textId="42164094" w:rsidR="000258C6" w:rsidRPr="00BD6C5F" w:rsidRDefault="000258C6" w:rsidP="00A61E0D">
      <w:pPr>
        <w:jc w:val="center"/>
      </w:pPr>
      <w:r w:rsidRPr="00BD6C5F">
        <w:t>This is the schedule referred to in the foregoing agreement betwee</w:t>
      </w:r>
      <w:r w:rsidR="00185D6A" w:rsidRPr="00BD6C5F">
        <w:t>n [</w:t>
      </w:r>
      <w:r w:rsidR="00185D6A" w:rsidRPr="00BD6C5F">
        <w:rPr>
          <w:highlight w:val="yellow"/>
        </w:rPr>
        <w:t>name of party</w:t>
      </w:r>
      <w:r w:rsidR="00185D6A" w:rsidRPr="00BD6C5F">
        <w:t>] and [</w:t>
      </w:r>
      <w:r w:rsidR="00185D6A" w:rsidRPr="00BD6C5F">
        <w:rPr>
          <w:highlight w:val="yellow"/>
        </w:rPr>
        <w:t>name of party</w:t>
      </w:r>
      <w:r w:rsidR="00185D6A" w:rsidRPr="00BD6C5F">
        <w:t>] dated [</w:t>
      </w:r>
      <w:r w:rsidR="00185D6A" w:rsidRPr="00BD6C5F">
        <w:rPr>
          <w:highlight w:val="yellow"/>
        </w:rPr>
        <w:t>date</w:t>
      </w:r>
      <w:r w:rsidR="00185D6A" w:rsidRPr="00BD6C5F">
        <w:t>]</w:t>
      </w:r>
    </w:p>
    <w:p w14:paraId="7787CFFD" w14:textId="77777777" w:rsidR="00A61E0D" w:rsidRPr="00BD6C5F" w:rsidRDefault="00A61E0D" w:rsidP="00A61E0D"/>
    <w:p w14:paraId="430C09BB" w14:textId="380D9499" w:rsidR="00BC7DDA" w:rsidRPr="00BD6C5F" w:rsidRDefault="00185D6A" w:rsidP="00B71FC0">
      <w:pPr>
        <w:pStyle w:val="Numbered1"/>
        <w:numPr>
          <w:ilvl w:val="0"/>
          <w:numId w:val="92"/>
        </w:numPr>
      </w:pPr>
      <w:r w:rsidRPr="00BD6C5F">
        <w:t>Definitions</w:t>
      </w:r>
    </w:p>
    <w:p w14:paraId="46E8209A" w14:textId="77777777" w:rsidR="00BC7DDA" w:rsidRPr="00BD6C5F" w:rsidRDefault="009B03E9" w:rsidP="00A47A7E">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1743172A" w14:textId="77777777" w:rsidTr="00381D62">
        <w:tc>
          <w:tcPr>
            <w:tcW w:w="3572" w:type="dxa"/>
          </w:tcPr>
          <w:p w14:paraId="3ADC4BF2" w14:textId="420C598C"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Component</w:t>
            </w:r>
            <w:r w:rsidRPr="00BD6C5F">
              <w:rPr>
                <w:rFonts w:asciiTheme="minorHAnsi" w:hAnsiTheme="minorHAnsi" w:cstheme="minorHAnsi"/>
                <w:b/>
              </w:rPr>
              <w:t>”</w:t>
            </w:r>
          </w:p>
        </w:tc>
        <w:tc>
          <w:tcPr>
            <w:tcW w:w="5953" w:type="dxa"/>
          </w:tcPr>
          <w:p w14:paraId="305A678B" w14:textId="77777777" w:rsidR="00BC7DDA" w:rsidRPr="00BD6C5F" w:rsidRDefault="009B03E9" w:rsidP="005F15BF">
            <w:pPr>
              <w:pStyle w:val="Tabletext"/>
            </w:pPr>
            <w:r w:rsidRPr="00BD6C5F">
              <w:t>any constituent parts of the infrastructure for a Service, hardware or Software;</w:t>
            </w:r>
          </w:p>
        </w:tc>
      </w:tr>
      <w:tr w:rsidR="00BC7DDA" w:rsidRPr="00BD6C5F" w14:paraId="4084D466" w14:textId="77777777" w:rsidTr="00381D62">
        <w:tc>
          <w:tcPr>
            <w:tcW w:w="3572" w:type="dxa"/>
          </w:tcPr>
          <w:p w14:paraId="03DC6DAB" w14:textId="784C638A"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Material Test Issue</w:t>
            </w:r>
            <w:r w:rsidRPr="00BD6C5F">
              <w:rPr>
                <w:rFonts w:asciiTheme="minorHAnsi" w:hAnsiTheme="minorHAnsi" w:cstheme="minorHAnsi"/>
                <w:b/>
              </w:rPr>
              <w:t>”</w:t>
            </w:r>
          </w:p>
        </w:tc>
        <w:tc>
          <w:tcPr>
            <w:tcW w:w="5953" w:type="dxa"/>
          </w:tcPr>
          <w:p w14:paraId="3A67F092"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a Test Issue of Severity Level 1 or Severity Level 2;</w:t>
            </w:r>
          </w:p>
        </w:tc>
      </w:tr>
      <w:tr w:rsidR="00BC7DDA" w:rsidRPr="00BD6C5F" w14:paraId="364A9D2A" w14:textId="77777777" w:rsidTr="00381D62">
        <w:tc>
          <w:tcPr>
            <w:tcW w:w="3572" w:type="dxa"/>
          </w:tcPr>
          <w:p w14:paraId="42D53235" w14:textId="656CCC1D"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Severity Level</w:t>
            </w:r>
            <w:r w:rsidRPr="00BD6C5F">
              <w:rPr>
                <w:rFonts w:asciiTheme="minorHAnsi" w:hAnsiTheme="minorHAnsi" w:cstheme="minorHAnsi"/>
                <w:b/>
              </w:rPr>
              <w:t>”</w:t>
            </w:r>
          </w:p>
        </w:tc>
        <w:tc>
          <w:tcPr>
            <w:tcW w:w="5953" w:type="dxa"/>
          </w:tcPr>
          <w:p w14:paraId="07F3FD57" w14:textId="35178081"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the level of severity of a Test Issue, the criteria for which are described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Schedule_14_Annex_1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1</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0E3899E2" w14:textId="77777777" w:rsidTr="00381D62">
        <w:tc>
          <w:tcPr>
            <w:tcW w:w="3572" w:type="dxa"/>
          </w:tcPr>
          <w:p w14:paraId="677C34B0" w14:textId="0DED8528"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Certificate</w:t>
            </w:r>
            <w:r w:rsidRPr="00BD6C5F">
              <w:rPr>
                <w:rFonts w:asciiTheme="minorHAnsi" w:hAnsiTheme="minorHAnsi" w:cstheme="minorHAnsi"/>
                <w:b/>
              </w:rPr>
              <w:t>”</w:t>
            </w:r>
          </w:p>
        </w:tc>
        <w:tc>
          <w:tcPr>
            <w:tcW w:w="5953" w:type="dxa"/>
          </w:tcPr>
          <w:p w14:paraId="22FE3B60" w14:textId="73D19D59"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a certificate materially in the form of the document contained in </w:t>
            </w:r>
            <w:r w:rsidR="00095858">
              <w:rPr>
                <w:rFonts w:asciiTheme="minorHAnsi" w:hAnsiTheme="minorHAnsi" w:cstheme="minorHAnsi"/>
              </w:rPr>
              <w:t>Annex </w:t>
            </w:r>
            <w:r w:rsidR="00095858">
              <w:rPr>
                <w:rFonts w:asciiTheme="minorHAnsi" w:hAnsiTheme="minorHAnsi" w:cstheme="minorHAnsi"/>
              </w:rPr>
              <w:fldChar w:fldCharType="begin"/>
            </w:r>
            <w:r w:rsidR="00095858">
              <w:rPr>
                <w:rFonts w:asciiTheme="minorHAnsi" w:hAnsiTheme="minorHAnsi" w:cstheme="minorHAnsi"/>
              </w:rPr>
              <w:instrText xml:space="preserve"> REF Schedule_14_Annex_2 \h </w:instrText>
            </w:r>
            <w:r w:rsidR="00095858">
              <w:rPr>
                <w:rFonts w:asciiTheme="minorHAnsi" w:hAnsiTheme="minorHAnsi" w:cstheme="minorHAnsi"/>
              </w:rPr>
            </w:r>
            <w:r w:rsidR="00095858">
              <w:rPr>
                <w:rFonts w:asciiTheme="minorHAnsi" w:hAnsiTheme="minorHAnsi" w:cstheme="minorHAnsi"/>
              </w:rPr>
              <w:fldChar w:fldCharType="separate"/>
            </w:r>
            <w:r w:rsidR="009749A0" w:rsidRPr="00BD6C5F">
              <w:t>2</w:t>
            </w:r>
            <w:r w:rsidR="00095858">
              <w:rPr>
                <w:rFonts w:asciiTheme="minorHAnsi" w:hAnsiTheme="minorHAnsi" w:cstheme="minorHAnsi"/>
              </w:rPr>
              <w:fldChar w:fldCharType="end"/>
            </w:r>
            <w:r w:rsidRPr="00BD6C5F">
              <w:rPr>
                <w:rFonts w:asciiTheme="minorHAnsi" w:hAnsiTheme="minorHAnsi" w:cstheme="minorHAnsi"/>
              </w:rPr>
              <w:t xml:space="preserve"> issued by the Authority when a Deliverable has satisfied its relevant Test Success Criteria;</w:t>
            </w:r>
          </w:p>
        </w:tc>
      </w:tr>
      <w:tr w:rsidR="00BC7DDA" w:rsidRPr="00BD6C5F" w14:paraId="6E51FDEA" w14:textId="77777777" w:rsidTr="00381D62">
        <w:tc>
          <w:tcPr>
            <w:tcW w:w="3572" w:type="dxa"/>
          </w:tcPr>
          <w:p w14:paraId="2C743BEF" w14:textId="48749950"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Issue</w:t>
            </w:r>
            <w:r w:rsidRPr="00BD6C5F">
              <w:rPr>
                <w:rFonts w:asciiTheme="minorHAnsi" w:hAnsiTheme="minorHAnsi" w:cstheme="minorHAnsi"/>
                <w:b/>
              </w:rPr>
              <w:t>”</w:t>
            </w:r>
          </w:p>
        </w:tc>
        <w:tc>
          <w:tcPr>
            <w:tcW w:w="5953" w:type="dxa"/>
          </w:tcPr>
          <w:p w14:paraId="022C0895"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any variance or non-conformity of a Deliverable from its requirements (such requirements being set out in the relevant Test Success Criteria);</w:t>
            </w:r>
          </w:p>
        </w:tc>
      </w:tr>
      <w:tr w:rsidR="00BC7DDA" w:rsidRPr="00BD6C5F" w14:paraId="3B1B50A7" w14:textId="77777777" w:rsidTr="00381D62">
        <w:tc>
          <w:tcPr>
            <w:tcW w:w="3572" w:type="dxa"/>
          </w:tcPr>
          <w:p w14:paraId="5A86E648" w14:textId="41DE9CDD"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Issue Threshold</w:t>
            </w:r>
            <w:r w:rsidRPr="00BD6C5F">
              <w:rPr>
                <w:rFonts w:asciiTheme="minorHAnsi" w:hAnsiTheme="minorHAnsi" w:cstheme="minorHAnsi"/>
                <w:b/>
              </w:rPr>
              <w:t>”</w:t>
            </w:r>
          </w:p>
        </w:tc>
        <w:tc>
          <w:tcPr>
            <w:tcW w:w="5953" w:type="dxa"/>
          </w:tcPr>
          <w:p w14:paraId="043D34B2"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in relation to the Tests applicable to a Milestone, a maximum number of Severity Level 3, Severity Level 4 and Severity Level 5 Test Issues as set out in the relevant Test Plan;</w:t>
            </w:r>
          </w:p>
        </w:tc>
      </w:tr>
      <w:tr w:rsidR="00BC7DDA" w:rsidRPr="00BD6C5F" w14:paraId="4B66022A" w14:textId="77777777" w:rsidTr="00381D62">
        <w:tc>
          <w:tcPr>
            <w:tcW w:w="3572" w:type="dxa"/>
          </w:tcPr>
          <w:p w14:paraId="21F1F528" w14:textId="6FB48546"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Issue Management Log</w:t>
            </w:r>
            <w:r w:rsidRPr="00BD6C5F">
              <w:rPr>
                <w:rFonts w:asciiTheme="minorHAnsi" w:hAnsiTheme="minorHAnsi" w:cstheme="minorHAnsi"/>
                <w:b/>
              </w:rPr>
              <w:t>”</w:t>
            </w:r>
          </w:p>
        </w:tc>
        <w:tc>
          <w:tcPr>
            <w:tcW w:w="5953" w:type="dxa"/>
          </w:tcPr>
          <w:p w14:paraId="5A56B4E1" w14:textId="0A1CC619"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a log for the recording of Test Issues as described further in 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_Ref98410388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9.1</w:t>
            </w:r>
            <w:r w:rsidR="00F65834"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2BD53D85" w14:textId="77777777" w:rsidTr="00381D62">
        <w:tc>
          <w:tcPr>
            <w:tcW w:w="3572" w:type="dxa"/>
          </w:tcPr>
          <w:p w14:paraId="236DEAB6" w14:textId="09E253F3"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Plan</w:t>
            </w:r>
            <w:r w:rsidRPr="00BD6C5F">
              <w:rPr>
                <w:rFonts w:asciiTheme="minorHAnsi" w:hAnsiTheme="minorHAnsi" w:cstheme="minorHAnsi"/>
                <w:b/>
              </w:rPr>
              <w:t>”</w:t>
            </w:r>
          </w:p>
        </w:tc>
        <w:tc>
          <w:tcPr>
            <w:tcW w:w="5953" w:type="dxa"/>
          </w:tcPr>
          <w:p w14:paraId="4AD21FB5"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a plan:</w:t>
            </w:r>
          </w:p>
          <w:p w14:paraId="7A17498D" w14:textId="77777777" w:rsidR="00BC7DDA" w:rsidRPr="00BD6C5F" w:rsidRDefault="009B03E9" w:rsidP="00381D62">
            <w:pPr>
              <w:pStyle w:val="Tablea"/>
            </w:pPr>
            <w:r w:rsidRPr="00BD6C5F">
              <w:t>for the Testing of Deliverables; and</w:t>
            </w:r>
          </w:p>
          <w:p w14:paraId="6A6DAE84" w14:textId="77777777" w:rsidR="00BC7DDA" w:rsidRPr="00BD6C5F" w:rsidRDefault="009B03E9" w:rsidP="003A5D4B">
            <w:pPr>
              <w:pStyle w:val="Tablea"/>
            </w:pPr>
            <w:r w:rsidRPr="00BD6C5F">
              <w:t>setting out other agreed criteria related to the achievement of Milestones,</w:t>
            </w:r>
          </w:p>
          <w:p w14:paraId="0CCCE761" w14:textId="4893CDB8"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as described further in 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_Ref98410400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5</w:t>
            </w:r>
            <w:r w:rsidR="00F65834"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47F2252E" w14:textId="77777777" w:rsidTr="00381D62">
        <w:tc>
          <w:tcPr>
            <w:tcW w:w="3572" w:type="dxa"/>
          </w:tcPr>
          <w:p w14:paraId="2EA5E385" w14:textId="140147E8"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Reports</w:t>
            </w:r>
            <w:r w:rsidRPr="00BD6C5F">
              <w:rPr>
                <w:rFonts w:asciiTheme="minorHAnsi" w:hAnsiTheme="minorHAnsi" w:cstheme="minorHAnsi"/>
                <w:b/>
              </w:rPr>
              <w:t>”</w:t>
            </w:r>
          </w:p>
        </w:tc>
        <w:tc>
          <w:tcPr>
            <w:tcW w:w="5953" w:type="dxa"/>
          </w:tcPr>
          <w:p w14:paraId="2D1634BE"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the reports to be produced by the Supplier setting out the results of Tests;</w:t>
            </w:r>
          </w:p>
        </w:tc>
      </w:tr>
      <w:tr w:rsidR="00BC7DDA" w:rsidRPr="00BD6C5F" w14:paraId="36FF790B" w14:textId="77777777" w:rsidTr="00381D62">
        <w:tc>
          <w:tcPr>
            <w:tcW w:w="3572" w:type="dxa"/>
          </w:tcPr>
          <w:p w14:paraId="2F892C7B" w14:textId="6923879E"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Specification</w:t>
            </w:r>
            <w:r w:rsidRPr="00BD6C5F">
              <w:rPr>
                <w:rFonts w:asciiTheme="minorHAnsi" w:hAnsiTheme="minorHAnsi" w:cstheme="minorHAnsi"/>
                <w:b/>
              </w:rPr>
              <w:t>”</w:t>
            </w:r>
          </w:p>
        </w:tc>
        <w:tc>
          <w:tcPr>
            <w:tcW w:w="5953" w:type="dxa"/>
          </w:tcPr>
          <w:p w14:paraId="02920611" w14:textId="0485B04C"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the specification that sets out how Tests will demonstrate that the Test Success Criteria have been satisfied, as described in more detail in</w:t>
            </w:r>
            <w:r w:rsidR="005F15BF" w:rsidRPr="00BD6C5F">
              <w:rPr>
                <w:rFonts w:asciiTheme="minorHAnsi" w:hAnsiTheme="minorHAnsi" w:cstheme="minorHAnsi"/>
              </w:rPr>
              <w:t xml:space="preserve"> </w:t>
            </w:r>
            <w:r w:rsidRPr="00BD6C5F">
              <w:rPr>
                <w:rFonts w:asciiTheme="minorHAnsi" w:hAnsiTheme="minorHAnsi" w:cstheme="minorHAnsi"/>
              </w:rPr>
              <w:t xml:space="preserve">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_Ref98410410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7</w:t>
            </w:r>
            <w:r w:rsidR="00F65834"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2A4BF890" w14:textId="77777777" w:rsidTr="00381D62">
        <w:tc>
          <w:tcPr>
            <w:tcW w:w="3572" w:type="dxa"/>
          </w:tcPr>
          <w:p w14:paraId="24BDE661" w14:textId="5F7587C9"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Strategy</w:t>
            </w:r>
            <w:r w:rsidRPr="00BD6C5F">
              <w:rPr>
                <w:rFonts w:asciiTheme="minorHAnsi" w:hAnsiTheme="minorHAnsi" w:cstheme="minorHAnsi"/>
                <w:b/>
              </w:rPr>
              <w:t>”</w:t>
            </w:r>
          </w:p>
        </w:tc>
        <w:tc>
          <w:tcPr>
            <w:tcW w:w="5953" w:type="dxa"/>
          </w:tcPr>
          <w:p w14:paraId="243BEEFC" w14:textId="140DE098"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a strategy for the conduct of Testing as described </w:t>
            </w:r>
            <w:r w:rsidRPr="00BD6C5F">
              <w:rPr>
                <w:rFonts w:asciiTheme="minorHAnsi" w:hAnsiTheme="minorHAnsi" w:cstheme="minorHAnsi"/>
              </w:rPr>
              <w:lastRenderedPageBreak/>
              <w:t xml:space="preserve">further in 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_Ref98410418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4</w:t>
            </w:r>
            <w:r w:rsidR="00F65834"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1AAFCBF2" w14:textId="77777777" w:rsidTr="00381D62">
        <w:tc>
          <w:tcPr>
            <w:tcW w:w="3572" w:type="dxa"/>
          </w:tcPr>
          <w:p w14:paraId="3F8B7CF0" w14:textId="53762BBA"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Test Success Criteria</w:t>
            </w:r>
            <w:r w:rsidRPr="00BD6C5F">
              <w:rPr>
                <w:rFonts w:asciiTheme="minorHAnsi" w:hAnsiTheme="minorHAnsi" w:cstheme="minorHAnsi"/>
                <w:b/>
              </w:rPr>
              <w:t>”</w:t>
            </w:r>
          </w:p>
        </w:tc>
        <w:tc>
          <w:tcPr>
            <w:tcW w:w="5953" w:type="dxa"/>
          </w:tcPr>
          <w:p w14:paraId="6544C7BF" w14:textId="579F9984"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in relation to a Test, the test success criteria for that Test as referred to in 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_Ref98410427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6</w:t>
            </w:r>
            <w:r w:rsidR="00F65834"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746BA59D" w14:textId="77777777" w:rsidTr="00381D62">
        <w:tc>
          <w:tcPr>
            <w:tcW w:w="3572" w:type="dxa"/>
          </w:tcPr>
          <w:p w14:paraId="652FC96B" w14:textId="1978C721"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 Witness</w:t>
            </w:r>
            <w:r w:rsidRPr="00BD6C5F">
              <w:rPr>
                <w:rFonts w:asciiTheme="minorHAnsi" w:hAnsiTheme="minorHAnsi" w:cstheme="minorHAnsi"/>
                <w:b/>
              </w:rPr>
              <w:t>”</w:t>
            </w:r>
          </w:p>
        </w:tc>
        <w:tc>
          <w:tcPr>
            <w:tcW w:w="5953" w:type="dxa"/>
          </w:tcPr>
          <w:p w14:paraId="754F0B26" w14:textId="18BC328E"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 xml:space="preserve">any person appointed by the Authority pursuant to Paragraph </w:t>
            </w:r>
            <w:r w:rsidR="00F65834" w:rsidRPr="00BD6C5F">
              <w:rPr>
                <w:rFonts w:asciiTheme="minorHAnsi" w:hAnsiTheme="minorHAnsi" w:cstheme="minorHAnsi"/>
              </w:rPr>
              <w:fldChar w:fldCharType="begin"/>
            </w:r>
            <w:r w:rsidR="00F65834" w:rsidRPr="00BD6C5F">
              <w:rPr>
                <w:rFonts w:asciiTheme="minorHAnsi" w:hAnsiTheme="minorHAnsi" w:cstheme="minorHAnsi"/>
              </w:rPr>
              <w:instrText xml:space="preserve"> REF _Ref98410436 \n \h </w:instrText>
            </w:r>
            <w:r w:rsidR="00AD7DD0" w:rsidRPr="00BD6C5F">
              <w:rPr>
                <w:rFonts w:asciiTheme="minorHAnsi" w:hAnsiTheme="minorHAnsi" w:cstheme="minorHAnsi"/>
              </w:rPr>
              <w:instrText xml:space="preserve"> \* MERGEFORMAT </w:instrText>
            </w:r>
            <w:r w:rsidR="00F65834" w:rsidRPr="00BD6C5F">
              <w:rPr>
                <w:rFonts w:asciiTheme="minorHAnsi" w:hAnsiTheme="minorHAnsi" w:cstheme="minorHAnsi"/>
              </w:rPr>
            </w:r>
            <w:r w:rsidR="00F65834" w:rsidRPr="00BD6C5F">
              <w:rPr>
                <w:rFonts w:asciiTheme="minorHAnsi" w:hAnsiTheme="minorHAnsi" w:cstheme="minorHAnsi"/>
              </w:rPr>
              <w:fldChar w:fldCharType="separate"/>
            </w:r>
            <w:r w:rsidR="009749A0">
              <w:rPr>
                <w:rFonts w:asciiTheme="minorHAnsi" w:hAnsiTheme="minorHAnsi" w:cstheme="minorHAnsi"/>
              </w:rPr>
              <w:t>10.1</w:t>
            </w:r>
            <w:r w:rsidR="00F65834" w:rsidRPr="00BD6C5F">
              <w:rPr>
                <w:rFonts w:asciiTheme="minorHAnsi" w:hAnsiTheme="minorHAnsi" w:cstheme="minorHAnsi"/>
              </w:rPr>
              <w:fldChar w:fldCharType="end"/>
            </w:r>
            <w:r w:rsidRPr="00BD6C5F">
              <w:rPr>
                <w:rFonts w:asciiTheme="minorHAnsi" w:hAnsiTheme="minorHAnsi" w:cstheme="minorHAnsi"/>
              </w:rPr>
              <w:t>; and</w:t>
            </w:r>
          </w:p>
        </w:tc>
      </w:tr>
      <w:tr w:rsidR="00BC7DDA" w:rsidRPr="00BD6C5F" w14:paraId="3430EB95" w14:textId="77777777" w:rsidTr="00381D62">
        <w:tc>
          <w:tcPr>
            <w:tcW w:w="3572" w:type="dxa"/>
          </w:tcPr>
          <w:p w14:paraId="60BD7F21" w14:textId="7354C723" w:rsidR="00BC7DDA" w:rsidRPr="00BD6C5F" w:rsidRDefault="00A4555C" w:rsidP="005F15BF">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Testing Procedures</w:t>
            </w:r>
            <w:r w:rsidRPr="00BD6C5F">
              <w:rPr>
                <w:rFonts w:asciiTheme="minorHAnsi" w:hAnsiTheme="minorHAnsi" w:cstheme="minorHAnsi"/>
                <w:b/>
              </w:rPr>
              <w:t>”</w:t>
            </w:r>
          </w:p>
        </w:tc>
        <w:tc>
          <w:tcPr>
            <w:tcW w:w="5953" w:type="dxa"/>
          </w:tcPr>
          <w:p w14:paraId="60C30202" w14:textId="77777777" w:rsidR="00BC7DDA" w:rsidRPr="00BD6C5F" w:rsidRDefault="009B03E9" w:rsidP="005F15BF">
            <w:pPr>
              <w:pStyle w:val="Tabletext"/>
              <w:rPr>
                <w:rFonts w:asciiTheme="minorHAnsi" w:hAnsiTheme="minorHAnsi" w:cstheme="minorHAnsi"/>
              </w:rPr>
            </w:pPr>
            <w:r w:rsidRPr="00BD6C5F">
              <w:rPr>
                <w:rFonts w:asciiTheme="minorHAnsi" w:hAnsiTheme="minorHAnsi" w:cstheme="minorHAnsi"/>
              </w:rPr>
              <w:t>the applicable testing procedures and Test Success Criteria set out in this Schedule.</w:t>
            </w:r>
          </w:p>
        </w:tc>
      </w:tr>
    </w:tbl>
    <w:p w14:paraId="53CA7956" w14:textId="77777777" w:rsidR="00BC7DDA" w:rsidRPr="00BD6C5F" w:rsidRDefault="00BC7DDA">
      <w:pPr>
        <w:pStyle w:val="BodyText"/>
        <w:spacing w:before="4"/>
        <w:rPr>
          <w:rFonts w:asciiTheme="minorHAnsi" w:hAnsiTheme="minorHAnsi" w:cstheme="minorHAnsi"/>
        </w:rPr>
      </w:pPr>
    </w:p>
    <w:p w14:paraId="199DB9A7" w14:textId="3934FB32" w:rsidR="00BC7DDA" w:rsidRPr="00BD6C5F" w:rsidRDefault="00185D6A" w:rsidP="00C5057A">
      <w:pPr>
        <w:pStyle w:val="Numbered1"/>
      </w:pPr>
      <w:bookmarkStart w:id="479" w:name="_bookmark160"/>
      <w:bookmarkEnd w:id="479"/>
      <w:r w:rsidRPr="00BD6C5F">
        <w:t>Risk</w:t>
      </w:r>
    </w:p>
    <w:p w14:paraId="52E7F43D" w14:textId="77777777" w:rsidR="00BC7DDA" w:rsidRPr="00BD6C5F" w:rsidRDefault="009B03E9" w:rsidP="00A47A7E">
      <w:pPr>
        <w:pStyle w:val="Numbered11"/>
        <w:keepNext/>
      </w:pPr>
      <w:r w:rsidRPr="00BD6C5F">
        <w:t>The issue of a Test Certificate, a Milestone Achievement Certificate and/or a conditional Milestone Achievement Certificate shall not:</w:t>
      </w:r>
    </w:p>
    <w:p w14:paraId="2791A752" w14:textId="0BD2C870" w:rsidR="00BC7DDA" w:rsidRPr="00BD6C5F" w:rsidRDefault="009B03E9" w:rsidP="00185D6A">
      <w:pPr>
        <w:pStyle w:val="Numbered111"/>
      </w:pPr>
      <w:r w:rsidRPr="00BD6C5F">
        <w:t>operate to transfer any risk that the relevant Deliverable or Milestone is complete or will meet and/or satisfy the Authority</w:t>
      </w:r>
      <w:r w:rsidR="00A4555C" w:rsidRPr="00BD6C5F">
        <w:t>’</w:t>
      </w:r>
      <w:r w:rsidRPr="00BD6C5F">
        <w:t>s requirements for that Deliverable or Milestone; or</w:t>
      </w:r>
    </w:p>
    <w:p w14:paraId="19CCC27E" w14:textId="749D0250" w:rsidR="00BC7DDA" w:rsidRPr="00BD6C5F" w:rsidRDefault="009B03E9" w:rsidP="00A47A7E">
      <w:pPr>
        <w:pStyle w:val="Numbered111"/>
        <w:keepNext/>
      </w:pPr>
      <w:r w:rsidRPr="00BD6C5F">
        <w:t>affect the Authority</w:t>
      </w:r>
      <w:r w:rsidR="00A4555C" w:rsidRPr="00BD6C5F">
        <w:t>’</w:t>
      </w:r>
      <w:r w:rsidRPr="00BD6C5F">
        <w:t>s right subsequently to reject:</w:t>
      </w:r>
    </w:p>
    <w:p w14:paraId="5F4E1D1C" w14:textId="77777777" w:rsidR="00BC7DDA" w:rsidRPr="00BD6C5F" w:rsidRDefault="009B03E9" w:rsidP="00381D62">
      <w:pPr>
        <w:pStyle w:val="Numbered111a"/>
        <w:rPr>
          <w:lang w:val="en-GB"/>
        </w:rPr>
      </w:pPr>
      <w:r w:rsidRPr="00BD6C5F">
        <w:rPr>
          <w:lang w:val="en-GB"/>
        </w:rPr>
        <w:t>all or any element of the Deliverables to which a Test Certificate relates; or</w:t>
      </w:r>
    </w:p>
    <w:p w14:paraId="52BFA3FF" w14:textId="77777777" w:rsidR="00BC7DDA" w:rsidRPr="00BD6C5F" w:rsidRDefault="009B03E9" w:rsidP="00185D6A">
      <w:pPr>
        <w:pStyle w:val="Numbered111a"/>
        <w:rPr>
          <w:lang w:val="en-GB"/>
        </w:rPr>
      </w:pPr>
      <w:r w:rsidRPr="00BD6C5F">
        <w:rPr>
          <w:lang w:val="en-GB"/>
        </w:rPr>
        <w:t>any Milestone to which the Milestone Achievement Certificate relates.</w:t>
      </w:r>
    </w:p>
    <w:p w14:paraId="1D034BE6" w14:textId="77777777" w:rsidR="00BC7DDA" w:rsidRPr="00BD6C5F" w:rsidRDefault="009B03E9" w:rsidP="00A47A7E">
      <w:pPr>
        <w:pStyle w:val="Numbered11"/>
        <w:keepNext/>
      </w:pPr>
      <w:r w:rsidRPr="00BD6C5F">
        <w:t>Notwithstanding the issuing of any Milestone Achievement Certificate (including the Milestone Achievement Certificate in respect of Authority to Proceed), the Supplier shall remain solely responsible for ensuring that:</w:t>
      </w:r>
    </w:p>
    <w:p w14:paraId="22837D5D" w14:textId="77777777" w:rsidR="00BC7DDA" w:rsidRPr="00BD6C5F" w:rsidRDefault="009B03E9" w:rsidP="00185D6A">
      <w:pPr>
        <w:pStyle w:val="Numbered111"/>
      </w:pPr>
      <w:r w:rsidRPr="00BD6C5F">
        <w:t>the Supplier Solution as designed and developed is suitable for the delivery of the Services and meets the Authority Requirements;</w:t>
      </w:r>
    </w:p>
    <w:p w14:paraId="296D2537" w14:textId="4AF68BDE" w:rsidR="00BC7DDA" w:rsidRPr="00BD6C5F" w:rsidRDefault="009B03E9" w:rsidP="00185D6A">
      <w:pPr>
        <w:pStyle w:val="Numbered111"/>
      </w:pPr>
      <w:r w:rsidRPr="00BD6C5F">
        <w:t>the Services are implemented in accordance with this</w:t>
      </w:r>
      <w:r w:rsidR="00FF797B" w:rsidRPr="00BD6C5F">
        <w:t xml:space="preserve"> Contract</w:t>
      </w:r>
      <w:r w:rsidRPr="00BD6C5F">
        <w:t>; and</w:t>
      </w:r>
    </w:p>
    <w:p w14:paraId="5B396CF2" w14:textId="77777777" w:rsidR="00BC7DDA" w:rsidRPr="00BD6C5F" w:rsidRDefault="009B03E9" w:rsidP="00185D6A">
      <w:pPr>
        <w:pStyle w:val="Numbered111"/>
      </w:pPr>
      <w:r w:rsidRPr="00BD6C5F">
        <w:t>each Target Performance Level is met from the relevant Operational Service Commencement Date.</w:t>
      </w:r>
    </w:p>
    <w:p w14:paraId="45156212" w14:textId="0367B524" w:rsidR="00BC7DDA" w:rsidRPr="00BD6C5F" w:rsidRDefault="00185D6A" w:rsidP="00C5057A">
      <w:pPr>
        <w:pStyle w:val="Numbered1"/>
      </w:pPr>
      <w:r w:rsidRPr="00BD6C5F">
        <w:t>Testing Overview</w:t>
      </w:r>
    </w:p>
    <w:p w14:paraId="6060246E" w14:textId="77777777" w:rsidR="00BC7DDA" w:rsidRPr="00BD6C5F" w:rsidRDefault="009B03E9" w:rsidP="00C5057A">
      <w:pPr>
        <w:pStyle w:val="Numbered11"/>
      </w:pPr>
      <w:r w:rsidRPr="00BD6C5F">
        <w:t>All Tests conducted by the Supplier shall be conducted in accordance with the Test Strategy, the Test Plans and the Test Specifications.</w:t>
      </w:r>
    </w:p>
    <w:p w14:paraId="63626C45" w14:textId="77777777" w:rsidR="00BC7DDA" w:rsidRPr="00BD6C5F" w:rsidRDefault="009B03E9" w:rsidP="00A47A7E">
      <w:pPr>
        <w:pStyle w:val="Numbered11"/>
        <w:keepNext/>
      </w:pPr>
      <w:r w:rsidRPr="00BD6C5F">
        <w:t>The Supplier shall not submit any Deliverable for Testing:</w:t>
      </w:r>
    </w:p>
    <w:p w14:paraId="51E08AE0" w14:textId="77777777" w:rsidR="00BC7DDA" w:rsidRPr="00BD6C5F" w:rsidRDefault="009B03E9" w:rsidP="00185D6A">
      <w:pPr>
        <w:pStyle w:val="Numbered111"/>
      </w:pPr>
      <w:r w:rsidRPr="00BD6C5F">
        <w:t>unless the Supplier is reasonably confident that it will satisfy the relevant Test Success Criteria;</w:t>
      </w:r>
    </w:p>
    <w:p w14:paraId="668ECB4B" w14:textId="6C6EF6F0" w:rsidR="00BC7DDA" w:rsidRPr="00BD6C5F" w:rsidRDefault="009B03E9" w:rsidP="00185D6A">
      <w:pPr>
        <w:pStyle w:val="Numbered111"/>
      </w:pPr>
      <w:r w:rsidRPr="00BD6C5F">
        <w:t>until the Authority has issued a Test Certificate in respect of any prior, dependant Deliverable(s); and</w:t>
      </w:r>
    </w:p>
    <w:p w14:paraId="0F19ED3E" w14:textId="77777777" w:rsidR="00BC7DDA" w:rsidRPr="00BD6C5F" w:rsidRDefault="009B03E9" w:rsidP="00185D6A">
      <w:pPr>
        <w:pStyle w:val="Numbered111"/>
      </w:pPr>
      <w:r w:rsidRPr="00BD6C5F">
        <w:t>until the Parties have agreed the Test Plan and the Test Specification relating to the relevant Deliverable(s).</w:t>
      </w:r>
    </w:p>
    <w:p w14:paraId="70AF13B3" w14:textId="77777777" w:rsidR="00BC7DDA" w:rsidRPr="00BD6C5F" w:rsidRDefault="009B03E9" w:rsidP="00C5057A">
      <w:pPr>
        <w:pStyle w:val="Numbered11"/>
      </w:pPr>
      <w:r w:rsidRPr="00BD6C5F">
        <w:lastRenderedPageBreak/>
        <w:t>The Supplier shall use reasonable endeavours to submit each Deliverable for Testing or re-Testing by or before the date set out in the Implementation Plan for the commencement of Testing in respect of the relevant Deliverable.</w:t>
      </w:r>
    </w:p>
    <w:p w14:paraId="0793B25E" w14:textId="77777777" w:rsidR="00BC7DDA" w:rsidRPr="00BD6C5F" w:rsidRDefault="009B03E9" w:rsidP="00C5057A">
      <w:pPr>
        <w:pStyle w:val="Numbered11"/>
      </w:pPr>
      <w:r w:rsidRPr="00BD6C5F">
        <w:t>Prior to the issue of a Test Certificate, the Authority shall be entitled to review the relevant Test Reports and the Test Issue Management Log.</w:t>
      </w:r>
    </w:p>
    <w:p w14:paraId="482E68D6" w14:textId="77777777" w:rsidR="00BC7DDA" w:rsidRPr="00BD6C5F" w:rsidRDefault="009B03E9" w:rsidP="00C5057A">
      <w:pPr>
        <w:pStyle w:val="Numbered11"/>
      </w:pPr>
      <w:r w:rsidRPr="00BD6C5F">
        <w:t>Any Disputes between the Authority and the Supplier regarding Testing shall be referred to the Dispute Resolution Procedure using the Expedited Dispute Timetable.</w:t>
      </w:r>
    </w:p>
    <w:p w14:paraId="3778A56C" w14:textId="7208E1AD" w:rsidR="00BC7DDA" w:rsidRPr="00BD6C5F" w:rsidRDefault="00185D6A" w:rsidP="00C5057A">
      <w:pPr>
        <w:pStyle w:val="Numbered1"/>
      </w:pPr>
      <w:bookmarkStart w:id="480" w:name="_bookmark161"/>
      <w:bookmarkStart w:id="481" w:name="_Ref98410418"/>
      <w:bookmarkEnd w:id="480"/>
      <w:r w:rsidRPr="00BD6C5F">
        <w:t>Test Strategy</w:t>
      </w:r>
      <w:bookmarkEnd w:id="481"/>
    </w:p>
    <w:p w14:paraId="2A6EE53F" w14:textId="77777777" w:rsidR="00BC7DDA" w:rsidRPr="00BD6C5F" w:rsidRDefault="009B03E9" w:rsidP="00C5057A">
      <w:pPr>
        <w:pStyle w:val="Numbered11"/>
      </w:pPr>
      <w:r w:rsidRPr="00BD6C5F">
        <w:t>The Supplier shall develop the final Test Strategy as soon as practicable after the Effective Date but in any case no later than 20 Working Days (or such other period as the Parties may agree in writing) after the Effective Date.</w:t>
      </w:r>
    </w:p>
    <w:p w14:paraId="7B5D6086" w14:textId="77777777" w:rsidR="00BC7DDA" w:rsidRPr="00BD6C5F" w:rsidRDefault="009B03E9" w:rsidP="00A47A7E">
      <w:pPr>
        <w:pStyle w:val="Numbered11"/>
        <w:keepNext/>
      </w:pPr>
      <w:r w:rsidRPr="00BD6C5F">
        <w:t>The final Test Strategy shall include:</w:t>
      </w:r>
    </w:p>
    <w:p w14:paraId="484CEF30" w14:textId="77777777" w:rsidR="00BC7DDA" w:rsidRPr="00BD6C5F" w:rsidRDefault="009B03E9" w:rsidP="00185D6A">
      <w:pPr>
        <w:pStyle w:val="Numbered111"/>
      </w:pPr>
      <w:r w:rsidRPr="00BD6C5F">
        <w:t>an overview of how Testing will be conducted in accordance with the Implementation Plan;</w:t>
      </w:r>
    </w:p>
    <w:p w14:paraId="4A80DDAD" w14:textId="77777777" w:rsidR="00BC7DDA" w:rsidRPr="00BD6C5F" w:rsidRDefault="009B03E9" w:rsidP="00185D6A">
      <w:pPr>
        <w:pStyle w:val="Numbered111"/>
      </w:pPr>
      <w:r w:rsidRPr="00BD6C5F">
        <w:t>the process to be used to capture and record Test results and the categorisation of Test Issues;</w:t>
      </w:r>
    </w:p>
    <w:p w14:paraId="4CC51C80" w14:textId="77777777" w:rsidR="00BC7DDA" w:rsidRPr="00BD6C5F" w:rsidRDefault="009B03E9" w:rsidP="00185D6A">
      <w:pPr>
        <w:pStyle w:val="Numbered111"/>
      </w:pPr>
      <w:r w:rsidRPr="00BD6C5F">
        <w:t>the method for mapping the expected Test results to the Test Success Criteria;</w:t>
      </w:r>
    </w:p>
    <w:p w14:paraId="40E32E7F" w14:textId="77777777" w:rsidR="00BC7DDA" w:rsidRPr="00BD6C5F" w:rsidRDefault="009B03E9" w:rsidP="00185D6A">
      <w:pPr>
        <w:pStyle w:val="Numbered111"/>
      </w:pPr>
      <w:r w:rsidRPr="00BD6C5F">
        <w:t>the procedure to be followed if a Deliverable fails to satisfy the Test Success Criteria or produces unexpected results, including a procedure for the resolution of Test Issues;</w:t>
      </w:r>
    </w:p>
    <w:p w14:paraId="667B895D" w14:textId="77777777" w:rsidR="00BC7DDA" w:rsidRPr="00BD6C5F" w:rsidRDefault="009B03E9" w:rsidP="00185D6A">
      <w:pPr>
        <w:pStyle w:val="Numbered111"/>
      </w:pPr>
      <w:r w:rsidRPr="00BD6C5F">
        <w:t>the procedure to be followed to sign off each Test;</w:t>
      </w:r>
    </w:p>
    <w:p w14:paraId="2C519CB6" w14:textId="77777777" w:rsidR="00BC7DDA" w:rsidRPr="00BD6C5F" w:rsidRDefault="009B03E9" w:rsidP="00185D6A">
      <w:pPr>
        <w:pStyle w:val="Numbered111"/>
      </w:pPr>
      <w:r w:rsidRPr="00BD6C5F">
        <w:t>the process for the production and maintenance of Test Reports and reporting, including templates for the Test Reports and the Test Issue Management Log, and a sample plan for the resolution of Test Issues;</w:t>
      </w:r>
    </w:p>
    <w:p w14:paraId="51F5C97C" w14:textId="5128A419" w:rsidR="00BC7DDA" w:rsidRPr="00BD6C5F" w:rsidRDefault="009B03E9" w:rsidP="00185D6A">
      <w:pPr>
        <w:pStyle w:val="Numbered111"/>
      </w:pPr>
      <w:r w:rsidRPr="00BD6C5F">
        <w:t>the names and contact details of the Authority</w:t>
      </w:r>
      <w:r w:rsidR="00A4555C" w:rsidRPr="00BD6C5F">
        <w:t>’</w:t>
      </w:r>
      <w:r w:rsidRPr="00BD6C5F">
        <w:t>s and the Supplier</w:t>
      </w:r>
      <w:r w:rsidR="00A4555C" w:rsidRPr="00BD6C5F">
        <w:t>’</w:t>
      </w:r>
      <w:r w:rsidRPr="00BD6C5F">
        <w:t>s Test representatives;</w:t>
      </w:r>
    </w:p>
    <w:p w14:paraId="5D3F6BF1" w14:textId="77777777" w:rsidR="00BC7DDA" w:rsidRPr="00BD6C5F" w:rsidRDefault="009B03E9" w:rsidP="00185D6A">
      <w:pPr>
        <w:pStyle w:val="Numbered111"/>
      </w:pPr>
      <w:r w:rsidRPr="00BD6C5F">
        <w:t>a high level identification of the resources required for Testing, including facilities, infrastructure, personnel and Authority and/or third party involvement in the conduct of the Tests;</w:t>
      </w:r>
    </w:p>
    <w:p w14:paraId="651CEAD8" w14:textId="77777777" w:rsidR="00BC7DDA" w:rsidRPr="00BD6C5F" w:rsidRDefault="009B03E9" w:rsidP="00185D6A">
      <w:pPr>
        <w:pStyle w:val="Numbered111"/>
      </w:pPr>
      <w:r w:rsidRPr="00BD6C5F">
        <w:t>the technical environments required to support the Tests; and</w:t>
      </w:r>
    </w:p>
    <w:p w14:paraId="0573A18B" w14:textId="668DACB5" w:rsidR="00BC7DDA" w:rsidRPr="00BD6C5F" w:rsidRDefault="009B03E9" w:rsidP="00185D6A">
      <w:pPr>
        <w:pStyle w:val="Numbered111"/>
      </w:pPr>
      <w:r w:rsidRPr="00BD6C5F">
        <w:t>the procedure for managing the configuration of the Test environments.</w:t>
      </w:r>
    </w:p>
    <w:p w14:paraId="400912E9" w14:textId="33D474B2" w:rsidR="00BC7DDA" w:rsidRPr="00BD6C5F" w:rsidRDefault="00185D6A" w:rsidP="00C5057A">
      <w:pPr>
        <w:pStyle w:val="Numbered1"/>
      </w:pPr>
      <w:bookmarkStart w:id="482" w:name="_bookmark162"/>
      <w:bookmarkStart w:id="483" w:name="_Ref98410400"/>
      <w:bookmarkEnd w:id="482"/>
      <w:r w:rsidRPr="00BD6C5F">
        <w:t>Test Plans</w:t>
      </w:r>
      <w:bookmarkEnd w:id="483"/>
    </w:p>
    <w:p w14:paraId="37273E13" w14:textId="77777777" w:rsidR="00BC7DDA" w:rsidRPr="00BD6C5F" w:rsidRDefault="009B03E9" w:rsidP="00C5057A">
      <w:pPr>
        <w:pStyle w:val="Numbered11"/>
      </w:pPr>
      <w:r w:rsidRPr="00BD6C5F">
        <w:t>The Supplier shall develop Test Plans and submit these for the approval of the Authority as soon as practicable but in any case no later than 20 Working Days (or such other period as the Parties may agree in the Test Strategy or otherwise agree in writing) prior to the start date for the relevant Testing (as specified in the Implementation Plan).</w:t>
      </w:r>
    </w:p>
    <w:p w14:paraId="7785390A" w14:textId="77777777" w:rsidR="00BC7DDA" w:rsidRPr="00BD6C5F" w:rsidRDefault="009B03E9" w:rsidP="00A47A7E">
      <w:pPr>
        <w:pStyle w:val="Numbered11"/>
        <w:keepNext/>
      </w:pPr>
      <w:r w:rsidRPr="00BD6C5F">
        <w:lastRenderedPageBreak/>
        <w:t>Each Test Plan shall include as a minimum:</w:t>
      </w:r>
    </w:p>
    <w:p w14:paraId="4CEA222D" w14:textId="77777777" w:rsidR="00BC7DDA" w:rsidRPr="00BD6C5F" w:rsidRDefault="009B03E9" w:rsidP="00185D6A">
      <w:pPr>
        <w:pStyle w:val="Numbered111"/>
      </w:pPr>
      <w:r w:rsidRPr="00BD6C5F">
        <w:t>the relevant Test definition and the purpose of the Test, the Milestone to which it relates, the requirements being tested and, for each Test, the specific Test Success Criteria to be satisfied;</w:t>
      </w:r>
    </w:p>
    <w:p w14:paraId="4D2E07C4" w14:textId="77777777" w:rsidR="00BC7DDA" w:rsidRPr="00BD6C5F" w:rsidRDefault="009B03E9" w:rsidP="00A47A7E">
      <w:pPr>
        <w:pStyle w:val="Numbered111"/>
        <w:keepNext/>
      </w:pPr>
      <w:r w:rsidRPr="00BD6C5F">
        <w:t>a detailed procedure for the Tests to be carried out, including:</w:t>
      </w:r>
    </w:p>
    <w:p w14:paraId="79ECC7DC" w14:textId="77777777" w:rsidR="00BC7DDA" w:rsidRPr="00BD6C5F" w:rsidRDefault="009B03E9" w:rsidP="00381D62">
      <w:pPr>
        <w:pStyle w:val="Numbered111a"/>
        <w:rPr>
          <w:lang w:val="en-GB"/>
        </w:rPr>
      </w:pPr>
      <w:r w:rsidRPr="00BD6C5F">
        <w:rPr>
          <w:lang w:val="en-GB"/>
        </w:rPr>
        <w:t>the timetable for the Tests, including start and end dates;</w:t>
      </w:r>
    </w:p>
    <w:p w14:paraId="0BBC4513" w14:textId="77777777" w:rsidR="00BC7DDA" w:rsidRPr="00BD6C5F" w:rsidRDefault="009B03E9" w:rsidP="00185D6A">
      <w:pPr>
        <w:pStyle w:val="Numbered111a"/>
        <w:rPr>
          <w:lang w:val="en-GB"/>
        </w:rPr>
      </w:pPr>
      <w:r w:rsidRPr="00BD6C5F">
        <w:rPr>
          <w:lang w:val="en-GB"/>
        </w:rPr>
        <w:t>the Testing mechanism;</w:t>
      </w:r>
    </w:p>
    <w:p w14:paraId="50B2B102" w14:textId="77777777" w:rsidR="00BC7DDA" w:rsidRPr="00BD6C5F" w:rsidRDefault="009B03E9" w:rsidP="00185D6A">
      <w:pPr>
        <w:pStyle w:val="Numbered111a"/>
        <w:rPr>
          <w:lang w:val="en-GB"/>
        </w:rPr>
      </w:pPr>
      <w:r w:rsidRPr="00BD6C5F">
        <w:rPr>
          <w:lang w:val="en-GB"/>
        </w:rPr>
        <w:t>dates and methods by which the Authority can inspect Test results or witness the Tests in order to establish that the Test Success Criteria have been met;</w:t>
      </w:r>
    </w:p>
    <w:p w14:paraId="723D8206" w14:textId="77777777" w:rsidR="00BC7DDA" w:rsidRPr="00BD6C5F" w:rsidRDefault="009B03E9" w:rsidP="00185D6A">
      <w:pPr>
        <w:pStyle w:val="Numbered111a"/>
        <w:rPr>
          <w:lang w:val="en-GB"/>
        </w:rPr>
      </w:pPr>
      <w:r w:rsidRPr="00BD6C5F">
        <w:rPr>
          <w:lang w:val="en-GB"/>
        </w:rPr>
        <w:t>the mechanism for ensuring the quality, completeness and relevance of the Tests;</w:t>
      </w:r>
    </w:p>
    <w:p w14:paraId="3CB21A63" w14:textId="6427845A" w:rsidR="00BC7DDA" w:rsidRPr="00BD6C5F" w:rsidRDefault="009B03E9" w:rsidP="00185D6A">
      <w:pPr>
        <w:pStyle w:val="Numbered111a"/>
        <w:rPr>
          <w:lang w:val="en-GB"/>
        </w:rPr>
      </w:pPr>
      <w:r w:rsidRPr="00BD6C5F">
        <w:rPr>
          <w:lang w:val="en-GB"/>
        </w:rPr>
        <w:t xml:space="preserve">the format and an example of Test progress reports and the process with which the Authority accesses daily Test </w:t>
      </w:r>
      <w:r w:rsidR="00183636" w:rsidRPr="00BD6C5F">
        <w:rPr>
          <w:lang w:val="en-GB"/>
        </w:rPr>
        <w:t>S</w:t>
      </w:r>
      <w:r w:rsidRPr="00BD6C5F">
        <w:rPr>
          <w:lang w:val="en-GB"/>
        </w:rPr>
        <w:t>chedules;</w:t>
      </w:r>
    </w:p>
    <w:p w14:paraId="17AB2BB2" w14:textId="7B291DE6" w:rsidR="00BC7DDA" w:rsidRPr="00BD6C5F" w:rsidRDefault="009B03E9" w:rsidP="00185D6A">
      <w:pPr>
        <w:pStyle w:val="Numbered111a"/>
        <w:rPr>
          <w:lang w:val="en-GB"/>
        </w:rPr>
      </w:pPr>
      <w:r w:rsidRPr="00BD6C5F">
        <w:rPr>
          <w:lang w:val="en-GB"/>
        </w:rPr>
        <w:t>the process which the Authority will use to review Test Issues and the Supplier</w:t>
      </w:r>
      <w:r w:rsidR="00A4555C" w:rsidRPr="00BD6C5F">
        <w:rPr>
          <w:lang w:val="en-GB"/>
        </w:rPr>
        <w:t>’</w:t>
      </w:r>
      <w:r w:rsidRPr="00BD6C5F">
        <w:rPr>
          <w:lang w:val="en-GB"/>
        </w:rPr>
        <w:t>s progress in resolving these in a timely basis;</w:t>
      </w:r>
    </w:p>
    <w:p w14:paraId="1CB81C70" w14:textId="77777777" w:rsidR="00BC7DDA" w:rsidRPr="00BD6C5F" w:rsidRDefault="009B03E9" w:rsidP="00185D6A">
      <w:pPr>
        <w:pStyle w:val="Numbered111a"/>
        <w:rPr>
          <w:lang w:val="en-GB"/>
        </w:rPr>
      </w:pPr>
      <w:r w:rsidRPr="00BD6C5F">
        <w:rPr>
          <w:lang w:val="en-GB"/>
        </w:rPr>
        <w:t>the Test Schedule;</w:t>
      </w:r>
    </w:p>
    <w:p w14:paraId="5E27C72F" w14:textId="77777777" w:rsidR="00BC7DDA" w:rsidRPr="00BD6C5F" w:rsidRDefault="009B03E9" w:rsidP="00185D6A">
      <w:pPr>
        <w:pStyle w:val="Numbered111a"/>
        <w:rPr>
          <w:lang w:val="en-GB"/>
        </w:rPr>
      </w:pPr>
      <w:r w:rsidRPr="00BD6C5F">
        <w:rPr>
          <w:lang w:val="en-GB"/>
        </w:rPr>
        <w:t>the re-Test procedure, the timetable and the resources which would be required for re-Testing; and</w:t>
      </w:r>
    </w:p>
    <w:p w14:paraId="37112F64" w14:textId="77777777" w:rsidR="00BC7DDA" w:rsidRPr="00BD6C5F" w:rsidRDefault="009B03E9" w:rsidP="00185D6A">
      <w:pPr>
        <w:pStyle w:val="Numbered111"/>
      </w:pPr>
      <w:r w:rsidRPr="00BD6C5F">
        <w:t>the process for escalating Test Issues from a re-test situation to the taking of specific remedial action to resolve the Test Issue.</w:t>
      </w:r>
    </w:p>
    <w:p w14:paraId="2953D696" w14:textId="77777777" w:rsidR="00BC7DDA" w:rsidRPr="00BD6C5F" w:rsidRDefault="009B03E9" w:rsidP="00C5057A">
      <w:pPr>
        <w:pStyle w:val="Numbered11"/>
      </w:pPr>
      <w:r w:rsidRPr="00BD6C5F">
        <w:t>The Authority shall not unreasonably withhold or delay its approval of the Test Plans provided that the Supplier shall incorporate any reasonable requirements of the Authority in the Test Plans.</w:t>
      </w:r>
    </w:p>
    <w:p w14:paraId="105C085E" w14:textId="21C6AD8F" w:rsidR="00BC7DDA" w:rsidRPr="00BD6C5F" w:rsidRDefault="00185D6A" w:rsidP="00C5057A">
      <w:pPr>
        <w:pStyle w:val="Numbered1"/>
      </w:pPr>
      <w:bookmarkStart w:id="484" w:name="_bookmark163"/>
      <w:bookmarkStart w:id="485" w:name="_Ref98410427"/>
      <w:bookmarkEnd w:id="484"/>
      <w:r w:rsidRPr="00BD6C5F">
        <w:t>Test Success Criteria</w:t>
      </w:r>
      <w:bookmarkEnd w:id="485"/>
    </w:p>
    <w:p w14:paraId="35B9C9C1" w14:textId="77777777" w:rsidR="00BC7DDA" w:rsidRPr="00BD6C5F" w:rsidRDefault="009B03E9" w:rsidP="00A47A7E">
      <w:pPr>
        <w:pStyle w:val="Numbered11"/>
        <w:keepNext/>
      </w:pPr>
      <w:r w:rsidRPr="00BD6C5F">
        <w:t>The Test Success Criteria for:</w:t>
      </w:r>
    </w:p>
    <w:p w14:paraId="77B5544A" w14:textId="0A7D5961" w:rsidR="00BC7DDA" w:rsidRPr="00BD6C5F" w:rsidRDefault="009B03E9" w:rsidP="00185D6A">
      <w:pPr>
        <w:pStyle w:val="Numbered111"/>
      </w:pPr>
      <w:r w:rsidRPr="00BD6C5F">
        <w:t xml:space="preserve">each Test that must be Achieved for the Supplier to Achieve either the ATP Milestone or a CPP Milestone are set out in </w:t>
      </w:r>
      <w:r w:rsidR="00C101F7">
        <w:t>Annex </w:t>
      </w:r>
      <w:r w:rsidR="00C101F7">
        <w:fldChar w:fldCharType="begin"/>
      </w:r>
      <w:r w:rsidR="00C101F7">
        <w:instrText xml:space="preserve"> REF Schedule_14_Annex_4 \h </w:instrText>
      </w:r>
      <w:r w:rsidR="00C101F7">
        <w:fldChar w:fldCharType="separate"/>
      </w:r>
      <w:r w:rsidR="009749A0" w:rsidRPr="00BD6C5F">
        <w:t>4</w:t>
      </w:r>
      <w:r w:rsidR="00C101F7">
        <w:fldChar w:fldCharType="end"/>
      </w:r>
      <w:r w:rsidRPr="00BD6C5F">
        <w:t>; and</w:t>
      </w:r>
    </w:p>
    <w:p w14:paraId="026F9505" w14:textId="2ADBC4C3" w:rsidR="00BC7DDA" w:rsidRPr="00BD6C5F" w:rsidRDefault="009B03E9" w:rsidP="00185D6A">
      <w:pPr>
        <w:pStyle w:val="Numbered111"/>
      </w:pPr>
      <w:r w:rsidRPr="00BD6C5F">
        <w:t xml:space="preserve">all other Tests shall be agreed between the Parties as part of the relevant Test Plan pursuant to Paragraph </w:t>
      </w:r>
      <w:r w:rsidR="006E5627" w:rsidRPr="00BD6C5F">
        <w:fldChar w:fldCharType="begin"/>
      </w:r>
      <w:r w:rsidR="006E5627" w:rsidRPr="00BD6C5F">
        <w:instrText xml:space="preserve"> REF _Ref98410400 \n \h </w:instrText>
      </w:r>
      <w:r w:rsidR="00AD7DD0" w:rsidRPr="00BD6C5F">
        <w:instrText xml:space="preserve"> \* MERGEFORMAT </w:instrText>
      </w:r>
      <w:r w:rsidR="006E5627" w:rsidRPr="00BD6C5F">
        <w:fldChar w:fldCharType="separate"/>
      </w:r>
      <w:r w:rsidR="009749A0">
        <w:t>5</w:t>
      </w:r>
      <w:r w:rsidR="006E5627" w:rsidRPr="00BD6C5F">
        <w:fldChar w:fldCharType="end"/>
      </w:r>
      <w:r w:rsidRPr="00BD6C5F">
        <w:t>.</w:t>
      </w:r>
    </w:p>
    <w:p w14:paraId="0DB4974B" w14:textId="0883A90E" w:rsidR="00BC7DDA" w:rsidRPr="00BD6C5F" w:rsidRDefault="00185D6A" w:rsidP="00C5057A">
      <w:pPr>
        <w:pStyle w:val="Numbered1"/>
      </w:pPr>
      <w:bookmarkStart w:id="486" w:name="_bookmark164"/>
      <w:bookmarkStart w:id="487" w:name="_Ref98410410"/>
      <w:bookmarkEnd w:id="486"/>
      <w:r w:rsidRPr="00BD6C5F">
        <w:t>Test Specification</w:t>
      </w:r>
      <w:bookmarkEnd w:id="487"/>
    </w:p>
    <w:p w14:paraId="641CCDBF" w14:textId="77777777" w:rsidR="00BC7DDA" w:rsidRPr="00BD6C5F" w:rsidRDefault="009B03E9" w:rsidP="00C5057A">
      <w:pPr>
        <w:pStyle w:val="Numbered11"/>
      </w:pPr>
      <w:r w:rsidRPr="00BD6C5F">
        <w:t>Following approval of a Test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400DFD64" w14:textId="77777777" w:rsidR="00BC7DDA" w:rsidRPr="00BD6C5F" w:rsidRDefault="009B03E9" w:rsidP="00A47A7E">
      <w:pPr>
        <w:pStyle w:val="Numbered11"/>
        <w:keepNext/>
      </w:pPr>
      <w:r w:rsidRPr="00BD6C5F">
        <w:lastRenderedPageBreak/>
        <w:t>Each Test Specification shall include as a minimum:</w:t>
      </w:r>
    </w:p>
    <w:p w14:paraId="73BEB978" w14:textId="77777777" w:rsidR="00BC7DDA" w:rsidRPr="00BD6C5F" w:rsidRDefault="009B03E9" w:rsidP="00185D6A">
      <w:pPr>
        <w:pStyle w:val="Numbered111"/>
      </w:pPr>
      <w:r w:rsidRPr="00BD6C5F">
        <w:t>the specification of the Test data, including its source, scope, volume and management, a request (if applicable) for relevant Test data to be provided by the Authority and the extent to which it is equivalent to live operational data;</w:t>
      </w:r>
    </w:p>
    <w:p w14:paraId="76DE301E" w14:textId="77777777" w:rsidR="00BC7DDA" w:rsidRPr="00BD6C5F" w:rsidRDefault="009B03E9" w:rsidP="00185D6A">
      <w:pPr>
        <w:pStyle w:val="Numbered111"/>
      </w:pPr>
      <w:r w:rsidRPr="00BD6C5F">
        <w:t>a plan to make the resources available for Testing;</w:t>
      </w:r>
    </w:p>
    <w:p w14:paraId="44E8F518" w14:textId="77777777" w:rsidR="00BC7DDA" w:rsidRPr="00BD6C5F" w:rsidRDefault="009B03E9" w:rsidP="00185D6A">
      <w:pPr>
        <w:pStyle w:val="Numbered111"/>
      </w:pPr>
      <w:r w:rsidRPr="00BD6C5F">
        <w:t>Test scripts;</w:t>
      </w:r>
    </w:p>
    <w:p w14:paraId="380F7FD9" w14:textId="77777777" w:rsidR="00BC7DDA" w:rsidRPr="00BD6C5F" w:rsidRDefault="009B03E9" w:rsidP="00185D6A">
      <w:pPr>
        <w:pStyle w:val="Numbered111"/>
      </w:pPr>
      <w:r w:rsidRPr="00BD6C5F">
        <w:t>Test pre-requisites and the mechanism for measuring them; and</w:t>
      </w:r>
    </w:p>
    <w:p w14:paraId="45A87169" w14:textId="77777777" w:rsidR="00BC7DDA" w:rsidRPr="00BD6C5F" w:rsidRDefault="009B03E9" w:rsidP="00A47A7E">
      <w:pPr>
        <w:pStyle w:val="Numbered111"/>
        <w:keepNext/>
      </w:pPr>
      <w:r w:rsidRPr="00BD6C5F">
        <w:t>expected Test results, including:</w:t>
      </w:r>
    </w:p>
    <w:p w14:paraId="6A13B138" w14:textId="77777777" w:rsidR="00BC7DDA" w:rsidRPr="00BD6C5F" w:rsidRDefault="009B03E9" w:rsidP="00381D62">
      <w:pPr>
        <w:pStyle w:val="Numbered111a"/>
        <w:rPr>
          <w:lang w:val="en-GB"/>
        </w:rPr>
      </w:pPr>
      <w:r w:rsidRPr="00BD6C5F">
        <w:rPr>
          <w:lang w:val="en-GB"/>
        </w:rPr>
        <w:t>a mechanism to be used to capture and record Test results; and</w:t>
      </w:r>
    </w:p>
    <w:p w14:paraId="108296A6" w14:textId="77777777" w:rsidR="00BC7DDA" w:rsidRPr="00BD6C5F" w:rsidRDefault="009B03E9" w:rsidP="00185D6A">
      <w:pPr>
        <w:pStyle w:val="Numbered111a"/>
        <w:rPr>
          <w:lang w:val="en-GB"/>
        </w:rPr>
      </w:pPr>
      <w:r w:rsidRPr="00BD6C5F">
        <w:rPr>
          <w:lang w:val="en-GB"/>
        </w:rPr>
        <w:t>a method to process the Test results to establish their content.</w:t>
      </w:r>
    </w:p>
    <w:p w14:paraId="583BD10C" w14:textId="6E094CE0" w:rsidR="00BC7DDA" w:rsidRPr="00BD6C5F" w:rsidRDefault="00185D6A" w:rsidP="00C5057A">
      <w:pPr>
        <w:pStyle w:val="Numbered1"/>
      </w:pPr>
      <w:bookmarkStart w:id="488" w:name="_bookmark165"/>
      <w:bookmarkStart w:id="489" w:name="_Ref141215693"/>
      <w:bookmarkEnd w:id="488"/>
      <w:r w:rsidRPr="00BD6C5F">
        <w:t>Testing</w:t>
      </w:r>
      <w:bookmarkEnd w:id="489"/>
    </w:p>
    <w:p w14:paraId="09CF9AB2" w14:textId="77777777" w:rsidR="00BC7DDA" w:rsidRPr="00BD6C5F" w:rsidRDefault="009B03E9" w:rsidP="00C5057A">
      <w:pPr>
        <w:pStyle w:val="Numbered11"/>
      </w:pPr>
      <w:r w:rsidRPr="00BD6C5F">
        <w:t>Before submitting any Deliverables for Testing the Supplier shall subject the relevant Deliverables to its own internal quality control measures.</w:t>
      </w:r>
    </w:p>
    <w:p w14:paraId="7C6E5043" w14:textId="56180407" w:rsidR="00BC7DDA" w:rsidRPr="00BD6C5F" w:rsidRDefault="009B03E9" w:rsidP="00C5057A">
      <w:pPr>
        <w:pStyle w:val="Numbered11"/>
      </w:pPr>
      <w:r w:rsidRPr="00BD6C5F">
        <w:t xml:space="preserve">The Supplier shall manage the progress of Testing in accordance with the relevant Test Plan and shall carry out the Tests in accordance with the relevant Test Specification. Tests may be witnessed by the Test Witnesses in accordance with Paragraph </w:t>
      </w:r>
      <w:r w:rsidR="006E5627" w:rsidRPr="00BD6C5F">
        <w:fldChar w:fldCharType="begin"/>
      </w:r>
      <w:r w:rsidR="006E5627" w:rsidRPr="00BD6C5F">
        <w:instrText xml:space="preserve"> REF _Ref98411170 \n \h </w:instrText>
      </w:r>
      <w:r w:rsidR="00AD7DD0" w:rsidRPr="00BD6C5F">
        <w:instrText xml:space="preserve"> \* MERGEFORMAT </w:instrText>
      </w:r>
      <w:r w:rsidR="006E5627" w:rsidRPr="00BD6C5F">
        <w:fldChar w:fldCharType="separate"/>
      </w:r>
      <w:r w:rsidR="009749A0">
        <w:t>10</w:t>
      </w:r>
      <w:r w:rsidR="006E5627" w:rsidRPr="00BD6C5F">
        <w:fldChar w:fldCharType="end"/>
      </w:r>
      <w:r w:rsidRPr="00BD6C5F">
        <w:t>.</w:t>
      </w:r>
    </w:p>
    <w:p w14:paraId="2F0A23FC" w14:textId="77777777" w:rsidR="00BC7DDA" w:rsidRPr="00BD6C5F" w:rsidRDefault="009B03E9" w:rsidP="00C5057A">
      <w:pPr>
        <w:pStyle w:val="Numbered11"/>
      </w:pPr>
      <w:r w:rsidRPr="00BD6C5F">
        <w:t>The Supplier shall notify the Authority at least 10 Working Days (or such other period as the Parties may agree in writing) in advance of the date, time and location of the relevant Tests and the Authority shall ensure that the Test Witnesses attend the Tests, except where the Authority has specified in writing that such attendance is not necessary.</w:t>
      </w:r>
    </w:p>
    <w:p w14:paraId="331347F3" w14:textId="77777777" w:rsidR="00BC7DDA" w:rsidRPr="00BD6C5F" w:rsidRDefault="009B03E9" w:rsidP="00C5057A">
      <w:pPr>
        <w:pStyle w:val="Numbered11"/>
      </w:pPr>
      <w:r w:rsidRPr="00BD6C5F">
        <w:t>The Authority may raise and close Test Issues during the Test witnessing process.</w:t>
      </w:r>
    </w:p>
    <w:p w14:paraId="05BC011C" w14:textId="77777777" w:rsidR="00BC7DDA" w:rsidRPr="00BD6C5F" w:rsidRDefault="009B03E9" w:rsidP="00A47A7E">
      <w:pPr>
        <w:pStyle w:val="Numbered11"/>
        <w:keepNext/>
      </w:pPr>
      <w:r w:rsidRPr="00BD6C5F">
        <w:t>The Supplier shall provide to the Authority in relation to each Test:</w:t>
      </w:r>
    </w:p>
    <w:p w14:paraId="7D9837DF" w14:textId="7B5BA3DA" w:rsidR="00BC7DDA" w:rsidRPr="00BD6C5F" w:rsidRDefault="009B03E9" w:rsidP="00185D6A">
      <w:pPr>
        <w:pStyle w:val="Numbered111"/>
      </w:pPr>
      <w:r w:rsidRPr="00BD6C5F">
        <w:t>a draft Test Report not less than 2 Working Days (or such other period as the Parties may agree in writing) prior to the date on which the Test is planned to end; and</w:t>
      </w:r>
    </w:p>
    <w:p w14:paraId="53A46145" w14:textId="77777777" w:rsidR="00BC7DDA" w:rsidRPr="00BD6C5F" w:rsidRDefault="009B03E9" w:rsidP="00185D6A">
      <w:pPr>
        <w:pStyle w:val="Numbered111"/>
      </w:pPr>
      <w:r w:rsidRPr="00BD6C5F">
        <w:t>the final Test Report within 5 Working Days (or such other period as the Parties may agree in writing) of completion of Testing.</w:t>
      </w:r>
    </w:p>
    <w:p w14:paraId="64346643" w14:textId="77777777" w:rsidR="00BC7DDA" w:rsidRPr="00BD6C5F" w:rsidRDefault="009B03E9" w:rsidP="00A47A7E">
      <w:pPr>
        <w:pStyle w:val="Numbered11"/>
        <w:keepNext/>
      </w:pPr>
      <w:r w:rsidRPr="00BD6C5F">
        <w:t>Each Test Report shall provide a full report on the Testing conducted in respect of the relevant Deliverables, including:</w:t>
      </w:r>
    </w:p>
    <w:p w14:paraId="4943FC25" w14:textId="77777777" w:rsidR="00BC7DDA" w:rsidRPr="00BD6C5F" w:rsidRDefault="009B03E9" w:rsidP="00185D6A">
      <w:pPr>
        <w:pStyle w:val="Numbered111"/>
      </w:pPr>
      <w:r w:rsidRPr="00BD6C5F">
        <w:t>an overview of the Testing conducted;</w:t>
      </w:r>
    </w:p>
    <w:p w14:paraId="502CEF2F" w14:textId="77777777" w:rsidR="00BC7DDA" w:rsidRPr="00BD6C5F" w:rsidRDefault="009B03E9" w:rsidP="00185D6A">
      <w:pPr>
        <w:pStyle w:val="Numbered111"/>
      </w:pPr>
      <w:r w:rsidRPr="00BD6C5F">
        <w:t>identification of the relevant Test Success Criteria that have been satisfied;</w:t>
      </w:r>
    </w:p>
    <w:p w14:paraId="66E0AC72" w14:textId="3405AF5D" w:rsidR="00BC7DDA" w:rsidRPr="00BD6C5F" w:rsidRDefault="009B03E9" w:rsidP="006336AE">
      <w:pPr>
        <w:pStyle w:val="Numbered111"/>
        <w:ind w:left="1843" w:hanging="1123"/>
      </w:pPr>
      <w:r w:rsidRPr="00BD6C5F">
        <w:t>identification of the relevant Test Success Criteria that have not been satisfied together with the Supplier</w:t>
      </w:r>
      <w:r w:rsidR="00A4555C" w:rsidRPr="00BD6C5F">
        <w:t>’</w:t>
      </w:r>
      <w:r w:rsidRPr="00BD6C5F">
        <w:t>s explanation of why those criteria have not been met;</w:t>
      </w:r>
    </w:p>
    <w:p w14:paraId="54449177" w14:textId="0A172F86" w:rsidR="00BC7DDA" w:rsidRPr="00BD6C5F" w:rsidRDefault="009B03E9" w:rsidP="006336AE">
      <w:pPr>
        <w:pStyle w:val="Numbered111"/>
        <w:ind w:left="1843" w:hanging="1123"/>
      </w:pPr>
      <w:r w:rsidRPr="00BD6C5F">
        <w:t>the Tests that were not completed together with the Supplier</w:t>
      </w:r>
      <w:r w:rsidR="00A4555C" w:rsidRPr="00BD6C5F">
        <w:t>’</w:t>
      </w:r>
      <w:r w:rsidRPr="00BD6C5F">
        <w:t>s explanation of why those Tests were not completed;</w:t>
      </w:r>
    </w:p>
    <w:p w14:paraId="658D6C54" w14:textId="4E017FF2" w:rsidR="00BC7DDA" w:rsidRPr="00BD6C5F" w:rsidRDefault="009B03E9" w:rsidP="006336AE">
      <w:pPr>
        <w:pStyle w:val="Numbered111"/>
        <w:ind w:left="1843" w:hanging="1123"/>
      </w:pPr>
      <w:r w:rsidRPr="00BD6C5F">
        <w:lastRenderedPageBreak/>
        <w:t xml:space="preserve">the Test Success Criteria that were satisfied, not satisfied or which were not tested, and any other relevant categories, in each case grouped by Severity Level in accordance with Paragraph </w:t>
      </w:r>
      <w:r w:rsidR="006E5627" w:rsidRPr="00BD6C5F">
        <w:fldChar w:fldCharType="begin"/>
      </w:r>
      <w:r w:rsidR="006E5627" w:rsidRPr="00BD6C5F">
        <w:instrText xml:space="preserve"> REF _Ref98410388 \n \h </w:instrText>
      </w:r>
      <w:r w:rsidR="00AD7DD0" w:rsidRPr="00BD6C5F">
        <w:instrText xml:space="preserve"> \* MERGEFORMAT </w:instrText>
      </w:r>
      <w:r w:rsidR="006E5627" w:rsidRPr="00BD6C5F">
        <w:fldChar w:fldCharType="separate"/>
      </w:r>
      <w:r w:rsidR="009749A0">
        <w:t>9.1</w:t>
      </w:r>
      <w:r w:rsidR="006E5627" w:rsidRPr="00BD6C5F">
        <w:fldChar w:fldCharType="end"/>
      </w:r>
      <w:r w:rsidRPr="00BD6C5F">
        <w:t>; and</w:t>
      </w:r>
    </w:p>
    <w:p w14:paraId="7D81B425" w14:textId="77777777" w:rsidR="00BC7DDA" w:rsidRPr="00BD6C5F" w:rsidRDefault="009B03E9" w:rsidP="006336AE">
      <w:pPr>
        <w:pStyle w:val="Numbered111"/>
        <w:ind w:left="1843" w:hanging="1123"/>
      </w:pPr>
      <w:r w:rsidRPr="00BD6C5F">
        <w:t>the specification for any hardware and software used throughout Testing and any changes that were applied to that hardware and/or software during Testing.</w:t>
      </w:r>
    </w:p>
    <w:p w14:paraId="73E8E347" w14:textId="57C07DC2" w:rsidR="00BC7DDA" w:rsidRPr="00BD6C5F" w:rsidRDefault="00185D6A" w:rsidP="00C5057A">
      <w:pPr>
        <w:pStyle w:val="Numbered1"/>
      </w:pPr>
      <w:r w:rsidRPr="00BD6C5F">
        <w:t>Test Issues</w:t>
      </w:r>
    </w:p>
    <w:p w14:paraId="4864141A" w14:textId="047616B8" w:rsidR="00BC7DDA" w:rsidRPr="00BD6C5F" w:rsidRDefault="009B03E9" w:rsidP="00C5057A">
      <w:pPr>
        <w:pStyle w:val="Numbered11"/>
      </w:pPr>
      <w:bookmarkStart w:id="490" w:name="_bookmark166"/>
      <w:bookmarkStart w:id="491" w:name="_Ref98410388"/>
      <w:bookmarkEnd w:id="490"/>
      <w:r w:rsidRPr="00BD6C5F">
        <w:t xml:space="preserve">Where a Test Report identifies a Test Issue, the Parties shall agree the classification of the Test Issue using the criteria specified in </w:t>
      </w:r>
      <w:r w:rsidR="00095858">
        <w:t>Annex </w:t>
      </w:r>
      <w:r w:rsidR="00095858">
        <w:fldChar w:fldCharType="begin"/>
      </w:r>
      <w:r w:rsidR="00095858">
        <w:instrText xml:space="preserve"> REF Schedule_14_Annex_1 \h </w:instrText>
      </w:r>
      <w:r w:rsidR="00095858">
        <w:fldChar w:fldCharType="separate"/>
      </w:r>
      <w:r w:rsidR="009749A0" w:rsidRPr="00BD6C5F">
        <w:t>1</w:t>
      </w:r>
      <w:r w:rsidR="00095858">
        <w:fldChar w:fldCharType="end"/>
      </w:r>
      <w:r w:rsidRPr="00BD6C5F">
        <w:t xml:space="preserve"> and the Test Issue Management Log maintained by the Supplier shall log Test Issues reflecting the Severity Level allocated to each Test Issue.</w:t>
      </w:r>
      <w:bookmarkEnd w:id="491"/>
    </w:p>
    <w:p w14:paraId="42640648" w14:textId="77777777" w:rsidR="00BC7DDA" w:rsidRPr="00BD6C5F" w:rsidRDefault="009B03E9" w:rsidP="00C5057A">
      <w:pPr>
        <w:pStyle w:val="Numbered11"/>
      </w:pPr>
      <w:r w:rsidRPr="00BD6C5F">
        <w:t>The Supplier shall be responsible for maintaining the Test Issue Management Log and for ensuring that its contents accurately represent the current status of each Test Issue at all relevant times. The Supplier shall make the Test Issue Management Log available to the Authority upon request.</w:t>
      </w:r>
    </w:p>
    <w:p w14:paraId="1251D405" w14:textId="77777777" w:rsidR="00BC7DDA" w:rsidRPr="00BD6C5F" w:rsidRDefault="009B03E9" w:rsidP="00C5057A">
      <w:pPr>
        <w:pStyle w:val="Numbered11"/>
      </w:pPr>
      <w:r w:rsidRPr="00BD6C5F">
        <w:t>The Authority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683F91D1" w14:textId="7867CEDA" w:rsidR="00BC7DDA" w:rsidRPr="00BD6C5F" w:rsidRDefault="00185D6A" w:rsidP="00C5057A">
      <w:pPr>
        <w:pStyle w:val="Numbered1"/>
      </w:pPr>
      <w:bookmarkStart w:id="492" w:name="_bookmark167"/>
      <w:bookmarkStart w:id="493" w:name="_Ref98411170"/>
      <w:bookmarkEnd w:id="492"/>
      <w:r w:rsidRPr="00BD6C5F">
        <w:t>Test Witnessing</w:t>
      </w:r>
      <w:bookmarkEnd w:id="493"/>
    </w:p>
    <w:p w14:paraId="69C9DC22" w14:textId="77777777" w:rsidR="00BC7DDA" w:rsidRPr="00BD6C5F" w:rsidRDefault="009B03E9" w:rsidP="00C5057A">
      <w:pPr>
        <w:pStyle w:val="Numbered11"/>
      </w:pPr>
      <w:bookmarkStart w:id="494" w:name="_bookmark168"/>
      <w:bookmarkStart w:id="495" w:name="_Ref98410436"/>
      <w:bookmarkEnd w:id="494"/>
      <w:r w:rsidRPr="00BD6C5F">
        <w:t>The Authority may, in its sole discretion, require the attendance at any Test of one or more Test Witnesses selected by the Authority, each of whom shall have appropriate skills to fulfil the role of a Test Witness.</w:t>
      </w:r>
      <w:bookmarkEnd w:id="495"/>
    </w:p>
    <w:p w14:paraId="5AF50FD8" w14:textId="05A9DD9B" w:rsidR="00BC7DDA" w:rsidRPr="00BD6C5F" w:rsidRDefault="009B03E9" w:rsidP="00C5057A">
      <w:pPr>
        <w:pStyle w:val="Numbered11"/>
      </w:pPr>
      <w:r w:rsidRPr="00BD6C5F">
        <w:t>The Supplier shall give the Test Witnesses access to any documentation and Testing environments reasonably necessary and requested by the Test Witnesses to perform their role as a Test Witness in respect of the relevant Tests.</w:t>
      </w:r>
    </w:p>
    <w:p w14:paraId="066DB08F" w14:textId="77777777" w:rsidR="00BC7DDA" w:rsidRPr="00BD6C5F" w:rsidRDefault="009B03E9" w:rsidP="00A47A7E">
      <w:pPr>
        <w:pStyle w:val="Numbered11"/>
        <w:keepNext/>
      </w:pPr>
      <w:r w:rsidRPr="00BD6C5F">
        <w:t>The Test Witnesses:</w:t>
      </w:r>
    </w:p>
    <w:p w14:paraId="391B0BF5" w14:textId="77777777" w:rsidR="00BC7DDA" w:rsidRPr="00BD6C5F" w:rsidRDefault="009B03E9" w:rsidP="00185D6A">
      <w:pPr>
        <w:pStyle w:val="Numbered111"/>
      </w:pPr>
      <w:r w:rsidRPr="00BD6C5F">
        <w:t>shall actively review the Test documentation;</w:t>
      </w:r>
    </w:p>
    <w:p w14:paraId="5DA67DB5" w14:textId="77777777" w:rsidR="00BC7DDA" w:rsidRPr="00BD6C5F" w:rsidRDefault="009B03E9" w:rsidP="00185D6A">
      <w:pPr>
        <w:pStyle w:val="Numbered111"/>
      </w:pPr>
      <w:r w:rsidRPr="00BD6C5F">
        <w:t>will attend and engage in the performance of the Tests on behalf of the Authority so as to enable the Authority to gain an informed view of whether a Test Issue may be closed or whether the relevant element of the Test should be re-Tested;</w:t>
      </w:r>
    </w:p>
    <w:p w14:paraId="57318270" w14:textId="77777777" w:rsidR="00BC7DDA" w:rsidRPr="00BD6C5F" w:rsidRDefault="009B03E9" w:rsidP="00185D6A">
      <w:pPr>
        <w:pStyle w:val="Numbered111"/>
      </w:pPr>
      <w:r w:rsidRPr="00BD6C5F">
        <w:t>shall not be involved in the execution of any Test;</w:t>
      </w:r>
    </w:p>
    <w:p w14:paraId="2165DBEE" w14:textId="77777777" w:rsidR="00BC7DDA" w:rsidRPr="00BD6C5F" w:rsidRDefault="009B03E9" w:rsidP="00185D6A">
      <w:pPr>
        <w:pStyle w:val="Numbered111"/>
      </w:pPr>
      <w:r w:rsidRPr="00BD6C5F">
        <w:t>shall be required to verify that the Supplier conducted the Tests in accordance with the Test Success Criteria and the relevant Test Plan and Test Specification;</w:t>
      </w:r>
    </w:p>
    <w:p w14:paraId="5BB2F9C0" w14:textId="77777777" w:rsidR="00BC7DDA" w:rsidRPr="00BD6C5F" w:rsidRDefault="009B03E9" w:rsidP="00185D6A">
      <w:pPr>
        <w:pStyle w:val="Numbered111"/>
      </w:pPr>
      <w:r w:rsidRPr="00BD6C5F">
        <w:t>may produce and deliver their own, independent reports on Testing, which may be used by the Authority to assess whether the Tests have been Achieved;</w:t>
      </w:r>
    </w:p>
    <w:p w14:paraId="7C240EBE" w14:textId="77777777" w:rsidR="00BC7DDA" w:rsidRPr="00BD6C5F" w:rsidRDefault="009B03E9" w:rsidP="00185D6A">
      <w:pPr>
        <w:pStyle w:val="Numbered111"/>
      </w:pPr>
      <w:r w:rsidRPr="00BD6C5F">
        <w:t xml:space="preserve">may raise Test Issues on the Test Issue Management Log in respect of any </w:t>
      </w:r>
      <w:r w:rsidRPr="00BD6C5F">
        <w:lastRenderedPageBreak/>
        <w:t>Testing; and</w:t>
      </w:r>
    </w:p>
    <w:p w14:paraId="0E56809E" w14:textId="77777777" w:rsidR="00BC7DDA" w:rsidRPr="00BD6C5F" w:rsidRDefault="009B03E9" w:rsidP="00185D6A">
      <w:pPr>
        <w:pStyle w:val="Numbered111"/>
      </w:pPr>
      <w:r w:rsidRPr="00BD6C5F">
        <w:t>may require the Supplier to demonstrate the modifications made to any defective Deliverable before a Test Issue is closed.</w:t>
      </w:r>
    </w:p>
    <w:p w14:paraId="2790EEF6" w14:textId="2083B99D" w:rsidR="00BC7DDA" w:rsidRPr="00BD6C5F" w:rsidRDefault="00185D6A" w:rsidP="00C5057A">
      <w:pPr>
        <w:pStyle w:val="Numbered1"/>
      </w:pPr>
      <w:r w:rsidRPr="00BD6C5F">
        <w:t>Test Quality Audit</w:t>
      </w:r>
    </w:p>
    <w:p w14:paraId="7E2C2ABB" w14:textId="579CB001" w:rsidR="00BC7DDA" w:rsidRPr="00BD6C5F" w:rsidRDefault="009B03E9" w:rsidP="00C5057A">
      <w:pPr>
        <w:pStyle w:val="Numbered11"/>
      </w:pPr>
      <w:r w:rsidRPr="00BD6C5F">
        <w:t xml:space="preserve">Without prejudice to its rights pursuant to </w:t>
      </w:r>
      <w:r w:rsidR="005E736B" w:rsidRPr="00BD6C5F">
        <w:t>Clause </w:t>
      </w:r>
      <w:r w:rsidRPr="00BD6C5F">
        <w:t>12.2</w:t>
      </w:r>
      <w:r w:rsidR="006509FE">
        <w:t>.2</w:t>
      </w:r>
      <w:r w:rsidRPr="00BD6C5F">
        <w:t xml:space="preserve"> (</w:t>
      </w:r>
      <w:r w:rsidRPr="00BD6C5F">
        <w:rPr>
          <w:i/>
        </w:rPr>
        <w:t>Records, Reports, Audits &amp; Open Book Data</w:t>
      </w:r>
      <w:r w:rsidRPr="00BD6C5F">
        <w:t xml:space="preserve">), the Authority may perform on-going quality audits in respect of any part of the Testing (each a </w:t>
      </w:r>
      <w:r w:rsidR="00A4555C" w:rsidRPr="00BD6C5F">
        <w:t>“</w:t>
      </w:r>
      <w:r w:rsidRPr="00BD6C5F">
        <w:rPr>
          <w:b/>
        </w:rPr>
        <w:t>Testing Quality Audit</w:t>
      </w:r>
      <w:r w:rsidR="00A4555C" w:rsidRPr="00BD6C5F">
        <w:t>”</w:t>
      </w:r>
      <w:r w:rsidRPr="00BD6C5F">
        <w:t>) subject to the provisions set out in the agreed Quality Plan.</w:t>
      </w:r>
    </w:p>
    <w:p w14:paraId="7F704031" w14:textId="77777777" w:rsidR="00BC7DDA" w:rsidRPr="00BD6C5F" w:rsidRDefault="009B03E9" w:rsidP="00A47A7E">
      <w:pPr>
        <w:pStyle w:val="Numbered11"/>
        <w:keepNext/>
      </w:pPr>
      <w:r w:rsidRPr="00BD6C5F">
        <w:t>The focus of the Testing Quality Audits shall be on:</w:t>
      </w:r>
    </w:p>
    <w:p w14:paraId="105B862C" w14:textId="77777777" w:rsidR="00BC7DDA" w:rsidRPr="00BD6C5F" w:rsidRDefault="009B03E9" w:rsidP="00185D6A">
      <w:pPr>
        <w:pStyle w:val="Numbered111"/>
      </w:pPr>
      <w:r w:rsidRPr="00BD6C5F">
        <w:t>adherence to an agreed methodology;</w:t>
      </w:r>
    </w:p>
    <w:p w14:paraId="22370EE4" w14:textId="77777777" w:rsidR="00BC7DDA" w:rsidRPr="00BD6C5F" w:rsidRDefault="009B03E9" w:rsidP="00185D6A">
      <w:pPr>
        <w:pStyle w:val="Numbered111"/>
      </w:pPr>
      <w:r w:rsidRPr="00BD6C5F">
        <w:t>adherence to the agreed Testing process;</w:t>
      </w:r>
    </w:p>
    <w:p w14:paraId="3543108E" w14:textId="77777777" w:rsidR="00BC7DDA" w:rsidRPr="00BD6C5F" w:rsidRDefault="009B03E9" w:rsidP="00185D6A">
      <w:pPr>
        <w:pStyle w:val="Numbered111"/>
      </w:pPr>
      <w:r w:rsidRPr="00BD6C5F">
        <w:t>adherence to the Quality Plan;</w:t>
      </w:r>
    </w:p>
    <w:p w14:paraId="68DED540" w14:textId="77777777" w:rsidR="00BC7DDA" w:rsidRPr="00BD6C5F" w:rsidRDefault="009B03E9" w:rsidP="00185D6A">
      <w:pPr>
        <w:pStyle w:val="Numbered111"/>
      </w:pPr>
      <w:r w:rsidRPr="00BD6C5F">
        <w:t>review of status and key development issues; and</w:t>
      </w:r>
    </w:p>
    <w:p w14:paraId="47A7E4E5" w14:textId="77777777" w:rsidR="00BC7DDA" w:rsidRPr="00BD6C5F" w:rsidRDefault="009B03E9" w:rsidP="00185D6A">
      <w:pPr>
        <w:pStyle w:val="Numbered111"/>
      </w:pPr>
      <w:r w:rsidRPr="00BD6C5F">
        <w:t>identification of key risk areas.</w:t>
      </w:r>
    </w:p>
    <w:p w14:paraId="0F050D92" w14:textId="77777777" w:rsidR="00BC7DDA" w:rsidRPr="00BD6C5F" w:rsidRDefault="009B03E9" w:rsidP="00C5057A">
      <w:pPr>
        <w:pStyle w:val="Numbered11"/>
      </w:pPr>
      <w:r w:rsidRPr="00BD6C5F">
        <w:t>The Supplier shall allow sufficient time in the Test Plan to ensure that adequate responses to a Testing Quality Audit can be provided.</w:t>
      </w:r>
    </w:p>
    <w:p w14:paraId="1BF13E18" w14:textId="53CAAB5F" w:rsidR="00BC7DDA" w:rsidRPr="00BD6C5F" w:rsidRDefault="009B03E9" w:rsidP="00C5057A">
      <w:pPr>
        <w:pStyle w:val="Numbered11"/>
      </w:pPr>
      <w:r w:rsidRPr="00BD6C5F">
        <w:t>The Authority will give the Supplier at least 5 Working Days</w:t>
      </w:r>
      <w:r w:rsidR="00A4555C" w:rsidRPr="00BD6C5F">
        <w:t>’</w:t>
      </w:r>
      <w:r w:rsidRPr="00BD6C5F">
        <w:t xml:space="preserve"> written notice of the Authority</w:t>
      </w:r>
      <w:r w:rsidR="00A4555C" w:rsidRPr="00BD6C5F">
        <w:t>’</w:t>
      </w:r>
      <w:r w:rsidRPr="00BD6C5F">
        <w:t>s intention to undertake a Testing Quality Audit and the Supplier may request, following receipt of that notice, that any Testing Quality Audit be</w:t>
      </w:r>
      <w:r w:rsidR="00515DA7" w:rsidRPr="00BD6C5F">
        <w:t xml:space="preserve"> </w:t>
      </w:r>
      <w:r w:rsidRPr="00BD6C5F">
        <w:t>delayed by a reasonable time period if in the Supplier</w:t>
      </w:r>
      <w:r w:rsidR="00A4555C" w:rsidRPr="00BD6C5F">
        <w:t>’</w:t>
      </w:r>
      <w:r w:rsidRPr="00BD6C5F">
        <w:t>s reasonable opinion, the carrying out of a Testing Quality Audit at the time specified by the Authority will materially and adversely impact the Implementation Plan.</w:t>
      </w:r>
    </w:p>
    <w:p w14:paraId="10E7F1D1" w14:textId="77777777" w:rsidR="00BC7DDA" w:rsidRPr="00BD6C5F" w:rsidRDefault="009B03E9" w:rsidP="00C5057A">
      <w:pPr>
        <w:pStyle w:val="Numbered11"/>
      </w:pPr>
      <w:r w:rsidRPr="00BD6C5F">
        <w:t>A Testing Quality Audit may involve document reviews, interviews with the Supplier Personnel involved in or monitoring the activities being undertaken pursuant to this Schedule, the Authority witnessing Tests and demonstrations of the Deliverables to the Authority. Any Testing Quality Audit shall be limited in duration to a maximum time to be agreed between the Supplier and the Authority on a case by case basis (such agreement not to be unreasonably withheld or delayed). The Supplier shall provide all reasonable necessary assistance and access to all relevant documentation required by the Authority to enable it to carry out the Testing Quality Audit.</w:t>
      </w:r>
    </w:p>
    <w:p w14:paraId="2D34A343" w14:textId="77777777" w:rsidR="00BC7DDA" w:rsidRPr="00BD6C5F" w:rsidRDefault="009B03E9" w:rsidP="00A47A7E">
      <w:pPr>
        <w:pStyle w:val="Numbered11"/>
        <w:keepNext/>
      </w:pPr>
      <w:r w:rsidRPr="00BD6C5F">
        <w:t>If the Testing Quality Audit gives the Authority concern in respect of the Testing Procedures or any Test, the Authority shall:</w:t>
      </w:r>
    </w:p>
    <w:p w14:paraId="57680DFE" w14:textId="77777777" w:rsidR="00BC7DDA" w:rsidRPr="00BD6C5F" w:rsidRDefault="009B03E9" w:rsidP="00185D6A">
      <w:pPr>
        <w:pStyle w:val="Numbered111"/>
      </w:pPr>
      <w:r w:rsidRPr="00BD6C5F">
        <w:t>discuss the outcome of the Testing Quality Audit with the Supplier, giving the Supplier the opportunity to provide feedback in relation to specific activities; and</w:t>
      </w:r>
    </w:p>
    <w:p w14:paraId="4DED9C25" w14:textId="77777777" w:rsidR="00BC7DDA" w:rsidRPr="00BD6C5F" w:rsidRDefault="009B03E9" w:rsidP="00185D6A">
      <w:pPr>
        <w:pStyle w:val="Numbered111"/>
      </w:pPr>
      <w:r w:rsidRPr="00BD6C5F">
        <w:t>subsequently prepare a written report for the Supplier detailing its concerns,</w:t>
      </w:r>
    </w:p>
    <w:p w14:paraId="2F8C0D3C" w14:textId="7B8E4D18" w:rsidR="00BC7DDA" w:rsidRPr="00BD6C5F" w:rsidRDefault="009B03E9" w:rsidP="005F15BF">
      <w:pPr>
        <w:pStyle w:val="BodyText"/>
        <w:spacing w:before="100" w:after="200"/>
        <w:ind w:left="720"/>
        <w:rPr>
          <w:rFonts w:asciiTheme="minorHAnsi" w:hAnsiTheme="minorHAnsi" w:cstheme="minorHAnsi"/>
        </w:rPr>
      </w:pPr>
      <w:r w:rsidRPr="00BD6C5F">
        <w:rPr>
          <w:rFonts w:asciiTheme="minorHAnsi" w:hAnsiTheme="minorHAnsi" w:cstheme="minorHAnsi"/>
        </w:rPr>
        <w:t>and the Supplier shall, within a reasonable timeframe, respond in writing to the Authority</w:t>
      </w:r>
      <w:r w:rsidR="00A4555C" w:rsidRPr="00BD6C5F">
        <w:rPr>
          <w:rFonts w:asciiTheme="minorHAnsi" w:hAnsiTheme="minorHAnsi" w:cstheme="minorHAnsi"/>
        </w:rPr>
        <w:t>’</w:t>
      </w:r>
      <w:r w:rsidRPr="00BD6C5F">
        <w:rPr>
          <w:rFonts w:asciiTheme="minorHAnsi" w:hAnsiTheme="minorHAnsi" w:cstheme="minorHAnsi"/>
        </w:rPr>
        <w:t>s report.</w:t>
      </w:r>
    </w:p>
    <w:p w14:paraId="2AE48FD0" w14:textId="689A9C3D" w:rsidR="00BC7DDA" w:rsidRPr="00BD6C5F" w:rsidRDefault="009B03E9" w:rsidP="00C5057A">
      <w:pPr>
        <w:pStyle w:val="Numbered11"/>
      </w:pPr>
      <w:r w:rsidRPr="00BD6C5F">
        <w:lastRenderedPageBreak/>
        <w:t>In the event of an inadequate response to the Authority</w:t>
      </w:r>
      <w:r w:rsidR="00A4555C" w:rsidRPr="00BD6C5F">
        <w:t>’</w:t>
      </w:r>
      <w:r w:rsidRPr="00BD6C5F">
        <w:t>s report from the Supplier, the Authority (acting reasonably) may withhold a Test Certificate (and consequently delay the grant of a Milestone Achievement Certificate) until the issues in the report have been addressed to the reasonable satisfaction of the Authority.</w:t>
      </w:r>
    </w:p>
    <w:p w14:paraId="1D6DF050" w14:textId="56ED0D87" w:rsidR="00BC7DDA" w:rsidRPr="00BD6C5F" w:rsidRDefault="00185D6A" w:rsidP="00C5057A">
      <w:pPr>
        <w:pStyle w:val="Numbered1"/>
      </w:pPr>
      <w:r w:rsidRPr="00BD6C5F">
        <w:t>Outcome of Testing</w:t>
      </w:r>
    </w:p>
    <w:p w14:paraId="1DA8E70F" w14:textId="77777777" w:rsidR="00BC7DDA" w:rsidRPr="00BD6C5F" w:rsidRDefault="009B03E9" w:rsidP="00C5057A">
      <w:pPr>
        <w:pStyle w:val="Numbered11"/>
      </w:pPr>
      <w:bookmarkStart w:id="496" w:name="_bookmark169"/>
      <w:bookmarkStart w:id="497" w:name="_Ref98411330"/>
      <w:bookmarkEnd w:id="496"/>
      <w:r w:rsidRPr="00BD6C5F">
        <w:t>The Authority shall issue a Test Certificate as soon as reasonably practicable when the Deliverables satisfy the Test Success Criteria in respect of that Test without any Test Issues.</w:t>
      </w:r>
      <w:bookmarkEnd w:id="497"/>
    </w:p>
    <w:p w14:paraId="73B4F48D" w14:textId="77777777" w:rsidR="00BC7DDA" w:rsidRPr="00BD6C5F" w:rsidRDefault="009B03E9" w:rsidP="00A47A7E">
      <w:pPr>
        <w:pStyle w:val="Numbered11"/>
        <w:keepNext/>
      </w:pPr>
      <w:r w:rsidRPr="00BD6C5F">
        <w:t>If the Deliverables (or any relevant part) do not satisfy the Test Success Criteria then the Authority shall notify the Supplier and:</w:t>
      </w:r>
    </w:p>
    <w:p w14:paraId="0016B7B8" w14:textId="77777777" w:rsidR="00BC7DDA" w:rsidRPr="00BD6C5F" w:rsidRDefault="009B03E9" w:rsidP="00185D6A">
      <w:pPr>
        <w:pStyle w:val="Numbered111"/>
      </w:pPr>
      <w:r w:rsidRPr="00BD6C5F">
        <w:t>the Authority may issue a Test Certificate conditional upon the remediation of the Test Issues;</w:t>
      </w:r>
    </w:p>
    <w:p w14:paraId="0292AFF1" w14:textId="77777777" w:rsidR="00BC7DDA" w:rsidRPr="00BD6C5F" w:rsidRDefault="009B03E9" w:rsidP="00185D6A">
      <w:pPr>
        <w:pStyle w:val="Numbered111"/>
      </w:pPr>
      <w:r w:rsidRPr="00BD6C5F">
        <w:t>where the Parties agree that there is sufficient time prior to the relevant Milestone Date, the Authority may extend the Test Plan by such reasonable period or periods as the Parties may reasonably agree and require the Supplier to rectify the cause of the Test Issue and re-submit the Deliverables (or the relevant part) to Testing; or</w:t>
      </w:r>
    </w:p>
    <w:p w14:paraId="3D8C4392" w14:textId="64288750" w:rsidR="00BC7DDA" w:rsidRPr="00BD6C5F" w:rsidRDefault="009B03E9" w:rsidP="00185D6A">
      <w:pPr>
        <w:pStyle w:val="Numbered111"/>
      </w:pPr>
      <w:r w:rsidRPr="00BD6C5F">
        <w:t>where the failure to satisfy the Test Success Criteria results, or is likely to result, in the failure (in whole or in part) by the Supplier to meet a Milestone, then without prejudice to the Authority</w:t>
      </w:r>
      <w:r w:rsidR="00A4555C" w:rsidRPr="00BD6C5F">
        <w:t>’</w:t>
      </w:r>
      <w:r w:rsidRPr="00BD6C5F">
        <w:t>s other</w:t>
      </w:r>
      <w:r w:rsidR="00DB2677" w:rsidRPr="00BD6C5F">
        <w:t xml:space="preserve"> </w:t>
      </w:r>
      <w:r w:rsidRPr="00BD6C5F">
        <w:t xml:space="preserve">rights and remedies, such failure shall constitute a Notifiable Default for the purposes of </w:t>
      </w:r>
      <w:r w:rsidR="005E736B" w:rsidRPr="00BD6C5F">
        <w:t>Clause </w:t>
      </w:r>
      <w:r w:rsidRPr="00BD6C5F">
        <w:t>2</w:t>
      </w:r>
      <w:r w:rsidR="00925189" w:rsidRPr="00BD6C5F">
        <w:t>5</w:t>
      </w:r>
      <w:r w:rsidRPr="00BD6C5F">
        <w:t>.1 (</w:t>
      </w:r>
      <w:r w:rsidRPr="00BD6C5F">
        <w:rPr>
          <w:i/>
        </w:rPr>
        <w:t>Rectification Plan Process</w:t>
      </w:r>
      <w:r w:rsidRPr="00BD6C5F">
        <w:t>).</w:t>
      </w:r>
    </w:p>
    <w:p w14:paraId="49091DA4" w14:textId="1A365F66" w:rsidR="00BC7DDA" w:rsidRPr="00BD6C5F" w:rsidRDefault="009B03E9" w:rsidP="00C5057A">
      <w:pPr>
        <w:pStyle w:val="Numbered11"/>
      </w:pPr>
      <w:r w:rsidRPr="00BD6C5F">
        <w:t xml:space="preserve">The Authority shall be entitled, without prejudice to any other rights and remedies that it has under this </w:t>
      </w:r>
      <w:r w:rsidR="00FF797B" w:rsidRPr="00BD6C5F">
        <w:t>Contract</w:t>
      </w:r>
      <w:r w:rsidRPr="00BD6C5F">
        <w:t>, to recover from the Supplier any reasonable additional costs it may incur as a direct result of further review or re-Testing which is required for the Test Success Criteria for that Deliverable to be satisfied.</w:t>
      </w:r>
    </w:p>
    <w:p w14:paraId="7DC3021A" w14:textId="4B281D38" w:rsidR="00BC7DDA" w:rsidRPr="00BD6C5F" w:rsidRDefault="00185D6A" w:rsidP="00C5057A">
      <w:pPr>
        <w:pStyle w:val="Numbered1"/>
      </w:pPr>
      <w:r w:rsidRPr="00BD6C5F">
        <w:t>Issue of Milestone Achievement Certificate</w:t>
      </w:r>
    </w:p>
    <w:p w14:paraId="3D34A45E" w14:textId="77777777" w:rsidR="00BC7DDA" w:rsidRPr="00BD6C5F" w:rsidRDefault="009B03E9" w:rsidP="00A47A7E">
      <w:pPr>
        <w:pStyle w:val="Numbered11"/>
        <w:keepNext/>
      </w:pPr>
      <w:bookmarkStart w:id="498" w:name="_bookmark170"/>
      <w:bookmarkStart w:id="499" w:name="_Ref98411427"/>
      <w:bookmarkEnd w:id="498"/>
      <w:r w:rsidRPr="00BD6C5F">
        <w:t>The Authority shall issue a Milestone Achievement Certificate in respect of a given Milestone as soon as is reasonably practicable following:</w:t>
      </w:r>
      <w:bookmarkEnd w:id="499"/>
    </w:p>
    <w:p w14:paraId="27928CFB" w14:textId="77777777" w:rsidR="00BC7DDA" w:rsidRPr="00BD6C5F" w:rsidRDefault="009B03E9" w:rsidP="00185D6A">
      <w:pPr>
        <w:pStyle w:val="Numbered111"/>
      </w:pPr>
      <w:r w:rsidRPr="00BD6C5F">
        <w:t>the issuing by the Authority of Test Certificates and/or conditional Test Certificates in respect of all Deliverables related to that Milestone which are due to be Tested; and</w:t>
      </w:r>
    </w:p>
    <w:p w14:paraId="3C374310" w14:textId="77777777" w:rsidR="00BC7DDA" w:rsidRPr="00BD6C5F" w:rsidRDefault="009B03E9" w:rsidP="00185D6A">
      <w:pPr>
        <w:pStyle w:val="Numbered111"/>
      </w:pPr>
      <w:r w:rsidRPr="00BD6C5F">
        <w:t>performance by the Supplier to the reasonable satisfaction of the Authority of any other tasks identified in the Implementation Plan as associated with that Milestone (which may include the submission of a Deliverable that is not due to be Tested, such as the production of Documentation).</w:t>
      </w:r>
    </w:p>
    <w:p w14:paraId="2F149A66" w14:textId="5F78FCE6" w:rsidR="00BC7DDA" w:rsidRPr="00BD6C5F" w:rsidRDefault="009B03E9" w:rsidP="00C5057A">
      <w:pPr>
        <w:pStyle w:val="Numbered11"/>
      </w:pPr>
      <w:r w:rsidRPr="00BD6C5F">
        <w:t xml:space="preserve">The grant of a Milestone Achievement Certificate shall entitle the Supplier to the receipt of a payment in respect of that Milestone in accordance with the provisions of </w:t>
      </w:r>
      <w:r w:rsidR="00346653" w:rsidRPr="00BD6C5F">
        <w:t>Schedule </w:t>
      </w:r>
      <w:r w:rsidR="00346653">
        <w:fldChar w:fldCharType="begin"/>
      </w:r>
      <w:r w:rsidR="00346653">
        <w:instrText xml:space="preserve"> REF Schedule_15 \h </w:instrText>
      </w:r>
      <w:r w:rsidR="00346653">
        <w:fldChar w:fldCharType="separate"/>
      </w:r>
      <w:r w:rsidR="009749A0">
        <w:t>15</w:t>
      </w:r>
      <w:r w:rsidR="00346653">
        <w:fldChar w:fldCharType="end"/>
      </w:r>
      <w:r w:rsidRPr="00BD6C5F">
        <w:t xml:space="preserve"> (</w:t>
      </w:r>
      <w:r w:rsidRPr="00BD6C5F">
        <w:rPr>
          <w:i/>
        </w:rPr>
        <w:t>Charges and Invoicing</w:t>
      </w:r>
      <w:r w:rsidRPr="00BD6C5F">
        <w:t>).</w:t>
      </w:r>
    </w:p>
    <w:p w14:paraId="44740FE0" w14:textId="77777777" w:rsidR="00BC7DDA" w:rsidRPr="00BD6C5F" w:rsidRDefault="009B03E9" w:rsidP="00A47A7E">
      <w:pPr>
        <w:pStyle w:val="Numbered11"/>
        <w:keepNext/>
        <w:widowControl/>
      </w:pPr>
      <w:bookmarkStart w:id="500" w:name="_bookmark171"/>
      <w:bookmarkStart w:id="501" w:name="_Ref98411268"/>
      <w:bookmarkEnd w:id="500"/>
      <w:r w:rsidRPr="00BD6C5F">
        <w:lastRenderedPageBreak/>
        <w:t>If a Milestone is not Achieved, the Authority shall promptly issue a report to the Supplier setting out:</w:t>
      </w:r>
      <w:bookmarkEnd w:id="501"/>
    </w:p>
    <w:p w14:paraId="3391CF87" w14:textId="34D2FF84" w:rsidR="00BC7DDA" w:rsidRPr="00BD6C5F" w:rsidRDefault="009B03E9" w:rsidP="00185D6A">
      <w:pPr>
        <w:pStyle w:val="Numbered111"/>
      </w:pPr>
      <w:r w:rsidRPr="00BD6C5F">
        <w:t>the applicable Test Issues; and</w:t>
      </w:r>
    </w:p>
    <w:p w14:paraId="7BD34EFF" w14:textId="77777777" w:rsidR="00BC7DDA" w:rsidRPr="00BD6C5F" w:rsidRDefault="009B03E9" w:rsidP="00185D6A">
      <w:pPr>
        <w:pStyle w:val="Numbered111"/>
      </w:pPr>
      <w:r w:rsidRPr="00BD6C5F">
        <w:t>any other reasons for the relevant Milestone not being Achieved.</w:t>
      </w:r>
    </w:p>
    <w:p w14:paraId="748A8E7C" w14:textId="77777777" w:rsidR="00BC7DDA" w:rsidRPr="00BD6C5F" w:rsidRDefault="009B03E9" w:rsidP="00C5057A">
      <w:pPr>
        <w:pStyle w:val="Numbered11"/>
      </w:pPr>
      <w:r w:rsidRPr="00BD6C5F">
        <w:t>If there are Test Issues but these do not exceed the Test Issues Threshold, then provided there are no Material Test Issues, the Authority shall issue a Milestone Achievement Certificate.</w:t>
      </w:r>
    </w:p>
    <w:p w14:paraId="02892303" w14:textId="6C480326" w:rsidR="00BC7DDA" w:rsidRPr="00BD6C5F" w:rsidRDefault="009B03E9" w:rsidP="00A47A7E">
      <w:pPr>
        <w:pStyle w:val="Numbered11"/>
        <w:keepNext/>
      </w:pPr>
      <w:r w:rsidRPr="00BD6C5F">
        <w:t>Without prejudice to the Authority</w:t>
      </w:r>
      <w:r w:rsidR="00A4555C" w:rsidRPr="00BD6C5F">
        <w:t>’</w:t>
      </w:r>
      <w:r w:rsidRPr="00BD6C5F">
        <w:t xml:space="preserve">s other remedies the following shall constitute a Notifiable Default for the purposes of </w:t>
      </w:r>
      <w:r w:rsidR="005E736B" w:rsidRPr="00BD6C5F">
        <w:t>Clause </w:t>
      </w:r>
      <w:r w:rsidRPr="00BD6C5F">
        <w:t>2</w:t>
      </w:r>
      <w:r w:rsidR="00925189" w:rsidRPr="00BD6C5F">
        <w:t>5</w:t>
      </w:r>
      <w:r w:rsidRPr="00BD6C5F">
        <w:t>.1 (</w:t>
      </w:r>
      <w:r w:rsidRPr="00BD6C5F">
        <w:rPr>
          <w:i/>
        </w:rPr>
        <w:t>Rectification Plan Process</w:t>
      </w:r>
      <w:r w:rsidRPr="00BD6C5F">
        <w:t>) and the Authority shall refuse to issue a Milestone Achievement Certificate where:</w:t>
      </w:r>
    </w:p>
    <w:p w14:paraId="6210D639" w14:textId="77777777" w:rsidR="00BC7DDA" w:rsidRPr="00BD6C5F" w:rsidRDefault="009B03E9" w:rsidP="00185D6A">
      <w:pPr>
        <w:pStyle w:val="Numbered111"/>
      </w:pPr>
      <w:r w:rsidRPr="00BD6C5F">
        <w:t>there is one or more Material Test Issue(s); or</w:t>
      </w:r>
    </w:p>
    <w:p w14:paraId="3AF72206" w14:textId="48B66923" w:rsidR="00BC7DDA" w:rsidRPr="00BD6C5F" w:rsidRDefault="009B03E9" w:rsidP="00185D6A">
      <w:pPr>
        <w:pStyle w:val="Numbered111"/>
      </w:pPr>
      <w:r w:rsidRPr="00BD6C5F">
        <w:t xml:space="preserve">the information required under </w:t>
      </w:r>
      <w:r w:rsidR="00095858">
        <w:t>Annex </w:t>
      </w:r>
      <w:r w:rsidR="00095858">
        <w:fldChar w:fldCharType="begin"/>
      </w:r>
      <w:r w:rsidR="00095858">
        <w:instrText xml:space="preserve"> REF Schedule_24_Annex_3 \h </w:instrText>
      </w:r>
      <w:r w:rsidR="00095858">
        <w:fldChar w:fldCharType="separate"/>
      </w:r>
      <w:r w:rsidR="009749A0" w:rsidRPr="00BD6C5F">
        <w:t>3</w:t>
      </w:r>
      <w:r w:rsidR="00095858">
        <w:fldChar w:fldCharType="end"/>
      </w:r>
      <w:r w:rsidR="00095858" w:rsidRPr="00BD6C5F">
        <w:t xml:space="preserve"> (</w:t>
      </w:r>
      <w:r w:rsidR="00095858" w:rsidRPr="00BD6C5F">
        <w:rPr>
          <w:i/>
        </w:rPr>
        <w:t>Virtual Library</w:t>
      </w:r>
      <w:r w:rsidR="00095858" w:rsidRPr="00BD6C5F">
        <w:t xml:space="preserve">) </w:t>
      </w:r>
      <w:r w:rsidR="00095858">
        <w:t xml:space="preserve">of </w:t>
      </w:r>
      <w:r w:rsidR="00BF4352" w:rsidRPr="00BD6C5F">
        <w:rPr>
          <w:rFonts w:asciiTheme="minorHAnsi" w:hAnsiTheme="minorHAnsi" w:cstheme="minorHAnsi"/>
        </w:rPr>
        <w:t>Schedule </w:t>
      </w:r>
      <w:r w:rsidR="00BF4352">
        <w:rPr>
          <w:rFonts w:asciiTheme="minorHAnsi" w:hAnsiTheme="minorHAnsi" w:cstheme="minorHAnsi"/>
        </w:rPr>
        <w:fldChar w:fldCharType="begin"/>
      </w:r>
      <w:r w:rsidR="00BF4352">
        <w:rPr>
          <w:rFonts w:asciiTheme="minorHAnsi" w:hAnsiTheme="minorHAnsi" w:cstheme="minorHAnsi"/>
        </w:rPr>
        <w:instrText xml:space="preserve"> REF Schedule_24 \h </w:instrText>
      </w:r>
      <w:r w:rsidR="00BF4352">
        <w:rPr>
          <w:rFonts w:asciiTheme="minorHAnsi" w:hAnsiTheme="minorHAnsi" w:cstheme="minorHAnsi"/>
        </w:rPr>
      </w:r>
      <w:r w:rsidR="00BF4352">
        <w:rPr>
          <w:rFonts w:asciiTheme="minorHAnsi" w:hAnsiTheme="minorHAnsi" w:cstheme="minorHAnsi"/>
        </w:rPr>
        <w:fldChar w:fldCharType="separate"/>
      </w:r>
      <w:r w:rsidR="009749A0">
        <w:t>24</w:t>
      </w:r>
      <w:r w:rsidR="00BF4352">
        <w:rPr>
          <w:rFonts w:asciiTheme="minorHAnsi" w:hAnsiTheme="minorHAnsi" w:cstheme="minorHAnsi"/>
        </w:rPr>
        <w:fldChar w:fldCharType="end"/>
      </w:r>
      <w:r w:rsidRPr="00BD6C5F">
        <w:t xml:space="preserve"> (</w:t>
      </w:r>
      <w:r w:rsidRPr="00BD6C5F">
        <w:rPr>
          <w:i/>
        </w:rPr>
        <w:t>Reports and Records Provisions</w:t>
      </w:r>
      <w:r w:rsidRPr="00BD6C5F">
        <w:t xml:space="preserve">) has not been uploaded to the Virtual Library in accordance with Paragraph </w:t>
      </w:r>
      <w:r w:rsidR="006E5627" w:rsidRPr="00BD6C5F">
        <w:fldChar w:fldCharType="begin"/>
      </w:r>
      <w:r w:rsidR="006E5627" w:rsidRPr="00BD6C5F">
        <w:instrText xml:space="preserve"> REF _Ref98357414 \n \h </w:instrText>
      </w:r>
      <w:r w:rsidR="00AD7DD0" w:rsidRPr="00BD6C5F">
        <w:instrText xml:space="preserve"> \* MERGEFORMAT </w:instrText>
      </w:r>
      <w:r w:rsidR="006E5627" w:rsidRPr="00BD6C5F">
        <w:fldChar w:fldCharType="separate"/>
      </w:r>
      <w:r w:rsidR="009749A0">
        <w:t>3</w:t>
      </w:r>
      <w:r w:rsidR="006E5627" w:rsidRPr="00BD6C5F">
        <w:fldChar w:fldCharType="end"/>
      </w:r>
      <w:r w:rsidRPr="00BD6C5F">
        <w:t xml:space="preserve"> of that Schedule.</w:t>
      </w:r>
    </w:p>
    <w:p w14:paraId="40BD1359" w14:textId="1609612A" w:rsidR="00BC7DDA" w:rsidRPr="00BD6C5F" w:rsidRDefault="009B03E9" w:rsidP="00C5057A">
      <w:pPr>
        <w:pStyle w:val="Numbered11"/>
      </w:pPr>
      <w:r w:rsidRPr="00BD6C5F">
        <w:t>If there are Test Issues which exceed the Test Issues Threshold but there are no Material Test Issues, the Authority may at its discretion (without waiving</w:t>
      </w:r>
      <w:r w:rsidR="006E5627" w:rsidRPr="00BD6C5F">
        <w:t xml:space="preserve"> </w:t>
      </w:r>
      <w:r w:rsidRPr="00BD6C5F">
        <w:t>any rights in relation to the other options) choose to issue a Milestone</w:t>
      </w:r>
      <w:r w:rsidR="006E5627" w:rsidRPr="00BD6C5F">
        <w:t xml:space="preserve"> </w:t>
      </w:r>
      <w:r w:rsidRPr="00BD6C5F">
        <w:t>Achievement Certificate conditional on the remediation of the Test Issues in</w:t>
      </w:r>
      <w:r w:rsidR="006E5627" w:rsidRPr="00BD6C5F">
        <w:t xml:space="preserve"> </w:t>
      </w:r>
      <w:r w:rsidRPr="00BD6C5F">
        <w:t>accordance with an agreed Rectification Plan provided that:</w:t>
      </w:r>
    </w:p>
    <w:p w14:paraId="309C21AA" w14:textId="3AA8FAC2" w:rsidR="00BC7DDA" w:rsidRPr="00BD6C5F" w:rsidRDefault="009B03E9" w:rsidP="00185D6A">
      <w:pPr>
        <w:pStyle w:val="Numbered111"/>
      </w:pPr>
      <w:r w:rsidRPr="00BD6C5F">
        <w:t>any Rectification Plan shall be agreed before the issue of a conditional Milestone Achievement Certificate unless the Authority agrees otherwise (in which case the Supplier shall submit a Rectification Plan for approval by the Authority within 10 Working Days of receipt of the Authority</w:t>
      </w:r>
      <w:r w:rsidR="00A4555C" w:rsidRPr="00BD6C5F">
        <w:t>’</w:t>
      </w:r>
      <w:r w:rsidRPr="00BD6C5F">
        <w:t xml:space="preserve">s report pursuant to Paragraph </w:t>
      </w:r>
      <w:r w:rsidR="006E5627" w:rsidRPr="00BD6C5F">
        <w:fldChar w:fldCharType="begin"/>
      </w:r>
      <w:r w:rsidR="006E5627" w:rsidRPr="00BD6C5F">
        <w:instrText xml:space="preserve"> REF _Ref98411268 \n \h </w:instrText>
      </w:r>
      <w:r w:rsidR="00AD7DD0" w:rsidRPr="00BD6C5F">
        <w:instrText xml:space="preserve"> \* MERGEFORMAT </w:instrText>
      </w:r>
      <w:r w:rsidR="006E5627" w:rsidRPr="00BD6C5F">
        <w:fldChar w:fldCharType="separate"/>
      </w:r>
      <w:r w:rsidR="009749A0">
        <w:t>13.3</w:t>
      </w:r>
      <w:r w:rsidR="006E5627" w:rsidRPr="00BD6C5F">
        <w:fldChar w:fldCharType="end"/>
      </w:r>
      <w:r w:rsidRPr="00BD6C5F">
        <w:t>); and</w:t>
      </w:r>
    </w:p>
    <w:p w14:paraId="70C4328C" w14:textId="4619916F" w:rsidR="00BC7DDA" w:rsidRPr="00BD6C5F" w:rsidRDefault="009B03E9" w:rsidP="00185D6A">
      <w:pPr>
        <w:pStyle w:val="Numbered111"/>
      </w:pPr>
      <w:r w:rsidRPr="00BD6C5F">
        <w:t>where the Authority issues a conditional Milestone Achievement Certificate, it may (but shall not be obliged to) revise the failed Milestone Date and any subsequent Milestone Date.</w:t>
      </w:r>
    </w:p>
    <w:p w14:paraId="192A7F1B" w14:textId="77777777" w:rsidR="005F15BF" w:rsidRPr="00BD6C5F" w:rsidRDefault="005F15BF" w:rsidP="005F15BF"/>
    <w:p w14:paraId="3253EBEC" w14:textId="30F0718E" w:rsidR="00BC7DDA" w:rsidRDefault="00185D6A" w:rsidP="005F15BF">
      <w:pPr>
        <w:pStyle w:val="Heading2"/>
        <w:pageBreakBefore/>
      </w:pPr>
      <w:bookmarkStart w:id="502" w:name="_bookmark172"/>
      <w:bookmarkStart w:id="503" w:name="_Toc98332731"/>
      <w:bookmarkStart w:id="504" w:name="_Ref98334614"/>
      <w:bookmarkStart w:id="505" w:name="_Ref98341714"/>
      <w:bookmarkStart w:id="506" w:name="_Ref98341855"/>
      <w:bookmarkStart w:id="507" w:name="_Toc98852908"/>
      <w:bookmarkStart w:id="508" w:name="_Toc141721000"/>
      <w:bookmarkEnd w:id="502"/>
      <w:r w:rsidRPr="00BD6C5F">
        <w:lastRenderedPageBreak/>
        <w:t xml:space="preserve">Annex </w:t>
      </w:r>
      <w:bookmarkStart w:id="509" w:name="Schedule_14_Annex_1"/>
      <w:r w:rsidRPr="00BD6C5F">
        <w:t>1</w:t>
      </w:r>
      <w:bookmarkEnd w:id="509"/>
      <w:r w:rsidRPr="00BD6C5F">
        <w:t>: Test Issues – Severity Levels</w:t>
      </w:r>
      <w:bookmarkEnd w:id="503"/>
      <w:bookmarkEnd w:id="504"/>
      <w:bookmarkEnd w:id="505"/>
      <w:bookmarkEnd w:id="506"/>
      <w:bookmarkEnd w:id="507"/>
      <w:bookmarkEnd w:id="508"/>
    </w:p>
    <w:p w14:paraId="134120CB" w14:textId="4DBB5CC5" w:rsidR="009E4F5B" w:rsidRPr="00BD6C5F" w:rsidRDefault="009E4F5B" w:rsidP="00B71FC0">
      <w:pPr>
        <w:pStyle w:val="AppendixText1"/>
        <w:numPr>
          <w:ilvl w:val="0"/>
          <w:numId w:val="146"/>
        </w:numPr>
      </w:pPr>
      <w:r>
        <w:t>Severity Levels</w:t>
      </w:r>
    </w:p>
    <w:p w14:paraId="70FCB987" w14:textId="77777777" w:rsidR="00BC7DDA" w:rsidRPr="00BD6C5F" w:rsidRDefault="009B03E9" w:rsidP="00381D62">
      <w:pPr>
        <w:pStyle w:val="AppendixText2"/>
      </w:pPr>
      <w:r w:rsidRPr="00BD6C5F">
        <w:t>Severity Level 1 Test Issue: a Test Issue that causes non-recoverable conditions, e.g. it is not possible to continue using a Component, a Component crashes, there is database or file corruption, or data loss;</w:t>
      </w:r>
    </w:p>
    <w:p w14:paraId="2A66715F" w14:textId="77777777" w:rsidR="00BC7DDA" w:rsidRPr="00BD6C5F" w:rsidRDefault="009B03E9" w:rsidP="00A47A7E">
      <w:pPr>
        <w:pStyle w:val="AppendixText2"/>
        <w:keepNext/>
        <w:rPr>
          <w:bCs/>
        </w:rPr>
      </w:pPr>
      <w:r w:rsidRPr="00BD6C5F">
        <w:t>Severity Level 2 Test Issue: a Test Issue for which, as reasonably determined by the Authority, there is no practicable workaround available, and which:</w:t>
      </w:r>
    </w:p>
    <w:p w14:paraId="371810C5" w14:textId="77777777" w:rsidR="00BC7DDA" w:rsidRPr="00BD6C5F" w:rsidRDefault="009B03E9" w:rsidP="009E4F5B">
      <w:pPr>
        <w:pStyle w:val="AppendixText3"/>
      </w:pPr>
      <w:r w:rsidRPr="00BD6C5F">
        <w:t>causes a Component to become unusable;</w:t>
      </w:r>
    </w:p>
    <w:p w14:paraId="31482571" w14:textId="77777777" w:rsidR="00BC7DDA" w:rsidRPr="00BD6C5F" w:rsidRDefault="009B03E9" w:rsidP="009E4F5B">
      <w:pPr>
        <w:pStyle w:val="AppendixText3"/>
      </w:pPr>
      <w:r w:rsidRPr="00BD6C5F">
        <w:t>causes a lack of functionality, or unexpected functionality, that has an impact on the current Test; or</w:t>
      </w:r>
    </w:p>
    <w:p w14:paraId="37D12BA7" w14:textId="77777777" w:rsidR="00BC7DDA" w:rsidRPr="00BD6C5F" w:rsidRDefault="009B03E9" w:rsidP="009E4F5B">
      <w:pPr>
        <w:pStyle w:val="AppendixText3"/>
      </w:pPr>
      <w:r w:rsidRPr="00BD6C5F">
        <w:t>has an adverse impact on any other Component(s) or any other area of the Services;</w:t>
      </w:r>
    </w:p>
    <w:p w14:paraId="6E848A12" w14:textId="77777777" w:rsidR="00BC7DDA" w:rsidRPr="00BD6C5F" w:rsidRDefault="009B03E9" w:rsidP="00A47A7E">
      <w:pPr>
        <w:pStyle w:val="AppendixText2"/>
        <w:keepNext/>
        <w:rPr>
          <w:bCs/>
        </w:rPr>
      </w:pPr>
      <w:r w:rsidRPr="00BD6C5F">
        <w:t xml:space="preserve">Severity Level 3 Test Issue: a Test </w:t>
      </w:r>
      <w:r w:rsidRPr="00BD6C5F">
        <w:rPr>
          <w:bCs/>
        </w:rPr>
        <w:t>Issue</w:t>
      </w:r>
      <w:r w:rsidRPr="00BD6C5F">
        <w:t xml:space="preserve"> which:</w:t>
      </w:r>
    </w:p>
    <w:p w14:paraId="6DB1BDA9" w14:textId="77777777" w:rsidR="00BC7DDA" w:rsidRPr="00BD6C5F" w:rsidRDefault="009B03E9" w:rsidP="009E4F5B">
      <w:pPr>
        <w:pStyle w:val="AppendixText3"/>
      </w:pPr>
      <w:bookmarkStart w:id="510" w:name="_Ref98260048"/>
      <w:r w:rsidRPr="00BD6C5F">
        <w:t>causes a Component to become unusable;</w:t>
      </w:r>
      <w:bookmarkEnd w:id="510"/>
    </w:p>
    <w:p w14:paraId="56C5F69A" w14:textId="77777777" w:rsidR="00BC7DDA" w:rsidRPr="00BD6C5F" w:rsidRDefault="009B03E9" w:rsidP="009E4F5B">
      <w:pPr>
        <w:pStyle w:val="AppendixText3"/>
      </w:pPr>
      <w:r w:rsidRPr="00BD6C5F">
        <w:t>causes a lack of functionality, or unexpected functionality, but which does not impact on the current Test; or</w:t>
      </w:r>
    </w:p>
    <w:p w14:paraId="039255AE" w14:textId="77777777" w:rsidR="00BC7DDA" w:rsidRPr="00BD6C5F" w:rsidRDefault="009B03E9" w:rsidP="009E4F5B">
      <w:pPr>
        <w:pStyle w:val="AppendixText3"/>
      </w:pPr>
      <w:r w:rsidRPr="00BD6C5F">
        <w:t>has an impact on any other Component(s) or any other area of the Services;</w:t>
      </w:r>
    </w:p>
    <w:p w14:paraId="1FED9E9F" w14:textId="77777777" w:rsidR="00BC7DDA" w:rsidRPr="00BD6C5F" w:rsidRDefault="009B03E9" w:rsidP="009E4F5B">
      <w:pPr>
        <w:pStyle w:val="AppendixText3"/>
      </w:pPr>
      <w:r w:rsidRPr="00BD6C5F">
        <w:t>but for which, as reasonably determined by the Authority, there is a practicable workaround available;</w:t>
      </w:r>
    </w:p>
    <w:p w14:paraId="79EB0C41" w14:textId="77777777" w:rsidR="00BC7DDA" w:rsidRPr="00BD6C5F" w:rsidRDefault="009B03E9" w:rsidP="00C73AC9">
      <w:pPr>
        <w:pStyle w:val="AppendixText2"/>
        <w:rPr>
          <w:bCs/>
        </w:rPr>
      </w:pPr>
      <w:bookmarkStart w:id="511" w:name="_Ref98256793"/>
      <w:r w:rsidRPr="00BD6C5F">
        <w:t xml:space="preserve">Severity Level 4 Test Issue: a Test Issue which causes incorrect functionality of a Component or process, but for which </w:t>
      </w:r>
      <w:r w:rsidRPr="00BD6C5F">
        <w:rPr>
          <w:bCs/>
        </w:rPr>
        <w:t>there</w:t>
      </w:r>
      <w:r w:rsidRPr="00BD6C5F">
        <w:t xml:space="preserve"> is a simple, Component based, workaround, and which has no impact on the current Test, or other areas of the Services; and</w:t>
      </w:r>
      <w:bookmarkEnd w:id="511"/>
    </w:p>
    <w:p w14:paraId="4942194A" w14:textId="77777777" w:rsidR="00BC7DDA" w:rsidRPr="00BD6C5F" w:rsidRDefault="009B03E9" w:rsidP="00C73AC9">
      <w:pPr>
        <w:pStyle w:val="AppendixText2"/>
        <w:rPr>
          <w:bCs/>
        </w:rPr>
      </w:pPr>
      <w:r w:rsidRPr="00BD6C5F">
        <w:t xml:space="preserve">Severity Level 5 Test Issue: a Test </w:t>
      </w:r>
      <w:r w:rsidRPr="00BD6C5F">
        <w:rPr>
          <w:bCs/>
        </w:rPr>
        <w:t>Issue</w:t>
      </w:r>
      <w:r w:rsidRPr="00BD6C5F">
        <w:t xml:space="preserve"> that causes a minor problem, for which no workaround is required, and which has no impact on the current Test, or other areas of the Services</w:t>
      </w:r>
    </w:p>
    <w:p w14:paraId="19E87C39" w14:textId="77777777" w:rsidR="005F15BF" w:rsidRPr="00BD6C5F" w:rsidRDefault="005F15BF">
      <w:pPr>
        <w:rPr>
          <w:rFonts w:asciiTheme="minorHAnsi" w:hAnsiTheme="minorHAnsi" w:cstheme="minorHAnsi"/>
        </w:rPr>
      </w:pPr>
    </w:p>
    <w:p w14:paraId="1CBDA914" w14:textId="77777777" w:rsidR="005F15BF" w:rsidRPr="00BD6C5F" w:rsidRDefault="005F15BF">
      <w:pPr>
        <w:rPr>
          <w:rFonts w:asciiTheme="minorHAnsi" w:hAnsiTheme="minorHAnsi" w:cstheme="minorHAnsi"/>
        </w:rPr>
      </w:pPr>
    </w:p>
    <w:p w14:paraId="41466D65" w14:textId="06F26948" w:rsidR="003D4F45" w:rsidRPr="00BD6C5F" w:rsidRDefault="003D4F45">
      <w:pPr>
        <w:rPr>
          <w:rFonts w:asciiTheme="minorHAnsi" w:hAnsiTheme="minorHAnsi" w:cstheme="minorHAnsi"/>
          <w:b/>
          <w:bCs/>
          <w:szCs w:val="24"/>
        </w:rPr>
      </w:pPr>
      <w:r w:rsidRPr="00BD6C5F">
        <w:rPr>
          <w:rFonts w:asciiTheme="minorHAnsi" w:hAnsiTheme="minorHAnsi" w:cstheme="minorHAnsi"/>
        </w:rPr>
        <w:br w:type="page"/>
      </w:r>
    </w:p>
    <w:p w14:paraId="7BCC39BC" w14:textId="3B062EC6" w:rsidR="00BC7DDA" w:rsidRPr="00BD6C5F" w:rsidRDefault="00185D6A" w:rsidP="005F15BF">
      <w:pPr>
        <w:pStyle w:val="Heading2"/>
      </w:pPr>
      <w:bookmarkStart w:id="512" w:name="_bookmark173"/>
      <w:bookmarkStart w:id="513" w:name="_Toc98332732"/>
      <w:bookmarkStart w:id="514" w:name="_Ref98341730"/>
      <w:bookmarkStart w:id="515" w:name="_Toc98852909"/>
      <w:bookmarkStart w:id="516" w:name="_Toc141721001"/>
      <w:bookmarkEnd w:id="512"/>
      <w:r w:rsidRPr="00BD6C5F">
        <w:lastRenderedPageBreak/>
        <w:t xml:space="preserve">Annex </w:t>
      </w:r>
      <w:bookmarkStart w:id="517" w:name="Schedule_14_Annex_2"/>
      <w:r w:rsidRPr="00BD6C5F">
        <w:t>2</w:t>
      </w:r>
      <w:bookmarkEnd w:id="517"/>
      <w:r w:rsidRPr="00BD6C5F">
        <w:t>: Test Certificate</w:t>
      </w:r>
      <w:bookmarkEnd w:id="513"/>
      <w:bookmarkEnd w:id="514"/>
      <w:bookmarkEnd w:id="515"/>
      <w:bookmarkEnd w:id="516"/>
    </w:p>
    <w:p w14:paraId="637AB818" w14:textId="77777777" w:rsidR="008652D1" w:rsidRPr="00BD6C5F" w:rsidRDefault="008652D1" w:rsidP="00643F4C">
      <w:pPr>
        <w:tabs>
          <w:tab w:val="left" w:pos="1540"/>
        </w:tabs>
        <w:spacing w:before="100" w:after="200"/>
        <w:rPr>
          <w:rFonts w:asciiTheme="minorHAnsi" w:hAnsiTheme="minorHAnsi" w:cstheme="minorHAnsi"/>
          <w:szCs w:val="24"/>
        </w:rPr>
      </w:pPr>
    </w:p>
    <w:p w14:paraId="70989D30" w14:textId="54B585B7" w:rsidR="00643F4C" w:rsidRPr="00566661" w:rsidRDefault="00185D6A" w:rsidP="00643F4C">
      <w:pPr>
        <w:tabs>
          <w:tab w:val="left" w:pos="1540"/>
        </w:tabs>
        <w:spacing w:before="100" w:after="200"/>
        <w:rPr>
          <w:rFonts w:asciiTheme="minorHAnsi" w:hAnsiTheme="minorHAnsi" w:cstheme="minorHAnsi"/>
          <w:szCs w:val="24"/>
        </w:rPr>
      </w:pPr>
      <w:r w:rsidRPr="00566661">
        <w:rPr>
          <w:rFonts w:asciiTheme="minorHAnsi" w:hAnsiTheme="minorHAnsi" w:cstheme="minorHAnsi"/>
          <w:szCs w:val="24"/>
        </w:rPr>
        <w:t>To:</w:t>
      </w:r>
      <w:r w:rsidRPr="00566661">
        <w:rPr>
          <w:rFonts w:asciiTheme="minorHAnsi" w:hAnsiTheme="minorHAnsi" w:cstheme="minorHAnsi"/>
          <w:szCs w:val="24"/>
        </w:rPr>
        <w:tab/>
      </w:r>
      <w:r w:rsidRPr="00566661">
        <w:rPr>
          <w:rFonts w:asciiTheme="minorHAnsi" w:hAnsiTheme="minorHAnsi" w:cstheme="minorHAnsi"/>
          <w:szCs w:val="24"/>
          <w:shd w:val="clear" w:color="auto" w:fill="FFFF00"/>
        </w:rPr>
        <w:t>[name of supplier]</w:t>
      </w:r>
    </w:p>
    <w:p w14:paraId="13E895D2" w14:textId="33CC56DA" w:rsidR="00BC7DDA" w:rsidRPr="00566661" w:rsidRDefault="00185D6A" w:rsidP="00643F4C">
      <w:pPr>
        <w:tabs>
          <w:tab w:val="left" w:pos="1540"/>
        </w:tabs>
        <w:spacing w:before="100" w:after="200"/>
        <w:rPr>
          <w:rFonts w:asciiTheme="minorHAnsi" w:hAnsiTheme="minorHAnsi" w:cstheme="minorHAnsi"/>
          <w:szCs w:val="24"/>
          <w:shd w:val="clear" w:color="auto" w:fill="FFFF00"/>
        </w:rPr>
      </w:pPr>
      <w:r w:rsidRPr="00566661">
        <w:rPr>
          <w:rFonts w:asciiTheme="minorHAnsi" w:hAnsiTheme="minorHAnsi" w:cstheme="minorHAnsi"/>
          <w:szCs w:val="24"/>
        </w:rPr>
        <w:t>From:</w:t>
      </w:r>
      <w:r w:rsidRPr="00566661">
        <w:rPr>
          <w:rFonts w:asciiTheme="minorHAnsi" w:hAnsiTheme="minorHAnsi" w:cstheme="minorHAnsi"/>
          <w:szCs w:val="24"/>
        </w:rPr>
        <w:tab/>
      </w:r>
      <w:r w:rsidRPr="00566661">
        <w:rPr>
          <w:rFonts w:asciiTheme="minorHAnsi" w:hAnsiTheme="minorHAnsi" w:cstheme="minorHAnsi"/>
          <w:szCs w:val="24"/>
          <w:shd w:val="clear" w:color="auto" w:fill="FFFF00"/>
        </w:rPr>
        <w:t>[name of authority]</w:t>
      </w:r>
    </w:p>
    <w:p w14:paraId="7E8D7154" w14:textId="77777777" w:rsidR="00643F4C" w:rsidRPr="00BD6C5F" w:rsidRDefault="00643F4C" w:rsidP="00643F4C">
      <w:pPr>
        <w:tabs>
          <w:tab w:val="left" w:pos="1540"/>
        </w:tabs>
        <w:spacing w:before="100" w:after="200"/>
        <w:rPr>
          <w:rFonts w:asciiTheme="minorHAnsi" w:hAnsiTheme="minorHAnsi" w:cstheme="minorHAnsi"/>
          <w:szCs w:val="24"/>
        </w:rPr>
      </w:pPr>
    </w:p>
    <w:p w14:paraId="1DD2E8B0" w14:textId="1341AA04" w:rsidR="00643F4C" w:rsidRPr="00566661" w:rsidRDefault="009B03E9" w:rsidP="005F15BF">
      <w:pPr>
        <w:spacing w:before="100" w:after="200"/>
        <w:rPr>
          <w:rFonts w:asciiTheme="minorHAnsi" w:hAnsiTheme="minorHAnsi" w:cstheme="minorHAnsi"/>
          <w:szCs w:val="24"/>
          <w:shd w:val="clear" w:color="auto" w:fill="FFFF00"/>
        </w:rPr>
      </w:pPr>
      <w:r w:rsidRPr="00566661">
        <w:rPr>
          <w:rFonts w:asciiTheme="minorHAnsi" w:hAnsiTheme="minorHAnsi" w:cstheme="minorHAnsi"/>
          <w:szCs w:val="24"/>
          <w:shd w:val="clear" w:color="auto" w:fill="FFFF00"/>
        </w:rPr>
        <w:t>[</w:t>
      </w:r>
      <w:r w:rsidRPr="00566661">
        <w:rPr>
          <w:rFonts w:asciiTheme="minorHAnsi" w:hAnsiTheme="minorHAnsi" w:cstheme="minorHAnsi"/>
          <w:iCs/>
          <w:szCs w:val="24"/>
          <w:shd w:val="clear" w:color="auto" w:fill="FFFF00"/>
        </w:rPr>
        <w:t>Date</w:t>
      </w:r>
      <w:r w:rsidRPr="00566661">
        <w:rPr>
          <w:rFonts w:asciiTheme="minorHAnsi" w:hAnsiTheme="minorHAnsi" w:cstheme="minorHAnsi"/>
          <w:szCs w:val="24"/>
          <w:shd w:val="clear" w:color="auto" w:fill="FFFF00"/>
        </w:rPr>
        <w:t>]</w:t>
      </w:r>
    </w:p>
    <w:p w14:paraId="592410BA" w14:textId="77777777" w:rsidR="00643F4C" w:rsidRPr="00BD6C5F" w:rsidRDefault="00643F4C" w:rsidP="005F15BF">
      <w:pPr>
        <w:spacing w:before="100" w:after="200"/>
        <w:rPr>
          <w:rFonts w:asciiTheme="minorHAnsi" w:hAnsiTheme="minorHAnsi" w:cstheme="minorHAnsi"/>
          <w:szCs w:val="24"/>
        </w:rPr>
      </w:pPr>
    </w:p>
    <w:p w14:paraId="5CC86304" w14:textId="23AC234C" w:rsidR="00BC7DDA" w:rsidRPr="00BD6C5F" w:rsidRDefault="009B03E9" w:rsidP="005F15BF">
      <w:pPr>
        <w:spacing w:before="100" w:after="200"/>
        <w:rPr>
          <w:rFonts w:asciiTheme="minorHAnsi" w:hAnsiTheme="minorHAnsi" w:cstheme="minorHAnsi"/>
          <w:szCs w:val="24"/>
        </w:rPr>
      </w:pPr>
      <w:r w:rsidRPr="00BD6C5F">
        <w:rPr>
          <w:rFonts w:asciiTheme="minorHAnsi" w:hAnsiTheme="minorHAnsi" w:cstheme="minorHAnsi"/>
          <w:szCs w:val="24"/>
        </w:rPr>
        <w:t>Dear Sirs,</w:t>
      </w:r>
    </w:p>
    <w:p w14:paraId="452D095E" w14:textId="77777777" w:rsidR="005F15BF" w:rsidRPr="00BD6C5F" w:rsidRDefault="005F15BF" w:rsidP="005F15BF">
      <w:pPr>
        <w:spacing w:before="100" w:after="200"/>
        <w:rPr>
          <w:rFonts w:asciiTheme="minorHAnsi" w:hAnsiTheme="minorHAnsi" w:cstheme="minorHAnsi"/>
          <w:szCs w:val="24"/>
        </w:rPr>
      </w:pPr>
    </w:p>
    <w:p w14:paraId="0E8B8678" w14:textId="694C4F97" w:rsidR="00BC7DDA" w:rsidRPr="00BD6C5F" w:rsidRDefault="00185D6A" w:rsidP="00A47A7E">
      <w:pPr>
        <w:keepNext/>
        <w:rPr>
          <w:b/>
          <w:bCs/>
        </w:rPr>
      </w:pPr>
      <w:r w:rsidRPr="00BD6C5F">
        <w:rPr>
          <w:b/>
          <w:bCs/>
        </w:rPr>
        <w:t>Test Certificate</w:t>
      </w:r>
    </w:p>
    <w:p w14:paraId="2DA88353" w14:textId="77777777" w:rsidR="00643F4C" w:rsidRPr="00BD6C5F" w:rsidRDefault="00643F4C" w:rsidP="00A47A7E">
      <w:pPr>
        <w:keepNext/>
        <w:spacing w:before="100" w:after="200"/>
        <w:rPr>
          <w:rFonts w:asciiTheme="minorHAnsi" w:hAnsiTheme="minorHAnsi" w:cstheme="minorHAnsi"/>
          <w:szCs w:val="24"/>
        </w:rPr>
      </w:pPr>
    </w:p>
    <w:p w14:paraId="19B2604B" w14:textId="64084E16" w:rsidR="00BC7DDA" w:rsidRPr="00566661" w:rsidRDefault="009B03E9" w:rsidP="005F15BF">
      <w:pPr>
        <w:spacing w:before="100" w:after="200"/>
        <w:rPr>
          <w:rFonts w:asciiTheme="minorHAnsi" w:hAnsiTheme="minorHAnsi" w:cstheme="minorHAnsi"/>
          <w:szCs w:val="24"/>
        </w:rPr>
      </w:pPr>
      <w:r w:rsidRPr="00566661">
        <w:rPr>
          <w:rFonts w:asciiTheme="minorHAnsi" w:hAnsiTheme="minorHAnsi" w:cstheme="minorHAnsi"/>
          <w:szCs w:val="24"/>
        </w:rPr>
        <w:t xml:space="preserve">Deliverables: </w:t>
      </w: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description of Deliverables]</w:t>
      </w:r>
    </w:p>
    <w:p w14:paraId="6B24E7A6" w14:textId="68F07448" w:rsidR="00BC7DDA" w:rsidRPr="00BD6C5F" w:rsidRDefault="009B03E9" w:rsidP="005F15BF">
      <w:pPr>
        <w:spacing w:before="100" w:after="200"/>
        <w:rPr>
          <w:rFonts w:asciiTheme="minorHAnsi" w:hAnsiTheme="minorHAnsi" w:cstheme="minorHAnsi"/>
          <w:szCs w:val="24"/>
        </w:rPr>
      </w:pPr>
      <w:r w:rsidRPr="00BD6C5F">
        <w:rPr>
          <w:rFonts w:asciiTheme="minorHAnsi" w:hAnsiTheme="minorHAnsi" w:cstheme="minorHAnsi"/>
          <w:szCs w:val="24"/>
        </w:rPr>
        <w:t xml:space="preserve">We refer to the agreement (the </w:t>
      </w:r>
      <w:r w:rsidR="00A4555C" w:rsidRPr="00BD6C5F">
        <w:rPr>
          <w:rFonts w:asciiTheme="minorHAnsi" w:hAnsiTheme="minorHAnsi" w:cstheme="minorHAnsi"/>
          <w:szCs w:val="24"/>
        </w:rPr>
        <w:t>“</w:t>
      </w:r>
      <w:r w:rsidR="00501A09" w:rsidRPr="00BD6C5F">
        <w:rPr>
          <w:rFonts w:asciiTheme="minorHAnsi" w:hAnsiTheme="minorHAnsi" w:cstheme="minorHAnsi"/>
          <w:b/>
          <w:szCs w:val="24"/>
        </w:rPr>
        <w:t>Contract</w:t>
      </w:r>
      <w:r w:rsidR="00A4555C" w:rsidRPr="00BD6C5F">
        <w:rPr>
          <w:rFonts w:asciiTheme="minorHAnsi" w:hAnsiTheme="minorHAnsi" w:cstheme="minorHAnsi"/>
          <w:szCs w:val="24"/>
        </w:rPr>
        <w:t>”</w:t>
      </w:r>
      <w:r w:rsidRPr="00BD6C5F">
        <w:rPr>
          <w:rFonts w:asciiTheme="minorHAnsi" w:hAnsiTheme="minorHAnsi" w:cstheme="minorHAnsi"/>
          <w:szCs w:val="24"/>
        </w:rPr>
        <w:t xml:space="preserve">) relating to the provision of the Services between the </w:t>
      </w:r>
      <w:r w:rsidRPr="00566661">
        <w:rPr>
          <w:rFonts w:asciiTheme="minorHAnsi" w:hAnsiTheme="minorHAnsi" w:cstheme="minorHAnsi"/>
          <w:szCs w:val="24"/>
          <w:shd w:val="clear" w:color="auto" w:fill="FFFF00"/>
        </w:rPr>
        <w:t>[name of Authority]</w:t>
      </w:r>
      <w:r w:rsidRPr="00566661">
        <w:rPr>
          <w:rFonts w:asciiTheme="minorHAnsi" w:hAnsiTheme="minorHAnsi" w:cstheme="minorHAnsi"/>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Authority</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w:t>
      </w:r>
      <w:r w:rsidRPr="00566661">
        <w:rPr>
          <w:rFonts w:asciiTheme="minorHAnsi" w:hAnsiTheme="minorHAnsi" w:cstheme="minorHAnsi"/>
          <w:szCs w:val="24"/>
          <w:shd w:val="clear" w:color="auto" w:fill="FFFF00"/>
        </w:rPr>
        <w:t>[name of Supplier]</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Supplier</w:t>
      </w:r>
      <w:r w:rsidR="00A4555C" w:rsidRPr="00BD6C5F">
        <w:rPr>
          <w:rFonts w:asciiTheme="minorHAnsi" w:hAnsiTheme="minorHAnsi" w:cstheme="minorHAnsi"/>
          <w:szCs w:val="24"/>
        </w:rPr>
        <w:t>”</w:t>
      </w:r>
      <w:r w:rsidRPr="00BD6C5F">
        <w:rPr>
          <w:rFonts w:asciiTheme="minorHAnsi" w:hAnsiTheme="minorHAnsi" w:cstheme="minorHAnsi"/>
          <w:szCs w:val="24"/>
        </w:rPr>
        <w:t>) dated</w:t>
      </w:r>
      <w:r w:rsidRPr="00566661">
        <w:rPr>
          <w:rFonts w:asciiTheme="minorHAnsi" w:hAnsiTheme="minorHAnsi" w:cstheme="minorHAnsi"/>
          <w:szCs w:val="24"/>
        </w:rPr>
        <w:t xml:space="preserve"> </w:t>
      </w:r>
      <w:r w:rsidRPr="00566661">
        <w:rPr>
          <w:rFonts w:asciiTheme="minorHAnsi" w:hAnsiTheme="minorHAnsi" w:cstheme="minorHAnsi"/>
          <w:szCs w:val="24"/>
          <w:shd w:val="clear" w:color="auto" w:fill="FFFF00"/>
        </w:rPr>
        <w:t>[date]</w:t>
      </w:r>
      <w:r w:rsidRPr="00BD6C5F">
        <w:rPr>
          <w:rFonts w:asciiTheme="minorHAnsi" w:hAnsiTheme="minorHAnsi" w:cstheme="minorHAnsi"/>
          <w:szCs w:val="24"/>
        </w:rPr>
        <w:t>.</w:t>
      </w:r>
    </w:p>
    <w:p w14:paraId="01D7B34F" w14:textId="3C378C66" w:rsidR="00BC7DDA" w:rsidRPr="00BD6C5F" w:rsidRDefault="009B03E9" w:rsidP="005F15BF">
      <w:pPr>
        <w:spacing w:before="100" w:after="200"/>
        <w:rPr>
          <w:rFonts w:asciiTheme="minorHAnsi" w:hAnsiTheme="minorHAnsi" w:cstheme="minorHAnsi"/>
        </w:rPr>
      </w:pPr>
      <w:r w:rsidRPr="00BD6C5F">
        <w:rPr>
          <w:rFonts w:asciiTheme="minorHAnsi" w:hAnsiTheme="minorHAnsi" w:cstheme="minorHAnsi"/>
          <w:szCs w:val="24"/>
        </w:rPr>
        <w:t>Capitalised</w:t>
      </w:r>
      <w:r w:rsidRPr="00BD6C5F">
        <w:rPr>
          <w:rFonts w:asciiTheme="minorHAnsi" w:hAnsiTheme="minorHAnsi" w:cstheme="minorHAnsi"/>
        </w:rPr>
        <w:t xml:space="preserve"> terms used in this certificate have the meanings given to them in Schedule</w:t>
      </w:r>
      <w:r w:rsidR="00FF2A19" w:rsidRPr="00BD6C5F">
        <w:rPr>
          <w:rFonts w:asciiTheme="minorHAnsi" w:hAnsiTheme="minorHAnsi" w:cstheme="minorHAnsi"/>
        </w:rPr>
        <w:t> </w:t>
      </w:r>
      <w:r w:rsidR="00484523">
        <w:rPr>
          <w:rFonts w:asciiTheme="minorHAnsi" w:hAnsiTheme="minorHAnsi" w:cstheme="minorHAnsi"/>
        </w:rPr>
        <w:fldChar w:fldCharType="begin"/>
      </w:r>
      <w:r w:rsidR="00484523">
        <w:rPr>
          <w:rFonts w:asciiTheme="minorHAnsi" w:hAnsiTheme="minorHAnsi" w:cstheme="minorHAnsi"/>
        </w:rPr>
        <w:instrText xml:space="preserve"> REF Schedule_1 \h </w:instrText>
      </w:r>
      <w:r w:rsidR="00484523">
        <w:rPr>
          <w:rFonts w:asciiTheme="minorHAnsi" w:hAnsiTheme="minorHAnsi" w:cstheme="minorHAnsi"/>
        </w:rPr>
      </w:r>
      <w:r w:rsidR="00484523">
        <w:rPr>
          <w:rFonts w:asciiTheme="minorHAnsi" w:hAnsiTheme="minorHAnsi" w:cstheme="minorHAnsi"/>
        </w:rPr>
        <w:fldChar w:fldCharType="separate"/>
      </w:r>
      <w:r w:rsidR="009749A0" w:rsidRPr="00175B22">
        <w:t>1</w:t>
      </w:r>
      <w:r w:rsidR="00484523">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Definitions</w:t>
      </w:r>
      <w:r w:rsidRPr="00BD6C5F">
        <w:rPr>
          <w:rFonts w:asciiTheme="minorHAnsi" w:hAnsiTheme="minorHAnsi" w:cstheme="minorHAnsi"/>
        </w:rPr>
        <w:t xml:space="preserve">) or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Schedule_14 \h </w:instrText>
      </w:r>
      <w:r w:rsidR="0019439D">
        <w:rPr>
          <w:rFonts w:asciiTheme="minorHAnsi" w:hAnsiTheme="minorHAnsi" w:cstheme="minorHAnsi"/>
        </w:rPr>
      </w:r>
      <w:r w:rsidR="0019439D">
        <w:rPr>
          <w:rFonts w:asciiTheme="minorHAnsi" w:hAnsiTheme="minorHAnsi" w:cstheme="minorHAnsi"/>
        </w:rPr>
        <w:fldChar w:fldCharType="separate"/>
      </w:r>
      <w:r w:rsidR="009749A0">
        <w:t>14</w:t>
      </w:r>
      <w:r w:rsidR="0019439D">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Procedures</w:t>
      </w:r>
      <w:r w:rsidRPr="00BD6C5F">
        <w:rPr>
          <w:rFonts w:asciiTheme="minorHAnsi" w:hAnsiTheme="minorHAnsi" w:cstheme="minorHAnsi"/>
        </w:rPr>
        <w:t xml:space="preserve">) of the </w:t>
      </w:r>
      <w:r w:rsidR="00501A09" w:rsidRPr="00BD6C5F">
        <w:rPr>
          <w:rFonts w:asciiTheme="minorHAnsi" w:hAnsiTheme="minorHAnsi" w:cstheme="minorHAnsi"/>
        </w:rPr>
        <w:t>Contract</w:t>
      </w:r>
      <w:r w:rsidRPr="00BD6C5F">
        <w:rPr>
          <w:rFonts w:asciiTheme="minorHAnsi" w:hAnsiTheme="minorHAnsi" w:cstheme="minorHAnsi"/>
        </w:rPr>
        <w:t>.</w:t>
      </w:r>
    </w:p>
    <w:p w14:paraId="4B0695AC" w14:textId="77777777" w:rsidR="00BC7DDA" w:rsidRPr="00BD6C5F" w:rsidRDefault="009B03E9" w:rsidP="005F15BF">
      <w:pPr>
        <w:spacing w:before="100" w:after="200"/>
        <w:rPr>
          <w:rFonts w:asciiTheme="minorHAnsi" w:hAnsiTheme="minorHAnsi" w:cstheme="minorHAnsi"/>
        </w:rPr>
      </w:pPr>
      <w:r w:rsidRPr="00BD6C5F">
        <w:rPr>
          <w:rFonts w:asciiTheme="minorHAnsi" w:hAnsiTheme="minorHAnsi" w:cstheme="minorHAnsi"/>
          <w:shd w:val="clear" w:color="auto" w:fill="FFFF00"/>
        </w:rPr>
        <w:t>[We confirm that the Deliverables listed above have been tested successfully in</w:t>
      </w:r>
      <w:r w:rsidRPr="00BD6C5F">
        <w:rPr>
          <w:rFonts w:asciiTheme="minorHAnsi" w:hAnsiTheme="minorHAnsi" w:cstheme="minorHAnsi"/>
        </w:rPr>
        <w:t xml:space="preserve"> </w:t>
      </w:r>
      <w:r w:rsidRPr="00BD6C5F">
        <w:rPr>
          <w:rFonts w:asciiTheme="minorHAnsi" w:hAnsiTheme="minorHAnsi" w:cstheme="minorHAnsi"/>
          <w:shd w:val="clear" w:color="auto" w:fill="FFFF00"/>
        </w:rPr>
        <w:t>accordance with the Test Plan relevant to those Deliverables.]</w:t>
      </w:r>
    </w:p>
    <w:p w14:paraId="56A8B543" w14:textId="77777777" w:rsidR="00BC7DDA" w:rsidRPr="00BD6C5F" w:rsidRDefault="009B03E9" w:rsidP="005F15BF">
      <w:pPr>
        <w:spacing w:before="100" w:after="200"/>
        <w:rPr>
          <w:rFonts w:asciiTheme="minorHAnsi" w:hAnsiTheme="minorHAnsi" w:cstheme="minorHAnsi"/>
        </w:rPr>
      </w:pPr>
      <w:r w:rsidRPr="00BD6C5F">
        <w:rPr>
          <w:rFonts w:asciiTheme="minorHAnsi" w:hAnsiTheme="minorHAnsi" w:cstheme="minorHAnsi"/>
        </w:rPr>
        <w:t>OR</w:t>
      </w:r>
    </w:p>
    <w:p w14:paraId="213EAAA7" w14:textId="7B9A361F" w:rsidR="00BC7DDA" w:rsidRPr="00BD6C5F" w:rsidRDefault="009B03E9" w:rsidP="005F15BF">
      <w:pPr>
        <w:spacing w:before="100" w:after="200"/>
        <w:rPr>
          <w:rFonts w:asciiTheme="minorHAnsi" w:hAnsiTheme="minorHAnsi" w:cstheme="minorHAnsi"/>
        </w:rPr>
      </w:pPr>
      <w:r w:rsidRPr="00BD6C5F">
        <w:rPr>
          <w:rFonts w:asciiTheme="minorHAnsi" w:hAnsiTheme="minorHAnsi" w:cstheme="minorHAnsi"/>
          <w:shd w:val="clear" w:color="auto" w:fill="FFFF00"/>
        </w:rPr>
        <w:t xml:space="preserve">[This Test Certificate is issued pursuant to </w:t>
      </w:r>
      <w:r w:rsidRPr="0019439D">
        <w:rPr>
          <w:rFonts w:asciiTheme="minorHAnsi" w:hAnsiTheme="minorHAnsi" w:cstheme="minorHAnsi"/>
          <w:highlight w:val="yellow"/>
          <w:shd w:val="clear" w:color="auto" w:fill="FFFF00"/>
        </w:rPr>
        <w:t xml:space="preserve">Paragraph </w:t>
      </w:r>
      <w:r w:rsidR="008B51E7" w:rsidRPr="0019439D">
        <w:rPr>
          <w:rFonts w:asciiTheme="minorHAnsi" w:hAnsiTheme="minorHAnsi" w:cstheme="minorHAnsi"/>
          <w:highlight w:val="yellow"/>
          <w:shd w:val="clear" w:color="auto" w:fill="FFFF00"/>
        </w:rPr>
        <w:fldChar w:fldCharType="begin"/>
      </w:r>
      <w:r w:rsidR="008B51E7" w:rsidRPr="0019439D">
        <w:rPr>
          <w:rFonts w:asciiTheme="minorHAnsi" w:hAnsiTheme="minorHAnsi" w:cstheme="minorHAnsi"/>
          <w:highlight w:val="yellow"/>
          <w:shd w:val="clear" w:color="auto" w:fill="FFFF00"/>
        </w:rPr>
        <w:instrText xml:space="preserve"> REF _Ref98411330 \n \h </w:instrText>
      </w:r>
      <w:r w:rsidR="00AD7DD0" w:rsidRPr="0019439D">
        <w:rPr>
          <w:rFonts w:asciiTheme="minorHAnsi" w:hAnsiTheme="minorHAnsi" w:cstheme="minorHAnsi"/>
          <w:highlight w:val="yellow"/>
          <w:shd w:val="clear" w:color="auto" w:fill="FFFF00"/>
        </w:rPr>
        <w:instrText xml:space="preserve"> \* MERGEFORMAT </w:instrText>
      </w:r>
      <w:r w:rsidR="008B51E7" w:rsidRPr="0019439D">
        <w:rPr>
          <w:rFonts w:asciiTheme="minorHAnsi" w:hAnsiTheme="minorHAnsi" w:cstheme="minorHAnsi"/>
          <w:highlight w:val="yellow"/>
          <w:shd w:val="clear" w:color="auto" w:fill="FFFF00"/>
        </w:rPr>
      </w:r>
      <w:r w:rsidR="008B51E7" w:rsidRPr="0019439D">
        <w:rPr>
          <w:rFonts w:asciiTheme="minorHAnsi" w:hAnsiTheme="minorHAnsi" w:cstheme="minorHAnsi"/>
          <w:highlight w:val="yellow"/>
          <w:shd w:val="clear" w:color="auto" w:fill="FFFF00"/>
        </w:rPr>
        <w:fldChar w:fldCharType="separate"/>
      </w:r>
      <w:r w:rsidR="009749A0">
        <w:rPr>
          <w:rFonts w:asciiTheme="minorHAnsi" w:hAnsiTheme="minorHAnsi" w:cstheme="minorHAnsi"/>
          <w:highlight w:val="yellow"/>
          <w:shd w:val="clear" w:color="auto" w:fill="FFFF00"/>
        </w:rPr>
        <w:t>12.1</w:t>
      </w:r>
      <w:r w:rsidR="008B51E7" w:rsidRPr="0019439D">
        <w:rPr>
          <w:rFonts w:asciiTheme="minorHAnsi" w:hAnsiTheme="minorHAnsi" w:cstheme="minorHAnsi"/>
          <w:highlight w:val="yellow"/>
          <w:shd w:val="clear" w:color="auto" w:fill="FFFF00"/>
        </w:rPr>
        <w:fldChar w:fldCharType="end"/>
      </w:r>
      <w:r w:rsidRPr="0019439D">
        <w:rPr>
          <w:rFonts w:asciiTheme="minorHAnsi" w:hAnsiTheme="minorHAnsi" w:cstheme="minorHAnsi"/>
          <w:highlight w:val="yellow"/>
          <w:shd w:val="clear" w:color="auto" w:fill="FFFF00"/>
        </w:rPr>
        <w:t xml:space="preserve"> of</w:t>
      </w:r>
      <w:r w:rsidRPr="00BD6C5F">
        <w:rPr>
          <w:rFonts w:asciiTheme="minorHAnsi" w:hAnsiTheme="minorHAnsi" w:cstheme="minorHAnsi"/>
          <w:shd w:val="clear" w:color="auto" w:fill="FFFF00"/>
        </w:rPr>
        <w:t xml:space="preserve"> </w:t>
      </w:r>
      <w:r w:rsidR="0019439D" w:rsidRPr="0019439D">
        <w:rPr>
          <w:rFonts w:asciiTheme="minorHAnsi" w:hAnsiTheme="minorHAnsi" w:cstheme="minorHAnsi"/>
          <w:highlight w:val="yellow"/>
        </w:rPr>
        <w:t>Schedule </w:t>
      </w:r>
      <w:r w:rsidR="0019439D" w:rsidRPr="0019439D">
        <w:rPr>
          <w:rFonts w:asciiTheme="minorHAnsi" w:hAnsiTheme="minorHAnsi" w:cstheme="minorHAnsi"/>
          <w:highlight w:val="yellow"/>
        </w:rPr>
        <w:fldChar w:fldCharType="begin"/>
      </w:r>
      <w:r w:rsidR="0019439D" w:rsidRPr="0019439D">
        <w:rPr>
          <w:rFonts w:asciiTheme="minorHAnsi" w:hAnsiTheme="minorHAnsi" w:cstheme="minorHAnsi"/>
          <w:highlight w:val="yellow"/>
        </w:rPr>
        <w:instrText xml:space="preserve"> REF Schedule_14 \h </w:instrText>
      </w:r>
      <w:r w:rsidR="0019439D">
        <w:rPr>
          <w:rFonts w:asciiTheme="minorHAnsi" w:hAnsiTheme="minorHAnsi" w:cstheme="minorHAnsi"/>
          <w:highlight w:val="yellow"/>
        </w:rPr>
        <w:instrText xml:space="preserve"> \* MERGEFORMAT </w:instrText>
      </w:r>
      <w:r w:rsidR="0019439D" w:rsidRPr="0019439D">
        <w:rPr>
          <w:rFonts w:asciiTheme="minorHAnsi" w:hAnsiTheme="minorHAnsi" w:cstheme="minorHAnsi"/>
          <w:highlight w:val="yellow"/>
        </w:rPr>
      </w:r>
      <w:r w:rsidR="0019439D" w:rsidRPr="0019439D">
        <w:rPr>
          <w:rFonts w:asciiTheme="minorHAnsi" w:hAnsiTheme="minorHAnsi" w:cstheme="minorHAnsi"/>
          <w:highlight w:val="yellow"/>
        </w:rPr>
        <w:fldChar w:fldCharType="separate"/>
      </w:r>
      <w:r w:rsidR="009749A0" w:rsidRPr="00B664D1">
        <w:rPr>
          <w:highlight w:val="yellow"/>
        </w:rPr>
        <w:t>14</w:t>
      </w:r>
      <w:r w:rsidR="0019439D" w:rsidRPr="0019439D">
        <w:rPr>
          <w:rFonts w:asciiTheme="minorHAnsi" w:hAnsiTheme="minorHAnsi" w:cstheme="minorHAnsi"/>
          <w:highlight w:val="yellow"/>
        </w:rPr>
        <w:fldChar w:fldCharType="end"/>
      </w:r>
      <w:r w:rsidRPr="0019439D">
        <w:rPr>
          <w:rFonts w:asciiTheme="minorHAnsi" w:hAnsiTheme="minorHAnsi" w:cstheme="minorHAnsi"/>
          <w:highlight w:val="yellow"/>
          <w:shd w:val="clear" w:color="auto" w:fill="FFFF00"/>
        </w:rPr>
        <w:t xml:space="preserve"> (</w:t>
      </w:r>
      <w:r w:rsidRPr="0019439D">
        <w:rPr>
          <w:rFonts w:asciiTheme="minorHAnsi" w:hAnsiTheme="minorHAnsi" w:cstheme="minorHAnsi"/>
          <w:i/>
          <w:highlight w:val="yellow"/>
          <w:shd w:val="clear" w:color="auto" w:fill="FFFF00"/>
        </w:rPr>
        <w:t>Testing</w:t>
      </w:r>
      <w:r w:rsidRPr="0019439D">
        <w:rPr>
          <w:rFonts w:asciiTheme="minorHAnsi" w:hAnsiTheme="minorHAnsi" w:cstheme="minorHAnsi"/>
          <w:i/>
          <w:highlight w:val="yellow"/>
        </w:rPr>
        <w:t xml:space="preserve"> </w:t>
      </w:r>
      <w:r w:rsidRPr="0019439D">
        <w:rPr>
          <w:rFonts w:asciiTheme="minorHAnsi" w:hAnsiTheme="minorHAnsi" w:cstheme="minorHAnsi"/>
          <w:i/>
          <w:highlight w:val="yellow"/>
          <w:shd w:val="clear" w:color="auto" w:fill="FFFF00"/>
        </w:rPr>
        <w:t>Procedures</w:t>
      </w:r>
      <w:r w:rsidRPr="0019439D">
        <w:rPr>
          <w:rFonts w:asciiTheme="minorHAnsi" w:hAnsiTheme="minorHAnsi" w:cstheme="minorHAnsi"/>
          <w:highlight w:val="yellow"/>
          <w:shd w:val="clear" w:color="auto" w:fill="FFFF00"/>
        </w:rPr>
        <w:t xml:space="preserve">) of the </w:t>
      </w:r>
      <w:r w:rsidR="00501A09" w:rsidRPr="0019439D">
        <w:rPr>
          <w:rFonts w:asciiTheme="minorHAnsi" w:hAnsiTheme="minorHAnsi" w:cstheme="minorHAnsi"/>
          <w:highlight w:val="yellow"/>
          <w:shd w:val="clear" w:color="auto" w:fill="FFFF00"/>
        </w:rPr>
        <w:t xml:space="preserve">Contract </w:t>
      </w:r>
      <w:r w:rsidRPr="0019439D">
        <w:rPr>
          <w:rFonts w:asciiTheme="minorHAnsi" w:hAnsiTheme="minorHAnsi" w:cstheme="minorHAnsi"/>
          <w:highlight w:val="yellow"/>
          <w:shd w:val="clear" w:color="auto" w:fill="FFFF00"/>
        </w:rPr>
        <w:t>on the condition that any Test Issues are remedied in</w:t>
      </w:r>
      <w:r w:rsidRPr="0019439D">
        <w:rPr>
          <w:rFonts w:asciiTheme="minorHAnsi" w:hAnsiTheme="minorHAnsi" w:cstheme="minorHAnsi"/>
          <w:highlight w:val="yellow"/>
        </w:rPr>
        <w:t xml:space="preserve"> </w:t>
      </w:r>
      <w:r w:rsidRPr="0019439D">
        <w:rPr>
          <w:rFonts w:asciiTheme="minorHAnsi" w:hAnsiTheme="minorHAnsi" w:cstheme="minorHAnsi"/>
          <w:highlight w:val="yellow"/>
          <w:shd w:val="clear" w:color="auto" w:fill="FFFF00"/>
        </w:rPr>
        <w:t>accordance</w:t>
      </w:r>
      <w:r w:rsidRPr="00BD6C5F">
        <w:rPr>
          <w:rFonts w:asciiTheme="minorHAnsi" w:hAnsiTheme="minorHAnsi" w:cstheme="minorHAnsi"/>
          <w:shd w:val="clear" w:color="auto" w:fill="FFFF00"/>
        </w:rPr>
        <w:t xml:space="preserve"> with the Rectification Plan attached to this certificate.]*</w:t>
      </w:r>
    </w:p>
    <w:p w14:paraId="0AF273B3" w14:textId="77777777" w:rsidR="00643F4C" w:rsidRPr="00BD6C5F" w:rsidRDefault="009B03E9" w:rsidP="005F15BF">
      <w:pPr>
        <w:spacing w:before="100" w:after="200"/>
        <w:rPr>
          <w:rFonts w:asciiTheme="minorHAnsi" w:hAnsiTheme="minorHAnsi" w:cstheme="minorHAnsi"/>
          <w:i/>
          <w:szCs w:val="24"/>
        </w:rPr>
      </w:pPr>
      <w:r w:rsidRPr="00BD6C5F">
        <w:rPr>
          <w:rFonts w:asciiTheme="minorHAnsi" w:hAnsiTheme="minorHAnsi" w:cstheme="minorHAnsi"/>
          <w:i/>
          <w:szCs w:val="24"/>
        </w:rPr>
        <w:t>*delete as appropriate</w:t>
      </w:r>
    </w:p>
    <w:p w14:paraId="35F6BCBA" w14:textId="77777777" w:rsidR="008652D1" w:rsidRPr="00BD6C5F" w:rsidRDefault="009B03E9" w:rsidP="005F15BF">
      <w:pPr>
        <w:spacing w:before="100" w:after="200"/>
        <w:rPr>
          <w:rFonts w:asciiTheme="minorHAnsi" w:hAnsiTheme="minorHAnsi" w:cstheme="minorHAnsi"/>
          <w:szCs w:val="24"/>
        </w:rPr>
      </w:pPr>
      <w:r w:rsidRPr="00BD6C5F">
        <w:rPr>
          <w:rFonts w:asciiTheme="minorHAnsi" w:hAnsiTheme="minorHAnsi" w:cstheme="minorHAnsi"/>
          <w:szCs w:val="24"/>
        </w:rPr>
        <w:t>Yours faithfully</w:t>
      </w:r>
    </w:p>
    <w:p w14:paraId="7C257DF0" w14:textId="10EB8269" w:rsidR="00BC7DDA" w:rsidRPr="00566661" w:rsidRDefault="009B03E9" w:rsidP="005F15BF">
      <w:pPr>
        <w:spacing w:before="100" w:after="200"/>
        <w:rPr>
          <w:rFonts w:asciiTheme="minorHAnsi" w:hAnsiTheme="minorHAnsi" w:cstheme="minorHAnsi"/>
          <w:szCs w:val="24"/>
        </w:rPr>
      </w:pPr>
      <w:r w:rsidRPr="00566661">
        <w:rPr>
          <w:rFonts w:asciiTheme="minorHAnsi" w:hAnsiTheme="minorHAnsi" w:cstheme="minorHAnsi"/>
          <w:szCs w:val="24"/>
          <w:shd w:val="clear" w:color="auto" w:fill="FFFF00"/>
        </w:rPr>
        <w:t>[Name]</w:t>
      </w:r>
    </w:p>
    <w:p w14:paraId="455D6602" w14:textId="77777777" w:rsidR="00BC7DDA" w:rsidRPr="00566661" w:rsidRDefault="009B03E9" w:rsidP="00643F4C">
      <w:pPr>
        <w:spacing w:before="100" w:after="200"/>
      </w:pPr>
      <w:r w:rsidRPr="00566661">
        <w:rPr>
          <w:highlight w:val="yellow"/>
        </w:rPr>
        <w:t>[Position]</w:t>
      </w:r>
    </w:p>
    <w:p w14:paraId="2B1F4474" w14:textId="77777777" w:rsidR="00BC7DDA" w:rsidRPr="00566661" w:rsidRDefault="009B03E9" w:rsidP="00643F4C">
      <w:pPr>
        <w:spacing w:before="100" w:after="200"/>
        <w:rPr>
          <w:rFonts w:asciiTheme="minorHAnsi" w:hAnsiTheme="minorHAnsi" w:cstheme="minorHAnsi"/>
          <w:szCs w:val="24"/>
        </w:rPr>
      </w:pPr>
      <w:r w:rsidRPr="00566661">
        <w:rPr>
          <w:rFonts w:asciiTheme="minorHAnsi" w:hAnsiTheme="minorHAnsi" w:cstheme="minorHAnsi"/>
          <w:szCs w:val="24"/>
        </w:rPr>
        <w:t xml:space="preserve">acting on behalf of </w:t>
      </w:r>
      <w:r w:rsidRPr="00566661">
        <w:rPr>
          <w:rFonts w:asciiTheme="minorHAnsi" w:hAnsiTheme="minorHAnsi" w:cstheme="minorHAnsi"/>
          <w:szCs w:val="24"/>
          <w:shd w:val="clear" w:color="auto" w:fill="FFFF00"/>
        </w:rPr>
        <w:t>[name of Authority]</w:t>
      </w:r>
    </w:p>
    <w:p w14:paraId="73497487" w14:textId="77777777" w:rsidR="00643F4C" w:rsidRPr="00BD6C5F" w:rsidRDefault="00643F4C" w:rsidP="00643F4C"/>
    <w:p w14:paraId="2D89934E" w14:textId="2072E860" w:rsidR="003D4F45" w:rsidRPr="00BD6C5F" w:rsidRDefault="003D4F45" w:rsidP="00643F4C">
      <w:pPr>
        <w:rPr>
          <w:szCs w:val="24"/>
        </w:rPr>
      </w:pPr>
      <w:r w:rsidRPr="00BD6C5F">
        <w:br w:type="page"/>
      </w:r>
    </w:p>
    <w:p w14:paraId="1AA2908B" w14:textId="4CA84A53" w:rsidR="00BC7DDA" w:rsidRPr="00BD6C5F" w:rsidRDefault="00185D6A" w:rsidP="008652D1">
      <w:pPr>
        <w:pStyle w:val="Heading2"/>
      </w:pPr>
      <w:bookmarkStart w:id="518" w:name="_bookmark174"/>
      <w:bookmarkStart w:id="519" w:name="_Toc98332733"/>
      <w:bookmarkStart w:id="520" w:name="_Ref98334570"/>
      <w:bookmarkStart w:id="521" w:name="_Ref98334575"/>
      <w:bookmarkStart w:id="522" w:name="_Toc98852910"/>
      <w:bookmarkStart w:id="523" w:name="_Toc141721002"/>
      <w:bookmarkEnd w:id="518"/>
      <w:r w:rsidRPr="00BD6C5F">
        <w:lastRenderedPageBreak/>
        <w:t xml:space="preserve">Annex </w:t>
      </w:r>
      <w:bookmarkStart w:id="524" w:name="Schedule_14_Annex_3"/>
      <w:r w:rsidRPr="00BD6C5F">
        <w:t>3</w:t>
      </w:r>
      <w:bookmarkEnd w:id="524"/>
      <w:r w:rsidRPr="00BD6C5F">
        <w:t>: Milestone Achievement Certificate</w:t>
      </w:r>
      <w:bookmarkEnd w:id="519"/>
      <w:bookmarkEnd w:id="520"/>
      <w:bookmarkEnd w:id="521"/>
      <w:bookmarkEnd w:id="522"/>
      <w:bookmarkEnd w:id="523"/>
    </w:p>
    <w:p w14:paraId="761F74B3" w14:textId="77777777" w:rsidR="008652D1" w:rsidRPr="00BD6C5F" w:rsidRDefault="008652D1" w:rsidP="008652D1">
      <w:pPr>
        <w:tabs>
          <w:tab w:val="left" w:pos="1540"/>
        </w:tabs>
        <w:spacing w:before="100" w:after="200"/>
        <w:rPr>
          <w:rFonts w:asciiTheme="minorHAnsi" w:hAnsiTheme="minorHAnsi" w:cstheme="minorHAnsi"/>
          <w:szCs w:val="24"/>
        </w:rPr>
      </w:pPr>
    </w:p>
    <w:p w14:paraId="483D5BA3" w14:textId="66945687" w:rsidR="008652D1" w:rsidRPr="00566661" w:rsidRDefault="009B03E9" w:rsidP="008652D1">
      <w:pPr>
        <w:tabs>
          <w:tab w:val="left" w:pos="1540"/>
        </w:tabs>
        <w:spacing w:before="100" w:after="200"/>
        <w:rPr>
          <w:rFonts w:asciiTheme="minorHAnsi" w:hAnsiTheme="minorHAnsi" w:cstheme="minorHAnsi"/>
          <w:szCs w:val="24"/>
        </w:rPr>
      </w:pPr>
      <w:r w:rsidRPr="00566661">
        <w:rPr>
          <w:rFonts w:asciiTheme="minorHAnsi" w:hAnsiTheme="minorHAnsi" w:cstheme="minorHAnsi"/>
          <w:szCs w:val="24"/>
        </w:rPr>
        <w:t>To:</w:t>
      </w:r>
      <w:r w:rsidRPr="00566661">
        <w:rPr>
          <w:rFonts w:asciiTheme="minorHAnsi" w:hAnsiTheme="minorHAnsi" w:cstheme="minorHAnsi"/>
          <w:szCs w:val="24"/>
        </w:rPr>
        <w:tab/>
      </w:r>
      <w:r w:rsidRPr="00566661">
        <w:rPr>
          <w:rFonts w:asciiTheme="minorHAnsi" w:hAnsiTheme="minorHAnsi" w:cstheme="minorHAnsi"/>
          <w:szCs w:val="24"/>
          <w:shd w:val="clear" w:color="auto" w:fill="FFFF00"/>
        </w:rPr>
        <w:t>[</w:t>
      </w:r>
      <w:r w:rsidR="00185D6A" w:rsidRPr="00566661">
        <w:rPr>
          <w:rFonts w:asciiTheme="minorHAnsi" w:hAnsiTheme="minorHAnsi" w:cstheme="minorHAnsi"/>
          <w:szCs w:val="24"/>
          <w:shd w:val="clear" w:color="auto" w:fill="FFFF00"/>
        </w:rPr>
        <w:t>name of supplier</w:t>
      </w:r>
      <w:r w:rsidRPr="00566661">
        <w:rPr>
          <w:rFonts w:asciiTheme="minorHAnsi" w:hAnsiTheme="minorHAnsi" w:cstheme="minorHAnsi"/>
          <w:szCs w:val="24"/>
          <w:shd w:val="clear" w:color="auto" w:fill="FFFF00"/>
        </w:rPr>
        <w:t>]</w:t>
      </w:r>
    </w:p>
    <w:p w14:paraId="52C6EA4E" w14:textId="6DF00CE8" w:rsidR="00BC7DDA" w:rsidRPr="00566661" w:rsidRDefault="00185D6A" w:rsidP="008652D1">
      <w:pPr>
        <w:tabs>
          <w:tab w:val="left" w:pos="1540"/>
        </w:tabs>
        <w:spacing w:before="100" w:after="200"/>
        <w:rPr>
          <w:rFonts w:asciiTheme="minorHAnsi" w:hAnsiTheme="minorHAnsi" w:cstheme="minorHAnsi"/>
          <w:szCs w:val="24"/>
          <w:shd w:val="clear" w:color="auto" w:fill="FFFF00"/>
        </w:rPr>
      </w:pPr>
      <w:r w:rsidRPr="00566661">
        <w:rPr>
          <w:rFonts w:asciiTheme="minorHAnsi" w:hAnsiTheme="minorHAnsi" w:cstheme="minorHAnsi"/>
          <w:szCs w:val="24"/>
        </w:rPr>
        <w:t>From:</w:t>
      </w:r>
      <w:r w:rsidRPr="00566661">
        <w:rPr>
          <w:rFonts w:asciiTheme="minorHAnsi" w:hAnsiTheme="minorHAnsi" w:cstheme="minorHAnsi"/>
          <w:szCs w:val="24"/>
        </w:rPr>
        <w:tab/>
      </w:r>
      <w:r w:rsidR="009B03E9" w:rsidRPr="00566661">
        <w:rPr>
          <w:rFonts w:asciiTheme="minorHAnsi" w:hAnsiTheme="minorHAnsi" w:cstheme="minorHAnsi"/>
          <w:szCs w:val="24"/>
          <w:shd w:val="clear" w:color="auto" w:fill="FFFF00"/>
        </w:rPr>
        <w:t>[</w:t>
      </w:r>
      <w:r w:rsidRPr="00566661">
        <w:rPr>
          <w:rFonts w:asciiTheme="minorHAnsi" w:hAnsiTheme="minorHAnsi" w:cstheme="minorHAnsi"/>
          <w:szCs w:val="24"/>
          <w:shd w:val="clear" w:color="auto" w:fill="FFFF00"/>
        </w:rPr>
        <w:t>name of authority</w:t>
      </w:r>
      <w:r w:rsidR="009B03E9" w:rsidRPr="00566661">
        <w:rPr>
          <w:rFonts w:asciiTheme="minorHAnsi" w:hAnsiTheme="minorHAnsi" w:cstheme="minorHAnsi"/>
          <w:szCs w:val="24"/>
          <w:shd w:val="clear" w:color="auto" w:fill="FFFF00"/>
        </w:rPr>
        <w:t>]</w:t>
      </w:r>
    </w:p>
    <w:p w14:paraId="05C38BDD" w14:textId="77777777" w:rsidR="008652D1" w:rsidRPr="00BD6C5F" w:rsidRDefault="008652D1" w:rsidP="008652D1">
      <w:pPr>
        <w:tabs>
          <w:tab w:val="left" w:pos="1540"/>
        </w:tabs>
        <w:spacing w:before="100" w:after="200"/>
        <w:rPr>
          <w:rFonts w:asciiTheme="minorHAnsi" w:hAnsiTheme="minorHAnsi" w:cstheme="minorHAnsi"/>
          <w:szCs w:val="24"/>
        </w:rPr>
      </w:pPr>
    </w:p>
    <w:p w14:paraId="59F30676" w14:textId="39D961EC" w:rsidR="008652D1" w:rsidRPr="00566661" w:rsidRDefault="009B03E9" w:rsidP="008652D1">
      <w:pPr>
        <w:tabs>
          <w:tab w:val="left" w:pos="1540"/>
        </w:tabs>
        <w:spacing w:before="100" w:after="200"/>
        <w:rPr>
          <w:rFonts w:asciiTheme="minorHAnsi" w:hAnsiTheme="minorHAnsi" w:cstheme="minorHAnsi"/>
          <w:szCs w:val="24"/>
          <w:shd w:val="clear" w:color="auto" w:fill="FFFF00"/>
        </w:rPr>
      </w:pPr>
      <w:r w:rsidRPr="00566661">
        <w:rPr>
          <w:rFonts w:asciiTheme="minorHAnsi" w:hAnsiTheme="minorHAnsi" w:cstheme="minorHAnsi"/>
          <w:szCs w:val="24"/>
          <w:shd w:val="clear" w:color="auto" w:fill="FFFF00"/>
        </w:rPr>
        <w:t>[Date]</w:t>
      </w:r>
    </w:p>
    <w:p w14:paraId="638E5CE5" w14:textId="77777777" w:rsidR="008652D1" w:rsidRPr="00BD6C5F" w:rsidRDefault="008652D1" w:rsidP="008652D1">
      <w:pPr>
        <w:tabs>
          <w:tab w:val="left" w:pos="1540"/>
        </w:tabs>
        <w:spacing w:before="100" w:after="200"/>
        <w:rPr>
          <w:rFonts w:asciiTheme="minorHAnsi" w:hAnsiTheme="minorHAnsi" w:cstheme="minorHAnsi"/>
          <w:szCs w:val="24"/>
        </w:rPr>
      </w:pPr>
    </w:p>
    <w:p w14:paraId="34178369" w14:textId="7FF46A2C" w:rsidR="00BC7DDA" w:rsidRPr="00BD6C5F" w:rsidRDefault="009B03E9" w:rsidP="00A47A7E">
      <w:pPr>
        <w:keepNext/>
        <w:tabs>
          <w:tab w:val="left" w:pos="1540"/>
        </w:tabs>
        <w:spacing w:before="100" w:after="200"/>
        <w:rPr>
          <w:rFonts w:asciiTheme="minorHAnsi" w:hAnsiTheme="minorHAnsi" w:cstheme="minorHAnsi"/>
          <w:szCs w:val="24"/>
        </w:rPr>
      </w:pPr>
      <w:r w:rsidRPr="00BD6C5F">
        <w:rPr>
          <w:rFonts w:asciiTheme="minorHAnsi" w:hAnsiTheme="minorHAnsi" w:cstheme="minorHAnsi"/>
          <w:szCs w:val="24"/>
        </w:rPr>
        <w:t>Dear Sirs,</w:t>
      </w:r>
    </w:p>
    <w:p w14:paraId="5E9A1AC9" w14:textId="77777777" w:rsidR="008652D1" w:rsidRPr="00BD6C5F" w:rsidRDefault="008652D1" w:rsidP="00A47A7E">
      <w:pPr>
        <w:keepNext/>
        <w:tabs>
          <w:tab w:val="left" w:pos="1540"/>
        </w:tabs>
        <w:spacing w:before="100" w:after="200"/>
        <w:rPr>
          <w:rFonts w:asciiTheme="minorHAnsi" w:hAnsiTheme="minorHAnsi" w:cstheme="minorHAnsi"/>
          <w:szCs w:val="24"/>
        </w:rPr>
      </w:pPr>
    </w:p>
    <w:p w14:paraId="05191B28" w14:textId="0E9121B2" w:rsidR="00BC7DDA" w:rsidRPr="00BD6C5F" w:rsidRDefault="00185D6A" w:rsidP="00A47A7E">
      <w:pPr>
        <w:keepNext/>
        <w:rPr>
          <w:b/>
          <w:bCs/>
        </w:rPr>
      </w:pPr>
      <w:r w:rsidRPr="00BD6C5F">
        <w:rPr>
          <w:b/>
          <w:bCs/>
        </w:rPr>
        <w:t>Milestone Achievement Certificate</w:t>
      </w:r>
    </w:p>
    <w:p w14:paraId="4E2EBB8F" w14:textId="77777777" w:rsidR="008652D1" w:rsidRPr="00BD6C5F" w:rsidRDefault="008652D1" w:rsidP="00A47A7E">
      <w:pPr>
        <w:keepNext/>
        <w:tabs>
          <w:tab w:val="left" w:pos="1540"/>
        </w:tabs>
        <w:spacing w:before="100" w:after="200"/>
        <w:rPr>
          <w:rFonts w:asciiTheme="minorHAnsi" w:hAnsiTheme="minorHAnsi" w:cstheme="minorHAnsi"/>
          <w:szCs w:val="24"/>
        </w:rPr>
      </w:pPr>
    </w:p>
    <w:p w14:paraId="2F337000" w14:textId="59027426" w:rsidR="00BC7DDA" w:rsidRPr="00566661" w:rsidRDefault="009B03E9" w:rsidP="008652D1">
      <w:pPr>
        <w:tabs>
          <w:tab w:val="left" w:pos="1540"/>
        </w:tabs>
        <w:spacing w:before="100" w:after="200"/>
        <w:rPr>
          <w:rFonts w:asciiTheme="minorHAnsi" w:hAnsiTheme="minorHAnsi" w:cstheme="minorHAnsi"/>
          <w:szCs w:val="24"/>
        </w:rPr>
      </w:pPr>
      <w:r w:rsidRPr="00566661">
        <w:rPr>
          <w:rFonts w:asciiTheme="minorHAnsi" w:hAnsiTheme="minorHAnsi" w:cstheme="minorHAnsi"/>
          <w:szCs w:val="24"/>
        </w:rPr>
        <w:t xml:space="preserve">Milestone: </w:t>
      </w: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description of Milestone]</w:t>
      </w:r>
    </w:p>
    <w:p w14:paraId="635C78C1" w14:textId="3F2F3BC8" w:rsidR="00BC7DDA" w:rsidRPr="00BD6C5F" w:rsidRDefault="009B03E9" w:rsidP="008652D1">
      <w:pPr>
        <w:tabs>
          <w:tab w:val="left" w:pos="1540"/>
        </w:tabs>
        <w:spacing w:before="100" w:after="200"/>
        <w:rPr>
          <w:rFonts w:asciiTheme="minorHAnsi" w:hAnsiTheme="minorHAnsi" w:cstheme="minorHAnsi"/>
          <w:szCs w:val="24"/>
        </w:rPr>
      </w:pPr>
      <w:r w:rsidRPr="00BD6C5F">
        <w:rPr>
          <w:rFonts w:asciiTheme="minorHAnsi" w:hAnsiTheme="minorHAnsi" w:cstheme="minorHAnsi"/>
          <w:szCs w:val="24"/>
        </w:rPr>
        <w:t xml:space="preserve">We refer to the agreement (the </w:t>
      </w:r>
      <w:r w:rsidR="00A4555C" w:rsidRPr="00BD6C5F">
        <w:rPr>
          <w:rFonts w:asciiTheme="minorHAnsi" w:hAnsiTheme="minorHAnsi" w:cstheme="minorHAnsi"/>
          <w:szCs w:val="24"/>
        </w:rPr>
        <w:t>“</w:t>
      </w:r>
      <w:r w:rsidR="00501A09" w:rsidRPr="00BD6C5F">
        <w:rPr>
          <w:rFonts w:asciiTheme="minorHAnsi" w:hAnsiTheme="minorHAnsi" w:cstheme="minorHAnsi"/>
          <w:b/>
          <w:szCs w:val="24"/>
        </w:rPr>
        <w:t>Contract</w:t>
      </w:r>
      <w:r w:rsidR="00A4555C" w:rsidRPr="00BD6C5F">
        <w:rPr>
          <w:rFonts w:asciiTheme="minorHAnsi" w:hAnsiTheme="minorHAnsi" w:cstheme="minorHAnsi"/>
          <w:szCs w:val="24"/>
        </w:rPr>
        <w:t>”</w:t>
      </w:r>
      <w:r w:rsidRPr="00BD6C5F">
        <w:rPr>
          <w:rFonts w:asciiTheme="minorHAnsi" w:hAnsiTheme="minorHAnsi" w:cstheme="minorHAnsi"/>
          <w:szCs w:val="24"/>
        </w:rPr>
        <w:t xml:space="preserve">) relating to the provision of the Services between the </w:t>
      </w:r>
      <w:r w:rsidRPr="00566661">
        <w:rPr>
          <w:rFonts w:asciiTheme="minorHAnsi" w:hAnsiTheme="minorHAnsi" w:cstheme="minorHAnsi"/>
          <w:szCs w:val="24"/>
          <w:shd w:val="clear" w:color="auto" w:fill="FFFF00"/>
        </w:rPr>
        <w:t>[name of Authority]</w:t>
      </w:r>
      <w:r w:rsidRPr="00566661">
        <w:rPr>
          <w:rFonts w:asciiTheme="minorHAnsi" w:hAnsiTheme="minorHAnsi" w:cstheme="minorHAnsi"/>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Authority</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w:t>
      </w:r>
      <w:r w:rsidRPr="00566661">
        <w:rPr>
          <w:rFonts w:asciiTheme="minorHAnsi" w:hAnsiTheme="minorHAnsi" w:cstheme="minorHAnsi"/>
          <w:szCs w:val="24"/>
          <w:shd w:val="clear" w:color="auto" w:fill="FFFF00"/>
        </w:rPr>
        <w:t>[name of Supplier]</w:t>
      </w:r>
      <w:r w:rsidRPr="00566661">
        <w:rPr>
          <w:rFonts w:asciiTheme="minorHAnsi" w:hAnsiTheme="minorHAnsi" w:cstheme="minorHAnsi"/>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Supplier</w:t>
      </w:r>
      <w:r w:rsidR="00A4555C" w:rsidRPr="00BD6C5F">
        <w:rPr>
          <w:rFonts w:asciiTheme="minorHAnsi" w:hAnsiTheme="minorHAnsi" w:cstheme="minorHAnsi"/>
          <w:szCs w:val="24"/>
        </w:rPr>
        <w:t>”</w:t>
      </w:r>
      <w:r w:rsidRPr="00BD6C5F">
        <w:rPr>
          <w:rFonts w:asciiTheme="minorHAnsi" w:hAnsiTheme="minorHAnsi" w:cstheme="minorHAnsi"/>
          <w:szCs w:val="24"/>
        </w:rPr>
        <w:t>) dated</w:t>
      </w:r>
      <w:r w:rsidRPr="00566661">
        <w:rPr>
          <w:rFonts w:asciiTheme="minorHAnsi" w:hAnsiTheme="minorHAnsi" w:cstheme="minorHAnsi"/>
          <w:szCs w:val="24"/>
        </w:rPr>
        <w:t xml:space="preserve"> </w:t>
      </w:r>
      <w:r w:rsidRPr="00566661">
        <w:rPr>
          <w:rFonts w:asciiTheme="minorHAnsi" w:hAnsiTheme="minorHAnsi" w:cstheme="minorHAnsi"/>
          <w:szCs w:val="24"/>
          <w:shd w:val="clear" w:color="auto" w:fill="FFFF00"/>
        </w:rPr>
        <w:t>[date]</w:t>
      </w:r>
      <w:r w:rsidRPr="00566661">
        <w:rPr>
          <w:rFonts w:asciiTheme="minorHAnsi" w:hAnsiTheme="minorHAnsi" w:cstheme="minorHAnsi"/>
          <w:szCs w:val="24"/>
        </w:rPr>
        <w:t>.</w:t>
      </w:r>
    </w:p>
    <w:p w14:paraId="6D916C43" w14:textId="5C346A91" w:rsidR="00BC7DDA" w:rsidRPr="00BD6C5F" w:rsidRDefault="009B03E9" w:rsidP="008652D1">
      <w:pPr>
        <w:tabs>
          <w:tab w:val="left" w:pos="1540"/>
        </w:tabs>
        <w:spacing w:before="100" w:after="200"/>
        <w:rPr>
          <w:rFonts w:asciiTheme="minorHAnsi" w:hAnsiTheme="minorHAnsi" w:cstheme="minorHAnsi"/>
        </w:rPr>
      </w:pPr>
      <w:r w:rsidRPr="00BD6C5F">
        <w:rPr>
          <w:rFonts w:asciiTheme="minorHAnsi" w:hAnsiTheme="minorHAnsi" w:cstheme="minorHAnsi"/>
        </w:rPr>
        <w:t>Capitalised terms used in this certificate have the meanings given to them in Schedule</w:t>
      </w:r>
      <w:r w:rsidR="00FF2A19" w:rsidRPr="00BD6C5F">
        <w:rPr>
          <w:rFonts w:asciiTheme="minorHAnsi" w:hAnsiTheme="minorHAnsi" w:cstheme="minorHAnsi"/>
        </w:rPr>
        <w:t> </w:t>
      </w:r>
      <w:r w:rsidR="00484523">
        <w:rPr>
          <w:rFonts w:asciiTheme="minorHAnsi" w:hAnsiTheme="minorHAnsi" w:cstheme="minorHAnsi"/>
        </w:rPr>
        <w:fldChar w:fldCharType="begin"/>
      </w:r>
      <w:r w:rsidR="00484523">
        <w:rPr>
          <w:rFonts w:asciiTheme="minorHAnsi" w:hAnsiTheme="minorHAnsi" w:cstheme="minorHAnsi"/>
        </w:rPr>
        <w:instrText xml:space="preserve"> REF Schedule_1 \h </w:instrText>
      </w:r>
      <w:r w:rsidR="00484523">
        <w:rPr>
          <w:rFonts w:asciiTheme="minorHAnsi" w:hAnsiTheme="minorHAnsi" w:cstheme="minorHAnsi"/>
        </w:rPr>
      </w:r>
      <w:r w:rsidR="00484523">
        <w:rPr>
          <w:rFonts w:asciiTheme="minorHAnsi" w:hAnsiTheme="minorHAnsi" w:cstheme="minorHAnsi"/>
        </w:rPr>
        <w:fldChar w:fldCharType="separate"/>
      </w:r>
      <w:r w:rsidR="009749A0" w:rsidRPr="00175B22">
        <w:t>1</w:t>
      </w:r>
      <w:r w:rsidR="00484523">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Definitions</w:t>
      </w:r>
      <w:r w:rsidRPr="00BD6C5F">
        <w:rPr>
          <w:rFonts w:asciiTheme="minorHAnsi" w:hAnsiTheme="minorHAnsi" w:cstheme="minorHAnsi"/>
        </w:rPr>
        <w:t xml:space="preserve">) or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Schedule_14 \h </w:instrText>
      </w:r>
      <w:r w:rsidR="0019439D">
        <w:rPr>
          <w:rFonts w:asciiTheme="minorHAnsi" w:hAnsiTheme="minorHAnsi" w:cstheme="minorHAnsi"/>
        </w:rPr>
      </w:r>
      <w:r w:rsidR="0019439D">
        <w:rPr>
          <w:rFonts w:asciiTheme="minorHAnsi" w:hAnsiTheme="minorHAnsi" w:cstheme="minorHAnsi"/>
        </w:rPr>
        <w:fldChar w:fldCharType="separate"/>
      </w:r>
      <w:r w:rsidR="009749A0">
        <w:t>14</w:t>
      </w:r>
      <w:r w:rsidR="0019439D">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Testing Procedures</w:t>
      </w:r>
      <w:r w:rsidRPr="00BD6C5F">
        <w:rPr>
          <w:rFonts w:asciiTheme="minorHAnsi" w:hAnsiTheme="minorHAnsi" w:cstheme="minorHAnsi"/>
        </w:rPr>
        <w:t xml:space="preserve">) of the </w:t>
      </w:r>
      <w:r w:rsidR="001249BC" w:rsidRPr="00BD6C5F">
        <w:rPr>
          <w:rFonts w:asciiTheme="minorHAnsi" w:hAnsiTheme="minorHAnsi" w:cstheme="minorHAnsi"/>
        </w:rPr>
        <w:t>Contract</w:t>
      </w:r>
      <w:r w:rsidRPr="00BD6C5F">
        <w:rPr>
          <w:rFonts w:asciiTheme="minorHAnsi" w:hAnsiTheme="minorHAnsi" w:cstheme="minorHAnsi"/>
        </w:rPr>
        <w:t>.</w:t>
      </w:r>
    </w:p>
    <w:p w14:paraId="7EF3329C" w14:textId="77777777" w:rsidR="00BC7DDA" w:rsidRPr="00BD6C5F" w:rsidRDefault="009B03E9" w:rsidP="008652D1">
      <w:pPr>
        <w:tabs>
          <w:tab w:val="left" w:pos="1540"/>
        </w:tabs>
        <w:spacing w:before="100" w:after="200"/>
        <w:rPr>
          <w:rFonts w:asciiTheme="minorHAnsi" w:hAnsiTheme="minorHAnsi" w:cstheme="minorHAnsi"/>
        </w:rPr>
      </w:pPr>
      <w:r w:rsidRPr="00BD6C5F">
        <w:rPr>
          <w:rFonts w:asciiTheme="minorHAnsi" w:hAnsiTheme="minorHAnsi" w:cstheme="minorHAnsi"/>
          <w:shd w:val="clear" w:color="auto" w:fill="FFFF00"/>
        </w:rPr>
        <w:t>[We confirm that all the Deliverables relating to Milestone [</w:t>
      </w:r>
      <w:r w:rsidRPr="00BD6C5F">
        <w:rPr>
          <w:rFonts w:asciiTheme="minorHAnsi" w:hAnsiTheme="minorHAnsi" w:cstheme="minorHAnsi"/>
          <w:b/>
          <w:iCs/>
          <w:shd w:val="clear" w:color="auto" w:fill="FFFF00"/>
        </w:rPr>
        <w:t>number</w:t>
      </w:r>
      <w:r w:rsidRPr="00BD6C5F">
        <w:rPr>
          <w:rFonts w:asciiTheme="minorHAnsi" w:hAnsiTheme="minorHAnsi" w:cstheme="minorHAnsi"/>
          <w:shd w:val="clear" w:color="auto" w:fill="FFFF00"/>
        </w:rPr>
        <w:t>] have been tested</w:t>
      </w:r>
      <w:r w:rsidRPr="00BD6C5F">
        <w:rPr>
          <w:rFonts w:asciiTheme="minorHAnsi" w:hAnsiTheme="minorHAnsi" w:cstheme="minorHAnsi"/>
        </w:rPr>
        <w:t xml:space="preserve"> </w:t>
      </w:r>
      <w:r w:rsidRPr="00BD6C5F">
        <w:rPr>
          <w:rFonts w:asciiTheme="minorHAnsi" w:hAnsiTheme="minorHAnsi" w:cstheme="minorHAnsi"/>
          <w:shd w:val="clear" w:color="auto" w:fill="FFFF00"/>
        </w:rPr>
        <w:t>successfully in accordance with the Test Plan relevant to this Milestone [or that a</w:t>
      </w:r>
      <w:r w:rsidRPr="00BD6C5F">
        <w:rPr>
          <w:rFonts w:asciiTheme="minorHAnsi" w:hAnsiTheme="minorHAnsi" w:cstheme="minorHAnsi"/>
        </w:rPr>
        <w:t xml:space="preserve"> </w:t>
      </w:r>
      <w:r w:rsidRPr="00BD6C5F">
        <w:rPr>
          <w:rFonts w:asciiTheme="minorHAnsi" w:hAnsiTheme="minorHAnsi" w:cstheme="minorHAnsi"/>
          <w:shd w:val="clear" w:color="auto" w:fill="FFFF00"/>
        </w:rPr>
        <w:t>conditional Test Certificate has been issued in respect of those Deliverables that</w:t>
      </w:r>
      <w:r w:rsidRPr="00BD6C5F">
        <w:rPr>
          <w:rFonts w:asciiTheme="minorHAnsi" w:hAnsiTheme="minorHAnsi" w:cstheme="minorHAnsi"/>
        </w:rPr>
        <w:t xml:space="preserve"> </w:t>
      </w:r>
      <w:r w:rsidRPr="00BD6C5F">
        <w:rPr>
          <w:rFonts w:asciiTheme="minorHAnsi" w:hAnsiTheme="minorHAnsi" w:cstheme="minorHAnsi"/>
          <w:shd w:val="clear" w:color="auto" w:fill="FFFF00"/>
        </w:rPr>
        <w:t>have not satisfied the relevant Test Success Criteria.]]*</w:t>
      </w:r>
    </w:p>
    <w:p w14:paraId="52E976A5" w14:textId="77777777" w:rsidR="00BC7DDA" w:rsidRPr="00BD6C5F" w:rsidRDefault="009B03E9" w:rsidP="008652D1">
      <w:pPr>
        <w:tabs>
          <w:tab w:val="left" w:pos="1540"/>
        </w:tabs>
        <w:spacing w:before="100" w:after="200"/>
        <w:rPr>
          <w:rFonts w:asciiTheme="minorHAnsi" w:hAnsiTheme="minorHAnsi" w:cstheme="minorHAnsi"/>
        </w:rPr>
      </w:pPr>
      <w:r w:rsidRPr="00BD6C5F">
        <w:rPr>
          <w:rFonts w:asciiTheme="minorHAnsi" w:hAnsiTheme="minorHAnsi" w:cstheme="minorHAnsi"/>
        </w:rPr>
        <w:t>OR</w:t>
      </w:r>
    </w:p>
    <w:p w14:paraId="6179680A" w14:textId="68A5A27C" w:rsidR="00BC7DDA" w:rsidRPr="00BD6C5F" w:rsidRDefault="009B03E9" w:rsidP="008652D1">
      <w:pPr>
        <w:tabs>
          <w:tab w:val="left" w:pos="1540"/>
        </w:tabs>
        <w:spacing w:before="100" w:after="200"/>
        <w:rPr>
          <w:rFonts w:asciiTheme="minorHAnsi" w:hAnsiTheme="minorHAnsi" w:cstheme="minorHAnsi"/>
        </w:rPr>
      </w:pPr>
      <w:r w:rsidRPr="0019439D">
        <w:rPr>
          <w:rFonts w:asciiTheme="minorHAnsi" w:hAnsiTheme="minorHAnsi" w:cstheme="minorHAnsi"/>
          <w:highlight w:val="yellow"/>
          <w:shd w:val="clear" w:color="auto" w:fill="FFFF00"/>
        </w:rPr>
        <w:t xml:space="preserve">[This Milestone Achievement Certificate is granted pursuant to Paragraph </w:t>
      </w:r>
      <w:r w:rsidR="008B51E7" w:rsidRPr="0019439D">
        <w:rPr>
          <w:rFonts w:asciiTheme="minorHAnsi" w:hAnsiTheme="minorHAnsi" w:cstheme="minorHAnsi"/>
          <w:highlight w:val="yellow"/>
          <w:shd w:val="clear" w:color="auto" w:fill="FFFF00"/>
        </w:rPr>
        <w:fldChar w:fldCharType="begin"/>
      </w:r>
      <w:r w:rsidR="008B51E7" w:rsidRPr="0019439D">
        <w:rPr>
          <w:rFonts w:asciiTheme="minorHAnsi" w:hAnsiTheme="minorHAnsi" w:cstheme="minorHAnsi"/>
          <w:highlight w:val="yellow"/>
          <w:shd w:val="clear" w:color="auto" w:fill="FFFF00"/>
        </w:rPr>
        <w:instrText xml:space="preserve"> REF _Ref98411427 \n \h </w:instrText>
      </w:r>
      <w:r w:rsidR="00AD7DD0" w:rsidRPr="0019439D">
        <w:rPr>
          <w:rFonts w:asciiTheme="minorHAnsi" w:hAnsiTheme="minorHAnsi" w:cstheme="minorHAnsi"/>
          <w:highlight w:val="yellow"/>
          <w:shd w:val="clear" w:color="auto" w:fill="FFFF00"/>
        </w:rPr>
        <w:instrText xml:space="preserve"> \* MERGEFORMAT </w:instrText>
      </w:r>
      <w:r w:rsidR="008B51E7" w:rsidRPr="0019439D">
        <w:rPr>
          <w:rFonts w:asciiTheme="minorHAnsi" w:hAnsiTheme="minorHAnsi" w:cstheme="minorHAnsi"/>
          <w:highlight w:val="yellow"/>
          <w:shd w:val="clear" w:color="auto" w:fill="FFFF00"/>
        </w:rPr>
      </w:r>
      <w:r w:rsidR="008B51E7" w:rsidRPr="0019439D">
        <w:rPr>
          <w:rFonts w:asciiTheme="minorHAnsi" w:hAnsiTheme="minorHAnsi" w:cstheme="minorHAnsi"/>
          <w:highlight w:val="yellow"/>
          <w:shd w:val="clear" w:color="auto" w:fill="FFFF00"/>
        </w:rPr>
        <w:fldChar w:fldCharType="separate"/>
      </w:r>
      <w:r w:rsidR="009749A0">
        <w:rPr>
          <w:rFonts w:asciiTheme="minorHAnsi" w:hAnsiTheme="minorHAnsi" w:cstheme="minorHAnsi"/>
          <w:highlight w:val="yellow"/>
          <w:shd w:val="clear" w:color="auto" w:fill="FFFF00"/>
        </w:rPr>
        <w:t>13.1</w:t>
      </w:r>
      <w:r w:rsidR="008B51E7" w:rsidRPr="0019439D">
        <w:rPr>
          <w:rFonts w:asciiTheme="minorHAnsi" w:hAnsiTheme="minorHAnsi" w:cstheme="minorHAnsi"/>
          <w:highlight w:val="yellow"/>
          <w:shd w:val="clear" w:color="auto" w:fill="FFFF00"/>
        </w:rPr>
        <w:fldChar w:fldCharType="end"/>
      </w:r>
      <w:r w:rsidRPr="0019439D">
        <w:rPr>
          <w:rFonts w:asciiTheme="minorHAnsi" w:hAnsiTheme="minorHAnsi" w:cstheme="minorHAnsi"/>
          <w:highlight w:val="yellow"/>
          <w:shd w:val="clear" w:color="auto" w:fill="FFFF00"/>
        </w:rPr>
        <w:t xml:space="preserve"> of</w:t>
      </w:r>
      <w:r w:rsidRPr="0019439D">
        <w:rPr>
          <w:rFonts w:asciiTheme="minorHAnsi" w:hAnsiTheme="minorHAnsi" w:cstheme="minorHAnsi"/>
          <w:highlight w:val="yellow"/>
        </w:rPr>
        <w:t xml:space="preserve"> </w:t>
      </w:r>
      <w:r w:rsidR="0019439D" w:rsidRPr="0019439D">
        <w:rPr>
          <w:rFonts w:asciiTheme="minorHAnsi" w:hAnsiTheme="minorHAnsi" w:cstheme="minorHAnsi"/>
          <w:highlight w:val="yellow"/>
        </w:rPr>
        <w:t>Schedule </w:t>
      </w:r>
      <w:r w:rsidR="0019439D" w:rsidRPr="0019439D">
        <w:rPr>
          <w:rFonts w:asciiTheme="minorHAnsi" w:hAnsiTheme="minorHAnsi" w:cstheme="minorHAnsi"/>
          <w:highlight w:val="yellow"/>
        </w:rPr>
        <w:fldChar w:fldCharType="begin"/>
      </w:r>
      <w:r w:rsidR="0019439D" w:rsidRPr="0019439D">
        <w:rPr>
          <w:rFonts w:asciiTheme="minorHAnsi" w:hAnsiTheme="minorHAnsi" w:cstheme="minorHAnsi"/>
          <w:highlight w:val="yellow"/>
        </w:rPr>
        <w:instrText xml:space="preserve"> REF Schedule_14 \h </w:instrText>
      </w:r>
      <w:r w:rsidR="0019439D">
        <w:rPr>
          <w:rFonts w:asciiTheme="minorHAnsi" w:hAnsiTheme="minorHAnsi" w:cstheme="minorHAnsi"/>
          <w:highlight w:val="yellow"/>
        </w:rPr>
        <w:instrText xml:space="preserve"> \* MERGEFORMAT </w:instrText>
      </w:r>
      <w:r w:rsidR="0019439D" w:rsidRPr="0019439D">
        <w:rPr>
          <w:rFonts w:asciiTheme="minorHAnsi" w:hAnsiTheme="minorHAnsi" w:cstheme="minorHAnsi"/>
          <w:highlight w:val="yellow"/>
        </w:rPr>
      </w:r>
      <w:r w:rsidR="0019439D" w:rsidRPr="0019439D">
        <w:rPr>
          <w:rFonts w:asciiTheme="minorHAnsi" w:hAnsiTheme="minorHAnsi" w:cstheme="minorHAnsi"/>
          <w:highlight w:val="yellow"/>
        </w:rPr>
        <w:fldChar w:fldCharType="separate"/>
      </w:r>
      <w:r w:rsidR="009749A0" w:rsidRPr="00B664D1">
        <w:rPr>
          <w:highlight w:val="yellow"/>
        </w:rPr>
        <w:t>14</w:t>
      </w:r>
      <w:r w:rsidR="0019439D" w:rsidRPr="0019439D">
        <w:rPr>
          <w:rFonts w:asciiTheme="minorHAnsi" w:hAnsiTheme="minorHAnsi" w:cstheme="minorHAnsi"/>
          <w:highlight w:val="yellow"/>
        </w:rPr>
        <w:fldChar w:fldCharType="end"/>
      </w:r>
      <w:r w:rsidRPr="0019439D">
        <w:rPr>
          <w:rFonts w:asciiTheme="minorHAnsi" w:hAnsiTheme="minorHAnsi" w:cstheme="minorHAnsi"/>
          <w:highlight w:val="yellow"/>
          <w:shd w:val="clear" w:color="auto" w:fill="FFFF00"/>
        </w:rPr>
        <w:t xml:space="preserve"> (</w:t>
      </w:r>
      <w:r w:rsidRPr="0019439D">
        <w:rPr>
          <w:rFonts w:asciiTheme="minorHAnsi" w:hAnsiTheme="minorHAnsi" w:cstheme="minorHAnsi"/>
          <w:i/>
          <w:highlight w:val="yellow"/>
          <w:shd w:val="clear" w:color="auto" w:fill="FFFF00"/>
        </w:rPr>
        <w:t>Testing Procedures</w:t>
      </w:r>
      <w:r w:rsidRPr="0019439D">
        <w:rPr>
          <w:rFonts w:asciiTheme="minorHAnsi" w:hAnsiTheme="minorHAnsi" w:cstheme="minorHAnsi"/>
          <w:highlight w:val="yellow"/>
          <w:shd w:val="clear" w:color="auto" w:fill="FFFF00"/>
        </w:rPr>
        <w:t xml:space="preserve">) of the </w:t>
      </w:r>
      <w:r w:rsidR="001249BC" w:rsidRPr="0019439D">
        <w:rPr>
          <w:rFonts w:asciiTheme="minorHAnsi" w:hAnsiTheme="minorHAnsi" w:cstheme="minorHAnsi"/>
          <w:highlight w:val="yellow"/>
          <w:shd w:val="clear" w:color="auto" w:fill="FFFF00"/>
        </w:rPr>
        <w:t xml:space="preserve">Contract </w:t>
      </w:r>
      <w:r w:rsidRPr="0019439D">
        <w:rPr>
          <w:rFonts w:asciiTheme="minorHAnsi" w:hAnsiTheme="minorHAnsi" w:cstheme="minorHAnsi"/>
          <w:highlight w:val="yellow"/>
          <w:shd w:val="clear" w:color="auto" w:fill="FFFF00"/>
        </w:rPr>
        <w:t>on the condition that any Test</w:t>
      </w:r>
      <w:r w:rsidRPr="0019439D">
        <w:rPr>
          <w:rFonts w:asciiTheme="minorHAnsi" w:hAnsiTheme="minorHAnsi" w:cstheme="minorHAnsi"/>
          <w:highlight w:val="yellow"/>
        </w:rPr>
        <w:t xml:space="preserve"> </w:t>
      </w:r>
      <w:r w:rsidRPr="0019439D">
        <w:rPr>
          <w:rFonts w:asciiTheme="minorHAnsi" w:hAnsiTheme="minorHAnsi" w:cstheme="minorHAnsi"/>
          <w:highlight w:val="yellow"/>
          <w:shd w:val="clear" w:color="auto" w:fill="FFFF00"/>
        </w:rPr>
        <w:t>Issues are remedied in accordance with the Rectification Plan attached to this</w:t>
      </w:r>
      <w:r w:rsidRPr="0019439D">
        <w:rPr>
          <w:rFonts w:asciiTheme="minorHAnsi" w:hAnsiTheme="minorHAnsi" w:cstheme="minorHAnsi"/>
          <w:highlight w:val="yellow"/>
        </w:rPr>
        <w:t xml:space="preserve"> </w:t>
      </w:r>
      <w:r w:rsidRPr="0019439D">
        <w:rPr>
          <w:rFonts w:asciiTheme="minorHAnsi" w:hAnsiTheme="minorHAnsi" w:cstheme="minorHAnsi"/>
          <w:highlight w:val="yellow"/>
          <w:shd w:val="clear" w:color="auto" w:fill="FFFF00"/>
        </w:rPr>
        <w:t>certificate.]*</w:t>
      </w:r>
    </w:p>
    <w:p w14:paraId="09992825" w14:textId="3CBE2196" w:rsidR="00BC7DDA" w:rsidRPr="00BD6C5F" w:rsidRDefault="009B03E9" w:rsidP="008652D1">
      <w:pPr>
        <w:tabs>
          <w:tab w:val="left" w:pos="1540"/>
        </w:tabs>
        <w:spacing w:before="100" w:after="200"/>
        <w:rPr>
          <w:rFonts w:asciiTheme="minorHAnsi" w:hAnsiTheme="minorHAnsi" w:cstheme="minorHAnsi"/>
        </w:rPr>
      </w:pPr>
      <w:r w:rsidRPr="00BD6C5F">
        <w:rPr>
          <w:rFonts w:asciiTheme="minorHAnsi" w:hAnsiTheme="minorHAnsi" w:cstheme="minorHAnsi"/>
          <w:shd w:val="clear" w:color="auto" w:fill="FFFF00"/>
        </w:rPr>
        <w:t xml:space="preserve">[You may now issue an invoice in respect of the Milestone </w:t>
      </w:r>
      <w:r w:rsidRPr="00346653">
        <w:rPr>
          <w:rFonts w:asciiTheme="minorHAnsi" w:hAnsiTheme="minorHAnsi" w:cstheme="minorHAnsi"/>
          <w:highlight w:val="yellow"/>
          <w:shd w:val="clear" w:color="auto" w:fill="FFFF00"/>
        </w:rPr>
        <w:t>Payment associated with</w:t>
      </w:r>
      <w:r w:rsidRPr="00346653">
        <w:rPr>
          <w:rFonts w:asciiTheme="minorHAnsi" w:hAnsiTheme="minorHAnsi" w:cstheme="minorHAnsi"/>
          <w:highlight w:val="yellow"/>
        </w:rPr>
        <w:t xml:space="preserve"> </w:t>
      </w:r>
      <w:r w:rsidRPr="00346653">
        <w:rPr>
          <w:rFonts w:asciiTheme="minorHAnsi" w:hAnsiTheme="minorHAnsi" w:cstheme="minorHAnsi"/>
          <w:highlight w:val="yellow"/>
          <w:shd w:val="clear" w:color="auto" w:fill="FFFF00"/>
        </w:rPr>
        <w:t xml:space="preserve">this Milestone in accordance with the provisions of </w:t>
      </w:r>
      <w:r w:rsidR="00346653" w:rsidRPr="00346653">
        <w:rPr>
          <w:rFonts w:asciiTheme="minorHAnsi" w:hAnsiTheme="minorHAnsi" w:cstheme="minorHAnsi"/>
          <w:highlight w:val="yellow"/>
        </w:rPr>
        <w:t>Schedule </w:t>
      </w:r>
      <w:r w:rsidR="00346653" w:rsidRPr="00346653">
        <w:rPr>
          <w:rFonts w:asciiTheme="minorHAnsi" w:hAnsiTheme="minorHAnsi" w:cstheme="minorHAnsi"/>
          <w:highlight w:val="yellow"/>
        </w:rPr>
        <w:fldChar w:fldCharType="begin"/>
      </w:r>
      <w:r w:rsidR="00346653" w:rsidRPr="00346653">
        <w:rPr>
          <w:rFonts w:asciiTheme="minorHAnsi" w:hAnsiTheme="minorHAnsi" w:cstheme="minorHAnsi"/>
          <w:highlight w:val="yellow"/>
        </w:rPr>
        <w:instrText xml:space="preserve"> REF Schedule_15 \h </w:instrText>
      </w:r>
      <w:r w:rsidR="00346653">
        <w:rPr>
          <w:rFonts w:asciiTheme="minorHAnsi" w:hAnsiTheme="minorHAnsi" w:cstheme="minorHAnsi"/>
          <w:highlight w:val="yellow"/>
        </w:rPr>
        <w:instrText xml:space="preserve"> \* MERGEFORMAT </w:instrText>
      </w:r>
      <w:r w:rsidR="00346653" w:rsidRPr="00346653">
        <w:rPr>
          <w:rFonts w:asciiTheme="minorHAnsi" w:hAnsiTheme="minorHAnsi" w:cstheme="minorHAnsi"/>
          <w:highlight w:val="yellow"/>
        </w:rPr>
      </w:r>
      <w:r w:rsidR="00346653" w:rsidRPr="00346653">
        <w:rPr>
          <w:rFonts w:asciiTheme="minorHAnsi" w:hAnsiTheme="minorHAnsi" w:cstheme="minorHAnsi"/>
          <w:highlight w:val="yellow"/>
        </w:rPr>
        <w:fldChar w:fldCharType="separate"/>
      </w:r>
      <w:r w:rsidR="009749A0" w:rsidRPr="00B664D1">
        <w:rPr>
          <w:highlight w:val="yellow"/>
        </w:rPr>
        <w:t>15</w:t>
      </w:r>
      <w:r w:rsidR="00346653" w:rsidRPr="00346653">
        <w:rPr>
          <w:rFonts w:asciiTheme="minorHAnsi" w:hAnsiTheme="minorHAnsi" w:cstheme="minorHAnsi"/>
          <w:highlight w:val="yellow"/>
        </w:rPr>
        <w:fldChar w:fldCharType="end"/>
      </w:r>
      <w:r w:rsidRPr="00346653">
        <w:rPr>
          <w:rFonts w:asciiTheme="minorHAnsi" w:hAnsiTheme="minorHAnsi" w:cstheme="minorHAnsi"/>
          <w:highlight w:val="yellow"/>
          <w:shd w:val="clear" w:color="auto" w:fill="FFFF00"/>
        </w:rPr>
        <w:t xml:space="preserve"> (</w:t>
      </w:r>
      <w:r w:rsidRPr="00346653">
        <w:rPr>
          <w:rFonts w:asciiTheme="minorHAnsi" w:hAnsiTheme="minorHAnsi" w:cstheme="minorHAnsi"/>
          <w:i/>
          <w:highlight w:val="yellow"/>
          <w:shd w:val="clear" w:color="auto" w:fill="FFFF00"/>
        </w:rPr>
        <w:t>Charges and</w:t>
      </w:r>
      <w:r w:rsidRPr="00346653">
        <w:rPr>
          <w:rFonts w:asciiTheme="minorHAnsi" w:hAnsiTheme="minorHAnsi" w:cstheme="minorHAnsi"/>
          <w:i/>
          <w:highlight w:val="yellow"/>
        </w:rPr>
        <w:t xml:space="preserve"> </w:t>
      </w:r>
      <w:r w:rsidRPr="00346653">
        <w:rPr>
          <w:rFonts w:asciiTheme="minorHAnsi" w:hAnsiTheme="minorHAnsi" w:cstheme="minorHAnsi"/>
          <w:i/>
          <w:highlight w:val="yellow"/>
          <w:shd w:val="clear" w:color="auto" w:fill="FFFF00"/>
        </w:rPr>
        <w:t>Invoicing</w:t>
      </w:r>
      <w:r w:rsidRPr="00346653">
        <w:rPr>
          <w:rFonts w:asciiTheme="minorHAnsi" w:hAnsiTheme="minorHAnsi" w:cstheme="minorHAnsi"/>
          <w:highlight w:val="yellow"/>
          <w:shd w:val="clear" w:color="auto" w:fill="FFFF00"/>
        </w:rPr>
        <w:t>)]*</w:t>
      </w:r>
    </w:p>
    <w:p w14:paraId="0D8137EC" w14:textId="77777777" w:rsidR="008652D1" w:rsidRPr="00BD6C5F" w:rsidRDefault="009B03E9" w:rsidP="008652D1">
      <w:pPr>
        <w:tabs>
          <w:tab w:val="left" w:pos="1540"/>
        </w:tabs>
        <w:spacing w:before="100" w:after="200"/>
        <w:rPr>
          <w:rFonts w:asciiTheme="minorHAnsi" w:hAnsiTheme="minorHAnsi" w:cstheme="minorHAnsi"/>
          <w:i/>
          <w:szCs w:val="24"/>
        </w:rPr>
      </w:pPr>
      <w:r w:rsidRPr="00BD6C5F">
        <w:rPr>
          <w:rFonts w:asciiTheme="minorHAnsi" w:hAnsiTheme="minorHAnsi" w:cstheme="minorHAnsi"/>
          <w:i/>
          <w:szCs w:val="24"/>
        </w:rPr>
        <w:t>*delete as appropriate</w:t>
      </w:r>
    </w:p>
    <w:p w14:paraId="4F73FCA5" w14:textId="77777777" w:rsidR="008652D1" w:rsidRPr="00BD6C5F" w:rsidRDefault="009B03E9" w:rsidP="008652D1">
      <w:pPr>
        <w:tabs>
          <w:tab w:val="left" w:pos="1540"/>
        </w:tabs>
        <w:spacing w:before="100" w:after="200"/>
        <w:rPr>
          <w:rFonts w:asciiTheme="minorHAnsi" w:hAnsiTheme="minorHAnsi" w:cstheme="minorHAnsi"/>
          <w:szCs w:val="24"/>
        </w:rPr>
      </w:pPr>
      <w:r w:rsidRPr="00BD6C5F">
        <w:rPr>
          <w:rFonts w:asciiTheme="minorHAnsi" w:hAnsiTheme="minorHAnsi" w:cstheme="minorHAnsi"/>
          <w:szCs w:val="24"/>
        </w:rPr>
        <w:t>Yours faithfully</w:t>
      </w:r>
    </w:p>
    <w:p w14:paraId="53A5C51E" w14:textId="25F552BE" w:rsidR="00BC7DDA" w:rsidRPr="00566661" w:rsidRDefault="009B03E9" w:rsidP="008652D1">
      <w:pPr>
        <w:tabs>
          <w:tab w:val="left" w:pos="1540"/>
        </w:tabs>
        <w:spacing w:before="100" w:after="200"/>
        <w:rPr>
          <w:rFonts w:asciiTheme="minorHAnsi" w:hAnsiTheme="minorHAnsi" w:cstheme="minorHAnsi"/>
          <w:szCs w:val="24"/>
        </w:rPr>
      </w:pPr>
      <w:r w:rsidRPr="00566661">
        <w:rPr>
          <w:rFonts w:asciiTheme="minorHAnsi" w:hAnsiTheme="minorHAnsi" w:cstheme="minorHAnsi"/>
          <w:szCs w:val="24"/>
          <w:shd w:val="clear" w:color="auto" w:fill="FFFF00"/>
        </w:rPr>
        <w:t>[Name]</w:t>
      </w:r>
    </w:p>
    <w:p w14:paraId="1987FA26" w14:textId="77777777" w:rsidR="00BC7DDA" w:rsidRPr="00566661" w:rsidRDefault="009B03E9" w:rsidP="008652D1">
      <w:pPr>
        <w:tabs>
          <w:tab w:val="left" w:pos="1540"/>
        </w:tabs>
        <w:spacing w:before="100" w:after="200"/>
      </w:pPr>
      <w:r w:rsidRPr="00566661">
        <w:rPr>
          <w:highlight w:val="yellow"/>
        </w:rPr>
        <w:t>[Position]</w:t>
      </w:r>
    </w:p>
    <w:p w14:paraId="10944D03" w14:textId="77777777" w:rsidR="00BC7DDA" w:rsidRPr="00566661" w:rsidRDefault="009B03E9" w:rsidP="008652D1">
      <w:pPr>
        <w:tabs>
          <w:tab w:val="left" w:pos="1540"/>
        </w:tabs>
        <w:spacing w:before="100" w:after="200"/>
        <w:rPr>
          <w:rFonts w:asciiTheme="minorHAnsi" w:hAnsiTheme="minorHAnsi" w:cstheme="minorHAnsi"/>
          <w:szCs w:val="24"/>
        </w:rPr>
      </w:pPr>
      <w:r w:rsidRPr="00566661">
        <w:rPr>
          <w:rFonts w:asciiTheme="minorHAnsi" w:hAnsiTheme="minorHAnsi" w:cstheme="minorHAnsi"/>
          <w:szCs w:val="24"/>
        </w:rPr>
        <w:t xml:space="preserve">acting on behalf of </w:t>
      </w:r>
      <w:r w:rsidRPr="00566661">
        <w:rPr>
          <w:rFonts w:asciiTheme="minorHAnsi" w:hAnsiTheme="minorHAnsi" w:cstheme="minorHAnsi"/>
          <w:szCs w:val="24"/>
          <w:shd w:val="clear" w:color="auto" w:fill="FFFF00"/>
        </w:rPr>
        <w:t>[Authority]</w:t>
      </w:r>
    </w:p>
    <w:p w14:paraId="4801303C" w14:textId="77777777" w:rsidR="008652D1" w:rsidRPr="00BD6C5F" w:rsidRDefault="008652D1" w:rsidP="008652D1">
      <w:pPr>
        <w:tabs>
          <w:tab w:val="left" w:pos="1540"/>
        </w:tabs>
        <w:spacing w:before="100" w:after="200"/>
        <w:rPr>
          <w:rFonts w:asciiTheme="minorHAnsi" w:hAnsiTheme="minorHAnsi" w:cstheme="minorHAnsi"/>
          <w:szCs w:val="24"/>
        </w:rPr>
      </w:pPr>
    </w:p>
    <w:p w14:paraId="133F487A" w14:textId="3E366659" w:rsidR="003D4F45" w:rsidRPr="00BD6C5F" w:rsidRDefault="003D4F45" w:rsidP="008652D1">
      <w:pPr>
        <w:tabs>
          <w:tab w:val="left" w:pos="1540"/>
        </w:tabs>
        <w:spacing w:before="100" w:after="200"/>
        <w:rPr>
          <w:rFonts w:asciiTheme="minorHAnsi" w:hAnsiTheme="minorHAnsi" w:cstheme="minorHAnsi"/>
          <w:szCs w:val="24"/>
        </w:rPr>
      </w:pPr>
      <w:r w:rsidRPr="00BD6C5F">
        <w:rPr>
          <w:rFonts w:asciiTheme="minorHAnsi" w:hAnsiTheme="minorHAnsi" w:cstheme="minorHAnsi"/>
          <w:szCs w:val="24"/>
        </w:rPr>
        <w:br w:type="page"/>
      </w:r>
    </w:p>
    <w:p w14:paraId="598010B2" w14:textId="0C74D70C" w:rsidR="00BC7DDA" w:rsidRPr="00BD6C5F" w:rsidRDefault="00185D6A" w:rsidP="008652D1">
      <w:pPr>
        <w:pStyle w:val="Heading2"/>
      </w:pPr>
      <w:bookmarkStart w:id="525" w:name="_bookmark176"/>
      <w:bookmarkStart w:id="526" w:name="_bookmark175"/>
      <w:bookmarkStart w:id="527" w:name="_Toc98332734"/>
      <w:bookmarkStart w:id="528" w:name="_Ref98341744"/>
      <w:bookmarkStart w:id="529" w:name="_Toc98852911"/>
      <w:bookmarkStart w:id="530" w:name="_Toc141721003"/>
      <w:bookmarkEnd w:id="525"/>
      <w:bookmarkEnd w:id="526"/>
      <w:r w:rsidRPr="00BD6C5F">
        <w:lastRenderedPageBreak/>
        <w:t xml:space="preserve">Annex </w:t>
      </w:r>
      <w:bookmarkStart w:id="531" w:name="Schedule_14_Annex_4"/>
      <w:r w:rsidRPr="00BD6C5F">
        <w:t>4</w:t>
      </w:r>
      <w:bookmarkEnd w:id="531"/>
      <w:r w:rsidRPr="00BD6C5F">
        <w:t>: Test Success Criteria</w:t>
      </w:r>
      <w:bookmarkEnd w:id="527"/>
      <w:bookmarkEnd w:id="528"/>
      <w:bookmarkEnd w:id="529"/>
      <w:bookmarkEnd w:id="530"/>
    </w:p>
    <w:p w14:paraId="3D209B12" w14:textId="77777777" w:rsidR="00BC7DDA" w:rsidRPr="00381D62" w:rsidRDefault="009B03E9" w:rsidP="00B71FC0">
      <w:pPr>
        <w:pStyle w:val="AppendixText1"/>
        <w:numPr>
          <w:ilvl w:val="0"/>
          <w:numId w:val="147"/>
        </w:numPr>
        <w:rPr>
          <w:bCs/>
        </w:rPr>
      </w:pPr>
      <w:r w:rsidRPr="00BD6C5F">
        <w:t>Tests to be Achieved in order to Achieve the ATP Milestone</w:t>
      </w:r>
    </w:p>
    <w:tbl>
      <w:tblPr>
        <w:tblStyle w:val="MSATable-header"/>
        <w:tblW w:w="0" w:type="auto"/>
        <w:tblLayout w:type="fixed"/>
        <w:tblLook w:val="0620" w:firstRow="1" w:lastRow="0" w:firstColumn="0" w:lastColumn="0" w:noHBand="1" w:noVBand="1"/>
      </w:tblPr>
      <w:tblGrid>
        <w:gridCol w:w="3402"/>
        <w:gridCol w:w="2211"/>
        <w:gridCol w:w="4535"/>
      </w:tblGrid>
      <w:tr w:rsidR="00BC7DDA" w:rsidRPr="00BD6C5F" w14:paraId="7B3EFE00" w14:textId="77777777" w:rsidTr="008652D1">
        <w:trPr>
          <w:cnfStyle w:val="100000000000" w:firstRow="1" w:lastRow="0" w:firstColumn="0" w:lastColumn="0" w:oddVBand="0" w:evenVBand="0" w:oddHBand="0" w:evenHBand="0" w:firstRowFirstColumn="0" w:firstRowLastColumn="0" w:lastRowFirstColumn="0" w:lastRowLastColumn="0"/>
          <w:cantSplit/>
          <w:tblHeader/>
        </w:trPr>
        <w:tc>
          <w:tcPr>
            <w:tcW w:w="3402" w:type="dxa"/>
          </w:tcPr>
          <w:p w14:paraId="732D79F2"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Test</w:t>
            </w:r>
          </w:p>
        </w:tc>
        <w:tc>
          <w:tcPr>
            <w:tcW w:w="2211" w:type="dxa"/>
          </w:tcPr>
          <w:p w14:paraId="32AC1E98"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Pre-conditions*</w:t>
            </w:r>
          </w:p>
        </w:tc>
        <w:tc>
          <w:tcPr>
            <w:tcW w:w="4535" w:type="dxa"/>
          </w:tcPr>
          <w:p w14:paraId="101E736E"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Test Success Criteria</w:t>
            </w:r>
          </w:p>
        </w:tc>
      </w:tr>
      <w:tr w:rsidR="00BC7DDA" w:rsidRPr="00BD6C5F" w14:paraId="259DF24C" w14:textId="77777777" w:rsidTr="008652D1">
        <w:trPr>
          <w:cantSplit/>
        </w:trPr>
        <w:tc>
          <w:tcPr>
            <w:tcW w:w="3402" w:type="dxa"/>
          </w:tcPr>
          <w:p w14:paraId="3AA34B4C" w14:textId="36AE222E" w:rsidR="00BC7DDA" w:rsidRPr="00BD6C5F" w:rsidRDefault="007F7721" w:rsidP="008652D1">
            <w:pPr>
              <w:pStyle w:val="Tabletext"/>
              <w:rPr>
                <w:rFonts w:asciiTheme="minorHAnsi" w:hAnsiTheme="minorHAnsi" w:cstheme="minorHAnsi"/>
              </w:rPr>
            </w:pPr>
            <w:r w:rsidRPr="00BD6C5F">
              <w:rPr>
                <w:rFonts w:asciiTheme="minorHAnsi" w:hAnsiTheme="minorHAnsi" w:cstheme="minorHAnsi"/>
                <w:highlight w:val="yellow"/>
              </w:rPr>
              <w:t>[List all Tests relating to ATP Milestone]</w:t>
            </w:r>
          </w:p>
        </w:tc>
        <w:tc>
          <w:tcPr>
            <w:tcW w:w="2211" w:type="dxa"/>
          </w:tcPr>
          <w:p w14:paraId="258C81D8" w14:textId="77777777" w:rsidR="00BC7DDA" w:rsidRPr="00BD6C5F" w:rsidRDefault="00BC7DDA" w:rsidP="008652D1">
            <w:pPr>
              <w:pStyle w:val="Tabletext"/>
            </w:pPr>
          </w:p>
        </w:tc>
        <w:tc>
          <w:tcPr>
            <w:tcW w:w="4535" w:type="dxa"/>
          </w:tcPr>
          <w:p w14:paraId="1A5E1024" w14:textId="77777777" w:rsidR="00BC7DDA" w:rsidRPr="00BD6C5F" w:rsidRDefault="00BC7DDA" w:rsidP="008652D1">
            <w:pPr>
              <w:pStyle w:val="Tabletext"/>
            </w:pPr>
          </w:p>
        </w:tc>
      </w:tr>
      <w:tr w:rsidR="00BC7DDA" w:rsidRPr="00BD6C5F" w14:paraId="653DAA98" w14:textId="77777777" w:rsidTr="008652D1">
        <w:trPr>
          <w:cantSplit/>
        </w:trPr>
        <w:tc>
          <w:tcPr>
            <w:tcW w:w="3402" w:type="dxa"/>
          </w:tcPr>
          <w:p w14:paraId="37651072" w14:textId="77777777" w:rsidR="00BC7DDA" w:rsidRPr="00BD6C5F" w:rsidRDefault="00BC7DDA" w:rsidP="008652D1">
            <w:pPr>
              <w:pStyle w:val="Tabletext"/>
              <w:rPr>
                <w:rFonts w:asciiTheme="minorHAnsi" w:hAnsiTheme="minorHAnsi" w:cstheme="minorHAnsi"/>
              </w:rPr>
            </w:pPr>
          </w:p>
        </w:tc>
        <w:tc>
          <w:tcPr>
            <w:tcW w:w="2211" w:type="dxa"/>
          </w:tcPr>
          <w:p w14:paraId="3B34C027" w14:textId="77777777" w:rsidR="00BC7DDA" w:rsidRPr="00BD6C5F" w:rsidRDefault="00BC7DDA" w:rsidP="008652D1">
            <w:pPr>
              <w:pStyle w:val="Tabletext"/>
            </w:pPr>
          </w:p>
        </w:tc>
        <w:tc>
          <w:tcPr>
            <w:tcW w:w="4535" w:type="dxa"/>
          </w:tcPr>
          <w:p w14:paraId="71BC70BB" w14:textId="77777777" w:rsidR="00BC7DDA" w:rsidRPr="00BD6C5F" w:rsidRDefault="00BC7DDA" w:rsidP="008652D1">
            <w:pPr>
              <w:pStyle w:val="Tabletext"/>
            </w:pPr>
          </w:p>
        </w:tc>
      </w:tr>
    </w:tbl>
    <w:p w14:paraId="3BE44CF3" w14:textId="7228E284" w:rsidR="00BC7DDA" w:rsidRPr="00BD6C5F" w:rsidRDefault="009B03E9" w:rsidP="008652D1">
      <w:pPr>
        <w:pStyle w:val="BodyText"/>
        <w:tabs>
          <w:tab w:val="left" w:pos="1540"/>
        </w:tabs>
        <w:spacing w:before="100" w:after="200"/>
        <w:ind w:left="1440" w:hanging="1440"/>
        <w:rPr>
          <w:rFonts w:asciiTheme="minorHAnsi" w:hAnsiTheme="minorHAnsi" w:cstheme="minorHAnsi"/>
        </w:rPr>
      </w:pPr>
      <w:r w:rsidRPr="00BD6C5F">
        <w:rPr>
          <w:rFonts w:asciiTheme="minorHAnsi" w:hAnsiTheme="minorHAnsi" w:cstheme="minorHAnsi"/>
        </w:rPr>
        <w:t>* Note:</w:t>
      </w:r>
      <w:r w:rsidRPr="00BD6C5F">
        <w:rPr>
          <w:rFonts w:asciiTheme="minorHAnsi" w:hAnsiTheme="minorHAnsi" w:cstheme="minorHAnsi"/>
        </w:rPr>
        <w:tab/>
        <w:t xml:space="preserve">The Pre-Conditions are that e.g. the Success Criteria for the previous Tests must be satisfied before the ATP Milestone </w:t>
      </w:r>
      <w:r w:rsidR="00925189" w:rsidRPr="00BD6C5F">
        <w:rPr>
          <w:rFonts w:asciiTheme="minorHAnsi" w:hAnsiTheme="minorHAnsi" w:cstheme="minorHAnsi"/>
        </w:rPr>
        <w:t>T</w:t>
      </w:r>
      <w:r w:rsidRPr="00BD6C5F">
        <w:rPr>
          <w:rFonts w:asciiTheme="minorHAnsi" w:hAnsiTheme="minorHAnsi" w:cstheme="minorHAnsi"/>
        </w:rPr>
        <w:t>ests are commenced</w:t>
      </w:r>
    </w:p>
    <w:p w14:paraId="4068D7A6" w14:textId="77777777" w:rsidR="00BC7DDA" w:rsidRPr="00BD6C5F" w:rsidRDefault="00BC7DDA" w:rsidP="008652D1"/>
    <w:p w14:paraId="74EFECC8" w14:textId="77777777" w:rsidR="00BC7DDA" w:rsidRPr="00BD6C5F" w:rsidRDefault="009B03E9" w:rsidP="007F4C8A">
      <w:pPr>
        <w:pStyle w:val="AppendixText1"/>
        <w:rPr>
          <w:bCs/>
        </w:rPr>
      </w:pPr>
      <w:bookmarkStart w:id="532" w:name="_Ref98318759"/>
      <w:r w:rsidRPr="00BD6C5F">
        <w:t>Tests to be Achieved in order to Achieve a CPP Milestone</w:t>
      </w:r>
      <w:bookmarkEnd w:id="532"/>
    </w:p>
    <w:tbl>
      <w:tblPr>
        <w:tblStyle w:val="MSATable-header"/>
        <w:tblW w:w="10206" w:type="dxa"/>
        <w:tblLayout w:type="fixed"/>
        <w:tblLook w:val="0620" w:firstRow="1" w:lastRow="0" w:firstColumn="0" w:lastColumn="0" w:noHBand="1" w:noVBand="1"/>
      </w:tblPr>
      <w:tblGrid>
        <w:gridCol w:w="3402"/>
        <w:gridCol w:w="3969"/>
        <w:gridCol w:w="2835"/>
      </w:tblGrid>
      <w:tr w:rsidR="00BC7DDA" w:rsidRPr="00BD6C5F" w14:paraId="3E14CDC3" w14:textId="77777777" w:rsidTr="008652D1">
        <w:trPr>
          <w:cnfStyle w:val="100000000000" w:firstRow="1" w:lastRow="0" w:firstColumn="0" w:lastColumn="0" w:oddVBand="0" w:evenVBand="0" w:oddHBand="0" w:evenHBand="0" w:firstRowFirstColumn="0" w:firstRowLastColumn="0" w:lastRowFirstColumn="0" w:lastRowLastColumn="0"/>
          <w:trHeight w:val="20"/>
        </w:trPr>
        <w:tc>
          <w:tcPr>
            <w:tcW w:w="3402" w:type="dxa"/>
          </w:tcPr>
          <w:p w14:paraId="5DE04891"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CPP Milestone Charge No.</w:t>
            </w:r>
          </w:p>
        </w:tc>
        <w:tc>
          <w:tcPr>
            <w:tcW w:w="3969" w:type="dxa"/>
          </w:tcPr>
          <w:p w14:paraId="004CD03A"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Test</w:t>
            </w:r>
          </w:p>
        </w:tc>
        <w:tc>
          <w:tcPr>
            <w:tcW w:w="2835" w:type="dxa"/>
          </w:tcPr>
          <w:p w14:paraId="1DDCE39D" w14:textId="77777777" w:rsidR="00BC7DDA" w:rsidRPr="00BD6C5F" w:rsidRDefault="009B03E9" w:rsidP="008652D1">
            <w:pPr>
              <w:pStyle w:val="Tabletext"/>
              <w:rPr>
                <w:rFonts w:asciiTheme="minorHAnsi" w:hAnsiTheme="minorHAnsi" w:cstheme="minorHAnsi"/>
                <w:bCs/>
              </w:rPr>
            </w:pPr>
            <w:r w:rsidRPr="00BD6C5F">
              <w:rPr>
                <w:rFonts w:asciiTheme="minorHAnsi" w:hAnsiTheme="minorHAnsi" w:cstheme="minorHAnsi"/>
                <w:bCs/>
              </w:rPr>
              <w:t>Test Success Criteria</w:t>
            </w:r>
          </w:p>
        </w:tc>
      </w:tr>
      <w:tr w:rsidR="00BC7DDA" w:rsidRPr="00BD6C5F" w14:paraId="189E40B1" w14:textId="77777777" w:rsidTr="008652D1">
        <w:trPr>
          <w:trHeight w:val="20"/>
        </w:trPr>
        <w:tc>
          <w:tcPr>
            <w:tcW w:w="3402" w:type="dxa"/>
          </w:tcPr>
          <w:p w14:paraId="3F267DE4" w14:textId="77777777" w:rsidR="00BC7DDA" w:rsidRPr="00BD6C5F" w:rsidRDefault="00BC7DDA" w:rsidP="008652D1">
            <w:pPr>
              <w:pStyle w:val="Tabletext"/>
              <w:rPr>
                <w:rFonts w:asciiTheme="minorHAnsi" w:hAnsiTheme="minorHAnsi" w:cstheme="minorHAnsi"/>
              </w:rPr>
            </w:pPr>
          </w:p>
        </w:tc>
        <w:tc>
          <w:tcPr>
            <w:tcW w:w="3969" w:type="dxa"/>
          </w:tcPr>
          <w:p w14:paraId="42B87BAE" w14:textId="77777777" w:rsidR="00BC7DDA" w:rsidRPr="00BD6C5F" w:rsidRDefault="009B03E9" w:rsidP="008652D1">
            <w:pPr>
              <w:pStyle w:val="Tabletext"/>
              <w:rPr>
                <w:rFonts w:asciiTheme="minorHAnsi" w:hAnsiTheme="minorHAnsi" w:cstheme="minorHAnsi"/>
              </w:rPr>
            </w:pPr>
            <w:r w:rsidRPr="00BD6C5F">
              <w:rPr>
                <w:rFonts w:asciiTheme="minorHAnsi" w:hAnsiTheme="minorHAnsi" w:cstheme="minorHAnsi"/>
                <w:shd w:val="clear" w:color="auto" w:fill="FFFF00"/>
              </w:rPr>
              <w:t>[List all Tests relating to CPP</w:t>
            </w:r>
            <w:r w:rsidRPr="00BD6C5F">
              <w:rPr>
                <w:rFonts w:asciiTheme="minorHAnsi" w:hAnsiTheme="minorHAnsi" w:cstheme="minorHAnsi"/>
              </w:rPr>
              <w:t xml:space="preserve"> </w:t>
            </w:r>
            <w:r w:rsidRPr="00BD6C5F">
              <w:rPr>
                <w:rFonts w:asciiTheme="minorHAnsi" w:hAnsiTheme="minorHAnsi" w:cstheme="minorHAnsi"/>
                <w:shd w:val="clear" w:color="auto" w:fill="FFFF00"/>
              </w:rPr>
              <w:t>Milestone Charge No.]</w:t>
            </w:r>
          </w:p>
        </w:tc>
        <w:tc>
          <w:tcPr>
            <w:tcW w:w="2835" w:type="dxa"/>
          </w:tcPr>
          <w:p w14:paraId="3A6D929C" w14:textId="77777777" w:rsidR="00BC7DDA" w:rsidRPr="00BD6C5F" w:rsidRDefault="00BC7DDA" w:rsidP="008652D1">
            <w:pPr>
              <w:pStyle w:val="Tabletext"/>
              <w:rPr>
                <w:rFonts w:asciiTheme="minorHAnsi" w:hAnsiTheme="minorHAnsi" w:cstheme="minorHAnsi"/>
              </w:rPr>
            </w:pPr>
          </w:p>
        </w:tc>
      </w:tr>
      <w:tr w:rsidR="00BC7DDA" w:rsidRPr="00BD6C5F" w14:paraId="2EF00AD4" w14:textId="77777777" w:rsidTr="008652D1">
        <w:trPr>
          <w:trHeight w:val="20"/>
        </w:trPr>
        <w:tc>
          <w:tcPr>
            <w:tcW w:w="3402" w:type="dxa"/>
          </w:tcPr>
          <w:p w14:paraId="0A248DDC" w14:textId="77777777" w:rsidR="00BC7DDA" w:rsidRPr="00BD6C5F" w:rsidRDefault="00BC7DDA" w:rsidP="008652D1">
            <w:pPr>
              <w:pStyle w:val="Tabletext"/>
            </w:pPr>
          </w:p>
        </w:tc>
        <w:tc>
          <w:tcPr>
            <w:tcW w:w="3969" w:type="dxa"/>
          </w:tcPr>
          <w:p w14:paraId="3762F64E" w14:textId="77777777" w:rsidR="00BC7DDA" w:rsidRPr="00BD6C5F" w:rsidRDefault="00BC7DDA" w:rsidP="008652D1">
            <w:pPr>
              <w:pStyle w:val="Tabletext"/>
            </w:pPr>
          </w:p>
        </w:tc>
        <w:tc>
          <w:tcPr>
            <w:tcW w:w="2835" w:type="dxa"/>
          </w:tcPr>
          <w:p w14:paraId="6A8FEFD1" w14:textId="77777777" w:rsidR="00BC7DDA" w:rsidRPr="00BD6C5F" w:rsidRDefault="00BC7DDA" w:rsidP="008652D1">
            <w:pPr>
              <w:pStyle w:val="Tabletext"/>
            </w:pPr>
          </w:p>
        </w:tc>
      </w:tr>
    </w:tbl>
    <w:p w14:paraId="7EA00E73" w14:textId="77777777" w:rsidR="003D4F45" w:rsidRPr="00BD6C5F" w:rsidRDefault="003D4F45" w:rsidP="00B76843"/>
    <w:p w14:paraId="194B547E" w14:textId="77777777" w:rsidR="00B76843" w:rsidRPr="00BD6C5F" w:rsidRDefault="00B76843" w:rsidP="00B76843"/>
    <w:p w14:paraId="4E76F426" w14:textId="77777777" w:rsidR="00B76843" w:rsidRPr="00BD6C5F" w:rsidRDefault="00B76843" w:rsidP="00B76843"/>
    <w:p w14:paraId="7DCC26F1" w14:textId="79F53173" w:rsidR="00B76843" w:rsidRPr="00BD6C5F" w:rsidRDefault="00B76843" w:rsidP="00B76843">
      <w:pPr>
        <w:sectPr w:rsidR="00B76843" w:rsidRPr="00BD6C5F" w:rsidSect="00EA65BF">
          <w:headerReference w:type="default" r:id="rId79"/>
          <w:footerReference w:type="default" r:id="rId80"/>
          <w:pgSz w:w="11910" w:h="16840"/>
          <w:pgMar w:top="1701" w:right="851" w:bottom="1134" w:left="851" w:header="567" w:footer="567" w:gutter="0"/>
          <w:cols w:space="720"/>
        </w:sectPr>
      </w:pPr>
    </w:p>
    <w:p w14:paraId="2CFD05B2" w14:textId="08B6DDDB" w:rsidR="004F122B" w:rsidRDefault="004F122B" w:rsidP="004F122B">
      <w:pPr>
        <w:pStyle w:val="Dividername"/>
      </w:pPr>
      <w:bookmarkStart w:id="533" w:name="_bookmark178"/>
      <w:bookmarkEnd w:id="533"/>
      <w:r>
        <w:lastRenderedPageBreak/>
        <w:t xml:space="preserve">Schedule </w:t>
      </w:r>
      <w:bookmarkStart w:id="534" w:name="Schedule_15"/>
      <w:r>
        <w:t>15</w:t>
      </w:r>
      <w:bookmarkEnd w:id="534"/>
    </w:p>
    <w:p w14:paraId="01D03CD5" w14:textId="6B99F02C" w:rsidR="004F122B" w:rsidRDefault="004F122B" w:rsidP="004F122B">
      <w:pPr>
        <w:pStyle w:val="Dividername"/>
      </w:pPr>
      <w:r w:rsidRPr="004F122B">
        <w:t>Charges and Invoicing</w:t>
      </w:r>
    </w:p>
    <w:p w14:paraId="2CBA6F94" w14:textId="77777777" w:rsidR="004F122B" w:rsidRDefault="004F122B" w:rsidP="004F122B"/>
    <w:p w14:paraId="127FE325" w14:textId="0F4D8838" w:rsidR="00BC7DDA" w:rsidRPr="00BD6C5F" w:rsidRDefault="00287379" w:rsidP="004F122B">
      <w:pPr>
        <w:pStyle w:val="Heading1"/>
        <w:pageBreakBefore/>
      </w:pPr>
      <w:bookmarkStart w:id="535" w:name="_Toc141721004"/>
      <w:r w:rsidRPr="00BD6C5F">
        <w:lastRenderedPageBreak/>
        <w:t>Schedule 15</w:t>
      </w:r>
      <w:r w:rsidR="0058158C" w:rsidRPr="00BD6C5F">
        <w:t>:</w:t>
      </w:r>
      <w:r w:rsidRPr="00BD6C5F">
        <w:t xml:space="preserve"> </w:t>
      </w:r>
      <w:bookmarkStart w:id="536" w:name="_Ref98252666"/>
      <w:bookmarkStart w:id="537" w:name="_Toc98332735"/>
      <w:bookmarkStart w:id="538" w:name="_Toc98852912"/>
      <w:r w:rsidRPr="00BD6C5F">
        <w:t>Charges and Invoicing</w:t>
      </w:r>
      <w:bookmarkEnd w:id="536"/>
      <w:bookmarkEnd w:id="537"/>
      <w:bookmarkEnd w:id="538"/>
      <w:bookmarkEnd w:id="535"/>
    </w:p>
    <w:p w14:paraId="7FE69E0D" w14:textId="42174A7D" w:rsidR="000258C6" w:rsidRPr="00BD6C5F" w:rsidRDefault="000258C6" w:rsidP="00287379">
      <w:pPr>
        <w:jc w:val="center"/>
      </w:pPr>
      <w:r w:rsidRPr="00BD6C5F">
        <w:t>This is the schedule referred to in the foregoing agreement betwe</w:t>
      </w:r>
      <w:r w:rsidR="00185D6A" w:rsidRPr="00BD6C5F">
        <w:t>en [</w:t>
      </w:r>
      <w:r w:rsidR="00185D6A" w:rsidRPr="00BD6C5F">
        <w:rPr>
          <w:highlight w:val="yellow"/>
        </w:rPr>
        <w:t>name of party</w:t>
      </w:r>
      <w:r w:rsidR="00185D6A" w:rsidRPr="00BD6C5F">
        <w:t>] and [</w:t>
      </w:r>
      <w:r w:rsidR="00185D6A" w:rsidRPr="00BD6C5F">
        <w:rPr>
          <w:highlight w:val="yellow"/>
        </w:rPr>
        <w:t>name of party</w:t>
      </w:r>
      <w:r w:rsidR="00185D6A" w:rsidRPr="00BD6C5F">
        <w:t>] dated [</w:t>
      </w:r>
      <w:r w:rsidR="00185D6A" w:rsidRPr="00BD6C5F">
        <w:rPr>
          <w:highlight w:val="yellow"/>
        </w:rPr>
        <w:t>date</w:t>
      </w:r>
      <w:r w:rsidR="00185D6A" w:rsidRPr="00BD6C5F">
        <w:t>]</w:t>
      </w:r>
    </w:p>
    <w:p w14:paraId="24996EDD" w14:textId="77777777" w:rsidR="00287379" w:rsidRPr="00BD6C5F" w:rsidRDefault="00287379" w:rsidP="00287379"/>
    <w:p w14:paraId="3BC755C2" w14:textId="71D50134" w:rsidR="00BC7DDA" w:rsidRPr="00BD6C5F" w:rsidRDefault="00185D6A" w:rsidP="00B71FC0">
      <w:pPr>
        <w:pStyle w:val="Numbered1"/>
        <w:numPr>
          <w:ilvl w:val="0"/>
          <w:numId w:val="93"/>
        </w:numPr>
      </w:pPr>
      <w:r w:rsidRPr="00BD6C5F">
        <w:t>Definitions</w:t>
      </w:r>
    </w:p>
    <w:p w14:paraId="386499AA" w14:textId="77777777" w:rsidR="00BC7DDA" w:rsidRPr="00BD6C5F" w:rsidRDefault="009B03E9" w:rsidP="00A47A7E">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16657D90" w14:textId="77777777" w:rsidTr="00381D62">
        <w:tc>
          <w:tcPr>
            <w:tcW w:w="3572" w:type="dxa"/>
          </w:tcPr>
          <w:p w14:paraId="5B6A0638" w14:textId="41F2DDF6"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Achieved Profit Margin</w:t>
            </w:r>
            <w:r w:rsidRPr="00BD6C5F">
              <w:rPr>
                <w:rFonts w:asciiTheme="minorHAnsi" w:hAnsiTheme="minorHAnsi" w:cstheme="minorHAnsi"/>
                <w:b/>
              </w:rPr>
              <w:t>”</w:t>
            </w:r>
          </w:p>
        </w:tc>
        <w:tc>
          <w:tcPr>
            <w:tcW w:w="5953" w:type="dxa"/>
          </w:tcPr>
          <w:p w14:paraId="2069D036" w14:textId="1BDF9E7A" w:rsidR="00BC7DDA" w:rsidRPr="00BD6C5F" w:rsidRDefault="009B03E9" w:rsidP="00287379">
            <w:pPr>
              <w:pStyle w:val="Tabletext"/>
            </w:pPr>
            <w:r w:rsidRPr="00BD6C5F">
              <w:t xml:space="preserve">the cumulative Supplier Profit Margin calculated from (and including) the Effective Date (or, if applicable, the date of the last adjustment to the Charges made pursuant to Paragraph </w:t>
            </w:r>
            <w:r w:rsidR="008B51E7" w:rsidRPr="00BD6C5F">
              <w:fldChar w:fldCharType="begin"/>
            </w:r>
            <w:r w:rsidR="008B51E7" w:rsidRPr="00BD6C5F">
              <w:instrText xml:space="preserve"> REF _Ref98411793 \n \h </w:instrText>
            </w:r>
            <w:r w:rsidR="00AD7DD0" w:rsidRPr="00BD6C5F">
              <w:instrText xml:space="preserve"> \* MERGEFORMAT </w:instrText>
            </w:r>
            <w:r w:rsidR="008B51E7" w:rsidRPr="00BD6C5F">
              <w:fldChar w:fldCharType="separate"/>
            </w:r>
            <w:r w:rsidR="009749A0">
              <w:t>2.2</w:t>
            </w:r>
            <w:r w:rsidR="008B51E7" w:rsidRPr="00BD6C5F">
              <w:fldChar w:fldCharType="end"/>
            </w:r>
            <w:r w:rsidRPr="00BD6C5F">
              <w:t xml:space="preserve"> of </w:t>
            </w:r>
            <w:r w:rsidR="00C101F7">
              <w:t>Part </w:t>
            </w:r>
            <w:r w:rsidR="00C101F7">
              <w:fldChar w:fldCharType="begin"/>
            </w:r>
            <w:r w:rsidR="00C101F7">
              <w:instrText xml:space="preserve"> REF Schedule_15_Part_D \h </w:instrText>
            </w:r>
            <w:r w:rsidR="00C101F7">
              <w:fldChar w:fldCharType="separate"/>
            </w:r>
            <w:r w:rsidR="009749A0" w:rsidRPr="00BD6C5F">
              <w:t>D</w:t>
            </w:r>
            <w:r w:rsidR="00C101F7">
              <w:fldChar w:fldCharType="end"/>
            </w:r>
            <w:r w:rsidRPr="00BD6C5F">
              <w:t>) to (and including) the last day of the previous Contract Year;</w:t>
            </w:r>
          </w:p>
        </w:tc>
      </w:tr>
      <w:tr w:rsidR="00BC7DDA" w:rsidRPr="00BD6C5F" w14:paraId="173AE058" w14:textId="77777777" w:rsidTr="00381D62">
        <w:tc>
          <w:tcPr>
            <w:tcW w:w="3572" w:type="dxa"/>
          </w:tcPr>
          <w:p w14:paraId="4E8EBDE6" w14:textId="3B3FFA7F"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Anticipated Contract Life Profit Margin</w:t>
            </w:r>
            <w:r w:rsidRPr="00BD6C5F">
              <w:rPr>
                <w:rFonts w:asciiTheme="minorHAnsi" w:hAnsiTheme="minorHAnsi" w:cstheme="minorHAnsi"/>
                <w:b/>
              </w:rPr>
              <w:t>”</w:t>
            </w:r>
          </w:p>
        </w:tc>
        <w:tc>
          <w:tcPr>
            <w:tcW w:w="5953" w:type="dxa"/>
          </w:tcPr>
          <w:p w14:paraId="5518106C"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the anticipated Supplier Profit Margin over the Term as reflected in the Financial Model;</w:t>
            </w:r>
          </w:p>
        </w:tc>
      </w:tr>
      <w:tr w:rsidR="00BC7DDA" w:rsidRPr="00BD6C5F" w14:paraId="527DB4A4" w14:textId="77777777" w:rsidTr="00381D62">
        <w:tc>
          <w:tcPr>
            <w:tcW w:w="3572" w:type="dxa"/>
          </w:tcPr>
          <w:p w14:paraId="48BD5308" w14:textId="1432C6AD"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Capped ADR</w:t>
            </w:r>
            <w:r w:rsidRPr="00BD6C5F">
              <w:rPr>
                <w:rFonts w:asciiTheme="minorHAnsi" w:hAnsiTheme="minorHAnsi" w:cstheme="minorHAnsi"/>
                <w:b/>
              </w:rPr>
              <w:t>”</w:t>
            </w:r>
          </w:p>
        </w:tc>
        <w:tc>
          <w:tcPr>
            <w:tcW w:w="5953" w:type="dxa"/>
          </w:tcPr>
          <w:p w14:paraId="22272330"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in relation to a Milestone Payment or Service Charge means a capped average day rate calculated by reference to a Time and Materials pricing mechanism, </w:t>
            </w:r>
            <w:r w:rsidRPr="00BD6C5F">
              <w:rPr>
                <w:rFonts w:asciiTheme="minorHAnsi" w:hAnsiTheme="minorHAnsi" w:cstheme="minorHAnsi"/>
                <w:shd w:val="clear" w:color="auto" w:fill="FFFF00"/>
              </w:rPr>
              <w:t>£</w:t>
            </w:r>
            <w:r w:rsidRPr="00566661">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566661">
              <w:rPr>
                <w:rFonts w:asciiTheme="minorHAnsi" w:hAnsiTheme="minorHAnsi" w:cstheme="minorHAnsi"/>
                <w:shd w:val="clear" w:color="auto" w:fill="FFFF00"/>
              </w:rPr>
              <w:t xml:space="preserve"> amount]</w:t>
            </w:r>
            <w:r w:rsidRPr="00566661">
              <w:rPr>
                <w:rFonts w:asciiTheme="minorHAnsi" w:hAnsiTheme="minorHAnsi" w:cstheme="minorHAnsi"/>
              </w:rPr>
              <w:t>;</w:t>
            </w:r>
          </w:p>
        </w:tc>
      </w:tr>
      <w:tr w:rsidR="00BC7DDA" w:rsidRPr="00BD6C5F" w14:paraId="4EAD7A15" w14:textId="77777777" w:rsidTr="00381D62">
        <w:tc>
          <w:tcPr>
            <w:tcW w:w="3572" w:type="dxa"/>
          </w:tcPr>
          <w:p w14:paraId="3B87C701" w14:textId="1063FF77"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Certificate of Costs</w:t>
            </w:r>
            <w:r w:rsidRPr="00BD6C5F">
              <w:rPr>
                <w:rFonts w:asciiTheme="minorHAnsi" w:hAnsiTheme="minorHAnsi" w:cstheme="minorHAnsi"/>
                <w:b/>
              </w:rPr>
              <w:t>”</w:t>
            </w:r>
          </w:p>
        </w:tc>
        <w:tc>
          <w:tcPr>
            <w:tcW w:w="5953" w:type="dxa"/>
          </w:tcPr>
          <w:p w14:paraId="62EA3984" w14:textId="3F020C16"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a certificate of costs signed by the Supplier</w:t>
            </w:r>
            <w:r w:rsidR="00A4555C" w:rsidRPr="00BD6C5F">
              <w:rPr>
                <w:rFonts w:asciiTheme="minorHAnsi" w:hAnsiTheme="minorHAnsi" w:cstheme="minorHAnsi"/>
              </w:rPr>
              <w:t>’</w:t>
            </w:r>
            <w:r w:rsidRPr="00BD6C5F">
              <w:rPr>
                <w:rFonts w:asciiTheme="minorHAnsi" w:hAnsiTheme="minorHAnsi" w:cstheme="minorHAnsi"/>
              </w:rPr>
              <w:t xml:space="preserve">s Chief Financial Officer or Director of Finance (or equivalent as agreed in writing by the Authority in advance of issue of the relevant certificate) and substantially in the format set out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Schedule_15_Part_E_Annex_3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3</w:t>
            </w:r>
            <w:r w:rsidR="00C101F7">
              <w:rPr>
                <w:rFonts w:asciiTheme="minorHAnsi" w:hAnsiTheme="minorHAnsi" w:cstheme="minorHAnsi"/>
              </w:rPr>
              <w:fldChar w:fldCharType="end"/>
            </w:r>
            <w:r w:rsidR="00C101F7">
              <w:rPr>
                <w:rFonts w:asciiTheme="minorHAnsi" w:hAnsiTheme="minorHAnsi" w:cstheme="minorHAnsi"/>
              </w:rPr>
              <w:t xml:space="preserve"> of 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E</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00A56C55" w14:textId="77777777" w:rsidTr="00381D62">
        <w:tc>
          <w:tcPr>
            <w:tcW w:w="3572" w:type="dxa"/>
          </w:tcPr>
          <w:p w14:paraId="70315E81" w14:textId="2CE59343"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Costs</w:t>
            </w:r>
            <w:r w:rsidRPr="00BD6C5F">
              <w:rPr>
                <w:rFonts w:asciiTheme="minorHAnsi" w:hAnsiTheme="minorHAnsi" w:cstheme="minorHAnsi"/>
                <w:b/>
              </w:rPr>
              <w:t>”</w:t>
            </w:r>
          </w:p>
        </w:tc>
        <w:tc>
          <w:tcPr>
            <w:tcW w:w="5953" w:type="dxa"/>
          </w:tcPr>
          <w:p w14:paraId="310363C4" w14:textId="77777777" w:rsidR="00BC7DDA" w:rsidRPr="00BD6C5F" w:rsidRDefault="009B03E9" w:rsidP="00381D62">
            <w:pPr>
              <w:pStyle w:val="Tabletext"/>
            </w:pPr>
            <w:r w:rsidRPr="00BD6C5F">
              <w:t xml:space="preserve">the following costs (without double recovery) to the extent </w:t>
            </w:r>
            <w:r w:rsidRPr="00381D62">
              <w:t>that</w:t>
            </w:r>
            <w:r w:rsidRPr="00BD6C5F">
              <w:t xml:space="preserve"> they are reasonably and properly incurred by the Supplier in providing the Services:</w:t>
            </w:r>
          </w:p>
          <w:p w14:paraId="6A171511" w14:textId="778F1D0B" w:rsidR="00BC7DDA" w:rsidRPr="00BD6C5F" w:rsidRDefault="009B03E9" w:rsidP="00381D62">
            <w:pPr>
              <w:pStyle w:val="Tablea"/>
            </w:pPr>
            <w:bookmarkStart w:id="539" w:name="_bookmark179"/>
            <w:bookmarkEnd w:id="539"/>
            <w:r w:rsidRPr="00BD6C5F">
              <w:t>the cost to the Supplier or the Key Sub-contractor (as the context requires), calculated per Work Day, of engaging the Supplier Personnel, including:</w:t>
            </w:r>
          </w:p>
          <w:p w14:paraId="1290163A" w14:textId="77777777" w:rsidR="00BC7DDA" w:rsidRPr="00BD6C5F" w:rsidRDefault="009B03E9" w:rsidP="00185D6A">
            <w:pPr>
              <w:pStyle w:val="Tableai"/>
            </w:pPr>
            <w:r w:rsidRPr="00BD6C5F">
              <w:t>base salary paid to the Supplier Personnel;</w:t>
            </w:r>
          </w:p>
          <w:p w14:paraId="3CB17BDF" w14:textId="046E48C0" w:rsidR="00BC7DDA" w:rsidRPr="00BD6C5F" w:rsidRDefault="009B03E9" w:rsidP="00185D6A">
            <w:pPr>
              <w:pStyle w:val="Tableai"/>
            </w:pPr>
            <w:r w:rsidRPr="00BD6C5F">
              <w:t>employer</w:t>
            </w:r>
            <w:r w:rsidR="00A4555C" w:rsidRPr="00BD6C5F">
              <w:t>’</w:t>
            </w:r>
            <w:r w:rsidRPr="00BD6C5F">
              <w:t>s national insurance contributions;</w:t>
            </w:r>
          </w:p>
          <w:p w14:paraId="7FE9FAD1" w14:textId="77777777" w:rsidR="00BC7DDA" w:rsidRPr="00BD6C5F" w:rsidRDefault="009B03E9" w:rsidP="00185D6A">
            <w:pPr>
              <w:pStyle w:val="Tableai"/>
            </w:pPr>
            <w:r w:rsidRPr="00BD6C5F">
              <w:t>Employer Pension Contributions;</w:t>
            </w:r>
          </w:p>
          <w:p w14:paraId="4E4817D7" w14:textId="77777777" w:rsidR="00BC7DDA" w:rsidRPr="00BD6C5F" w:rsidRDefault="009B03E9" w:rsidP="00185D6A">
            <w:pPr>
              <w:pStyle w:val="Tableai"/>
            </w:pPr>
            <w:r w:rsidRPr="00BD6C5F">
              <w:t>car allowances;</w:t>
            </w:r>
          </w:p>
          <w:p w14:paraId="3EC76CF2" w14:textId="77777777" w:rsidR="00BC7DDA" w:rsidRPr="00BD6C5F" w:rsidRDefault="009B03E9" w:rsidP="00185D6A">
            <w:pPr>
              <w:pStyle w:val="Tableai"/>
            </w:pPr>
            <w:r w:rsidRPr="00BD6C5F">
              <w:t>any other contractual employment benefits;</w:t>
            </w:r>
          </w:p>
          <w:p w14:paraId="03AB5197" w14:textId="77777777" w:rsidR="00BC7DDA" w:rsidRPr="00BD6C5F" w:rsidRDefault="009B03E9" w:rsidP="00185D6A">
            <w:pPr>
              <w:pStyle w:val="Tableai"/>
            </w:pPr>
            <w:r w:rsidRPr="00BD6C5F">
              <w:t>staff training;</w:t>
            </w:r>
          </w:p>
          <w:p w14:paraId="039BB231" w14:textId="77777777" w:rsidR="00BC7DDA" w:rsidRPr="00BD6C5F" w:rsidRDefault="009B03E9" w:rsidP="00185D6A">
            <w:pPr>
              <w:pStyle w:val="Tableai"/>
            </w:pPr>
            <w:r w:rsidRPr="00BD6C5F">
              <w:lastRenderedPageBreak/>
              <w:t>work place accommodation;</w:t>
            </w:r>
          </w:p>
          <w:p w14:paraId="14EEE821" w14:textId="77777777" w:rsidR="00056065" w:rsidRPr="00BD6C5F" w:rsidRDefault="00056065" w:rsidP="00185D6A">
            <w:pPr>
              <w:pStyle w:val="Tableai"/>
            </w:pPr>
            <w:r w:rsidRPr="00BD6C5F">
              <w:t>work place IT equipment and tools reasonably necessary to perform the Services (but not including items included within limb (b) below); and</w:t>
            </w:r>
          </w:p>
          <w:p w14:paraId="2C4C001F" w14:textId="77777777" w:rsidR="00056065" w:rsidRPr="00BD6C5F" w:rsidRDefault="00056065" w:rsidP="00185D6A">
            <w:pPr>
              <w:pStyle w:val="Tableai"/>
            </w:pPr>
            <w:r w:rsidRPr="00BD6C5F">
              <w:t>reasonable recruitment costs, as agreed with the Authority;</w:t>
            </w:r>
          </w:p>
          <w:p w14:paraId="7AAD7FB2" w14:textId="77777777" w:rsidR="00056065" w:rsidRPr="00BD6C5F" w:rsidRDefault="00056065" w:rsidP="00381D62">
            <w:pPr>
              <w:pStyle w:val="Tablea"/>
            </w:pPr>
            <w:r w:rsidRPr="00BD6C5F">
              <w:t>costs incurred in respect of those Assets which are detailed on the Registers and which would be treated as capital costs according to generally accepted accounting principles within the UK, which shall include the cost to be charged in respect of Assets by the Supplier to the Authority or (to the extent that risk and title in any Asset is not held by the Supplier) any cost actually incurred by the Supplier in respect of those Assets;</w:t>
            </w:r>
          </w:p>
          <w:p w14:paraId="6D08D915" w14:textId="77777777" w:rsidR="00056065" w:rsidRPr="00BD6C5F" w:rsidRDefault="00056065" w:rsidP="00381D62">
            <w:pPr>
              <w:pStyle w:val="Tablea"/>
            </w:pPr>
            <w:r w:rsidRPr="00BD6C5F">
              <w:t>operational costs which are not included within (a) or (b) above, to the extent that such costs are necessary and properly incurred by the Supplier in the delivery of the Services;</w:t>
            </w:r>
          </w:p>
          <w:p w14:paraId="077CD991" w14:textId="77777777" w:rsidR="00056065" w:rsidRPr="00BD6C5F" w:rsidRDefault="00056065" w:rsidP="00381D62">
            <w:pPr>
              <w:pStyle w:val="Tablea"/>
            </w:pPr>
            <w:r w:rsidRPr="00BD6C5F">
              <w:t>Forecast Contingency Costs;</w:t>
            </w:r>
          </w:p>
          <w:p w14:paraId="5BB3488C" w14:textId="77777777" w:rsidR="00056065" w:rsidRPr="00BD6C5F" w:rsidRDefault="00056065" w:rsidP="00381D62">
            <w:pPr>
              <w:pStyle w:val="Tablea"/>
            </w:pPr>
            <w:r w:rsidRPr="00BD6C5F">
              <w:t>Reimbursable Expenses to the extent these are incurred in delivering any Services where the Charges for those Services are to be calculated on a Fixed Price or Firm Price pricing mechanism;</w:t>
            </w:r>
          </w:p>
          <w:p w14:paraId="07F2F788" w14:textId="77777777" w:rsidR="00056065" w:rsidRPr="00BD6C5F" w:rsidRDefault="00056065" w:rsidP="00A92D81">
            <w:pPr>
              <w:pStyle w:val="TableParagraph"/>
              <w:tabs>
                <w:tab w:val="left" w:pos="1596"/>
                <w:tab w:val="left" w:pos="1597"/>
              </w:tabs>
              <w:ind w:left="720"/>
              <w:rPr>
                <w:rFonts w:asciiTheme="minorHAnsi" w:hAnsiTheme="minorHAnsi" w:cstheme="minorHAnsi"/>
                <w:szCs w:val="24"/>
              </w:rPr>
            </w:pPr>
            <w:r w:rsidRPr="00BD6C5F">
              <w:rPr>
                <w:rFonts w:asciiTheme="minorHAnsi" w:hAnsiTheme="minorHAnsi" w:cstheme="minorHAnsi"/>
                <w:szCs w:val="24"/>
              </w:rPr>
              <w:t>but excluding:</w:t>
            </w:r>
          </w:p>
          <w:p w14:paraId="0F0ED9A0" w14:textId="77777777" w:rsidR="00056065" w:rsidRPr="00BD6C5F" w:rsidRDefault="00056065" w:rsidP="00185D6A">
            <w:pPr>
              <w:pStyle w:val="Tableai"/>
            </w:pPr>
            <w:r w:rsidRPr="00BD6C5F">
              <w:t>Overhead;</w:t>
            </w:r>
          </w:p>
          <w:p w14:paraId="47BF91F6" w14:textId="77777777" w:rsidR="00056065" w:rsidRPr="00BD6C5F" w:rsidRDefault="00056065" w:rsidP="00185D6A">
            <w:pPr>
              <w:pStyle w:val="Tableai"/>
            </w:pPr>
            <w:r w:rsidRPr="00BD6C5F">
              <w:t>financing or similar costs;</w:t>
            </w:r>
          </w:p>
          <w:p w14:paraId="1B4F651C" w14:textId="77777777" w:rsidR="00056065" w:rsidRPr="00BD6C5F" w:rsidRDefault="00056065" w:rsidP="00185D6A">
            <w:pPr>
              <w:pStyle w:val="Tableai"/>
            </w:pPr>
            <w:r w:rsidRPr="00BD6C5F">
              <w:t>maintenance and support costs to the extent that these relate to maintenance and/or support services provided beyond the Term, whether in relation to Assets or otherwise;</w:t>
            </w:r>
          </w:p>
          <w:p w14:paraId="4FE69560" w14:textId="77777777" w:rsidR="00056065" w:rsidRPr="00BD6C5F" w:rsidRDefault="00056065" w:rsidP="00185D6A">
            <w:pPr>
              <w:pStyle w:val="Tableai"/>
            </w:pPr>
            <w:r w:rsidRPr="00BD6C5F">
              <w:t>taxation;</w:t>
            </w:r>
          </w:p>
          <w:p w14:paraId="5BFD522C" w14:textId="77777777" w:rsidR="00056065" w:rsidRPr="00BD6C5F" w:rsidRDefault="00056065" w:rsidP="00185D6A">
            <w:pPr>
              <w:pStyle w:val="Tableai"/>
            </w:pPr>
            <w:r w:rsidRPr="00BD6C5F">
              <w:t>fines and penalties;</w:t>
            </w:r>
          </w:p>
          <w:p w14:paraId="20465B12" w14:textId="67AF8447" w:rsidR="00056065" w:rsidRPr="00BD6C5F" w:rsidRDefault="00056065" w:rsidP="00185D6A">
            <w:pPr>
              <w:pStyle w:val="Tableai"/>
            </w:pPr>
            <w:r w:rsidRPr="00BD6C5F">
              <w:t>amounts payable under Schedule </w:t>
            </w:r>
            <w:r w:rsidR="00346653">
              <w:fldChar w:fldCharType="begin"/>
            </w:r>
            <w:r w:rsidR="00346653">
              <w:instrText xml:space="preserve"> REF Schedule_17 \h </w:instrText>
            </w:r>
            <w:r w:rsidR="00346653">
              <w:fldChar w:fldCharType="separate"/>
            </w:r>
            <w:r w:rsidR="009749A0">
              <w:t>17</w:t>
            </w:r>
            <w:r w:rsidR="00346653">
              <w:fldChar w:fldCharType="end"/>
            </w:r>
            <w:r w:rsidRPr="00BD6C5F">
              <w:t xml:space="preserve"> (</w:t>
            </w:r>
            <w:r w:rsidRPr="00BD6C5F">
              <w:rPr>
                <w:i/>
              </w:rPr>
              <w:t>Benchmarking</w:t>
            </w:r>
            <w:r w:rsidRPr="00BD6C5F">
              <w:t>); and</w:t>
            </w:r>
          </w:p>
          <w:p w14:paraId="5E65C0E1" w14:textId="7998F2E1" w:rsidR="00056065" w:rsidRPr="00BD6C5F" w:rsidRDefault="00056065" w:rsidP="00185D6A">
            <w:pPr>
              <w:pStyle w:val="Tableai"/>
            </w:pPr>
            <w:r w:rsidRPr="00BD6C5F">
              <w:t>non-cash items (including depreciation, amortisation, impairments and movements in provisions);</w:t>
            </w:r>
          </w:p>
        </w:tc>
      </w:tr>
      <w:tr w:rsidR="00BC7DDA" w:rsidRPr="00BD6C5F" w14:paraId="7FF4365E" w14:textId="77777777" w:rsidTr="00381D62">
        <w:tc>
          <w:tcPr>
            <w:tcW w:w="3572" w:type="dxa"/>
          </w:tcPr>
          <w:p w14:paraId="26BAF5B0" w14:textId="58BFC8F5" w:rsidR="00BC7DDA" w:rsidRPr="00BD6C5F" w:rsidRDefault="00A4555C" w:rsidP="00A47A7E">
            <w:pPr>
              <w:pStyle w:val="Tabletext"/>
              <w:rPr>
                <w:rFonts w:asciiTheme="minorHAnsi" w:hAnsiTheme="minorHAnsi" w:cstheme="minorHAnsi"/>
                <w:b/>
              </w:rPr>
            </w:pPr>
            <w:bookmarkStart w:id="540" w:name="_bookmark180"/>
            <w:bookmarkStart w:id="541" w:name="_bookmark181"/>
            <w:bookmarkStart w:id="542" w:name="_bookmark182"/>
            <w:bookmarkStart w:id="543" w:name="_bookmark183"/>
            <w:bookmarkEnd w:id="540"/>
            <w:bookmarkEnd w:id="541"/>
            <w:bookmarkEnd w:id="542"/>
            <w:bookmarkEnd w:id="543"/>
            <w:r w:rsidRPr="00BD6C5F">
              <w:rPr>
                <w:rFonts w:asciiTheme="minorHAnsi" w:hAnsiTheme="minorHAnsi" w:cstheme="minorHAnsi"/>
                <w:b/>
              </w:rPr>
              <w:lastRenderedPageBreak/>
              <w:t>“</w:t>
            </w:r>
            <w:r w:rsidR="009B03E9" w:rsidRPr="00BD6C5F">
              <w:rPr>
                <w:rFonts w:asciiTheme="minorHAnsi" w:hAnsiTheme="minorHAnsi" w:cstheme="minorHAnsi"/>
                <w:b/>
              </w:rPr>
              <w:t>Delay Payment Rate</w:t>
            </w:r>
            <w:r w:rsidRPr="00BD6C5F">
              <w:rPr>
                <w:rFonts w:asciiTheme="minorHAnsi" w:hAnsiTheme="minorHAnsi" w:cstheme="minorHAnsi"/>
                <w:b/>
              </w:rPr>
              <w:t>”</w:t>
            </w:r>
          </w:p>
        </w:tc>
        <w:tc>
          <w:tcPr>
            <w:tcW w:w="5953" w:type="dxa"/>
          </w:tcPr>
          <w:p w14:paraId="6D701576" w14:textId="13E1C676"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8B51E7" w:rsidRPr="00BD6C5F">
              <w:rPr>
                <w:rFonts w:asciiTheme="minorHAnsi" w:hAnsiTheme="minorHAnsi" w:cstheme="minorHAnsi"/>
              </w:rPr>
              <w:fldChar w:fldCharType="begin"/>
            </w:r>
            <w:r w:rsidR="008B51E7" w:rsidRPr="00BD6C5F">
              <w:rPr>
                <w:rFonts w:asciiTheme="minorHAnsi" w:hAnsiTheme="minorHAnsi" w:cstheme="minorHAnsi"/>
              </w:rPr>
              <w:instrText xml:space="preserve"> REF _Ref98411833 \w \h </w:instrText>
            </w:r>
            <w:r w:rsidR="00AD7DD0" w:rsidRPr="00BD6C5F">
              <w:rPr>
                <w:rFonts w:asciiTheme="minorHAnsi" w:hAnsiTheme="minorHAnsi" w:cstheme="minorHAnsi"/>
              </w:rPr>
              <w:instrText xml:space="preserve"> \* MERGEFORMAT </w:instrText>
            </w:r>
            <w:r w:rsidR="008B51E7" w:rsidRPr="00BD6C5F">
              <w:rPr>
                <w:rFonts w:asciiTheme="minorHAnsi" w:hAnsiTheme="minorHAnsi" w:cstheme="minorHAnsi"/>
              </w:rPr>
            </w:r>
            <w:r w:rsidR="008B51E7" w:rsidRPr="00BD6C5F">
              <w:rPr>
                <w:rFonts w:asciiTheme="minorHAnsi" w:hAnsiTheme="minorHAnsi" w:cstheme="minorHAnsi"/>
              </w:rPr>
              <w:fldChar w:fldCharType="separate"/>
            </w:r>
            <w:r w:rsidR="009749A0">
              <w:rPr>
                <w:rFonts w:asciiTheme="minorHAnsi" w:hAnsiTheme="minorHAnsi" w:cstheme="minorHAnsi"/>
              </w:rPr>
              <w:t>1.1.1</w:t>
            </w:r>
            <w:r w:rsidR="008B51E7"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Schedule_15_Part_C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C</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59A3597E" w14:textId="77777777" w:rsidTr="00381D62">
        <w:tc>
          <w:tcPr>
            <w:tcW w:w="3572" w:type="dxa"/>
          </w:tcPr>
          <w:p w14:paraId="56D6A092" w14:textId="1DE0C516"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The Employer Pension Contributions</w:t>
            </w:r>
            <w:r w:rsidRPr="00BD6C5F">
              <w:rPr>
                <w:rFonts w:asciiTheme="minorHAnsi" w:hAnsiTheme="minorHAnsi" w:cstheme="minorHAnsi"/>
                <w:b/>
              </w:rPr>
              <w:t>”</w:t>
            </w:r>
          </w:p>
        </w:tc>
        <w:tc>
          <w:tcPr>
            <w:tcW w:w="5953" w:type="dxa"/>
          </w:tcPr>
          <w:p w14:paraId="02DAD497"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means:</w:t>
            </w:r>
          </w:p>
          <w:p w14:paraId="2B06C5B9" w14:textId="248BADD4" w:rsidR="00BC7DDA" w:rsidRPr="00BD6C5F" w:rsidRDefault="009B03E9" w:rsidP="00381D62">
            <w:pPr>
              <w:pStyle w:val="Tablea"/>
            </w:pPr>
            <w:r w:rsidRPr="00BD6C5F">
              <w:t>in respect of CSPS Eligible Employees those sums set out at Clauses 7.1.1 (annual administration charges covering core services), 7.1.5 (employer contributions),</w:t>
            </w:r>
            <w:r w:rsidR="00A92D81" w:rsidRPr="00BD6C5F">
              <w:t xml:space="preserve"> </w:t>
            </w:r>
            <w:r w:rsidRPr="00BD6C5F">
              <w:t>7.1.7 (the ASLC) and 7.1.8 (flat charges applicable to the Partnership Pension Account) of the Admission Agreement;</w:t>
            </w:r>
          </w:p>
          <w:p w14:paraId="3DDC0FF7" w14:textId="77777777" w:rsidR="00BC7DDA" w:rsidRPr="00BD6C5F" w:rsidRDefault="009B03E9" w:rsidP="00381D62">
            <w:pPr>
              <w:pStyle w:val="Tablea"/>
            </w:pPr>
            <w:r w:rsidRPr="00BD6C5F">
              <w:t>in respect of NHSPS Eligible Employees, the standard employer contribution rate applicable to NHS Pension Scheme employers during the Term and payable by the Supplier (but no other costs, contributions, charges or surcharges payable by the Supplier to or in respect of the NHS Pension Scheme or in respect of any NHS Premature Retirement Rights, unless otherwise agreed in writing by the Authority);</w:t>
            </w:r>
          </w:p>
          <w:p w14:paraId="3E5D54B1" w14:textId="77777777" w:rsidR="00BC7DDA" w:rsidRPr="00BD6C5F" w:rsidRDefault="009B03E9" w:rsidP="00381D62">
            <w:pPr>
              <w:pStyle w:val="Tablea"/>
            </w:pPr>
            <w:r w:rsidRPr="00BD6C5F">
              <w:t>in respect of LGPS Eligible Employees the standard employer contribution rate applicable to LGPS Eligible Employees during the Term and payable by the Supplier (but no other costs, contributions, charges or surcharges payable by the Supplier to or in respect of the LGPS or in respect of any Beckmann Liabilities, unless otherwise agreed in writing by the Authority); and</w:t>
            </w:r>
          </w:p>
          <w:p w14:paraId="1D86DB9A" w14:textId="19E5ECE3" w:rsidR="00BC7DDA" w:rsidRPr="00BD6C5F" w:rsidRDefault="009B03E9" w:rsidP="00A92D81">
            <w:pPr>
              <w:pStyle w:val="TableParagraph"/>
              <w:rPr>
                <w:rFonts w:asciiTheme="minorHAnsi" w:hAnsiTheme="minorHAnsi" w:cstheme="minorHAnsi"/>
                <w:szCs w:val="24"/>
              </w:rPr>
            </w:pPr>
            <w:r w:rsidRPr="00BD6C5F">
              <w:rPr>
                <w:rFonts w:asciiTheme="minorHAnsi" w:hAnsiTheme="minorHAnsi" w:cstheme="minorHAnsi"/>
                <w:szCs w:val="24"/>
              </w:rPr>
              <w:t xml:space="preserve">such other employer pension contributions, charges or costs incurred by the Supplier which have been expressly agreed by the Authority in writing to constitute </w:t>
            </w:r>
            <w:r w:rsidR="00A4555C" w:rsidRPr="00BD6C5F">
              <w:rPr>
                <w:rFonts w:asciiTheme="minorHAnsi" w:hAnsiTheme="minorHAnsi" w:cstheme="minorHAnsi"/>
                <w:szCs w:val="24"/>
              </w:rPr>
              <w:t>‘</w:t>
            </w:r>
            <w:r w:rsidRPr="00BD6C5F">
              <w:rPr>
                <w:rFonts w:asciiTheme="minorHAnsi" w:hAnsiTheme="minorHAnsi" w:cstheme="minorHAnsi"/>
                <w:szCs w:val="24"/>
              </w:rPr>
              <w:t>Employer Pension Contributions</w:t>
            </w:r>
            <w:r w:rsidR="00A4555C" w:rsidRPr="00BD6C5F">
              <w:rPr>
                <w:rFonts w:asciiTheme="minorHAnsi" w:hAnsiTheme="minorHAnsi" w:cstheme="minorHAnsi"/>
                <w:szCs w:val="24"/>
              </w:rPr>
              <w:t>’</w:t>
            </w:r>
            <w:r w:rsidRPr="00BD6C5F">
              <w:rPr>
                <w:rFonts w:asciiTheme="minorHAnsi" w:hAnsiTheme="minorHAnsi" w:cstheme="minorHAnsi"/>
                <w:szCs w:val="24"/>
              </w:rPr>
              <w:t>;</w:t>
            </w:r>
          </w:p>
        </w:tc>
      </w:tr>
      <w:tr w:rsidR="00BC7DDA" w:rsidRPr="00BD6C5F" w14:paraId="041F2407" w14:textId="77777777" w:rsidTr="00381D62">
        <w:tc>
          <w:tcPr>
            <w:tcW w:w="3572" w:type="dxa"/>
          </w:tcPr>
          <w:p w14:paraId="6AAD199A" w14:textId="7B669D5A"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European Standard</w:t>
            </w:r>
            <w:r w:rsidRPr="00BD6C5F">
              <w:rPr>
                <w:rFonts w:asciiTheme="minorHAnsi" w:hAnsiTheme="minorHAnsi" w:cstheme="minorHAnsi"/>
                <w:b/>
              </w:rPr>
              <w:t>”</w:t>
            </w:r>
          </w:p>
        </w:tc>
        <w:tc>
          <w:tcPr>
            <w:tcW w:w="5953" w:type="dxa"/>
          </w:tcPr>
          <w:p w14:paraId="0DBC1931" w14:textId="4F964A7F"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in relation to an electronic invoice means the European standard and any of the syntaxes</w:t>
            </w:r>
            <w:r w:rsidR="00925189" w:rsidRPr="00BD6C5F">
              <w:rPr>
                <w:rFonts w:asciiTheme="minorHAnsi" w:hAnsiTheme="minorHAnsi" w:cstheme="minorHAnsi"/>
              </w:rPr>
              <w:t xml:space="preserve"> published in Commission Implementing Decision (EU) 2017/1870;</w:t>
            </w:r>
          </w:p>
        </w:tc>
      </w:tr>
      <w:tr w:rsidR="00BC7DDA" w:rsidRPr="00BD6C5F" w14:paraId="77038262" w14:textId="77777777" w:rsidTr="00381D62">
        <w:tc>
          <w:tcPr>
            <w:tcW w:w="3572" w:type="dxa"/>
          </w:tcPr>
          <w:p w14:paraId="251C0C0F" w14:textId="1A97CF4C"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Forecast Contingency Costs</w:t>
            </w:r>
            <w:r w:rsidRPr="00BD6C5F">
              <w:rPr>
                <w:rFonts w:asciiTheme="minorHAnsi" w:hAnsiTheme="minorHAnsi" w:cstheme="minorHAnsi"/>
                <w:b/>
              </w:rPr>
              <w:t>”</w:t>
            </w:r>
          </w:p>
        </w:tc>
        <w:tc>
          <w:tcPr>
            <w:tcW w:w="5953" w:type="dxa"/>
          </w:tcPr>
          <w:p w14:paraId="400766E7" w14:textId="463973EF"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the costs which the Supplier forecasts may be incurred in relation to the risks and contingencies that are identified in the Risk Register, such costs being those set out in the column headed </w:t>
            </w:r>
            <w:r w:rsidR="00A4555C" w:rsidRPr="00BD6C5F">
              <w:rPr>
                <w:rFonts w:asciiTheme="minorHAnsi" w:hAnsiTheme="minorHAnsi" w:cstheme="minorHAnsi"/>
              </w:rPr>
              <w:t>‘</w:t>
            </w:r>
            <w:r w:rsidRPr="00BD6C5F">
              <w:rPr>
                <w:rFonts w:asciiTheme="minorHAnsi" w:hAnsiTheme="minorHAnsi" w:cstheme="minorHAnsi"/>
              </w:rPr>
              <w:t>Forecast Contingency Costs</w:t>
            </w:r>
            <w:r w:rsidR="00A4555C" w:rsidRPr="00BD6C5F">
              <w:rPr>
                <w:rFonts w:asciiTheme="minorHAnsi" w:hAnsiTheme="minorHAnsi" w:cstheme="minorHAnsi"/>
              </w:rPr>
              <w:t>’</w:t>
            </w:r>
            <w:r w:rsidRPr="00BD6C5F">
              <w:rPr>
                <w:rFonts w:asciiTheme="minorHAnsi" w:hAnsiTheme="minorHAnsi" w:cstheme="minorHAnsi"/>
              </w:rPr>
              <w:t xml:space="preserve"> in the Risk Register (as such costs are updated from time to time);</w:t>
            </w:r>
          </w:p>
        </w:tc>
      </w:tr>
      <w:tr w:rsidR="00BC7DDA" w:rsidRPr="00BD6C5F" w14:paraId="2C3D2F23" w14:textId="77777777" w:rsidTr="00381D62">
        <w:tc>
          <w:tcPr>
            <w:tcW w:w="3572" w:type="dxa"/>
          </w:tcPr>
          <w:p w14:paraId="5CADDAF7" w14:textId="2DF6011D"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Guaranteed Maximum Price</w:t>
            </w:r>
            <w:r w:rsidRPr="00BD6C5F">
              <w:rPr>
                <w:rFonts w:asciiTheme="minorHAnsi" w:hAnsiTheme="minorHAnsi" w:cstheme="minorHAnsi"/>
                <w:b/>
              </w:rPr>
              <w:t>”</w:t>
            </w:r>
          </w:p>
        </w:tc>
        <w:tc>
          <w:tcPr>
            <w:tcW w:w="5953" w:type="dxa"/>
          </w:tcPr>
          <w:p w14:paraId="14B62F31"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in relation to a Milestone, 110% of the Target Price for the relevant Milestone;</w:t>
            </w:r>
          </w:p>
        </w:tc>
      </w:tr>
      <w:tr w:rsidR="00BC7DDA" w:rsidRPr="00BD6C5F" w14:paraId="714FEEAE" w14:textId="77777777" w:rsidTr="00381D62">
        <w:tc>
          <w:tcPr>
            <w:tcW w:w="3572" w:type="dxa"/>
          </w:tcPr>
          <w:p w14:paraId="42461E5E" w14:textId="56C44FC6"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Incurred Costs</w:t>
            </w:r>
            <w:r w:rsidRPr="00BD6C5F">
              <w:rPr>
                <w:rFonts w:asciiTheme="minorHAnsi" w:hAnsiTheme="minorHAnsi" w:cstheme="minorHAnsi"/>
                <w:b/>
              </w:rPr>
              <w:t>”</w:t>
            </w:r>
          </w:p>
        </w:tc>
        <w:tc>
          <w:tcPr>
            <w:tcW w:w="5953" w:type="dxa"/>
          </w:tcPr>
          <w:p w14:paraId="1707CF06"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in relation to a Milestone, the sum of:</w:t>
            </w:r>
          </w:p>
          <w:p w14:paraId="219DC89D" w14:textId="32B639CC" w:rsidR="00BC7DDA" w:rsidRPr="00BD6C5F" w:rsidRDefault="009B03E9" w:rsidP="00381D62">
            <w:pPr>
              <w:pStyle w:val="Tablea"/>
            </w:pPr>
            <w:r w:rsidRPr="00BD6C5F">
              <w:t xml:space="preserve">the fixed day costs set out in Table 3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 xml:space="preserve"> multiplied by the number of Work </w:t>
            </w:r>
            <w:r w:rsidRPr="00BD6C5F">
              <w:lastRenderedPageBreak/>
              <w:t>Days that have been expended by the Supplier Personnel in Achieving the relevant Milestone; and</w:t>
            </w:r>
          </w:p>
          <w:p w14:paraId="3D25E1B0" w14:textId="2FEF452F" w:rsidR="00BC7DDA" w:rsidRPr="00BD6C5F" w:rsidRDefault="009B03E9" w:rsidP="003A5D4B">
            <w:pPr>
              <w:pStyle w:val="Tablea"/>
            </w:pPr>
            <w:r w:rsidRPr="00BD6C5F">
              <w:t xml:space="preserve">any amount that would fall within limbs (b) or (c) of the definition of </w:t>
            </w:r>
            <w:r w:rsidR="00A4555C" w:rsidRPr="00BD6C5F">
              <w:t>“</w:t>
            </w:r>
            <w:r w:rsidRPr="00BD6C5F">
              <w:t>Costs</w:t>
            </w:r>
            <w:r w:rsidR="00A4555C" w:rsidRPr="00BD6C5F">
              <w:t>”</w:t>
            </w:r>
            <w:r w:rsidRPr="00BD6C5F">
              <w:t xml:space="preserve"> (but subject to exceptions (i) to (vii) in that definition), to the extent that such amount has been incurred in Achieving the relevant Milestone;</w:t>
            </w:r>
          </w:p>
        </w:tc>
      </w:tr>
      <w:tr w:rsidR="00BC7DDA" w:rsidRPr="00BD6C5F" w14:paraId="5B616F54" w14:textId="77777777" w:rsidTr="00381D62">
        <w:tc>
          <w:tcPr>
            <w:tcW w:w="3572" w:type="dxa"/>
          </w:tcPr>
          <w:p w14:paraId="22848FEF" w14:textId="18315041"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Indexation</w:t>
            </w:r>
            <w:r w:rsidRPr="00BD6C5F">
              <w:rPr>
                <w:rFonts w:asciiTheme="minorHAnsi" w:hAnsiTheme="minorHAnsi" w:cstheme="minorHAnsi"/>
                <w:b/>
              </w:rPr>
              <w:t>”</w:t>
            </w:r>
            <w:r w:rsidR="009B03E9" w:rsidRPr="00BD6C5F">
              <w:rPr>
                <w:rFonts w:asciiTheme="minorHAnsi" w:hAnsiTheme="minorHAnsi" w:cstheme="minorHAnsi"/>
                <w:b/>
              </w:rPr>
              <w:t xml:space="preserve"> and </w:t>
            </w:r>
            <w:r w:rsidRPr="00BD6C5F">
              <w:rPr>
                <w:rFonts w:asciiTheme="minorHAnsi" w:hAnsiTheme="minorHAnsi" w:cstheme="minorHAnsi"/>
                <w:b/>
              </w:rPr>
              <w:t>“</w:t>
            </w:r>
            <w:r w:rsidR="009B03E9" w:rsidRPr="00BD6C5F">
              <w:rPr>
                <w:rFonts w:asciiTheme="minorHAnsi" w:hAnsiTheme="minorHAnsi" w:cstheme="minorHAnsi"/>
                <w:b/>
              </w:rPr>
              <w:t>Index</w:t>
            </w:r>
            <w:r w:rsidRPr="00BD6C5F">
              <w:rPr>
                <w:rFonts w:asciiTheme="minorHAnsi" w:hAnsiTheme="minorHAnsi" w:cstheme="minorHAnsi"/>
                <w:b/>
              </w:rPr>
              <w:t>”</w:t>
            </w:r>
          </w:p>
        </w:tc>
        <w:tc>
          <w:tcPr>
            <w:tcW w:w="5953" w:type="dxa"/>
          </w:tcPr>
          <w:p w14:paraId="52928E14" w14:textId="71D9926C"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the adjustment of an amount or sum in accordance with Paragraph </w:t>
            </w:r>
            <w:r w:rsidR="008B51E7" w:rsidRPr="00BD6C5F">
              <w:rPr>
                <w:rFonts w:asciiTheme="minorHAnsi" w:hAnsiTheme="minorHAnsi" w:cstheme="minorHAnsi"/>
              </w:rPr>
              <w:fldChar w:fldCharType="begin"/>
            </w:r>
            <w:r w:rsidR="008B51E7" w:rsidRPr="00BD6C5F">
              <w:rPr>
                <w:rFonts w:asciiTheme="minorHAnsi" w:hAnsiTheme="minorHAnsi" w:cstheme="minorHAnsi"/>
              </w:rPr>
              <w:instrText xml:space="preserve"> REF _Ref98411881 \n \h </w:instrText>
            </w:r>
            <w:r w:rsidR="00AD7DD0" w:rsidRPr="00BD6C5F">
              <w:rPr>
                <w:rFonts w:asciiTheme="minorHAnsi" w:hAnsiTheme="minorHAnsi" w:cstheme="minorHAnsi"/>
              </w:rPr>
              <w:instrText xml:space="preserve"> \* MERGEFORMAT </w:instrText>
            </w:r>
            <w:r w:rsidR="008B51E7" w:rsidRPr="00BD6C5F">
              <w:rPr>
                <w:rFonts w:asciiTheme="minorHAnsi" w:hAnsiTheme="minorHAnsi" w:cstheme="minorHAnsi"/>
              </w:rPr>
            </w:r>
            <w:r w:rsidR="008B51E7" w:rsidRPr="00BD6C5F">
              <w:rPr>
                <w:rFonts w:asciiTheme="minorHAnsi" w:hAnsiTheme="minorHAnsi" w:cstheme="minorHAnsi"/>
              </w:rPr>
              <w:fldChar w:fldCharType="separate"/>
            </w:r>
            <w:r w:rsidR="009749A0">
              <w:rPr>
                <w:rFonts w:asciiTheme="minorHAnsi" w:hAnsiTheme="minorHAnsi" w:cstheme="minorHAnsi"/>
              </w:rPr>
              <w:t>5</w:t>
            </w:r>
            <w:r w:rsidR="008B51E7"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Schedule_15_Part_C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C</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1F076FBD" w14:textId="77777777" w:rsidTr="00381D62">
        <w:tc>
          <w:tcPr>
            <w:tcW w:w="3572" w:type="dxa"/>
          </w:tcPr>
          <w:p w14:paraId="43F8D018" w14:textId="737F3B80"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Maximum Permitted Profit Margin</w:t>
            </w:r>
            <w:r w:rsidRPr="00BD6C5F">
              <w:rPr>
                <w:rFonts w:asciiTheme="minorHAnsi" w:hAnsiTheme="minorHAnsi" w:cstheme="minorHAnsi"/>
                <w:b/>
              </w:rPr>
              <w:t>”</w:t>
            </w:r>
          </w:p>
        </w:tc>
        <w:tc>
          <w:tcPr>
            <w:tcW w:w="5953" w:type="dxa"/>
          </w:tcPr>
          <w:p w14:paraId="3B53F5BF"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the Anticipated Contract Life Profit Margin plus 5%;</w:t>
            </w:r>
          </w:p>
        </w:tc>
      </w:tr>
      <w:tr w:rsidR="00BC7DDA" w:rsidRPr="00BD6C5F" w14:paraId="70E2126B" w14:textId="77777777" w:rsidTr="00381D62">
        <w:tc>
          <w:tcPr>
            <w:tcW w:w="3572" w:type="dxa"/>
          </w:tcPr>
          <w:p w14:paraId="7B5666D8" w14:textId="67D308F2"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Milestone Group</w:t>
            </w:r>
            <w:r w:rsidRPr="00BD6C5F">
              <w:rPr>
                <w:rFonts w:asciiTheme="minorHAnsi" w:hAnsiTheme="minorHAnsi" w:cstheme="minorHAnsi"/>
                <w:b/>
              </w:rPr>
              <w:t>”</w:t>
            </w:r>
          </w:p>
        </w:tc>
        <w:tc>
          <w:tcPr>
            <w:tcW w:w="5953" w:type="dxa"/>
          </w:tcPr>
          <w:p w14:paraId="3CB46DB8" w14:textId="436B824B"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8B51E7" w:rsidRPr="00BD6C5F">
              <w:rPr>
                <w:rFonts w:asciiTheme="minorHAnsi" w:hAnsiTheme="minorHAnsi" w:cstheme="minorHAnsi"/>
              </w:rPr>
              <w:fldChar w:fldCharType="begin"/>
            </w:r>
            <w:r w:rsidR="008B51E7" w:rsidRPr="00BD6C5F">
              <w:rPr>
                <w:rFonts w:asciiTheme="minorHAnsi" w:hAnsiTheme="minorHAnsi" w:cstheme="minorHAnsi"/>
              </w:rPr>
              <w:instrText xml:space="preserve"> REF _Ref98411904 \n \h </w:instrText>
            </w:r>
            <w:r w:rsidR="00AD7DD0" w:rsidRPr="00BD6C5F">
              <w:rPr>
                <w:rFonts w:asciiTheme="minorHAnsi" w:hAnsiTheme="minorHAnsi" w:cstheme="minorHAnsi"/>
              </w:rPr>
              <w:instrText xml:space="preserve"> \* MERGEFORMAT </w:instrText>
            </w:r>
            <w:r w:rsidR="008B51E7" w:rsidRPr="00BD6C5F">
              <w:rPr>
                <w:rFonts w:asciiTheme="minorHAnsi" w:hAnsiTheme="minorHAnsi" w:cstheme="minorHAnsi"/>
              </w:rPr>
            </w:r>
            <w:r w:rsidR="008B51E7" w:rsidRPr="00BD6C5F">
              <w:rPr>
                <w:rFonts w:asciiTheme="minorHAnsi" w:hAnsiTheme="minorHAnsi" w:cstheme="minorHAnsi"/>
              </w:rPr>
              <w:fldChar w:fldCharType="separate"/>
            </w:r>
            <w:r w:rsidR="009749A0">
              <w:rPr>
                <w:rFonts w:asciiTheme="minorHAnsi" w:hAnsiTheme="minorHAnsi" w:cstheme="minorHAnsi"/>
              </w:rPr>
              <w:t>1.5</w:t>
            </w:r>
            <w:r w:rsidR="008B51E7"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Schedule_15_Part_B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B</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32F2527D" w14:textId="77777777" w:rsidTr="00381D62">
        <w:tc>
          <w:tcPr>
            <w:tcW w:w="3572" w:type="dxa"/>
          </w:tcPr>
          <w:p w14:paraId="2BE98643" w14:textId="3CC12BC3"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Milestone Retention</w:t>
            </w:r>
            <w:r w:rsidRPr="00BD6C5F">
              <w:rPr>
                <w:rFonts w:asciiTheme="minorHAnsi" w:hAnsiTheme="minorHAnsi" w:cstheme="minorHAnsi"/>
                <w:b/>
              </w:rPr>
              <w:t>”</w:t>
            </w:r>
          </w:p>
        </w:tc>
        <w:tc>
          <w:tcPr>
            <w:tcW w:w="5953" w:type="dxa"/>
          </w:tcPr>
          <w:p w14:paraId="38D087B1" w14:textId="6A155CF3"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1B4F2A" w:rsidRPr="00BD6C5F">
              <w:rPr>
                <w:rFonts w:asciiTheme="minorHAnsi" w:hAnsiTheme="minorHAnsi" w:cstheme="minorHAnsi"/>
              </w:rPr>
              <w:fldChar w:fldCharType="begin"/>
            </w:r>
            <w:r w:rsidR="001B4F2A" w:rsidRPr="00BD6C5F">
              <w:rPr>
                <w:rFonts w:asciiTheme="minorHAnsi" w:hAnsiTheme="minorHAnsi" w:cstheme="minorHAnsi"/>
              </w:rPr>
              <w:instrText xml:space="preserve"> REF _Ref98411934 \n \h </w:instrText>
            </w:r>
            <w:r w:rsidR="00AD7DD0" w:rsidRPr="00BD6C5F">
              <w:rPr>
                <w:rFonts w:asciiTheme="minorHAnsi" w:hAnsiTheme="minorHAnsi" w:cstheme="minorHAnsi"/>
              </w:rPr>
              <w:instrText xml:space="preserve"> \* MERGEFORMAT </w:instrText>
            </w:r>
            <w:r w:rsidR="001B4F2A" w:rsidRPr="00BD6C5F">
              <w:rPr>
                <w:rFonts w:asciiTheme="minorHAnsi" w:hAnsiTheme="minorHAnsi" w:cstheme="minorHAnsi"/>
              </w:rPr>
            </w:r>
            <w:r w:rsidR="001B4F2A" w:rsidRPr="00BD6C5F">
              <w:rPr>
                <w:rFonts w:asciiTheme="minorHAnsi" w:hAnsiTheme="minorHAnsi" w:cstheme="minorHAnsi"/>
              </w:rPr>
              <w:fldChar w:fldCharType="separate"/>
            </w:r>
            <w:r w:rsidR="009749A0">
              <w:rPr>
                <w:rFonts w:asciiTheme="minorHAnsi" w:hAnsiTheme="minorHAnsi" w:cstheme="minorHAnsi"/>
              </w:rPr>
              <w:t>1.3</w:t>
            </w:r>
            <w:r w:rsidR="001B4F2A"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Schedule_15_Part_B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B</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13247AB1" w14:textId="77777777" w:rsidTr="00381D62">
        <w:tc>
          <w:tcPr>
            <w:tcW w:w="3572" w:type="dxa"/>
          </w:tcPr>
          <w:p w14:paraId="1553604D" w14:textId="6838C2C8"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Overhead</w:t>
            </w:r>
            <w:r w:rsidRPr="00BD6C5F">
              <w:rPr>
                <w:rFonts w:asciiTheme="minorHAnsi" w:hAnsiTheme="minorHAnsi" w:cstheme="minorHAnsi"/>
                <w:b/>
              </w:rPr>
              <w:t>”</w:t>
            </w:r>
          </w:p>
        </w:tc>
        <w:tc>
          <w:tcPr>
            <w:tcW w:w="5953" w:type="dxa"/>
          </w:tcPr>
          <w:p w14:paraId="7A366097" w14:textId="55427A1F"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those amounts which are intended to recover a proportion of the Supplier</w:t>
            </w:r>
            <w:r w:rsidR="00A4555C" w:rsidRPr="00BD6C5F">
              <w:rPr>
                <w:rFonts w:asciiTheme="minorHAnsi" w:hAnsiTheme="minorHAnsi" w:cstheme="minorHAnsi"/>
              </w:rPr>
              <w:t>’</w:t>
            </w:r>
            <w:r w:rsidRPr="00BD6C5F">
              <w:rPr>
                <w:rFonts w:asciiTheme="minorHAnsi" w:hAnsiTheme="minorHAnsi" w:cstheme="minorHAnsi"/>
              </w:rPr>
              <w:t>s or the Key Sub-contractor</w:t>
            </w:r>
            <w:r w:rsidR="00A4555C" w:rsidRPr="00BD6C5F">
              <w:rPr>
                <w:rFonts w:asciiTheme="minorHAnsi" w:hAnsiTheme="minorHAnsi" w:cstheme="minorHAnsi"/>
              </w:rPr>
              <w:t>’</w:t>
            </w:r>
            <w:r w:rsidRPr="00BD6C5F">
              <w:rPr>
                <w:rFonts w:asciiTheme="minorHAnsi" w:hAnsiTheme="minorHAnsi" w:cstheme="minorHAnsi"/>
              </w:rPr>
              <w:t xml:space="preserve">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00A4555C" w:rsidRPr="00BD6C5F">
              <w:rPr>
                <w:rFonts w:asciiTheme="minorHAnsi" w:hAnsiTheme="minorHAnsi" w:cstheme="minorHAnsi"/>
              </w:rPr>
              <w:t>“</w:t>
            </w:r>
            <w:r w:rsidRPr="00BD6C5F">
              <w:rPr>
                <w:rFonts w:asciiTheme="minorHAnsi" w:hAnsiTheme="minorHAnsi" w:cstheme="minorHAnsi"/>
              </w:rPr>
              <w:t>Costs</w:t>
            </w:r>
            <w:r w:rsidR="00A4555C" w:rsidRPr="00BD6C5F">
              <w:rPr>
                <w:rFonts w:asciiTheme="minorHAnsi" w:hAnsiTheme="minorHAnsi" w:cstheme="minorHAnsi"/>
              </w:rPr>
              <w:t>”</w:t>
            </w:r>
            <w:r w:rsidRPr="00BD6C5F">
              <w:rPr>
                <w:rFonts w:asciiTheme="minorHAnsi" w:hAnsiTheme="minorHAnsi" w:cstheme="minorHAnsi"/>
              </w:rPr>
              <w:t xml:space="preserve"> or the day cost</w:t>
            </w:r>
            <w:r w:rsidR="00925189" w:rsidRPr="00BD6C5F">
              <w:rPr>
                <w:rFonts w:asciiTheme="minorHAnsi" w:hAnsiTheme="minorHAnsi" w:cstheme="minorHAnsi"/>
              </w:rPr>
              <w:t xml:space="preserve"> </w:t>
            </w:r>
            <w:r w:rsidRPr="00BD6C5F">
              <w:rPr>
                <w:rFonts w:asciiTheme="minorHAnsi" w:hAnsiTheme="minorHAnsi" w:cstheme="minorHAnsi"/>
              </w:rPr>
              <w:t xml:space="preserve">set out in Table 3 of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Schedule_15_Part_E_Annex_1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1</w:t>
            </w:r>
            <w:r w:rsidR="00C101F7">
              <w:rPr>
                <w:rFonts w:asciiTheme="minorHAnsi" w:hAnsiTheme="minorHAnsi" w:cstheme="minorHAnsi"/>
              </w:rPr>
              <w:fldChar w:fldCharType="end"/>
            </w:r>
            <w:r w:rsidR="00C101F7">
              <w:rPr>
                <w:rFonts w:asciiTheme="minorHAnsi" w:hAnsiTheme="minorHAnsi" w:cstheme="minorHAnsi"/>
              </w:rPr>
              <w:t xml:space="preserve"> of 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E</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6D8C2BCC" w14:textId="77777777" w:rsidTr="00381D62">
        <w:tc>
          <w:tcPr>
            <w:tcW w:w="3572" w:type="dxa"/>
          </w:tcPr>
          <w:p w14:paraId="489B8BB0" w14:textId="530C23AB"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Reimbursable Expenses</w:t>
            </w:r>
            <w:r w:rsidRPr="00BD6C5F">
              <w:rPr>
                <w:rFonts w:asciiTheme="minorHAnsi" w:hAnsiTheme="minorHAnsi" w:cstheme="minorHAnsi"/>
                <w:b/>
              </w:rPr>
              <w:t>”</w:t>
            </w:r>
          </w:p>
        </w:tc>
        <w:tc>
          <w:tcPr>
            <w:tcW w:w="5953" w:type="dxa"/>
          </w:tcPr>
          <w:p w14:paraId="124AAB98" w14:textId="1649DB81"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reasonable out of pocket travel and subsistence (for example, hotel and food) expenses, properly and necessarily incurred in the performance of the Services, calculated at the rates and in accordance with the Authority</w:t>
            </w:r>
            <w:r w:rsidR="00A4555C" w:rsidRPr="00BD6C5F">
              <w:rPr>
                <w:rFonts w:asciiTheme="minorHAnsi" w:hAnsiTheme="minorHAnsi" w:cstheme="minorHAnsi"/>
              </w:rPr>
              <w:t>’</w:t>
            </w:r>
            <w:r w:rsidRPr="00BD6C5F">
              <w:rPr>
                <w:rFonts w:asciiTheme="minorHAnsi" w:hAnsiTheme="minorHAnsi" w:cstheme="minorHAnsi"/>
              </w:rPr>
              <w:t>s expenses policy current from time to time, but not including:</w:t>
            </w:r>
          </w:p>
          <w:p w14:paraId="55A592BA" w14:textId="77777777" w:rsidR="00BC7DDA" w:rsidRPr="00BD6C5F" w:rsidRDefault="009B03E9" w:rsidP="00381D62">
            <w:pPr>
              <w:pStyle w:val="Tablea"/>
            </w:pPr>
            <w:r w:rsidRPr="00BD6C5F">
              <w:t>travel expenses incurred as a result of Supplier Personnel travelling to and from their usual place of work, or to and from the premises at which the Services are principally to be performed, unless the Authority otherwise agrees in advance in writing; and</w:t>
            </w:r>
          </w:p>
          <w:p w14:paraId="4BFABF5D" w14:textId="77777777" w:rsidR="00BC7DDA" w:rsidRPr="00BD6C5F" w:rsidRDefault="009B03E9" w:rsidP="003A5D4B">
            <w:pPr>
              <w:pStyle w:val="Tablea"/>
            </w:pPr>
            <w:r w:rsidRPr="00BD6C5F">
              <w:t>subsistence expenses incurred by Supplier Personnel whilst performing the Services at their usual place of work, or to and from the premises at which the Services are principally to be performed;</w:t>
            </w:r>
          </w:p>
        </w:tc>
      </w:tr>
      <w:tr w:rsidR="00BC7DDA" w:rsidRPr="00BD6C5F" w14:paraId="2062885E" w14:textId="77777777" w:rsidTr="00381D62">
        <w:tc>
          <w:tcPr>
            <w:tcW w:w="3572" w:type="dxa"/>
          </w:tcPr>
          <w:p w14:paraId="35792938" w14:textId="368AE22D"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Supplier Profit</w:t>
            </w:r>
            <w:r w:rsidRPr="00BD6C5F">
              <w:rPr>
                <w:rFonts w:asciiTheme="minorHAnsi" w:hAnsiTheme="minorHAnsi" w:cstheme="minorHAnsi"/>
                <w:b/>
              </w:rPr>
              <w:t>”</w:t>
            </w:r>
          </w:p>
        </w:tc>
        <w:tc>
          <w:tcPr>
            <w:tcW w:w="5953" w:type="dxa"/>
          </w:tcPr>
          <w:p w14:paraId="042F29C8"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in relation to a period or a Milestone (as the context requires), the difference between the total Charges (in </w:t>
            </w:r>
            <w:r w:rsidRPr="00BD6C5F">
              <w:rPr>
                <w:rFonts w:asciiTheme="minorHAnsi" w:hAnsiTheme="minorHAnsi" w:cstheme="minorHAnsi"/>
              </w:rPr>
              <w:lastRenderedPageBreak/>
              <w:t>nominal cash flow terms but excluding any Deductions) and total Costs (in nominal cash flow terms) for the relevant period or in relation to the relevant Milestone;</w:t>
            </w:r>
          </w:p>
        </w:tc>
      </w:tr>
      <w:tr w:rsidR="00BC7DDA" w:rsidRPr="00BD6C5F" w14:paraId="2EA1F98B" w14:textId="77777777" w:rsidTr="00381D62">
        <w:tc>
          <w:tcPr>
            <w:tcW w:w="3572" w:type="dxa"/>
          </w:tcPr>
          <w:p w14:paraId="7F164627" w14:textId="7E5CCE09"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Supplier Profit Margin</w:t>
            </w:r>
            <w:r w:rsidRPr="00BD6C5F">
              <w:rPr>
                <w:rFonts w:asciiTheme="minorHAnsi" w:hAnsiTheme="minorHAnsi" w:cstheme="minorHAnsi"/>
                <w:b/>
              </w:rPr>
              <w:t>”</w:t>
            </w:r>
          </w:p>
        </w:tc>
        <w:tc>
          <w:tcPr>
            <w:tcW w:w="5953" w:type="dxa"/>
          </w:tcPr>
          <w:p w14:paraId="148E355D"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BC7DDA" w:rsidRPr="00BD6C5F" w14:paraId="298D027F" w14:textId="77777777" w:rsidTr="00381D62">
        <w:tc>
          <w:tcPr>
            <w:tcW w:w="3572" w:type="dxa"/>
          </w:tcPr>
          <w:p w14:paraId="16EF0B49" w14:textId="4DCE99A6"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Supporting Documentation</w:t>
            </w:r>
            <w:r w:rsidRPr="00BD6C5F">
              <w:rPr>
                <w:rFonts w:asciiTheme="minorHAnsi" w:hAnsiTheme="minorHAnsi" w:cstheme="minorHAnsi"/>
                <w:b/>
              </w:rPr>
              <w:t>”</w:t>
            </w:r>
          </w:p>
        </w:tc>
        <w:tc>
          <w:tcPr>
            <w:tcW w:w="5953" w:type="dxa"/>
          </w:tcPr>
          <w:p w14:paraId="6B90B56D"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sufficient information in writing to enable the Authority reasonably to assess whether the Charges, Reimbursable Expenses and other sums due from the Authority detailed in the information are properly payable, including copies of any applicable Milestone Achievement Certificates or receipts;</w:t>
            </w:r>
          </w:p>
        </w:tc>
      </w:tr>
      <w:tr w:rsidR="00BC7DDA" w:rsidRPr="00BD6C5F" w14:paraId="48ECEEA7" w14:textId="77777777" w:rsidTr="00381D62">
        <w:tc>
          <w:tcPr>
            <w:tcW w:w="3572" w:type="dxa"/>
          </w:tcPr>
          <w:p w14:paraId="21A58B32" w14:textId="0911D3C5"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Target Cost</w:t>
            </w:r>
            <w:r w:rsidRPr="00BD6C5F">
              <w:rPr>
                <w:rFonts w:asciiTheme="minorHAnsi" w:hAnsiTheme="minorHAnsi" w:cstheme="minorHAnsi"/>
                <w:b/>
              </w:rPr>
              <w:t>”</w:t>
            </w:r>
          </w:p>
        </w:tc>
        <w:tc>
          <w:tcPr>
            <w:tcW w:w="5953" w:type="dxa"/>
          </w:tcPr>
          <w:p w14:paraId="66D9B476" w14:textId="595E022B"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1B4F2A" w:rsidRPr="00BD6C5F">
              <w:rPr>
                <w:rFonts w:asciiTheme="minorHAnsi" w:hAnsiTheme="minorHAnsi" w:cstheme="minorHAnsi"/>
              </w:rPr>
              <w:fldChar w:fldCharType="begin"/>
            </w:r>
            <w:r w:rsidR="001B4F2A" w:rsidRPr="00BD6C5F">
              <w:rPr>
                <w:rFonts w:asciiTheme="minorHAnsi" w:hAnsiTheme="minorHAnsi" w:cstheme="minorHAnsi"/>
              </w:rPr>
              <w:instrText xml:space="preserve"> REF _Ref98411957 \n \h </w:instrText>
            </w:r>
            <w:r w:rsidR="00AD7DD0" w:rsidRPr="00BD6C5F">
              <w:rPr>
                <w:rFonts w:asciiTheme="minorHAnsi" w:hAnsiTheme="minorHAnsi" w:cstheme="minorHAnsi"/>
              </w:rPr>
              <w:instrText xml:space="preserve"> \* MERGEFORMAT </w:instrText>
            </w:r>
            <w:r w:rsidR="001B4F2A" w:rsidRPr="00BD6C5F">
              <w:rPr>
                <w:rFonts w:asciiTheme="minorHAnsi" w:hAnsiTheme="minorHAnsi" w:cstheme="minorHAnsi"/>
              </w:rPr>
            </w:r>
            <w:r w:rsidR="001B4F2A" w:rsidRPr="00BD6C5F">
              <w:rPr>
                <w:rFonts w:asciiTheme="minorHAnsi" w:hAnsiTheme="minorHAnsi" w:cstheme="minorHAnsi"/>
              </w:rPr>
              <w:fldChar w:fldCharType="separate"/>
            </w:r>
            <w:r w:rsidR="009749A0">
              <w:rPr>
                <w:rFonts w:asciiTheme="minorHAnsi" w:hAnsiTheme="minorHAnsi" w:cstheme="minorHAnsi"/>
              </w:rPr>
              <w:t>3.1</w:t>
            </w:r>
            <w:r w:rsidR="001B4F2A"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Schedule_15_Part_A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A</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46AA6868" w14:textId="77777777" w:rsidTr="00381D62">
        <w:tc>
          <w:tcPr>
            <w:tcW w:w="3572" w:type="dxa"/>
          </w:tcPr>
          <w:p w14:paraId="448C6A10" w14:textId="728295D2"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Target Price</w:t>
            </w:r>
            <w:r w:rsidRPr="00BD6C5F">
              <w:rPr>
                <w:rFonts w:asciiTheme="minorHAnsi" w:hAnsiTheme="minorHAnsi" w:cstheme="minorHAnsi"/>
                <w:b/>
              </w:rPr>
              <w:t>”</w:t>
            </w:r>
          </w:p>
        </w:tc>
        <w:tc>
          <w:tcPr>
            <w:tcW w:w="5953" w:type="dxa"/>
          </w:tcPr>
          <w:p w14:paraId="59CDC925" w14:textId="0149CE5D"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1B4F2A" w:rsidRPr="00BD6C5F">
              <w:rPr>
                <w:rFonts w:asciiTheme="minorHAnsi" w:hAnsiTheme="minorHAnsi" w:cstheme="minorHAnsi"/>
              </w:rPr>
              <w:fldChar w:fldCharType="begin"/>
            </w:r>
            <w:r w:rsidR="001B4F2A" w:rsidRPr="00BD6C5F">
              <w:rPr>
                <w:rFonts w:asciiTheme="minorHAnsi" w:hAnsiTheme="minorHAnsi" w:cstheme="minorHAnsi"/>
              </w:rPr>
              <w:instrText xml:space="preserve"> REF _Ref98411957 \n \h </w:instrText>
            </w:r>
            <w:r w:rsidR="00AD7DD0" w:rsidRPr="00BD6C5F">
              <w:rPr>
                <w:rFonts w:asciiTheme="minorHAnsi" w:hAnsiTheme="minorHAnsi" w:cstheme="minorHAnsi"/>
              </w:rPr>
              <w:instrText xml:space="preserve"> \* MERGEFORMAT </w:instrText>
            </w:r>
            <w:r w:rsidR="001B4F2A" w:rsidRPr="00BD6C5F">
              <w:rPr>
                <w:rFonts w:asciiTheme="minorHAnsi" w:hAnsiTheme="minorHAnsi" w:cstheme="minorHAnsi"/>
              </w:rPr>
            </w:r>
            <w:r w:rsidR="001B4F2A" w:rsidRPr="00BD6C5F">
              <w:rPr>
                <w:rFonts w:asciiTheme="minorHAnsi" w:hAnsiTheme="minorHAnsi" w:cstheme="minorHAnsi"/>
              </w:rPr>
              <w:fldChar w:fldCharType="separate"/>
            </w:r>
            <w:r w:rsidR="009749A0">
              <w:rPr>
                <w:rFonts w:asciiTheme="minorHAnsi" w:hAnsiTheme="minorHAnsi" w:cstheme="minorHAnsi"/>
              </w:rPr>
              <w:t>3.1</w:t>
            </w:r>
            <w:r w:rsidR="001B4F2A" w:rsidRPr="00BD6C5F">
              <w:rPr>
                <w:rFonts w:asciiTheme="minorHAnsi" w:hAnsiTheme="minorHAnsi" w:cstheme="minorHAnsi"/>
              </w:rPr>
              <w:fldChar w:fldCharType="end"/>
            </w:r>
            <w:r w:rsidR="001B4F2A"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Schedule_15_Part_A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A</w:t>
            </w:r>
            <w:r w:rsidR="00C101F7">
              <w:rPr>
                <w:rFonts w:asciiTheme="minorHAnsi" w:hAnsiTheme="minorHAnsi" w:cstheme="minorHAnsi"/>
              </w:rPr>
              <w:fldChar w:fldCharType="end"/>
            </w:r>
            <w:r w:rsidRPr="00BD6C5F">
              <w:rPr>
                <w:rFonts w:asciiTheme="minorHAnsi" w:hAnsiTheme="minorHAnsi" w:cstheme="minorHAnsi"/>
              </w:rPr>
              <w:t>;</w:t>
            </w:r>
          </w:p>
        </w:tc>
      </w:tr>
      <w:tr w:rsidR="00BC7DDA" w:rsidRPr="00BD6C5F" w14:paraId="69830341" w14:textId="77777777" w:rsidTr="00381D62">
        <w:tc>
          <w:tcPr>
            <w:tcW w:w="3572" w:type="dxa"/>
          </w:tcPr>
          <w:p w14:paraId="12744110" w14:textId="1F122B66" w:rsidR="00BC7DDA" w:rsidRPr="00BD6C5F" w:rsidRDefault="00A4555C" w:rsidP="00287379">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Verification Period</w:t>
            </w:r>
            <w:r w:rsidRPr="00BD6C5F">
              <w:rPr>
                <w:rFonts w:asciiTheme="minorHAnsi" w:hAnsiTheme="minorHAnsi" w:cstheme="minorHAnsi"/>
                <w:b/>
              </w:rPr>
              <w:t>”</w:t>
            </w:r>
          </w:p>
        </w:tc>
        <w:tc>
          <w:tcPr>
            <w:tcW w:w="5953" w:type="dxa"/>
          </w:tcPr>
          <w:p w14:paraId="5057BE78" w14:textId="77777777" w:rsidR="00BC7DDA" w:rsidRPr="00BD6C5F" w:rsidRDefault="009B03E9" w:rsidP="00287379">
            <w:pPr>
              <w:pStyle w:val="Tabletext"/>
              <w:rPr>
                <w:rFonts w:asciiTheme="minorHAnsi" w:hAnsiTheme="minorHAnsi" w:cstheme="minorHAnsi"/>
              </w:rPr>
            </w:pPr>
            <w:r w:rsidRPr="00BD6C5F">
              <w:rPr>
                <w:rFonts w:asciiTheme="minorHAnsi" w:hAnsiTheme="minorHAnsi" w:cstheme="minorHAnsi"/>
              </w:rPr>
              <w:t>in relation to an Allowable Assumption, the period from (and including) the Effective Date to (and</w:t>
            </w:r>
            <w:r w:rsidR="00287379" w:rsidRPr="00BD6C5F">
              <w:rPr>
                <w:rFonts w:asciiTheme="minorHAnsi" w:hAnsiTheme="minorHAnsi" w:cstheme="minorHAnsi"/>
              </w:rPr>
              <w:t xml:space="preserve"> </w:t>
            </w:r>
            <w:r w:rsidRPr="00BD6C5F">
              <w:rPr>
                <w:rFonts w:asciiTheme="minorHAnsi" w:hAnsiTheme="minorHAnsi" w:cstheme="minorHAnsi"/>
              </w:rPr>
              <w:t>including) the date at which the relevant Allowable</w:t>
            </w:r>
          </w:p>
          <w:p w14:paraId="016DB9F1" w14:textId="5127BED2" w:rsidR="00287379" w:rsidRPr="00BD6C5F" w:rsidRDefault="00287379" w:rsidP="00287379">
            <w:pPr>
              <w:pStyle w:val="Tabletext"/>
              <w:rPr>
                <w:rFonts w:asciiTheme="minorHAnsi" w:hAnsiTheme="minorHAnsi" w:cstheme="minorHAnsi"/>
              </w:rPr>
            </w:pPr>
            <w:r w:rsidRPr="00BD6C5F">
              <w:rPr>
                <w:rFonts w:asciiTheme="minorHAnsi" w:hAnsiTheme="minorHAnsi" w:cstheme="minorHAnsi"/>
              </w:rPr>
              <w:t xml:space="preserve">Assumption expires, as set out against the relevant Allowable Assumption in column 11 in the table in </w:t>
            </w:r>
            <w:r w:rsidR="00C101F7">
              <w:rPr>
                <w:rFonts w:asciiTheme="minorHAnsi" w:hAnsiTheme="minorHAnsi" w:cstheme="minorHAnsi"/>
              </w:rPr>
              <w:t>Annex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Schedule_15_Part_E_Annex_5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5</w:t>
            </w:r>
            <w:r w:rsidR="00C101F7">
              <w:rPr>
                <w:rFonts w:asciiTheme="minorHAnsi" w:hAnsiTheme="minorHAnsi" w:cstheme="minorHAnsi"/>
              </w:rPr>
              <w:fldChar w:fldCharType="end"/>
            </w:r>
            <w:r w:rsidR="00C101F7">
              <w:rPr>
                <w:rFonts w:asciiTheme="minorHAnsi" w:hAnsiTheme="minorHAnsi" w:cstheme="minorHAnsi"/>
              </w:rPr>
              <w:t xml:space="preserve"> of 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Schedule_15_Part_E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E</w:t>
            </w:r>
            <w:r w:rsidR="00C101F7">
              <w:rPr>
                <w:rFonts w:asciiTheme="minorHAnsi" w:hAnsiTheme="minorHAnsi" w:cstheme="minorHAnsi"/>
              </w:rPr>
              <w:fldChar w:fldCharType="end"/>
            </w:r>
            <w:r w:rsidRPr="00BD6C5F">
              <w:rPr>
                <w:rFonts w:asciiTheme="minorHAnsi" w:hAnsiTheme="minorHAnsi" w:cstheme="minorHAnsi"/>
              </w:rPr>
              <w:t>;</w:t>
            </w:r>
          </w:p>
        </w:tc>
      </w:tr>
      <w:tr w:rsidR="00287379" w:rsidRPr="00BD6C5F" w14:paraId="0872F03F" w14:textId="77777777" w:rsidTr="00381D62">
        <w:tc>
          <w:tcPr>
            <w:tcW w:w="3572" w:type="dxa"/>
          </w:tcPr>
          <w:p w14:paraId="44BC7DA9" w14:textId="170E65E0" w:rsidR="00287379" w:rsidRPr="00BD6C5F" w:rsidRDefault="00287379" w:rsidP="00287379">
            <w:pPr>
              <w:pStyle w:val="Tabletext"/>
              <w:rPr>
                <w:rFonts w:asciiTheme="minorHAnsi" w:hAnsiTheme="minorHAnsi" w:cstheme="minorHAnsi"/>
                <w:b/>
              </w:rPr>
            </w:pPr>
            <w:r w:rsidRPr="00BD6C5F">
              <w:rPr>
                <w:rFonts w:asciiTheme="minorHAnsi" w:hAnsiTheme="minorHAnsi" w:cstheme="minorHAnsi"/>
                <w:b/>
              </w:rPr>
              <w:t>“Work Day”</w:t>
            </w:r>
          </w:p>
        </w:tc>
        <w:tc>
          <w:tcPr>
            <w:tcW w:w="5953" w:type="dxa"/>
          </w:tcPr>
          <w:p w14:paraId="0E2DA72C" w14:textId="58265489" w:rsidR="00287379" w:rsidRPr="00BD6C5F" w:rsidRDefault="00287379" w:rsidP="00287379">
            <w:pPr>
              <w:pStyle w:val="Tabletext"/>
              <w:rPr>
                <w:rFonts w:asciiTheme="minorHAnsi" w:hAnsiTheme="minorHAnsi" w:cstheme="minorHAnsi"/>
              </w:rPr>
            </w:pPr>
            <w:r w:rsidRPr="00BD6C5F">
              <w:rPr>
                <w:rFonts w:asciiTheme="minorHAnsi" w:hAnsiTheme="minorHAnsi" w:cstheme="minorHAnsi"/>
              </w:rPr>
              <w:t>7.5 Work Hours, whether or not such hours are worked consecutively and whether or not they are worked on the same day;</w:t>
            </w:r>
          </w:p>
        </w:tc>
      </w:tr>
      <w:tr w:rsidR="00287379" w:rsidRPr="00BD6C5F" w14:paraId="1DD51704" w14:textId="77777777" w:rsidTr="00381D62">
        <w:tc>
          <w:tcPr>
            <w:tcW w:w="3572" w:type="dxa"/>
          </w:tcPr>
          <w:p w14:paraId="6A7C3B13" w14:textId="6737043C" w:rsidR="00287379" w:rsidRPr="00BD6C5F" w:rsidRDefault="00287379" w:rsidP="00287379">
            <w:pPr>
              <w:pStyle w:val="Tabletext"/>
              <w:rPr>
                <w:rFonts w:asciiTheme="minorHAnsi" w:hAnsiTheme="minorHAnsi" w:cstheme="minorHAnsi"/>
                <w:b/>
              </w:rPr>
            </w:pPr>
            <w:r w:rsidRPr="00BD6C5F">
              <w:rPr>
                <w:rFonts w:asciiTheme="minorHAnsi" w:hAnsiTheme="minorHAnsi" w:cstheme="minorHAnsi"/>
                <w:b/>
              </w:rPr>
              <w:t>“Work Hours”</w:t>
            </w:r>
          </w:p>
        </w:tc>
        <w:tc>
          <w:tcPr>
            <w:tcW w:w="5953" w:type="dxa"/>
          </w:tcPr>
          <w:p w14:paraId="3AF32B68" w14:textId="61313E9A" w:rsidR="00287379" w:rsidRPr="00BD6C5F" w:rsidRDefault="00287379" w:rsidP="00287379">
            <w:pPr>
              <w:pStyle w:val="Tabletext"/>
              <w:rPr>
                <w:rFonts w:asciiTheme="minorHAnsi" w:hAnsiTheme="minorHAnsi" w:cstheme="minorHAnsi"/>
              </w:rPr>
            </w:pPr>
            <w:r w:rsidRPr="00BD6C5F">
              <w:rPr>
                <w:rFonts w:asciiTheme="minorHAnsi" w:hAnsiTheme="minorHAnsi" w:cstheme="minorHAnsi"/>
              </w:rPr>
              <w:t>the hours spent by the Supplier Personnel properly working on the Services including time spent travelling (other than to and from the Supplier’s offices, or to and from the Sites) but excluding lunch breaks;</w:t>
            </w:r>
          </w:p>
        </w:tc>
      </w:tr>
    </w:tbl>
    <w:p w14:paraId="58DF559B" w14:textId="0FE4B533" w:rsidR="00BC7DDA" w:rsidRPr="00BD6C5F" w:rsidRDefault="001F7CA7" w:rsidP="006D411A">
      <w:pPr>
        <w:pStyle w:val="Heading2"/>
        <w:pageBreakBefore/>
      </w:pPr>
      <w:bookmarkStart w:id="544" w:name="_Toc141721005"/>
      <w:r w:rsidRPr="00BD6C5F">
        <w:lastRenderedPageBreak/>
        <w:t xml:space="preserve">Part </w:t>
      </w:r>
      <w:bookmarkStart w:id="545" w:name="Schedule_15_Part_A"/>
      <w:r w:rsidRPr="00BD6C5F">
        <w:t>A</w:t>
      </w:r>
      <w:bookmarkEnd w:id="545"/>
      <w:r w:rsidRPr="00BD6C5F">
        <w:t xml:space="preserve">: </w:t>
      </w:r>
      <w:bookmarkStart w:id="546" w:name="_bookmark184"/>
      <w:bookmarkStart w:id="547" w:name="_Toc98332736"/>
      <w:bookmarkStart w:id="548" w:name="_Ref98411966"/>
      <w:bookmarkStart w:id="549" w:name="_Toc98852913"/>
      <w:bookmarkEnd w:id="546"/>
      <w:r w:rsidRPr="00BD6C5F">
        <w:t>Pricing</w:t>
      </w:r>
      <w:bookmarkEnd w:id="547"/>
      <w:bookmarkEnd w:id="548"/>
      <w:bookmarkEnd w:id="549"/>
      <w:bookmarkEnd w:id="544"/>
    </w:p>
    <w:p w14:paraId="0AE3EEB5" w14:textId="0FAB6E12" w:rsidR="00BC7DDA" w:rsidRPr="00BD6C5F" w:rsidRDefault="001F7CA7" w:rsidP="00B71FC0">
      <w:pPr>
        <w:pStyle w:val="Numbered1"/>
        <w:numPr>
          <w:ilvl w:val="0"/>
          <w:numId w:val="94"/>
        </w:numPr>
      </w:pPr>
      <w:r w:rsidRPr="00BD6C5F">
        <w:t>Applicable Pricing Mechanism</w:t>
      </w:r>
    </w:p>
    <w:p w14:paraId="65494F99" w14:textId="723B7E83" w:rsidR="00BC7DDA" w:rsidRPr="00BD6C5F" w:rsidRDefault="009B03E9" w:rsidP="00C5057A">
      <w:pPr>
        <w:pStyle w:val="Numbered11"/>
      </w:pPr>
      <w:r w:rsidRPr="00BD6C5F">
        <w:t xml:space="preserve">Milestone Payments and Service Charges shall be calculated using the pricing mechanism specified in </w:t>
      </w:r>
      <w:r w:rsidR="00095858">
        <w:t>Annex </w:t>
      </w:r>
      <w:r w:rsidR="00095858">
        <w:fldChar w:fldCharType="begin"/>
      </w:r>
      <w:r w:rsidR="00095858">
        <w:instrText xml:space="preserve"> REF Schedule_15_Part_E_Annex_2 \h </w:instrText>
      </w:r>
      <w:r w:rsidR="00095858">
        <w:fldChar w:fldCharType="separate"/>
      </w:r>
      <w:r w:rsidR="009749A0" w:rsidRPr="00BD6C5F">
        <w:t>2</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 xml:space="preserve"> and on the basis of the rates and prices specified in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00095858" w:rsidRPr="00BD6C5F">
        <w:t xml:space="preserve"> </w:t>
      </w:r>
      <w:r w:rsidRPr="00BD6C5F">
        <w:t>as more particularly set out in this Schedule.</w:t>
      </w:r>
    </w:p>
    <w:p w14:paraId="487F831D" w14:textId="51D2E070" w:rsidR="00BC7DDA" w:rsidRPr="00BD6C5F" w:rsidRDefault="009B03E9" w:rsidP="00A47A7E">
      <w:pPr>
        <w:pStyle w:val="Numbered11"/>
        <w:keepNext/>
      </w:pPr>
      <w:r w:rsidRPr="00BD6C5F">
        <w:t xml:space="preserve">Table 1 of </w:t>
      </w:r>
      <w:r w:rsidR="00095858">
        <w:t>Annex </w:t>
      </w:r>
      <w:r w:rsidR="00095858">
        <w:fldChar w:fldCharType="begin"/>
      </w:r>
      <w:r w:rsidR="00095858">
        <w:instrText xml:space="preserve"> REF Schedule_15_Part_E_Annex_2 \h </w:instrText>
      </w:r>
      <w:r w:rsidR="00095858">
        <w:fldChar w:fldCharType="separate"/>
      </w:r>
      <w:r w:rsidR="009749A0" w:rsidRPr="00BD6C5F">
        <w:t>2</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00095858" w:rsidRPr="00BD6C5F">
        <w:t xml:space="preserve"> </w:t>
      </w:r>
      <w:r w:rsidRPr="00BD6C5F">
        <w:t>sets out which pricing mechanism shall be used to calculate each Milestone Payment, which shall be one or more of the following:</w:t>
      </w:r>
    </w:p>
    <w:p w14:paraId="5ED5C3E7" w14:textId="6ABA3181" w:rsidR="00BC7DDA" w:rsidRPr="00BD6C5F" w:rsidRDefault="00A4555C" w:rsidP="001F7CA7">
      <w:pPr>
        <w:pStyle w:val="Numbered111"/>
      </w:pPr>
      <w:r w:rsidRPr="00BD6C5F">
        <w:t>“</w:t>
      </w:r>
      <w:r w:rsidR="009B03E9" w:rsidRPr="00BD6C5F">
        <w:rPr>
          <w:b/>
        </w:rPr>
        <w:t>Time and Materials</w:t>
      </w:r>
      <w:r w:rsidRPr="00BD6C5F">
        <w:t>”</w:t>
      </w:r>
      <w:r w:rsidR="009B03E9" w:rsidRPr="00BD6C5F">
        <w:t xml:space="preserve">, in which case the provisions of Paragraph </w:t>
      </w:r>
      <w:r w:rsidR="001B4F2A" w:rsidRPr="00BD6C5F">
        <w:fldChar w:fldCharType="begin"/>
      </w:r>
      <w:r w:rsidR="001B4F2A" w:rsidRPr="00BD6C5F">
        <w:instrText xml:space="preserve"> REF _Ref98411991 \n \h </w:instrText>
      </w:r>
      <w:r w:rsidR="00AD7DD0" w:rsidRPr="00BD6C5F">
        <w:instrText xml:space="preserve"> \* MERGEFORMAT </w:instrText>
      </w:r>
      <w:r w:rsidR="001B4F2A" w:rsidRPr="00BD6C5F">
        <w:fldChar w:fldCharType="separate"/>
      </w:r>
      <w:r w:rsidR="009749A0">
        <w:t>2</w:t>
      </w:r>
      <w:r w:rsidR="001B4F2A" w:rsidRPr="00BD6C5F">
        <w:fldChar w:fldCharType="end"/>
      </w:r>
      <w:r w:rsidR="009B03E9" w:rsidRPr="00BD6C5F">
        <w:t xml:space="preserve"> shall apply;</w:t>
      </w:r>
    </w:p>
    <w:p w14:paraId="49C962FD" w14:textId="102C217E" w:rsidR="00BC7DDA" w:rsidRPr="00BD6C5F" w:rsidRDefault="00A4555C" w:rsidP="001F7CA7">
      <w:pPr>
        <w:pStyle w:val="Numbered111"/>
      </w:pPr>
      <w:r w:rsidRPr="00BD6C5F">
        <w:t>“</w:t>
      </w:r>
      <w:r w:rsidR="009B03E9" w:rsidRPr="00BD6C5F">
        <w:rPr>
          <w:b/>
        </w:rPr>
        <w:t>Guaranteed Maximum Price with Target Cost</w:t>
      </w:r>
      <w:r w:rsidRPr="00BD6C5F">
        <w:t>”</w:t>
      </w:r>
      <w:r w:rsidR="009B03E9" w:rsidRPr="00BD6C5F">
        <w:t xml:space="preserve">, in which case the provisions of Paragraph </w:t>
      </w:r>
      <w:r w:rsidR="001B4F2A" w:rsidRPr="00BD6C5F">
        <w:fldChar w:fldCharType="begin"/>
      </w:r>
      <w:r w:rsidR="001B4F2A" w:rsidRPr="00BD6C5F">
        <w:instrText xml:space="preserve"> REF _Ref98412016 \n \h </w:instrText>
      </w:r>
      <w:r w:rsidR="00AD7DD0" w:rsidRPr="00BD6C5F">
        <w:instrText xml:space="preserve"> \* MERGEFORMAT </w:instrText>
      </w:r>
      <w:r w:rsidR="001B4F2A" w:rsidRPr="00BD6C5F">
        <w:fldChar w:fldCharType="separate"/>
      </w:r>
      <w:r w:rsidR="009749A0">
        <w:t>3</w:t>
      </w:r>
      <w:r w:rsidR="001B4F2A" w:rsidRPr="00BD6C5F">
        <w:fldChar w:fldCharType="end"/>
      </w:r>
      <w:r w:rsidR="009B03E9" w:rsidRPr="00BD6C5F">
        <w:t xml:space="preserve"> shall apply;</w:t>
      </w:r>
    </w:p>
    <w:p w14:paraId="4DE7573B" w14:textId="0F034CA5" w:rsidR="00BC7DDA" w:rsidRPr="00BD6C5F" w:rsidRDefault="00A4555C" w:rsidP="001F7CA7">
      <w:pPr>
        <w:pStyle w:val="Numbered111"/>
      </w:pPr>
      <w:r w:rsidRPr="00BD6C5F">
        <w:t>“</w:t>
      </w:r>
      <w:r w:rsidR="009B03E9" w:rsidRPr="00BD6C5F">
        <w:rPr>
          <w:b/>
        </w:rPr>
        <w:t>Fixed Price</w:t>
      </w:r>
      <w:r w:rsidRPr="00BD6C5F">
        <w:t>”</w:t>
      </w:r>
      <w:r w:rsidR="009B03E9" w:rsidRPr="00BD6C5F">
        <w:t xml:space="preserve">, in which case the provisions of Paragraph </w:t>
      </w:r>
      <w:r w:rsidR="001B4F2A" w:rsidRPr="00BD6C5F">
        <w:fldChar w:fldCharType="begin"/>
      </w:r>
      <w:r w:rsidR="001B4F2A" w:rsidRPr="00BD6C5F">
        <w:instrText xml:space="preserve"> REF _Ref98412024 \n \h </w:instrText>
      </w:r>
      <w:r w:rsidR="00AD7DD0" w:rsidRPr="00BD6C5F">
        <w:instrText xml:space="preserve"> \* MERGEFORMAT </w:instrText>
      </w:r>
      <w:r w:rsidR="001B4F2A" w:rsidRPr="00BD6C5F">
        <w:fldChar w:fldCharType="separate"/>
      </w:r>
      <w:r w:rsidR="009749A0">
        <w:t>4</w:t>
      </w:r>
      <w:r w:rsidR="001B4F2A" w:rsidRPr="00BD6C5F">
        <w:fldChar w:fldCharType="end"/>
      </w:r>
      <w:r w:rsidR="009B03E9" w:rsidRPr="00BD6C5F">
        <w:t xml:space="preserve"> shall apply; or</w:t>
      </w:r>
    </w:p>
    <w:p w14:paraId="3F0A4BAC" w14:textId="73AFD2DE" w:rsidR="00BC7DDA" w:rsidRPr="00BD6C5F" w:rsidRDefault="00A4555C" w:rsidP="001F7CA7">
      <w:pPr>
        <w:pStyle w:val="Numbered111"/>
      </w:pPr>
      <w:r w:rsidRPr="00BD6C5F">
        <w:t>“</w:t>
      </w:r>
      <w:r w:rsidR="009B03E9" w:rsidRPr="00BD6C5F">
        <w:rPr>
          <w:b/>
        </w:rPr>
        <w:t>Firm Price</w:t>
      </w:r>
      <w:r w:rsidRPr="00BD6C5F">
        <w:t>”</w:t>
      </w:r>
      <w:r w:rsidR="009B03E9" w:rsidRPr="00BD6C5F">
        <w:t xml:space="preserve">, in which case the provisions of Paragraph </w:t>
      </w:r>
      <w:r w:rsidR="001B4F2A" w:rsidRPr="00BD6C5F">
        <w:fldChar w:fldCharType="begin"/>
      </w:r>
      <w:r w:rsidR="001B4F2A" w:rsidRPr="00BD6C5F">
        <w:instrText xml:space="preserve"> REF _Ref98412031 \n \h </w:instrText>
      </w:r>
      <w:r w:rsidR="00AD7DD0" w:rsidRPr="00BD6C5F">
        <w:instrText xml:space="preserve"> \* MERGEFORMAT </w:instrText>
      </w:r>
      <w:r w:rsidR="001B4F2A" w:rsidRPr="00BD6C5F">
        <w:fldChar w:fldCharType="separate"/>
      </w:r>
      <w:r w:rsidR="009749A0">
        <w:t>5</w:t>
      </w:r>
      <w:r w:rsidR="001B4F2A" w:rsidRPr="00BD6C5F">
        <w:fldChar w:fldCharType="end"/>
      </w:r>
      <w:r w:rsidR="009B03E9" w:rsidRPr="00BD6C5F">
        <w:t xml:space="preserve"> shall apply.</w:t>
      </w:r>
    </w:p>
    <w:p w14:paraId="0905EC24" w14:textId="5DEC7CAA" w:rsidR="00BC7DDA" w:rsidRPr="00BD6C5F" w:rsidRDefault="009B03E9" w:rsidP="00A47A7E">
      <w:pPr>
        <w:pStyle w:val="Numbered11"/>
        <w:keepNext/>
      </w:pPr>
      <w:r w:rsidRPr="00BD6C5F">
        <w:t xml:space="preserve">Table 2 of </w:t>
      </w:r>
      <w:r w:rsidR="00095858">
        <w:t>Annex </w:t>
      </w:r>
      <w:r w:rsidR="00095858">
        <w:fldChar w:fldCharType="begin"/>
      </w:r>
      <w:r w:rsidR="00095858">
        <w:instrText xml:space="preserve"> REF Schedule_15_Part_E_Annex_2 \h </w:instrText>
      </w:r>
      <w:r w:rsidR="00095858">
        <w:fldChar w:fldCharType="separate"/>
      </w:r>
      <w:r w:rsidR="009749A0" w:rsidRPr="00BD6C5F">
        <w:t>2</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00095858" w:rsidRPr="00BD6C5F">
        <w:t xml:space="preserve"> </w:t>
      </w:r>
      <w:r w:rsidRPr="00BD6C5F">
        <w:t>sets out which pricing mechanism shall be used to calculate each Service Charge, which shall be one or more of the following:</w:t>
      </w:r>
    </w:p>
    <w:p w14:paraId="4340CEB6" w14:textId="064CF7B6" w:rsidR="00BC7DDA" w:rsidRPr="00BD6C5F" w:rsidRDefault="00A4555C" w:rsidP="001F7CA7">
      <w:pPr>
        <w:pStyle w:val="Numbered111"/>
      </w:pPr>
      <w:r w:rsidRPr="00BD6C5F">
        <w:t>“</w:t>
      </w:r>
      <w:r w:rsidR="009B03E9" w:rsidRPr="00BD6C5F">
        <w:rPr>
          <w:b/>
        </w:rPr>
        <w:t>Time and Materials</w:t>
      </w:r>
      <w:r w:rsidRPr="00BD6C5F">
        <w:t>”</w:t>
      </w:r>
      <w:r w:rsidR="009B03E9" w:rsidRPr="00BD6C5F">
        <w:t xml:space="preserve">, in which case the provisions of Paragraph </w:t>
      </w:r>
      <w:r w:rsidR="001B4F2A" w:rsidRPr="00BD6C5F">
        <w:fldChar w:fldCharType="begin"/>
      </w:r>
      <w:r w:rsidR="001B4F2A" w:rsidRPr="00BD6C5F">
        <w:instrText xml:space="preserve"> REF _Ref98411991 \n \h </w:instrText>
      </w:r>
      <w:r w:rsidR="00AD7DD0" w:rsidRPr="00BD6C5F">
        <w:instrText xml:space="preserve"> \* MERGEFORMAT </w:instrText>
      </w:r>
      <w:r w:rsidR="001B4F2A" w:rsidRPr="00BD6C5F">
        <w:fldChar w:fldCharType="separate"/>
      </w:r>
      <w:r w:rsidR="009749A0">
        <w:t>2</w:t>
      </w:r>
      <w:r w:rsidR="001B4F2A" w:rsidRPr="00BD6C5F">
        <w:fldChar w:fldCharType="end"/>
      </w:r>
      <w:r w:rsidR="009B03E9" w:rsidRPr="00BD6C5F">
        <w:t xml:space="preserve"> shall apply;</w:t>
      </w:r>
    </w:p>
    <w:p w14:paraId="2846E759" w14:textId="735FB44C" w:rsidR="00BC7DDA" w:rsidRPr="00BD6C5F" w:rsidRDefault="00A4555C" w:rsidP="001F7CA7">
      <w:pPr>
        <w:pStyle w:val="Numbered111"/>
      </w:pPr>
      <w:r w:rsidRPr="00BD6C5F">
        <w:t>“</w:t>
      </w:r>
      <w:r w:rsidR="009B03E9" w:rsidRPr="00BD6C5F">
        <w:rPr>
          <w:b/>
        </w:rPr>
        <w:t>Volume Based</w:t>
      </w:r>
      <w:r w:rsidRPr="00BD6C5F">
        <w:t>”</w:t>
      </w:r>
      <w:r w:rsidR="009B03E9" w:rsidRPr="00BD6C5F">
        <w:t xml:space="preserve"> pricing, in which case the provisions of Paragraph </w:t>
      </w:r>
      <w:r w:rsidR="001B4F2A" w:rsidRPr="00BD6C5F">
        <w:fldChar w:fldCharType="begin"/>
      </w:r>
      <w:r w:rsidR="001B4F2A" w:rsidRPr="00BD6C5F">
        <w:instrText xml:space="preserve"> REF _Ref98412041 \n \h </w:instrText>
      </w:r>
      <w:r w:rsidR="00AD7DD0" w:rsidRPr="00BD6C5F">
        <w:instrText xml:space="preserve"> \* MERGEFORMAT </w:instrText>
      </w:r>
      <w:r w:rsidR="001B4F2A" w:rsidRPr="00BD6C5F">
        <w:fldChar w:fldCharType="separate"/>
      </w:r>
      <w:r w:rsidR="009749A0">
        <w:t>6</w:t>
      </w:r>
      <w:r w:rsidR="001B4F2A" w:rsidRPr="00BD6C5F">
        <w:fldChar w:fldCharType="end"/>
      </w:r>
      <w:r w:rsidR="009B03E9" w:rsidRPr="00BD6C5F">
        <w:t xml:space="preserve"> shall apply; or</w:t>
      </w:r>
    </w:p>
    <w:p w14:paraId="432602E5" w14:textId="187DCDDF" w:rsidR="00BC7DDA" w:rsidRPr="00BD6C5F" w:rsidRDefault="00A4555C" w:rsidP="001F7CA7">
      <w:pPr>
        <w:pStyle w:val="Numbered111"/>
      </w:pPr>
      <w:r w:rsidRPr="00BD6C5F">
        <w:t>“</w:t>
      </w:r>
      <w:r w:rsidR="009B03E9" w:rsidRPr="00BD6C5F">
        <w:rPr>
          <w:b/>
        </w:rPr>
        <w:t>Fixed Price</w:t>
      </w:r>
      <w:r w:rsidRPr="00BD6C5F">
        <w:t>”</w:t>
      </w:r>
      <w:r w:rsidR="009B03E9" w:rsidRPr="00BD6C5F">
        <w:t xml:space="preserve"> in which case the provisions of Paragraph </w:t>
      </w:r>
      <w:r w:rsidR="001B4F2A" w:rsidRPr="00BD6C5F">
        <w:fldChar w:fldCharType="begin"/>
      </w:r>
      <w:r w:rsidR="001B4F2A" w:rsidRPr="00BD6C5F">
        <w:instrText xml:space="preserve"> REF _Ref98412024 \n \h </w:instrText>
      </w:r>
      <w:r w:rsidR="00AD7DD0" w:rsidRPr="00BD6C5F">
        <w:instrText xml:space="preserve"> \* MERGEFORMAT </w:instrText>
      </w:r>
      <w:r w:rsidR="001B4F2A" w:rsidRPr="00BD6C5F">
        <w:fldChar w:fldCharType="separate"/>
      </w:r>
      <w:r w:rsidR="009749A0">
        <w:t>4</w:t>
      </w:r>
      <w:r w:rsidR="001B4F2A" w:rsidRPr="00BD6C5F">
        <w:fldChar w:fldCharType="end"/>
      </w:r>
      <w:r w:rsidR="009B03E9" w:rsidRPr="00BD6C5F">
        <w:t xml:space="preserve"> shall apply.</w:t>
      </w:r>
    </w:p>
    <w:p w14:paraId="2449E28F" w14:textId="41CA0A18" w:rsidR="00BC7DDA" w:rsidRPr="00BD6C5F" w:rsidRDefault="001F7CA7" w:rsidP="00C5057A">
      <w:pPr>
        <w:pStyle w:val="Numbered1"/>
      </w:pPr>
      <w:bookmarkStart w:id="550" w:name="_bookmark185"/>
      <w:bookmarkStart w:id="551" w:name="_Ref98411991"/>
      <w:bookmarkEnd w:id="550"/>
      <w:r w:rsidRPr="00BD6C5F">
        <w:t>Time and Materials Milestone Payments or Service Charges</w:t>
      </w:r>
      <w:bookmarkEnd w:id="551"/>
    </w:p>
    <w:p w14:paraId="418559D9" w14:textId="217DF6E5" w:rsidR="00BC7DDA" w:rsidRPr="00BD6C5F" w:rsidRDefault="009B03E9" w:rsidP="00A47A7E">
      <w:pPr>
        <w:pStyle w:val="Numbered11"/>
        <w:keepNext/>
      </w:pPr>
      <w:r w:rsidRPr="00BD6C5F">
        <w:t xml:space="preserve">Where Table 1 or Table 2 of </w:t>
      </w:r>
      <w:r w:rsidR="00095858">
        <w:t>Annex </w:t>
      </w:r>
      <w:r w:rsidR="00095858">
        <w:fldChar w:fldCharType="begin"/>
      </w:r>
      <w:r w:rsidR="00095858">
        <w:instrText xml:space="preserve"> REF Schedule_15_Part_E_Annex_2 \h </w:instrText>
      </w:r>
      <w:r w:rsidR="00095858">
        <w:fldChar w:fldCharType="separate"/>
      </w:r>
      <w:r w:rsidR="009749A0" w:rsidRPr="00BD6C5F">
        <w:t>2</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00095858" w:rsidRPr="00BD6C5F">
        <w:t xml:space="preserve"> </w:t>
      </w:r>
      <w:r w:rsidRPr="00BD6C5F">
        <w:t>indicates that a Milestone Payment or Service Charge (as applicable) is to be calculated by reference to a Time and Materials pricing mechanism:</w:t>
      </w:r>
    </w:p>
    <w:p w14:paraId="33D4A1C4" w14:textId="7CD107CF" w:rsidR="00BC7DDA" w:rsidRPr="00BD6C5F" w:rsidRDefault="009B03E9" w:rsidP="00A47A7E">
      <w:pPr>
        <w:pStyle w:val="Numbered111"/>
        <w:keepNext/>
      </w:pPr>
      <w:r w:rsidRPr="00BD6C5F">
        <w:t xml:space="preserve">the day rates set out in Table 1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00095858" w:rsidRPr="00BD6C5F">
        <w:t xml:space="preserve"> </w:t>
      </w:r>
      <w:r w:rsidRPr="00BD6C5F">
        <w:t>shall be used to calculate the relevant Charges, provided that the Supplier (or its Sub-contractor) shall:</w:t>
      </w:r>
    </w:p>
    <w:p w14:paraId="7F4E9E10" w14:textId="77777777" w:rsidR="00BC7DDA" w:rsidRPr="00BD6C5F" w:rsidRDefault="009B03E9" w:rsidP="00381D62">
      <w:pPr>
        <w:pStyle w:val="Numbered111a"/>
        <w:rPr>
          <w:lang w:val="en-GB"/>
        </w:rPr>
      </w:pPr>
      <w:r w:rsidRPr="00BD6C5F">
        <w:rPr>
          <w:lang w:val="en-GB"/>
        </w:rPr>
        <w:t>not be entitled to include any uplift for risks or contingencies within its day rates;</w:t>
      </w:r>
    </w:p>
    <w:p w14:paraId="40A1E0AC" w14:textId="63179BC2" w:rsidR="00BC7DDA" w:rsidRPr="00BD6C5F" w:rsidRDefault="009B03E9" w:rsidP="001F7CA7">
      <w:pPr>
        <w:pStyle w:val="Numbered111a"/>
        <w:rPr>
          <w:lang w:val="en-GB"/>
        </w:rPr>
      </w:pPr>
      <w:r w:rsidRPr="00BD6C5F">
        <w:rPr>
          <w:lang w:val="en-GB"/>
        </w:rPr>
        <w:t xml:space="preserve">not be paid any Charges to the extent that they would otherwise exceed the cap specified against the relevant Charge in Table 2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rPr>
          <w:lang w:val="en-GB"/>
        </w:rPr>
        <w:t xml:space="preserve"> unless the Supplier has obtained the Authority</w:t>
      </w:r>
      <w:r w:rsidR="00A4555C" w:rsidRPr="00BD6C5F">
        <w:rPr>
          <w:lang w:val="en-GB"/>
        </w:rPr>
        <w:t>’</w:t>
      </w:r>
      <w:r w:rsidRPr="00BD6C5F">
        <w:rPr>
          <w:lang w:val="en-GB"/>
        </w:rPr>
        <w:t>s prior written consent. The Supplier shall monitor the amount of each Charge incurred in relation</w:t>
      </w:r>
      <w:r w:rsidR="00903384" w:rsidRPr="00BD6C5F">
        <w:rPr>
          <w:lang w:val="en-GB"/>
        </w:rPr>
        <w:t xml:space="preserve"> </w:t>
      </w:r>
      <w:r w:rsidRPr="00BD6C5F">
        <w:rPr>
          <w:lang w:val="en-GB"/>
        </w:rPr>
        <w:t>to the relevant cap and notify the Authority immediately in the event of any risk that the cap may be exceeded and the Authority shall instruct the Supplier on how to proceed;</w:t>
      </w:r>
    </w:p>
    <w:p w14:paraId="1D34F862" w14:textId="77777777" w:rsidR="00BC7DDA" w:rsidRPr="00BD6C5F" w:rsidRDefault="009B03E9" w:rsidP="001F7CA7">
      <w:pPr>
        <w:pStyle w:val="Numbered111a"/>
        <w:rPr>
          <w:lang w:val="en-GB"/>
        </w:rPr>
      </w:pPr>
      <w:r w:rsidRPr="00BD6C5F">
        <w:rPr>
          <w:lang w:val="en-GB"/>
        </w:rPr>
        <w:t>unless otherwise agreed by the Authority in relation to the relevant Milestone Payment or Service Charge (as the case may be), not be paid any Charges to the extent that they would otherwise exceed the amount calculated by multiplying:</w:t>
      </w:r>
    </w:p>
    <w:p w14:paraId="14298F89" w14:textId="77777777" w:rsidR="00BC7DDA" w:rsidRPr="00BD6C5F" w:rsidRDefault="009B03E9" w:rsidP="00381D62">
      <w:pPr>
        <w:pStyle w:val="Numbered111ai"/>
      </w:pPr>
      <w:r w:rsidRPr="00BD6C5F">
        <w:lastRenderedPageBreak/>
        <w:t xml:space="preserve">the </w:t>
      </w:r>
      <w:r w:rsidRPr="00381D62">
        <w:t>total</w:t>
      </w:r>
      <w:r w:rsidRPr="00BD6C5F">
        <w:t xml:space="preserve"> number of days expended by the Supplier in relation to the relevant Milestone; or</w:t>
      </w:r>
    </w:p>
    <w:p w14:paraId="19743CA2" w14:textId="77777777" w:rsidR="00BC7DDA" w:rsidRPr="00BD6C5F" w:rsidRDefault="009B03E9" w:rsidP="001F7CA7">
      <w:pPr>
        <w:pStyle w:val="Numbered111ai"/>
      </w:pPr>
      <w:r w:rsidRPr="00BD6C5F">
        <w:t>the total number of days expended by the Supplier during the relevant Service Period in relation to the relevant Service,</w:t>
      </w:r>
    </w:p>
    <w:p w14:paraId="1B46DFBB" w14:textId="77777777" w:rsidR="00BC7DDA" w:rsidRPr="00BD6C5F" w:rsidRDefault="009B03E9" w:rsidP="00A47A7E">
      <w:pPr>
        <w:pStyle w:val="BodyText"/>
        <w:keepNext/>
        <w:spacing w:before="100" w:after="200"/>
        <w:ind w:left="2523"/>
        <w:rPr>
          <w:rFonts w:asciiTheme="minorHAnsi" w:hAnsiTheme="minorHAnsi" w:cstheme="minorHAnsi"/>
        </w:rPr>
      </w:pPr>
      <w:r w:rsidRPr="00BD6C5F">
        <w:rPr>
          <w:rFonts w:asciiTheme="minorHAnsi" w:hAnsiTheme="minorHAnsi" w:cstheme="minorHAnsi"/>
        </w:rPr>
        <w:t>by the Capped ADR; and</w:t>
      </w:r>
    </w:p>
    <w:p w14:paraId="0901CA5A" w14:textId="7C122C0F" w:rsidR="00BC7DDA" w:rsidRPr="00BD6C5F" w:rsidRDefault="009B03E9" w:rsidP="001F7CA7">
      <w:pPr>
        <w:pStyle w:val="Numbered111ai"/>
      </w:pPr>
      <w:r w:rsidRPr="00BD6C5F">
        <w:t>only be entitled to be paid Charges that have been properly and reasonably incurred, taking into account the Supplier</w:t>
      </w:r>
      <w:r w:rsidR="00A4555C" w:rsidRPr="00BD6C5F">
        <w:t>’</w:t>
      </w:r>
      <w:r w:rsidRPr="00BD6C5F">
        <w:t>s obligation to deliver the Services in a proportionate and efficient manner; and</w:t>
      </w:r>
    </w:p>
    <w:p w14:paraId="24BC81C4" w14:textId="5A4BF8B0" w:rsidR="00BC7DDA" w:rsidRPr="00BD6C5F" w:rsidRDefault="009B03E9" w:rsidP="001F7CA7">
      <w:pPr>
        <w:pStyle w:val="Numbered111"/>
      </w:pPr>
      <w:r w:rsidRPr="00BD6C5F">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w:t>
      </w:r>
      <w:r w:rsidR="00A4555C" w:rsidRPr="00BD6C5F">
        <w:t>’</w:t>
      </w:r>
      <w:r w:rsidRPr="00BD6C5F">
        <w:t>s request.</w:t>
      </w:r>
    </w:p>
    <w:p w14:paraId="6ECAEFFA" w14:textId="70E56FF0" w:rsidR="00BC7DDA" w:rsidRPr="00BD6C5F" w:rsidRDefault="009B03E9" w:rsidP="00C5057A">
      <w:pPr>
        <w:pStyle w:val="Numbered11"/>
      </w:pPr>
      <w:r w:rsidRPr="00BD6C5F">
        <w:t xml:space="preserve">The Supplier shall be entitled to Index the rates set out in Table 1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 xml:space="preserve"> and the Capped ADR in accordance with Paragraph </w:t>
      </w:r>
      <w:r w:rsidR="001B4F2A" w:rsidRPr="00BD6C5F">
        <w:fldChar w:fldCharType="begin"/>
      </w:r>
      <w:r w:rsidR="001B4F2A" w:rsidRPr="00BD6C5F">
        <w:instrText xml:space="preserve"> REF _Ref98411881 \n \h </w:instrText>
      </w:r>
      <w:r w:rsidR="00AD7DD0" w:rsidRPr="00BD6C5F">
        <w:instrText xml:space="preserve"> \* MERGEFORMAT </w:instrText>
      </w:r>
      <w:r w:rsidR="001B4F2A" w:rsidRPr="00BD6C5F">
        <w:fldChar w:fldCharType="separate"/>
      </w:r>
      <w:r w:rsidR="009749A0">
        <w:t>5</w:t>
      </w:r>
      <w:r w:rsidR="001B4F2A" w:rsidRPr="00BD6C5F">
        <w:fldChar w:fldCharType="end"/>
      </w:r>
      <w:r w:rsidRPr="00BD6C5F">
        <w:t xml:space="preserve"> of Part</w:t>
      </w:r>
      <w:r w:rsidR="00D7558D">
        <w:t> </w:t>
      </w:r>
      <w:r w:rsidR="00D7558D">
        <w:fldChar w:fldCharType="begin"/>
      </w:r>
      <w:r w:rsidR="00D7558D">
        <w:instrText xml:space="preserve"> REF Schedule_15_Part_C \h </w:instrText>
      </w:r>
      <w:r w:rsidR="00D7558D">
        <w:fldChar w:fldCharType="separate"/>
      </w:r>
      <w:r w:rsidR="009749A0" w:rsidRPr="00BD6C5F">
        <w:t>C</w:t>
      </w:r>
      <w:r w:rsidR="00D7558D">
        <w:fldChar w:fldCharType="end"/>
      </w:r>
      <w:r w:rsidRPr="00BD6C5F">
        <w:t xml:space="preserve">, but any caps set out in Table 2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 xml:space="preserve"> shall not be subject to Indexation.</w:t>
      </w:r>
    </w:p>
    <w:p w14:paraId="7A65375D" w14:textId="2594316B" w:rsidR="00BC7DDA" w:rsidRPr="00BD6C5F" w:rsidRDefault="001F7CA7" w:rsidP="00C5057A">
      <w:pPr>
        <w:pStyle w:val="Numbered1"/>
      </w:pPr>
      <w:bookmarkStart w:id="552" w:name="_bookmark186"/>
      <w:bookmarkStart w:id="553" w:name="_Ref98412016"/>
      <w:bookmarkEnd w:id="552"/>
      <w:r w:rsidRPr="00BD6C5F">
        <w:t>Guaranteed Maximum Price with Target Cost Incentive Milestone Payments</w:t>
      </w:r>
      <w:bookmarkEnd w:id="553"/>
    </w:p>
    <w:p w14:paraId="1809DA35" w14:textId="08551E3F" w:rsidR="00BC7DDA" w:rsidRPr="00BD6C5F" w:rsidRDefault="009B03E9" w:rsidP="00C5057A">
      <w:pPr>
        <w:pStyle w:val="Numbered11"/>
      </w:pPr>
      <w:bookmarkStart w:id="554" w:name="_bookmark187"/>
      <w:bookmarkStart w:id="555" w:name="_Ref98411957"/>
      <w:bookmarkEnd w:id="554"/>
      <w:r w:rsidRPr="00BD6C5F">
        <w:t xml:space="preserve">Where Table 1 of </w:t>
      </w:r>
      <w:r w:rsidR="00095858">
        <w:t>Annex </w:t>
      </w:r>
      <w:r w:rsidR="00095858">
        <w:fldChar w:fldCharType="begin"/>
      </w:r>
      <w:r w:rsidR="00095858">
        <w:instrText xml:space="preserve"> REF Schedule_15_Part_E_Annex_2 \h </w:instrText>
      </w:r>
      <w:r w:rsidR="00095858">
        <w:fldChar w:fldCharType="separate"/>
      </w:r>
      <w:r w:rsidR="009749A0" w:rsidRPr="00BD6C5F">
        <w:t>2</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 xml:space="preserve"> indicates that a Milestone Payment is to be calculated by reference to the Guaranteed Maximum Price with Target Cost pricing mechanism, the target Costs (the </w:t>
      </w:r>
      <w:r w:rsidR="00A4555C" w:rsidRPr="00BD6C5F">
        <w:t>“</w:t>
      </w:r>
      <w:r w:rsidRPr="00BD6C5F">
        <w:rPr>
          <w:b/>
        </w:rPr>
        <w:t>Target Cost</w:t>
      </w:r>
      <w:r w:rsidR="00A4555C" w:rsidRPr="00BD6C5F">
        <w:t>”</w:t>
      </w:r>
      <w:r w:rsidRPr="00BD6C5F">
        <w:t xml:space="preserve">) and the target Charge (the </w:t>
      </w:r>
      <w:r w:rsidR="00A4555C" w:rsidRPr="00BD6C5F">
        <w:t>“</w:t>
      </w:r>
      <w:r w:rsidRPr="00BD6C5F">
        <w:rPr>
          <w:b/>
        </w:rPr>
        <w:t>Target Price</w:t>
      </w:r>
      <w:r w:rsidR="00A4555C" w:rsidRPr="00BD6C5F">
        <w:t>”</w:t>
      </w:r>
      <w:r w:rsidRPr="00BD6C5F">
        <w:t xml:space="preserve">) for the relevant Milestone shall be as set out in Table 4 of </w:t>
      </w:r>
      <w:r w:rsidR="00095858">
        <w:t>Annex </w:t>
      </w:r>
      <w:r w:rsidR="00095858">
        <w:fldChar w:fldCharType="begin"/>
      </w:r>
      <w:r w:rsidR="00095858">
        <w:instrText xml:space="preserve"> REF Schedule_15_Part_E_Annex_1 \h </w:instrText>
      </w:r>
      <w:r w:rsidR="00095858">
        <w:fldChar w:fldCharType="separate"/>
      </w:r>
      <w:r w:rsidR="009749A0" w:rsidRPr="00BD6C5F">
        <w:t>1</w:t>
      </w:r>
      <w:r w:rsidR="00095858">
        <w:fldChar w:fldCharType="end"/>
      </w:r>
      <w:r w:rsidR="00095858">
        <w:t xml:space="preserve"> of Part </w:t>
      </w:r>
      <w:r w:rsidR="00095858">
        <w:fldChar w:fldCharType="begin"/>
      </w:r>
      <w:r w:rsidR="00095858">
        <w:instrText xml:space="preserve"> REF Schedule_15_Part_E \h </w:instrText>
      </w:r>
      <w:r w:rsidR="00095858">
        <w:fldChar w:fldCharType="separate"/>
      </w:r>
      <w:r w:rsidR="009749A0" w:rsidRPr="00BD6C5F">
        <w:t>E</w:t>
      </w:r>
      <w:r w:rsidR="00095858">
        <w:fldChar w:fldCharType="end"/>
      </w:r>
      <w:r w:rsidRPr="00BD6C5F">
        <w:t>.</w:t>
      </w:r>
      <w:bookmarkEnd w:id="555"/>
    </w:p>
    <w:p w14:paraId="4D04DAA0" w14:textId="77777777" w:rsidR="00BC7DDA" w:rsidRPr="00BD6C5F" w:rsidRDefault="009B03E9" w:rsidP="00C5057A">
      <w:pPr>
        <w:pStyle w:val="Numbered11"/>
      </w:pPr>
      <w:r w:rsidRPr="00BD6C5F">
        <w:t>If the Incurred Costs relating to a Milestone are lower than the Target Cost for that Milestone, the difference between the Incurred Costs and the Target Cost shall be shared equally between the Authority and the Supplier (resulting in the Supplier receiving a higher Supplier Profit Margin in relation to that Milestone), and the Milestone Payment shall be calculated as follows:</w:t>
      </w:r>
    </w:p>
    <w:p w14:paraId="4E440EE1" w14:textId="77777777" w:rsidR="00BC7DDA" w:rsidRPr="00BD6C5F" w:rsidRDefault="009B03E9" w:rsidP="00A47A7E">
      <w:pPr>
        <w:pStyle w:val="BodyText"/>
        <w:keepNext/>
        <w:spacing w:before="100" w:after="200"/>
        <w:ind w:left="720"/>
        <w:rPr>
          <w:rFonts w:asciiTheme="minorHAnsi" w:hAnsiTheme="minorHAnsi" w:cstheme="minorHAnsi"/>
        </w:rPr>
      </w:pPr>
      <w:r w:rsidRPr="00BD6C5F">
        <w:rPr>
          <w:rFonts w:asciiTheme="minorHAnsi" w:hAnsiTheme="minorHAnsi" w:cstheme="minorHAnsi"/>
        </w:rPr>
        <w:t>Milestone Payment = TP – ((TC – IC)/2) where:</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1134"/>
        <w:gridCol w:w="8391"/>
      </w:tblGrid>
      <w:tr w:rsidR="00BC7DDA" w:rsidRPr="00BD6C5F" w14:paraId="5B67AB42" w14:textId="77777777" w:rsidTr="006220B3">
        <w:tc>
          <w:tcPr>
            <w:tcW w:w="1134" w:type="dxa"/>
          </w:tcPr>
          <w:p w14:paraId="0AA8CFCD" w14:textId="77777777" w:rsidR="00BC7DDA" w:rsidRPr="00BD6C5F" w:rsidRDefault="009B03E9" w:rsidP="00AC7207">
            <w:pPr>
              <w:pStyle w:val="Tabletext"/>
            </w:pPr>
            <w:r w:rsidRPr="00BD6C5F">
              <w:t>TP</w:t>
            </w:r>
          </w:p>
        </w:tc>
        <w:tc>
          <w:tcPr>
            <w:tcW w:w="8391" w:type="dxa"/>
          </w:tcPr>
          <w:p w14:paraId="0938998F" w14:textId="77777777" w:rsidR="00BC7DDA" w:rsidRPr="00BD6C5F" w:rsidRDefault="009B03E9" w:rsidP="00AC7207">
            <w:pPr>
              <w:pStyle w:val="Tabletext"/>
            </w:pPr>
            <w:r w:rsidRPr="00BD6C5F">
              <w:t>is the Target Price for the relevant Milestone;</w:t>
            </w:r>
          </w:p>
        </w:tc>
      </w:tr>
      <w:tr w:rsidR="00BC7DDA" w:rsidRPr="00BD6C5F" w14:paraId="32254585" w14:textId="77777777" w:rsidTr="006220B3">
        <w:tc>
          <w:tcPr>
            <w:tcW w:w="1134" w:type="dxa"/>
          </w:tcPr>
          <w:p w14:paraId="3321F88A" w14:textId="77777777" w:rsidR="00BC7DDA" w:rsidRPr="00BD6C5F" w:rsidRDefault="009B03E9" w:rsidP="00AC7207">
            <w:pPr>
              <w:pStyle w:val="Tabletext"/>
            </w:pPr>
            <w:r w:rsidRPr="00BD6C5F">
              <w:t>TC</w:t>
            </w:r>
          </w:p>
        </w:tc>
        <w:tc>
          <w:tcPr>
            <w:tcW w:w="8391" w:type="dxa"/>
          </w:tcPr>
          <w:p w14:paraId="39489FBF" w14:textId="77777777" w:rsidR="00BC7DDA" w:rsidRPr="00BD6C5F" w:rsidRDefault="009B03E9" w:rsidP="00AC7207">
            <w:pPr>
              <w:pStyle w:val="Tabletext"/>
            </w:pPr>
            <w:r w:rsidRPr="00BD6C5F">
              <w:t>is the Target Cost for the relevant Milestone; and</w:t>
            </w:r>
          </w:p>
        </w:tc>
      </w:tr>
      <w:tr w:rsidR="00BC7DDA" w:rsidRPr="00BD6C5F" w14:paraId="5CB991E0" w14:textId="77777777" w:rsidTr="006220B3">
        <w:tc>
          <w:tcPr>
            <w:tcW w:w="1134" w:type="dxa"/>
          </w:tcPr>
          <w:p w14:paraId="5AE8BEB4" w14:textId="77777777" w:rsidR="00BC7DDA" w:rsidRPr="00BD6C5F" w:rsidRDefault="009B03E9" w:rsidP="00AC7207">
            <w:pPr>
              <w:pStyle w:val="Tabletext"/>
            </w:pPr>
            <w:r w:rsidRPr="00BD6C5F">
              <w:t>IC</w:t>
            </w:r>
          </w:p>
        </w:tc>
        <w:tc>
          <w:tcPr>
            <w:tcW w:w="8391" w:type="dxa"/>
          </w:tcPr>
          <w:p w14:paraId="2DE8F2DB" w14:textId="77777777" w:rsidR="00BC7DDA" w:rsidRPr="00BD6C5F" w:rsidRDefault="009B03E9" w:rsidP="00AC7207">
            <w:pPr>
              <w:pStyle w:val="Tabletext"/>
            </w:pPr>
            <w:r w:rsidRPr="00BD6C5F">
              <w:t>is the Incurred Costs relating to the relevant Milestone.</w:t>
            </w:r>
          </w:p>
        </w:tc>
      </w:tr>
    </w:tbl>
    <w:p w14:paraId="5D03B719" w14:textId="0E874D25" w:rsidR="00BC7DDA" w:rsidRPr="00BD6C5F" w:rsidRDefault="009B03E9" w:rsidP="00C5057A">
      <w:pPr>
        <w:pStyle w:val="Numbered11"/>
      </w:pPr>
      <w:r w:rsidRPr="00BD6C5F">
        <w:t xml:space="preserve">If the Incurred Costs relating to a Milestone are greater than the Target Cost for that Milestone, the difference between the Incurred Costs and the Target Cost shall be borne equally between the Authority and the Supplier (resulting in the Supplier receiving a lower Supplier Profit Margin in relation to that Milestone), provided that the maximum Milestone Payment payable by the Authority for the relevant Milestone shall not exceed an amount equal to the guaranteed maximum price for that Milestone as set out in Table 4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(the </w:t>
      </w:r>
      <w:r w:rsidR="00A4555C" w:rsidRPr="00BD6C5F">
        <w:t>“</w:t>
      </w:r>
      <w:r w:rsidRPr="00BD6C5F">
        <w:rPr>
          <w:b/>
        </w:rPr>
        <w:t>Guaranteed Maximum Price</w:t>
      </w:r>
      <w:r w:rsidR="00A4555C" w:rsidRPr="00BD6C5F">
        <w:t>”</w:t>
      </w:r>
      <w:r w:rsidRPr="00BD6C5F">
        <w:t>) Represented numerically:</w:t>
      </w:r>
    </w:p>
    <w:p w14:paraId="72941D0F" w14:textId="77777777" w:rsidR="00BC7DDA" w:rsidRPr="00BD6C5F" w:rsidRDefault="009B03E9" w:rsidP="00A47A7E">
      <w:pPr>
        <w:pStyle w:val="Numbered111"/>
        <w:keepNext/>
      </w:pPr>
      <w:r w:rsidRPr="00BD6C5F">
        <w:lastRenderedPageBreak/>
        <w:t>if:</w:t>
      </w:r>
    </w:p>
    <w:p w14:paraId="372BC6A1" w14:textId="77777777" w:rsidR="00BC7DDA" w:rsidRPr="00BD6C5F" w:rsidRDefault="009B03E9" w:rsidP="006220B3">
      <w:pPr>
        <w:pStyle w:val="Numbered111a"/>
        <w:rPr>
          <w:lang w:val="en-GB"/>
        </w:rPr>
      </w:pPr>
      <w:r w:rsidRPr="00BD6C5F">
        <w:rPr>
          <w:lang w:val="en-GB"/>
        </w:rPr>
        <w:t>IC &gt; TC; and</w:t>
      </w:r>
    </w:p>
    <w:p w14:paraId="256FE3D5" w14:textId="77777777" w:rsidR="00BC7DDA" w:rsidRPr="00BD6C5F" w:rsidRDefault="009B03E9" w:rsidP="001F7CA7">
      <w:pPr>
        <w:pStyle w:val="Numbered111a"/>
        <w:rPr>
          <w:lang w:val="en-GB"/>
        </w:rPr>
      </w:pPr>
      <w:r w:rsidRPr="00BD6C5F">
        <w:rPr>
          <w:lang w:val="en-GB"/>
        </w:rPr>
        <w:t>TP + ((IC - TC)/2) &lt; GMP,</w:t>
      </w:r>
    </w:p>
    <w:p w14:paraId="508437F2" w14:textId="77777777" w:rsidR="00BC7DDA" w:rsidRPr="00BD6C5F" w:rsidRDefault="009B03E9">
      <w:pPr>
        <w:pStyle w:val="BodyText"/>
        <w:spacing w:before="199"/>
        <w:ind w:right="489"/>
        <w:jc w:val="center"/>
        <w:rPr>
          <w:rFonts w:asciiTheme="minorHAnsi" w:hAnsiTheme="minorHAnsi" w:cstheme="minorHAnsi"/>
        </w:rPr>
      </w:pPr>
      <w:r w:rsidRPr="00BD6C5F">
        <w:rPr>
          <w:rFonts w:asciiTheme="minorHAnsi" w:hAnsiTheme="minorHAnsi" w:cstheme="minorHAnsi"/>
        </w:rPr>
        <w:t>then Milestone Payment = TP + ((IC - TC)/2); or</w:t>
      </w:r>
    </w:p>
    <w:p w14:paraId="7B632962" w14:textId="77777777" w:rsidR="00BC7DDA" w:rsidRPr="00BD6C5F" w:rsidRDefault="009B03E9" w:rsidP="00A47A7E">
      <w:pPr>
        <w:pStyle w:val="Numbered111"/>
        <w:keepNext/>
      </w:pPr>
      <w:r w:rsidRPr="00BD6C5F">
        <w:t>if:</w:t>
      </w:r>
    </w:p>
    <w:p w14:paraId="26379914" w14:textId="77777777" w:rsidR="00BC7DDA" w:rsidRPr="00BD6C5F" w:rsidRDefault="009B03E9" w:rsidP="006220B3">
      <w:pPr>
        <w:pStyle w:val="Numbered111a"/>
        <w:rPr>
          <w:lang w:val="en-GB"/>
        </w:rPr>
      </w:pPr>
      <w:r w:rsidRPr="00BD6C5F">
        <w:rPr>
          <w:lang w:val="en-GB"/>
        </w:rPr>
        <w:t>IC &gt; TC; and</w:t>
      </w:r>
    </w:p>
    <w:p w14:paraId="3DF84D23" w14:textId="77777777" w:rsidR="00BC7DDA" w:rsidRPr="00BD6C5F" w:rsidRDefault="009B03E9" w:rsidP="001F7CA7">
      <w:pPr>
        <w:pStyle w:val="Numbered111a"/>
        <w:rPr>
          <w:lang w:val="en-GB"/>
        </w:rPr>
      </w:pPr>
      <w:r w:rsidRPr="00BD6C5F">
        <w:rPr>
          <w:lang w:val="en-GB"/>
        </w:rPr>
        <w:t>TP + ((IC - TC)/2) ≥ GMP, then Milestone Payment = GMP</w:t>
      </w:r>
    </w:p>
    <w:p w14:paraId="79B40C61" w14:textId="77777777" w:rsidR="00BC7DDA" w:rsidRPr="00BD6C5F" w:rsidRDefault="009B03E9" w:rsidP="00A47A7E">
      <w:pPr>
        <w:pStyle w:val="BodyText"/>
        <w:keepNext/>
        <w:spacing w:before="100" w:after="200"/>
        <w:ind w:left="720"/>
        <w:rPr>
          <w:rFonts w:asciiTheme="minorHAnsi" w:hAnsiTheme="minorHAnsi" w:cstheme="minorHAnsi"/>
        </w:rPr>
      </w:pPr>
      <w:r w:rsidRPr="00BD6C5F">
        <w:rPr>
          <w:rFonts w:asciiTheme="minorHAnsi" w:hAnsiTheme="minorHAnsi" w:cstheme="minorHAnsi"/>
        </w:rPr>
        <w:t>where:</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1134"/>
        <w:gridCol w:w="8391"/>
      </w:tblGrid>
      <w:tr w:rsidR="00BC7DDA" w:rsidRPr="00BD6C5F" w14:paraId="5D13230E" w14:textId="77777777" w:rsidTr="006220B3">
        <w:trPr>
          <w:trHeight w:val="20"/>
        </w:trPr>
        <w:tc>
          <w:tcPr>
            <w:tcW w:w="1134" w:type="dxa"/>
          </w:tcPr>
          <w:p w14:paraId="7B23A0FB" w14:textId="77777777" w:rsidR="00BC7DDA" w:rsidRPr="00BD6C5F" w:rsidRDefault="009B03E9" w:rsidP="00AC7207">
            <w:pPr>
              <w:pStyle w:val="Tabletext"/>
            </w:pPr>
            <w:r w:rsidRPr="00BD6C5F">
              <w:t>IC</w:t>
            </w:r>
          </w:p>
        </w:tc>
        <w:tc>
          <w:tcPr>
            <w:tcW w:w="8391" w:type="dxa"/>
          </w:tcPr>
          <w:p w14:paraId="20E3C541" w14:textId="77777777" w:rsidR="00BC7DDA" w:rsidRPr="00BD6C5F" w:rsidRDefault="009B03E9" w:rsidP="00AC7207">
            <w:pPr>
              <w:pStyle w:val="Tabletext"/>
            </w:pPr>
            <w:r w:rsidRPr="00BD6C5F">
              <w:t>is the Incurred Costs relating to the relevant Milestone;</w:t>
            </w:r>
          </w:p>
        </w:tc>
      </w:tr>
      <w:tr w:rsidR="00BC7DDA" w:rsidRPr="00BD6C5F" w14:paraId="794D1743" w14:textId="77777777" w:rsidTr="006220B3">
        <w:trPr>
          <w:trHeight w:val="20"/>
        </w:trPr>
        <w:tc>
          <w:tcPr>
            <w:tcW w:w="1134" w:type="dxa"/>
          </w:tcPr>
          <w:p w14:paraId="4234C520" w14:textId="77777777" w:rsidR="00BC7DDA" w:rsidRPr="00BD6C5F" w:rsidRDefault="009B03E9" w:rsidP="00AC7207">
            <w:pPr>
              <w:pStyle w:val="Tabletext"/>
            </w:pPr>
            <w:r w:rsidRPr="00BD6C5F">
              <w:t>TC</w:t>
            </w:r>
          </w:p>
        </w:tc>
        <w:tc>
          <w:tcPr>
            <w:tcW w:w="8391" w:type="dxa"/>
          </w:tcPr>
          <w:p w14:paraId="7D7B2BD2" w14:textId="77777777" w:rsidR="00BC7DDA" w:rsidRPr="00BD6C5F" w:rsidRDefault="009B03E9" w:rsidP="00AC7207">
            <w:pPr>
              <w:pStyle w:val="Tabletext"/>
            </w:pPr>
            <w:r w:rsidRPr="00BD6C5F">
              <w:t>is the Target Cost for the relevant Milestone;</w:t>
            </w:r>
          </w:p>
        </w:tc>
      </w:tr>
      <w:tr w:rsidR="00BC7DDA" w:rsidRPr="00BD6C5F" w14:paraId="2A011053" w14:textId="77777777" w:rsidTr="006220B3">
        <w:trPr>
          <w:trHeight w:val="20"/>
        </w:trPr>
        <w:tc>
          <w:tcPr>
            <w:tcW w:w="1134" w:type="dxa"/>
          </w:tcPr>
          <w:p w14:paraId="1D826ED6" w14:textId="77777777" w:rsidR="00BC7DDA" w:rsidRPr="00BD6C5F" w:rsidRDefault="009B03E9" w:rsidP="00AC7207">
            <w:pPr>
              <w:pStyle w:val="Tabletext"/>
            </w:pPr>
            <w:r w:rsidRPr="00BD6C5F">
              <w:t>TP</w:t>
            </w:r>
          </w:p>
        </w:tc>
        <w:tc>
          <w:tcPr>
            <w:tcW w:w="8391" w:type="dxa"/>
          </w:tcPr>
          <w:p w14:paraId="2FE2C735" w14:textId="77777777" w:rsidR="00BC7DDA" w:rsidRPr="00BD6C5F" w:rsidRDefault="009B03E9" w:rsidP="00AC7207">
            <w:pPr>
              <w:pStyle w:val="Tabletext"/>
            </w:pPr>
            <w:r w:rsidRPr="00BD6C5F">
              <w:t>is the Target Price for the relevant Milestone; and</w:t>
            </w:r>
          </w:p>
        </w:tc>
      </w:tr>
      <w:tr w:rsidR="00BC7DDA" w:rsidRPr="00BD6C5F" w14:paraId="59494A74" w14:textId="77777777" w:rsidTr="006220B3">
        <w:trPr>
          <w:trHeight w:val="20"/>
        </w:trPr>
        <w:tc>
          <w:tcPr>
            <w:tcW w:w="1134" w:type="dxa"/>
          </w:tcPr>
          <w:p w14:paraId="05DC125A" w14:textId="77777777" w:rsidR="00BC7DDA" w:rsidRPr="00BD6C5F" w:rsidRDefault="009B03E9" w:rsidP="00AC7207">
            <w:pPr>
              <w:pStyle w:val="Tabletext"/>
            </w:pPr>
            <w:r w:rsidRPr="00BD6C5F">
              <w:t>GMP</w:t>
            </w:r>
          </w:p>
        </w:tc>
        <w:tc>
          <w:tcPr>
            <w:tcW w:w="8391" w:type="dxa"/>
          </w:tcPr>
          <w:p w14:paraId="66B8C422" w14:textId="77777777" w:rsidR="00BC7DDA" w:rsidRPr="00BD6C5F" w:rsidRDefault="009B03E9" w:rsidP="00AC7207">
            <w:pPr>
              <w:pStyle w:val="Tabletext"/>
            </w:pPr>
            <w:r w:rsidRPr="00BD6C5F">
              <w:t>is TP * 1.1, being the Guaranteed Maximum Price for the relevant Milestone.</w:t>
            </w:r>
          </w:p>
        </w:tc>
      </w:tr>
    </w:tbl>
    <w:p w14:paraId="6224E96D" w14:textId="0D5C0AC1" w:rsidR="00BC7DDA" w:rsidRPr="00BD6C5F" w:rsidRDefault="009B03E9" w:rsidP="00C5057A">
      <w:pPr>
        <w:pStyle w:val="Numbered11"/>
      </w:pPr>
      <w:r w:rsidRPr="00BD6C5F">
        <w:t xml:space="preserve">The Supplier shall be entitled to Index the day costs set out in Table 3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annually, but the Target Cost, Target Price and Guaranteed Maximum Price shall not be subject to Indexation.</w:t>
      </w:r>
    </w:p>
    <w:p w14:paraId="3D1BE4C6" w14:textId="2211540B" w:rsidR="00BC7DDA" w:rsidRPr="00BD6C5F" w:rsidRDefault="001F7CA7" w:rsidP="00C5057A">
      <w:pPr>
        <w:pStyle w:val="Numbered1"/>
      </w:pPr>
      <w:bookmarkStart w:id="556" w:name="_bookmark188"/>
      <w:bookmarkStart w:id="557" w:name="_Ref98412024"/>
      <w:bookmarkEnd w:id="556"/>
      <w:r w:rsidRPr="00BD6C5F">
        <w:t>Fixed Price Milestone Payments or Service Charges</w:t>
      </w:r>
      <w:bookmarkEnd w:id="557"/>
    </w:p>
    <w:p w14:paraId="7224422A" w14:textId="3B19C6E7" w:rsidR="00BC7DDA" w:rsidRPr="00BD6C5F" w:rsidRDefault="009B03E9" w:rsidP="00C5057A">
      <w:pPr>
        <w:pStyle w:val="Numbered11"/>
      </w:pPr>
      <w:r w:rsidRPr="00BD6C5F">
        <w:t xml:space="preserve">Where Table 1 or Table 2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indicates that a Milestone Payment or Service Charge is to be calculated by reference to a Fixed Price pricing mechanism, the relevant Charge shall be the amount set out against that Charge in Table 5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w:t>
      </w:r>
    </w:p>
    <w:p w14:paraId="6CFC2E10" w14:textId="2FB5D062" w:rsidR="00BC7DDA" w:rsidRPr="00BD6C5F" w:rsidRDefault="009B03E9" w:rsidP="00C5057A">
      <w:pPr>
        <w:pStyle w:val="Numbered11"/>
      </w:pPr>
      <w:r w:rsidRPr="00BD6C5F">
        <w:t xml:space="preserve">Charges calculated by reference to a Fixed Price pricing mechanism shall be subject to </w:t>
      </w:r>
      <w:r w:rsidR="00DF7C39">
        <w:t>adjustment</w:t>
      </w:r>
      <w:r w:rsidRPr="00BD6C5F">
        <w:t xml:space="preserve"> by way of Indexation.</w:t>
      </w:r>
    </w:p>
    <w:p w14:paraId="21801486" w14:textId="4EA0CC70" w:rsidR="00BC7DDA" w:rsidRPr="00BD6C5F" w:rsidRDefault="001F7CA7" w:rsidP="00C5057A">
      <w:pPr>
        <w:pStyle w:val="Numbered1"/>
      </w:pPr>
      <w:bookmarkStart w:id="558" w:name="_bookmark189"/>
      <w:bookmarkStart w:id="559" w:name="_Ref98412031"/>
      <w:bookmarkEnd w:id="558"/>
      <w:r w:rsidRPr="00BD6C5F">
        <w:t>Firm Price Milestone Payments</w:t>
      </w:r>
      <w:bookmarkEnd w:id="559"/>
    </w:p>
    <w:p w14:paraId="49A02422" w14:textId="55761EE6" w:rsidR="00BC7DDA" w:rsidRPr="00BD6C5F" w:rsidRDefault="009B03E9" w:rsidP="00C5057A">
      <w:pPr>
        <w:pStyle w:val="Numbered11"/>
      </w:pPr>
      <w:r w:rsidRPr="00BD6C5F">
        <w:t xml:space="preserve">Where Table 1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indicates that a Milestone Payment is to be calculated by reference to a Firm Price pricing mechanism, the relevant Charge shall be the amount set out against that Charge in Table 6 of </w:t>
      </w:r>
      <w:r w:rsidR="00A93D47" w:rsidRPr="00BD6C5F">
        <w:t xml:space="preserve">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w:t>
      </w:r>
    </w:p>
    <w:p w14:paraId="1F9702D2" w14:textId="291CCC60" w:rsidR="00BC7DDA" w:rsidRPr="00BD6C5F" w:rsidRDefault="009B03E9" w:rsidP="00C5057A">
      <w:pPr>
        <w:pStyle w:val="Numbered11"/>
      </w:pPr>
      <w:r w:rsidRPr="00BD6C5F">
        <w:t xml:space="preserve">Charges calculated by reference to a Firm Price pricing mechanism shall not be subject to </w:t>
      </w:r>
      <w:r w:rsidR="00DF7C39">
        <w:t>adjustment</w:t>
      </w:r>
      <w:r w:rsidRPr="00BD6C5F">
        <w:t xml:space="preserve"> by way of Indexation.</w:t>
      </w:r>
    </w:p>
    <w:p w14:paraId="7F53FD4A" w14:textId="2CCBA0B1" w:rsidR="00BC7DDA" w:rsidRPr="00BD6C5F" w:rsidRDefault="001F7CA7" w:rsidP="00C5057A">
      <w:pPr>
        <w:pStyle w:val="Numbered1"/>
      </w:pPr>
      <w:bookmarkStart w:id="560" w:name="_bookmark190"/>
      <w:bookmarkStart w:id="561" w:name="_Ref98412041"/>
      <w:bookmarkEnd w:id="560"/>
      <w:r w:rsidRPr="00BD6C5F">
        <w:t>Volume Based Service Charges</w:t>
      </w:r>
      <w:bookmarkEnd w:id="561"/>
    </w:p>
    <w:p w14:paraId="5428F944" w14:textId="4084E710" w:rsidR="00BC7DDA" w:rsidRPr="00BD6C5F" w:rsidRDefault="009B03E9" w:rsidP="00C5057A">
      <w:pPr>
        <w:pStyle w:val="Numbered11"/>
      </w:pPr>
      <w:r w:rsidRPr="00BD6C5F">
        <w:t xml:space="preserve">Where Table 2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00A93D47" w:rsidRPr="00BD6C5F">
        <w:t xml:space="preserve"> </w:t>
      </w:r>
      <w:r w:rsidRPr="00BD6C5F">
        <w:t xml:space="preserve">indicates that a Service Charge is to be calculated by reference to a Volume Based pricing mechanism, the relevant Charges shall be calculated on the basis of the unit costs set out against that Service Charge in Table 7 of </w:t>
      </w:r>
      <w:r w:rsidR="00C101F7">
        <w:t>Annex </w:t>
      </w:r>
      <w:r w:rsidR="00C101F7">
        <w:fldChar w:fldCharType="begin"/>
      </w:r>
      <w:r w:rsidR="00C101F7">
        <w:instrText xml:space="preserve"> REF Schedule_15_Part_E_Annex_1 \h </w:instrText>
      </w:r>
      <w:r w:rsidR="00C101F7">
        <w:fldChar w:fldCharType="separate"/>
      </w:r>
      <w:r w:rsidR="009749A0" w:rsidRPr="00BD6C5F">
        <w:t>1</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w:t>
      </w:r>
    </w:p>
    <w:p w14:paraId="42EF896F" w14:textId="57831AEC" w:rsidR="00BC7DDA" w:rsidRPr="00BD6C5F" w:rsidRDefault="009B03E9" w:rsidP="00C5057A">
      <w:pPr>
        <w:pStyle w:val="Numbered11"/>
      </w:pPr>
      <w:r w:rsidRPr="00BD6C5F">
        <w:t xml:space="preserve">In the event that the volume of any Services that are to be calculated by reference to a Volume Based pricing mechanism fall outside the relevant volume bands set out against </w:t>
      </w:r>
      <w:r w:rsidRPr="00BD6C5F">
        <w:lastRenderedPageBreak/>
        <w:t xml:space="preserve">that Service Charge in Table 7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the relevant Service Charges shall be calculated in accordance with the Change Control Procedure and Paragraph </w:t>
      </w:r>
      <w:r w:rsidR="001B4F2A" w:rsidRPr="00BD6C5F">
        <w:fldChar w:fldCharType="begin"/>
      </w:r>
      <w:r w:rsidR="001B4F2A" w:rsidRPr="00BD6C5F">
        <w:instrText xml:space="preserve"> REF _Ref98412162 \n \h </w:instrText>
      </w:r>
      <w:r w:rsidR="00AD7DD0" w:rsidRPr="00BD6C5F">
        <w:instrText xml:space="preserve"> \* MERGEFORMAT </w:instrText>
      </w:r>
      <w:r w:rsidR="001B4F2A" w:rsidRPr="00BD6C5F">
        <w:fldChar w:fldCharType="separate"/>
      </w:r>
      <w:r w:rsidR="009749A0">
        <w:t>4</w:t>
      </w:r>
      <w:r w:rsidR="001B4F2A" w:rsidRPr="00BD6C5F">
        <w:fldChar w:fldCharType="end"/>
      </w:r>
      <w:r w:rsidRPr="00BD6C5F">
        <w:t xml:space="preserve"> of Part</w:t>
      </w:r>
      <w:r w:rsidR="00D7558D">
        <w:t> </w:t>
      </w:r>
      <w:r w:rsidR="00D7558D">
        <w:fldChar w:fldCharType="begin"/>
      </w:r>
      <w:r w:rsidR="00D7558D">
        <w:instrText xml:space="preserve"> REF Schedule_15_Part_C \h </w:instrText>
      </w:r>
      <w:r w:rsidR="00D7558D">
        <w:fldChar w:fldCharType="separate"/>
      </w:r>
      <w:r w:rsidR="009749A0" w:rsidRPr="00BD6C5F">
        <w:t>C</w:t>
      </w:r>
      <w:r w:rsidR="00D7558D">
        <w:fldChar w:fldCharType="end"/>
      </w:r>
      <w:r w:rsidRPr="00BD6C5F">
        <w:t>.</w:t>
      </w:r>
    </w:p>
    <w:p w14:paraId="7A783818" w14:textId="6C03CFC7" w:rsidR="00BC7DDA" w:rsidRPr="00BD6C5F" w:rsidRDefault="009B03E9" w:rsidP="00C5057A">
      <w:pPr>
        <w:pStyle w:val="Numbered11"/>
      </w:pPr>
      <w:r w:rsidRPr="00BD6C5F">
        <w:t xml:space="preserve">The Charge per unit set out in Table 7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shall be subject to annual Indexation.</w:t>
      </w:r>
    </w:p>
    <w:p w14:paraId="710CE993" w14:textId="3A076E8F" w:rsidR="00BC7DDA" w:rsidRPr="00BD6C5F" w:rsidRDefault="001F7CA7" w:rsidP="00C5057A">
      <w:pPr>
        <w:pStyle w:val="Numbered1"/>
      </w:pPr>
      <w:r w:rsidRPr="00BD6C5F">
        <w:t>Reimbursable Expenses</w:t>
      </w:r>
    </w:p>
    <w:p w14:paraId="1769AC28" w14:textId="77777777" w:rsidR="00BC7DDA" w:rsidRPr="00BD6C5F" w:rsidRDefault="009B03E9" w:rsidP="00A47A7E">
      <w:pPr>
        <w:pStyle w:val="Numbered11"/>
        <w:keepNext/>
      </w:pPr>
      <w:bookmarkStart w:id="562" w:name="_bookmark191"/>
      <w:bookmarkStart w:id="563" w:name="_Ref98412191"/>
      <w:bookmarkEnd w:id="562"/>
      <w:r w:rsidRPr="00BD6C5F">
        <w:t>Where:</w:t>
      </w:r>
      <w:bookmarkEnd w:id="563"/>
    </w:p>
    <w:p w14:paraId="4BFE48D5" w14:textId="77777777" w:rsidR="00BC7DDA" w:rsidRPr="00BD6C5F" w:rsidRDefault="009B03E9" w:rsidP="001F7CA7">
      <w:pPr>
        <w:pStyle w:val="Numbered111"/>
      </w:pPr>
      <w:r w:rsidRPr="00BD6C5F">
        <w:t>Services are to be charged using the Time and Materials or Guaranteed Maximum Price with Target Cost pricing mechanism; and</w:t>
      </w:r>
    </w:p>
    <w:p w14:paraId="753CE619" w14:textId="77777777" w:rsidR="00BC7DDA" w:rsidRPr="00BD6C5F" w:rsidRDefault="009B03E9" w:rsidP="001F7CA7">
      <w:pPr>
        <w:pStyle w:val="Numbered111"/>
      </w:pPr>
      <w:r w:rsidRPr="00BD6C5F">
        <w:t>the Authority so agrees in writing,</w:t>
      </w:r>
    </w:p>
    <w:p w14:paraId="3C543B4D" w14:textId="77777777" w:rsidR="00BC7DDA" w:rsidRPr="00BD6C5F" w:rsidRDefault="009B03E9" w:rsidP="00AC7207">
      <w:pPr>
        <w:pStyle w:val="BodyText"/>
        <w:spacing w:before="100" w:after="200"/>
        <w:ind w:left="720"/>
        <w:rPr>
          <w:rFonts w:asciiTheme="minorHAnsi" w:hAnsiTheme="minorHAnsi" w:cstheme="minorHAnsi"/>
        </w:rPr>
      </w:pPr>
      <w:r w:rsidRPr="00BD6C5F">
        <w:rPr>
          <w:rFonts w:asciiTheme="minorHAnsi" w:hAnsiTheme="minorHAnsi" w:cstheme="minorHAnsi"/>
        </w:rPr>
        <w:t>the Supplier shall be entitled to be reimbursed by the Authority for Reimbursable Expenses (in addition to being paid the relevant Charges), provided that such Reimbursable Expenses are supported by Supporting Documentation.</w:t>
      </w:r>
    </w:p>
    <w:p w14:paraId="0673DA4F" w14:textId="77777777" w:rsidR="00BC7DDA" w:rsidRPr="00BD6C5F" w:rsidRDefault="009B03E9" w:rsidP="00C5057A">
      <w:pPr>
        <w:pStyle w:val="Numbered11"/>
      </w:pPr>
      <w:r w:rsidRPr="00BD6C5F">
        <w:t>The Authority shall provide a copy of its current expenses policy to the Supplier upon request.</w:t>
      </w:r>
    </w:p>
    <w:p w14:paraId="258ABA4E" w14:textId="60271EDF" w:rsidR="00BC7DDA" w:rsidRPr="00BD6C5F" w:rsidRDefault="009B03E9" w:rsidP="00C5057A">
      <w:pPr>
        <w:pStyle w:val="Numbered11"/>
      </w:pPr>
      <w:r w:rsidRPr="00BD6C5F">
        <w:t xml:space="preserve">Except as expressly set out in Paragraph </w:t>
      </w:r>
      <w:r w:rsidR="001B4F2A" w:rsidRPr="00BD6C5F">
        <w:fldChar w:fldCharType="begin"/>
      </w:r>
      <w:r w:rsidR="001B4F2A" w:rsidRPr="00BD6C5F">
        <w:instrText xml:space="preserve"> REF _Ref98412191 \n \h </w:instrText>
      </w:r>
      <w:r w:rsidR="00AD7DD0" w:rsidRPr="00BD6C5F">
        <w:instrText xml:space="preserve"> \* MERGEFORMAT </w:instrText>
      </w:r>
      <w:r w:rsidR="001B4F2A" w:rsidRPr="00BD6C5F">
        <w:fldChar w:fldCharType="separate"/>
      </w:r>
      <w:r w:rsidR="009749A0">
        <w:t>7.1</w:t>
      </w:r>
      <w:r w:rsidR="001B4F2A" w:rsidRPr="00BD6C5F">
        <w:fldChar w:fldCharType="end"/>
      </w:r>
      <w:r w:rsidRPr="00BD6C5F">
        <w:t>, the Charges shall include all costs and expenses relating to the Deliverables, the Services and/or the Supplier</w:t>
      </w:r>
      <w:r w:rsidR="00A4555C" w:rsidRPr="00BD6C5F">
        <w:t>’</w:t>
      </w:r>
      <w:r w:rsidRPr="00BD6C5F">
        <w:t xml:space="preserve">s performance of its obligations under this </w:t>
      </w:r>
      <w:r w:rsidR="001249BC" w:rsidRPr="00BD6C5F">
        <w:t xml:space="preserve">Contract </w:t>
      </w:r>
      <w:r w:rsidRPr="00BD6C5F">
        <w:t>and no further amounts shall be payable by the Authority to the Supplier in respect of such performance, including in respect of matters such as:</w:t>
      </w:r>
    </w:p>
    <w:p w14:paraId="57893B69" w14:textId="53B4DA74" w:rsidR="00BC7DDA" w:rsidRPr="00BD6C5F" w:rsidRDefault="009B03E9" w:rsidP="001F7CA7">
      <w:pPr>
        <w:pStyle w:val="Numbered111"/>
      </w:pPr>
      <w:r w:rsidRPr="00BD6C5F">
        <w:t>any incidental expenses that the Supplier incurs, including travel, subsistence and lodging, document and report reproduction,</w:t>
      </w:r>
      <w:r w:rsidR="008E4C58" w:rsidRPr="00BD6C5F">
        <w:t xml:space="preserve"> </w:t>
      </w:r>
      <w:r w:rsidRPr="00BD6C5F">
        <w:t>shipping, desktop and office equipment costs required by the Supplier Personnel, including network or data interchange costs or other telecommunications charges; or</w:t>
      </w:r>
    </w:p>
    <w:p w14:paraId="46B90236" w14:textId="77777777" w:rsidR="00BC7DDA" w:rsidRPr="00BD6C5F" w:rsidRDefault="009B03E9" w:rsidP="001F7CA7">
      <w:pPr>
        <w:pStyle w:val="Numbered111"/>
      </w:pPr>
      <w:r w:rsidRPr="00BD6C5F">
        <w:t>any amount for any services provided or costs incurred by the Supplier prior to the Effective Date.</w:t>
      </w:r>
    </w:p>
    <w:p w14:paraId="299E34C8" w14:textId="654FF1B4" w:rsidR="00BC7DDA" w:rsidRPr="00BD6C5F" w:rsidRDefault="001F7CA7" w:rsidP="006D411A">
      <w:pPr>
        <w:pStyle w:val="Heading2"/>
        <w:pageBreakBefore/>
      </w:pPr>
      <w:bookmarkStart w:id="564" w:name="_Toc141721006"/>
      <w:r w:rsidRPr="00BD6C5F">
        <w:lastRenderedPageBreak/>
        <w:t xml:space="preserve">Part </w:t>
      </w:r>
      <w:bookmarkStart w:id="565" w:name="Schedule_15_Part_B"/>
      <w:r w:rsidRPr="00BD6C5F">
        <w:t>B</w:t>
      </w:r>
      <w:bookmarkEnd w:id="565"/>
      <w:r w:rsidRPr="00BD6C5F">
        <w:t xml:space="preserve">: </w:t>
      </w:r>
      <w:bookmarkStart w:id="566" w:name="_bookmark192"/>
      <w:bookmarkStart w:id="567" w:name="_Toc98332737"/>
      <w:bookmarkStart w:id="568" w:name="_Ref98411914"/>
      <w:bookmarkStart w:id="569" w:name="_Ref98411922"/>
      <w:bookmarkStart w:id="570" w:name="_Ref98413049"/>
      <w:bookmarkStart w:id="571" w:name="_Ref98851861"/>
      <w:bookmarkStart w:id="572" w:name="_Ref98851867"/>
      <w:bookmarkStart w:id="573" w:name="_Toc98852914"/>
      <w:bookmarkEnd w:id="566"/>
      <w:r w:rsidRPr="00BD6C5F">
        <w:t>Charging Mechanisms</w:t>
      </w:r>
      <w:bookmarkEnd w:id="567"/>
      <w:bookmarkEnd w:id="568"/>
      <w:bookmarkEnd w:id="569"/>
      <w:bookmarkEnd w:id="570"/>
      <w:bookmarkEnd w:id="571"/>
      <w:bookmarkEnd w:id="572"/>
      <w:bookmarkEnd w:id="573"/>
      <w:bookmarkEnd w:id="564"/>
    </w:p>
    <w:p w14:paraId="355B9D05" w14:textId="09F06757" w:rsidR="00BC7DDA" w:rsidRPr="00BD6C5F" w:rsidRDefault="001F7CA7" w:rsidP="00B71FC0">
      <w:pPr>
        <w:pStyle w:val="Numbered1"/>
        <w:numPr>
          <w:ilvl w:val="0"/>
          <w:numId w:val="95"/>
        </w:numPr>
      </w:pPr>
      <w:r w:rsidRPr="00BD6C5F">
        <w:t>Milestone Payments</w:t>
      </w:r>
    </w:p>
    <w:p w14:paraId="16A3A3C8" w14:textId="0D5772ED" w:rsidR="00BC7DDA" w:rsidRPr="00BD6C5F" w:rsidRDefault="009B03E9" w:rsidP="00C5057A">
      <w:pPr>
        <w:pStyle w:val="Numbered11"/>
      </w:pPr>
      <w:r w:rsidRPr="00BD6C5F">
        <w:t xml:space="preserve">Subject to the provisions of Paragraph </w:t>
      </w:r>
      <w:r w:rsidR="001B4F2A" w:rsidRPr="00BD6C5F">
        <w:fldChar w:fldCharType="begin"/>
      </w:r>
      <w:r w:rsidR="001B4F2A" w:rsidRPr="00BD6C5F">
        <w:instrText xml:space="preserve"> REF _Ref98412206 \n \h </w:instrText>
      </w:r>
      <w:r w:rsidR="00AD7DD0" w:rsidRPr="00BD6C5F">
        <w:instrText xml:space="preserve"> \* MERGEFORMAT </w:instrText>
      </w:r>
      <w:r w:rsidR="001B4F2A" w:rsidRPr="00BD6C5F">
        <w:fldChar w:fldCharType="separate"/>
      </w:r>
      <w:r w:rsidR="009749A0">
        <w:t>1.3</w:t>
      </w:r>
      <w:r w:rsidR="001B4F2A" w:rsidRPr="00BD6C5F">
        <w:fldChar w:fldCharType="end"/>
      </w:r>
      <w:r w:rsidRPr="00BD6C5F">
        <w:t xml:space="preserve"> of </w:t>
      </w:r>
      <w:r w:rsidR="00A93D47">
        <w:t>Part </w:t>
      </w:r>
      <w:r w:rsidR="00A93D47">
        <w:fldChar w:fldCharType="begin"/>
      </w:r>
      <w:r w:rsidR="00A93D47">
        <w:instrText xml:space="preserve"> REF Schedule_15_Part_C \h </w:instrText>
      </w:r>
      <w:r w:rsidR="00A93D47">
        <w:fldChar w:fldCharType="separate"/>
      </w:r>
      <w:r w:rsidR="009749A0" w:rsidRPr="00BD6C5F">
        <w:t>C</w:t>
      </w:r>
      <w:r w:rsidR="00A93D47">
        <w:fldChar w:fldCharType="end"/>
      </w:r>
      <w:r w:rsidRPr="00BD6C5F">
        <w:t xml:space="preserve"> in relation to the deduction of Delay Payments, on the Achievement of a Milestone the Supplier shall be entitled to invoice the Authority for the Milestone Payment associated with that Milestone less the applicable Milestone Retention in accordance with this </w:t>
      </w:r>
      <w:r w:rsidR="00C101F7">
        <w:t>Part </w:t>
      </w:r>
      <w:r w:rsidR="00C101F7">
        <w:fldChar w:fldCharType="begin"/>
      </w:r>
      <w:r w:rsidR="00C101F7">
        <w:instrText xml:space="preserve"> REF Schedule_15_Part_B \h </w:instrText>
      </w:r>
      <w:r w:rsidR="00C101F7">
        <w:fldChar w:fldCharType="separate"/>
      </w:r>
      <w:r w:rsidR="009749A0" w:rsidRPr="00BD6C5F">
        <w:t>B</w:t>
      </w:r>
      <w:r w:rsidR="00C101F7">
        <w:fldChar w:fldCharType="end"/>
      </w:r>
      <w:r w:rsidRPr="00BD6C5F">
        <w:t>.</w:t>
      </w:r>
    </w:p>
    <w:p w14:paraId="1ECEF6C4" w14:textId="77777777" w:rsidR="00BC7DDA" w:rsidRPr="00BD6C5F" w:rsidRDefault="009B03E9" w:rsidP="00A47A7E">
      <w:pPr>
        <w:pStyle w:val="Numbered11"/>
        <w:keepNext/>
      </w:pPr>
      <w:bookmarkStart w:id="574" w:name="_bookmark193"/>
      <w:bookmarkStart w:id="575" w:name="_Ref98412406"/>
      <w:bookmarkEnd w:id="574"/>
      <w:r w:rsidRPr="00BD6C5F">
        <w:t>Each invoice relating to a Milestone Payment shall be supported by:</w:t>
      </w:r>
      <w:bookmarkEnd w:id="575"/>
    </w:p>
    <w:p w14:paraId="04DD7F25" w14:textId="77777777" w:rsidR="00BC7DDA" w:rsidRPr="00BD6C5F" w:rsidRDefault="009B03E9" w:rsidP="001F7CA7">
      <w:pPr>
        <w:pStyle w:val="Numbered111"/>
      </w:pPr>
      <w:r w:rsidRPr="00BD6C5F">
        <w:t>a Milestone Achievement Certificate; and</w:t>
      </w:r>
    </w:p>
    <w:p w14:paraId="40635BEC" w14:textId="77777777" w:rsidR="00BC7DDA" w:rsidRPr="00BD6C5F" w:rsidRDefault="009B03E9" w:rsidP="001F7CA7">
      <w:pPr>
        <w:pStyle w:val="Numbered111"/>
      </w:pPr>
      <w:r w:rsidRPr="00BD6C5F">
        <w:t>where the Milestone Payment is to be calculated by reference to a Guaranteed Maximum Price with Target Cost or Time and Materials pricing mechanism, a Certificate of Costs with Supporting Documentation.</w:t>
      </w:r>
    </w:p>
    <w:p w14:paraId="3ECA5064" w14:textId="6CBF5B43" w:rsidR="00BC7DDA" w:rsidRPr="00BD6C5F" w:rsidRDefault="009B03E9" w:rsidP="00A47A7E">
      <w:pPr>
        <w:pStyle w:val="Numbered11"/>
        <w:keepNext/>
      </w:pPr>
      <w:bookmarkStart w:id="576" w:name="_bookmark194"/>
      <w:bookmarkStart w:id="577" w:name="_Ref98411934"/>
      <w:bookmarkEnd w:id="576"/>
      <w:r w:rsidRPr="00BD6C5F">
        <w:t xml:space="preserve">The </w:t>
      </w:r>
      <w:r w:rsidR="00A4555C" w:rsidRPr="00BD6C5F">
        <w:t>“</w:t>
      </w:r>
      <w:r w:rsidRPr="00BD6C5F">
        <w:rPr>
          <w:b/>
        </w:rPr>
        <w:t>Milestone Retention</w:t>
      </w:r>
      <w:r w:rsidR="00A4555C" w:rsidRPr="00BD6C5F">
        <w:t>”</w:t>
      </w:r>
      <w:r w:rsidRPr="00BD6C5F">
        <w:t xml:space="preserve"> for each Milestone shall be calculated as follows:</w:t>
      </w:r>
      <w:bookmarkEnd w:id="577"/>
    </w:p>
    <w:p w14:paraId="727AD621" w14:textId="77777777" w:rsidR="00BC7DDA" w:rsidRPr="00BD6C5F" w:rsidRDefault="009B03E9" w:rsidP="001F7CA7">
      <w:pPr>
        <w:pStyle w:val="Numbered111"/>
      </w:pPr>
      <w:bookmarkStart w:id="578" w:name="_bookmark195"/>
      <w:bookmarkEnd w:id="578"/>
      <w:r w:rsidRPr="00BD6C5F">
        <w:t>where the Milestone Payment for the relevant Milestone is determined by reference to a Guaranteed Maximum Price with Target Cost pricing mechanism, 10% of the Target Price for the Milestone;</w:t>
      </w:r>
    </w:p>
    <w:p w14:paraId="6D75ACF7" w14:textId="77777777" w:rsidR="00BC7DDA" w:rsidRPr="00BD6C5F" w:rsidRDefault="009B03E9" w:rsidP="00A47A7E">
      <w:pPr>
        <w:pStyle w:val="Numbered111"/>
        <w:keepNext/>
      </w:pPr>
      <w:r w:rsidRPr="00BD6C5F">
        <w:t>where the Milestone Payment for the relevant Milestone is determined by reference to a Time and Materials, Fixed Price or Firm Price pricing mechanism, 10% of the Charges for that Milestone,</w:t>
      </w:r>
    </w:p>
    <w:p w14:paraId="0E0B4720" w14:textId="576985C5" w:rsidR="00BC7DDA" w:rsidRPr="00BD6C5F" w:rsidRDefault="009B03E9" w:rsidP="00AC7207">
      <w:pPr>
        <w:pStyle w:val="BodyText"/>
        <w:spacing w:before="100" w:after="200"/>
        <w:ind w:left="720"/>
        <w:rPr>
          <w:rFonts w:asciiTheme="minorHAnsi" w:hAnsiTheme="minorHAnsi" w:cstheme="minorHAnsi"/>
        </w:rPr>
      </w:pPr>
      <w:r w:rsidRPr="00BD6C5F">
        <w:rPr>
          <w:rFonts w:asciiTheme="minorHAnsi" w:hAnsiTheme="minorHAnsi" w:cstheme="minorHAnsi"/>
        </w:rPr>
        <w:t>and, in the case of a Key Milestone, prior to deduction from the Milestone Payment of any Delay Payment attributable to that Key Milestone and without taking account of any amount payable by the Supplier pursuant to Paragraph</w:t>
      </w:r>
      <w:r w:rsidR="00AC7207" w:rsidRPr="00BD6C5F">
        <w:rPr>
          <w:rFonts w:asciiTheme="minorHAnsi" w:hAnsiTheme="minorHAnsi" w:cstheme="minorHAnsi"/>
        </w:rPr>
        <w:t xml:space="preserve"> </w:t>
      </w:r>
      <w:r w:rsidR="001B4F2A" w:rsidRPr="00BD6C5F">
        <w:rPr>
          <w:rFonts w:asciiTheme="minorHAnsi" w:hAnsiTheme="minorHAnsi" w:cstheme="minorHAnsi"/>
        </w:rPr>
        <w:fldChar w:fldCharType="begin"/>
      </w:r>
      <w:r w:rsidR="001B4F2A" w:rsidRPr="00BD6C5F">
        <w:rPr>
          <w:rFonts w:asciiTheme="minorHAnsi" w:hAnsiTheme="minorHAnsi" w:cstheme="minorHAnsi"/>
        </w:rPr>
        <w:instrText xml:space="preserve"> REF _Ref98412206 \n \h </w:instrText>
      </w:r>
      <w:r w:rsidR="00AD7DD0" w:rsidRPr="00BD6C5F">
        <w:rPr>
          <w:rFonts w:asciiTheme="minorHAnsi" w:hAnsiTheme="minorHAnsi" w:cstheme="minorHAnsi"/>
        </w:rPr>
        <w:instrText xml:space="preserve"> \* MERGEFORMAT </w:instrText>
      </w:r>
      <w:r w:rsidR="001B4F2A" w:rsidRPr="00BD6C5F">
        <w:rPr>
          <w:rFonts w:asciiTheme="minorHAnsi" w:hAnsiTheme="minorHAnsi" w:cstheme="minorHAnsi"/>
        </w:rPr>
      </w:r>
      <w:r w:rsidR="001B4F2A" w:rsidRPr="00BD6C5F">
        <w:rPr>
          <w:rFonts w:asciiTheme="minorHAnsi" w:hAnsiTheme="minorHAnsi" w:cstheme="minorHAnsi"/>
        </w:rPr>
        <w:fldChar w:fldCharType="separate"/>
      </w:r>
      <w:r w:rsidR="009749A0">
        <w:rPr>
          <w:rFonts w:asciiTheme="minorHAnsi" w:hAnsiTheme="minorHAnsi" w:cstheme="minorHAnsi"/>
        </w:rPr>
        <w:t>1.3</w:t>
      </w:r>
      <w:r w:rsidR="001B4F2A" w:rsidRPr="00BD6C5F">
        <w:rPr>
          <w:rFonts w:asciiTheme="minorHAnsi" w:hAnsiTheme="minorHAnsi" w:cstheme="minorHAnsi"/>
        </w:rPr>
        <w:fldChar w:fldCharType="end"/>
      </w:r>
      <w:r w:rsidRPr="00BD6C5F">
        <w:rPr>
          <w:rFonts w:asciiTheme="minorHAnsi" w:hAnsiTheme="minorHAnsi" w:cstheme="minorHAnsi"/>
        </w:rPr>
        <w:t xml:space="preserve">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Schedule_15_Part_C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C</w:t>
      </w:r>
      <w:r w:rsidR="00C101F7">
        <w:rPr>
          <w:rFonts w:asciiTheme="minorHAnsi" w:hAnsiTheme="minorHAnsi" w:cstheme="minorHAnsi"/>
        </w:rPr>
        <w:fldChar w:fldCharType="end"/>
      </w:r>
      <w:r w:rsidRPr="00BD6C5F">
        <w:rPr>
          <w:rFonts w:asciiTheme="minorHAnsi" w:hAnsiTheme="minorHAnsi" w:cstheme="minorHAnsi"/>
        </w:rPr>
        <w:t>.</w:t>
      </w:r>
    </w:p>
    <w:p w14:paraId="61B45BB5" w14:textId="77777777" w:rsidR="00BC7DDA" w:rsidRPr="00BD6C5F" w:rsidRDefault="009B03E9" w:rsidP="00DA04BE">
      <w:pPr>
        <w:keepNext/>
        <w:keepLines/>
        <w:widowControl/>
        <w:spacing w:before="240" w:after="120"/>
        <w:rPr>
          <w:b/>
          <w:bCs/>
        </w:rPr>
      </w:pPr>
      <w:r w:rsidRPr="00BD6C5F">
        <w:rPr>
          <w:b/>
          <w:bCs/>
        </w:rPr>
        <w:t>Guaranteed Maximum Price with Target Cost pricing mechanism</w:t>
      </w:r>
    </w:p>
    <w:p w14:paraId="5F2F1AB9" w14:textId="77777777" w:rsidR="00BC7DDA" w:rsidRPr="00BD6C5F" w:rsidRDefault="009B03E9" w:rsidP="00A47A7E">
      <w:pPr>
        <w:pStyle w:val="Numbered11"/>
        <w:keepNext/>
      </w:pPr>
      <w:bookmarkStart w:id="579" w:name="_Ref98413068"/>
      <w:r w:rsidRPr="00BD6C5F">
        <w:t>Where a Milestone Payment relating to a single Milestone is to be calculated by reference to a Guaranteed Maximum Price with Target Cost pricing mechanism, then the following payment process shall apply:</w:t>
      </w:r>
      <w:bookmarkEnd w:id="579"/>
    </w:p>
    <w:p w14:paraId="2D212198" w14:textId="77777777" w:rsidR="00BC7DDA" w:rsidRPr="00BD6C5F" w:rsidRDefault="009B03E9" w:rsidP="001F7CA7">
      <w:pPr>
        <w:pStyle w:val="Numbered111"/>
      </w:pPr>
      <w:r w:rsidRPr="00BD6C5F">
        <w:t>upon the issue of a Milestone Achievement Certificate for the Milestone, the Supplier may invoice the Authority for the Target Price for the relevant Milestone, less the Milestone Retention calculated using such Target Price; and</w:t>
      </w:r>
    </w:p>
    <w:p w14:paraId="6B129DC1" w14:textId="1A707CC6" w:rsidR="00BC7DDA" w:rsidRPr="00BD6C5F" w:rsidRDefault="009B03E9" w:rsidP="00A47A7E">
      <w:pPr>
        <w:pStyle w:val="Numbered111"/>
        <w:keepNext/>
      </w:pPr>
      <w:r w:rsidRPr="00BD6C5F">
        <w:t xml:space="preserve">no later than 60 Working Days after the invoice referred to in Paragraph </w:t>
      </w:r>
      <w:r w:rsidR="001B4F2A" w:rsidRPr="00BD6C5F">
        <w:fldChar w:fldCharType="begin"/>
      </w:r>
      <w:r w:rsidR="001B4F2A" w:rsidRPr="00BD6C5F">
        <w:instrText xml:space="preserve"> REF _Ref98412307 \w \h </w:instrText>
      </w:r>
      <w:r w:rsidR="00AD7DD0" w:rsidRPr="00BD6C5F">
        <w:instrText xml:space="preserve"> \* MERGEFORMAT </w:instrText>
      </w:r>
      <w:r w:rsidR="001B4F2A" w:rsidRPr="00BD6C5F">
        <w:fldChar w:fldCharType="separate"/>
      </w:r>
      <w:r w:rsidR="009749A0">
        <w:t>1.3.1</w:t>
      </w:r>
      <w:r w:rsidR="001B4F2A" w:rsidRPr="00BD6C5F">
        <w:fldChar w:fldCharType="end"/>
      </w:r>
      <w:r w:rsidRPr="00BD6C5F">
        <w:t xml:space="preserve"> has been issued, the Supplier shall:</w:t>
      </w:r>
    </w:p>
    <w:p w14:paraId="443AF7A3" w14:textId="77777777" w:rsidR="00BC7DDA" w:rsidRPr="00BD6C5F" w:rsidRDefault="009B03E9" w:rsidP="006220B3">
      <w:pPr>
        <w:pStyle w:val="Numbered111a"/>
        <w:rPr>
          <w:lang w:val="en-GB"/>
        </w:rPr>
      </w:pPr>
      <w:r w:rsidRPr="00BD6C5F">
        <w:rPr>
          <w:lang w:val="en-GB"/>
        </w:rPr>
        <w:t>submit to the Authority a report setting out the Incurred Costs and actual Milestone Payment for the Milestone;</w:t>
      </w:r>
    </w:p>
    <w:p w14:paraId="663788D2" w14:textId="5C2D78B1" w:rsidR="00BC7DDA" w:rsidRPr="00BD6C5F" w:rsidRDefault="009B03E9" w:rsidP="001F7CA7">
      <w:pPr>
        <w:pStyle w:val="Numbered111a"/>
        <w:rPr>
          <w:lang w:val="en-GB"/>
        </w:rPr>
      </w:pPr>
      <w:bookmarkStart w:id="580" w:name="_bookmark196"/>
      <w:bookmarkStart w:id="581" w:name="_Ref98412352"/>
      <w:bookmarkEnd w:id="580"/>
      <w:r w:rsidRPr="00BD6C5F">
        <w:rPr>
          <w:lang w:val="en-GB"/>
        </w:rPr>
        <w:t>issue to the Authority an invoice or credit note for the difference between the actual Milestone Payment payable and the Target Price invoiced for the Milestone (in each case, after deducting the applicable Milestone Retention);</w:t>
      </w:r>
      <w:bookmarkEnd w:id="581"/>
    </w:p>
    <w:p w14:paraId="7B88D83F" w14:textId="182A276B" w:rsidR="00BC7DDA" w:rsidRPr="00BD6C5F" w:rsidRDefault="009B03E9" w:rsidP="001F7CA7">
      <w:pPr>
        <w:pStyle w:val="Numbered111a"/>
        <w:rPr>
          <w:lang w:val="en-GB"/>
        </w:rPr>
      </w:pPr>
      <w:bookmarkStart w:id="582" w:name="_bookmark197"/>
      <w:bookmarkEnd w:id="582"/>
      <w:r w:rsidRPr="00BD6C5F">
        <w:rPr>
          <w:lang w:val="en-GB"/>
        </w:rPr>
        <w:t xml:space="preserve">where a credit note is to be issued to the Authority pursuant to </w:t>
      </w:r>
      <w:r w:rsidRPr="00BD6C5F">
        <w:rPr>
          <w:lang w:val="en-GB"/>
        </w:rPr>
        <w:lastRenderedPageBreak/>
        <w:t xml:space="preserve">Paragraph </w:t>
      </w:r>
      <w:r w:rsidR="001B4F2A" w:rsidRPr="00BD6C5F">
        <w:rPr>
          <w:lang w:val="en-GB"/>
        </w:rPr>
        <w:fldChar w:fldCharType="begin"/>
      </w:r>
      <w:r w:rsidR="001B4F2A" w:rsidRPr="00BD6C5F">
        <w:rPr>
          <w:lang w:val="en-GB"/>
        </w:rPr>
        <w:instrText xml:space="preserve"> REF _Ref98412352 \w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Pr>
          <w:lang w:val="en-GB"/>
        </w:rPr>
        <w:t>1.4.2(b)</w:t>
      </w:r>
      <w:r w:rsidR="001B4F2A" w:rsidRPr="00BD6C5F">
        <w:rPr>
          <w:lang w:val="en-GB"/>
        </w:rPr>
        <w:fldChar w:fldCharType="end"/>
      </w:r>
      <w:r w:rsidRPr="00BD6C5F">
        <w:rPr>
          <w:lang w:val="en-GB"/>
        </w:rPr>
        <w:t>, repay to the Authority a sum equal to such difference as a debt within 10 Working Days of issue of the credit note; and</w:t>
      </w:r>
    </w:p>
    <w:p w14:paraId="4BDCE1AC" w14:textId="77777777" w:rsidR="00BC7DDA" w:rsidRPr="00BD6C5F" w:rsidRDefault="009B03E9" w:rsidP="001F7CA7">
      <w:pPr>
        <w:pStyle w:val="Numbered111a"/>
        <w:rPr>
          <w:lang w:val="en-GB"/>
        </w:rPr>
      </w:pPr>
      <w:r w:rsidRPr="00BD6C5F">
        <w:rPr>
          <w:lang w:val="en-GB"/>
        </w:rPr>
        <w:t>issue a Certificate of Costs with Supporting Documentation, which shall exclude any accruals, prepayments and provisions.</w:t>
      </w:r>
    </w:p>
    <w:p w14:paraId="73CA55D4" w14:textId="4B83417E" w:rsidR="00BC7DDA" w:rsidRPr="00BD6C5F" w:rsidRDefault="009B03E9" w:rsidP="00C5057A">
      <w:pPr>
        <w:pStyle w:val="Numbered11"/>
      </w:pPr>
      <w:bookmarkStart w:id="583" w:name="_bookmark198"/>
      <w:bookmarkStart w:id="584" w:name="_Ref98411904"/>
      <w:bookmarkEnd w:id="583"/>
      <w:r w:rsidRPr="00BD6C5F">
        <w:t xml:space="preserve">Where Milestones are stated in Table 4 of </w:t>
      </w:r>
      <w:r w:rsidR="00A93D47">
        <w:t>Annex </w:t>
      </w:r>
      <w:r w:rsidR="00A93D47">
        <w:fldChar w:fldCharType="begin"/>
      </w:r>
      <w:r w:rsidR="00A93D47">
        <w:instrText xml:space="preserve"> REF Schedule_15_Part_E_Annex_1 \h </w:instrText>
      </w:r>
      <w:r w:rsidR="00A93D47">
        <w:fldChar w:fldCharType="separate"/>
      </w:r>
      <w:r w:rsidR="009749A0" w:rsidRPr="00BD6C5F">
        <w:t>1</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to constitute a group of Milestones (a </w:t>
      </w:r>
      <w:r w:rsidR="00A4555C" w:rsidRPr="00BD6C5F">
        <w:t>“</w:t>
      </w:r>
      <w:r w:rsidRPr="00BD6C5F">
        <w:rPr>
          <w:b/>
        </w:rPr>
        <w:t>Milestone Group</w:t>
      </w:r>
      <w:r w:rsidR="00A4555C" w:rsidRPr="00BD6C5F">
        <w:t>”</w:t>
      </w:r>
      <w:r w:rsidRPr="00BD6C5F">
        <w:t>) and the Milestone Payments relating to the Milestones in that Milestone Group are each to be calculated by reference to a Guaranteed Maximum Price with Target Cost pricing mechanism, then the following payment process shall apply:</w:t>
      </w:r>
      <w:bookmarkEnd w:id="584"/>
    </w:p>
    <w:p w14:paraId="344B97C2" w14:textId="77777777" w:rsidR="00BC7DDA" w:rsidRPr="00BD6C5F" w:rsidRDefault="009B03E9" w:rsidP="001F7CA7">
      <w:pPr>
        <w:pStyle w:val="Numbered111"/>
      </w:pPr>
      <w:r w:rsidRPr="00BD6C5F">
        <w:t>in respect of each Milestone within the Milestone Group, the Supplier may invoice the Authority for the Target Price for the relevant Milestone, less the Milestone Retention calculated using such Target Price, upon the issue of the associated Milestone Achievement Certificate; and</w:t>
      </w:r>
    </w:p>
    <w:p w14:paraId="5309BD20" w14:textId="77777777" w:rsidR="00BC7DDA" w:rsidRPr="00BD6C5F" w:rsidRDefault="009B03E9" w:rsidP="00A47A7E">
      <w:pPr>
        <w:pStyle w:val="Numbered111"/>
        <w:keepNext/>
      </w:pPr>
      <w:r w:rsidRPr="00BD6C5F">
        <w:t>no later than 60 Working Days after the issue of the invoice for the final Milestone Payment relating to the Milestone Group, the Supplier shall:</w:t>
      </w:r>
    </w:p>
    <w:p w14:paraId="37A951B0" w14:textId="77777777" w:rsidR="00BC7DDA" w:rsidRPr="00BD6C5F" w:rsidRDefault="009B03E9" w:rsidP="006220B3">
      <w:pPr>
        <w:pStyle w:val="Numbered111a"/>
        <w:rPr>
          <w:lang w:val="en-GB"/>
        </w:rPr>
      </w:pPr>
      <w:r w:rsidRPr="00BD6C5F">
        <w:rPr>
          <w:lang w:val="en-GB"/>
        </w:rPr>
        <w:t>submit to the Authority a report setting out the Incurred Costs and actual Milestone Payments for the Milestone Group;</w:t>
      </w:r>
    </w:p>
    <w:p w14:paraId="75AF9757" w14:textId="77777777" w:rsidR="00BC7DDA" w:rsidRPr="00BD6C5F" w:rsidRDefault="009B03E9" w:rsidP="001F7CA7">
      <w:pPr>
        <w:pStyle w:val="Numbered111a"/>
        <w:rPr>
          <w:lang w:val="en-GB"/>
        </w:rPr>
      </w:pPr>
      <w:bookmarkStart w:id="585" w:name="_bookmark199"/>
      <w:bookmarkStart w:id="586" w:name="_Ref98412366"/>
      <w:bookmarkEnd w:id="585"/>
      <w:r w:rsidRPr="00BD6C5F">
        <w:rPr>
          <w:lang w:val="en-GB"/>
        </w:rPr>
        <w:t>issue to the Authority an invoice or credit note for the difference between the aggregate of the actual Milestone Payments payable and Target Prices invoiced for Milestones in the Milestone Group (in each case, after deducting all Milestone Retentions relating to that Milestone Group);</w:t>
      </w:r>
      <w:bookmarkEnd w:id="586"/>
    </w:p>
    <w:p w14:paraId="6C4DCC9B" w14:textId="6A86C54B" w:rsidR="00BC7DDA" w:rsidRPr="00BD6C5F" w:rsidRDefault="009B03E9" w:rsidP="001F7CA7">
      <w:pPr>
        <w:pStyle w:val="Numbered111a"/>
        <w:rPr>
          <w:lang w:val="en-GB"/>
        </w:rPr>
      </w:pPr>
      <w:bookmarkStart w:id="587" w:name="_bookmark200"/>
      <w:bookmarkEnd w:id="587"/>
      <w:r w:rsidRPr="00BD6C5F">
        <w:rPr>
          <w:lang w:val="en-GB"/>
        </w:rPr>
        <w:t xml:space="preserve">where a credit note is to be issued to the Authority pursuant to Paragraph </w:t>
      </w:r>
      <w:r w:rsidR="001B4F2A" w:rsidRPr="00BD6C5F">
        <w:rPr>
          <w:lang w:val="en-GB"/>
        </w:rPr>
        <w:fldChar w:fldCharType="begin"/>
      </w:r>
      <w:r w:rsidR="001B4F2A" w:rsidRPr="00BD6C5F">
        <w:rPr>
          <w:lang w:val="en-GB"/>
        </w:rPr>
        <w:instrText xml:space="preserve"> REF _Ref98412366 \w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Pr>
          <w:lang w:val="en-GB"/>
        </w:rPr>
        <w:t>1.5.2(b)</w:t>
      </w:r>
      <w:r w:rsidR="001B4F2A" w:rsidRPr="00BD6C5F">
        <w:rPr>
          <w:lang w:val="en-GB"/>
        </w:rPr>
        <w:fldChar w:fldCharType="end"/>
      </w:r>
      <w:r w:rsidRPr="00BD6C5F">
        <w:rPr>
          <w:lang w:val="en-GB"/>
        </w:rPr>
        <w:t>, repay to the Authority a sum equal to such difference as a debt within 10 Working Days of issue of the credit note; and</w:t>
      </w:r>
    </w:p>
    <w:p w14:paraId="7FAF34A4" w14:textId="77777777" w:rsidR="00BC7DDA" w:rsidRPr="00BD6C5F" w:rsidRDefault="009B03E9" w:rsidP="001F7CA7">
      <w:pPr>
        <w:pStyle w:val="Numbered111a"/>
        <w:rPr>
          <w:lang w:val="en-GB"/>
        </w:rPr>
      </w:pPr>
      <w:r w:rsidRPr="00BD6C5F">
        <w:rPr>
          <w:lang w:val="en-GB"/>
        </w:rPr>
        <w:t>issue a Certificate of Costs with Supporting Documentation, which shall exclude any accruals, prepayments and provisions.</w:t>
      </w:r>
    </w:p>
    <w:p w14:paraId="5DB4F258" w14:textId="07EB327C" w:rsidR="00BC7DDA" w:rsidRPr="00BD6C5F" w:rsidRDefault="009B03E9" w:rsidP="00C5057A">
      <w:pPr>
        <w:pStyle w:val="Numbered11"/>
      </w:pPr>
      <w:r w:rsidRPr="00BD6C5F">
        <w:t xml:space="preserve">If the Supplier does not repay any such sum as is referred to in Paragraph </w:t>
      </w:r>
      <w:r w:rsidR="001B4F2A" w:rsidRPr="00BD6C5F">
        <w:fldChar w:fldCharType="begin"/>
      </w:r>
      <w:r w:rsidR="001B4F2A" w:rsidRPr="00BD6C5F">
        <w:instrText xml:space="preserve"> REF _Ref98412352 \w \h </w:instrText>
      </w:r>
      <w:r w:rsidR="00AD7DD0" w:rsidRPr="00BD6C5F">
        <w:instrText xml:space="preserve"> \* MERGEFORMAT </w:instrText>
      </w:r>
      <w:r w:rsidR="001B4F2A" w:rsidRPr="00BD6C5F">
        <w:fldChar w:fldCharType="separate"/>
      </w:r>
      <w:r w:rsidR="009749A0">
        <w:t>1.4.2(b)</w:t>
      </w:r>
      <w:r w:rsidR="001B4F2A" w:rsidRPr="00BD6C5F">
        <w:fldChar w:fldCharType="end"/>
      </w:r>
      <w:r w:rsidRPr="00BD6C5F">
        <w:t xml:space="preserve"> or </w:t>
      </w:r>
      <w:r w:rsidR="001B4F2A" w:rsidRPr="00BD6C5F">
        <w:fldChar w:fldCharType="begin"/>
      </w:r>
      <w:r w:rsidR="001B4F2A" w:rsidRPr="00BD6C5F">
        <w:instrText xml:space="preserve"> REF _Ref98412366 \w \h </w:instrText>
      </w:r>
      <w:r w:rsidR="00AD7DD0" w:rsidRPr="00BD6C5F">
        <w:instrText xml:space="preserve"> \* MERGEFORMAT </w:instrText>
      </w:r>
      <w:r w:rsidR="001B4F2A" w:rsidRPr="00BD6C5F">
        <w:fldChar w:fldCharType="separate"/>
      </w:r>
      <w:r w:rsidR="009749A0">
        <w:t>1.5.2(b)</w:t>
      </w:r>
      <w:r w:rsidR="001B4F2A" w:rsidRPr="00BD6C5F">
        <w:fldChar w:fldCharType="end"/>
      </w:r>
      <w:r w:rsidRPr="00BD6C5F">
        <w:t xml:space="preserve"> within 10 Working Days of issue of the relevant credit note, it shall repay such sum together with interest on such sum at the applicable rate under the Late Payment of Commercial Debts (Interest) Act</w:t>
      </w:r>
      <w:r w:rsidR="00B76843" w:rsidRPr="00BD6C5F">
        <w:t xml:space="preserve"> </w:t>
      </w:r>
      <w:r w:rsidRPr="00BD6C5F">
        <w:t>1998, accruing on a daily basis from (and including) the due date up to (but excluding) the date of actual payment, whether before or after judgment.</w:t>
      </w:r>
    </w:p>
    <w:p w14:paraId="01C1FBE7" w14:textId="36413640" w:rsidR="00BC7DDA" w:rsidRPr="00BD6C5F" w:rsidRDefault="009B03E9" w:rsidP="00C5057A">
      <w:pPr>
        <w:pStyle w:val="Numbered11"/>
      </w:pPr>
      <w:r w:rsidRPr="00BD6C5F">
        <w:t xml:space="preserve">Following the issue of a Certificate of Costs in accordance with Paragraph </w:t>
      </w:r>
      <w:r w:rsidR="001B4F2A" w:rsidRPr="00BD6C5F">
        <w:fldChar w:fldCharType="begin"/>
      </w:r>
      <w:r w:rsidR="001B4F2A" w:rsidRPr="00BD6C5F">
        <w:instrText xml:space="preserve"> REF _Ref98412406 \n \h </w:instrText>
      </w:r>
      <w:r w:rsidR="00AD7DD0" w:rsidRPr="00BD6C5F">
        <w:instrText xml:space="preserve"> \* MERGEFORMAT </w:instrText>
      </w:r>
      <w:r w:rsidR="001B4F2A" w:rsidRPr="00BD6C5F">
        <w:fldChar w:fldCharType="separate"/>
      </w:r>
      <w:r w:rsidR="009749A0">
        <w:t>1.2</w:t>
      </w:r>
      <w:r w:rsidR="001B4F2A" w:rsidRPr="00BD6C5F">
        <w:fldChar w:fldCharType="end"/>
      </w:r>
      <w:r w:rsidRPr="00BD6C5F">
        <w:t xml:space="preserve">, </w:t>
      </w:r>
      <w:r w:rsidR="001B4F2A" w:rsidRPr="00BD6C5F">
        <w:fldChar w:fldCharType="begin"/>
      </w:r>
      <w:r w:rsidR="001B4F2A" w:rsidRPr="00BD6C5F">
        <w:instrText xml:space="preserve"> REF _Ref98412352 \w \h </w:instrText>
      </w:r>
      <w:r w:rsidR="00AD7DD0" w:rsidRPr="00BD6C5F">
        <w:instrText xml:space="preserve"> \* MERGEFORMAT </w:instrText>
      </w:r>
      <w:r w:rsidR="001B4F2A" w:rsidRPr="00BD6C5F">
        <w:fldChar w:fldCharType="separate"/>
      </w:r>
      <w:r w:rsidR="009749A0">
        <w:t>1.4.2(b)</w:t>
      </w:r>
      <w:r w:rsidR="001B4F2A" w:rsidRPr="00BD6C5F">
        <w:fldChar w:fldCharType="end"/>
      </w:r>
      <w:r w:rsidR="001B4F2A" w:rsidRPr="00BD6C5F">
        <w:t xml:space="preserve"> or </w:t>
      </w:r>
      <w:r w:rsidR="001B4F2A" w:rsidRPr="00BD6C5F">
        <w:fldChar w:fldCharType="begin"/>
      </w:r>
      <w:r w:rsidR="001B4F2A" w:rsidRPr="00BD6C5F">
        <w:instrText xml:space="preserve"> REF _Ref98412366 \w \h </w:instrText>
      </w:r>
      <w:r w:rsidR="00AD7DD0" w:rsidRPr="00BD6C5F">
        <w:instrText xml:space="preserve"> \* MERGEFORMAT </w:instrText>
      </w:r>
      <w:r w:rsidR="001B4F2A" w:rsidRPr="00BD6C5F">
        <w:fldChar w:fldCharType="separate"/>
      </w:r>
      <w:r w:rsidR="009749A0">
        <w:t>1.5.2(b)</w:t>
      </w:r>
      <w:r w:rsidR="001B4F2A" w:rsidRPr="00BD6C5F">
        <w:fldChar w:fldCharType="end"/>
      </w:r>
      <w:r w:rsidRPr="00BD6C5F">
        <w:t xml:space="preserve">, the Supplier shall not be entitled to invoice the Authority for any additional Charges relating to the Milestone or Milestone Group (as applicable) save as provided in Paragraph </w:t>
      </w:r>
      <w:r w:rsidR="001B4F2A" w:rsidRPr="00BD6C5F">
        <w:fldChar w:fldCharType="begin"/>
      </w:r>
      <w:r w:rsidR="001B4F2A" w:rsidRPr="00BD6C5F">
        <w:instrText xml:space="preserve"> REF _Ref98412419 \n \h </w:instrText>
      </w:r>
      <w:r w:rsidR="00AD7DD0" w:rsidRPr="00BD6C5F">
        <w:instrText xml:space="preserve"> \* MERGEFORMAT </w:instrText>
      </w:r>
      <w:r w:rsidR="001B4F2A" w:rsidRPr="00BD6C5F">
        <w:fldChar w:fldCharType="separate"/>
      </w:r>
      <w:r w:rsidR="009749A0">
        <w:t>1.8</w:t>
      </w:r>
      <w:r w:rsidR="001B4F2A" w:rsidRPr="00BD6C5F">
        <w:fldChar w:fldCharType="end"/>
      </w:r>
      <w:r w:rsidRPr="00BD6C5F">
        <w:t>.</w:t>
      </w:r>
    </w:p>
    <w:p w14:paraId="09E98FE8" w14:textId="77777777" w:rsidR="00BC7DDA" w:rsidRPr="00BD6C5F" w:rsidRDefault="009B03E9" w:rsidP="00DA04BE">
      <w:pPr>
        <w:keepNext/>
        <w:keepLines/>
        <w:widowControl/>
        <w:spacing w:before="240" w:after="120"/>
        <w:rPr>
          <w:b/>
          <w:bCs/>
        </w:rPr>
      </w:pPr>
      <w:r w:rsidRPr="00BD6C5F">
        <w:rPr>
          <w:b/>
          <w:bCs/>
        </w:rPr>
        <w:t>Release of Milestone Retentions</w:t>
      </w:r>
    </w:p>
    <w:p w14:paraId="713FA388" w14:textId="5042672C" w:rsidR="00BC7DDA" w:rsidRPr="00BD6C5F" w:rsidRDefault="009B03E9" w:rsidP="00C5057A">
      <w:pPr>
        <w:pStyle w:val="Numbered11"/>
      </w:pPr>
      <w:bookmarkStart w:id="588" w:name="_bookmark201"/>
      <w:bookmarkStart w:id="589" w:name="_Ref98412419"/>
      <w:bookmarkEnd w:id="588"/>
      <w:r w:rsidRPr="00BD6C5F">
        <w:t xml:space="preserve">On Achievement of a CPP Milestone relating to the Supplier Solution or one or more Services (as the case may be), the Supplier shall be entitled to invoice the Authority for </w:t>
      </w:r>
      <w:r w:rsidRPr="00BD6C5F">
        <w:lastRenderedPageBreak/>
        <w:t xml:space="preserve">an amount equal to all Milestone Retentions that relate to Milestones identified in the </w:t>
      </w:r>
      <w:r w:rsidR="00A4555C" w:rsidRPr="00BD6C5F">
        <w:rPr>
          <w:i/>
        </w:rPr>
        <w:t>“</w:t>
      </w:r>
      <w:r w:rsidRPr="00BD6C5F">
        <w:rPr>
          <w:i/>
        </w:rPr>
        <w:t>CPP Milestone Charge Number</w:t>
      </w:r>
      <w:r w:rsidR="00A4555C" w:rsidRPr="00BD6C5F">
        <w:rPr>
          <w:i/>
        </w:rPr>
        <w:t>”</w:t>
      </w:r>
      <w:r w:rsidRPr="00BD6C5F">
        <w:rPr>
          <w:i/>
        </w:rPr>
        <w:t xml:space="preserve"> </w:t>
      </w:r>
      <w:r w:rsidRPr="00BD6C5F">
        <w:t>column of Table 1 (or, in relation to Milestone Retentions in respect of Optional Services, Table</w:t>
      </w:r>
      <w:bookmarkEnd w:id="589"/>
      <w:r w:rsidR="00287379" w:rsidRPr="00BD6C5F">
        <w:t xml:space="preserve"> </w:t>
      </w:r>
      <w:r w:rsidRPr="00BD6C5F">
        <w:t xml:space="preserve">4)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and corresponding CPP Milestone Charge Number identified in Table 2 of </w:t>
      </w:r>
      <w:r w:rsidR="00A93D47">
        <w:t>Annex </w:t>
      </w:r>
      <w:r w:rsidR="00A93D47">
        <w:fldChar w:fldCharType="begin"/>
      </w:r>
      <w:r w:rsidR="00A93D47">
        <w:instrText xml:space="preserve"> REF Schedule_15_Part_E_Annex_4 \h </w:instrText>
      </w:r>
      <w:r w:rsidR="00A93D47">
        <w:fldChar w:fldCharType="separate"/>
      </w:r>
      <w:r w:rsidR="009749A0" w:rsidRPr="00BD6C5F">
        <w:t>4</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of </w:t>
      </w:r>
      <w:r w:rsidR="0019439D" w:rsidRPr="00BD6C5F">
        <w:t>Schedule </w:t>
      </w:r>
      <w:r w:rsidR="0019439D">
        <w:fldChar w:fldCharType="begin"/>
      </w:r>
      <w:r w:rsidR="0019439D">
        <w:instrText xml:space="preserve"> REF Schedule_14 \h </w:instrText>
      </w:r>
      <w:r w:rsidR="0019439D">
        <w:fldChar w:fldCharType="separate"/>
      </w:r>
      <w:r w:rsidR="009749A0">
        <w:t>14</w:t>
      </w:r>
      <w:r w:rsidR="0019439D">
        <w:fldChar w:fldCharType="end"/>
      </w:r>
      <w:r w:rsidRPr="00BD6C5F">
        <w:t xml:space="preserve"> (</w:t>
      </w:r>
      <w:r w:rsidRPr="00BD6C5F">
        <w:rPr>
          <w:i/>
        </w:rPr>
        <w:t>Testing Procedures</w:t>
      </w:r>
      <w:r w:rsidRPr="00BD6C5F">
        <w:t>) as being payable in respect of that CPP Milestone and have not been paid before such CPP Milestone.</w:t>
      </w:r>
    </w:p>
    <w:p w14:paraId="31719BD5" w14:textId="21064768" w:rsidR="00BC7DDA" w:rsidRPr="00BD6C5F" w:rsidRDefault="001F7CA7" w:rsidP="00C5057A">
      <w:pPr>
        <w:pStyle w:val="Numbered1"/>
      </w:pPr>
      <w:r w:rsidRPr="00BD6C5F">
        <w:t>Service Charges</w:t>
      </w:r>
    </w:p>
    <w:p w14:paraId="6E7404EE" w14:textId="7F124DDE" w:rsidR="00BC7DDA" w:rsidRPr="00BD6C5F" w:rsidRDefault="009B03E9" w:rsidP="00C5057A">
      <w:pPr>
        <w:pStyle w:val="Numbered11"/>
      </w:pPr>
      <w:bookmarkStart w:id="590" w:name="_Ref98413085"/>
      <w:r w:rsidRPr="00BD6C5F">
        <w:t xml:space="preserve">Each Service to which a Service Charge relates shall commence on the Achievement of the Milestone set out against that Service in the </w:t>
      </w:r>
      <w:r w:rsidR="00A4555C" w:rsidRPr="00BD6C5F">
        <w:t>“</w:t>
      </w:r>
      <w:r w:rsidRPr="00BD6C5F">
        <w:rPr>
          <w:i/>
        </w:rPr>
        <w:t>Service Charge Trigger Event</w:t>
      </w:r>
      <w:r w:rsidR="00A4555C" w:rsidRPr="00BD6C5F">
        <w:t>”</w:t>
      </w:r>
      <w:r w:rsidRPr="00BD6C5F">
        <w:t xml:space="preserve"> column of Table 2 of </w:t>
      </w:r>
      <w:r w:rsidR="000E1EDB">
        <w:t>Annex </w:t>
      </w:r>
      <w:r w:rsidR="000E1EDB">
        <w:fldChar w:fldCharType="begin"/>
      </w:r>
      <w:r w:rsidR="000E1EDB">
        <w:instrText xml:space="preserve"> REF Schedule_15_Part_E_Annex_2 \h </w:instrText>
      </w:r>
      <w:r w:rsidR="000E1EDB">
        <w:fldChar w:fldCharType="separate"/>
      </w:r>
      <w:r w:rsidR="009749A0" w:rsidRPr="00BD6C5F">
        <w:t>2</w:t>
      </w:r>
      <w:r w:rsidR="000E1EDB">
        <w:fldChar w:fldCharType="end"/>
      </w:r>
      <w:r w:rsidR="000E1EDB">
        <w:t xml:space="preserve"> of Part </w:t>
      </w:r>
      <w:r w:rsidR="000E1EDB">
        <w:fldChar w:fldCharType="begin"/>
      </w:r>
      <w:r w:rsidR="000E1EDB">
        <w:instrText xml:space="preserve"> REF Schedule_15_Part_E \h </w:instrText>
      </w:r>
      <w:r w:rsidR="000E1EDB">
        <w:fldChar w:fldCharType="separate"/>
      </w:r>
      <w:r w:rsidR="009749A0" w:rsidRPr="00BD6C5F">
        <w:t>E</w:t>
      </w:r>
      <w:r w:rsidR="000E1EDB">
        <w:fldChar w:fldCharType="end"/>
      </w:r>
      <w:r w:rsidRPr="00BD6C5F">
        <w:t>.</w:t>
      </w:r>
      <w:bookmarkEnd w:id="590"/>
    </w:p>
    <w:p w14:paraId="73EE1465" w14:textId="3FC01A22" w:rsidR="00BC7DDA" w:rsidRPr="00BD6C5F" w:rsidRDefault="009B03E9" w:rsidP="00C5057A">
      <w:pPr>
        <w:pStyle w:val="Numbered11"/>
      </w:pPr>
      <w:r w:rsidRPr="00BD6C5F">
        <w:t>Service Charges shall be invoiced by the Supplier for each Service Period in arrear in accordance with the requirements of</w:t>
      </w:r>
      <w:r w:rsidR="00712129" w:rsidRPr="00BD6C5F">
        <w:t> </w:t>
      </w:r>
      <w:r w:rsidR="000E1EDB">
        <w:t>Part </w:t>
      </w:r>
      <w:r w:rsidR="000E1EDB">
        <w:fldChar w:fldCharType="begin"/>
      </w:r>
      <w:r w:rsidR="000E1EDB">
        <w:instrText xml:space="preserve"> REF Schedule_15_Part_E \h </w:instrText>
      </w:r>
      <w:r w:rsidR="000E1EDB">
        <w:fldChar w:fldCharType="separate"/>
      </w:r>
      <w:r w:rsidR="009749A0" w:rsidRPr="00BD6C5F">
        <w:t>E</w:t>
      </w:r>
      <w:r w:rsidR="000E1EDB">
        <w:fldChar w:fldCharType="end"/>
      </w:r>
      <w:r w:rsidRPr="00BD6C5F">
        <w:t>.</w:t>
      </w:r>
    </w:p>
    <w:p w14:paraId="0F91634D" w14:textId="77777777" w:rsidR="00BC7DDA" w:rsidRPr="00BD6C5F" w:rsidRDefault="009B03E9" w:rsidP="00A47A7E">
      <w:pPr>
        <w:pStyle w:val="Numbered11"/>
        <w:keepNext/>
      </w:pPr>
      <w:r w:rsidRPr="00BD6C5F">
        <w:t>If a Service Charge is to be calculated by reference to a Fixed Price pricing mechanism and the relevant Service:</w:t>
      </w:r>
    </w:p>
    <w:p w14:paraId="579B3725" w14:textId="77777777" w:rsidR="00BC7DDA" w:rsidRPr="00BD6C5F" w:rsidRDefault="009B03E9" w:rsidP="001F7CA7">
      <w:pPr>
        <w:pStyle w:val="Numbered111"/>
      </w:pPr>
      <w:r w:rsidRPr="00BD6C5F">
        <w:t>commences on a day other than the first day of a month; and/or</w:t>
      </w:r>
    </w:p>
    <w:p w14:paraId="789F6CCA" w14:textId="77777777" w:rsidR="00BC7DDA" w:rsidRPr="00BD6C5F" w:rsidRDefault="009B03E9" w:rsidP="001F7CA7">
      <w:pPr>
        <w:pStyle w:val="Numbered111"/>
      </w:pPr>
      <w:r w:rsidRPr="00BD6C5F">
        <w:t>ends on a day other than the last day of a month,</w:t>
      </w:r>
    </w:p>
    <w:p w14:paraId="171D863C" w14:textId="77777777" w:rsidR="00BC7DDA" w:rsidRPr="00BD6C5F" w:rsidRDefault="009B03E9" w:rsidP="00AC7207">
      <w:pPr>
        <w:pStyle w:val="BodyText"/>
        <w:spacing w:before="100" w:after="200"/>
        <w:ind w:left="720"/>
        <w:rPr>
          <w:rFonts w:asciiTheme="minorHAnsi" w:hAnsiTheme="minorHAnsi" w:cstheme="minorHAnsi"/>
        </w:rPr>
      </w:pPr>
      <w:r w:rsidRPr="00BD6C5F">
        <w:rPr>
          <w:rFonts w:asciiTheme="minorHAnsi" w:hAnsiTheme="minorHAnsi" w:cstheme="minorHAnsi"/>
        </w:rPr>
        <w:t>the Service Charge for the relevant Service Period shall be pro-rated based on the proportion which the number of days in the month for which the Service is provided bears to the total number of days in that month.</w:t>
      </w:r>
    </w:p>
    <w:p w14:paraId="62B36138" w14:textId="77777777" w:rsidR="00BC7DDA" w:rsidRPr="00BD6C5F" w:rsidRDefault="009B03E9" w:rsidP="00C5057A">
      <w:pPr>
        <w:pStyle w:val="Numbered11"/>
      </w:pPr>
      <w:r w:rsidRPr="00BD6C5F">
        <w:t>Any Service Credits that accrue during a Service Period shall be deducted from the Service Charges payable for the next following Service Period. An invoice for a Service Charge shall not be payable by the Authority unless all adjustments (including Service Credits) relating to the Service Charges for the immediately preceding Service Period have been agreed.</w:t>
      </w:r>
    </w:p>
    <w:p w14:paraId="16A58EBE" w14:textId="036407B6" w:rsidR="00BC7DDA" w:rsidRPr="00BD6C5F" w:rsidRDefault="001F7CA7" w:rsidP="00C5057A">
      <w:pPr>
        <w:pStyle w:val="Numbered1"/>
      </w:pPr>
      <w:r w:rsidRPr="00BD6C5F">
        <w:t>Optional Services</w:t>
      </w:r>
    </w:p>
    <w:p w14:paraId="6861C9FD" w14:textId="68FD3709" w:rsidR="00BC7DDA" w:rsidRPr="00BD6C5F" w:rsidRDefault="009B03E9" w:rsidP="00A47A7E">
      <w:pPr>
        <w:pStyle w:val="Numbered11"/>
        <w:keepNext/>
      </w:pPr>
      <w:r w:rsidRPr="00BD6C5F">
        <w:t xml:space="preserve">If the Authority gives notice pursuant to </w:t>
      </w:r>
      <w:r w:rsidR="005E736B" w:rsidRPr="00BD6C5F">
        <w:t>Clause </w:t>
      </w:r>
      <w:r w:rsidRPr="00BD6C5F">
        <w:t>5.10 (</w:t>
      </w:r>
      <w:r w:rsidRPr="00BD6C5F">
        <w:rPr>
          <w:i/>
        </w:rPr>
        <w:t>Optional Services</w:t>
      </w:r>
      <w:r w:rsidRPr="00BD6C5F">
        <w:t>) that it requires the Supplier to provide any or all of the Optional Services:</w:t>
      </w:r>
    </w:p>
    <w:p w14:paraId="0A8EED3E" w14:textId="07D9246D" w:rsidR="00BC7DDA" w:rsidRPr="00BD6C5F" w:rsidRDefault="009B03E9" w:rsidP="001F7CA7">
      <w:pPr>
        <w:pStyle w:val="Numbered111"/>
      </w:pPr>
      <w:r w:rsidRPr="00BD6C5F">
        <w:t xml:space="preserve">the Milestone Payments (if any) for the relevant Optional Services shall be calculated by reference to the pricing mechanism for those Optional Services set out in Table 3 of </w:t>
      </w:r>
      <w:r w:rsidR="00C101F7">
        <w:t>Annex </w:t>
      </w:r>
      <w:r w:rsidR="00C101F7">
        <w:fldChar w:fldCharType="begin"/>
      </w:r>
      <w:r w:rsidR="00C101F7">
        <w:instrText xml:space="preserve"> REF Schedule_15_Part_E_Annex_2 \h </w:instrText>
      </w:r>
      <w:r w:rsidR="00C101F7">
        <w:fldChar w:fldCharType="separate"/>
      </w:r>
      <w:r w:rsidR="009749A0" w:rsidRPr="00BD6C5F">
        <w:t>2</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 and</w:t>
      </w:r>
    </w:p>
    <w:p w14:paraId="59595C60" w14:textId="266F6F3E" w:rsidR="00BC7DDA" w:rsidRPr="00BD6C5F" w:rsidRDefault="009B03E9" w:rsidP="001F7CA7">
      <w:pPr>
        <w:pStyle w:val="Numbered111"/>
      </w:pPr>
      <w:r w:rsidRPr="00BD6C5F">
        <w:t xml:space="preserve">the Service Charges for the relevant Optional Services shall be calculated by reference to the pricing mechanism for those Optional Services set out in Table 4 of </w:t>
      </w:r>
      <w:r w:rsidR="00C101F7">
        <w:t>Annex </w:t>
      </w:r>
      <w:r w:rsidR="00C101F7">
        <w:fldChar w:fldCharType="begin"/>
      </w:r>
      <w:r w:rsidR="00C101F7">
        <w:instrText xml:space="preserve"> REF Schedule_15_Part_E_Annex_2 \h </w:instrText>
      </w:r>
      <w:r w:rsidR="00C101F7">
        <w:fldChar w:fldCharType="separate"/>
      </w:r>
      <w:r w:rsidR="009749A0" w:rsidRPr="00BD6C5F">
        <w:t>2</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w:t>
      </w:r>
    </w:p>
    <w:p w14:paraId="5439BA19" w14:textId="370F7827" w:rsidR="00BC7DDA" w:rsidRPr="00BD6C5F" w:rsidRDefault="009B03E9" w:rsidP="00AC7207">
      <w:pPr>
        <w:pStyle w:val="BodyText"/>
        <w:spacing w:before="100" w:after="200"/>
        <w:ind w:left="720"/>
        <w:rPr>
          <w:rFonts w:asciiTheme="minorHAnsi" w:hAnsiTheme="minorHAnsi" w:cstheme="minorHAnsi"/>
        </w:rPr>
      </w:pPr>
      <w:r w:rsidRPr="00BD6C5F">
        <w:rPr>
          <w:rFonts w:asciiTheme="minorHAnsi" w:hAnsiTheme="minorHAnsi" w:cstheme="minorHAnsi"/>
        </w:rPr>
        <w:t xml:space="preserve">in both cases using the relevant rates and prices specified in </w:t>
      </w:r>
      <w:r w:rsidR="00C101F7">
        <w:t>Annex </w:t>
      </w:r>
      <w:r w:rsidR="00C101F7">
        <w:fldChar w:fldCharType="begin"/>
      </w:r>
      <w:r w:rsidR="00C101F7">
        <w:instrText xml:space="preserve"> REF Schedule_15_Part_E_Annex_1 \h </w:instrText>
      </w:r>
      <w:r w:rsidR="00C101F7">
        <w:fldChar w:fldCharType="separate"/>
      </w:r>
      <w:r w:rsidR="009749A0" w:rsidRPr="00BD6C5F">
        <w:t>1</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rPr>
          <w:rFonts w:asciiTheme="minorHAnsi" w:hAnsiTheme="minorHAnsi" w:cstheme="minorHAnsi"/>
        </w:rPr>
        <w:t>.</w:t>
      </w:r>
    </w:p>
    <w:p w14:paraId="6C021630" w14:textId="19D0B9CA" w:rsidR="00BC7DDA" w:rsidRPr="00BD6C5F" w:rsidRDefault="00E46A3D" w:rsidP="006D411A">
      <w:pPr>
        <w:pStyle w:val="Heading2"/>
        <w:pageBreakBefore/>
      </w:pPr>
      <w:bookmarkStart w:id="591" w:name="_bookmark202"/>
      <w:bookmarkStart w:id="592" w:name="_Ref98326645"/>
      <w:bookmarkStart w:id="593" w:name="_Ref98326765"/>
      <w:bookmarkStart w:id="594" w:name="_Toc98332738"/>
      <w:bookmarkStart w:id="595" w:name="_Toc98852915"/>
      <w:bookmarkStart w:id="596" w:name="_Toc141721007"/>
      <w:bookmarkEnd w:id="591"/>
      <w:r w:rsidRPr="00BD6C5F">
        <w:lastRenderedPageBreak/>
        <w:t xml:space="preserve">Part </w:t>
      </w:r>
      <w:bookmarkStart w:id="597" w:name="Schedule_15_Part_C"/>
      <w:r w:rsidRPr="00BD6C5F">
        <w:t>C</w:t>
      </w:r>
      <w:bookmarkEnd w:id="597"/>
      <w:r w:rsidRPr="00BD6C5F">
        <w:t>: Adjustments to the Charges and Risk Register</w:t>
      </w:r>
      <w:bookmarkEnd w:id="592"/>
      <w:bookmarkEnd w:id="593"/>
      <w:bookmarkEnd w:id="594"/>
      <w:bookmarkEnd w:id="595"/>
      <w:bookmarkEnd w:id="596"/>
    </w:p>
    <w:p w14:paraId="271A2E38" w14:textId="7BC0C69F" w:rsidR="00BC7DDA" w:rsidRPr="00BD6C5F" w:rsidRDefault="00E46A3D" w:rsidP="00B71FC0">
      <w:pPr>
        <w:pStyle w:val="Numbered1"/>
        <w:numPr>
          <w:ilvl w:val="0"/>
          <w:numId w:val="96"/>
        </w:numPr>
      </w:pPr>
      <w:bookmarkStart w:id="598" w:name="_bookmark203"/>
      <w:bookmarkStart w:id="599" w:name="_Ref98353977"/>
      <w:bookmarkEnd w:id="598"/>
      <w:r w:rsidRPr="00BD6C5F">
        <w:t>Delay Payments</w:t>
      </w:r>
      <w:bookmarkEnd w:id="599"/>
    </w:p>
    <w:p w14:paraId="326BDAB5" w14:textId="77777777" w:rsidR="00BC7DDA" w:rsidRPr="00BD6C5F" w:rsidRDefault="009B03E9" w:rsidP="00A47A7E">
      <w:pPr>
        <w:pStyle w:val="Numbered11"/>
        <w:keepNext/>
      </w:pPr>
      <w:r w:rsidRPr="00BD6C5F">
        <w:t>If a Key Milestone has not been Achieved on or before the relevant Milestone Date, the Supplier shall pay a Delay Payment to the Authority in respect of that Key Milestone. Delay Payments shall accrue:</w:t>
      </w:r>
    </w:p>
    <w:p w14:paraId="6EB22CB7" w14:textId="6E26E457" w:rsidR="00BC7DDA" w:rsidRPr="00BD6C5F" w:rsidRDefault="009B03E9" w:rsidP="00E46A3D">
      <w:pPr>
        <w:pStyle w:val="Numbered111"/>
      </w:pPr>
      <w:bookmarkStart w:id="600" w:name="_bookmark204"/>
      <w:bookmarkStart w:id="601" w:name="_Ref98411833"/>
      <w:bookmarkEnd w:id="600"/>
      <w:r w:rsidRPr="00BD6C5F">
        <w:t xml:space="preserve">at the daily rate (the </w:t>
      </w:r>
      <w:r w:rsidR="00A4555C" w:rsidRPr="00BD6C5F">
        <w:t>“</w:t>
      </w:r>
      <w:r w:rsidRPr="00BD6C5F">
        <w:rPr>
          <w:b/>
        </w:rPr>
        <w:t>Delay Payment Rate</w:t>
      </w:r>
      <w:r w:rsidR="00A4555C" w:rsidRPr="00BD6C5F">
        <w:t>”</w:t>
      </w:r>
      <w:r w:rsidRPr="00BD6C5F">
        <w:t xml:space="preserve">) determined in accordance with Paragraph </w:t>
      </w:r>
      <w:r w:rsidR="001B4F2A" w:rsidRPr="00BD6C5F">
        <w:fldChar w:fldCharType="begin"/>
      </w:r>
      <w:r w:rsidR="001B4F2A" w:rsidRPr="00BD6C5F">
        <w:instrText xml:space="preserve"> REF _Ref98412457 \n \h </w:instrText>
      </w:r>
      <w:r w:rsidR="00AD7DD0" w:rsidRPr="00BD6C5F">
        <w:instrText xml:space="preserve"> \* MERGEFORMAT </w:instrText>
      </w:r>
      <w:r w:rsidR="001B4F2A" w:rsidRPr="00BD6C5F">
        <w:fldChar w:fldCharType="separate"/>
      </w:r>
      <w:r w:rsidR="009749A0">
        <w:t>1.2</w:t>
      </w:r>
      <w:r w:rsidR="001B4F2A" w:rsidRPr="00BD6C5F">
        <w:fldChar w:fldCharType="end"/>
      </w:r>
      <w:r w:rsidRPr="00BD6C5F">
        <w:t>;</w:t>
      </w:r>
      <w:bookmarkEnd w:id="601"/>
    </w:p>
    <w:p w14:paraId="446A55F3" w14:textId="77777777" w:rsidR="00BC7DDA" w:rsidRPr="00BD6C5F" w:rsidRDefault="009B03E9" w:rsidP="00A47A7E">
      <w:pPr>
        <w:pStyle w:val="Numbered111"/>
        <w:keepNext/>
      </w:pPr>
      <w:r w:rsidRPr="00BD6C5F">
        <w:t>from (but excluding) the relevant Milestone Date to (and including) the later of:</w:t>
      </w:r>
    </w:p>
    <w:p w14:paraId="3E7033A7" w14:textId="77777777" w:rsidR="00BC7DDA" w:rsidRPr="00BD6C5F" w:rsidRDefault="009B03E9" w:rsidP="006220B3">
      <w:pPr>
        <w:pStyle w:val="Numbered111a"/>
        <w:rPr>
          <w:lang w:val="en-GB"/>
        </w:rPr>
      </w:pPr>
      <w:r w:rsidRPr="00BD6C5F">
        <w:rPr>
          <w:lang w:val="en-GB"/>
        </w:rPr>
        <w:t>the date on which the Key Milestone is Achieved; and</w:t>
      </w:r>
    </w:p>
    <w:p w14:paraId="717A687A" w14:textId="77777777" w:rsidR="00BC7DDA" w:rsidRPr="00BD6C5F" w:rsidRDefault="009B03E9" w:rsidP="00E46A3D">
      <w:pPr>
        <w:pStyle w:val="Numbered111a"/>
        <w:rPr>
          <w:lang w:val="en-GB"/>
        </w:rPr>
      </w:pPr>
      <w:r w:rsidRPr="00BD6C5F">
        <w:rPr>
          <w:lang w:val="en-GB"/>
        </w:rPr>
        <w:t>the expiry of the Delay Deduction Period; and</w:t>
      </w:r>
    </w:p>
    <w:p w14:paraId="00071639" w14:textId="7561BECA" w:rsidR="00BC7DDA" w:rsidRPr="00BD6C5F" w:rsidRDefault="009B03E9" w:rsidP="00E46A3D">
      <w:pPr>
        <w:pStyle w:val="Numbered111"/>
      </w:pPr>
      <w:r w:rsidRPr="00BD6C5F">
        <w:t>on a daily basis, with any part day</w:t>
      </w:r>
      <w:r w:rsidR="00A4555C" w:rsidRPr="00BD6C5F">
        <w:t>’</w:t>
      </w:r>
      <w:r w:rsidRPr="00BD6C5F">
        <w:t>s Delay counting as a day.</w:t>
      </w:r>
    </w:p>
    <w:p w14:paraId="2AEC2C99" w14:textId="77777777" w:rsidR="00BC7DDA" w:rsidRPr="00BD6C5F" w:rsidRDefault="009B03E9" w:rsidP="00A47A7E">
      <w:pPr>
        <w:pStyle w:val="Numbered11"/>
        <w:keepNext/>
      </w:pPr>
      <w:bookmarkStart w:id="602" w:name="_bookmark205"/>
      <w:bookmarkStart w:id="603" w:name="_Ref98412457"/>
      <w:bookmarkEnd w:id="602"/>
      <w:r w:rsidRPr="00BD6C5F">
        <w:t>Where a Delay Payment is payable in respect of a Key Milestone, the Delay Payment Rate shall be:</w:t>
      </w:r>
      <w:bookmarkEnd w:id="603"/>
    </w:p>
    <w:p w14:paraId="4177C3A6" w14:textId="0A09C251" w:rsidR="00BC7DDA" w:rsidRPr="00BD6C5F" w:rsidRDefault="009B03E9" w:rsidP="00E46A3D">
      <w:pPr>
        <w:pStyle w:val="Numbered111"/>
      </w:pPr>
      <w:r w:rsidRPr="00BD6C5F">
        <w:t>where the Supplier has given the Authority less than 3 months</w:t>
      </w:r>
      <w:r w:rsidR="00A4555C" w:rsidRPr="00BD6C5F">
        <w:t>’</w:t>
      </w:r>
      <w:r w:rsidRPr="00BD6C5F">
        <w:t xml:space="preserve"> prior notice of the Delay, the amount set out in column 4 of Table 1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for the Key Milestone;</w:t>
      </w:r>
    </w:p>
    <w:p w14:paraId="2A998528" w14:textId="2CFA3A5F" w:rsidR="00BC7DDA" w:rsidRPr="00BD6C5F" w:rsidRDefault="009B03E9" w:rsidP="00E46A3D">
      <w:pPr>
        <w:pStyle w:val="Numbered111"/>
      </w:pPr>
      <w:bookmarkStart w:id="604" w:name="_bookmark206"/>
      <w:bookmarkStart w:id="605" w:name="_Ref98412473"/>
      <w:bookmarkEnd w:id="604"/>
      <w:r w:rsidRPr="00BD6C5F">
        <w:t>where the Supplier has given the Authority between 3 months</w:t>
      </w:r>
      <w:r w:rsidR="00A4555C" w:rsidRPr="00BD6C5F">
        <w:t>’</w:t>
      </w:r>
      <w:r w:rsidRPr="00BD6C5F">
        <w:t xml:space="preserve"> and 6 months</w:t>
      </w:r>
      <w:r w:rsidR="00A4555C" w:rsidRPr="00BD6C5F">
        <w:t>’</w:t>
      </w:r>
      <w:r w:rsidRPr="00BD6C5F">
        <w:t xml:space="preserve"> prior notice of the Delay, the amount set out in column 5 of Table 1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for the Key Milestone; or</w:t>
      </w:r>
      <w:bookmarkEnd w:id="605"/>
    </w:p>
    <w:p w14:paraId="5E961ECE" w14:textId="4CAE456D" w:rsidR="00BC7DDA" w:rsidRPr="00BD6C5F" w:rsidRDefault="009B03E9" w:rsidP="00E46A3D">
      <w:pPr>
        <w:pStyle w:val="Numbered111"/>
      </w:pPr>
      <w:bookmarkStart w:id="606" w:name="_bookmark207"/>
      <w:bookmarkStart w:id="607" w:name="_Ref98412483"/>
      <w:bookmarkEnd w:id="606"/>
      <w:r w:rsidRPr="00BD6C5F">
        <w:t>where the Supplier has given the Authority more than 6 months</w:t>
      </w:r>
      <w:r w:rsidR="00A4555C" w:rsidRPr="00BD6C5F">
        <w:t>’</w:t>
      </w:r>
      <w:r w:rsidRPr="00BD6C5F">
        <w:t xml:space="preserve"> prior notice of the Delay, the amount set out in column 6 of Table 1 of </w:t>
      </w:r>
      <w:r w:rsidR="00A93D47">
        <w:t>Annex </w:t>
      </w:r>
      <w:r w:rsidR="00A93D47">
        <w:fldChar w:fldCharType="begin"/>
      </w:r>
      <w:r w:rsidR="00A93D47">
        <w:instrText xml:space="preserve"> REF Schedule_15_Part_E_Annex_2 \h </w:instrText>
      </w:r>
      <w:r w:rsidR="00A93D47">
        <w:fldChar w:fldCharType="separate"/>
      </w:r>
      <w:r w:rsidR="009749A0" w:rsidRPr="00BD6C5F">
        <w:t>2</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for the Key Milestone.</w:t>
      </w:r>
      <w:bookmarkEnd w:id="607"/>
    </w:p>
    <w:p w14:paraId="4028A56B" w14:textId="2300D427" w:rsidR="00BC7DDA" w:rsidRPr="00BD6C5F" w:rsidRDefault="009B03E9" w:rsidP="00A47A7E">
      <w:pPr>
        <w:pStyle w:val="Numbered11"/>
        <w:keepNext/>
      </w:pPr>
      <w:bookmarkStart w:id="608" w:name="_bookmark208"/>
      <w:bookmarkStart w:id="609" w:name="_Ref98412206"/>
      <w:bookmarkEnd w:id="608"/>
      <w:r w:rsidRPr="00BD6C5F">
        <w:t xml:space="preserve">Where the Supplier serves a notice pursuant to Paragraph </w:t>
      </w:r>
      <w:r w:rsidR="001B4F2A" w:rsidRPr="00BD6C5F">
        <w:fldChar w:fldCharType="begin"/>
      </w:r>
      <w:r w:rsidR="001B4F2A" w:rsidRPr="00BD6C5F">
        <w:instrText xml:space="preserve"> REF _Ref98412473 \w \h </w:instrText>
      </w:r>
      <w:r w:rsidR="00AD7DD0" w:rsidRPr="00BD6C5F">
        <w:instrText xml:space="preserve"> \* MERGEFORMAT </w:instrText>
      </w:r>
      <w:r w:rsidR="001B4F2A" w:rsidRPr="00BD6C5F">
        <w:fldChar w:fldCharType="separate"/>
      </w:r>
      <w:r w:rsidR="009749A0">
        <w:t>1.2.2</w:t>
      </w:r>
      <w:r w:rsidR="001B4F2A" w:rsidRPr="00BD6C5F">
        <w:fldChar w:fldCharType="end"/>
      </w:r>
      <w:r w:rsidRPr="00BD6C5F">
        <w:t xml:space="preserve"> or </w:t>
      </w:r>
      <w:r w:rsidR="001B4F2A" w:rsidRPr="00BD6C5F">
        <w:fldChar w:fldCharType="begin"/>
      </w:r>
      <w:r w:rsidR="001B4F2A" w:rsidRPr="00BD6C5F">
        <w:instrText xml:space="preserve"> REF _Ref98412483 \w \h </w:instrText>
      </w:r>
      <w:r w:rsidR="00AD7DD0" w:rsidRPr="00BD6C5F">
        <w:instrText xml:space="preserve"> \* MERGEFORMAT </w:instrText>
      </w:r>
      <w:r w:rsidR="001B4F2A" w:rsidRPr="00BD6C5F">
        <w:fldChar w:fldCharType="separate"/>
      </w:r>
      <w:r w:rsidR="009749A0">
        <w:t>1.2.3</w:t>
      </w:r>
      <w:r w:rsidR="001B4F2A" w:rsidRPr="00BD6C5F">
        <w:fldChar w:fldCharType="end"/>
      </w:r>
      <w:r w:rsidRPr="00BD6C5F">
        <w:t>, the Supplier shall, within 5 Working Days of the date the notice is served:</w:t>
      </w:r>
      <w:bookmarkEnd w:id="609"/>
    </w:p>
    <w:p w14:paraId="725ED8E1" w14:textId="30B8C4AC" w:rsidR="00BC7DDA" w:rsidRPr="00BD6C5F" w:rsidRDefault="009B03E9" w:rsidP="00A47A7E">
      <w:pPr>
        <w:pStyle w:val="Numbered111"/>
        <w:keepNext/>
      </w:pPr>
      <w:bookmarkStart w:id="610" w:name="_bookmark209"/>
      <w:bookmarkStart w:id="611" w:name="_Ref98412307"/>
      <w:bookmarkEnd w:id="610"/>
      <w:r w:rsidRPr="00BD6C5F">
        <w:t xml:space="preserve">pay to the Authority in cleared funds on account of the relevant Delay Payment (but subject always to Paragraph </w:t>
      </w:r>
      <w:r w:rsidR="001B4F2A" w:rsidRPr="00BD6C5F">
        <w:fldChar w:fldCharType="begin"/>
      </w:r>
      <w:r w:rsidR="001B4F2A" w:rsidRPr="00BD6C5F">
        <w:instrText xml:space="preserve"> REF _Ref98412497 \n \h </w:instrText>
      </w:r>
      <w:r w:rsidR="00AD7DD0" w:rsidRPr="00BD6C5F">
        <w:instrText xml:space="preserve"> \* MERGEFORMAT </w:instrText>
      </w:r>
      <w:r w:rsidR="001B4F2A" w:rsidRPr="00BD6C5F">
        <w:fldChar w:fldCharType="separate"/>
      </w:r>
      <w:r w:rsidR="009749A0">
        <w:t>1.4</w:t>
      </w:r>
      <w:r w:rsidR="001B4F2A" w:rsidRPr="00BD6C5F">
        <w:fldChar w:fldCharType="end"/>
      </w:r>
      <w:r w:rsidRPr="00BD6C5F">
        <w:t>) an amount equal to:</w:t>
      </w:r>
      <w:bookmarkEnd w:id="611"/>
    </w:p>
    <w:p w14:paraId="3BB315DE" w14:textId="489B58EF" w:rsidR="00BC7DDA" w:rsidRPr="00BD6C5F" w:rsidRDefault="009B03E9" w:rsidP="006220B3">
      <w:pPr>
        <w:pStyle w:val="Numbered111a"/>
        <w:rPr>
          <w:lang w:val="en-GB"/>
        </w:rPr>
      </w:pPr>
      <w:r w:rsidRPr="00BD6C5F">
        <w:rPr>
          <w:lang w:val="en-GB"/>
        </w:rPr>
        <w:t xml:space="preserve">in the case of a notice served pursuant to Paragraph </w:t>
      </w:r>
      <w:r w:rsidR="001B4F2A" w:rsidRPr="00BD6C5F">
        <w:rPr>
          <w:lang w:val="en-GB"/>
        </w:rPr>
        <w:fldChar w:fldCharType="begin"/>
      </w:r>
      <w:r w:rsidR="001B4F2A" w:rsidRPr="00BD6C5F">
        <w:rPr>
          <w:lang w:val="en-GB"/>
        </w:rPr>
        <w:instrText xml:space="preserve"> REF _Ref98412473 \w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sidRPr="00B664D1">
        <w:t>1.2.2</w:t>
      </w:r>
      <w:r w:rsidR="001B4F2A" w:rsidRPr="00BD6C5F">
        <w:rPr>
          <w:lang w:val="en-GB"/>
        </w:rPr>
        <w:fldChar w:fldCharType="end"/>
      </w:r>
      <w:r w:rsidRPr="00BD6C5F">
        <w:rPr>
          <w:lang w:val="en-GB"/>
        </w:rPr>
        <w:t>, 5 days of Delay Payments; or</w:t>
      </w:r>
    </w:p>
    <w:p w14:paraId="605AAF4D" w14:textId="35779911" w:rsidR="00BC7DDA" w:rsidRPr="00BD6C5F" w:rsidRDefault="009B03E9" w:rsidP="00A47A7E">
      <w:pPr>
        <w:pStyle w:val="Numbered111a"/>
        <w:keepNext/>
        <w:rPr>
          <w:lang w:val="en-GB"/>
        </w:rPr>
      </w:pPr>
      <w:r w:rsidRPr="00BD6C5F">
        <w:rPr>
          <w:lang w:val="en-GB"/>
        </w:rPr>
        <w:t xml:space="preserve">in the case of a notice served pursuant to Paragraph </w:t>
      </w:r>
      <w:r w:rsidR="001B4F2A" w:rsidRPr="00BD6C5F">
        <w:rPr>
          <w:lang w:val="en-GB"/>
        </w:rPr>
        <w:fldChar w:fldCharType="begin"/>
      </w:r>
      <w:r w:rsidR="001B4F2A" w:rsidRPr="00BD6C5F">
        <w:rPr>
          <w:lang w:val="en-GB"/>
        </w:rPr>
        <w:instrText xml:space="preserve"> REF _Ref98412483 \w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Pr>
          <w:lang w:val="en-GB"/>
        </w:rPr>
        <w:t>1.2.3</w:t>
      </w:r>
      <w:r w:rsidR="001B4F2A" w:rsidRPr="00BD6C5F">
        <w:rPr>
          <w:lang w:val="en-GB"/>
        </w:rPr>
        <w:fldChar w:fldCharType="end"/>
      </w:r>
      <w:r w:rsidRPr="00BD6C5F">
        <w:rPr>
          <w:lang w:val="en-GB"/>
        </w:rPr>
        <w:t xml:space="preserve">, 10 days of Delay Payments in accordance with paragraph </w:t>
      </w:r>
      <w:r w:rsidR="001B4F2A" w:rsidRPr="00BD6C5F">
        <w:rPr>
          <w:lang w:val="en-GB"/>
        </w:rPr>
        <w:fldChar w:fldCharType="begin"/>
      </w:r>
      <w:r w:rsidR="001B4F2A" w:rsidRPr="00BD6C5F">
        <w:rPr>
          <w:lang w:val="en-GB"/>
        </w:rPr>
        <w:instrText xml:space="preserve"> REF _Ref98412497 \n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Pr>
          <w:lang w:val="en-GB"/>
        </w:rPr>
        <w:t>1.4</w:t>
      </w:r>
      <w:r w:rsidR="001B4F2A" w:rsidRPr="00BD6C5F">
        <w:rPr>
          <w:lang w:val="en-GB"/>
        </w:rPr>
        <w:fldChar w:fldCharType="end"/>
      </w:r>
      <w:r w:rsidRPr="00BD6C5F">
        <w:rPr>
          <w:lang w:val="en-GB"/>
        </w:rPr>
        <w:t>,</w:t>
      </w:r>
    </w:p>
    <w:p w14:paraId="12040C05" w14:textId="77777777" w:rsidR="00BC7DDA" w:rsidRPr="00BD6C5F" w:rsidRDefault="009B03E9" w:rsidP="00AC7207">
      <w:pPr>
        <w:pStyle w:val="BodyText"/>
        <w:spacing w:before="100" w:after="200"/>
        <w:ind w:left="1803"/>
        <w:rPr>
          <w:rFonts w:asciiTheme="minorHAnsi" w:hAnsiTheme="minorHAnsi" w:cstheme="minorHAnsi"/>
        </w:rPr>
      </w:pPr>
      <w:r w:rsidRPr="00BD6C5F">
        <w:rPr>
          <w:rFonts w:asciiTheme="minorHAnsi" w:hAnsiTheme="minorHAnsi" w:cstheme="minorHAnsi"/>
        </w:rPr>
        <w:t>in each case calculated at the applicable Delay Payment Rate; and</w:t>
      </w:r>
    </w:p>
    <w:p w14:paraId="404DD6A3" w14:textId="77777777" w:rsidR="00BC7DDA" w:rsidRPr="00BD6C5F" w:rsidRDefault="009B03E9" w:rsidP="00E46A3D">
      <w:pPr>
        <w:pStyle w:val="Numbered111"/>
      </w:pPr>
      <w:bookmarkStart w:id="612" w:name="_bookmark210"/>
      <w:bookmarkStart w:id="613" w:name="_Ref98412555"/>
      <w:bookmarkEnd w:id="612"/>
      <w:r w:rsidRPr="00BD6C5F">
        <w:t>issue a credit note to the Authority in respect of the relevant amount.</w:t>
      </w:r>
      <w:bookmarkEnd w:id="613"/>
    </w:p>
    <w:p w14:paraId="052FF53F" w14:textId="6C34A338" w:rsidR="00BC7DDA" w:rsidRPr="00BD6C5F" w:rsidRDefault="009B03E9" w:rsidP="00AC7207">
      <w:pPr>
        <w:pStyle w:val="BodyText"/>
        <w:spacing w:before="100" w:after="200"/>
        <w:ind w:left="720"/>
        <w:rPr>
          <w:rFonts w:asciiTheme="minorHAnsi" w:hAnsiTheme="minorHAnsi" w:cstheme="minorHAnsi"/>
        </w:rPr>
      </w:pPr>
      <w:r w:rsidRPr="00BD6C5F">
        <w:rPr>
          <w:rFonts w:asciiTheme="minorHAnsi" w:hAnsiTheme="minorHAnsi" w:cstheme="minorHAnsi"/>
        </w:rPr>
        <w:t>Failure to make payment within 10 Working Days of the Supplier</w:t>
      </w:r>
      <w:r w:rsidR="00A4555C" w:rsidRPr="00BD6C5F">
        <w:rPr>
          <w:rFonts w:asciiTheme="minorHAnsi" w:hAnsiTheme="minorHAnsi" w:cstheme="minorHAnsi"/>
        </w:rPr>
        <w:t>’</w:t>
      </w:r>
      <w:r w:rsidRPr="00BD6C5F">
        <w:rPr>
          <w:rFonts w:asciiTheme="minorHAnsi" w:hAnsiTheme="minorHAnsi" w:cstheme="minorHAnsi"/>
        </w:rPr>
        <w:t>s notice shall invalidate the notice.</w:t>
      </w:r>
    </w:p>
    <w:p w14:paraId="03AC93F1" w14:textId="0785C458" w:rsidR="00BC7DDA" w:rsidRPr="00BD6C5F" w:rsidRDefault="009B03E9" w:rsidP="00C5057A">
      <w:pPr>
        <w:pStyle w:val="Numbered11"/>
      </w:pPr>
      <w:bookmarkStart w:id="614" w:name="_bookmark211"/>
      <w:bookmarkStart w:id="615" w:name="_Ref98412497"/>
      <w:bookmarkEnd w:id="614"/>
      <w:r w:rsidRPr="00BD6C5F">
        <w:t xml:space="preserve">Any amounts paid to the Authority pursuant to Paragraph </w:t>
      </w:r>
      <w:r w:rsidR="001B4F2A" w:rsidRPr="00BD6C5F">
        <w:fldChar w:fldCharType="begin"/>
      </w:r>
      <w:r w:rsidR="001B4F2A" w:rsidRPr="00BD6C5F">
        <w:instrText xml:space="preserve"> REF _Ref98412206 \n \h </w:instrText>
      </w:r>
      <w:r w:rsidR="00AD7DD0" w:rsidRPr="00BD6C5F">
        <w:instrText xml:space="preserve"> \* MERGEFORMAT </w:instrText>
      </w:r>
      <w:r w:rsidR="001B4F2A" w:rsidRPr="00BD6C5F">
        <w:fldChar w:fldCharType="separate"/>
      </w:r>
      <w:r w:rsidR="009749A0">
        <w:t>1.3</w:t>
      </w:r>
      <w:r w:rsidR="001B4F2A" w:rsidRPr="00BD6C5F">
        <w:fldChar w:fldCharType="end"/>
      </w:r>
      <w:r w:rsidRPr="00BD6C5F">
        <w:t xml:space="preserve"> shall not be refundable to the Supplier in any circumstances, including where a Delay as referred to in the </w:t>
      </w:r>
      <w:r w:rsidRPr="00BD6C5F">
        <w:lastRenderedPageBreak/>
        <w:t>Supplier</w:t>
      </w:r>
      <w:r w:rsidR="00A4555C" w:rsidRPr="00BD6C5F">
        <w:t>’</w:t>
      </w:r>
      <w:r w:rsidRPr="00BD6C5F">
        <w:t>s notice:</w:t>
      </w:r>
      <w:bookmarkEnd w:id="615"/>
    </w:p>
    <w:p w14:paraId="0EB42A18" w14:textId="77777777" w:rsidR="00BC7DDA" w:rsidRPr="00BD6C5F" w:rsidRDefault="009B03E9" w:rsidP="00E46A3D">
      <w:pPr>
        <w:pStyle w:val="Numbered111"/>
      </w:pPr>
      <w:r w:rsidRPr="00BD6C5F">
        <w:t>does not occur; or</w:t>
      </w:r>
    </w:p>
    <w:p w14:paraId="30BF8E45" w14:textId="45B1B5BD" w:rsidR="00BC7DDA" w:rsidRPr="00BD6C5F" w:rsidRDefault="009B03E9" w:rsidP="00E46A3D">
      <w:pPr>
        <w:pStyle w:val="Numbered111"/>
      </w:pPr>
      <w:r w:rsidRPr="00BD6C5F">
        <w:t xml:space="preserve">does occur but continues for fewer days during the relevant Delay Deduction Period than the number of days referred to in Paragraph </w:t>
      </w:r>
      <w:r w:rsidR="001B4F2A" w:rsidRPr="00BD6C5F">
        <w:fldChar w:fldCharType="begin"/>
      </w:r>
      <w:r w:rsidR="001B4F2A" w:rsidRPr="00BD6C5F">
        <w:instrText xml:space="preserve"> REF _Ref98412307 \w \h </w:instrText>
      </w:r>
      <w:r w:rsidR="00AD7DD0" w:rsidRPr="00BD6C5F">
        <w:instrText xml:space="preserve"> \* MERGEFORMAT </w:instrText>
      </w:r>
      <w:r w:rsidR="001B4F2A" w:rsidRPr="00BD6C5F">
        <w:fldChar w:fldCharType="separate"/>
      </w:r>
      <w:r w:rsidR="009749A0">
        <w:t>1.3.1</w:t>
      </w:r>
      <w:r w:rsidR="001B4F2A" w:rsidRPr="00BD6C5F">
        <w:fldChar w:fldCharType="end"/>
      </w:r>
      <w:r w:rsidRPr="00BD6C5F">
        <w:t xml:space="preserve"> or </w:t>
      </w:r>
      <w:r w:rsidR="001B4F2A" w:rsidRPr="00BD6C5F">
        <w:fldChar w:fldCharType="begin"/>
      </w:r>
      <w:r w:rsidR="001B4F2A" w:rsidRPr="00BD6C5F">
        <w:instrText xml:space="preserve"> REF _Ref98412555 \w \h </w:instrText>
      </w:r>
      <w:r w:rsidR="00AD7DD0" w:rsidRPr="00BD6C5F">
        <w:instrText xml:space="preserve"> \* MERGEFORMAT </w:instrText>
      </w:r>
      <w:r w:rsidR="001B4F2A" w:rsidRPr="00BD6C5F">
        <w:fldChar w:fldCharType="separate"/>
      </w:r>
      <w:r w:rsidR="009749A0">
        <w:t>1.3.2</w:t>
      </w:r>
      <w:r w:rsidR="001B4F2A" w:rsidRPr="00BD6C5F">
        <w:fldChar w:fldCharType="end"/>
      </w:r>
      <w:r w:rsidRPr="00BD6C5F">
        <w:t xml:space="preserve"> as the case may be.</w:t>
      </w:r>
    </w:p>
    <w:p w14:paraId="3FC1C5B5" w14:textId="77777777" w:rsidR="00BC7DDA" w:rsidRPr="00BD6C5F" w:rsidRDefault="009B03E9" w:rsidP="00C5057A">
      <w:pPr>
        <w:pStyle w:val="Numbered11"/>
      </w:pPr>
      <w:r w:rsidRPr="00BD6C5F">
        <w:t>The Parties agree that Delay Payments calculated in accordance with the applicable Delay Payment Rates are in each case a genuine pre-estimate of the Losses which the Authority will incur as a result of any failure by the Supplier to Achieve the relevant Key Milestone by the Milestone Date. Delay Payment Rates are stated exclusive of VAT.</w:t>
      </w:r>
    </w:p>
    <w:p w14:paraId="07CA8607" w14:textId="0BCAD8EB" w:rsidR="00BC7DDA" w:rsidRPr="00BD6C5F" w:rsidRDefault="009B03E9" w:rsidP="00C5057A">
      <w:pPr>
        <w:pStyle w:val="Numbered11"/>
      </w:pPr>
      <w:r w:rsidRPr="00BD6C5F">
        <w:t xml:space="preserve">The Delay Payment in respect of a Key Milestone (net of any payment made in respect of that Key Milestone pursuant to Paragraph </w:t>
      </w:r>
      <w:r w:rsidR="001B4F2A" w:rsidRPr="00BD6C5F">
        <w:fldChar w:fldCharType="begin"/>
      </w:r>
      <w:r w:rsidR="001B4F2A" w:rsidRPr="00BD6C5F">
        <w:instrText xml:space="preserve"> REF _Ref98412206 \n \h </w:instrText>
      </w:r>
      <w:r w:rsidR="00AD7DD0" w:rsidRPr="00BD6C5F">
        <w:instrText xml:space="preserve"> \* MERGEFORMAT </w:instrText>
      </w:r>
      <w:r w:rsidR="001B4F2A" w:rsidRPr="00BD6C5F">
        <w:fldChar w:fldCharType="separate"/>
      </w:r>
      <w:r w:rsidR="009749A0">
        <w:t>1.3</w:t>
      </w:r>
      <w:r w:rsidR="001B4F2A" w:rsidRPr="00BD6C5F">
        <w:fldChar w:fldCharType="end"/>
      </w:r>
      <w:r w:rsidRPr="00BD6C5F">
        <w:t>) shall be shown as a deduction from the amount due from the Authority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10 Working Days of expiry of the Delay Deduction Period, then the Supplier shall within 10 Working Days of expiry of the Delay Deduction Period:</w:t>
      </w:r>
    </w:p>
    <w:p w14:paraId="7F8462C7" w14:textId="42BF7F81" w:rsidR="00BC7DDA" w:rsidRPr="00BD6C5F" w:rsidRDefault="009B03E9" w:rsidP="00E46A3D">
      <w:pPr>
        <w:pStyle w:val="Numbered111"/>
      </w:pPr>
      <w:r w:rsidRPr="00BD6C5F">
        <w:t xml:space="preserve">issue a credit note to the Authority in respect of the total amount of the Delay Payment in respect of the Key Milestone (net of any payment made in respect of the Key Milestone pursuant to Paragraph </w:t>
      </w:r>
      <w:r w:rsidR="001B4F2A" w:rsidRPr="00BD6C5F">
        <w:fldChar w:fldCharType="begin"/>
      </w:r>
      <w:r w:rsidR="001B4F2A" w:rsidRPr="00BD6C5F">
        <w:instrText xml:space="preserve"> REF _Ref98412206 \n \h </w:instrText>
      </w:r>
      <w:r w:rsidR="00AD7DD0" w:rsidRPr="00BD6C5F">
        <w:instrText xml:space="preserve"> \* MERGEFORMAT </w:instrText>
      </w:r>
      <w:r w:rsidR="001B4F2A" w:rsidRPr="00BD6C5F">
        <w:fldChar w:fldCharType="separate"/>
      </w:r>
      <w:r w:rsidR="009749A0">
        <w:t>1.3</w:t>
      </w:r>
      <w:r w:rsidR="001B4F2A" w:rsidRPr="00BD6C5F">
        <w:fldChar w:fldCharType="end"/>
      </w:r>
      <w:r w:rsidRPr="00BD6C5F">
        <w:t>); and</w:t>
      </w:r>
    </w:p>
    <w:p w14:paraId="14CE5AE4" w14:textId="77777777" w:rsidR="00BC7DDA" w:rsidRPr="00BD6C5F" w:rsidRDefault="009B03E9" w:rsidP="00E46A3D">
      <w:pPr>
        <w:pStyle w:val="Numbered111"/>
      </w:pPr>
      <w:r w:rsidRPr="00BD6C5F">
        <w:t>pay to the Authority as a debt a sum equal to the total amount of the Delay Payment in respect of the Key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4B819433" w14:textId="1A1CBE03" w:rsidR="00BC7DDA" w:rsidRPr="00BD6C5F" w:rsidRDefault="00E46A3D" w:rsidP="00B71FC0">
      <w:pPr>
        <w:pStyle w:val="Numbered1"/>
        <w:numPr>
          <w:ilvl w:val="0"/>
          <w:numId w:val="96"/>
        </w:numPr>
      </w:pPr>
      <w:bookmarkStart w:id="616" w:name="_bookmark212"/>
      <w:bookmarkStart w:id="617" w:name="_Ref98412617"/>
      <w:bookmarkEnd w:id="616"/>
      <w:r w:rsidRPr="00BD6C5F">
        <w:t>Payments for Delays Due to Authority Cause</w:t>
      </w:r>
      <w:bookmarkEnd w:id="617"/>
    </w:p>
    <w:p w14:paraId="451F4B48" w14:textId="65CC3FFC" w:rsidR="00BC7DDA" w:rsidRPr="00BD6C5F" w:rsidRDefault="009B03E9" w:rsidP="00C5057A">
      <w:pPr>
        <w:pStyle w:val="Numbered11"/>
      </w:pPr>
      <w:r w:rsidRPr="00BD6C5F">
        <w:t xml:space="preserve">If the Supplier is entitled in accordance with </w:t>
      </w:r>
      <w:r w:rsidR="005E736B" w:rsidRPr="00BD6C5F">
        <w:t>Clause </w:t>
      </w:r>
      <w:r w:rsidR="004479D5" w:rsidRPr="00BD6C5F">
        <w:t>29</w:t>
      </w:r>
      <w:r w:rsidRPr="00BD6C5F">
        <w:t>.1</w:t>
      </w:r>
      <w:r w:rsidR="006509FE">
        <w:t xml:space="preserve">.3 </w:t>
      </w:r>
      <w:r w:rsidRPr="00BD6C5F">
        <w:t>(D) (</w:t>
      </w:r>
      <w:r w:rsidRPr="00BD6C5F">
        <w:rPr>
          <w:i/>
        </w:rPr>
        <w:t>Authority Cause</w:t>
      </w:r>
      <w:r w:rsidRPr="00BD6C5F">
        <w:t xml:space="preserve">) to compensation for failure to Achieve a Milestone by its Milestone Date, then, subject always to </w:t>
      </w:r>
      <w:r w:rsidR="005E736B" w:rsidRPr="00BD6C5F">
        <w:t>Clause </w:t>
      </w:r>
      <w:r w:rsidRPr="00BD6C5F">
        <w:t>2</w:t>
      </w:r>
      <w:r w:rsidR="00925189" w:rsidRPr="00BD6C5F">
        <w:t>3</w:t>
      </w:r>
      <w:r w:rsidRPr="00BD6C5F">
        <w:t xml:space="preserve"> (</w:t>
      </w:r>
      <w:r w:rsidRPr="00BD6C5F">
        <w:rPr>
          <w:i/>
        </w:rPr>
        <w:t>Limitations on Liability</w:t>
      </w:r>
      <w:r w:rsidRPr="00BD6C5F">
        <w:t>), such compensation shall be determined in accordance with the following principles:</w:t>
      </w:r>
    </w:p>
    <w:p w14:paraId="5C97F26E" w14:textId="77777777" w:rsidR="00BC7DDA" w:rsidRPr="00BD6C5F" w:rsidRDefault="009B03E9" w:rsidP="00A47A7E">
      <w:pPr>
        <w:pStyle w:val="Numbered111"/>
        <w:keepNext/>
      </w:pPr>
      <w:r w:rsidRPr="00BD6C5F">
        <w:t>the compensation shall reimburse the Supplier for additional Costs incurred by the Supplier that the Supplier:</w:t>
      </w:r>
    </w:p>
    <w:p w14:paraId="4C3C47AB" w14:textId="77777777" w:rsidR="00BC7DDA" w:rsidRPr="00BD6C5F" w:rsidRDefault="009B03E9" w:rsidP="006220B3">
      <w:pPr>
        <w:pStyle w:val="Numbered111a"/>
        <w:rPr>
          <w:lang w:val="en-GB"/>
        </w:rPr>
      </w:pPr>
      <w:r w:rsidRPr="00BD6C5F">
        <w:rPr>
          <w:lang w:val="en-GB"/>
        </w:rPr>
        <w:t>can demonstrate it has incurred solely and directly as a result of the Authority Cause; and</w:t>
      </w:r>
    </w:p>
    <w:p w14:paraId="3F963F91" w14:textId="58A7C9B4" w:rsidR="00BC7DDA" w:rsidRPr="00BD6C5F" w:rsidRDefault="009B03E9" w:rsidP="00E46A3D">
      <w:pPr>
        <w:pStyle w:val="Numbered111a"/>
        <w:rPr>
          <w:lang w:val="en-GB"/>
        </w:rPr>
      </w:pPr>
      <w:r w:rsidRPr="00BD6C5F">
        <w:rPr>
          <w:lang w:val="en-GB"/>
        </w:rPr>
        <w:t xml:space="preserve">is, has been, or will be unable to mitigate, having complied with its obligations under </w:t>
      </w:r>
      <w:r w:rsidR="005E736B" w:rsidRPr="00BD6C5F">
        <w:rPr>
          <w:lang w:val="en-GB"/>
        </w:rPr>
        <w:t>Clause </w:t>
      </w:r>
      <w:r w:rsidR="004479D5" w:rsidRPr="00BD6C5F">
        <w:rPr>
          <w:lang w:val="en-GB"/>
        </w:rPr>
        <w:t>29</w:t>
      </w:r>
      <w:r w:rsidRPr="00BD6C5F">
        <w:rPr>
          <w:lang w:val="en-GB"/>
        </w:rPr>
        <w:t>.1 (</w:t>
      </w:r>
      <w:r w:rsidRPr="00BD6C5F">
        <w:rPr>
          <w:i/>
          <w:lang w:val="en-GB"/>
        </w:rPr>
        <w:t>Authority Cause</w:t>
      </w:r>
      <w:r w:rsidRPr="00BD6C5F">
        <w:rPr>
          <w:lang w:val="en-GB"/>
        </w:rPr>
        <w:t>)</w:t>
      </w:r>
    </w:p>
    <w:p w14:paraId="717687E4" w14:textId="647FD552" w:rsidR="00BC7DDA" w:rsidRPr="00BD6C5F" w:rsidRDefault="009B03E9" w:rsidP="00AC7207">
      <w:pPr>
        <w:pStyle w:val="BodyText"/>
        <w:spacing w:before="100" w:after="200"/>
        <w:ind w:left="1803"/>
        <w:rPr>
          <w:rFonts w:asciiTheme="minorHAnsi" w:hAnsiTheme="minorHAnsi" w:cstheme="minorHAnsi"/>
        </w:rPr>
      </w:pPr>
      <w:r w:rsidRPr="00BD6C5F">
        <w:rPr>
          <w:rFonts w:asciiTheme="minorHAnsi" w:hAnsiTheme="minorHAnsi" w:cstheme="minorHAnsi"/>
        </w:rPr>
        <w:t>together with an amount equal to the Anticipated Contract Life Profit Margin thereon;</w:t>
      </w:r>
    </w:p>
    <w:p w14:paraId="6B4835CE" w14:textId="77777777" w:rsidR="00BC7DDA" w:rsidRPr="00BD6C5F" w:rsidRDefault="009B03E9" w:rsidP="00E46A3D">
      <w:pPr>
        <w:pStyle w:val="Numbered111"/>
      </w:pPr>
      <w:r w:rsidRPr="00BD6C5F">
        <w:t>the compensation shall not operate so as to put the Supplier in a better position than it would have been in but for the occurrence of the Authority Cause;</w:t>
      </w:r>
    </w:p>
    <w:p w14:paraId="4C451A0B" w14:textId="77777777" w:rsidR="00BC7DDA" w:rsidRPr="00BD6C5F" w:rsidRDefault="009B03E9" w:rsidP="00A47A7E">
      <w:pPr>
        <w:pStyle w:val="Numbered111"/>
        <w:keepNext/>
      </w:pPr>
      <w:r w:rsidRPr="00BD6C5F">
        <w:lastRenderedPageBreak/>
        <w:t>where the Milestone Payment for the relevant Milestone is to be calculated by reference to the Guaranteed Maximum Price with Target Cost pricing mechanism, then:</w:t>
      </w:r>
    </w:p>
    <w:p w14:paraId="1204FBBB" w14:textId="77777777" w:rsidR="00BC7DDA" w:rsidRPr="00BD6C5F" w:rsidRDefault="009B03E9" w:rsidP="00A47A7E">
      <w:pPr>
        <w:pStyle w:val="Numbered111a"/>
        <w:keepNext/>
      </w:pPr>
      <w:bookmarkStart w:id="618" w:name="_bookmark213"/>
      <w:bookmarkStart w:id="619" w:name="_Ref98412601"/>
      <w:bookmarkEnd w:id="618"/>
      <w:r w:rsidRPr="00BD6C5F">
        <w:t>the Target Price for the Milestone shall be increased in accordance with the following formula:</w:t>
      </w:r>
      <w:bookmarkEnd w:id="619"/>
    </w:p>
    <w:p w14:paraId="37B77FC6" w14:textId="77777777" w:rsidR="00BC7DDA" w:rsidRPr="00BD6C5F" w:rsidRDefault="009B03E9" w:rsidP="00A47A7E">
      <w:pPr>
        <w:pStyle w:val="BodyText"/>
        <w:keepNext/>
        <w:spacing w:before="100" w:after="200"/>
        <w:ind w:left="2523"/>
        <w:rPr>
          <w:rFonts w:asciiTheme="minorHAnsi" w:hAnsiTheme="minorHAnsi" w:cstheme="minorHAnsi"/>
        </w:rPr>
      </w:pPr>
      <w:r w:rsidRPr="00BD6C5F">
        <w:rPr>
          <w:rFonts w:asciiTheme="minorHAnsi" w:hAnsiTheme="minorHAnsi" w:cstheme="minorHAnsi"/>
        </w:rPr>
        <w:t>where:</w:t>
      </w:r>
    </w:p>
    <w:p w14:paraId="15AD9AAF" w14:textId="21A75494" w:rsidR="00BC7DDA" w:rsidRPr="00BD6C5F" w:rsidRDefault="009B03E9" w:rsidP="00AC7207">
      <w:pPr>
        <w:pStyle w:val="BodyText"/>
        <w:spacing w:before="100" w:after="200"/>
        <w:ind w:left="2523"/>
        <w:rPr>
          <w:rFonts w:asciiTheme="minorHAnsi" w:eastAsia="Cambria Math" w:hAnsiTheme="minorHAnsi" w:cstheme="minorHAnsi"/>
        </w:rPr>
      </w:pPr>
      <w:r w:rsidRPr="00BD6C5F">
        <w:rPr>
          <w:rFonts w:ascii="Cambria Math" w:eastAsia="Cambria Math" w:hAnsi="Cambria Math" w:cs="Cambria Math"/>
        </w:rPr>
        <w:t>𝑁𝑇𝑃</w:t>
      </w:r>
      <w:r w:rsidRPr="00BD6C5F">
        <w:rPr>
          <w:rFonts w:asciiTheme="minorHAnsi" w:eastAsia="Cambria Math" w:hAnsiTheme="minorHAnsi" w:cstheme="minorHAnsi"/>
        </w:rPr>
        <w:t xml:space="preserve"> = </w:t>
      </w:r>
      <w:r w:rsidRPr="00BD6C5F">
        <w:rPr>
          <w:rFonts w:ascii="Cambria Math" w:eastAsia="Cambria Math" w:hAnsi="Cambria Math" w:cs="Cambria Math"/>
        </w:rPr>
        <w:t>𝑇𝑃</w:t>
      </w:r>
      <w:r w:rsidRPr="00BD6C5F">
        <w:rPr>
          <w:rFonts w:asciiTheme="minorHAnsi" w:eastAsia="Cambria Math" w:hAnsiTheme="minorHAnsi" w:cstheme="minorHAnsi"/>
        </w:rPr>
        <w:t xml:space="preserve"> + (</w:t>
      </w:r>
      <w:r w:rsidRPr="00BD6C5F">
        <w:rPr>
          <w:rFonts w:ascii="Cambria Math" w:eastAsia="Cambria Math" w:hAnsi="Cambria Math" w:cs="Cambria Math"/>
        </w:rPr>
        <w:t>𝐴𝐶</w:t>
      </w:r>
      <w:r w:rsidRPr="00BD6C5F">
        <w:rPr>
          <w:rFonts w:asciiTheme="minorHAnsi" w:eastAsia="Cambria Math" w:hAnsiTheme="minorHAnsi" w:cstheme="minorHAnsi"/>
        </w:rPr>
        <w:t xml:space="preserve"> × 1. </w:t>
      </w:r>
      <w:r w:rsidRPr="00BD6C5F">
        <w:rPr>
          <w:rFonts w:ascii="Cambria Math" w:eastAsia="Cambria Math" w:hAnsi="Cambria Math" w:cs="Cambria Math"/>
        </w:rPr>
        <w:t>𝑥</w:t>
      </w:r>
      <w:r w:rsidRPr="00BD6C5F">
        <w:rPr>
          <w:rFonts w:asciiTheme="minorHAnsi" w:eastAsia="Cambria Math" w:hAnsiTheme="minorHAnsi" w:cstheme="minorHAnsi"/>
        </w:rPr>
        <w:t>)</w:t>
      </w:r>
    </w:p>
    <w:tbl>
      <w:tblPr>
        <w:tblW w:w="0" w:type="auto"/>
        <w:tblInd w:w="2523" w:type="dxa"/>
        <w:tblLayout w:type="fixed"/>
        <w:tblCellMar>
          <w:left w:w="0" w:type="dxa"/>
          <w:bottom w:w="170" w:type="dxa"/>
          <w:right w:w="113" w:type="dxa"/>
        </w:tblCellMar>
        <w:tblLook w:val="01E0" w:firstRow="1" w:lastRow="1" w:firstColumn="1" w:lastColumn="1" w:noHBand="0" w:noVBand="0"/>
      </w:tblPr>
      <w:tblGrid>
        <w:gridCol w:w="1134"/>
        <w:gridCol w:w="6293"/>
      </w:tblGrid>
      <w:tr w:rsidR="00BC7DDA" w:rsidRPr="00BD6C5F" w14:paraId="06DEBCFA" w14:textId="77777777" w:rsidTr="00AC7207">
        <w:tc>
          <w:tcPr>
            <w:tcW w:w="1134" w:type="dxa"/>
          </w:tcPr>
          <w:p w14:paraId="58BF8954" w14:textId="77777777" w:rsidR="00BC7DDA" w:rsidRPr="00BD6C5F" w:rsidRDefault="009B03E9" w:rsidP="00AC7207">
            <w:pPr>
              <w:pStyle w:val="Tabletext"/>
            </w:pPr>
            <w:r w:rsidRPr="00BD6C5F">
              <w:t>NTP</w:t>
            </w:r>
          </w:p>
        </w:tc>
        <w:tc>
          <w:tcPr>
            <w:tcW w:w="6293" w:type="dxa"/>
          </w:tcPr>
          <w:p w14:paraId="47043129" w14:textId="77777777" w:rsidR="00BC7DDA" w:rsidRPr="00BD6C5F" w:rsidRDefault="009B03E9" w:rsidP="00AC7207">
            <w:pPr>
              <w:pStyle w:val="Tabletext"/>
            </w:pPr>
            <w:r w:rsidRPr="00BD6C5F">
              <w:t>is the revised Target Price for the relevant Milestone;</w:t>
            </w:r>
          </w:p>
        </w:tc>
      </w:tr>
      <w:tr w:rsidR="00BC7DDA" w:rsidRPr="00BD6C5F" w14:paraId="39EC5E54" w14:textId="77777777" w:rsidTr="00AC7207">
        <w:tc>
          <w:tcPr>
            <w:tcW w:w="1134" w:type="dxa"/>
          </w:tcPr>
          <w:p w14:paraId="2A047673" w14:textId="77777777" w:rsidR="00BC7DDA" w:rsidRPr="00BD6C5F" w:rsidRDefault="009B03E9" w:rsidP="00AC7207">
            <w:pPr>
              <w:pStyle w:val="Tabletext"/>
            </w:pPr>
            <w:r w:rsidRPr="00BD6C5F">
              <w:t>TP</w:t>
            </w:r>
          </w:p>
        </w:tc>
        <w:tc>
          <w:tcPr>
            <w:tcW w:w="6293" w:type="dxa"/>
          </w:tcPr>
          <w:p w14:paraId="0840D307" w14:textId="77777777" w:rsidR="00BC7DDA" w:rsidRPr="00BD6C5F" w:rsidRDefault="009B03E9" w:rsidP="00AC7207">
            <w:pPr>
              <w:pStyle w:val="Tabletext"/>
            </w:pPr>
            <w:r w:rsidRPr="00BD6C5F">
              <w:t>is the original Target Price for the relevant Milestone;</w:t>
            </w:r>
          </w:p>
        </w:tc>
      </w:tr>
      <w:tr w:rsidR="00BC7DDA" w:rsidRPr="00BD6C5F" w14:paraId="4ED1CF2D" w14:textId="77777777" w:rsidTr="00AC7207">
        <w:tc>
          <w:tcPr>
            <w:tcW w:w="1134" w:type="dxa"/>
          </w:tcPr>
          <w:p w14:paraId="3BEB8B7E" w14:textId="77777777" w:rsidR="00BC7DDA" w:rsidRPr="00BD6C5F" w:rsidRDefault="009B03E9" w:rsidP="00AC7207">
            <w:pPr>
              <w:pStyle w:val="Tabletext"/>
            </w:pPr>
            <w:r w:rsidRPr="00BD6C5F">
              <w:t>AC</w:t>
            </w:r>
          </w:p>
        </w:tc>
        <w:tc>
          <w:tcPr>
            <w:tcW w:w="6293" w:type="dxa"/>
          </w:tcPr>
          <w:p w14:paraId="5653257B" w14:textId="77777777" w:rsidR="00BC7DDA" w:rsidRPr="00BD6C5F" w:rsidRDefault="009B03E9" w:rsidP="00AC7207">
            <w:pPr>
              <w:pStyle w:val="Tabletext"/>
            </w:pPr>
            <w:r w:rsidRPr="00BD6C5F">
              <w:t>is an amount equal to any additional Costs incurred by the Supplier in Achieving the Milestone to the extent that the Supplier can demonstrate that such additional Costs were caused by the Authority Cause; and</w:t>
            </w:r>
          </w:p>
        </w:tc>
      </w:tr>
      <w:tr w:rsidR="00BC7DDA" w:rsidRPr="00BD6C5F" w14:paraId="5A84D0BC" w14:textId="77777777" w:rsidTr="00AC7207">
        <w:tc>
          <w:tcPr>
            <w:tcW w:w="1134" w:type="dxa"/>
          </w:tcPr>
          <w:p w14:paraId="6205D5F9" w14:textId="77777777" w:rsidR="00BC7DDA" w:rsidRPr="00BD6C5F" w:rsidRDefault="009B03E9" w:rsidP="00AC7207">
            <w:pPr>
              <w:pStyle w:val="Tabletext"/>
            </w:pPr>
            <w:r w:rsidRPr="00BD6C5F">
              <w:t>x</w:t>
            </w:r>
          </w:p>
        </w:tc>
        <w:tc>
          <w:tcPr>
            <w:tcW w:w="6293" w:type="dxa"/>
          </w:tcPr>
          <w:p w14:paraId="23CF15D2" w14:textId="6AC92354" w:rsidR="00BC7DDA" w:rsidRPr="00BD6C5F" w:rsidRDefault="009B03E9" w:rsidP="00AC7207">
            <w:pPr>
              <w:pStyle w:val="Tabletext"/>
              <w:rPr>
                <w:rFonts w:asciiTheme="minorHAnsi" w:hAnsiTheme="minorHAnsi" w:cstheme="minorHAnsi"/>
              </w:rPr>
            </w:pPr>
            <w:r w:rsidRPr="00BD6C5F">
              <w:rPr>
                <w:rFonts w:asciiTheme="minorHAnsi" w:hAnsiTheme="minorHAnsi" w:cstheme="minorHAnsi"/>
              </w:rPr>
              <w:t xml:space="preserve">is the Supplier Profit Margin that the Supplier would have </w:t>
            </w:r>
            <w:r w:rsidRPr="00BD6C5F">
              <w:t>received</w:t>
            </w:r>
            <w:r w:rsidRPr="00BD6C5F">
              <w:rPr>
                <w:rFonts w:asciiTheme="minorHAnsi" w:hAnsiTheme="minorHAnsi" w:cstheme="minorHAnsi"/>
              </w:rPr>
              <w:t xml:space="preserve"> in respect of the relevant Milestone on the basis of the unadjusted Target Cost and unadjusted Target Price for that Milestone, as set out in Table 4 of </w:t>
            </w:r>
            <w:r w:rsidR="00C101F7">
              <w:t>Annex </w:t>
            </w:r>
            <w:r w:rsidR="00C101F7">
              <w:fldChar w:fldCharType="begin"/>
            </w:r>
            <w:r w:rsidR="00C101F7">
              <w:instrText xml:space="preserve"> REF Schedule_15_Part_E_Annex_1 \h </w:instrText>
            </w:r>
            <w:r w:rsidR="00C101F7">
              <w:fldChar w:fldCharType="separate"/>
            </w:r>
            <w:r w:rsidR="009749A0" w:rsidRPr="00BD6C5F">
              <w:t>1</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rPr>
                <w:rFonts w:asciiTheme="minorHAnsi" w:hAnsiTheme="minorHAnsi" w:cstheme="minorHAnsi"/>
              </w:rPr>
              <w:t>,</w:t>
            </w:r>
            <w:r w:rsidR="00AC7207" w:rsidRPr="00BD6C5F">
              <w:rPr>
                <w:rFonts w:asciiTheme="minorHAnsi" w:hAnsiTheme="minorHAnsi" w:cstheme="minorHAnsi"/>
              </w:rPr>
              <w:t xml:space="preserve"> </w:t>
            </w:r>
            <w:r w:rsidRPr="00BD6C5F">
              <w:rPr>
                <w:rFonts w:asciiTheme="minorHAnsi" w:hAnsiTheme="minorHAnsi" w:cstheme="minorHAnsi"/>
              </w:rPr>
              <w:t>expressed as a decimal; and</w:t>
            </w:r>
          </w:p>
        </w:tc>
      </w:tr>
    </w:tbl>
    <w:p w14:paraId="6215F2F8" w14:textId="329567F0" w:rsidR="00BC7DDA" w:rsidRPr="00BD6C5F" w:rsidRDefault="009B03E9" w:rsidP="00E46A3D">
      <w:pPr>
        <w:pStyle w:val="Numbered111a"/>
        <w:rPr>
          <w:lang w:val="en-GB"/>
        </w:rPr>
      </w:pPr>
      <w:r w:rsidRPr="00BD6C5F">
        <w:rPr>
          <w:lang w:val="en-GB"/>
        </w:rPr>
        <w:t xml:space="preserve">the Guaranteed Maximum Price shall be increased to an amount equal to 110% of the Target Price as adjusted pursuant to Paragraph </w:t>
      </w:r>
      <w:r w:rsidR="001B4F2A" w:rsidRPr="00BD6C5F">
        <w:rPr>
          <w:lang w:val="en-GB"/>
        </w:rPr>
        <w:fldChar w:fldCharType="begin"/>
      </w:r>
      <w:r w:rsidR="001B4F2A" w:rsidRPr="00BD6C5F">
        <w:rPr>
          <w:lang w:val="en-GB"/>
        </w:rPr>
        <w:instrText xml:space="preserve"> REF _Ref98412601 \w \h </w:instrText>
      </w:r>
      <w:r w:rsidR="00AD7DD0" w:rsidRPr="00BD6C5F">
        <w:rPr>
          <w:lang w:val="en-GB"/>
        </w:rPr>
        <w:instrText xml:space="preserve"> \* MERGEFORMAT </w:instrText>
      </w:r>
      <w:r w:rsidR="001B4F2A" w:rsidRPr="00BD6C5F">
        <w:rPr>
          <w:lang w:val="en-GB"/>
        </w:rPr>
      </w:r>
      <w:r w:rsidR="001B4F2A" w:rsidRPr="00BD6C5F">
        <w:rPr>
          <w:lang w:val="en-GB"/>
        </w:rPr>
        <w:fldChar w:fldCharType="separate"/>
      </w:r>
      <w:r w:rsidR="009749A0">
        <w:rPr>
          <w:lang w:val="en-GB"/>
        </w:rPr>
        <w:t>2.1.3(a)</w:t>
      </w:r>
      <w:r w:rsidR="001B4F2A" w:rsidRPr="00BD6C5F">
        <w:rPr>
          <w:lang w:val="en-GB"/>
        </w:rPr>
        <w:fldChar w:fldCharType="end"/>
      </w:r>
      <w:r w:rsidRPr="00BD6C5F">
        <w:rPr>
          <w:lang w:val="en-GB"/>
        </w:rPr>
        <w:t>;</w:t>
      </w:r>
    </w:p>
    <w:p w14:paraId="7F16F62C" w14:textId="7B678748" w:rsidR="00BC7DDA" w:rsidRPr="00BD6C5F" w:rsidRDefault="009B03E9" w:rsidP="00E46A3D">
      <w:pPr>
        <w:pStyle w:val="Numbered111"/>
      </w:pPr>
      <w:r w:rsidRPr="00BD6C5F">
        <w:t xml:space="preserve">where the relevant Milestone Payment is to be calculated based upon a Fixed Price or a Firm Price pricing mechanism, the compensation shall include such amount as is appropriate to maintain the Supplier Profit Margin set out in respect of the relevant Milestone in Table 5 or Table 6 of </w:t>
      </w:r>
      <w:r w:rsidR="00C101F7">
        <w:t>Annex </w:t>
      </w:r>
      <w:r w:rsidR="00C101F7">
        <w:fldChar w:fldCharType="begin"/>
      </w:r>
      <w:r w:rsidR="00C101F7">
        <w:instrText xml:space="preserve"> REF Schedule_15_Part_E_Annex_1 \h </w:instrText>
      </w:r>
      <w:r w:rsidR="00C101F7">
        <w:fldChar w:fldCharType="separate"/>
      </w:r>
      <w:r w:rsidR="009749A0" w:rsidRPr="00BD6C5F">
        <w:t>1</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 and</w:t>
      </w:r>
    </w:p>
    <w:p w14:paraId="764A0F92" w14:textId="05C626B9" w:rsidR="00BC7DDA" w:rsidRPr="00BD6C5F" w:rsidRDefault="009B03E9" w:rsidP="00E46A3D">
      <w:pPr>
        <w:pStyle w:val="Numbered111"/>
      </w:pPr>
      <w:r w:rsidRPr="00BD6C5F">
        <w:t xml:space="preserve">where the Milestone Payment includes any Charges which are capped, then to the extent that the compensation agreed pursuant to this Paragraph </w:t>
      </w:r>
      <w:r w:rsidR="00CA7D8A" w:rsidRPr="00BD6C5F">
        <w:fldChar w:fldCharType="begin"/>
      </w:r>
      <w:r w:rsidR="00CA7D8A" w:rsidRPr="00BD6C5F">
        <w:instrText xml:space="preserve"> REF _Ref98412617 \n \h </w:instrText>
      </w:r>
      <w:r w:rsidR="00AD7DD0" w:rsidRPr="00BD6C5F">
        <w:instrText xml:space="preserve"> \* MERGEFORMAT </w:instrText>
      </w:r>
      <w:r w:rsidR="00CA7D8A" w:rsidRPr="00BD6C5F">
        <w:fldChar w:fldCharType="separate"/>
      </w:r>
      <w:r w:rsidR="009749A0">
        <w:t>2</w:t>
      </w:r>
      <w:r w:rsidR="00CA7D8A" w:rsidRPr="00BD6C5F">
        <w:fldChar w:fldCharType="end"/>
      </w:r>
      <w:r w:rsidRPr="00BD6C5F">
        <w:t xml:space="preserve"> results in the Authority paying additional Time and Materials Charges for resources or effort which the Supplier demonstrates are required as a result of the Authority Cause, such</w:t>
      </w:r>
      <w:r w:rsidR="00DB2677" w:rsidRPr="00BD6C5F">
        <w:t xml:space="preserve"> </w:t>
      </w:r>
      <w:r w:rsidRPr="00BD6C5F">
        <w:t>additional Time and Materials Charges shall be disregarded for the purposes of calculating the relevant cap.</w:t>
      </w:r>
    </w:p>
    <w:p w14:paraId="12444269" w14:textId="0350469D" w:rsidR="00BC7DDA" w:rsidRPr="00BD6C5F" w:rsidRDefault="009B03E9" w:rsidP="00C5057A">
      <w:pPr>
        <w:pStyle w:val="Numbered11"/>
      </w:pPr>
      <w:r w:rsidRPr="00BD6C5F">
        <w:t>The Supplier shall provide the Authority with any information the Authority may require in order to assess the validity of the Supplier</w:t>
      </w:r>
      <w:r w:rsidR="00A4555C" w:rsidRPr="00BD6C5F">
        <w:t>’</w:t>
      </w:r>
      <w:r w:rsidRPr="00BD6C5F">
        <w:t>s claim to compensation.</w:t>
      </w:r>
    </w:p>
    <w:p w14:paraId="5FB47F0C" w14:textId="191C259A" w:rsidR="00BC7DDA" w:rsidRPr="00BD6C5F" w:rsidRDefault="00E46A3D" w:rsidP="00C5057A">
      <w:pPr>
        <w:pStyle w:val="Numbered1"/>
      </w:pPr>
      <w:bookmarkStart w:id="620" w:name="_bookmark214"/>
      <w:bookmarkStart w:id="621" w:name="_Ref98354781"/>
      <w:bookmarkEnd w:id="620"/>
      <w:r w:rsidRPr="00BD6C5F">
        <w:t>Service Credits</w:t>
      </w:r>
      <w:bookmarkEnd w:id="621"/>
    </w:p>
    <w:p w14:paraId="2A7AE573" w14:textId="44388E7E" w:rsidR="00BC7DDA" w:rsidRPr="00BD6C5F" w:rsidRDefault="009B03E9" w:rsidP="00C5057A">
      <w:pPr>
        <w:pStyle w:val="Numbered11"/>
      </w:pPr>
      <w:r w:rsidRPr="00BD6C5F">
        <w:t xml:space="preserve">Service Credits shall be calculated by reference to the number of Service Points accrued in any one Service Period pursuant to the provisions of </w:t>
      </w:r>
      <w:r w:rsidR="00484523" w:rsidRPr="00BD6C5F">
        <w:t>Schedule </w:t>
      </w:r>
      <w:r w:rsidR="00484523">
        <w:fldChar w:fldCharType="begin"/>
      </w:r>
      <w:r w:rsidR="00484523">
        <w:instrText xml:space="preserve"> REF Schedule_3 \h </w:instrText>
      </w:r>
      <w:r w:rsidR="00484523">
        <w:fldChar w:fldCharType="separate"/>
      </w:r>
      <w:r w:rsidR="009749A0">
        <w:t>3</w:t>
      </w:r>
      <w:r w:rsidR="00484523">
        <w:fldChar w:fldCharType="end"/>
      </w:r>
      <w:r w:rsidRPr="00BD6C5F">
        <w:t xml:space="preserve"> (</w:t>
      </w:r>
      <w:r w:rsidRPr="00BD6C5F">
        <w:rPr>
          <w:i/>
        </w:rPr>
        <w:t>Performance Levels</w:t>
      </w:r>
      <w:r w:rsidRPr="00BD6C5F">
        <w:t>).</w:t>
      </w:r>
    </w:p>
    <w:p w14:paraId="47C12A71" w14:textId="77777777" w:rsidR="00BC7DDA" w:rsidRPr="00BD6C5F" w:rsidRDefault="009B03E9" w:rsidP="00A47A7E">
      <w:pPr>
        <w:pStyle w:val="Numbered11"/>
        <w:keepNext/>
      </w:pPr>
      <w:r w:rsidRPr="00BD6C5F">
        <w:lastRenderedPageBreak/>
        <w:t>For each Service Period:</w:t>
      </w:r>
    </w:p>
    <w:p w14:paraId="58861DB2" w14:textId="4494CADC" w:rsidR="00BC7DDA" w:rsidRPr="00BD6C5F" w:rsidRDefault="009B03E9" w:rsidP="00E46A3D">
      <w:pPr>
        <w:pStyle w:val="Numbered111"/>
      </w:pPr>
      <w:r w:rsidRPr="00BD6C5F">
        <w:t>the Service Points accrued shall be converted to a percentage deduction from the Service Charges for the relevant Service Period on the basis of one point equating to a</w:t>
      </w:r>
      <w:r w:rsidRPr="00566661">
        <w:t xml:space="preserve"> </w:t>
      </w:r>
      <w:r w:rsidRPr="00566661">
        <w:rPr>
          <w:shd w:val="clear" w:color="auto" w:fill="FFFF00"/>
        </w:rPr>
        <w:t>[</w:t>
      </w:r>
      <w:r w:rsidRPr="00012747">
        <w:rPr>
          <w:b/>
          <w:bCs/>
          <w:shd w:val="clear" w:color="auto" w:fill="FFFF00"/>
        </w:rPr>
        <w:t>Insert</w:t>
      </w:r>
      <w:r w:rsidRPr="00566661">
        <w:rPr>
          <w:shd w:val="clear" w:color="auto" w:fill="FFFF00"/>
        </w:rPr>
        <w:t xml:space="preserve"> Percentage]</w:t>
      </w:r>
      <w:r w:rsidR="00566661">
        <w:t xml:space="preserve">% </w:t>
      </w:r>
      <w:r w:rsidRPr="00BD6C5F">
        <w:t>deduction in the Service Charges; and</w:t>
      </w:r>
    </w:p>
    <w:p w14:paraId="2C2E1E0A" w14:textId="77777777" w:rsidR="00BC7DDA" w:rsidRPr="00BD6C5F" w:rsidRDefault="009B03E9" w:rsidP="00A47A7E">
      <w:pPr>
        <w:pStyle w:val="Numbered111"/>
        <w:keepNext/>
      </w:pPr>
      <w:r w:rsidRPr="00BD6C5F">
        <w:t>the total Service Credits applicable for the Service Period shall be calculated in accordance with the following formula:</w:t>
      </w:r>
    </w:p>
    <w:p w14:paraId="41B7A674" w14:textId="77777777" w:rsidR="00BC7DDA" w:rsidRPr="00BD6C5F" w:rsidRDefault="009B03E9" w:rsidP="00A47A7E">
      <w:pPr>
        <w:pStyle w:val="BodyText"/>
        <w:keepNext/>
        <w:spacing w:before="100" w:after="200"/>
        <w:ind w:left="1803"/>
        <w:rPr>
          <w:rFonts w:asciiTheme="minorHAnsi" w:hAnsiTheme="minorHAnsi" w:cstheme="minorHAnsi"/>
        </w:rPr>
      </w:pPr>
      <w:r w:rsidRPr="00BD6C5F">
        <w:rPr>
          <w:rFonts w:asciiTheme="minorHAnsi" w:hAnsiTheme="minorHAnsi" w:cstheme="minorHAnsi"/>
        </w:rPr>
        <w:t>where:</w:t>
      </w:r>
    </w:p>
    <w:p w14:paraId="3D797BCF" w14:textId="476B1BA7" w:rsidR="00BC7DDA" w:rsidRPr="00BD6C5F" w:rsidRDefault="009B03E9" w:rsidP="00AC7207">
      <w:pPr>
        <w:pStyle w:val="BodyText"/>
        <w:spacing w:before="100" w:after="200"/>
        <w:ind w:left="1803"/>
        <w:rPr>
          <w:rFonts w:asciiTheme="minorHAnsi" w:eastAsia="Cambria Math" w:hAnsiTheme="minorHAnsi" w:cstheme="minorHAnsi"/>
        </w:rPr>
      </w:pPr>
      <w:r w:rsidRPr="00BD6C5F">
        <w:rPr>
          <w:rFonts w:ascii="Cambria Math" w:eastAsia="Cambria Math" w:hAnsi="Cambria Math" w:cs="Cambria Math"/>
        </w:rPr>
        <w:t>𝑆𝐶</w:t>
      </w:r>
      <w:r w:rsidRPr="00BD6C5F">
        <w:rPr>
          <w:rFonts w:asciiTheme="minorHAnsi" w:eastAsia="Cambria Math" w:hAnsiTheme="minorHAnsi" w:cstheme="minorHAnsi"/>
        </w:rPr>
        <w:t xml:space="preserve"> = </w:t>
      </w:r>
      <w:r w:rsidRPr="00BD6C5F">
        <w:rPr>
          <w:rFonts w:ascii="Cambria Math" w:eastAsia="Cambria Math" w:hAnsi="Cambria Math" w:cs="Cambria Math"/>
        </w:rPr>
        <w:t>𝑇𝑆𝑃</w:t>
      </w:r>
      <w:r w:rsidRPr="00BD6C5F">
        <w:rPr>
          <w:rFonts w:asciiTheme="minorHAnsi" w:eastAsia="Cambria Math" w:hAnsiTheme="minorHAnsi" w:cstheme="minorHAnsi"/>
        </w:rPr>
        <w:t xml:space="preserve"> × </w:t>
      </w:r>
      <w:r w:rsidRPr="00BD6C5F">
        <w:rPr>
          <w:rFonts w:ascii="Cambria Math" w:eastAsia="Cambria Math" w:hAnsi="Cambria Math" w:cs="Cambria Math"/>
        </w:rPr>
        <w:t>𝑥</w:t>
      </w:r>
      <w:r w:rsidRPr="00BD6C5F">
        <w:rPr>
          <w:rFonts w:asciiTheme="minorHAnsi" w:eastAsia="Cambria Math" w:hAnsiTheme="minorHAnsi" w:cstheme="minorHAnsi"/>
        </w:rPr>
        <w:t xml:space="preserve"> × </w:t>
      </w:r>
      <w:r w:rsidRPr="00BD6C5F">
        <w:rPr>
          <w:rFonts w:ascii="Cambria Math" w:eastAsia="Cambria Math" w:hAnsi="Cambria Math" w:cs="Cambria Math"/>
        </w:rPr>
        <w:t>𝐴𝐶</w:t>
      </w:r>
    </w:p>
    <w:tbl>
      <w:tblPr>
        <w:tblW w:w="8447" w:type="dxa"/>
        <w:tblInd w:w="1803" w:type="dxa"/>
        <w:tblLayout w:type="fixed"/>
        <w:tblCellMar>
          <w:left w:w="0" w:type="dxa"/>
          <w:bottom w:w="170" w:type="dxa"/>
          <w:right w:w="113" w:type="dxa"/>
        </w:tblCellMar>
        <w:tblLook w:val="01E0" w:firstRow="1" w:lastRow="1" w:firstColumn="1" w:lastColumn="1" w:noHBand="0" w:noVBand="0"/>
      </w:tblPr>
      <w:tblGrid>
        <w:gridCol w:w="1134"/>
        <w:gridCol w:w="7313"/>
      </w:tblGrid>
      <w:tr w:rsidR="00BC7DDA" w:rsidRPr="00BD6C5F" w14:paraId="4CC687EE" w14:textId="77777777" w:rsidTr="00AC7207">
        <w:tc>
          <w:tcPr>
            <w:tcW w:w="1134" w:type="dxa"/>
          </w:tcPr>
          <w:p w14:paraId="121EDD73" w14:textId="77777777" w:rsidR="00BC7DDA" w:rsidRPr="00BD6C5F" w:rsidRDefault="009B03E9" w:rsidP="00AC7207">
            <w:pPr>
              <w:pStyle w:val="Tabletext"/>
            </w:pPr>
            <w:r w:rsidRPr="00BD6C5F">
              <w:t>SC</w:t>
            </w:r>
          </w:p>
        </w:tc>
        <w:tc>
          <w:tcPr>
            <w:tcW w:w="7313" w:type="dxa"/>
          </w:tcPr>
          <w:p w14:paraId="452237E1" w14:textId="77777777" w:rsidR="00BC7DDA" w:rsidRPr="00BD6C5F" w:rsidRDefault="009B03E9" w:rsidP="00AC7207">
            <w:pPr>
              <w:pStyle w:val="Tabletext"/>
            </w:pPr>
            <w:r w:rsidRPr="00BD6C5F">
              <w:t>is the total Service Credits for the relevant Service Period;</w:t>
            </w:r>
          </w:p>
        </w:tc>
      </w:tr>
      <w:tr w:rsidR="00BC7DDA" w:rsidRPr="00BD6C5F" w14:paraId="75622DFE" w14:textId="77777777" w:rsidTr="00AC7207">
        <w:tc>
          <w:tcPr>
            <w:tcW w:w="1134" w:type="dxa"/>
          </w:tcPr>
          <w:p w14:paraId="7759A374" w14:textId="77777777" w:rsidR="00BC7DDA" w:rsidRPr="00BD6C5F" w:rsidRDefault="009B03E9" w:rsidP="00AC7207">
            <w:pPr>
              <w:pStyle w:val="Tabletext"/>
            </w:pPr>
            <w:r w:rsidRPr="00BD6C5F">
              <w:t>TSP</w:t>
            </w:r>
          </w:p>
        </w:tc>
        <w:tc>
          <w:tcPr>
            <w:tcW w:w="7313" w:type="dxa"/>
          </w:tcPr>
          <w:p w14:paraId="44E08BDB" w14:textId="77777777" w:rsidR="00BC7DDA" w:rsidRPr="00BD6C5F" w:rsidRDefault="009B03E9" w:rsidP="00AC7207">
            <w:pPr>
              <w:pStyle w:val="Tabletext"/>
              <w:rPr>
                <w:rFonts w:asciiTheme="minorHAnsi" w:hAnsiTheme="minorHAnsi" w:cstheme="minorHAnsi"/>
              </w:rPr>
            </w:pPr>
            <w:r w:rsidRPr="00BD6C5F">
              <w:rPr>
                <w:rFonts w:asciiTheme="minorHAnsi" w:hAnsiTheme="minorHAnsi" w:cstheme="minorHAnsi"/>
              </w:rPr>
              <w:t>is the total Service Points that have accrued for the relevant Service Period;</w:t>
            </w:r>
          </w:p>
        </w:tc>
      </w:tr>
      <w:tr w:rsidR="00BC7DDA" w:rsidRPr="00BD6C5F" w14:paraId="2A9E8911" w14:textId="77777777" w:rsidTr="00AC7207">
        <w:tc>
          <w:tcPr>
            <w:tcW w:w="1134" w:type="dxa"/>
          </w:tcPr>
          <w:p w14:paraId="528B5685" w14:textId="77777777" w:rsidR="00BC7DDA" w:rsidRPr="00BD6C5F" w:rsidRDefault="009B03E9" w:rsidP="00AC7207">
            <w:pPr>
              <w:pStyle w:val="Tabletext"/>
            </w:pPr>
            <w:r w:rsidRPr="00BD6C5F">
              <w:t>X</w:t>
            </w:r>
          </w:p>
        </w:tc>
        <w:tc>
          <w:tcPr>
            <w:tcW w:w="7313" w:type="dxa"/>
          </w:tcPr>
          <w:p w14:paraId="4682FFDD" w14:textId="341B228A" w:rsidR="00BC7DDA" w:rsidRPr="00BD6C5F" w:rsidRDefault="009B03E9" w:rsidP="00AC7207">
            <w:pPr>
              <w:pStyle w:val="Tabletext"/>
              <w:rPr>
                <w:rFonts w:asciiTheme="minorHAnsi" w:hAnsiTheme="minorHAnsi" w:cstheme="minorHAnsi"/>
              </w:rPr>
            </w:pPr>
            <w:r w:rsidRPr="00BD6C5F">
              <w:rPr>
                <w:rFonts w:asciiTheme="minorHAnsi" w:hAnsiTheme="minorHAnsi" w:cstheme="minorHAnsi"/>
              </w:rPr>
              <w:t>is</w:t>
            </w:r>
            <w:r w:rsidRPr="00566661">
              <w:rPr>
                <w:rFonts w:asciiTheme="minorHAnsi" w:hAnsiTheme="minorHAnsi" w:cstheme="minorHAnsi"/>
              </w:rPr>
              <w:t xml:space="preserve"> </w:t>
            </w:r>
            <w:r w:rsidRPr="00566661">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566661">
              <w:rPr>
                <w:rFonts w:asciiTheme="minorHAnsi" w:hAnsiTheme="minorHAnsi" w:cstheme="minorHAnsi"/>
                <w:shd w:val="clear" w:color="auto" w:fill="FFFF00"/>
              </w:rPr>
              <w:t xml:space="preserve"> percentage deduction per Service Point]</w:t>
            </w:r>
            <w:r w:rsidR="00566661">
              <w:t xml:space="preserve">%; </w:t>
            </w:r>
            <w:r w:rsidRPr="00BD6C5F">
              <w:t>and</w:t>
            </w:r>
          </w:p>
        </w:tc>
      </w:tr>
      <w:tr w:rsidR="00BC7DDA" w:rsidRPr="00BD6C5F" w14:paraId="54FFC25C" w14:textId="77777777" w:rsidTr="00AC7207">
        <w:tc>
          <w:tcPr>
            <w:tcW w:w="1134" w:type="dxa"/>
          </w:tcPr>
          <w:p w14:paraId="1EFD2B77" w14:textId="77777777" w:rsidR="00BC7DDA" w:rsidRPr="00BD6C5F" w:rsidRDefault="009B03E9" w:rsidP="00AC7207">
            <w:pPr>
              <w:pStyle w:val="Tabletext"/>
            </w:pPr>
            <w:r w:rsidRPr="00BD6C5F">
              <w:t>AC</w:t>
            </w:r>
          </w:p>
        </w:tc>
        <w:tc>
          <w:tcPr>
            <w:tcW w:w="7313" w:type="dxa"/>
          </w:tcPr>
          <w:p w14:paraId="71794959" w14:textId="77777777" w:rsidR="00BC7DDA" w:rsidRPr="00BD6C5F" w:rsidRDefault="009B03E9" w:rsidP="00AC7207">
            <w:pPr>
              <w:pStyle w:val="Tabletext"/>
              <w:rPr>
                <w:rFonts w:asciiTheme="minorHAnsi" w:hAnsiTheme="minorHAnsi" w:cstheme="minorHAnsi"/>
              </w:rPr>
            </w:pPr>
            <w:r w:rsidRPr="00BD6C5F">
              <w:rPr>
                <w:rFonts w:asciiTheme="minorHAnsi" w:hAnsiTheme="minorHAnsi" w:cstheme="minorHAnsi"/>
              </w:rPr>
              <w:t>is the total Services Charges payable for the relevant Service Period (prior to deduction of applicable Service Credits).</w:t>
            </w:r>
          </w:p>
        </w:tc>
      </w:tr>
    </w:tbl>
    <w:p w14:paraId="339AF50D" w14:textId="5EA03BAF" w:rsidR="00BC7DDA" w:rsidRPr="00BD6C5F" w:rsidRDefault="009B03E9" w:rsidP="00C5057A">
      <w:pPr>
        <w:pStyle w:val="Numbered11"/>
      </w:pPr>
      <w:r w:rsidRPr="00BD6C5F">
        <w:t xml:space="preserve">The liability of the Supplier in respect of Service Credits shall be subject to </w:t>
      </w:r>
      <w:r w:rsidR="005E736B" w:rsidRPr="00BD6C5F">
        <w:t>Clause </w:t>
      </w:r>
      <w:r w:rsidRPr="00BD6C5F">
        <w:t>2</w:t>
      </w:r>
      <w:r w:rsidR="00925189" w:rsidRPr="00BD6C5F">
        <w:t>3</w:t>
      </w:r>
      <w:r w:rsidRPr="00BD6C5F">
        <w:t>.4</w:t>
      </w:r>
      <w:r w:rsidR="006509FE">
        <w:t>.3</w:t>
      </w:r>
      <w:r w:rsidRPr="00BD6C5F">
        <w:t xml:space="preserve"> (</w:t>
      </w:r>
      <w:r w:rsidRPr="00BD6C5F">
        <w:rPr>
          <w:i/>
        </w:rPr>
        <w:t>Financial and other Limits</w:t>
      </w:r>
      <w:r w:rsidRPr="00BD6C5F">
        <w:t xml:space="preserve">) provided that, for the avoidance of doubt, the operation of the Service Credit Cap shall not affect the continued accrual of Service Points in excess of such financial limit in accordance with the provisions of </w:t>
      </w:r>
      <w:r w:rsidR="00484523" w:rsidRPr="00BD6C5F">
        <w:t>Schedule </w:t>
      </w:r>
      <w:r w:rsidR="00484523">
        <w:fldChar w:fldCharType="begin"/>
      </w:r>
      <w:r w:rsidR="00484523">
        <w:instrText xml:space="preserve"> REF Schedule_3 \h </w:instrText>
      </w:r>
      <w:r w:rsidR="00484523">
        <w:fldChar w:fldCharType="separate"/>
      </w:r>
      <w:r w:rsidR="009749A0">
        <w:t>3</w:t>
      </w:r>
      <w:r w:rsidR="00484523">
        <w:fldChar w:fldCharType="end"/>
      </w:r>
      <w:r w:rsidRPr="00BD6C5F">
        <w:t xml:space="preserve"> (</w:t>
      </w:r>
      <w:r w:rsidRPr="00BD6C5F">
        <w:rPr>
          <w:i/>
        </w:rPr>
        <w:t>Performance Levels</w:t>
      </w:r>
      <w:r w:rsidRPr="00BD6C5F">
        <w:t>).</w:t>
      </w:r>
    </w:p>
    <w:p w14:paraId="5AB7B330" w14:textId="77777777" w:rsidR="00BC7DDA" w:rsidRPr="00BD6C5F" w:rsidRDefault="009B03E9" w:rsidP="00C5057A">
      <w:pPr>
        <w:pStyle w:val="Numbered11"/>
      </w:pPr>
      <w:r w:rsidRPr="00BD6C5F">
        <w:t>Service Credits are a reduction of the Service Charges payable in respect of the relevant Services to reflect the reduced value of the Services actually received and are stated exclusive of VAT.</w:t>
      </w:r>
    </w:p>
    <w:p w14:paraId="54620C82" w14:textId="77777777" w:rsidR="00BC7DDA" w:rsidRPr="00BD6C5F" w:rsidRDefault="009B03E9" w:rsidP="00C5057A">
      <w:pPr>
        <w:pStyle w:val="Numbered11"/>
      </w:pPr>
      <w:r w:rsidRPr="00BD6C5F">
        <w:t>Service Credits shall be shown as a deduction from the amount due from the Authority to the Supplier in the invoice for the Service Period immediately succeeding the Service Period to which they relate.</w:t>
      </w:r>
    </w:p>
    <w:p w14:paraId="591E780A" w14:textId="6F7F7609" w:rsidR="00BC7DDA" w:rsidRPr="00BD6C5F" w:rsidRDefault="00E46A3D" w:rsidP="00C5057A">
      <w:pPr>
        <w:pStyle w:val="Numbered1"/>
      </w:pPr>
      <w:bookmarkStart w:id="622" w:name="_bookmark215"/>
      <w:bookmarkStart w:id="623" w:name="_Ref98412162"/>
      <w:bookmarkEnd w:id="622"/>
      <w:r w:rsidRPr="00BD6C5F">
        <w:t>Changes To Charges</w:t>
      </w:r>
      <w:bookmarkEnd w:id="623"/>
    </w:p>
    <w:p w14:paraId="00EFEF61" w14:textId="7927AF35" w:rsidR="00BC7DDA" w:rsidRPr="00BD6C5F" w:rsidRDefault="009B03E9" w:rsidP="00A47A7E">
      <w:pPr>
        <w:pStyle w:val="Numbered11"/>
        <w:keepNext/>
      </w:pPr>
      <w:r w:rsidRPr="00BD6C5F">
        <w:t xml:space="preserve">Any Changes to the Charges shall be developed and agreed by the Parties in accordance with </w:t>
      </w:r>
      <w:r w:rsidR="00346653" w:rsidRPr="00BD6C5F">
        <w:t>Schedule </w:t>
      </w:r>
      <w:r w:rsidR="00346653">
        <w:fldChar w:fldCharType="begin"/>
      </w:r>
      <w:r w:rsidR="00346653">
        <w:instrText xml:space="preserve"> REF Schedule_22 \h </w:instrText>
      </w:r>
      <w:r w:rsidR="00346653">
        <w:fldChar w:fldCharType="separate"/>
      </w:r>
      <w:r w:rsidR="009749A0">
        <w:t>22</w:t>
      </w:r>
      <w:r w:rsidR="00346653">
        <w:fldChar w:fldCharType="end"/>
      </w:r>
      <w:r w:rsidRPr="00BD6C5F">
        <w:t xml:space="preserve"> (</w:t>
      </w:r>
      <w:r w:rsidRPr="00BD6C5F">
        <w:rPr>
          <w:i/>
        </w:rPr>
        <w:t>Change Control Procedure</w:t>
      </w:r>
      <w:r w:rsidRPr="00BD6C5F">
        <w:t>) and on the basis that the Supplier Profit Margin on such Charges shall:</w:t>
      </w:r>
    </w:p>
    <w:p w14:paraId="0FBF0441" w14:textId="77777777" w:rsidR="00BC7DDA" w:rsidRPr="00BD6C5F" w:rsidRDefault="009B03E9" w:rsidP="00E46A3D">
      <w:pPr>
        <w:pStyle w:val="Numbered111"/>
      </w:pPr>
      <w:r w:rsidRPr="00BD6C5F">
        <w:t>be no greater than that applying to Charges using the same pricing mechanism as at the Effective Date (as set out in the Contract Inception Report); and</w:t>
      </w:r>
    </w:p>
    <w:p w14:paraId="2E12E4F1" w14:textId="77777777" w:rsidR="00BC7DDA" w:rsidRPr="00BD6C5F" w:rsidRDefault="009B03E9" w:rsidP="00E46A3D">
      <w:pPr>
        <w:pStyle w:val="Numbered111"/>
      </w:pPr>
      <w:r w:rsidRPr="00BD6C5F">
        <w:t>in no event exceed the Maximum Permitted Profit Margin.</w:t>
      </w:r>
    </w:p>
    <w:p w14:paraId="25E5C0CA" w14:textId="77777777" w:rsidR="00BC7DDA" w:rsidRPr="00BD6C5F" w:rsidRDefault="009B03E9" w:rsidP="00C5057A">
      <w:pPr>
        <w:pStyle w:val="Numbered11"/>
      </w:pPr>
      <w:r w:rsidRPr="00BD6C5F">
        <w:t>The Authority may request that any Impact Assessment presents Charges without Indexation for the purposes of comparison.</w:t>
      </w:r>
    </w:p>
    <w:p w14:paraId="7A21CF4C" w14:textId="630736C3" w:rsidR="00BC7DDA" w:rsidRPr="00BD6C5F" w:rsidRDefault="00E46A3D" w:rsidP="00C5057A">
      <w:pPr>
        <w:pStyle w:val="Numbered1"/>
      </w:pPr>
      <w:bookmarkStart w:id="624" w:name="_bookmark216"/>
      <w:bookmarkStart w:id="625" w:name="_Ref98411881"/>
      <w:bookmarkEnd w:id="624"/>
      <w:r w:rsidRPr="00BD6C5F">
        <w:lastRenderedPageBreak/>
        <w:t>Indexation</w:t>
      </w:r>
      <w:bookmarkEnd w:id="625"/>
    </w:p>
    <w:p w14:paraId="412A3CB1" w14:textId="0951800C" w:rsidR="00C60D4E" w:rsidRPr="00885C0F" w:rsidRDefault="00885C0F" w:rsidP="00885C0F">
      <w:pPr>
        <w:pStyle w:val="Numbered1"/>
        <w:numPr>
          <w:ilvl w:val="0"/>
          <w:numId w:val="0"/>
        </w:numPr>
        <w:ind w:left="720"/>
        <w:rPr>
          <w:i/>
          <w:iCs/>
          <w:color w:val="000000"/>
          <w:szCs w:val="24"/>
        </w:rPr>
      </w:pPr>
      <w:r w:rsidRPr="00885C0F">
        <w:rPr>
          <w:i/>
          <w:iCs/>
          <w:color w:val="000000"/>
          <w:szCs w:val="24"/>
          <w:highlight w:val="yellow"/>
        </w:rPr>
        <w:t xml:space="preserve">[Guidance: see paragraph 4.4 of the </w:t>
      </w:r>
      <w:hyperlink r:id="rId81" w:history="1">
        <w:r w:rsidRPr="00885C0F">
          <w:rPr>
            <w:i/>
            <w:iCs/>
            <w:color w:val="000000"/>
            <w:szCs w:val="24"/>
            <w:highlight w:val="yellow"/>
          </w:rPr>
          <w:t>MSC Guidance</w:t>
        </w:r>
      </w:hyperlink>
      <w:r w:rsidRPr="00885C0F">
        <w:rPr>
          <w:i/>
          <w:iCs/>
          <w:color w:val="000000"/>
          <w:szCs w:val="24"/>
          <w:highlight w:val="yellow"/>
        </w:rPr>
        <w:t xml:space="preserve"> document for further guidance regarding indexation.]</w:t>
      </w:r>
      <w:r w:rsidRPr="00885C0F">
        <w:rPr>
          <w:i/>
          <w:iCs/>
          <w:color w:val="000000"/>
          <w:szCs w:val="24"/>
        </w:rPr>
        <w:t xml:space="preserve"> </w:t>
      </w:r>
    </w:p>
    <w:p w14:paraId="7E1A8ADB" w14:textId="132D38E2" w:rsidR="00BC7DDA" w:rsidRDefault="009B03E9" w:rsidP="00A47A7E">
      <w:pPr>
        <w:pStyle w:val="Numbered11"/>
        <w:widowControl/>
      </w:pPr>
      <w:r w:rsidRPr="00BD6C5F">
        <w:t xml:space="preserve">Any amounts or sums in this </w:t>
      </w:r>
      <w:r w:rsidR="007D4F28" w:rsidRPr="00BD6C5F">
        <w:t xml:space="preserve">Contract </w:t>
      </w:r>
      <w:r w:rsidRPr="00BD6C5F">
        <w:t xml:space="preserve">which are expressed to be </w:t>
      </w:r>
      <w:r w:rsidR="00A4555C" w:rsidRPr="00BD6C5F">
        <w:t>“</w:t>
      </w:r>
      <w:r w:rsidRPr="00BD6C5F">
        <w:t>subject to Indexation</w:t>
      </w:r>
      <w:r w:rsidR="00A4555C" w:rsidRPr="00BD6C5F">
        <w:t>”</w:t>
      </w:r>
      <w:r w:rsidRPr="00BD6C5F">
        <w:t xml:space="preserve"> shall be adjusted in accordance with the provisions of this Paragraph </w:t>
      </w:r>
      <w:r w:rsidR="00CA7D8A" w:rsidRPr="00BD6C5F">
        <w:fldChar w:fldCharType="begin"/>
      </w:r>
      <w:r w:rsidR="00CA7D8A" w:rsidRPr="00BD6C5F">
        <w:instrText xml:space="preserve"> REF _Ref98411881 \n \h </w:instrText>
      </w:r>
      <w:r w:rsidR="00AD7DD0" w:rsidRPr="00BD6C5F">
        <w:instrText xml:space="preserve"> \* MERGEFORMAT </w:instrText>
      </w:r>
      <w:r w:rsidR="00CA7D8A" w:rsidRPr="00BD6C5F">
        <w:fldChar w:fldCharType="separate"/>
      </w:r>
      <w:r w:rsidR="009749A0">
        <w:t>5</w:t>
      </w:r>
      <w:r w:rsidR="00CA7D8A" w:rsidRPr="00BD6C5F">
        <w:fldChar w:fldCharType="end"/>
      </w:r>
      <w:r w:rsidRPr="00BD6C5F">
        <w:t xml:space="preserve"> to reflect the effects of inflation.</w:t>
      </w:r>
    </w:p>
    <w:p w14:paraId="11097DB2" w14:textId="3287412B" w:rsidR="00BF5344" w:rsidRDefault="00BF5344" w:rsidP="00BF5344">
      <w:pPr>
        <w:pStyle w:val="Numbered11"/>
      </w:pPr>
      <w:r>
        <w:t xml:space="preserve">The following costs, expenses, fees or charges included in the Charges shall not be subject to adjustment under this Paragraph </w:t>
      </w:r>
      <w:r w:rsidR="00C65E65">
        <w:fldChar w:fldCharType="begin"/>
      </w:r>
      <w:r w:rsidR="00C65E65">
        <w:instrText xml:space="preserve"> REF _Ref98411881 \w \h </w:instrText>
      </w:r>
      <w:r w:rsidR="00C65E65">
        <w:fldChar w:fldCharType="separate"/>
      </w:r>
      <w:r w:rsidR="009749A0">
        <w:t>5</w:t>
      </w:r>
      <w:r w:rsidR="00C65E65">
        <w:fldChar w:fldCharType="end"/>
      </w:r>
      <w:r>
        <w:t xml:space="preserve"> and shall not be included in the relevant amount or sum for the purposes of Paragraph </w:t>
      </w:r>
      <w:r w:rsidR="00C65E65">
        <w:fldChar w:fldCharType="begin"/>
      </w:r>
      <w:r w:rsidR="00C65E65">
        <w:instrText xml:space="preserve"> REF _Ref141339908 \w \h </w:instrText>
      </w:r>
      <w:r w:rsidR="00C65E65">
        <w:fldChar w:fldCharType="separate"/>
      </w:r>
      <w:r w:rsidR="009749A0">
        <w:t>5.3</w:t>
      </w:r>
      <w:r w:rsidR="00C65E65">
        <w:fldChar w:fldCharType="end"/>
      </w:r>
      <w:r>
        <w:t>:</w:t>
      </w:r>
    </w:p>
    <w:p w14:paraId="3427E1B8" w14:textId="77777777" w:rsidR="00BF5344" w:rsidRDefault="00BF5344" w:rsidP="006E5B76">
      <w:pPr>
        <w:pStyle w:val="Numbered111"/>
      </w:pPr>
      <w:r>
        <w:t>Any costs charged by the Supplier to the Authority in respect of Assets or Authority Assets (including capital costs and installation, maintenance and support costs) which are incurred by the Supplier prior to the relevant adjustment date but which remain to be recovered through the Charges.</w:t>
      </w:r>
    </w:p>
    <w:p w14:paraId="6AC3DB74" w14:textId="77777777" w:rsidR="000700BE" w:rsidRPr="000700BE" w:rsidRDefault="000700BE" w:rsidP="000700BE">
      <w:pPr>
        <w:pStyle w:val="Numbered11"/>
      </w:pPr>
      <w:bookmarkStart w:id="626" w:name="_Ref141339908"/>
      <w:r w:rsidRPr="000700BE">
        <w:t>Notwithstanding any other provisions of this Schedule, amounts or sums in this Contract shall not be subject to Indexation during the first [</w:t>
      </w:r>
      <w:r w:rsidRPr="00012747">
        <w:rPr>
          <w:b/>
          <w:bCs/>
          <w:highlight w:val="yellow"/>
        </w:rPr>
        <w:t>Insert</w:t>
      </w:r>
      <w:r w:rsidRPr="00012747">
        <w:rPr>
          <w:highlight w:val="yellow"/>
        </w:rPr>
        <w:t>: number</w:t>
      </w:r>
      <w:r w:rsidRPr="000700BE">
        <w:t>] years following the Operational Service Commencement Date (the “</w:t>
      </w:r>
      <w:r w:rsidRPr="006E5B76">
        <w:rPr>
          <w:b/>
          <w:bCs/>
        </w:rPr>
        <w:t>Non-Indexation Period</w:t>
      </w:r>
      <w:r w:rsidRPr="000700BE">
        <w:t>”).</w:t>
      </w:r>
      <w:bookmarkEnd w:id="626"/>
    </w:p>
    <w:p w14:paraId="3459DE66" w14:textId="77777777" w:rsidR="006E5B76" w:rsidRPr="006E5B76" w:rsidRDefault="006E5B76" w:rsidP="006E5B76">
      <w:pPr>
        <w:pStyle w:val="Numbered11"/>
      </w:pPr>
      <w:bookmarkStart w:id="627" w:name="_Ref141339922"/>
      <w:r w:rsidRPr="006E5B76">
        <w:t>Where any amount or sum in this Contract is stated to be “subject to Indexation” then it will be indexed on the date which is one year after the end of the Non-Indexation Period to reflect the percentage change in the [</w:t>
      </w:r>
      <w:r w:rsidRPr="00012747">
        <w:rPr>
          <w:b/>
          <w:bCs/>
          <w:highlight w:val="yellow"/>
        </w:rPr>
        <w:t>Insert</w:t>
      </w:r>
      <w:r w:rsidRPr="00012747">
        <w:rPr>
          <w:highlight w:val="yellow"/>
        </w:rPr>
        <w:t>: name of appropriate price index (or indices) published by the Office of National Statistics or other reputable source</w:t>
      </w:r>
      <w:r w:rsidRPr="006E5B76">
        <w:t>] during that one year period immediately following the end of the Non-Indexation Period.  Subsequent adjustments shall take place on each following yearly anniversary to reflect the percentage change in the price index since the previous change.</w:t>
      </w:r>
      <w:bookmarkEnd w:id="627"/>
    </w:p>
    <w:p w14:paraId="176D8126" w14:textId="552CA022" w:rsidR="00BC7DDA" w:rsidRDefault="009B03E9" w:rsidP="00C5057A">
      <w:pPr>
        <w:pStyle w:val="Numbered11"/>
      </w:pPr>
      <w:r w:rsidRPr="00BD6C5F">
        <w:t xml:space="preserve">Except as set out in this Paragraph </w:t>
      </w:r>
      <w:r w:rsidR="00CA7D8A" w:rsidRPr="00BD6C5F">
        <w:fldChar w:fldCharType="begin"/>
      </w:r>
      <w:r w:rsidR="00CA7D8A" w:rsidRPr="00BD6C5F">
        <w:instrText xml:space="preserve"> REF _Ref98411881 \n \h </w:instrText>
      </w:r>
      <w:r w:rsidR="00AD7DD0" w:rsidRPr="00BD6C5F">
        <w:instrText xml:space="preserve"> \* MERGEFORMAT </w:instrText>
      </w:r>
      <w:r w:rsidR="00CA7D8A" w:rsidRPr="00BD6C5F">
        <w:fldChar w:fldCharType="separate"/>
      </w:r>
      <w:r w:rsidR="009749A0">
        <w:t>5</w:t>
      </w:r>
      <w:r w:rsidR="00CA7D8A" w:rsidRPr="00BD6C5F">
        <w:fldChar w:fldCharType="end"/>
      </w:r>
      <w:r w:rsidRPr="00BD6C5F">
        <w:t>, neither 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14:paraId="0E36C19D" w14:textId="4CB75316" w:rsidR="00506304" w:rsidRDefault="00506304" w:rsidP="00506304">
      <w:pPr>
        <w:pStyle w:val="Numbered11"/>
      </w:pPr>
      <w:r>
        <w:t xml:space="preserve">Where the price index referred to in Paragraph </w:t>
      </w:r>
      <w:r w:rsidR="00C65E65">
        <w:fldChar w:fldCharType="begin"/>
      </w:r>
      <w:r w:rsidR="00C65E65">
        <w:instrText xml:space="preserve"> REF _Ref141339922 \w \h </w:instrText>
      </w:r>
      <w:r w:rsidR="00C65E65">
        <w:fldChar w:fldCharType="separate"/>
      </w:r>
      <w:r w:rsidR="009749A0">
        <w:t>5.4</w:t>
      </w:r>
      <w:r w:rsidR="00C65E65">
        <w:fldChar w:fldCharType="end"/>
      </w:r>
      <w:r>
        <w:t>:</w:t>
      </w:r>
    </w:p>
    <w:p w14:paraId="65AE5C3B" w14:textId="77777777" w:rsidR="00506304" w:rsidRDefault="00506304" w:rsidP="00506304">
      <w:pPr>
        <w:pStyle w:val="Numbered111"/>
      </w:pPr>
      <w:r>
        <w:t>used to carry out an indexation calculation is updated (for example due to it being provisional) then the indexation calculation shall also be updated unless the Buyer and the Supplier agree otherwise; or</w:t>
      </w:r>
    </w:p>
    <w:p w14:paraId="6D15261D" w14:textId="14FE8953" w:rsidR="00506304" w:rsidRDefault="00506304" w:rsidP="00506304">
      <w:pPr>
        <w:pStyle w:val="Numbered111"/>
      </w:pPr>
      <w:r>
        <w:t>is no longer published, the Buyer and the Supplier shall agree an appropriate replacement index which shall cover to the maximum extent possible the same economic activities as the original index.</w:t>
      </w:r>
    </w:p>
    <w:p w14:paraId="5F005FE0" w14:textId="403E48CF" w:rsidR="00BC7DDA" w:rsidRPr="00BD6C5F" w:rsidRDefault="00E46A3D" w:rsidP="00C5057A">
      <w:pPr>
        <w:pStyle w:val="Numbered1"/>
      </w:pPr>
      <w:r w:rsidRPr="00BD6C5F">
        <w:t>Allowable Assumptions</w:t>
      </w:r>
    </w:p>
    <w:p w14:paraId="2C6B02BF" w14:textId="77777777" w:rsidR="00BC7DDA" w:rsidRPr="00BD6C5F" w:rsidRDefault="009B03E9" w:rsidP="00C5057A">
      <w:pPr>
        <w:pStyle w:val="Numbered11"/>
      </w:pPr>
      <w:r w:rsidRPr="00BD6C5F">
        <w:t>The Supplier shall determine whether each Allowable Assumption is accurate within its Verification Period.</w:t>
      </w:r>
    </w:p>
    <w:p w14:paraId="20552238" w14:textId="77777777" w:rsidR="00BC7DDA" w:rsidRPr="00BD6C5F" w:rsidRDefault="009B03E9" w:rsidP="00C5057A">
      <w:pPr>
        <w:pStyle w:val="Numbered11"/>
      </w:pPr>
      <w:r w:rsidRPr="00BD6C5F">
        <w:t>During each Verification Period, the Authority shall provide the Supplier with reasonable assistance and access to information within its possession or reasonable control and which the Authority deems is relevant to the Allowable Assumption being verified.</w:t>
      </w:r>
    </w:p>
    <w:p w14:paraId="7D0E8719" w14:textId="6EA34662" w:rsidR="00BC7DDA" w:rsidRPr="00BD6C5F" w:rsidRDefault="009B03E9" w:rsidP="00C5057A">
      <w:pPr>
        <w:pStyle w:val="Numbered11"/>
      </w:pPr>
      <w:r w:rsidRPr="00BD6C5F">
        <w:lastRenderedPageBreak/>
        <w:t>Within 10 Working Days of the end of each Verification Period, the Supplier shall provide the Authority with a written report setting out the results of the Supplier</w:t>
      </w:r>
      <w:r w:rsidR="00A4555C" w:rsidRPr="00BD6C5F">
        <w:t>’</w:t>
      </w:r>
      <w:r w:rsidRPr="00BD6C5F">
        <w:t>s verification activity for the relevant Allowable Assumption, including whether the Allowable Assumption is accurate or whether the Implementation Plan and/or the Contract Inception Report require adjustment.</w:t>
      </w:r>
    </w:p>
    <w:p w14:paraId="0BFF6DDC" w14:textId="56477F23" w:rsidR="00BC7DDA" w:rsidRPr="00BD6C5F" w:rsidRDefault="009B03E9" w:rsidP="00A47A7E">
      <w:pPr>
        <w:pStyle w:val="Numbered11"/>
        <w:keepNext/>
      </w:pPr>
      <w:r w:rsidRPr="00BD6C5F">
        <w:t>Each Allowable Assumption shall be deemed accurate unless adjusting for the relevant Allowable Assumption has an impact:</w:t>
      </w:r>
    </w:p>
    <w:p w14:paraId="61263E07" w14:textId="3A4D93E6" w:rsidR="00BC7DDA" w:rsidRPr="00BD6C5F" w:rsidRDefault="009B03E9" w:rsidP="00E46A3D">
      <w:pPr>
        <w:pStyle w:val="Numbered111"/>
      </w:pPr>
      <w:r w:rsidRPr="00BD6C5F">
        <w:t xml:space="preserve">on the Financial Model greater than the associated trigger for invocation, as set out in column 9 of the table in </w:t>
      </w:r>
      <w:r w:rsidR="00C101F7">
        <w:t>Annex </w:t>
      </w:r>
      <w:r w:rsidR="00C101F7">
        <w:fldChar w:fldCharType="begin"/>
      </w:r>
      <w:r w:rsidR="00C101F7">
        <w:instrText xml:space="preserve"> REF Schedule_15_Part_E_Annex_5 \h </w:instrText>
      </w:r>
      <w:r w:rsidR="00C101F7">
        <w:fldChar w:fldCharType="separate"/>
      </w:r>
      <w:r w:rsidR="009749A0" w:rsidRPr="00BD6C5F">
        <w:t>5</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 or</w:t>
      </w:r>
    </w:p>
    <w:p w14:paraId="132679B9" w14:textId="71CC3F31" w:rsidR="00BC7DDA" w:rsidRPr="00BD6C5F" w:rsidRDefault="009B03E9" w:rsidP="00A47A7E">
      <w:pPr>
        <w:pStyle w:val="Numbered111"/>
        <w:keepNext/>
      </w:pPr>
      <w:r w:rsidRPr="00BD6C5F">
        <w:t xml:space="preserve">on the Implementation Plan which would require adjustment under the Change Control Procedure, as identified in column 3 of the table in Annex </w:t>
      </w:r>
      <w:r w:rsidR="00464636">
        <w:fldChar w:fldCharType="begin"/>
      </w:r>
      <w:r w:rsidR="00464636">
        <w:instrText xml:space="preserve"> REF Schedule_15_Part_E_Annex_5 \h </w:instrText>
      </w:r>
      <w:r w:rsidR="00464636">
        <w:fldChar w:fldCharType="separate"/>
      </w:r>
      <w:r w:rsidR="009749A0" w:rsidRPr="00BD6C5F">
        <w:t>5</w:t>
      </w:r>
      <w:r w:rsidR="00464636">
        <w:fldChar w:fldCharType="end"/>
      </w:r>
      <w:r w:rsidRPr="00BD6C5F">
        <w:t>,</w:t>
      </w:r>
    </w:p>
    <w:p w14:paraId="46186641" w14:textId="1ACBEDD6" w:rsidR="00BC7DDA" w:rsidRPr="00BD6C5F" w:rsidRDefault="009B03E9">
      <w:pPr>
        <w:pStyle w:val="BodyText"/>
        <w:spacing w:before="193"/>
        <w:ind w:left="821"/>
        <w:rPr>
          <w:rFonts w:asciiTheme="minorHAnsi" w:hAnsiTheme="minorHAnsi" w:cstheme="minorHAnsi"/>
        </w:rPr>
      </w:pPr>
      <w:r w:rsidRPr="00BD6C5F">
        <w:rPr>
          <w:rFonts w:asciiTheme="minorHAnsi" w:hAnsiTheme="minorHAnsi" w:cstheme="minorHAnsi"/>
        </w:rPr>
        <w:t xml:space="preserve">in which case Paragraph </w:t>
      </w:r>
      <w:r w:rsidR="00CA7D8A" w:rsidRPr="00BD6C5F">
        <w:rPr>
          <w:rFonts w:asciiTheme="minorHAnsi" w:hAnsiTheme="minorHAnsi" w:cstheme="minorHAnsi"/>
        </w:rPr>
        <w:fldChar w:fldCharType="begin"/>
      </w:r>
      <w:r w:rsidR="00CA7D8A" w:rsidRPr="00BD6C5F">
        <w:rPr>
          <w:rFonts w:asciiTheme="minorHAnsi" w:hAnsiTheme="minorHAnsi" w:cstheme="minorHAnsi"/>
        </w:rPr>
        <w:instrText xml:space="preserve"> REF _Ref98412663 \n \h </w:instrText>
      </w:r>
      <w:r w:rsidR="00AD7DD0" w:rsidRPr="00BD6C5F">
        <w:rPr>
          <w:rFonts w:asciiTheme="minorHAnsi" w:hAnsiTheme="minorHAnsi" w:cstheme="minorHAnsi"/>
        </w:rPr>
        <w:instrText xml:space="preserve"> \* MERGEFORMAT </w:instrText>
      </w:r>
      <w:r w:rsidR="00CA7D8A" w:rsidRPr="00BD6C5F">
        <w:rPr>
          <w:rFonts w:asciiTheme="minorHAnsi" w:hAnsiTheme="minorHAnsi" w:cstheme="minorHAnsi"/>
        </w:rPr>
      </w:r>
      <w:r w:rsidR="00CA7D8A" w:rsidRPr="00BD6C5F">
        <w:rPr>
          <w:rFonts w:asciiTheme="minorHAnsi" w:hAnsiTheme="minorHAnsi" w:cstheme="minorHAnsi"/>
        </w:rPr>
        <w:fldChar w:fldCharType="separate"/>
      </w:r>
      <w:r w:rsidR="009749A0">
        <w:rPr>
          <w:rFonts w:asciiTheme="minorHAnsi" w:hAnsiTheme="minorHAnsi" w:cstheme="minorHAnsi"/>
        </w:rPr>
        <w:t>6.5</w:t>
      </w:r>
      <w:r w:rsidR="00CA7D8A" w:rsidRPr="00BD6C5F">
        <w:rPr>
          <w:rFonts w:asciiTheme="minorHAnsi" w:hAnsiTheme="minorHAnsi" w:cstheme="minorHAnsi"/>
        </w:rPr>
        <w:fldChar w:fldCharType="end"/>
      </w:r>
      <w:r w:rsidRPr="00BD6C5F">
        <w:rPr>
          <w:rFonts w:asciiTheme="minorHAnsi" w:hAnsiTheme="minorHAnsi" w:cstheme="minorHAnsi"/>
        </w:rPr>
        <w:t xml:space="preserve"> shall apply.</w:t>
      </w:r>
    </w:p>
    <w:p w14:paraId="3117A05C" w14:textId="77777777" w:rsidR="00BC7DDA" w:rsidRPr="00BD6C5F" w:rsidRDefault="009B03E9" w:rsidP="00A47A7E">
      <w:pPr>
        <w:pStyle w:val="Numbered11"/>
        <w:keepNext/>
      </w:pPr>
      <w:bookmarkStart w:id="628" w:name="_bookmark217"/>
      <w:bookmarkStart w:id="629" w:name="_Ref98412663"/>
      <w:bookmarkEnd w:id="628"/>
      <w:r w:rsidRPr="00BD6C5F">
        <w:t>Where the Parties agree that an Allowable Assumption is not accurate and the Financial Model and/or Implementation Plan require adjusting:</w:t>
      </w:r>
      <w:bookmarkEnd w:id="629"/>
    </w:p>
    <w:p w14:paraId="726FAD9B" w14:textId="77777777" w:rsidR="00BC7DDA" w:rsidRPr="00BD6C5F" w:rsidRDefault="009B03E9" w:rsidP="00E46A3D">
      <w:pPr>
        <w:pStyle w:val="Numbered111"/>
      </w:pPr>
      <w:r w:rsidRPr="00BD6C5F">
        <w:t>the Supplier shall take all reasonable steps to mitigate the impact of the Allowable Assumption on the Financial Model and/or the Implementation Plan;</w:t>
      </w:r>
    </w:p>
    <w:p w14:paraId="4163F863" w14:textId="0F0549F8" w:rsidR="00BC7DDA" w:rsidRPr="00BD6C5F" w:rsidRDefault="009B03E9" w:rsidP="00E46A3D">
      <w:pPr>
        <w:pStyle w:val="Numbered111"/>
      </w:pPr>
      <w:bookmarkStart w:id="630" w:name="_bookmark218"/>
      <w:bookmarkStart w:id="631" w:name="_Ref98412686"/>
      <w:bookmarkEnd w:id="630"/>
      <w:r w:rsidRPr="00BD6C5F">
        <w:t xml:space="preserve">the Supplier may (subject to Paragraph </w:t>
      </w:r>
      <w:r w:rsidR="00CA7D8A" w:rsidRPr="00BD6C5F">
        <w:fldChar w:fldCharType="begin"/>
      </w:r>
      <w:r w:rsidR="00CA7D8A" w:rsidRPr="00BD6C5F">
        <w:instrText xml:space="preserve"> REF _Ref98412672 \w \h </w:instrText>
      </w:r>
      <w:r w:rsidR="00AD7DD0" w:rsidRPr="00BD6C5F">
        <w:instrText xml:space="preserve"> \* MERGEFORMAT </w:instrText>
      </w:r>
      <w:r w:rsidR="00CA7D8A" w:rsidRPr="00BD6C5F">
        <w:fldChar w:fldCharType="separate"/>
      </w:r>
      <w:r w:rsidR="009749A0">
        <w:t>6.5.3</w:t>
      </w:r>
      <w:r w:rsidR="00CA7D8A" w:rsidRPr="00BD6C5F">
        <w:fldChar w:fldCharType="end"/>
      </w:r>
      <w:r w:rsidRPr="00BD6C5F">
        <w:t>) propose a Change to take account of the impact of the adjustment of the Allowable Assumption and such Change Request shall be considered in accordance with the Change Control Procedure; and</w:t>
      </w:r>
      <w:bookmarkEnd w:id="631"/>
    </w:p>
    <w:p w14:paraId="333CC927" w14:textId="70479D83" w:rsidR="00BC7DDA" w:rsidRPr="00BD6C5F" w:rsidRDefault="009B03E9" w:rsidP="00E46A3D">
      <w:pPr>
        <w:pStyle w:val="Numbered111"/>
      </w:pPr>
      <w:bookmarkStart w:id="632" w:name="_bookmark219"/>
      <w:bookmarkStart w:id="633" w:name="_Ref98412672"/>
      <w:bookmarkEnd w:id="632"/>
      <w:r w:rsidRPr="00BD6C5F">
        <w:t xml:space="preserve">where the Supplier proposes a Change to the Charges under Paragraph </w:t>
      </w:r>
      <w:r w:rsidR="00CA7D8A" w:rsidRPr="00BD6C5F">
        <w:fldChar w:fldCharType="begin"/>
      </w:r>
      <w:r w:rsidR="00CA7D8A" w:rsidRPr="00BD6C5F">
        <w:instrText xml:space="preserve"> REF _Ref98412686 \w \h </w:instrText>
      </w:r>
      <w:r w:rsidR="00AD7DD0" w:rsidRPr="00BD6C5F">
        <w:instrText xml:space="preserve"> \* MERGEFORMAT </w:instrText>
      </w:r>
      <w:r w:rsidR="00CA7D8A" w:rsidRPr="00BD6C5F">
        <w:fldChar w:fldCharType="separate"/>
      </w:r>
      <w:r w:rsidR="009749A0">
        <w:t>6.5.2</w:t>
      </w:r>
      <w:r w:rsidR="00CA7D8A" w:rsidRPr="00BD6C5F">
        <w:fldChar w:fldCharType="end"/>
      </w:r>
      <w:r w:rsidRPr="00BD6C5F">
        <w:t xml:space="preserve">, the Change Request shall reflect the requirements of the table in </w:t>
      </w:r>
      <w:r w:rsidR="00C101F7">
        <w:t>Annex </w:t>
      </w:r>
      <w:r w:rsidR="00C101F7">
        <w:fldChar w:fldCharType="begin"/>
      </w:r>
      <w:r w:rsidR="00C101F7">
        <w:instrText xml:space="preserve"> REF Schedule_15_Part_E_Annex_5 \h </w:instrText>
      </w:r>
      <w:r w:rsidR="00C101F7">
        <w:fldChar w:fldCharType="separate"/>
      </w:r>
      <w:r w:rsidR="009749A0" w:rsidRPr="00BD6C5F">
        <w:t>5</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 xml:space="preserve">, including the requirement that any proposed adjustment to the Charges shall not exceed the maximum impact on the relevant Charges as specified in column 7 of the table in </w:t>
      </w:r>
      <w:r w:rsidR="00C101F7">
        <w:t>Annex </w:t>
      </w:r>
      <w:r w:rsidR="00C101F7">
        <w:fldChar w:fldCharType="begin"/>
      </w:r>
      <w:r w:rsidR="00C101F7">
        <w:instrText xml:space="preserve"> REF Schedule_15_Part_E_Annex_5 \h </w:instrText>
      </w:r>
      <w:r w:rsidR="00C101F7">
        <w:fldChar w:fldCharType="separate"/>
      </w:r>
      <w:r w:rsidR="009749A0" w:rsidRPr="00BD6C5F">
        <w:t>5</w:t>
      </w:r>
      <w:r w:rsidR="00C101F7">
        <w:fldChar w:fldCharType="end"/>
      </w:r>
      <w:r w:rsidR="00C101F7">
        <w:t xml:space="preserve"> of Part </w:t>
      </w:r>
      <w:r w:rsidR="00C101F7">
        <w:fldChar w:fldCharType="begin"/>
      </w:r>
      <w:r w:rsidR="00C101F7">
        <w:instrText xml:space="preserve"> REF Schedule_15_Part_E \h </w:instrText>
      </w:r>
      <w:r w:rsidR="00C101F7">
        <w:fldChar w:fldCharType="separate"/>
      </w:r>
      <w:r w:rsidR="009749A0" w:rsidRPr="00BD6C5F">
        <w:t>E</w:t>
      </w:r>
      <w:r w:rsidR="00C101F7">
        <w:fldChar w:fldCharType="end"/>
      </w:r>
      <w:r w:rsidRPr="00BD6C5F">
        <w:t>.</w:t>
      </w:r>
      <w:bookmarkEnd w:id="633"/>
    </w:p>
    <w:p w14:paraId="3DFDB92E" w14:textId="2209F217" w:rsidR="00BC7DDA" w:rsidRPr="00BD6C5F" w:rsidRDefault="00E46A3D" w:rsidP="00C5057A">
      <w:pPr>
        <w:pStyle w:val="Numbered1"/>
      </w:pPr>
      <w:r w:rsidRPr="00BD6C5F">
        <w:t>Risk Register</w:t>
      </w:r>
    </w:p>
    <w:p w14:paraId="49B5F5A6" w14:textId="1317ED4F" w:rsidR="00BC7DDA" w:rsidRPr="00BD6C5F" w:rsidRDefault="009B03E9" w:rsidP="00C5057A">
      <w:pPr>
        <w:pStyle w:val="Numbered11"/>
      </w:pPr>
      <w:r w:rsidRPr="00BD6C5F">
        <w:t xml:space="preserve">The Parties shall review the Risk Register set out in </w:t>
      </w:r>
      <w:r w:rsidR="00A93D47">
        <w:t>Annex </w:t>
      </w:r>
      <w:r w:rsidR="00A93D47">
        <w:fldChar w:fldCharType="begin"/>
      </w:r>
      <w:r w:rsidR="00A93D47">
        <w:instrText xml:space="preserve"> REF Schedule_15_Part_E_Annex_4 \h </w:instrText>
      </w:r>
      <w:r w:rsidR="00A93D47">
        <w:fldChar w:fldCharType="separate"/>
      </w:r>
      <w:r w:rsidR="009749A0" w:rsidRPr="00BD6C5F">
        <w:t>4</w:t>
      </w:r>
      <w:r w:rsidR="00A93D47">
        <w:fldChar w:fldCharType="end"/>
      </w:r>
      <w:r w:rsidR="00A93D47">
        <w:t xml:space="preserve"> of Part </w:t>
      </w:r>
      <w:r w:rsidR="00A93D47">
        <w:fldChar w:fldCharType="begin"/>
      </w:r>
      <w:r w:rsidR="00A93D47">
        <w:instrText xml:space="preserve"> REF Schedule_15_Part_E \h </w:instrText>
      </w:r>
      <w:r w:rsidR="00A93D47">
        <w:fldChar w:fldCharType="separate"/>
      </w:r>
      <w:r w:rsidR="009749A0" w:rsidRPr="00BD6C5F">
        <w:t>E</w:t>
      </w:r>
      <w:r w:rsidR="00A93D47">
        <w:fldChar w:fldCharType="end"/>
      </w:r>
      <w:r w:rsidRPr="00BD6C5F">
        <w:t xml:space="preserve"> from time to time and as otherwise required for the purposes of </w:t>
      </w:r>
      <w:r w:rsidR="00346653" w:rsidRPr="00BD6C5F">
        <w:t>Schedule </w:t>
      </w:r>
      <w:r w:rsidR="00346653">
        <w:fldChar w:fldCharType="begin"/>
      </w:r>
      <w:r w:rsidR="00346653">
        <w:instrText xml:space="preserve"> REF Schedule_21 \h </w:instrText>
      </w:r>
      <w:r w:rsidR="00346653">
        <w:fldChar w:fldCharType="separate"/>
      </w:r>
      <w:r w:rsidR="009749A0">
        <w:t>21</w:t>
      </w:r>
      <w:r w:rsidR="00346653">
        <w:fldChar w:fldCharType="end"/>
      </w:r>
      <w:r w:rsidRPr="00BD6C5F">
        <w:t xml:space="preserve"> (</w:t>
      </w:r>
      <w:r w:rsidRPr="00BD6C5F">
        <w:rPr>
          <w:i/>
        </w:rPr>
        <w:t>Governance</w:t>
      </w:r>
      <w:r w:rsidRPr="00BD6C5F">
        <w:t>).</w:t>
      </w:r>
    </w:p>
    <w:p w14:paraId="11667486" w14:textId="21DDC012" w:rsidR="00BC7DDA" w:rsidRPr="00BD6C5F" w:rsidRDefault="00183F6E" w:rsidP="006D411A">
      <w:pPr>
        <w:pStyle w:val="Heading2"/>
        <w:pageBreakBefore/>
      </w:pPr>
      <w:bookmarkStart w:id="634" w:name="_bookmark221"/>
      <w:bookmarkStart w:id="635" w:name="_bookmark220"/>
      <w:bookmarkStart w:id="636" w:name="_Toc98332739"/>
      <w:bookmarkStart w:id="637" w:name="_Ref98411801"/>
      <w:bookmarkStart w:id="638" w:name="_Ref98412947"/>
      <w:bookmarkStart w:id="639" w:name="_Ref98453019"/>
      <w:bookmarkStart w:id="640" w:name="_Toc98852916"/>
      <w:bookmarkStart w:id="641" w:name="_Toc141721008"/>
      <w:bookmarkEnd w:id="634"/>
      <w:bookmarkEnd w:id="635"/>
      <w:r w:rsidRPr="00BD6C5F">
        <w:lastRenderedPageBreak/>
        <w:t xml:space="preserve">Part </w:t>
      </w:r>
      <w:bookmarkStart w:id="642" w:name="Schedule_15_Part_D"/>
      <w:r w:rsidRPr="00BD6C5F">
        <w:t>D</w:t>
      </w:r>
      <w:bookmarkEnd w:id="642"/>
      <w:r w:rsidRPr="00BD6C5F">
        <w:t>: Excessive Supplier Profit Margin</w:t>
      </w:r>
      <w:bookmarkEnd w:id="636"/>
      <w:bookmarkEnd w:id="637"/>
      <w:bookmarkEnd w:id="638"/>
      <w:bookmarkEnd w:id="639"/>
      <w:bookmarkEnd w:id="640"/>
      <w:bookmarkEnd w:id="641"/>
    </w:p>
    <w:p w14:paraId="2290EB09" w14:textId="0E5EBAD3" w:rsidR="00BC7DDA" w:rsidRPr="00BD6C5F" w:rsidRDefault="00183F6E" w:rsidP="00B71FC0">
      <w:pPr>
        <w:pStyle w:val="Numbered1"/>
        <w:numPr>
          <w:ilvl w:val="0"/>
          <w:numId w:val="97"/>
        </w:numPr>
      </w:pPr>
      <w:r w:rsidRPr="00BD6C5F">
        <w:t>Limit on Supplier Profit Margin</w:t>
      </w:r>
    </w:p>
    <w:p w14:paraId="2C956E25" w14:textId="77777777" w:rsidR="00BC7DDA" w:rsidRPr="00BD6C5F" w:rsidRDefault="009B03E9" w:rsidP="00C5057A">
      <w:pPr>
        <w:pStyle w:val="Numbered11"/>
      </w:pPr>
      <w:r w:rsidRPr="00BD6C5F">
        <w:t>The Supplier acknowledges that the Achieved Profit Margin applicable over the Term shall not exceed the Maximum Permitted Profit Margin.</w:t>
      </w:r>
    </w:p>
    <w:p w14:paraId="7BAF4BEB" w14:textId="7BE27A91" w:rsidR="00BC7DDA" w:rsidRPr="00BD6C5F" w:rsidRDefault="009B03E9" w:rsidP="00C5057A">
      <w:pPr>
        <w:pStyle w:val="Numbered11"/>
      </w:pPr>
      <w:r w:rsidRPr="00BD6C5F">
        <w:t xml:space="preserve">The Supplier shall include in each Annual Contract Report the Achieved Profit Margin as at the end of the Contract Year to which the Annual Contract Report is made up and the provisions of Paragraph </w:t>
      </w:r>
      <w:r w:rsidR="00812321" w:rsidRPr="00BD6C5F">
        <w:fldChar w:fldCharType="begin"/>
      </w:r>
      <w:r w:rsidR="00812321" w:rsidRPr="00BD6C5F">
        <w:instrText xml:space="preserve"> REF _Ref98412823 \n \h </w:instrText>
      </w:r>
      <w:r w:rsidR="00AD7DD0" w:rsidRPr="00BD6C5F">
        <w:instrText xml:space="preserve"> \* MERGEFORMAT </w:instrText>
      </w:r>
      <w:r w:rsidR="00812321" w:rsidRPr="00BD6C5F">
        <w:fldChar w:fldCharType="separate"/>
      </w:r>
      <w:r w:rsidR="009749A0">
        <w:t>2</w:t>
      </w:r>
      <w:r w:rsidR="00812321" w:rsidRPr="00BD6C5F">
        <w:fldChar w:fldCharType="end"/>
      </w:r>
      <w:r w:rsidRPr="00BD6C5F">
        <w:t xml:space="preserve"> of </w:t>
      </w:r>
      <w:r w:rsidR="00A93D47">
        <w:t>Part </w:t>
      </w:r>
      <w:r w:rsidR="00A93D47">
        <w:fldChar w:fldCharType="begin"/>
      </w:r>
      <w:r w:rsidR="00A93D47">
        <w:instrText xml:space="preserve"> REF Schedule_19_Part_B \h </w:instrText>
      </w:r>
      <w:r w:rsidR="00A93D47">
        <w:fldChar w:fldCharType="separate"/>
      </w:r>
      <w:r w:rsidR="009749A0" w:rsidRPr="00BD6C5F">
        <w:t>B</w:t>
      </w:r>
      <w:r w:rsidR="00A93D47">
        <w:fldChar w:fldCharType="end"/>
      </w:r>
      <w:r w:rsidRPr="00BD6C5F">
        <w:t xml:space="preserve"> of </w:t>
      </w:r>
      <w:r w:rsidR="00346653" w:rsidRPr="00BD6C5F">
        <w:t>Schedule </w:t>
      </w:r>
      <w:r w:rsidR="00346653">
        <w:fldChar w:fldCharType="begin"/>
      </w:r>
      <w:r w:rsidR="00346653">
        <w:instrText xml:space="preserve"> REF Schedule_19 \h </w:instrText>
      </w:r>
      <w:r w:rsidR="00346653">
        <w:fldChar w:fldCharType="separate"/>
      </w:r>
      <w:r w:rsidR="009749A0">
        <w:t>19</w:t>
      </w:r>
      <w:r w:rsidR="00346653">
        <w:fldChar w:fldCharType="end"/>
      </w:r>
      <w:r w:rsidRPr="00BD6C5F">
        <w:t xml:space="preserve"> (</w:t>
      </w:r>
      <w:r w:rsidRPr="00BD6C5F">
        <w:rPr>
          <w:i/>
        </w:rPr>
        <w:t>Financial Reports and Audit Rights</w:t>
      </w:r>
      <w:r w:rsidRPr="00BD6C5F">
        <w:t>) shall apply to the approval of the Annual Contract Report.</w:t>
      </w:r>
    </w:p>
    <w:p w14:paraId="0F006558" w14:textId="656195F2" w:rsidR="00BC7DDA" w:rsidRPr="00BD6C5F" w:rsidRDefault="00183F6E" w:rsidP="00C5057A">
      <w:pPr>
        <w:pStyle w:val="Numbered1"/>
      </w:pPr>
      <w:r w:rsidRPr="00BD6C5F">
        <w:t>Adjustment to the Charges in the Event of Excess Supplier Profit</w:t>
      </w:r>
    </w:p>
    <w:p w14:paraId="1D3C94E6" w14:textId="4957CEA3" w:rsidR="00BC7DDA" w:rsidRPr="00BD6C5F" w:rsidRDefault="009B03E9" w:rsidP="00C5057A">
      <w:pPr>
        <w:pStyle w:val="Numbered11"/>
      </w:pPr>
      <w:bookmarkStart w:id="643" w:name="_bookmark222"/>
      <w:bookmarkStart w:id="644" w:name="_Ref98412961"/>
      <w:bookmarkEnd w:id="643"/>
      <w:r w:rsidRPr="00BD6C5F">
        <w:t xml:space="preserve">If an Annual Contract Report demonstrates (or it is otherwise determined pursuant to </w:t>
      </w:r>
      <w:r w:rsidR="00812321" w:rsidRPr="00BD6C5F">
        <w:t xml:space="preserve">Paragraph </w:t>
      </w:r>
      <w:r w:rsidR="00812321" w:rsidRPr="00BD6C5F">
        <w:fldChar w:fldCharType="begin"/>
      </w:r>
      <w:r w:rsidR="00812321" w:rsidRPr="00BD6C5F">
        <w:instrText xml:space="preserve"> REF _Ref98412823 \n \h </w:instrText>
      </w:r>
      <w:r w:rsidR="00AD7DD0" w:rsidRPr="00BD6C5F">
        <w:instrText xml:space="preserve"> \* MERGEFORMAT </w:instrText>
      </w:r>
      <w:r w:rsidR="00812321" w:rsidRPr="00BD6C5F">
        <w:fldChar w:fldCharType="separate"/>
      </w:r>
      <w:r w:rsidR="009749A0">
        <w:t>2</w:t>
      </w:r>
      <w:r w:rsidR="00812321" w:rsidRPr="00BD6C5F">
        <w:fldChar w:fldCharType="end"/>
      </w:r>
      <w:r w:rsidR="00812321" w:rsidRPr="00BD6C5F">
        <w:t xml:space="preserve"> of </w:t>
      </w:r>
      <w:r w:rsidR="00A93D47">
        <w:t>Part </w:t>
      </w:r>
      <w:r w:rsidR="00A93D47">
        <w:fldChar w:fldCharType="begin"/>
      </w:r>
      <w:r w:rsidR="00A93D47">
        <w:instrText xml:space="preserve"> REF Schedule_19_Part_B \h </w:instrText>
      </w:r>
      <w:r w:rsidR="00A93D47">
        <w:fldChar w:fldCharType="separate"/>
      </w:r>
      <w:r w:rsidR="009749A0" w:rsidRPr="00BD6C5F">
        <w:t>B</w:t>
      </w:r>
      <w:r w:rsidR="00A93D47">
        <w:fldChar w:fldCharType="end"/>
      </w:r>
      <w:r w:rsidRPr="00BD6C5F">
        <w:t xml:space="preserve"> of </w:t>
      </w:r>
      <w:r w:rsidR="00346653" w:rsidRPr="00BD6C5F">
        <w:t>Schedule </w:t>
      </w:r>
      <w:r w:rsidR="00346653">
        <w:fldChar w:fldCharType="begin"/>
      </w:r>
      <w:r w:rsidR="00346653">
        <w:instrText xml:space="preserve"> REF Schedule_19 \h </w:instrText>
      </w:r>
      <w:r w:rsidR="00346653">
        <w:fldChar w:fldCharType="separate"/>
      </w:r>
      <w:r w:rsidR="009749A0">
        <w:t>19</w:t>
      </w:r>
      <w:r w:rsidR="00346653">
        <w:fldChar w:fldCharType="end"/>
      </w:r>
      <w:r w:rsidRPr="00BD6C5F">
        <w:t xml:space="preserve"> (</w:t>
      </w:r>
      <w:r w:rsidRPr="00BD6C5F">
        <w:rPr>
          <w:i/>
        </w:rPr>
        <w:t>Financial Reports and Audit Rights</w:t>
      </w:r>
      <w:r w:rsidRPr="00BD6C5F">
        <w:t>)) that the Achieved Profit Margin as at the end of the Contract Year to which the Annual Contract Report is made up exceeds the Maximum Permitted Profit Margin:</w:t>
      </w:r>
      <w:bookmarkEnd w:id="644"/>
    </w:p>
    <w:p w14:paraId="3828EA50" w14:textId="77777777" w:rsidR="00BC7DDA" w:rsidRPr="00BD6C5F" w:rsidRDefault="009B03E9" w:rsidP="00183F6E">
      <w:pPr>
        <w:pStyle w:val="Numbered111"/>
      </w:pPr>
      <w:bookmarkStart w:id="645" w:name="_bookmark223"/>
      <w:bookmarkStart w:id="646" w:name="_Ref98452983"/>
      <w:bookmarkEnd w:id="645"/>
      <w:r w:rsidRPr="00BD6C5F">
        <w:t>the Supplier shall, within 5 Working Days of delivery to the Authority of the Annual Contract Report, propose such adjustments to the Charges as will ensure that the Achieved Profit Margin both over the Contract Year to which the next Annual Contract Report will relate and over the Term will not exceed the Maximum Permitted Profit Margin;</w:t>
      </w:r>
      <w:bookmarkEnd w:id="646"/>
    </w:p>
    <w:p w14:paraId="14B1BFBB" w14:textId="77777777" w:rsidR="00BC7DDA" w:rsidRPr="00BD6C5F" w:rsidRDefault="009B03E9" w:rsidP="00183F6E">
      <w:pPr>
        <w:pStyle w:val="Numbered111"/>
      </w:pPr>
      <w:r w:rsidRPr="00BD6C5F">
        <w:t>the Authority (acting reasonably) may agree or reject the proposed adjustments;</w:t>
      </w:r>
    </w:p>
    <w:p w14:paraId="0215130C" w14:textId="77777777" w:rsidR="00BC7DDA" w:rsidRPr="00BD6C5F" w:rsidRDefault="009B03E9" w:rsidP="00183F6E">
      <w:pPr>
        <w:pStyle w:val="Numbered111"/>
      </w:pPr>
      <w:r w:rsidRPr="00BD6C5F">
        <w:t>if the Authority rejects the proposed adjustments it shall give reasons and the Supplier shall propose revised adjustments within 10 Working Days of receiving those reasons; and</w:t>
      </w:r>
    </w:p>
    <w:p w14:paraId="7D8869FB" w14:textId="1CABDD15" w:rsidR="00BC7DDA" w:rsidRPr="00BD6C5F" w:rsidRDefault="009B03E9" w:rsidP="00183F6E">
      <w:pPr>
        <w:pStyle w:val="Numbered111"/>
      </w:pPr>
      <w:r w:rsidRPr="00BD6C5F">
        <w:t xml:space="preserve">if the Parties cannot agree such revised adjustments and the Authority terminates this </w:t>
      </w:r>
      <w:r w:rsidR="00BB62D9" w:rsidRPr="00BD6C5F">
        <w:t xml:space="preserve">Contract </w:t>
      </w:r>
      <w:r w:rsidRPr="00BD6C5F">
        <w:t xml:space="preserve">by issuing a Termination Notice to the Supplier pursuant to </w:t>
      </w:r>
      <w:r w:rsidR="005E736B" w:rsidRPr="00BD6C5F">
        <w:t>Clause </w:t>
      </w:r>
      <w:r w:rsidRPr="00BD6C5F">
        <w:t>3</w:t>
      </w:r>
      <w:r w:rsidR="00925189" w:rsidRPr="00BD6C5F">
        <w:t>1</w:t>
      </w:r>
      <w:r w:rsidRPr="00BD6C5F">
        <w:t>.1</w:t>
      </w:r>
      <w:r w:rsidR="006509FE">
        <w:t xml:space="preserve">.1 </w:t>
      </w:r>
      <w:r w:rsidRPr="00BD6C5F">
        <w:t>(</w:t>
      </w:r>
      <w:r w:rsidRPr="00BD6C5F">
        <w:rPr>
          <w:i/>
        </w:rPr>
        <w:t>Termination by the Authority</w:t>
      </w:r>
      <w:r w:rsidRPr="00BD6C5F">
        <w:t>), then for the purpose of calculating any Compensation Payment due to the Supplier, the Termination Notice shall be deemed to have been served as at the date of receipt by the Authority of the relevant Annual Contract Report.</w:t>
      </w:r>
    </w:p>
    <w:p w14:paraId="7556ABFB" w14:textId="19222B2B" w:rsidR="00BC7DDA" w:rsidRPr="00BD6C5F" w:rsidRDefault="009B03E9" w:rsidP="00C5057A">
      <w:pPr>
        <w:pStyle w:val="Numbered11"/>
      </w:pPr>
      <w:bookmarkStart w:id="647" w:name="_bookmark224"/>
      <w:bookmarkStart w:id="648" w:name="_Ref98411793"/>
      <w:bookmarkEnd w:id="647"/>
      <w:r w:rsidRPr="00BD6C5F">
        <w:t xml:space="preserve">Pending agreement of a proposed adjustment to the Charges pursuant to this </w:t>
      </w:r>
      <w:r w:rsidR="00C101F7">
        <w:t>Part</w:t>
      </w:r>
      <w:r w:rsidRPr="00BD6C5F">
        <w:t xml:space="preserve">, the Charges then in force shall continue to apply. Once the adjustments to the Charges are agreed in accordance with Paragraph </w:t>
      </w:r>
      <w:r w:rsidR="00812321" w:rsidRPr="00BD6C5F">
        <w:fldChar w:fldCharType="begin"/>
      </w:r>
      <w:r w:rsidR="00812321" w:rsidRPr="00BD6C5F">
        <w:instrText xml:space="preserve"> REF _Ref98412961 \n \h </w:instrText>
      </w:r>
      <w:r w:rsidR="00AD7DD0" w:rsidRPr="00BD6C5F">
        <w:instrText xml:space="preserve"> \* MERGEFORMAT </w:instrText>
      </w:r>
      <w:r w:rsidR="00812321" w:rsidRPr="00BD6C5F">
        <w:fldChar w:fldCharType="separate"/>
      </w:r>
      <w:r w:rsidR="009749A0">
        <w:t>2.1</w:t>
      </w:r>
      <w:r w:rsidR="00812321" w:rsidRPr="00BD6C5F">
        <w:fldChar w:fldCharType="end"/>
      </w:r>
      <w:r w:rsidRPr="00BD6C5F">
        <w:t>, the Parties shall document the adjustment in a Change Authorisation Note and the adjusted Charges shall apply with effect from the first day of the Service Period that immediately follows the Service Period in which the Change Authorisation Note is executed or such other date as is specified in the Change Authorisation Note.</w:t>
      </w:r>
      <w:bookmarkEnd w:id="648"/>
    </w:p>
    <w:p w14:paraId="328AEE8A" w14:textId="282DDE1D" w:rsidR="00BC7DDA" w:rsidRPr="00BD6C5F" w:rsidRDefault="00183F6E" w:rsidP="006D411A">
      <w:pPr>
        <w:pStyle w:val="Heading2"/>
        <w:pageBreakBefore/>
      </w:pPr>
      <w:bookmarkStart w:id="649" w:name="_bookmark225"/>
      <w:bookmarkStart w:id="650" w:name="_Ref98326041"/>
      <w:bookmarkStart w:id="651" w:name="_Ref98326049"/>
      <w:bookmarkStart w:id="652" w:name="_Ref98326137"/>
      <w:bookmarkStart w:id="653" w:name="_Toc98332740"/>
      <w:bookmarkStart w:id="654" w:name="_Toc98852917"/>
      <w:bookmarkStart w:id="655" w:name="_Toc141721009"/>
      <w:bookmarkEnd w:id="649"/>
      <w:r w:rsidRPr="00BD6C5F">
        <w:lastRenderedPageBreak/>
        <w:t xml:space="preserve">Part </w:t>
      </w:r>
      <w:bookmarkStart w:id="656" w:name="Schedule_15_Part_E"/>
      <w:r w:rsidRPr="00BD6C5F">
        <w:t>E</w:t>
      </w:r>
      <w:bookmarkEnd w:id="656"/>
      <w:r w:rsidRPr="00BD6C5F">
        <w:t>: Invoicing and Payment Terms</w:t>
      </w:r>
      <w:bookmarkEnd w:id="650"/>
      <w:bookmarkEnd w:id="651"/>
      <w:bookmarkEnd w:id="652"/>
      <w:bookmarkEnd w:id="653"/>
      <w:bookmarkEnd w:id="654"/>
      <w:bookmarkEnd w:id="655"/>
    </w:p>
    <w:p w14:paraId="16EDF91B" w14:textId="045FDE36" w:rsidR="00BC7DDA" w:rsidRPr="00BD6C5F" w:rsidRDefault="00183F6E" w:rsidP="00B71FC0">
      <w:pPr>
        <w:pStyle w:val="Numbered1"/>
        <w:numPr>
          <w:ilvl w:val="0"/>
          <w:numId w:val="98"/>
        </w:numPr>
      </w:pPr>
      <w:r w:rsidRPr="00BD6C5F">
        <w:t>Supplier Invoices</w:t>
      </w:r>
    </w:p>
    <w:p w14:paraId="427A3389" w14:textId="77777777" w:rsidR="00BC7DDA" w:rsidRPr="00BD6C5F" w:rsidRDefault="009B03E9" w:rsidP="00C5057A">
      <w:pPr>
        <w:pStyle w:val="Numbered11"/>
      </w:pPr>
      <w:bookmarkStart w:id="657" w:name="_bookmark226"/>
      <w:bookmarkStart w:id="658" w:name="_Ref141215764"/>
      <w:bookmarkEnd w:id="657"/>
      <w:r w:rsidRPr="00BD6C5F">
        <w:t>The Authority shall accept for processing any electronic invoice that complies with the European Standard, provided that it is valid and undisputed.</w:t>
      </w:r>
      <w:bookmarkEnd w:id="658"/>
    </w:p>
    <w:p w14:paraId="6517E77C" w14:textId="77777777" w:rsidR="00BC7DDA" w:rsidRPr="00BD6C5F" w:rsidRDefault="009B03E9" w:rsidP="00A47A7E">
      <w:pPr>
        <w:pStyle w:val="Numbered11"/>
        <w:keepNext/>
      </w:pPr>
      <w:r w:rsidRPr="00BD6C5F">
        <w:t>If the Supplier proposes to submit for payment an invoice that does not comply with the European standard the Supplier shall:</w:t>
      </w:r>
    </w:p>
    <w:p w14:paraId="61185C48" w14:textId="3214652B" w:rsidR="00BC7DDA" w:rsidRPr="00BD6C5F" w:rsidRDefault="009B03E9" w:rsidP="00183F6E">
      <w:pPr>
        <w:pStyle w:val="Numbered111"/>
      </w:pPr>
      <w:r w:rsidRPr="00BD6C5F">
        <w:t>comply with the requirements of the Authority</w:t>
      </w:r>
      <w:r w:rsidR="00A4555C" w:rsidRPr="00BD6C5F">
        <w:t>’</w:t>
      </w:r>
      <w:r w:rsidRPr="00BD6C5F">
        <w:t>s e-invoicing system;</w:t>
      </w:r>
    </w:p>
    <w:p w14:paraId="7E9926FF" w14:textId="1F069192" w:rsidR="00BC7DDA" w:rsidRPr="00BD6C5F" w:rsidRDefault="009B03E9" w:rsidP="00183F6E">
      <w:pPr>
        <w:pStyle w:val="Numbered111"/>
      </w:pPr>
      <w:r w:rsidRPr="00BD6C5F">
        <w:t xml:space="preserve">prepare and provide to the Authority for approval of the format a template invoice within 10 Working Days of the Effective Date which shall include, as a minimum the details set out in Paragraph </w:t>
      </w:r>
      <w:r w:rsidR="00812321" w:rsidRPr="00BD6C5F">
        <w:fldChar w:fldCharType="begin"/>
      </w:r>
      <w:r w:rsidR="00812321" w:rsidRPr="00BD6C5F">
        <w:instrText xml:space="preserve"> REF _Ref98412999 \n \h </w:instrText>
      </w:r>
      <w:r w:rsidR="00AD7DD0" w:rsidRPr="00BD6C5F">
        <w:instrText xml:space="preserve"> \* MERGEFORMAT </w:instrText>
      </w:r>
      <w:r w:rsidR="00812321" w:rsidRPr="00BD6C5F">
        <w:fldChar w:fldCharType="separate"/>
      </w:r>
      <w:r w:rsidR="009749A0">
        <w:t>1.3</w:t>
      </w:r>
      <w:r w:rsidR="00812321" w:rsidRPr="00BD6C5F">
        <w:fldChar w:fldCharType="end"/>
      </w:r>
      <w:r w:rsidRPr="00BD6C5F">
        <w:t xml:space="preserve"> together with such other information as the Authority may reasonably require to assess whether the Charges that will be detailed therein are properly payable; and</w:t>
      </w:r>
    </w:p>
    <w:p w14:paraId="5479F39B" w14:textId="77777777" w:rsidR="00BC7DDA" w:rsidRPr="00BD6C5F" w:rsidRDefault="009B03E9" w:rsidP="00183F6E">
      <w:pPr>
        <w:pStyle w:val="Numbered111"/>
      </w:pPr>
      <w:r w:rsidRPr="00BD6C5F">
        <w:t>make such amendments as may be reasonably required by the Authority if the template invoice outlined in (b) is not approved by the Authority.</w:t>
      </w:r>
    </w:p>
    <w:p w14:paraId="65835B98" w14:textId="0955B25D" w:rsidR="00BC7DDA" w:rsidRPr="00BD6C5F" w:rsidRDefault="009B03E9" w:rsidP="00A47A7E">
      <w:pPr>
        <w:pStyle w:val="Numbered11"/>
        <w:keepNext/>
      </w:pPr>
      <w:bookmarkStart w:id="659" w:name="_bookmark227"/>
      <w:bookmarkStart w:id="660" w:name="_Ref98412999"/>
      <w:bookmarkEnd w:id="659"/>
      <w:r w:rsidRPr="00BD6C5F">
        <w:t>The Supplier shall ensure that each invoice is submitted in the correct format for the Authority</w:t>
      </w:r>
      <w:r w:rsidR="00A4555C" w:rsidRPr="00BD6C5F">
        <w:t>’</w:t>
      </w:r>
      <w:r w:rsidRPr="00BD6C5F">
        <w:t>s e-invoicing system, or that it contains the following information:</w:t>
      </w:r>
      <w:bookmarkEnd w:id="660"/>
    </w:p>
    <w:p w14:paraId="7B5DD1B3" w14:textId="77777777" w:rsidR="00BC7DDA" w:rsidRPr="00BD6C5F" w:rsidRDefault="009B03E9" w:rsidP="00183F6E">
      <w:pPr>
        <w:pStyle w:val="Numbered111"/>
      </w:pPr>
      <w:bookmarkStart w:id="661" w:name="_bookmark228"/>
      <w:bookmarkStart w:id="662" w:name="_Ref98413011"/>
      <w:bookmarkEnd w:id="661"/>
      <w:r w:rsidRPr="00BD6C5F">
        <w:t>the date of the invoice;</w:t>
      </w:r>
      <w:bookmarkEnd w:id="662"/>
    </w:p>
    <w:p w14:paraId="5942A70D" w14:textId="77777777" w:rsidR="00BC7DDA" w:rsidRPr="00BD6C5F" w:rsidRDefault="009B03E9" w:rsidP="00183F6E">
      <w:pPr>
        <w:pStyle w:val="Numbered111"/>
      </w:pPr>
      <w:r w:rsidRPr="00BD6C5F">
        <w:t>a unique invoice number;</w:t>
      </w:r>
    </w:p>
    <w:p w14:paraId="6D0F94A2" w14:textId="77777777" w:rsidR="00BC7DDA" w:rsidRPr="00BD6C5F" w:rsidRDefault="009B03E9" w:rsidP="00183F6E">
      <w:pPr>
        <w:pStyle w:val="Numbered111"/>
      </w:pPr>
      <w:r w:rsidRPr="00BD6C5F">
        <w:t>the Service Period or other period(s) to which the relevant Charge(s) relate;</w:t>
      </w:r>
    </w:p>
    <w:p w14:paraId="09C5EECF" w14:textId="320235E5" w:rsidR="00BC7DDA" w:rsidRPr="00BD6C5F" w:rsidRDefault="009B03E9" w:rsidP="00183F6E">
      <w:pPr>
        <w:pStyle w:val="Numbered111"/>
      </w:pPr>
      <w:r w:rsidRPr="00BD6C5F">
        <w:t xml:space="preserve">the correct reference for this </w:t>
      </w:r>
      <w:r w:rsidR="00BB62D9" w:rsidRPr="00BD6C5F">
        <w:t>Contract</w:t>
      </w:r>
      <w:r w:rsidRPr="00BD6C5F">
        <w:t>;</w:t>
      </w:r>
    </w:p>
    <w:p w14:paraId="09673AAB" w14:textId="77777777" w:rsidR="00BC7DDA" w:rsidRPr="00BD6C5F" w:rsidRDefault="009B03E9" w:rsidP="00183F6E">
      <w:pPr>
        <w:pStyle w:val="Numbered111"/>
      </w:pPr>
      <w:r w:rsidRPr="00BD6C5F">
        <w:t>the reference number of the purchase order to which it relates (if any);</w:t>
      </w:r>
    </w:p>
    <w:p w14:paraId="58425FD4" w14:textId="77777777" w:rsidR="00BC7DDA" w:rsidRPr="00BD6C5F" w:rsidRDefault="009B03E9" w:rsidP="00183F6E">
      <w:pPr>
        <w:pStyle w:val="Numbered111"/>
      </w:pPr>
      <w:r w:rsidRPr="00BD6C5F">
        <w:t>the dates between which the Services subject of each of the Charges detailed on the invoice were performed;</w:t>
      </w:r>
    </w:p>
    <w:p w14:paraId="05631A37" w14:textId="77777777" w:rsidR="00BC7DDA" w:rsidRPr="00BD6C5F" w:rsidRDefault="009B03E9" w:rsidP="00183F6E">
      <w:pPr>
        <w:pStyle w:val="Numbered111"/>
      </w:pPr>
      <w:r w:rsidRPr="00BD6C5F">
        <w:t>a description of the Services;</w:t>
      </w:r>
    </w:p>
    <w:p w14:paraId="45F16D6C" w14:textId="77777777" w:rsidR="00BC7DDA" w:rsidRPr="00BD6C5F" w:rsidRDefault="009B03E9" w:rsidP="00183F6E">
      <w:pPr>
        <w:pStyle w:val="Numbered111"/>
      </w:pPr>
      <w:r w:rsidRPr="00BD6C5F">
        <w:t>the pricing mechanism used to calculate the Charges (such as Guaranteed Maximum Price with Target Cost, Fixed Price, Time and Materials);</w:t>
      </w:r>
    </w:p>
    <w:p w14:paraId="59FF9FF9" w14:textId="77777777" w:rsidR="00BC7DDA" w:rsidRPr="00BD6C5F" w:rsidRDefault="009B03E9" w:rsidP="00183F6E">
      <w:pPr>
        <w:pStyle w:val="Numbered111"/>
      </w:pPr>
      <w:r w:rsidRPr="00BD6C5F">
        <w:t>any payments due in respect of Achievement of a Milestone, including the Milestone Achievement Certificate number for each relevant Milestone;</w:t>
      </w:r>
    </w:p>
    <w:p w14:paraId="6C1A784B" w14:textId="26280AE3" w:rsidR="00BC7DDA" w:rsidRPr="00BD6C5F" w:rsidRDefault="009B03E9" w:rsidP="00183F6E">
      <w:pPr>
        <w:pStyle w:val="Numbered111"/>
      </w:pPr>
      <w:r w:rsidRPr="00BD6C5F">
        <w:t xml:space="preserve">the total Charges gross and net of any applicable deductions and, separately, the amount of any Reimbursable Expenses properly chargeable to the Authority under the terms of this </w:t>
      </w:r>
      <w:r w:rsidR="00BB62D9" w:rsidRPr="00BD6C5F">
        <w:t>Contract</w:t>
      </w:r>
      <w:r w:rsidRPr="00BD6C5F">
        <w:t>, and,</w:t>
      </w:r>
      <w:r w:rsidR="00DB2677" w:rsidRPr="00BD6C5F">
        <w:t xml:space="preserve"> </w:t>
      </w:r>
      <w:r w:rsidRPr="00BD6C5F">
        <w:t>separately, any VAT or other sales tax payable in respect of each of the same;</w:t>
      </w:r>
    </w:p>
    <w:p w14:paraId="4E85B6E1" w14:textId="77777777" w:rsidR="00BC7DDA" w:rsidRPr="00BD6C5F" w:rsidRDefault="009B03E9" w:rsidP="00183F6E">
      <w:pPr>
        <w:pStyle w:val="Numbered111"/>
      </w:pPr>
      <w:r w:rsidRPr="00BD6C5F">
        <w:t>details of any Service Credits or Delay Payments or similar deductions that shall apply to the Charges detailed on the invoice;</w:t>
      </w:r>
    </w:p>
    <w:p w14:paraId="7AC5A349" w14:textId="77777777" w:rsidR="00BC7DDA" w:rsidRPr="00BD6C5F" w:rsidRDefault="009B03E9" w:rsidP="00183F6E">
      <w:pPr>
        <w:pStyle w:val="Numbered111"/>
      </w:pPr>
      <w:r w:rsidRPr="00BD6C5F">
        <w:t xml:space="preserve">reference to any reports required by the Authority in respect of the Services to which the Charges detailed on the invoice relate (or in the case of reports </w:t>
      </w:r>
      <w:r w:rsidRPr="00BD6C5F">
        <w:lastRenderedPageBreak/>
        <w:t>issued by the Supplier for validation by the Authority, then to any such reports as are validated by the Authority in respect of the Services);</w:t>
      </w:r>
    </w:p>
    <w:p w14:paraId="0B1627A7" w14:textId="7C4FF50D" w:rsidR="00BC7DDA" w:rsidRPr="00BD6C5F" w:rsidRDefault="009B03E9" w:rsidP="00183F6E">
      <w:pPr>
        <w:pStyle w:val="Numbered111"/>
      </w:pPr>
      <w:r w:rsidRPr="00BD6C5F">
        <w:t>a contact name and telephone number of a responsible person in the Supplier</w:t>
      </w:r>
      <w:r w:rsidR="00A4555C" w:rsidRPr="00BD6C5F">
        <w:t>’</w:t>
      </w:r>
      <w:r w:rsidRPr="00BD6C5F">
        <w:t>s finance department in the event of administrative queries;</w:t>
      </w:r>
    </w:p>
    <w:p w14:paraId="6BFBD628" w14:textId="77777777" w:rsidR="00BC7DDA" w:rsidRPr="00BD6C5F" w:rsidRDefault="009B03E9" w:rsidP="00183F6E">
      <w:pPr>
        <w:pStyle w:val="Numbered111"/>
      </w:pPr>
      <w:bookmarkStart w:id="663" w:name="_bookmark229"/>
      <w:bookmarkStart w:id="664" w:name="_Ref98413021"/>
      <w:bookmarkEnd w:id="663"/>
      <w:r w:rsidRPr="00BD6C5F">
        <w:t>the banking details for payment to the Supplier via electronic transfer of funds (i.e. name and address of bank, sort code, account name and number); and</w:t>
      </w:r>
      <w:bookmarkEnd w:id="664"/>
    </w:p>
    <w:p w14:paraId="3753A7FB" w14:textId="538FAD49" w:rsidR="00BC7DDA" w:rsidRPr="00BD6C5F" w:rsidRDefault="009B03E9" w:rsidP="00183F6E">
      <w:pPr>
        <w:pStyle w:val="Numbered111"/>
      </w:pPr>
      <w:r w:rsidRPr="00BD6C5F">
        <w:t xml:space="preserve">where the Services have been structured into separate Service lines, the information at </w:t>
      </w:r>
      <w:r w:rsidR="00812321" w:rsidRPr="00BD6C5F">
        <w:fldChar w:fldCharType="begin"/>
      </w:r>
      <w:r w:rsidR="00812321" w:rsidRPr="00BD6C5F">
        <w:instrText xml:space="preserve"> REF _Ref98413011 \n \h </w:instrText>
      </w:r>
      <w:r w:rsidR="00AD7DD0" w:rsidRPr="00BD6C5F">
        <w:instrText xml:space="preserve"> \* MERGEFORMAT </w:instrText>
      </w:r>
      <w:r w:rsidR="00812321" w:rsidRPr="00BD6C5F">
        <w:fldChar w:fldCharType="separate"/>
      </w:r>
      <w:r w:rsidR="009749A0">
        <w:t>1.3.1</w:t>
      </w:r>
      <w:r w:rsidR="00812321" w:rsidRPr="00BD6C5F">
        <w:fldChar w:fldCharType="end"/>
      </w:r>
      <w:r w:rsidRPr="00BD6C5F">
        <w:t xml:space="preserve"> to </w:t>
      </w:r>
      <w:r w:rsidR="00812321" w:rsidRPr="00BD6C5F">
        <w:fldChar w:fldCharType="begin"/>
      </w:r>
      <w:r w:rsidR="00812321" w:rsidRPr="00BD6C5F">
        <w:instrText xml:space="preserve"> REF _Ref98413021 \n \h </w:instrText>
      </w:r>
      <w:r w:rsidR="00AD7DD0" w:rsidRPr="00BD6C5F">
        <w:instrText xml:space="preserve"> \* MERGEFORMAT </w:instrText>
      </w:r>
      <w:r w:rsidR="00812321" w:rsidRPr="00BD6C5F">
        <w:fldChar w:fldCharType="separate"/>
      </w:r>
      <w:r w:rsidR="009749A0">
        <w:t>1.3.14</w:t>
      </w:r>
      <w:r w:rsidR="00812321" w:rsidRPr="00BD6C5F">
        <w:fldChar w:fldCharType="end"/>
      </w:r>
      <w:r w:rsidRPr="00BD6C5F">
        <w:t xml:space="preserve"> of this paragraph </w:t>
      </w:r>
      <w:r w:rsidR="00812321" w:rsidRPr="00BD6C5F">
        <w:fldChar w:fldCharType="begin"/>
      </w:r>
      <w:r w:rsidR="00812321" w:rsidRPr="00BD6C5F">
        <w:instrText xml:space="preserve"> REF _Ref98412999 \n \h </w:instrText>
      </w:r>
      <w:r w:rsidR="00AD7DD0" w:rsidRPr="00BD6C5F">
        <w:instrText xml:space="preserve"> \* MERGEFORMAT </w:instrText>
      </w:r>
      <w:r w:rsidR="00812321" w:rsidRPr="00BD6C5F">
        <w:fldChar w:fldCharType="separate"/>
      </w:r>
      <w:r w:rsidR="009749A0">
        <w:t>1.3</w:t>
      </w:r>
      <w:r w:rsidR="00812321" w:rsidRPr="00BD6C5F">
        <w:fldChar w:fldCharType="end"/>
      </w:r>
      <w:r w:rsidRPr="00BD6C5F">
        <w:t xml:space="preserve"> shall be broken down in each invoice per Service line.</w:t>
      </w:r>
    </w:p>
    <w:p w14:paraId="1F600DF2" w14:textId="08CBC932" w:rsidR="00BC7DDA" w:rsidRPr="00BD6C5F" w:rsidRDefault="009B03E9" w:rsidP="00C5057A">
      <w:pPr>
        <w:pStyle w:val="Numbered11"/>
      </w:pPr>
      <w:bookmarkStart w:id="665" w:name="_bookmark230"/>
      <w:bookmarkEnd w:id="665"/>
      <w:r w:rsidRPr="00BD6C5F">
        <w:t xml:space="preserve">The Supplier shall invoice the Authority in respect of Services in accordance with the requirements of </w:t>
      </w:r>
      <w:r w:rsidR="00DF7441">
        <w:t>Part </w:t>
      </w:r>
      <w:r w:rsidR="00DF7441">
        <w:fldChar w:fldCharType="begin"/>
      </w:r>
      <w:r w:rsidR="00DF7441">
        <w:instrText xml:space="preserve"> REF Schedule_15_Part_B \h </w:instrText>
      </w:r>
      <w:r w:rsidR="00DF7441">
        <w:fldChar w:fldCharType="separate"/>
      </w:r>
      <w:r w:rsidR="009749A0" w:rsidRPr="00BD6C5F">
        <w:t>B</w:t>
      </w:r>
      <w:r w:rsidR="00DF7441">
        <w:fldChar w:fldCharType="end"/>
      </w:r>
      <w:r w:rsidRPr="00BD6C5F">
        <w:t>. The Supplier shall first submit to the Authority a draft invoice setting out the Charges payable. The Parties shall endeavour to agree the draft invoice within 5 Working Days of its receipt by the Authority, following which the Supplier shall be entitled to submit its invoice.</w:t>
      </w:r>
    </w:p>
    <w:p w14:paraId="4303B483" w14:textId="77777777" w:rsidR="00BC7DDA" w:rsidRPr="00BD6C5F" w:rsidRDefault="009B03E9" w:rsidP="00C5057A">
      <w:pPr>
        <w:pStyle w:val="Numbered11"/>
      </w:pPr>
      <w:r w:rsidRPr="00BD6C5F">
        <w:t>Each invoice shall at all times be accompanied by Supporting Documentation. Any assessment by the Authority as to what constitutes Supporting Documentation shall not be conclusive and the Supplier undertakes to provide to the Authority any other documentation reasonably required by the Authority from time to time to substantiate an invoice.</w:t>
      </w:r>
    </w:p>
    <w:p w14:paraId="0030D6E4" w14:textId="12CB7886" w:rsidR="00BC7DDA" w:rsidRPr="00566661" w:rsidRDefault="009B03E9" w:rsidP="00A47A7E">
      <w:pPr>
        <w:pStyle w:val="Numbered11"/>
        <w:keepNext/>
      </w:pPr>
      <w:r w:rsidRPr="00BD6C5F">
        <w:t>The Supplier shall submit all invoices and Supporting Documentation through the Authority</w:t>
      </w:r>
      <w:r w:rsidR="00A4555C" w:rsidRPr="00BD6C5F">
        <w:t>’</w:t>
      </w:r>
      <w:r w:rsidRPr="00BD6C5F">
        <w:t>s electr</w:t>
      </w:r>
      <w:r w:rsidRPr="00566661">
        <w:t xml:space="preserve">onic system </w:t>
      </w:r>
      <w:r w:rsidRPr="00566661">
        <w:rPr>
          <w:shd w:val="clear" w:color="auto" w:fill="FFFF00"/>
        </w:rPr>
        <w:t>[name]</w:t>
      </w:r>
      <w:r w:rsidRPr="00566661">
        <w:t xml:space="preserve"> or if that is not possible to:</w:t>
      </w:r>
    </w:p>
    <w:p w14:paraId="6CB09F60" w14:textId="77777777" w:rsidR="00BC7DDA" w:rsidRPr="00566661" w:rsidRDefault="009B03E9" w:rsidP="00FB245C">
      <w:pPr>
        <w:pStyle w:val="BodyText"/>
        <w:spacing w:before="100" w:after="200"/>
        <w:ind w:left="720"/>
      </w:pPr>
      <w:r w:rsidRPr="00566661">
        <w:rPr>
          <w:highlight w:val="yellow"/>
        </w:rPr>
        <w:t>[</w:t>
      </w:r>
      <w:r w:rsidRPr="00547270">
        <w:rPr>
          <w:b/>
          <w:bCs/>
          <w:highlight w:val="yellow"/>
        </w:rPr>
        <w:t>Insert</w:t>
      </w:r>
      <w:r w:rsidRPr="00566661">
        <w:rPr>
          <w:highlight w:val="yellow"/>
        </w:rPr>
        <w:t xml:space="preserve"> address or email address]</w:t>
      </w:r>
    </w:p>
    <w:p w14:paraId="4EDF08B5" w14:textId="77777777" w:rsidR="00BC7DDA" w:rsidRPr="00BD6C5F" w:rsidRDefault="009B03E9" w:rsidP="00FB245C">
      <w:pPr>
        <w:pStyle w:val="BodyText"/>
        <w:spacing w:before="100" w:after="200"/>
        <w:ind w:left="720"/>
        <w:rPr>
          <w:rFonts w:asciiTheme="minorHAnsi" w:hAnsiTheme="minorHAnsi" w:cstheme="minorHAnsi"/>
        </w:rPr>
      </w:pPr>
      <w:r w:rsidRPr="00BD6C5F">
        <w:rPr>
          <w:rFonts w:asciiTheme="minorHAnsi" w:hAnsiTheme="minorHAnsi" w:cstheme="minorHAnsi"/>
        </w:rPr>
        <w:t>with a copy (again including any Supporting Documentation) to such other person and at such place as the Authority may notify to the Supplier from time to time.</w:t>
      </w:r>
    </w:p>
    <w:p w14:paraId="5D5DE018" w14:textId="77777777" w:rsidR="00BC7DDA" w:rsidRPr="00BD6C5F" w:rsidRDefault="009B03E9" w:rsidP="00C5057A">
      <w:pPr>
        <w:pStyle w:val="Numbered11"/>
      </w:pPr>
      <w:r w:rsidRPr="00BD6C5F">
        <w:t>All Supplier invoices shall be expressed in sterling or such other currency as shall be permitted by the Authority in writing.</w:t>
      </w:r>
    </w:p>
    <w:p w14:paraId="756AD879" w14:textId="580E1EB3" w:rsidR="00BC7DDA" w:rsidRPr="00BD6C5F" w:rsidRDefault="009B03E9" w:rsidP="00C5057A">
      <w:pPr>
        <w:pStyle w:val="Numbered11"/>
      </w:pPr>
      <w:bookmarkStart w:id="666" w:name="_bookmark231"/>
      <w:bookmarkEnd w:id="666"/>
      <w:r w:rsidRPr="00BD6C5F">
        <w:t>The Authority shall regard an invoice as valid only if it complies with the provisions of this</w:t>
      </w:r>
      <w:r w:rsidR="00712129" w:rsidRPr="00BD6C5F">
        <w:t> </w:t>
      </w:r>
      <w:r w:rsidR="000E1EDB">
        <w:t>Part </w:t>
      </w:r>
      <w:r w:rsidR="000E1EDB">
        <w:fldChar w:fldCharType="begin"/>
      </w:r>
      <w:r w:rsidR="000E1EDB">
        <w:instrText xml:space="preserve"> REF Schedule_15_Part_E \h </w:instrText>
      </w:r>
      <w:r w:rsidR="000E1EDB">
        <w:fldChar w:fldCharType="separate"/>
      </w:r>
      <w:r w:rsidR="009749A0" w:rsidRPr="00BD6C5F">
        <w:t>E</w:t>
      </w:r>
      <w:r w:rsidR="000E1EDB">
        <w:fldChar w:fldCharType="end"/>
      </w:r>
      <w:r w:rsidRPr="00BD6C5F">
        <w:t>. Where any invoice does not conform to the Authority</w:t>
      </w:r>
      <w:r w:rsidR="00A4555C" w:rsidRPr="00BD6C5F">
        <w:t>’</w:t>
      </w:r>
      <w:r w:rsidRPr="00BD6C5F">
        <w:t>s requirements set out in this</w:t>
      </w:r>
      <w:r w:rsidR="000E1EDB">
        <w:t xml:space="preserve"> Part </w:t>
      </w:r>
      <w:r w:rsidR="000E1EDB">
        <w:fldChar w:fldCharType="begin"/>
      </w:r>
      <w:r w:rsidR="000E1EDB">
        <w:instrText xml:space="preserve"> REF Schedule_15_Part_E \h </w:instrText>
      </w:r>
      <w:r w:rsidR="000E1EDB">
        <w:fldChar w:fldCharType="separate"/>
      </w:r>
      <w:r w:rsidR="009749A0" w:rsidRPr="00BD6C5F">
        <w:t>E</w:t>
      </w:r>
      <w:r w:rsidR="000E1EDB">
        <w:fldChar w:fldCharType="end"/>
      </w:r>
      <w:r w:rsidRPr="00BD6C5F">
        <w:t>, the Authority shall promptly return the disputed invoice to the Supplier and the Supplier shall promptly issue a replacement invoice which shall comply with such requirements.</w:t>
      </w:r>
    </w:p>
    <w:p w14:paraId="4F931F96" w14:textId="0FDA1D1B" w:rsidR="00BC7DDA" w:rsidRPr="00BD6C5F" w:rsidRDefault="009B03E9" w:rsidP="00C5057A">
      <w:pPr>
        <w:pStyle w:val="Numbered11"/>
      </w:pPr>
      <w:r w:rsidRPr="00BD6C5F">
        <w:t xml:space="preserve">If the Authority fails to consider and verify an invoice in accordance with paragraphs </w:t>
      </w:r>
      <w:r w:rsidR="00812321" w:rsidRPr="00BD6C5F">
        <w:fldChar w:fldCharType="begin"/>
      </w:r>
      <w:r w:rsidR="00812321" w:rsidRPr="00BD6C5F">
        <w:instrText xml:space="preserve"> REF _Ref98413068 \n \h </w:instrText>
      </w:r>
      <w:r w:rsidR="00AD7DD0" w:rsidRPr="00BD6C5F">
        <w:instrText xml:space="preserve"> \* MERGEFORMAT </w:instrText>
      </w:r>
      <w:r w:rsidR="00812321" w:rsidRPr="00BD6C5F">
        <w:fldChar w:fldCharType="separate"/>
      </w:r>
      <w:r w:rsidR="009749A0">
        <w:t>1.4</w:t>
      </w:r>
      <w:r w:rsidR="00812321" w:rsidRPr="00BD6C5F">
        <w:fldChar w:fldCharType="end"/>
      </w:r>
      <w:r w:rsidRPr="00BD6C5F">
        <w:t xml:space="preserve"> and </w:t>
      </w:r>
      <w:r w:rsidR="00812321" w:rsidRPr="00BD6C5F">
        <w:fldChar w:fldCharType="begin"/>
      </w:r>
      <w:r w:rsidR="00812321" w:rsidRPr="00BD6C5F">
        <w:instrText xml:space="preserve"> REF _Ref98412419 \n \h </w:instrText>
      </w:r>
      <w:r w:rsidR="00AD7DD0" w:rsidRPr="00BD6C5F">
        <w:instrText xml:space="preserve"> \* MERGEFORMAT </w:instrText>
      </w:r>
      <w:r w:rsidR="00812321" w:rsidRPr="00BD6C5F">
        <w:fldChar w:fldCharType="separate"/>
      </w:r>
      <w:r w:rsidR="009749A0">
        <w:t>1.8</w:t>
      </w:r>
      <w:r w:rsidR="00812321" w:rsidRPr="00BD6C5F">
        <w:fldChar w:fldCharType="end"/>
      </w:r>
      <w:r w:rsidRPr="00BD6C5F">
        <w:t xml:space="preserve">, the invoice shall be regarded as valid and undisputed for the purpose of paragraph </w:t>
      </w:r>
      <w:r w:rsidR="00812321" w:rsidRPr="00BD6C5F">
        <w:fldChar w:fldCharType="begin"/>
      </w:r>
      <w:r w:rsidR="00812321" w:rsidRPr="00BD6C5F">
        <w:instrText xml:space="preserve"> REF _Ref98413085 \n \h </w:instrText>
      </w:r>
      <w:r w:rsidR="00AD7DD0" w:rsidRPr="00BD6C5F">
        <w:instrText xml:space="preserve"> \* MERGEFORMAT </w:instrText>
      </w:r>
      <w:r w:rsidR="00812321" w:rsidRPr="00BD6C5F">
        <w:fldChar w:fldCharType="separate"/>
      </w:r>
      <w:r w:rsidR="009749A0">
        <w:t>2.1</w:t>
      </w:r>
      <w:r w:rsidR="00812321" w:rsidRPr="00BD6C5F">
        <w:fldChar w:fldCharType="end"/>
      </w:r>
      <w:r w:rsidRPr="00566661">
        <w:t xml:space="preserve"> </w:t>
      </w:r>
      <w:r w:rsidRPr="00566661">
        <w:rPr>
          <w:shd w:val="clear" w:color="auto" w:fill="FFFF00"/>
        </w:rPr>
        <w:t>[Payment in 30 days]</w:t>
      </w:r>
      <w:r w:rsidRPr="00BD6C5F">
        <w:t xml:space="preserve"> after a reasonable time has passed.</w:t>
      </w:r>
    </w:p>
    <w:p w14:paraId="5A2FB048" w14:textId="7F27BFED" w:rsidR="00BC7DDA" w:rsidRPr="00BD6C5F" w:rsidRDefault="00183F6E" w:rsidP="00183F6E">
      <w:pPr>
        <w:pStyle w:val="Numbered1"/>
      </w:pPr>
      <w:r w:rsidRPr="00BD6C5F">
        <w:t>Payment Terms</w:t>
      </w:r>
    </w:p>
    <w:p w14:paraId="728A9E7C" w14:textId="77777777" w:rsidR="00BC7DDA" w:rsidRPr="00BD6C5F" w:rsidRDefault="009B03E9" w:rsidP="00C5057A">
      <w:pPr>
        <w:pStyle w:val="Numbered11"/>
      </w:pPr>
      <w:bookmarkStart w:id="667" w:name="_bookmark232"/>
      <w:bookmarkEnd w:id="667"/>
      <w:r w:rsidRPr="00BD6C5F">
        <w:t>Subject to the relevant provisions of this Schedule, the Authority shall make payment to the Supplier within 30 days of verifying that the invoice is valid and undisputed.</w:t>
      </w:r>
    </w:p>
    <w:p w14:paraId="4AEEDD34" w14:textId="77777777" w:rsidR="00BC7DDA" w:rsidRPr="00BD6C5F" w:rsidRDefault="009B03E9" w:rsidP="00C5057A">
      <w:pPr>
        <w:pStyle w:val="Numbered11"/>
      </w:pPr>
      <w:r w:rsidRPr="00BD6C5F">
        <w:t>Unless the Parties agree otherwise in writing, all Supplier invoices shall be paid in sterling by electronic transfer of funds to the bank account that the Supplier has specified on its invoice.</w:t>
      </w:r>
    </w:p>
    <w:p w14:paraId="136FF3B6" w14:textId="7C95A9A5" w:rsidR="00BC7DDA" w:rsidRDefault="00183F6E" w:rsidP="006D411A">
      <w:pPr>
        <w:pStyle w:val="Heading2"/>
      </w:pPr>
      <w:bookmarkStart w:id="668" w:name="_Toc98332741"/>
      <w:bookmarkStart w:id="669" w:name="_Ref98341970"/>
      <w:bookmarkStart w:id="670" w:name="_Ref98341984"/>
      <w:bookmarkStart w:id="671" w:name="_Ref98342051"/>
      <w:bookmarkStart w:id="672" w:name="_Ref98342124"/>
      <w:bookmarkStart w:id="673" w:name="_Ref98342204"/>
      <w:bookmarkStart w:id="674" w:name="_Ref98342211"/>
      <w:bookmarkStart w:id="675" w:name="_Ref98342248"/>
      <w:bookmarkStart w:id="676" w:name="_Ref98342354"/>
      <w:bookmarkStart w:id="677" w:name="_Ref98342367"/>
      <w:bookmarkStart w:id="678" w:name="_Ref98342396"/>
      <w:bookmarkStart w:id="679" w:name="_Ref98342421"/>
      <w:bookmarkStart w:id="680" w:name="_Ref98342450"/>
      <w:bookmarkStart w:id="681" w:name="_Ref98342472"/>
      <w:bookmarkStart w:id="682" w:name="_Ref98342484"/>
      <w:bookmarkStart w:id="683" w:name="_Ref98342615"/>
      <w:bookmarkStart w:id="684" w:name="_Ref98342706"/>
      <w:bookmarkStart w:id="685" w:name="_Ref98342766"/>
      <w:bookmarkStart w:id="686" w:name="_Ref98342780"/>
      <w:bookmarkStart w:id="687" w:name="_Ref98412085"/>
      <w:bookmarkStart w:id="688" w:name="_Toc98852918"/>
      <w:bookmarkStart w:id="689" w:name="_Toc141721010"/>
      <w:r w:rsidRPr="00BD6C5F">
        <w:lastRenderedPageBreak/>
        <w:t xml:space="preserve">Annex </w:t>
      </w:r>
      <w:bookmarkStart w:id="690" w:name="Schedule_15_Part_E_Annex_1"/>
      <w:r w:rsidRPr="00BD6C5F">
        <w:t>1</w:t>
      </w:r>
      <w:bookmarkEnd w:id="690"/>
      <w:r w:rsidRPr="00BD6C5F">
        <w:t>: Pricing Mechanism</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212D7363" w14:textId="685BCE5C" w:rsidR="00BC7DDA" w:rsidRPr="00BD6C5F" w:rsidRDefault="00183F6E" w:rsidP="00B71FC0">
      <w:pPr>
        <w:pStyle w:val="AppendixText1"/>
        <w:numPr>
          <w:ilvl w:val="0"/>
          <w:numId w:val="153"/>
        </w:numPr>
      </w:pPr>
      <w:bookmarkStart w:id="691" w:name="_Ref98354050"/>
      <w:r w:rsidRPr="00BD6C5F">
        <w:t>Table 1</w:t>
      </w:r>
      <w:bookmarkStart w:id="692" w:name="_bookmark234"/>
      <w:bookmarkEnd w:id="692"/>
      <w:r w:rsidRPr="00BD6C5F">
        <w:t>: Supplier Personnel Rate Card for Calculation of Time and Materials Charges</w:t>
      </w:r>
      <w:bookmarkEnd w:id="691"/>
    </w:p>
    <w:tbl>
      <w:tblPr>
        <w:tblStyle w:val="MSATable-header"/>
        <w:tblW w:w="9468" w:type="dxa"/>
        <w:tblInd w:w="720" w:type="dxa"/>
        <w:tblLayout w:type="fixed"/>
        <w:tblLook w:val="0620" w:firstRow="1" w:lastRow="0" w:firstColumn="0" w:lastColumn="0" w:noHBand="1" w:noVBand="1"/>
      </w:tblPr>
      <w:tblGrid>
        <w:gridCol w:w="4706"/>
        <w:gridCol w:w="4762"/>
      </w:tblGrid>
      <w:tr w:rsidR="00BC7DDA" w:rsidRPr="00BD6C5F" w14:paraId="38302CAB" w14:textId="77777777" w:rsidTr="001F55C1">
        <w:trPr>
          <w:cnfStyle w:val="100000000000" w:firstRow="1" w:lastRow="0" w:firstColumn="0" w:lastColumn="0" w:oddVBand="0" w:evenVBand="0" w:oddHBand="0" w:evenHBand="0" w:firstRowFirstColumn="0" w:firstRowLastColumn="0" w:lastRowFirstColumn="0" w:lastRowLastColumn="0"/>
        </w:trPr>
        <w:tc>
          <w:tcPr>
            <w:tcW w:w="4706" w:type="dxa"/>
          </w:tcPr>
          <w:p w14:paraId="76D9195E" w14:textId="77777777" w:rsidR="00BC7DDA" w:rsidRPr="00BD6C5F" w:rsidRDefault="009B03E9" w:rsidP="00FB245C">
            <w:pPr>
              <w:pStyle w:val="Tabletext"/>
            </w:pPr>
            <w:r w:rsidRPr="00BD6C5F">
              <w:t>Staff Grade</w:t>
            </w:r>
          </w:p>
        </w:tc>
        <w:tc>
          <w:tcPr>
            <w:tcW w:w="4762" w:type="dxa"/>
          </w:tcPr>
          <w:p w14:paraId="01AF2BCE" w14:textId="77777777" w:rsidR="00BC7DDA" w:rsidRPr="00BD6C5F" w:rsidRDefault="009B03E9" w:rsidP="00FB245C">
            <w:pPr>
              <w:pStyle w:val="Tabletext"/>
            </w:pPr>
            <w:r w:rsidRPr="00BD6C5F">
              <w:t>Day Rate (£)</w:t>
            </w:r>
          </w:p>
        </w:tc>
      </w:tr>
      <w:tr w:rsidR="00BC7DDA" w:rsidRPr="00BD6C5F" w14:paraId="318BBDE4" w14:textId="77777777" w:rsidTr="001F55C1">
        <w:tc>
          <w:tcPr>
            <w:tcW w:w="4706" w:type="dxa"/>
          </w:tcPr>
          <w:p w14:paraId="2B2E63C2" w14:textId="77777777" w:rsidR="00BC7DDA" w:rsidRPr="00BD6C5F" w:rsidRDefault="00BC7DDA" w:rsidP="00FB245C">
            <w:pPr>
              <w:pStyle w:val="Tabletext"/>
            </w:pPr>
          </w:p>
        </w:tc>
        <w:tc>
          <w:tcPr>
            <w:tcW w:w="4762" w:type="dxa"/>
          </w:tcPr>
          <w:p w14:paraId="2DB5C678" w14:textId="77777777" w:rsidR="00BC7DDA" w:rsidRPr="00BD6C5F" w:rsidRDefault="00BC7DDA" w:rsidP="00FB245C">
            <w:pPr>
              <w:pStyle w:val="Tabletext"/>
            </w:pPr>
          </w:p>
        </w:tc>
      </w:tr>
      <w:tr w:rsidR="00BC7DDA" w:rsidRPr="00BD6C5F" w14:paraId="530495C3" w14:textId="77777777" w:rsidTr="001F55C1">
        <w:tc>
          <w:tcPr>
            <w:tcW w:w="4706" w:type="dxa"/>
          </w:tcPr>
          <w:p w14:paraId="59009491" w14:textId="77777777" w:rsidR="00BC7DDA" w:rsidRPr="00BD6C5F" w:rsidRDefault="00BC7DDA" w:rsidP="00FB245C">
            <w:pPr>
              <w:pStyle w:val="Tabletext"/>
            </w:pPr>
          </w:p>
        </w:tc>
        <w:tc>
          <w:tcPr>
            <w:tcW w:w="4762" w:type="dxa"/>
          </w:tcPr>
          <w:p w14:paraId="0650561F" w14:textId="77777777" w:rsidR="00BC7DDA" w:rsidRPr="00BD6C5F" w:rsidRDefault="00BC7DDA" w:rsidP="00FB245C">
            <w:pPr>
              <w:pStyle w:val="Tabletext"/>
            </w:pPr>
          </w:p>
        </w:tc>
      </w:tr>
    </w:tbl>
    <w:p w14:paraId="76280FB0" w14:textId="77777777" w:rsidR="00BC7DDA" w:rsidRPr="00BD6C5F" w:rsidRDefault="00BC7DDA" w:rsidP="00FB245C"/>
    <w:p w14:paraId="79EEC2A7" w14:textId="1414AEB0" w:rsidR="00BC7DDA" w:rsidRPr="00BD6C5F" w:rsidRDefault="00183F6E" w:rsidP="00B71FC0">
      <w:pPr>
        <w:pStyle w:val="AppendixText1"/>
        <w:numPr>
          <w:ilvl w:val="0"/>
          <w:numId w:val="153"/>
        </w:numPr>
      </w:pPr>
      <w:bookmarkStart w:id="693" w:name="_bookmark235"/>
      <w:bookmarkEnd w:id="693"/>
      <w:r w:rsidRPr="00BD6C5F">
        <w:t>Table 2: Maximum Time and Materials Charges</w:t>
      </w:r>
    </w:p>
    <w:tbl>
      <w:tblPr>
        <w:tblStyle w:val="MSATable-header"/>
        <w:tblW w:w="9468" w:type="dxa"/>
        <w:tblInd w:w="720" w:type="dxa"/>
        <w:tblLayout w:type="fixed"/>
        <w:tblLook w:val="0620" w:firstRow="1" w:lastRow="0" w:firstColumn="0" w:lastColumn="0" w:noHBand="1" w:noVBand="1"/>
      </w:tblPr>
      <w:tblGrid>
        <w:gridCol w:w="2098"/>
        <w:gridCol w:w="7370"/>
      </w:tblGrid>
      <w:tr w:rsidR="00BC7DDA" w:rsidRPr="00BD6C5F" w14:paraId="591BD000" w14:textId="77777777" w:rsidTr="001F55C1">
        <w:trPr>
          <w:cnfStyle w:val="100000000000" w:firstRow="1" w:lastRow="0" w:firstColumn="0" w:lastColumn="0" w:oddVBand="0" w:evenVBand="0" w:oddHBand="0" w:evenHBand="0" w:firstRowFirstColumn="0" w:firstRowLastColumn="0" w:lastRowFirstColumn="0" w:lastRowLastColumn="0"/>
          <w:cantSplit/>
          <w:tblHeader/>
        </w:trPr>
        <w:tc>
          <w:tcPr>
            <w:tcW w:w="2098" w:type="dxa"/>
          </w:tcPr>
          <w:p w14:paraId="5B95C823" w14:textId="77777777" w:rsidR="00BC7DDA" w:rsidRPr="00BD6C5F" w:rsidRDefault="009B03E9" w:rsidP="005359AD">
            <w:pPr>
              <w:pStyle w:val="Tabletext"/>
              <w:rPr>
                <w:rFonts w:asciiTheme="minorHAnsi" w:hAnsiTheme="minorHAnsi" w:cstheme="minorHAnsi"/>
                <w:bCs/>
              </w:rPr>
            </w:pPr>
            <w:r w:rsidRPr="00BD6C5F">
              <w:rPr>
                <w:rFonts w:asciiTheme="minorHAnsi" w:hAnsiTheme="minorHAnsi" w:cstheme="minorHAnsi"/>
                <w:bCs/>
              </w:rPr>
              <w:t>Charge Number</w:t>
            </w:r>
          </w:p>
        </w:tc>
        <w:tc>
          <w:tcPr>
            <w:tcW w:w="7370" w:type="dxa"/>
          </w:tcPr>
          <w:p w14:paraId="1C2BD875" w14:textId="77777777" w:rsidR="00BC7DDA" w:rsidRPr="00BD6C5F" w:rsidRDefault="009B03E9" w:rsidP="005359AD">
            <w:pPr>
              <w:pStyle w:val="Tabletext"/>
              <w:rPr>
                <w:rFonts w:asciiTheme="minorHAnsi" w:hAnsiTheme="minorHAnsi" w:cstheme="minorHAnsi"/>
                <w:bCs/>
              </w:rPr>
            </w:pPr>
            <w:r w:rsidRPr="00BD6C5F">
              <w:rPr>
                <w:rFonts w:asciiTheme="minorHAnsi" w:hAnsiTheme="minorHAnsi" w:cstheme="minorHAnsi"/>
                <w:bCs/>
              </w:rPr>
              <w:t>Maximum Time and Materials Charges (the cap) (£)</w:t>
            </w:r>
          </w:p>
        </w:tc>
      </w:tr>
      <w:tr w:rsidR="00BC7DDA" w:rsidRPr="00BD6C5F" w14:paraId="0A98DF0F" w14:textId="77777777" w:rsidTr="001F55C1">
        <w:trPr>
          <w:cantSplit/>
        </w:trPr>
        <w:tc>
          <w:tcPr>
            <w:tcW w:w="9468" w:type="dxa"/>
            <w:gridSpan w:val="2"/>
            <w:shd w:val="clear" w:color="auto" w:fill="F0F0F0"/>
          </w:tcPr>
          <w:p w14:paraId="1B07857D" w14:textId="77777777" w:rsidR="00BC7DDA" w:rsidRPr="00BD6C5F" w:rsidRDefault="009B03E9" w:rsidP="005359AD">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092DA763" w14:textId="77777777" w:rsidTr="001F55C1">
        <w:trPr>
          <w:cantSplit/>
        </w:trPr>
        <w:tc>
          <w:tcPr>
            <w:tcW w:w="2098" w:type="dxa"/>
          </w:tcPr>
          <w:p w14:paraId="25B20357" w14:textId="77777777" w:rsidR="00BC7DDA" w:rsidRPr="00BD6C5F" w:rsidRDefault="009B03E9" w:rsidP="005359AD">
            <w:pPr>
              <w:pStyle w:val="Tabletext"/>
              <w:rPr>
                <w:rFonts w:asciiTheme="minorHAnsi" w:hAnsiTheme="minorHAnsi" w:cstheme="minorHAnsi"/>
              </w:rPr>
            </w:pPr>
            <w:r w:rsidRPr="00BD6C5F">
              <w:rPr>
                <w:rFonts w:asciiTheme="minorHAnsi" w:hAnsiTheme="minorHAnsi" w:cstheme="minorHAnsi"/>
                <w:shd w:val="clear" w:color="auto" w:fill="FFFF00"/>
              </w:rPr>
              <w:t>[e.g. S1M1]</w:t>
            </w:r>
          </w:p>
        </w:tc>
        <w:tc>
          <w:tcPr>
            <w:tcW w:w="7370" w:type="dxa"/>
          </w:tcPr>
          <w:p w14:paraId="3936DF9F" w14:textId="77777777" w:rsidR="00BC7DDA" w:rsidRPr="00BD6C5F" w:rsidRDefault="00BC7DDA" w:rsidP="005359AD">
            <w:pPr>
              <w:pStyle w:val="Tabletext"/>
              <w:rPr>
                <w:rFonts w:asciiTheme="minorHAnsi" w:hAnsiTheme="minorHAnsi" w:cstheme="minorHAnsi"/>
              </w:rPr>
            </w:pPr>
          </w:p>
        </w:tc>
      </w:tr>
      <w:tr w:rsidR="00BC7DDA" w:rsidRPr="00BD6C5F" w14:paraId="674D75AA" w14:textId="77777777" w:rsidTr="001F55C1">
        <w:trPr>
          <w:cantSplit/>
        </w:trPr>
        <w:tc>
          <w:tcPr>
            <w:tcW w:w="2098" w:type="dxa"/>
            <w:tcBorders>
              <w:bottom w:val="single" w:sz="4" w:space="0" w:color="auto"/>
            </w:tcBorders>
          </w:tcPr>
          <w:p w14:paraId="377B4586" w14:textId="77777777" w:rsidR="00BC7DDA" w:rsidRPr="00BD6C5F" w:rsidRDefault="009B03E9" w:rsidP="005359AD">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7370" w:type="dxa"/>
            <w:tcBorders>
              <w:bottom w:val="single" w:sz="4" w:space="0" w:color="auto"/>
            </w:tcBorders>
          </w:tcPr>
          <w:p w14:paraId="0F27073D" w14:textId="77777777" w:rsidR="00BC7DDA" w:rsidRPr="00BD6C5F" w:rsidRDefault="00BC7DDA" w:rsidP="005359AD">
            <w:pPr>
              <w:pStyle w:val="Tabletext"/>
              <w:rPr>
                <w:rFonts w:asciiTheme="minorHAnsi" w:hAnsiTheme="minorHAnsi" w:cstheme="minorHAnsi"/>
              </w:rPr>
            </w:pPr>
          </w:p>
        </w:tc>
      </w:tr>
      <w:tr w:rsidR="00BC7DDA" w:rsidRPr="00BD6C5F" w14:paraId="43E36615" w14:textId="77777777" w:rsidTr="001F55C1">
        <w:trPr>
          <w:cantSplit/>
        </w:trPr>
        <w:tc>
          <w:tcPr>
            <w:tcW w:w="9468" w:type="dxa"/>
            <w:gridSpan w:val="2"/>
            <w:shd w:val="clear" w:color="auto" w:fill="F0F0F0"/>
          </w:tcPr>
          <w:p w14:paraId="21A7F80A" w14:textId="77777777" w:rsidR="00BC7DDA" w:rsidRPr="00BD6C5F" w:rsidRDefault="009B03E9" w:rsidP="005359AD">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17B05C25" w14:textId="77777777" w:rsidTr="001F55C1">
        <w:trPr>
          <w:cantSplit/>
        </w:trPr>
        <w:tc>
          <w:tcPr>
            <w:tcW w:w="2098" w:type="dxa"/>
          </w:tcPr>
          <w:p w14:paraId="05D0144A" w14:textId="77777777" w:rsidR="00BC7DDA" w:rsidRPr="00BD6C5F" w:rsidRDefault="009B03E9" w:rsidP="005359AD">
            <w:pPr>
              <w:pStyle w:val="Tabletext"/>
              <w:rPr>
                <w:rFonts w:asciiTheme="minorHAnsi" w:hAnsiTheme="minorHAnsi" w:cstheme="minorHAnsi"/>
              </w:rPr>
            </w:pPr>
            <w:r w:rsidRPr="00BD6C5F">
              <w:rPr>
                <w:rFonts w:asciiTheme="minorHAnsi" w:hAnsiTheme="minorHAnsi" w:cstheme="minorHAnsi"/>
                <w:shd w:val="clear" w:color="auto" w:fill="FFFF00"/>
              </w:rPr>
              <w:t>[e.g. S2M1]</w:t>
            </w:r>
          </w:p>
        </w:tc>
        <w:tc>
          <w:tcPr>
            <w:tcW w:w="7370" w:type="dxa"/>
          </w:tcPr>
          <w:p w14:paraId="1AA71A80" w14:textId="77777777" w:rsidR="00BC7DDA" w:rsidRPr="00BD6C5F" w:rsidRDefault="00BC7DDA" w:rsidP="005359AD">
            <w:pPr>
              <w:pStyle w:val="Tabletext"/>
              <w:rPr>
                <w:rFonts w:asciiTheme="minorHAnsi" w:hAnsiTheme="minorHAnsi" w:cstheme="minorHAnsi"/>
              </w:rPr>
            </w:pPr>
          </w:p>
        </w:tc>
      </w:tr>
      <w:tr w:rsidR="00BC7DDA" w:rsidRPr="00BD6C5F" w14:paraId="64C65595" w14:textId="77777777" w:rsidTr="001F55C1">
        <w:trPr>
          <w:cantSplit/>
        </w:trPr>
        <w:tc>
          <w:tcPr>
            <w:tcW w:w="2098" w:type="dxa"/>
            <w:tcBorders>
              <w:bottom w:val="single" w:sz="4" w:space="0" w:color="auto"/>
            </w:tcBorders>
          </w:tcPr>
          <w:p w14:paraId="63CBC165" w14:textId="77777777" w:rsidR="00BC7DDA" w:rsidRPr="00BD6C5F" w:rsidRDefault="009B03E9" w:rsidP="005359AD">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7370" w:type="dxa"/>
            <w:tcBorders>
              <w:bottom w:val="single" w:sz="4" w:space="0" w:color="auto"/>
            </w:tcBorders>
          </w:tcPr>
          <w:p w14:paraId="1AC7243F" w14:textId="77777777" w:rsidR="00BC7DDA" w:rsidRPr="00BD6C5F" w:rsidRDefault="00BC7DDA" w:rsidP="005359AD">
            <w:pPr>
              <w:pStyle w:val="Tabletext"/>
              <w:rPr>
                <w:rFonts w:asciiTheme="minorHAnsi" w:hAnsiTheme="minorHAnsi" w:cstheme="minorHAnsi"/>
              </w:rPr>
            </w:pPr>
          </w:p>
        </w:tc>
      </w:tr>
      <w:tr w:rsidR="00BC7DDA" w:rsidRPr="00BD6C5F" w14:paraId="2ABBC841" w14:textId="77777777" w:rsidTr="001F55C1">
        <w:trPr>
          <w:cantSplit/>
        </w:trPr>
        <w:tc>
          <w:tcPr>
            <w:tcW w:w="9468" w:type="dxa"/>
            <w:gridSpan w:val="2"/>
            <w:shd w:val="clear" w:color="auto" w:fill="F0F0F0"/>
          </w:tcPr>
          <w:p w14:paraId="27CE2706" w14:textId="77777777" w:rsidR="00BC7DDA" w:rsidRPr="00BD6C5F" w:rsidRDefault="009B03E9" w:rsidP="005359AD">
            <w:pPr>
              <w:pStyle w:val="Tabletext"/>
              <w:rPr>
                <w:rFonts w:asciiTheme="minorHAnsi" w:hAnsiTheme="minorHAnsi" w:cstheme="minorHAnsi"/>
                <w:b/>
              </w:rPr>
            </w:pPr>
            <w:r w:rsidRPr="00BD6C5F">
              <w:rPr>
                <w:rFonts w:asciiTheme="minorHAnsi" w:hAnsiTheme="minorHAnsi" w:cstheme="minorHAnsi"/>
                <w:b/>
                <w:shd w:val="clear" w:color="auto" w:fill="FFFF00"/>
              </w:rPr>
              <w:t>[Service Line [X] - insert further rows as necessary]</w:t>
            </w:r>
          </w:p>
        </w:tc>
      </w:tr>
      <w:tr w:rsidR="00BC7DDA" w:rsidRPr="00BD6C5F" w14:paraId="72425C9D" w14:textId="77777777" w:rsidTr="001F55C1">
        <w:trPr>
          <w:cantSplit/>
        </w:trPr>
        <w:tc>
          <w:tcPr>
            <w:tcW w:w="2098" w:type="dxa"/>
          </w:tcPr>
          <w:p w14:paraId="00FE2C80" w14:textId="77777777" w:rsidR="00BC7DDA" w:rsidRPr="00BD6C5F" w:rsidRDefault="009B03E9" w:rsidP="005359A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7370" w:type="dxa"/>
          </w:tcPr>
          <w:p w14:paraId="31FDD788" w14:textId="77777777" w:rsidR="00BC7DDA" w:rsidRPr="00BD6C5F" w:rsidRDefault="00BC7DDA" w:rsidP="005359AD">
            <w:pPr>
              <w:pStyle w:val="Tabletext"/>
              <w:rPr>
                <w:rFonts w:asciiTheme="minorHAnsi" w:hAnsiTheme="minorHAnsi" w:cstheme="minorHAnsi"/>
              </w:rPr>
            </w:pPr>
          </w:p>
        </w:tc>
      </w:tr>
    </w:tbl>
    <w:p w14:paraId="38B22C4F" w14:textId="77777777" w:rsidR="00BC7DDA" w:rsidRPr="00BD6C5F" w:rsidRDefault="00BC7DDA" w:rsidP="00FB245C"/>
    <w:p w14:paraId="265A922A" w14:textId="0D0E213C" w:rsidR="00BC7DDA" w:rsidRPr="00BD6C5F" w:rsidRDefault="00183F6E" w:rsidP="00B71FC0">
      <w:pPr>
        <w:pStyle w:val="AppendixText1"/>
        <w:numPr>
          <w:ilvl w:val="0"/>
          <w:numId w:val="153"/>
        </w:numPr>
      </w:pPr>
      <w:bookmarkStart w:id="694" w:name="_bookmark236"/>
      <w:bookmarkEnd w:id="694"/>
      <w:r w:rsidRPr="00BD6C5F">
        <w:t>Table 3: Day Cost for Calculation of Guaranteed Maximum Price with Target Cost Charges</w:t>
      </w:r>
    </w:p>
    <w:tbl>
      <w:tblPr>
        <w:tblStyle w:val="MSATable-header"/>
        <w:tblW w:w="0" w:type="auto"/>
        <w:tblInd w:w="720" w:type="dxa"/>
        <w:tblLayout w:type="fixed"/>
        <w:tblLook w:val="0620" w:firstRow="1" w:lastRow="0" w:firstColumn="0" w:lastColumn="0" w:noHBand="1" w:noVBand="1"/>
      </w:tblPr>
      <w:tblGrid>
        <w:gridCol w:w="4706"/>
        <w:gridCol w:w="4762"/>
      </w:tblGrid>
      <w:tr w:rsidR="00BC7DDA" w:rsidRPr="00BD6C5F" w14:paraId="14E16F59" w14:textId="77777777" w:rsidTr="001F55C1">
        <w:trPr>
          <w:cnfStyle w:val="100000000000" w:firstRow="1" w:lastRow="0" w:firstColumn="0" w:lastColumn="0" w:oddVBand="0" w:evenVBand="0" w:oddHBand="0" w:evenHBand="0" w:firstRowFirstColumn="0" w:firstRowLastColumn="0" w:lastRowFirstColumn="0" w:lastRowLastColumn="0"/>
          <w:cantSplit/>
          <w:tblHeader/>
        </w:trPr>
        <w:tc>
          <w:tcPr>
            <w:tcW w:w="4706" w:type="dxa"/>
          </w:tcPr>
          <w:p w14:paraId="308C4DB7"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Supplier Personnel Grade</w:t>
            </w:r>
          </w:p>
        </w:tc>
        <w:tc>
          <w:tcPr>
            <w:tcW w:w="4762" w:type="dxa"/>
          </w:tcPr>
          <w:p w14:paraId="118E2300"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Day Cost (£)</w:t>
            </w:r>
          </w:p>
        </w:tc>
      </w:tr>
      <w:tr w:rsidR="00BC7DDA" w:rsidRPr="00BD6C5F" w14:paraId="2AB1FD2A" w14:textId="77777777" w:rsidTr="001F55C1">
        <w:trPr>
          <w:cantSplit/>
        </w:trPr>
        <w:tc>
          <w:tcPr>
            <w:tcW w:w="4706" w:type="dxa"/>
          </w:tcPr>
          <w:p w14:paraId="27797396" w14:textId="77777777" w:rsidR="00BC7DDA" w:rsidRPr="00BD6C5F" w:rsidRDefault="00BC7DDA" w:rsidP="001F55C1">
            <w:pPr>
              <w:pStyle w:val="Tabletext"/>
              <w:rPr>
                <w:rFonts w:asciiTheme="minorHAnsi" w:hAnsiTheme="minorHAnsi" w:cstheme="minorHAnsi"/>
              </w:rPr>
            </w:pPr>
          </w:p>
        </w:tc>
        <w:tc>
          <w:tcPr>
            <w:tcW w:w="4762" w:type="dxa"/>
          </w:tcPr>
          <w:p w14:paraId="79541B8E" w14:textId="77777777" w:rsidR="00BC7DDA" w:rsidRPr="00BD6C5F" w:rsidRDefault="00BC7DDA" w:rsidP="001F55C1">
            <w:pPr>
              <w:pStyle w:val="Tabletext"/>
              <w:rPr>
                <w:rFonts w:asciiTheme="minorHAnsi" w:hAnsiTheme="minorHAnsi" w:cstheme="minorHAnsi"/>
              </w:rPr>
            </w:pPr>
          </w:p>
        </w:tc>
      </w:tr>
      <w:tr w:rsidR="00BC7DDA" w:rsidRPr="00BD6C5F" w14:paraId="1446C218" w14:textId="77777777" w:rsidTr="001F55C1">
        <w:trPr>
          <w:cantSplit/>
        </w:trPr>
        <w:tc>
          <w:tcPr>
            <w:tcW w:w="4706" w:type="dxa"/>
          </w:tcPr>
          <w:p w14:paraId="094A015D" w14:textId="77777777" w:rsidR="00BC7DDA" w:rsidRPr="00BD6C5F" w:rsidRDefault="00BC7DDA" w:rsidP="001F55C1">
            <w:pPr>
              <w:pStyle w:val="Tabletext"/>
              <w:rPr>
                <w:rFonts w:asciiTheme="minorHAnsi" w:hAnsiTheme="minorHAnsi" w:cstheme="minorHAnsi"/>
              </w:rPr>
            </w:pPr>
          </w:p>
        </w:tc>
        <w:tc>
          <w:tcPr>
            <w:tcW w:w="4762" w:type="dxa"/>
          </w:tcPr>
          <w:p w14:paraId="7722FCBC" w14:textId="77777777" w:rsidR="00BC7DDA" w:rsidRPr="00BD6C5F" w:rsidRDefault="00BC7DDA" w:rsidP="001F55C1">
            <w:pPr>
              <w:pStyle w:val="Tabletext"/>
              <w:rPr>
                <w:rFonts w:asciiTheme="minorHAnsi" w:hAnsiTheme="minorHAnsi" w:cstheme="minorHAnsi"/>
              </w:rPr>
            </w:pPr>
          </w:p>
        </w:tc>
      </w:tr>
    </w:tbl>
    <w:p w14:paraId="1776BB94" w14:textId="77777777" w:rsidR="001F55C1" w:rsidRPr="00BD6C5F" w:rsidRDefault="001F55C1" w:rsidP="001F55C1">
      <w:bookmarkStart w:id="695" w:name="_bookmark237"/>
      <w:bookmarkEnd w:id="695"/>
    </w:p>
    <w:p w14:paraId="4249BB40" w14:textId="75B3DC1E" w:rsidR="00BC7DDA" w:rsidRPr="00BD6C5F" w:rsidRDefault="00183F6E" w:rsidP="00B71FC0">
      <w:pPr>
        <w:pStyle w:val="AppendixText1"/>
        <w:numPr>
          <w:ilvl w:val="0"/>
          <w:numId w:val="153"/>
        </w:numPr>
      </w:pPr>
      <w:r w:rsidRPr="00BD6C5F">
        <w:t>Table 4: Guaranteed Maximum Price with Target Costs Charges</w:t>
      </w:r>
    </w:p>
    <w:tbl>
      <w:tblPr>
        <w:tblStyle w:val="MSATable-header"/>
        <w:tblW w:w="0" w:type="auto"/>
        <w:tblInd w:w="720" w:type="dxa"/>
        <w:tblLayout w:type="fixed"/>
        <w:tblLook w:val="0620" w:firstRow="1" w:lastRow="0" w:firstColumn="0" w:lastColumn="0" w:noHBand="1" w:noVBand="1"/>
      </w:tblPr>
      <w:tblGrid>
        <w:gridCol w:w="1871"/>
        <w:gridCol w:w="1871"/>
        <w:gridCol w:w="1871"/>
        <w:gridCol w:w="1871"/>
        <w:gridCol w:w="1984"/>
      </w:tblGrid>
      <w:tr w:rsidR="00BC7DDA" w:rsidRPr="00BD6C5F" w14:paraId="5C1F0E22" w14:textId="77777777" w:rsidTr="00B91960">
        <w:trPr>
          <w:cnfStyle w:val="100000000000" w:firstRow="1" w:lastRow="0" w:firstColumn="0" w:lastColumn="0" w:oddVBand="0" w:evenVBand="0" w:oddHBand="0" w:evenHBand="0" w:firstRowFirstColumn="0" w:firstRowLastColumn="0" w:lastRowFirstColumn="0" w:lastRowLastColumn="0"/>
          <w:cantSplit/>
          <w:tblHeader/>
        </w:trPr>
        <w:tc>
          <w:tcPr>
            <w:tcW w:w="1871" w:type="dxa"/>
          </w:tcPr>
          <w:p w14:paraId="460A2E60"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Charge Number</w:t>
            </w:r>
          </w:p>
        </w:tc>
        <w:tc>
          <w:tcPr>
            <w:tcW w:w="1871" w:type="dxa"/>
          </w:tcPr>
          <w:p w14:paraId="0FA1E2AF"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Milestone Group (if applicable)</w:t>
            </w:r>
          </w:p>
        </w:tc>
        <w:tc>
          <w:tcPr>
            <w:tcW w:w="1871" w:type="dxa"/>
          </w:tcPr>
          <w:p w14:paraId="508203D4"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Target Cost (£)</w:t>
            </w:r>
          </w:p>
        </w:tc>
        <w:tc>
          <w:tcPr>
            <w:tcW w:w="1871" w:type="dxa"/>
          </w:tcPr>
          <w:p w14:paraId="26D9B4F5"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Target Price (£)</w:t>
            </w:r>
          </w:p>
        </w:tc>
        <w:tc>
          <w:tcPr>
            <w:tcW w:w="1984" w:type="dxa"/>
          </w:tcPr>
          <w:p w14:paraId="08FFE5C9"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Guaranteed Maximum Price (110% of Target Price) (£)</w:t>
            </w:r>
          </w:p>
        </w:tc>
      </w:tr>
      <w:tr w:rsidR="00BC7DDA" w:rsidRPr="00BD6C5F" w14:paraId="5192CB10" w14:textId="77777777" w:rsidTr="00B91960">
        <w:trPr>
          <w:cantSplit/>
        </w:trPr>
        <w:tc>
          <w:tcPr>
            <w:tcW w:w="9468" w:type="dxa"/>
            <w:gridSpan w:val="5"/>
            <w:shd w:val="clear" w:color="auto" w:fill="F0F0F0"/>
          </w:tcPr>
          <w:p w14:paraId="2E6E1E72"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242D9697" w14:textId="77777777" w:rsidTr="00B91960">
        <w:trPr>
          <w:cantSplit/>
        </w:trPr>
        <w:tc>
          <w:tcPr>
            <w:tcW w:w="1871" w:type="dxa"/>
          </w:tcPr>
          <w:p w14:paraId="078501E1"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lastRenderedPageBreak/>
              <w:t>[e.g. SL1M1]</w:t>
            </w:r>
          </w:p>
        </w:tc>
        <w:tc>
          <w:tcPr>
            <w:tcW w:w="1871" w:type="dxa"/>
          </w:tcPr>
          <w:p w14:paraId="14A5B8C8"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S1MG1]</w:t>
            </w:r>
          </w:p>
        </w:tc>
        <w:tc>
          <w:tcPr>
            <w:tcW w:w="1871" w:type="dxa"/>
          </w:tcPr>
          <w:p w14:paraId="34AE924B" w14:textId="77777777" w:rsidR="00BC7DDA" w:rsidRPr="00BD6C5F" w:rsidRDefault="00BC7DDA" w:rsidP="001F55C1">
            <w:pPr>
              <w:pStyle w:val="Tabletext"/>
              <w:rPr>
                <w:rFonts w:asciiTheme="minorHAnsi" w:hAnsiTheme="minorHAnsi" w:cstheme="minorHAnsi"/>
              </w:rPr>
            </w:pPr>
          </w:p>
        </w:tc>
        <w:tc>
          <w:tcPr>
            <w:tcW w:w="1871" w:type="dxa"/>
          </w:tcPr>
          <w:p w14:paraId="282F2595" w14:textId="77777777" w:rsidR="00BC7DDA" w:rsidRPr="00BD6C5F" w:rsidRDefault="00BC7DDA" w:rsidP="001F55C1">
            <w:pPr>
              <w:pStyle w:val="Tabletext"/>
              <w:rPr>
                <w:rFonts w:asciiTheme="minorHAnsi" w:hAnsiTheme="minorHAnsi" w:cstheme="minorHAnsi"/>
              </w:rPr>
            </w:pPr>
          </w:p>
        </w:tc>
        <w:tc>
          <w:tcPr>
            <w:tcW w:w="1984" w:type="dxa"/>
          </w:tcPr>
          <w:p w14:paraId="33C192E8" w14:textId="77777777" w:rsidR="00BC7DDA" w:rsidRPr="00BD6C5F" w:rsidRDefault="00BC7DDA" w:rsidP="001F55C1">
            <w:pPr>
              <w:pStyle w:val="Tabletext"/>
              <w:rPr>
                <w:rFonts w:asciiTheme="minorHAnsi" w:hAnsiTheme="minorHAnsi" w:cstheme="minorHAnsi"/>
              </w:rPr>
            </w:pPr>
          </w:p>
        </w:tc>
      </w:tr>
      <w:tr w:rsidR="00BC7DDA" w:rsidRPr="00BD6C5F" w14:paraId="5804FF21" w14:textId="77777777" w:rsidTr="00B91960">
        <w:trPr>
          <w:cantSplit/>
        </w:trPr>
        <w:tc>
          <w:tcPr>
            <w:tcW w:w="1871" w:type="dxa"/>
            <w:tcBorders>
              <w:bottom w:val="single" w:sz="4" w:space="0" w:color="auto"/>
            </w:tcBorders>
          </w:tcPr>
          <w:p w14:paraId="03F6DD33"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SL2M2]</w:t>
            </w:r>
          </w:p>
        </w:tc>
        <w:tc>
          <w:tcPr>
            <w:tcW w:w="1871" w:type="dxa"/>
            <w:tcBorders>
              <w:bottom w:val="single" w:sz="4" w:space="0" w:color="auto"/>
            </w:tcBorders>
          </w:tcPr>
          <w:p w14:paraId="3090A5CD"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S1MG2]</w:t>
            </w:r>
          </w:p>
        </w:tc>
        <w:tc>
          <w:tcPr>
            <w:tcW w:w="1871" w:type="dxa"/>
            <w:tcBorders>
              <w:bottom w:val="single" w:sz="4" w:space="0" w:color="auto"/>
            </w:tcBorders>
          </w:tcPr>
          <w:p w14:paraId="38356CC2" w14:textId="77777777" w:rsidR="00BC7DDA" w:rsidRPr="00BD6C5F" w:rsidRDefault="00BC7DDA" w:rsidP="001F55C1">
            <w:pPr>
              <w:pStyle w:val="Tabletext"/>
              <w:rPr>
                <w:rFonts w:asciiTheme="minorHAnsi" w:hAnsiTheme="minorHAnsi" w:cstheme="minorHAnsi"/>
              </w:rPr>
            </w:pPr>
          </w:p>
        </w:tc>
        <w:tc>
          <w:tcPr>
            <w:tcW w:w="1871" w:type="dxa"/>
            <w:tcBorders>
              <w:bottom w:val="single" w:sz="4" w:space="0" w:color="auto"/>
            </w:tcBorders>
          </w:tcPr>
          <w:p w14:paraId="749A2CA9" w14:textId="77777777" w:rsidR="00BC7DDA" w:rsidRPr="00BD6C5F" w:rsidRDefault="00BC7DDA" w:rsidP="001F55C1">
            <w:pPr>
              <w:pStyle w:val="Tabletext"/>
              <w:rPr>
                <w:rFonts w:asciiTheme="minorHAnsi" w:hAnsiTheme="minorHAnsi" w:cstheme="minorHAnsi"/>
              </w:rPr>
            </w:pPr>
          </w:p>
        </w:tc>
        <w:tc>
          <w:tcPr>
            <w:tcW w:w="1984" w:type="dxa"/>
            <w:tcBorders>
              <w:bottom w:val="single" w:sz="4" w:space="0" w:color="auto"/>
            </w:tcBorders>
          </w:tcPr>
          <w:p w14:paraId="59B03598" w14:textId="77777777" w:rsidR="00BC7DDA" w:rsidRPr="00BD6C5F" w:rsidRDefault="00BC7DDA" w:rsidP="001F55C1">
            <w:pPr>
              <w:pStyle w:val="Tabletext"/>
              <w:rPr>
                <w:rFonts w:asciiTheme="minorHAnsi" w:hAnsiTheme="minorHAnsi" w:cstheme="minorHAnsi"/>
              </w:rPr>
            </w:pPr>
          </w:p>
        </w:tc>
      </w:tr>
      <w:tr w:rsidR="00BC7DDA" w:rsidRPr="00BD6C5F" w14:paraId="23789B3B" w14:textId="77777777" w:rsidTr="00B91960">
        <w:trPr>
          <w:cantSplit/>
        </w:trPr>
        <w:tc>
          <w:tcPr>
            <w:tcW w:w="9468" w:type="dxa"/>
            <w:gridSpan w:val="5"/>
            <w:shd w:val="clear" w:color="auto" w:fill="F0F0F0"/>
          </w:tcPr>
          <w:p w14:paraId="52BC78F1"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3CDCE16A" w14:textId="77777777" w:rsidTr="00B91960">
        <w:trPr>
          <w:cantSplit/>
        </w:trPr>
        <w:tc>
          <w:tcPr>
            <w:tcW w:w="1871" w:type="dxa"/>
          </w:tcPr>
          <w:p w14:paraId="64E7EC91"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SL2M3]</w:t>
            </w:r>
          </w:p>
        </w:tc>
        <w:tc>
          <w:tcPr>
            <w:tcW w:w="1871" w:type="dxa"/>
          </w:tcPr>
          <w:p w14:paraId="306B511E"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S2MG1]</w:t>
            </w:r>
          </w:p>
        </w:tc>
        <w:tc>
          <w:tcPr>
            <w:tcW w:w="1871" w:type="dxa"/>
          </w:tcPr>
          <w:p w14:paraId="2013A898" w14:textId="77777777" w:rsidR="00BC7DDA" w:rsidRPr="00BD6C5F" w:rsidRDefault="00BC7DDA" w:rsidP="001F55C1">
            <w:pPr>
              <w:pStyle w:val="Tabletext"/>
              <w:rPr>
                <w:rFonts w:asciiTheme="minorHAnsi" w:hAnsiTheme="minorHAnsi" w:cstheme="minorHAnsi"/>
              </w:rPr>
            </w:pPr>
          </w:p>
        </w:tc>
        <w:tc>
          <w:tcPr>
            <w:tcW w:w="1871" w:type="dxa"/>
          </w:tcPr>
          <w:p w14:paraId="2D3787A4" w14:textId="77777777" w:rsidR="00BC7DDA" w:rsidRPr="00BD6C5F" w:rsidRDefault="00BC7DDA" w:rsidP="001F55C1">
            <w:pPr>
              <w:pStyle w:val="Tabletext"/>
              <w:rPr>
                <w:rFonts w:asciiTheme="minorHAnsi" w:hAnsiTheme="minorHAnsi" w:cstheme="minorHAnsi"/>
              </w:rPr>
            </w:pPr>
          </w:p>
        </w:tc>
        <w:tc>
          <w:tcPr>
            <w:tcW w:w="1984" w:type="dxa"/>
          </w:tcPr>
          <w:p w14:paraId="465B6FCD" w14:textId="77777777" w:rsidR="00BC7DDA" w:rsidRPr="00BD6C5F" w:rsidRDefault="00BC7DDA" w:rsidP="001F55C1">
            <w:pPr>
              <w:pStyle w:val="Tabletext"/>
              <w:rPr>
                <w:rFonts w:asciiTheme="minorHAnsi" w:hAnsiTheme="minorHAnsi" w:cstheme="minorHAnsi"/>
              </w:rPr>
            </w:pPr>
          </w:p>
        </w:tc>
      </w:tr>
      <w:tr w:rsidR="00BC7DDA" w:rsidRPr="00BD6C5F" w14:paraId="506B1830" w14:textId="77777777" w:rsidTr="00B91960">
        <w:trPr>
          <w:cantSplit/>
        </w:trPr>
        <w:tc>
          <w:tcPr>
            <w:tcW w:w="1871" w:type="dxa"/>
            <w:tcBorders>
              <w:bottom w:val="single" w:sz="4" w:space="0" w:color="auto"/>
            </w:tcBorders>
          </w:tcPr>
          <w:p w14:paraId="00C08677"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SL2M4]</w:t>
            </w:r>
          </w:p>
        </w:tc>
        <w:tc>
          <w:tcPr>
            <w:tcW w:w="1871" w:type="dxa"/>
            <w:tcBorders>
              <w:bottom w:val="single" w:sz="4" w:space="0" w:color="auto"/>
            </w:tcBorders>
          </w:tcPr>
          <w:p w14:paraId="74F3265E"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S2MG2]</w:t>
            </w:r>
          </w:p>
        </w:tc>
        <w:tc>
          <w:tcPr>
            <w:tcW w:w="1871" w:type="dxa"/>
            <w:tcBorders>
              <w:bottom w:val="single" w:sz="4" w:space="0" w:color="auto"/>
            </w:tcBorders>
          </w:tcPr>
          <w:p w14:paraId="2F13EB9F" w14:textId="77777777" w:rsidR="00BC7DDA" w:rsidRPr="00BD6C5F" w:rsidRDefault="00BC7DDA" w:rsidP="001F55C1">
            <w:pPr>
              <w:pStyle w:val="Tabletext"/>
              <w:rPr>
                <w:rFonts w:asciiTheme="minorHAnsi" w:hAnsiTheme="minorHAnsi" w:cstheme="minorHAnsi"/>
              </w:rPr>
            </w:pPr>
          </w:p>
        </w:tc>
        <w:tc>
          <w:tcPr>
            <w:tcW w:w="1871" w:type="dxa"/>
            <w:tcBorders>
              <w:bottom w:val="single" w:sz="4" w:space="0" w:color="auto"/>
            </w:tcBorders>
          </w:tcPr>
          <w:p w14:paraId="2A43015D" w14:textId="77777777" w:rsidR="00BC7DDA" w:rsidRPr="00BD6C5F" w:rsidRDefault="00BC7DDA" w:rsidP="001F55C1">
            <w:pPr>
              <w:pStyle w:val="Tabletext"/>
              <w:rPr>
                <w:rFonts w:asciiTheme="minorHAnsi" w:hAnsiTheme="minorHAnsi" w:cstheme="minorHAnsi"/>
              </w:rPr>
            </w:pPr>
          </w:p>
        </w:tc>
        <w:tc>
          <w:tcPr>
            <w:tcW w:w="1984" w:type="dxa"/>
            <w:tcBorders>
              <w:bottom w:val="single" w:sz="4" w:space="0" w:color="auto"/>
            </w:tcBorders>
          </w:tcPr>
          <w:p w14:paraId="67981504" w14:textId="77777777" w:rsidR="00BC7DDA" w:rsidRPr="00BD6C5F" w:rsidRDefault="00BC7DDA" w:rsidP="001F55C1">
            <w:pPr>
              <w:pStyle w:val="Tabletext"/>
              <w:rPr>
                <w:rFonts w:asciiTheme="minorHAnsi" w:hAnsiTheme="minorHAnsi" w:cstheme="minorHAnsi"/>
              </w:rPr>
            </w:pPr>
          </w:p>
        </w:tc>
      </w:tr>
      <w:tr w:rsidR="00BC7DDA" w:rsidRPr="00BD6C5F" w14:paraId="09255D14" w14:textId="77777777" w:rsidTr="00B91960">
        <w:trPr>
          <w:cantSplit/>
        </w:trPr>
        <w:tc>
          <w:tcPr>
            <w:tcW w:w="9468" w:type="dxa"/>
            <w:gridSpan w:val="5"/>
            <w:shd w:val="clear" w:color="auto" w:fill="F0F0F0"/>
          </w:tcPr>
          <w:p w14:paraId="378BCC32"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[X] – insert further rows as necessary]</w:t>
            </w:r>
          </w:p>
        </w:tc>
      </w:tr>
      <w:tr w:rsidR="00BC7DDA" w:rsidRPr="00BD6C5F" w14:paraId="6209170B" w14:textId="77777777" w:rsidTr="00B91960">
        <w:trPr>
          <w:cantSplit/>
        </w:trPr>
        <w:tc>
          <w:tcPr>
            <w:tcW w:w="1871" w:type="dxa"/>
          </w:tcPr>
          <w:p w14:paraId="7970839B"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1871" w:type="dxa"/>
          </w:tcPr>
          <w:p w14:paraId="6C75CC1D"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rPr>
              <w:t>…</w:t>
            </w:r>
          </w:p>
        </w:tc>
        <w:tc>
          <w:tcPr>
            <w:tcW w:w="1871" w:type="dxa"/>
          </w:tcPr>
          <w:p w14:paraId="7E2469A5" w14:textId="77777777" w:rsidR="00BC7DDA" w:rsidRPr="00BD6C5F" w:rsidRDefault="00BC7DDA" w:rsidP="001F55C1">
            <w:pPr>
              <w:pStyle w:val="Tabletext"/>
              <w:rPr>
                <w:rFonts w:asciiTheme="minorHAnsi" w:hAnsiTheme="minorHAnsi" w:cstheme="minorHAnsi"/>
              </w:rPr>
            </w:pPr>
          </w:p>
        </w:tc>
        <w:tc>
          <w:tcPr>
            <w:tcW w:w="1871" w:type="dxa"/>
          </w:tcPr>
          <w:p w14:paraId="55F5DB8C" w14:textId="77777777" w:rsidR="00BC7DDA" w:rsidRPr="00BD6C5F" w:rsidRDefault="00BC7DDA" w:rsidP="001F55C1">
            <w:pPr>
              <w:pStyle w:val="Tabletext"/>
              <w:rPr>
                <w:rFonts w:asciiTheme="minorHAnsi" w:hAnsiTheme="minorHAnsi" w:cstheme="minorHAnsi"/>
              </w:rPr>
            </w:pPr>
          </w:p>
        </w:tc>
        <w:tc>
          <w:tcPr>
            <w:tcW w:w="1984" w:type="dxa"/>
          </w:tcPr>
          <w:p w14:paraId="53F46665" w14:textId="77777777" w:rsidR="00BC7DDA" w:rsidRPr="00BD6C5F" w:rsidRDefault="00BC7DDA" w:rsidP="001F55C1">
            <w:pPr>
              <w:pStyle w:val="Tabletext"/>
              <w:rPr>
                <w:rFonts w:asciiTheme="minorHAnsi" w:hAnsiTheme="minorHAnsi" w:cstheme="minorHAnsi"/>
              </w:rPr>
            </w:pPr>
          </w:p>
        </w:tc>
      </w:tr>
      <w:tr w:rsidR="00BC7DDA" w:rsidRPr="00BD6C5F" w14:paraId="28BB535D" w14:textId="77777777" w:rsidTr="00B91960">
        <w:trPr>
          <w:cantSplit/>
        </w:trPr>
        <w:tc>
          <w:tcPr>
            <w:tcW w:w="1871" w:type="dxa"/>
          </w:tcPr>
          <w:p w14:paraId="11C5DF7C" w14:textId="77777777" w:rsidR="00BC7DDA" w:rsidRPr="00BD6C5F" w:rsidRDefault="00BC7DDA" w:rsidP="001F55C1">
            <w:pPr>
              <w:pStyle w:val="Tabletext"/>
              <w:rPr>
                <w:rFonts w:asciiTheme="minorHAnsi" w:hAnsiTheme="minorHAnsi" w:cstheme="minorHAnsi"/>
              </w:rPr>
            </w:pPr>
          </w:p>
        </w:tc>
        <w:tc>
          <w:tcPr>
            <w:tcW w:w="1871" w:type="dxa"/>
          </w:tcPr>
          <w:p w14:paraId="6F1B4D65" w14:textId="77777777" w:rsidR="00BC7DDA" w:rsidRPr="00BD6C5F" w:rsidRDefault="00BC7DDA" w:rsidP="001F55C1">
            <w:pPr>
              <w:pStyle w:val="Tabletext"/>
              <w:rPr>
                <w:rFonts w:asciiTheme="minorHAnsi" w:hAnsiTheme="minorHAnsi" w:cstheme="minorHAnsi"/>
              </w:rPr>
            </w:pPr>
          </w:p>
        </w:tc>
        <w:tc>
          <w:tcPr>
            <w:tcW w:w="1871" w:type="dxa"/>
          </w:tcPr>
          <w:p w14:paraId="0575021F" w14:textId="77777777" w:rsidR="00BC7DDA" w:rsidRPr="00BD6C5F" w:rsidRDefault="00BC7DDA" w:rsidP="001F55C1">
            <w:pPr>
              <w:pStyle w:val="Tabletext"/>
              <w:rPr>
                <w:rFonts w:asciiTheme="minorHAnsi" w:hAnsiTheme="minorHAnsi" w:cstheme="minorHAnsi"/>
              </w:rPr>
            </w:pPr>
          </w:p>
        </w:tc>
        <w:tc>
          <w:tcPr>
            <w:tcW w:w="1871" w:type="dxa"/>
          </w:tcPr>
          <w:p w14:paraId="74DF1E6C" w14:textId="77777777" w:rsidR="00BC7DDA" w:rsidRPr="00BD6C5F" w:rsidRDefault="00BC7DDA" w:rsidP="001F55C1">
            <w:pPr>
              <w:pStyle w:val="Tabletext"/>
              <w:rPr>
                <w:rFonts w:asciiTheme="minorHAnsi" w:hAnsiTheme="minorHAnsi" w:cstheme="minorHAnsi"/>
              </w:rPr>
            </w:pPr>
          </w:p>
        </w:tc>
        <w:tc>
          <w:tcPr>
            <w:tcW w:w="1984" w:type="dxa"/>
          </w:tcPr>
          <w:p w14:paraId="2E9F1A29" w14:textId="77777777" w:rsidR="00BC7DDA" w:rsidRPr="00BD6C5F" w:rsidRDefault="00BC7DDA" w:rsidP="001F55C1">
            <w:pPr>
              <w:pStyle w:val="Tabletext"/>
              <w:rPr>
                <w:rFonts w:asciiTheme="minorHAnsi" w:hAnsiTheme="minorHAnsi" w:cstheme="minorHAnsi"/>
              </w:rPr>
            </w:pPr>
          </w:p>
        </w:tc>
      </w:tr>
    </w:tbl>
    <w:p w14:paraId="13EB0AF5" w14:textId="77777777" w:rsidR="00D53BB7" w:rsidRPr="00BD6C5F" w:rsidRDefault="00D53BB7" w:rsidP="00FB245C"/>
    <w:p w14:paraId="1FACB758" w14:textId="1F91985B" w:rsidR="00BC7DDA" w:rsidRPr="00BD6C5F" w:rsidRDefault="00183F6E" w:rsidP="00B71FC0">
      <w:pPr>
        <w:pStyle w:val="AppendixText1"/>
        <w:numPr>
          <w:ilvl w:val="0"/>
          <w:numId w:val="153"/>
        </w:numPr>
      </w:pPr>
      <w:bookmarkStart w:id="696" w:name="_bookmark238"/>
      <w:bookmarkEnd w:id="696"/>
      <w:r w:rsidRPr="00BD6C5F">
        <w:t>Table 5: Fixed Prices</w:t>
      </w:r>
    </w:p>
    <w:tbl>
      <w:tblPr>
        <w:tblStyle w:val="MSATable-header"/>
        <w:tblW w:w="0" w:type="auto"/>
        <w:tblInd w:w="720" w:type="dxa"/>
        <w:tblLayout w:type="fixed"/>
        <w:tblLook w:val="0620" w:firstRow="1" w:lastRow="0" w:firstColumn="0" w:lastColumn="0" w:noHBand="1" w:noVBand="1"/>
      </w:tblPr>
      <w:tblGrid>
        <w:gridCol w:w="2665"/>
        <w:gridCol w:w="6803"/>
      </w:tblGrid>
      <w:tr w:rsidR="00BC7DDA" w:rsidRPr="00BD6C5F" w14:paraId="1319A6F9" w14:textId="77777777" w:rsidTr="00B91960">
        <w:trPr>
          <w:cnfStyle w:val="100000000000" w:firstRow="1" w:lastRow="0" w:firstColumn="0" w:lastColumn="0" w:oddVBand="0" w:evenVBand="0" w:oddHBand="0" w:evenHBand="0" w:firstRowFirstColumn="0" w:firstRowLastColumn="0" w:lastRowFirstColumn="0" w:lastRowLastColumn="0"/>
          <w:cantSplit/>
          <w:tblHeader/>
        </w:trPr>
        <w:tc>
          <w:tcPr>
            <w:tcW w:w="2665" w:type="dxa"/>
          </w:tcPr>
          <w:p w14:paraId="3AED3389"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Charge</w:t>
            </w:r>
          </w:p>
        </w:tc>
        <w:tc>
          <w:tcPr>
            <w:tcW w:w="6803" w:type="dxa"/>
          </w:tcPr>
          <w:p w14:paraId="38DEEFBA"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Fixed Charge (£)</w:t>
            </w:r>
          </w:p>
          <w:p w14:paraId="5B9F8E0E"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highlight w:val="yellow"/>
              </w:rPr>
              <w:t>[</w:t>
            </w:r>
            <w:r w:rsidRPr="00BD6C5F">
              <w:rPr>
                <w:rFonts w:asciiTheme="minorHAnsi" w:hAnsiTheme="minorHAnsi" w:cstheme="minorHAnsi"/>
                <w:bCs/>
                <w:highlight w:val="yellow"/>
              </w:rPr>
              <w:tab/>
              <w:t>]</w:t>
            </w:r>
          </w:p>
        </w:tc>
      </w:tr>
      <w:tr w:rsidR="00BC7DDA" w:rsidRPr="00BD6C5F" w14:paraId="3516E61D" w14:textId="77777777" w:rsidTr="00B91960">
        <w:trPr>
          <w:cantSplit/>
        </w:trPr>
        <w:tc>
          <w:tcPr>
            <w:tcW w:w="9468" w:type="dxa"/>
            <w:gridSpan w:val="2"/>
            <w:shd w:val="clear" w:color="auto" w:fill="F0F0F0"/>
          </w:tcPr>
          <w:p w14:paraId="5A2769E9"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72D291E5" w14:textId="77777777" w:rsidTr="00B91960">
        <w:trPr>
          <w:cantSplit/>
        </w:trPr>
        <w:tc>
          <w:tcPr>
            <w:tcW w:w="2665" w:type="dxa"/>
          </w:tcPr>
          <w:p w14:paraId="4A86B18A"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SL1M3]</w:t>
            </w:r>
          </w:p>
        </w:tc>
        <w:tc>
          <w:tcPr>
            <w:tcW w:w="6803" w:type="dxa"/>
          </w:tcPr>
          <w:p w14:paraId="2C55CE28" w14:textId="77777777" w:rsidR="00BC7DDA" w:rsidRPr="00BD6C5F" w:rsidRDefault="00BC7DDA" w:rsidP="001F55C1">
            <w:pPr>
              <w:pStyle w:val="Tabletext"/>
              <w:rPr>
                <w:rFonts w:asciiTheme="minorHAnsi" w:hAnsiTheme="minorHAnsi" w:cstheme="minorHAnsi"/>
              </w:rPr>
            </w:pPr>
          </w:p>
        </w:tc>
      </w:tr>
      <w:tr w:rsidR="00BC7DDA" w:rsidRPr="00BD6C5F" w14:paraId="73908E25" w14:textId="77777777" w:rsidTr="00B91960">
        <w:trPr>
          <w:cantSplit/>
        </w:trPr>
        <w:tc>
          <w:tcPr>
            <w:tcW w:w="2665" w:type="dxa"/>
          </w:tcPr>
          <w:p w14:paraId="1333F555"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SL1SC1]</w:t>
            </w:r>
          </w:p>
        </w:tc>
        <w:tc>
          <w:tcPr>
            <w:tcW w:w="6803" w:type="dxa"/>
          </w:tcPr>
          <w:p w14:paraId="4B576A29" w14:textId="77777777" w:rsidR="00BC7DDA" w:rsidRPr="00BD6C5F" w:rsidRDefault="00BC7DDA" w:rsidP="001F55C1">
            <w:pPr>
              <w:pStyle w:val="Tabletext"/>
              <w:rPr>
                <w:rFonts w:asciiTheme="minorHAnsi" w:hAnsiTheme="minorHAnsi" w:cstheme="minorHAnsi"/>
              </w:rPr>
            </w:pPr>
          </w:p>
        </w:tc>
      </w:tr>
      <w:tr w:rsidR="00BC7DDA" w:rsidRPr="00BD6C5F" w14:paraId="35E59370" w14:textId="77777777" w:rsidTr="00B91960">
        <w:trPr>
          <w:cantSplit/>
        </w:trPr>
        <w:tc>
          <w:tcPr>
            <w:tcW w:w="2665" w:type="dxa"/>
            <w:tcBorders>
              <w:bottom w:val="single" w:sz="4" w:space="0" w:color="auto"/>
            </w:tcBorders>
          </w:tcPr>
          <w:p w14:paraId="0BAA06D3"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SL1SC3]</w:t>
            </w:r>
          </w:p>
        </w:tc>
        <w:tc>
          <w:tcPr>
            <w:tcW w:w="6803" w:type="dxa"/>
            <w:tcBorders>
              <w:bottom w:val="single" w:sz="4" w:space="0" w:color="auto"/>
            </w:tcBorders>
          </w:tcPr>
          <w:p w14:paraId="14D476FD" w14:textId="77777777" w:rsidR="00BC7DDA" w:rsidRPr="00BD6C5F" w:rsidRDefault="00BC7DDA" w:rsidP="001F55C1">
            <w:pPr>
              <w:pStyle w:val="Tabletext"/>
              <w:rPr>
                <w:rFonts w:asciiTheme="minorHAnsi" w:hAnsiTheme="minorHAnsi" w:cstheme="minorHAnsi"/>
              </w:rPr>
            </w:pPr>
          </w:p>
        </w:tc>
      </w:tr>
      <w:tr w:rsidR="00BC7DDA" w:rsidRPr="00BD6C5F" w14:paraId="57424B82" w14:textId="77777777" w:rsidTr="00B91960">
        <w:trPr>
          <w:cantSplit/>
        </w:trPr>
        <w:tc>
          <w:tcPr>
            <w:tcW w:w="9468" w:type="dxa"/>
            <w:gridSpan w:val="2"/>
            <w:shd w:val="clear" w:color="auto" w:fill="F0F0F0"/>
          </w:tcPr>
          <w:p w14:paraId="43560D20"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11EFC8A1" w14:textId="77777777" w:rsidTr="00B91960">
        <w:trPr>
          <w:cantSplit/>
        </w:trPr>
        <w:tc>
          <w:tcPr>
            <w:tcW w:w="2665" w:type="dxa"/>
          </w:tcPr>
          <w:p w14:paraId="25578DA0"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SL2M3]</w:t>
            </w:r>
          </w:p>
        </w:tc>
        <w:tc>
          <w:tcPr>
            <w:tcW w:w="6803" w:type="dxa"/>
          </w:tcPr>
          <w:p w14:paraId="2AE0ECF9" w14:textId="77777777" w:rsidR="00BC7DDA" w:rsidRPr="00BD6C5F" w:rsidRDefault="00BC7DDA" w:rsidP="001F55C1">
            <w:pPr>
              <w:pStyle w:val="Tabletext"/>
              <w:rPr>
                <w:rFonts w:asciiTheme="minorHAnsi" w:hAnsiTheme="minorHAnsi" w:cstheme="minorHAnsi"/>
              </w:rPr>
            </w:pPr>
          </w:p>
        </w:tc>
      </w:tr>
      <w:tr w:rsidR="00BC7DDA" w:rsidRPr="00BD6C5F" w14:paraId="62600ACA" w14:textId="77777777" w:rsidTr="00B91960">
        <w:trPr>
          <w:cantSplit/>
        </w:trPr>
        <w:tc>
          <w:tcPr>
            <w:tcW w:w="2665" w:type="dxa"/>
          </w:tcPr>
          <w:p w14:paraId="36F0767F"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SL2SC1]</w:t>
            </w:r>
          </w:p>
        </w:tc>
        <w:tc>
          <w:tcPr>
            <w:tcW w:w="6803" w:type="dxa"/>
          </w:tcPr>
          <w:p w14:paraId="41FEADD8" w14:textId="77777777" w:rsidR="00BC7DDA" w:rsidRPr="00BD6C5F" w:rsidRDefault="00BC7DDA" w:rsidP="001F55C1">
            <w:pPr>
              <w:pStyle w:val="Tabletext"/>
              <w:rPr>
                <w:rFonts w:asciiTheme="minorHAnsi" w:hAnsiTheme="minorHAnsi" w:cstheme="minorHAnsi"/>
              </w:rPr>
            </w:pPr>
          </w:p>
        </w:tc>
      </w:tr>
      <w:tr w:rsidR="00BC7DDA" w:rsidRPr="00BD6C5F" w14:paraId="28C10881" w14:textId="77777777" w:rsidTr="00B91960">
        <w:trPr>
          <w:cantSplit/>
        </w:trPr>
        <w:tc>
          <w:tcPr>
            <w:tcW w:w="2665" w:type="dxa"/>
            <w:tcBorders>
              <w:bottom w:val="single" w:sz="4" w:space="0" w:color="auto"/>
            </w:tcBorders>
          </w:tcPr>
          <w:p w14:paraId="198AC0A0"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SL2SC3]</w:t>
            </w:r>
          </w:p>
        </w:tc>
        <w:tc>
          <w:tcPr>
            <w:tcW w:w="6803" w:type="dxa"/>
            <w:tcBorders>
              <w:bottom w:val="single" w:sz="4" w:space="0" w:color="auto"/>
            </w:tcBorders>
          </w:tcPr>
          <w:p w14:paraId="7B0C7A69" w14:textId="77777777" w:rsidR="00BC7DDA" w:rsidRPr="00BD6C5F" w:rsidRDefault="00BC7DDA" w:rsidP="001F55C1">
            <w:pPr>
              <w:pStyle w:val="Tabletext"/>
              <w:rPr>
                <w:rFonts w:asciiTheme="minorHAnsi" w:hAnsiTheme="minorHAnsi" w:cstheme="minorHAnsi"/>
              </w:rPr>
            </w:pPr>
          </w:p>
        </w:tc>
      </w:tr>
      <w:tr w:rsidR="00BC7DDA" w:rsidRPr="00BD6C5F" w14:paraId="34F62227" w14:textId="77777777" w:rsidTr="00B91960">
        <w:trPr>
          <w:cantSplit/>
        </w:trPr>
        <w:tc>
          <w:tcPr>
            <w:tcW w:w="9468" w:type="dxa"/>
            <w:gridSpan w:val="2"/>
            <w:shd w:val="clear" w:color="auto" w:fill="F0F0F0"/>
          </w:tcPr>
          <w:p w14:paraId="1070082B"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 xml:space="preserve">[Service Line [X] – </w:t>
            </w:r>
            <w:r w:rsidRPr="00BD6C5F">
              <w:rPr>
                <w:rFonts w:asciiTheme="minorHAnsi" w:hAnsiTheme="minorHAnsi" w:cstheme="minorHAnsi"/>
                <w:b/>
                <w:iCs/>
                <w:shd w:val="clear" w:color="auto" w:fill="FFFF00"/>
              </w:rPr>
              <w:t>insert further rows as necessary</w:t>
            </w:r>
            <w:r w:rsidRPr="00BD6C5F">
              <w:rPr>
                <w:rFonts w:asciiTheme="minorHAnsi" w:hAnsiTheme="minorHAnsi" w:cstheme="minorHAnsi"/>
                <w:b/>
                <w:shd w:val="clear" w:color="auto" w:fill="FFFF00"/>
              </w:rPr>
              <w:t>]</w:t>
            </w:r>
          </w:p>
        </w:tc>
      </w:tr>
      <w:tr w:rsidR="00BC7DDA" w:rsidRPr="00BD6C5F" w14:paraId="2F960E11" w14:textId="77777777" w:rsidTr="00B91960">
        <w:trPr>
          <w:cantSplit/>
        </w:trPr>
        <w:tc>
          <w:tcPr>
            <w:tcW w:w="2665" w:type="dxa"/>
          </w:tcPr>
          <w:p w14:paraId="61890569"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6803" w:type="dxa"/>
          </w:tcPr>
          <w:p w14:paraId="60A185C7" w14:textId="77777777" w:rsidR="00BC7DDA" w:rsidRPr="00BD6C5F" w:rsidRDefault="00BC7DDA" w:rsidP="001F55C1">
            <w:pPr>
              <w:pStyle w:val="Tabletext"/>
              <w:rPr>
                <w:rFonts w:asciiTheme="minorHAnsi" w:hAnsiTheme="minorHAnsi" w:cstheme="minorHAnsi"/>
              </w:rPr>
            </w:pPr>
          </w:p>
        </w:tc>
      </w:tr>
      <w:tr w:rsidR="00BC7DDA" w:rsidRPr="00BD6C5F" w14:paraId="16428B18" w14:textId="77777777" w:rsidTr="00B91960">
        <w:trPr>
          <w:cantSplit/>
        </w:trPr>
        <w:tc>
          <w:tcPr>
            <w:tcW w:w="2665" w:type="dxa"/>
          </w:tcPr>
          <w:p w14:paraId="2AA675CC" w14:textId="77777777" w:rsidR="00BC7DDA" w:rsidRPr="00BD6C5F" w:rsidRDefault="00BC7DDA" w:rsidP="001F55C1">
            <w:pPr>
              <w:pStyle w:val="Tabletext"/>
              <w:rPr>
                <w:rFonts w:asciiTheme="minorHAnsi" w:hAnsiTheme="minorHAnsi" w:cstheme="minorHAnsi"/>
              </w:rPr>
            </w:pPr>
          </w:p>
        </w:tc>
        <w:tc>
          <w:tcPr>
            <w:tcW w:w="6803" w:type="dxa"/>
          </w:tcPr>
          <w:p w14:paraId="4F01E1DC" w14:textId="77777777" w:rsidR="00BC7DDA" w:rsidRPr="00BD6C5F" w:rsidRDefault="00BC7DDA" w:rsidP="001F55C1">
            <w:pPr>
              <w:pStyle w:val="Tabletext"/>
              <w:rPr>
                <w:rFonts w:asciiTheme="minorHAnsi" w:hAnsiTheme="minorHAnsi" w:cstheme="minorHAnsi"/>
              </w:rPr>
            </w:pPr>
          </w:p>
        </w:tc>
      </w:tr>
    </w:tbl>
    <w:p w14:paraId="2A7F5657" w14:textId="77777777" w:rsidR="00BC7DDA" w:rsidRPr="00BD6C5F" w:rsidRDefault="00BC7DDA" w:rsidP="00FB245C"/>
    <w:p w14:paraId="72200378" w14:textId="618A8EF3" w:rsidR="00BC7DDA" w:rsidRPr="00BD6C5F" w:rsidRDefault="00183F6E" w:rsidP="00B71FC0">
      <w:pPr>
        <w:pStyle w:val="AppendixText1"/>
        <w:numPr>
          <w:ilvl w:val="0"/>
          <w:numId w:val="153"/>
        </w:numPr>
      </w:pPr>
      <w:bookmarkStart w:id="697" w:name="_bookmark239"/>
      <w:bookmarkEnd w:id="697"/>
      <w:r w:rsidRPr="00BD6C5F">
        <w:lastRenderedPageBreak/>
        <w:t>Table 6: Firm Prices</w:t>
      </w:r>
    </w:p>
    <w:tbl>
      <w:tblPr>
        <w:tblStyle w:val="MSATable-header"/>
        <w:tblW w:w="9468" w:type="dxa"/>
        <w:tblInd w:w="720" w:type="dxa"/>
        <w:tblLayout w:type="fixed"/>
        <w:tblLook w:val="0620" w:firstRow="1" w:lastRow="0" w:firstColumn="0" w:lastColumn="0" w:noHBand="1" w:noVBand="1"/>
      </w:tblPr>
      <w:tblGrid>
        <w:gridCol w:w="2665"/>
        <w:gridCol w:w="6803"/>
      </w:tblGrid>
      <w:tr w:rsidR="00BC7DDA" w:rsidRPr="00BD6C5F" w14:paraId="5280CAF3" w14:textId="77777777" w:rsidTr="00F92BEE">
        <w:trPr>
          <w:cnfStyle w:val="100000000000" w:firstRow="1" w:lastRow="0" w:firstColumn="0" w:lastColumn="0" w:oddVBand="0" w:evenVBand="0" w:oddHBand="0" w:evenHBand="0" w:firstRowFirstColumn="0" w:firstRowLastColumn="0" w:lastRowFirstColumn="0" w:lastRowLastColumn="0"/>
          <w:cantSplit/>
          <w:tblHeader/>
        </w:trPr>
        <w:tc>
          <w:tcPr>
            <w:tcW w:w="2665" w:type="dxa"/>
          </w:tcPr>
          <w:p w14:paraId="09C88545"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Charge</w:t>
            </w:r>
          </w:p>
        </w:tc>
        <w:tc>
          <w:tcPr>
            <w:tcW w:w="6803" w:type="dxa"/>
          </w:tcPr>
          <w:p w14:paraId="6CAD6176"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Firm Charge (£)</w:t>
            </w:r>
          </w:p>
        </w:tc>
      </w:tr>
      <w:tr w:rsidR="00BC7DDA" w:rsidRPr="00BD6C5F" w14:paraId="61353D34" w14:textId="77777777" w:rsidTr="00F92BEE">
        <w:trPr>
          <w:cantSplit/>
        </w:trPr>
        <w:tc>
          <w:tcPr>
            <w:tcW w:w="9468" w:type="dxa"/>
            <w:gridSpan w:val="2"/>
          </w:tcPr>
          <w:p w14:paraId="31F6B973"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78610C63" w14:textId="77777777" w:rsidTr="00F92BEE">
        <w:trPr>
          <w:cantSplit/>
        </w:trPr>
        <w:tc>
          <w:tcPr>
            <w:tcW w:w="2665" w:type="dxa"/>
          </w:tcPr>
          <w:p w14:paraId="5279D838"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SL1M4]</w:t>
            </w:r>
          </w:p>
        </w:tc>
        <w:tc>
          <w:tcPr>
            <w:tcW w:w="6803" w:type="dxa"/>
          </w:tcPr>
          <w:p w14:paraId="2768BE80" w14:textId="77777777" w:rsidR="00BC7DDA" w:rsidRPr="00BD6C5F" w:rsidRDefault="00BC7DDA" w:rsidP="001F55C1">
            <w:pPr>
              <w:pStyle w:val="Tabletext"/>
              <w:rPr>
                <w:rFonts w:asciiTheme="minorHAnsi" w:hAnsiTheme="minorHAnsi" w:cstheme="minorHAnsi"/>
              </w:rPr>
            </w:pPr>
          </w:p>
        </w:tc>
      </w:tr>
      <w:tr w:rsidR="00BC7DDA" w:rsidRPr="00BD6C5F" w14:paraId="133B5608" w14:textId="77777777" w:rsidTr="00F92BEE">
        <w:trPr>
          <w:cantSplit/>
        </w:trPr>
        <w:tc>
          <w:tcPr>
            <w:tcW w:w="2665" w:type="dxa"/>
          </w:tcPr>
          <w:p w14:paraId="3E2534A4"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SL1MS3]</w:t>
            </w:r>
          </w:p>
        </w:tc>
        <w:tc>
          <w:tcPr>
            <w:tcW w:w="6803" w:type="dxa"/>
          </w:tcPr>
          <w:p w14:paraId="34614907" w14:textId="77777777" w:rsidR="00BC7DDA" w:rsidRPr="00BD6C5F" w:rsidRDefault="00BC7DDA" w:rsidP="001F55C1">
            <w:pPr>
              <w:pStyle w:val="Tabletext"/>
              <w:rPr>
                <w:rFonts w:asciiTheme="minorHAnsi" w:hAnsiTheme="minorHAnsi" w:cstheme="minorHAnsi"/>
              </w:rPr>
            </w:pPr>
          </w:p>
        </w:tc>
      </w:tr>
      <w:tr w:rsidR="00BC7DDA" w:rsidRPr="00BD6C5F" w14:paraId="117D53FC" w14:textId="77777777" w:rsidTr="00F92BEE">
        <w:trPr>
          <w:cantSplit/>
        </w:trPr>
        <w:tc>
          <w:tcPr>
            <w:tcW w:w="9468" w:type="dxa"/>
            <w:gridSpan w:val="2"/>
          </w:tcPr>
          <w:p w14:paraId="66602521"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12FDDA66" w14:textId="77777777" w:rsidTr="00F92BEE">
        <w:trPr>
          <w:cantSplit/>
        </w:trPr>
        <w:tc>
          <w:tcPr>
            <w:tcW w:w="2665" w:type="dxa"/>
          </w:tcPr>
          <w:p w14:paraId="100B9ABB"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SL2M4]</w:t>
            </w:r>
          </w:p>
        </w:tc>
        <w:tc>
          <w:tcPr>
            <w:tcW w:w="6803" w:type="dxa"/>
          </w:tcPr>
          <w:p w14:paraId="283BA38B" w14:textId="77777777" w:rsidR="00BC7DDA" w:rsidRPr="00BD6C5F" w:rsidRDefault="00BC7DDA" w:rsidP="001F55C1">
            <w:pPr>
              <w:pStyle w:val="Tabletext"/>
              <w:rPr>
                <w:rFonts w:asciiTheme="minorHAnsi" w:hAnsiTheme="minorHAnsi" w:cstheme="minorHAnsi"/>
              </w:rPr>
            </w:pPr>
          </w:p>
        </w:tc>
      </w:tr>
      <w:tr w:rsidR="00BC7DDA" w:rsidRPr="00BD6C5F" w14:paraId="3CAA28AD" w14:textId="77777777" w:rsidTr="00F92BEE">
        <w:trPr>
          <w:cantSplit/>
        </w:trPr>
        <w:tc>
          <w:tcPr>
            <w:tcW w:w="2665" w:type="dxa"/>
          </w:tcPr>
          <w:p w14:paraId="2FB038CC"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[e.g. SL2MS3]</w:t>
            </w:r>
          </w:p>
        </w:tc>
        <w:tc>
          <w:tcPr>
            <w:tcW w:w="6803" w:type="dxa"/>
          </w:tcPr>
          <w:p w14:paraId="167FB75D" w14:textId="77777777" w:rsidR="00BC7DDA" w:rsidRPr="00BD6C5F" w:rsidRDefault="00BC7DDA" w:rsidP="001F55C1">
            <w:pPr>
              <w:pStyle w:val="Tabletext"/>
              <w:rPr>
                <w:rFonts w:asciiTheme="minorHAnsi" w:hAnsiTheme="minorHAnsi" w:cstheme="minorHAnsi"/>
              </w:rPr>
            </w:pPr>
          </w:p>
        </w:tc>
      </w:tr>
      <w:tr w:rsidR="00BC7DDA" w:rsidRPr="00BD6C5F" w14:paraId="52F64548" w14:textId="77777777" w:rsidTr="00F92BEE">
        <w:trPr>
          <w:cantSplit/>
        </w:trPr>
        <w:tc>
          <w:tcPr>
            <w:tcW w:w="9468" w:type="dxa"/>
            <w:gridSpan w:val="2"/>
          </w:tcPr>
          <w:p w14:paraId="66E75009" w14:textId="77777777" w:rsidR="00BC7DDA" w:rsidRPr="00BD6C5F" w:rsidRDefault="009B03E9" w:rsidP="001F55C1">
            <w:pPr>
              <w:pStyle w:val="Tabletext"/>
              <w:rPr>
                <w:rFonts w:asciiTheme="minorHAnsi" w:hAnsiTheme="minorHAnsi" w:cstheme="minorHAnsi"/>
                <w:b/>
              </w:rPr>
            </w:pPr>
            <w:r w:rsidRPr="00BD6C5F">
              <w:rPr>
                <w:rFonts w:asciiTheme="minorHAnsi" w:hAnsiTheme="minorHAnsi" w:cstheme="minorHAnsi"/>
                <w:b/>
                <w:shd w:val="clear" w:color="auto" w:fill="FFFF00"/>
              </w:rPr>
              <w:t>[Service Line [X] – insert further rows as necessary]</w:t>
            </w:r>
          </w:p>
        </w:tc>
      </w:tr>
      <w:tr w:rsidR="00BC7DDA" w:rsidRPr="00BD6C5F" w14:paraId="4219C242" w14:textId="77777777" w:rsidTr="00F92BEE">
        <w:trPr>
          <w:cantSplit/>
        </w:trPr>
        <w:tc>
          <w:tcPr>
            <w:tcW w:w="2665" w:type="dxa"/>
          </w:tcPr>
          <w:p w14:paraId="6498E8AF"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6803" w:type="dxa"/>
          </w:tcPr>
          <w:p w14:paraId="59238107" w14:textId="77777777" w:rsidR="00BC7DDA" w:rsidRPr="00BD6C5F" w:rsidRDefault="009B03E9" w:rsidP="001F55C1">
            <w:pPr>
              <w:pStyle w:val="Tabletext"/>
              <w:rPr>
                <w:rFonts w:asciiTheme="minorHAnsi" w:hAnsiTheme="minorHAnsi" w:cstheme="minorHAnsi"/>
              </w:rPr>
            </w:pPr>
            <w:r w:rsidRPr="00BD6C5F">
              <w:rPr>
                <w:rFonts w:asciiTheme="minorHAnsi" w:hAnsiTheme="minorHAnsi" w:cstheme="minorHAnsi"/>
              </w:rPr>
              <w:t>…</w:t>
            </w:r>
          </w:p>
        </w:tc>
      </w:tr>
    </w:tbl>
    <w:p w14:paraId="713E3A36" w14:textId="7209CF9C" w:rsidR="00BC7DDA" w:rsidRPr="00BD6C5F" w:rsidRDefault="00CC72E1" w:rsidP="00FB245C">
      <w:r w:rsidRPr="00BD6C5F">
        <w:rPr>
          <w:noProof/>
          <w:lang w:eastAsia="en-GB" w:bidi="ar-SA"/>
        </w:rPr>
        <mc:AlternateContent>
          <mc:Choice Requires="wps">
            <w:drawing>
              <wp:anchor distT="0" distB="0" distL="114300" distR="114300" simplePos="0" relativeHeight="252206080" behindDoc="1" locked="0" layoutInCell="1" allowOverlap="1" wp14:anchorId="26F3180C" wp14:editId="7D6E8675">
                <wp:simplePos x="0" y="0"/>
                <wp:positionH relativeFrom="page">
                  <wp:posOffset>1429385</wp:posOffset>
                </wp:positionH>
                <wp:positionV relativeFrom="page">
                  <wp:posOffset>4052570</wp:posOffset>
                </wp:positionV>
                <wp:extent cx="949960" cy="177800"/>
                <wp:effectExtent l="0" t="0" r="0" b="0"/>
                <wp:wrapNone/>
                <wp:docPr id="3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177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371F" id="Rectangle 86" o:spid="_x0000_s1026" style="position:absolute;margin-left:112.55pt;margin-top:319.1pt;width:74.8pt;height:14pt;z-index:-2511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" fillcolor="yellow" stroked="f">
                <w10:wrap anchorx="page" anchory="page"/>
              </v:rect>
            </w:pict>
          </mc:Fallback>
        </mc:AlternateContent>
      </w:r>
      <w:r w:rsidRPr="00BD6C5F">
        <w:rPr>
          <w:noProof/>
          <w:lang w:eastAsia="en-GB" w:bidi="ar-SA"/>
        </w:rPr>
        <mc:AlternateContent>
          <mc:Choice Requires="wps">
            <w:drawing>
              <wp:anchor distT="0" distB="0" distL="114300" distR="114300" simplePos="0" relativeHeight="252715008" behindDoc="1" locked="0" layoutInCell="1" allowOverlap="1" wp14:anchorId="4D33631F" wp14:editId="2F7722FF">
                <wp:simplePos x="0" y="0"/>
                <wp:positionH relativeFrom="page">
                  <wp:posOffset>1429385</wp:posOffset>
                </wp:positionH>
                <wp:positionV relativeFrom="page">
                  <wp:posOffset>5170170</wp:posOffset>
                </wp:positionV>
                <wp:extent cx="949960" cy="174625"/>
                <wp:effectExtent l="0" t="0" r="0" b="0"/>
                <wp:wrapNone/>
                <wp:docPr id="30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0440" id="Rectangle 79" o:spid="_x0000_s1026" style="position:absolute;margin-left:112.55pt;margin-top:407.1pt;width:74.8pt;height:13.75pt;z-index:-2506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" fillcolor="yellow" stroked="f">
                <w10:wrap anchorx="page" anchory="page"/>
              </v:rect>
            </w:pict>
          </mc:Fallback>
        </mc:AlternateContent>
      </w:r>
    </w:p>
    <w:p w14:paraId="319FE9A0" w14:textId="0DE1AE35" w:rsidR="00BC7DDA" w:rsidRPr="00BD6C5F" w:rsidRDefault="00183F6E" w:rsidP="00B71FC0">
      <w:pPr>
        <w:pStyle w:val="AppendixText1"/>
        <w:numPr>
          <w:ilvl w:val="0"/>
          <w:numId w:val="153"/>
        </w:numPr>
      </w:pPr>
      <w:bookmarkStart w:id="698" w:name="_bookmark240"/>
      <w:bookmarkEnd w:id="698"/>
      <w:r w:rsidRPr="00BD6C5F">
        <w:t>Table 7: Volume Charges</w:t>
      </w:r>
    </w:p>
    <w:tbl>
      <w:tblPr>
        <w:tblStyle w:val="MSATable-header"/>
        <w:tblW w:w="0" w:type="auto"/>
        <w:tblInd w:w="720" w:type="dxa"/>
        <w:tblLayout w:type="fixed"/>
        <w:tblLook w:val="0620" w:firstRow="1" w:lastRow="0" w:firstColumn="0" w:lastColumn="0" w:noHBand="1" w:noVBand="1"/>
      </w:tblPr>
      <w:tblGrid>
        <w:gridCol w:w="1984"/>
        <w:gridCol w:w="1984"/>
        <w:gridCol w:w="3231"/>
        <w:gridCol w:w="2273"/>
      </w:tblGrid>
      <w:tr w:rsidR="00BC7DDA" w:rsidRPr="00BD6C5F" w14:paraId="2619B39D" w14:textId="77777777" w:rsidTr="00BB3E3B">
        <w:trPr>
          <w:cnfStyle w:val="100000000000" w:firstRow="1" w:lastRow="0" w:firstColumn="0" w:lastColumn="0" w:oddVBand="0" w:evenVBand="0" w:oddHBand="0" w:evenHBand="0" w:firstRowFirstColumn="0" w:firstRowLastColumn="0" w:lastRowFirstColumn="0" w:lastRowLastColumn="0"/>
          <w:cantSplit/>
          <w:tblHeader/>
        </w:trPr>
        <w:tc>
          <w:tcPr>
            <w:tcW w:w="1984" w:type="dxa"/>
          </w:tcPr>
          <w:p w14:paraId="47DF96C9"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Charge Number</w:t>
            </w:r>
          </w:p>
        </w:tc>
        <w:tc>
          <w:tcPr>
            <w:tcW w:w="1984" w:type="dxa"/>
          </w:tcPr>
          <w:p w14:paraId="67A884CB"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Unit</w:t>
            </w:r>
          </w:p>
        </w:tc>
        <w:tc>
          <w:tcPr>
            <w:tcW w:w="3231" w:type="dxa"/>
          </w:tcPr>
          <w:p w14:paraId="46FB4F8A"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Number of units per Service Period</w:t>
            </w:r>
          </w:p>
        </w:tc>
        <w:tc>
          <w:tcPr>
            <w:tcW w:w="2273" w:type="dxa"/>
          </w:tcPr>
          <w:p w14:paraId="32273B46" w14:textId="77777777" w:rsidR="00BC7DDA" w:rsidRPr="00BD6C5F" w:rsidRDefault="009B03E9" w:rsidP="001F55C1">
            <w:pPr>
              <w:pStyle w:val="Tabletext"/>
              <w:rPr>
                <w:rFonts w:asciiTheme="minorHAnsi" w:hAnsiTheme="minorHAnsi" w:cstheme="minorHAnsi"/>
                <w:bCs/>
              </w:rPr>
            </w:pPr>
            <w:r w:rsidRPr="00BD6C5F">
              <w:rPr>
                <w:rFonts w:asciiTheme="minorHAnsi" w:hAnsiTheme="minorHAnsi" w:cstheme="minorHAnsi"/>
                <w:bCs/>
              </w:rPr>
              <w:t>Charge per unit (£)</w:t>
            </w:r>
          </w:p>
        </w:tc>
      </w:tr>
      <w:tr w:rsidR="001F06F8" w:rsidRPr="00BD6C5F" w14:paraId="5D448D8C" w14:textId="77777777" w:rsidTr="00BB3E3B">
        <w:trPr>
          <w:cantSplit/>
        </w:trPr>
        <w:tc>
          <w:tcPr>
            <w:tcW w:w="9472" w:type="dxa"/>
            <w:gridSpan w:val="4"/>
            <w:shd w:val="clear" w:color="auto" w:fill="F0F0F0"/>
          </w:tcPr>
          <w:p w14:paraId="44CF3C2E" w14:textId="02B9BB0E" w:rsidR="001F06F8" w:rsidRPr="00BD6C5F" w:rsidRDefault="001F06F8" w:rsidP="001F55C1">
            <w:pPr>
              <w:pStyle w:val="Tabletext"/>
              <w:rPr>
                <w:rFonts w:asciiTheme="minorHAnsi" w:hAnsiTheme="minorHAnsi" w:cstheme="minorHAnsi"/>
                <w:b/>
                <w:bCs/>
                <w:highlight w:val="yellow"/>
              </w:rPr>
            </w:pPr>
            <w:r w:rsidRPr="00BD6C5F">
              <w:rPr>
                <w:rFonts w:asciiTheme="minorHAnsi" w:hAnsiTheme="minorHAnsi" w:cstheme="minorHAnsi"/>
                <w:b/>
                <w:bCs/>
                <w:highlight w:val="yellow"/>
              </w:rPr>
              <w:t>[Service Line 1]</w:t>
            </w:r>
          </w:p>
        </w:tc>
      </w:tr>
      <w:tr w:rsidR="00BB3E3B" w:rsidRPr="00BD6C5F" w14:paraId="51269DB3" w14:textId="77777777" w:rsidTr="00BB3E3B">
        <w:trPr>
          <w:cantSplit/>
        </w:trPr>
        <w:tc>
          <w:tcPr>
            <w:tcW w:w="1984" w:type="dxa"/>
            <w:vMerge w:val="restart"/>
          </w:tcPr>
          <w:p w14:paraId="60B2501B" w14:textId="733B9F11"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[e.g. SL1VC2]</w:t>
            </w:r>
          </w:p>
        </w:tc>
        <w:tc>
          <w:tcPr>
            <w:tcW w:w="1984" w:type="dxa"/>
            <w:vMerge w:val="restart"/>
          </w:tcPr>
          <w:p w14:paraId="33B7F892" w14:textId="77777777" w:rsidR="00BB3E3B" w:rsidRPr="00BD6C5F" w:rsidRDefault="00BB3E3B" w:rsidP="001F55C1">
            <w:pPr>
              <w:pStyle w:val="Tabletext"/>
              <w:rPr>
                <w:rFonts w:asciiTheme="minorHAnsi" w:hAnsiTheme="minorHAnsi" w:cstheme="minorHAnsi"/>
              </w:rPr>
            </w:pPr>
          </w:p>
        </w:tc>
        <w:tc>
          <w:tcPr>
            <w:tcW w:w="3231" w:type="dxa"/>
          </w:tcPr>
          <w:p w14:paraId="5120EFC0" w14:textId="707B5660" w:rsidR="00BB3E3B" w:rsidRPr="00BD6C5F" w:rsidRDefault="00BB3E3B" w:rsidP="00F92BEE">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353BC5F8" w14:textId="18BF4AC6"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7CD8A2D2" w14:textId="77777777" w:rsidTr="00BB3E3B">
        <w:trPr>
          <w:cantSplit/>
        </w:trPr>
        <w:tc>
          <w:tcPr>
            <w:tcW w:w="1984" w:type="dxa"/>
            <w:vMerge/>
          </w:tcPr>
          <w:p w14:paraId="517CB75D" w14:textId="77777777" w:rsidR="00BB3E3B" w:rsidRPr="00BD6C5F" w:rsidRDefault="00BB3E3B" w:rsidP="00C43F63">
            <w:pPr>
              <w:rPr>
                <w:rFonts w:asciiTheme="minorHAnsi" w:hAnsiTheme="minorHAnsi" w:cstheme="minorHAnsi"/>
                <w:highlight w:val="yellow"/>
              </w:rPr>
            </w:pPr>
          </w:p>
        </w:tc>
        <w:tc>
          <w:tcPr>
            <w:tcW w:w="1984" w:type="dxa"/>
            <w:vMerge/>
          </w:tcPr>
          <w:p w14:paraId="389354BC" w14:textId="77777777" w:rsidR="00BB3E3B" w:rsidRPr="00BD6C5F" w:rsidRDefault="00BB3E3B" w:rsidP="001F55C1">
            <w:pPr>
              <w:pStyle w:val="Tabletext"/>
              <w:rPr>
                <w:rFonts w:asciiTheme="minorHAnsi" w:hAnsiTheme="minorHAnsi" w:cstheme="minorHAnsi"/>
              </w:rPr>
            </w:pPr>
          </w:p>
        </w:tc>
        <w:tc>
          <w:tcPr>
            <w:tcW w:w="3231" w:type="dxa"/>
          </w:tcPr>
          <w:p w14:paraId="53A1EE52" w14:textId="5405FC62"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6DA8B946" w14:textId="253C789D"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6D9B2EFC" w14:textId="77777777" w:rsidTr="00BB3E3B">
        <w:trPr>
          <w:cantSplit/>
        </w:trPr>
        <w:tc>
          <w:tcPr>
            <w:tcW w:w="1984" w:type="dxa"/>
            <w:vMerge/>
          </w:tcPr>
          <w:p w14:paraId="1DEB3DD0" w14:textId="77777777" w:rsidR="00BB3E3B" w:rsidRPr="00BD6C5F" w:rsidRDefault="00BB3E3B" w:rsidP="00C43F63">
            <w:pPr>
              <w:rPr>
                <w:rFonts w:asciiTheme="minorHAnsi" w:hAnsiTheme="minorHAnsi" w:cstheme="minorHAnsi"/>
                <w:highlight w:val="yellow"/>
              </w:rPr>
            </w:pPr>
          </w:p>
        </w:tc>
        <w:tc>
          <w:tcPr>
            <w:tcW w:w="1984" w:type="dxa"/>
            <w:vMerge/>
          </w:tcPr>
          <w:p w14:paraId="64AF2136" w14:textId="77777777" w:rsidR="00BB3E3B" w:rsidRPr="00BD6C5F" w:rsidRDefault="00BB3E3B" w:rsidP="001F55C1">
            <w:pPr>
              <w:pStyle w:val="Tabletext"/>
              <w:rPr>
                <w:rFonts w:asciiTheme="minorHAnsi" w:hAnsiTheme="minorHAnsi" w:cstheme="minorHAnsi"/>
              </w:rPr>
            </w:pPr>
          </w:p>
        </w:tc>
        <w:tc>
          <w:tcPr>
            <w:tcW w:w="3231" w:type="dxa"/>
          </w:tcPr>
          <w:p w14:paraId="784777EC" w14:textId="74A325A8"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31A04C48" w14:textId="4444D73D"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2EEF114E" w14:textId="77777777" w:rsidTr="00BB3E3B">
        <w:trPr>
          <w:cantSplit/>
        </w:trPr>
        <w:tc>
          <w:tcPr>
            <w:tcW w:w="1984" w:type="dxa"/>
            <w:vMerge w:val="restart"/>
          </w:tcPr>
          <w:p w14:paraId="2BB88F50" w14:textId="77777777"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[e.g. SL1VC3]</w:t>
            </w:r>
          </w:p>
        </w:tc>
        <w:tc>
          <w:tcPr>
            <w:tcW w:w="1984" w:type="dxa"/>
            <w:vMerge w:val="restart"/>
          </w:tcPr>
          <w:p w14:paraId="625EC302" w14:textId="77777777" w:rsidR="00BB3E3B" w:rsidRPr="00BD6C5F" w:rsidRDefault="00BB3E3B" w:rsidP="001F55C1">
            <w:pPr>
              <w:pStyle w:val="Tabletext"/>
              <w:rPr>
                <w:rFonts w:asciiTheme="minorHAnsi" w:hAnsiTheme="minorHAnsi" w:cstheme="minorHAnsi"/>
              </w:rPr>
            </w:pPr>
          </w:p>
        </w:tc>
        <w:tc>
          <w:tcPr>
            <w:tcW w:w="3231" w:type="dxa"/>
          </w:tcPr>
          <w:p w14:paraId="5DBBD275" w14:textId="7D85D000"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24E2E16E" w14:textId="0DDBCBC7"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33B21C18" w14:textId="77777777" w:rsidTr="00BB3E3B">
        <w:trPr>
          <w:cantSplit/>
        </w:trPr>
        <w:tc>
          <w:tcPr>
            <w:tcW w:w="1984" w:type="dxa"/>
            <w:vMerge/>
          </w:tcPr>
          <w:p w14:paraId="247796BC" w14:textId="77777777" w:rsidR="00BB3E3B" w:rsidRPr="00BD6C5F" w:rsidRDefault="00BB3E3B">
            <w:pPr>
              <w:rPr>
                <w:rFonts w:asciiTheme="minorHAnsi" w:hAnsiTheme="minorHAnsi" w:cstheme="minorHAnsi"/>
                <w:highlight w:val="yellow"/>
              </w:rPr>
            </w:pPr>
          </w:p>
        </w:tc>
        <w:tc>
          <w:tcPr>
            <w:tcW w:w="1984" w:type="dxa"/>
            <w:vMerge/>
          </w:tcPr>
          <w:p w14:paraId="1ADE6305" w14:textId="77777777" w:rsidR="00BB3E3B" w:rsidRPr="00BD6C5F" w:rsidRDefault="00BB3E3B">
            <w:pPr>
              <w:rPr>
                <w:rFonts w:asciiTheme="minorHAnsi" w:hAnsiTheme="minorHAnsi" w:cstheme="minorHAnsi"/>
              </w:rPr>
            </w:pPr>
          </w:p>
        </w:tc>
        <w:tc>
          <w:tcPr>
            <w:tcW w:w="3231" w:type="dxa"/>
          </w:tcPr>
          <w:p w14:paraId="0ED7AEAA" w14:textId="627FAE77"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4C675845" w14:textId="62C0E2C6"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1FFDD5F2" w14:textId="77777777" w:rsidTr="00BB3E3B">
        <w:trPr>
          <w:cantSplit/>
        </w:trPr>
        <w:tc>
          <w:tcPr>
            <w:tcW w:w="1984" w:type="dxa"/>
            <w:vMerge/>
            <w:tcBorders>
              <w:bottom w:val="single" w:sz="4" w:space="0" w:color="auto"/>
            </w:tcBorders>
          </w:tcPr>
          <w:p w14:paraId="52EC9411" w14:textId="77777777" w:rsidR="00BB3E3B" w:rsidRPr="00BD6C5F" w:rsidRDefault="00BB3E3B">
            <w:pPr>
              <w:rPr>
                <w:rFonts w:asciiTheme="minorHAnsi" w:hAnsiTheme="minorHAnsi" w:cstheme="minorHAnsi"/>
                <w:highlight w:val="yellow"/>
              </w:rPr>
            </w:pPr>
          </w:p>
        </w:tc>
        <w:tc>
          <w:tcPr>
            <w:tcW w:w="1984" w:type="dxa"/>
            <w:vMerge/>
            <w:tcBorders>
              <w:bottom w:val="single" w:sz="4" w:space="0" w:color="auto"/>
            </w:tcBorders>
          </w:tcPr>
          <w:p w14:paraId="58F937BA" w14:textId="77777777" w:rsidR="00BB3E3B" w:rsidRPr="00BD6C5F" w:rsidRDefault="00BB3E3B">
            <w:pPr>
              <w:rPr>
                <w:rFonts w:asciiTheme="minorHAnsi" w:hAnsiTheme="minorHAnsi" w:cstheme="minorHAnsi"/>
              </w:rPr>
            </w:pPr>
          </w:p>
        </w:tc>
        <w:tc>
          <w:tcPr>
            <w:tcW w:w="3231" w:type="dxa"/>
            <w:tcBorders>
              <w:bottom w:val="single" w:sz="4" w:space="0" w:color="auto"/>
            </w:tcBorders>
          </w:tcPr>
          <w:p w14:paraId="68B782C8" w14:textId="7120BB79"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Borders>
              <w:bottom w:val="single" w:sz="4" w:space="0" w:color="auto"/>
            </w:tcBorders>
          </w:tcPr>
          <w:p w14:paraId="588C78A9" w14:textId="5ABF768B" w:rsidR="00BB3E3B" w:rsidRPr="00BD6C5F" w:rsidRDefault="00BB3E3B" w:rsidP="001F55C1">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1F06F8" w:rsidRPr="00BD6C5F" w14:paraId="41EA28DA" w14:textId="77777777" w:rsidTr="00BB3E3B">
        <w:trPr>
          <w:cantSplit/>
        </w:trPr>
        <w:tc>
          <w:tcPr>
            <w:tcW w:w="9472" w:type="dxa"/>
            <w:gridSpan w:val="4"/>
            <w:shd w:val="clear" w:color="auto" w:fill="F0F0F0"/>
          </w:tcPr>
          <w:p w14:paraId="6FB30595" w14:textId="759FCE69" w:rsidR="001F06F8" w:rsidRPr="00BD6C5F" w:rsidRDefault="001F06F8" w:rsidP="00F92BEE">
            <w:pPr>
              <w:pStyle w:val="Tabletext"/>
              <w:rPr>
                <w:rFonts w:asciiTheme="minorHAnsi" w:hAnsiTheme="minorHAnsi" w:cstheme="minorHAnsi"/>
                <w:b/>
                <w:bCs/>
                <w:highlight w:val="yellow"/>
              </w:rPr>
            </w:pPr>
            <w:r w:rsidRPr="00BD6C5F">
              <w:rPr>
                <w:rFonts w:asciiTheme="minorHAnsi" w:hAnsiTheme="minorHAnsi" w:cstheme="minorHAnsi"/>
                <w:b/>
                <w:bCs/>
                <w:highlight w:val="yellow"/>
              </w:rPr>
              <w:t>[Service Line 2]</w:t>
            </w:r>
          </w:p>
        </w:tc>
      </w:tr>
      <w:tr w:rsidR="00BB3E3B" w:rsidRPr="00BD6C5F" w14:paraId="6C651C9C" w14:textId="77777777" w:rsidTr="00BB3E3B">
        <w:trPr>
          <w:cantSplit/>
        </w:trPr>
        <w:tc>
          <w:tcPr>
            <w:tcW w:w="1984" w:type="dxa"/>
            <w:vMerge w:val="restart"/>
          </w:tcPr>
          <w:p w14:paraId="7826D2FC" w14:textId="7777777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[e.g. SL2VC1]</w:t>
            </w:r>
          </w:p>
        </w:tc>
        <w:tc>
          <w:tcPr>
            <w:tcW w:w="1984" w:type="dxa"/>
            <w:vMerge w:val="restart"/>
          </w:tcPr>
          <w:p w14:paraId="047913F9" w14:textId="77777777" w:rsidR="00BB3E3B" w:rsidRPr="00BD6C5F" w:rsidRDefault="00BB3E3B" w:rsidP="00BB3E3B">
            <w:pPr>
              <w:pStyle w:val="Tabletext"/>
              <w:rPr>
                <w:rFonts w:asciiTheme="minorHAnsi" w:hAnsiTheme="minorHAnsi" w:cstheme="minorHAnsi"/>
              </w:rPr>
            </w:pPr>
          </w:p>
        </w:tc>
        <w:tc>
          <w:tcPr>
            <w:tcW w:w="3231" w:type="dxa"/>
          </w:tcPr>
          <w:p w14:paraId="42D354F6" w14:textId="15D9F0BD"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02A76F4A" w14:textId="35AFAD13"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77E30CCB" w14:textId="77777777" w:rsidTr="00BB3E3B">
        <w:trPr>
          <w:cantSplit/>
        </w:trPr>
        <w:tc>
          <w:tcPr>
            <w:tcW w:w="1984" w:type="dxa"/>
            <w:vMerge/>
          </w:tcPr>
          <w:p w14:paraId="7E077C62" w14:textId="77777777" w:rsidR="00BB3E3B" w:rsidRPr="00BD6C5F" w:rsidRDefault="00BB3E3B" w:rsidP="00BB3E3B">
            <w:pPr>
              <w:rPr>
                <w:rFonts w:asciiTheme="minorHAnsi" w:hAnsiTheme="minorHAnsi" w:cstheme="minorHAnsi"/>
                <w:highlight w:val="yellow"/>
              </w:rPr>
            </w:pPr>
          </w:p>
        </w:tc>
        <w:tc>
          <w:tcPr>
            <w:tcW w:w="1984" w:type="dxa"/>
            <w:vMerge/>
          </w:tcPr>
          <w:p w14:paraId="003BAD92" w14:textId="77777777" w:rsidR="00BB3E3B" w:rsidRPr="00BD6C5F" w:rsidRDefault="00BB3E3B" w:rsidP="00BB3E3B">
            <w:pPr>
              <w:rPr>
                <w:rFonts w:asciiTheme="minorHAnsi" w:hAnsiTheme="minorHAnsi" w:cstheme="minorHAnsi"/>
              </w:rPr>
            </w:pPr>
          </w:p>
        </w:tc>
        <w:tc>
          <w:tcPr>
            <w:tcW w:w="3231" w:type="dxa"/>
          </w:tcPr>
          <w:p w14:paraId="707DC85D" w14:textId="2ECE8704"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10611804" w14:textId="30BFEBE5"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422AA1E6" w14:textId="77777777" w:rsidTr="00BB3E3B">
        <w:trPr>
          <w:cantSplit/>
        </w:trPr>
        <w:tc>
          <w:tcPr>
            <w:tcW w:w="1984" w:type="dxa"/>
            <w:vMerge/>
          </w:tcPr>
          <w:p w14:paraId="5C6EC28D" w14:textId="77777777" w:rsidR="00BB3E3B" w:rsidRPr="00BD6C5F" w:rsidRDefault="00BB3E3B" w:rsidP="00BB3E3B">
            <w:pPr>
              <w:rPr>
                <w:rFonts w:asciiTheme="minorHAnsi" w:hAnsiTheme="minorHAnsi" w:cstheme="minorHAnsi"/>
                <w:highlight w:val="yellow"/>
              </w:rPr>
            </w:pPr>
          </w:p>
        </w:tc>
        <w:tc>
          <w:tcPr>
            <w:tcW w:w="1984" w:type="dxa"/>
            <w:vMerge/>
          </w:tcPr>
          <w:p w14:paraId="202A9056" w14:textId="77777777" w:rsidR="00BB3E3B" w:rsidRPr="00BD6C5F" w:rsidRDefault="00BB3E3B" w:rsidP="00BB3E3B">
            <w:pPr>
              <w:rPr>
                <w:rFonts w:asciiTheme="minorHAnsi" w:hAnsiTheme="minorHAnsi" w:cstheme="minorHAnsi"/>
              </w:rPr>
            </w:pPr>
          </w:p>
        </w:tc>
        <w:tc>
          <w:tcPr>
            <w:tcW w:w="3231" w:type="dxa"/>
          </w:tcPr>
          <w:p w14:paraId="0F280EB9" w14:textId="60197DD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69D597BA" w14:textId="46B012DD"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737C16EE" w14:textId="77777777" w:rsidTr="00BB3E3B">
        <w:trPr>
          <w:cantSplit/>
        </w:trPr>
        <w:tc>
          <w:tcPr>
            <w:tcW w:w="1984" w:type="dxa"/>
            <w:vMerge w:val="restart"/>
          </w:tcPr>
          <w:p w14:paraId="7891BA89" w14:textId="7777777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[e.g. SL2VC2]</w:t>
            </w:r>
          </w:p>
        </w:tc>
        <w:tc>
          <w:tcPr>
            <w:tcW w:w="1984" w:type="dxa"/>
            <w:vMerge w:val="restart"/>
          </w:tcPr>
          <w:p w14:paraId="09AE0CA3" w14:textId="77777777" w:rsidR="00BB3E3B" w:rsidRPr="00BD6C5F" w:rsidRDefault="00BB3E3B" w:rsidP="00BB3E3B">
            <w:pPr>
              <w:pStyle w:val="Tabletext"/>
              <w:rPr>
                <w:rFonts w:asciiTheme="minorHAnsi" w:hAnsiTheme="minorHAnsi" w:cstheme="minorHAnsi"/>
              </w:rPr>
            </w:pPr>
          </w:p>
        </w:tc>
        <w:tc>
          <w:tcPr>
            <w:tcW w:w="3231" w:type="dxa"/>
          </w:tcPr>
          <w:p w14:paraId="424FEB43" w14:textId="43EF7148"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06EAA9AD" w14:textId="41ACA01F"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5B53B19D" w14:textId="77777777" w:rsidTr="00BB3E3B">
        <w:trPr>
          <w:cantSplit/>
        </w:trPr>
        <w:tc>
          <w:tcPr>
            <w:tcW w:w="1984" w:type="dxa"/>
            <w:vMerge/>
          </w:tcPr>
          <w:p w14:paraId="7A88946E" w14:textId="77777777" w:rsidR="00BB3E3B" w:rsidRPr="00BD6C5F" w:rsidRDefault="00BB3E3B" w:rsidP="00BB3E3B">
            <w:pPr>
              <w:rPr>
                <w:rFonts w:asciiTheme="minorHAnsi" w:hAnsiTheme="minorHAnsi" w:cstheme="minorHAnsi"/>
                <w:highlight w:val="yellow"/>
              </w:rPr>
            </w:pPr>
          </w:p>
        </w:tc>
        <w:tc>
          <w:tcPr>
            <w:tcW w:w="1984" w:type="dxa"/>
            <w:vMerge/>
          </w:tcPr>
          <w:p w14:paraId="64B3366C" w14:textId="77777777" w:rsidR="00BB3E3B" w:rsidRPr="00BD6C5F" w:rsidRDefault="00BB3E3B" w:rsidP="00BB3E3B">
            <w:pPr>
              <w:rPr>
                <w:rFonts w:asciiTheme="minorHAnsi" w:hAnsiTheme="minorHAnsi" w:cstheme="minorHAnsi"/>
              </w:rPr>
            </w:pPr>
          </w:p>
        </w:tc>
        <w:tc>
          <w:tcPr>
            <w:tcW w:w="3231" w:type="dxa"/>
          </w:tcPr>
          <w:p w14:paraId="73F1FBF3" w14:textId="63EBDB56"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0B231119" w14:textId="6CA771D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0AB80FA1" w14:textId="77777777" w:rsidTr="00BB3E3B">
        <w:trPr>
          <w:cantSplit/>
        </w:trPr>
        <w:tc>
          <w:tcPr>
            <w:tcW w:w="1984" w:type="dxa"/>
            <w:vMerge/>
          </w:tcPr>
          <w:p w14:paraId="34D1C374" w14:textId="77777777" w:rsidR="00BB3E3B" w:rsidRPr="00BD6C5F" w:rsidRDefault="00BB3E3B" w:rsidP="00BB3E3B">
            <w:pPr>
              <w:rPr>
                <w:rFonts w:asciiTheme="minorHAnsi" w:hAnsiTheme="minorHAnsi" w:cstheme="minorHAnsi"/>
                <w:highlight w:val="yellow"/>
              </w:rPr>
            </w:pPr>
          </w:p>
        </w:tc>
        <w:tc>
          <w:tcPr>
            <w:tcW w:w="1984" w:type="dxa"/>
            <w:vMerge/>
          </w:tcPr>
          <w:p w14:paraId="6E4416CC" w14:textId="77777777" w:rsidR="00BB3E3B" w:rsidRPr="00BD6C5F" w:rsidRDefault="00BB3E3B" w:rsidP="00BB3E3B">
            <w:pPr>
              <w:rPr>
                <w:rFonts w:asciiTheme="minorHAnsi" w:hAnsiTheme="minorHAnsi" w:cstheme="minorHAnsi"/>
              </w:rPr>
            </w:pPr>
          </w:p>
        </w:tc>
        <w:tc>
          <w:tcPr>
            <w:tcW w:w="3231" w:type="dxa"/>
          </w:tcPr>
          <w:p w14:paraId="3D6D8CB7" w14:textId="44A81600"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5466E6FB" w14:textId="68A1B428"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314484C7" w14:textId="77777777" w:rsidTr="00BB3E3B">
        <w:trPr>
          <w:cantSplit/>
        </w:trPr>
        <w:tc>
          <w:tcPr>
            <w:tcW w:w="1984" w:type="dxa"/>
            <w:vMerge w:val="restart"/>
          </w:tcPr>
          <w:p w14:paraId="523C4697" w14:textId="7777777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[e.g. SL2VC3]</w:t>
            </w:r>
          </w:p>
        </w:tc>
        <w:tc>
          <w:tcPr>
            <w:tcW w:w="1984" w:type="dxa"/>
            <w:vMerge w:val="restart"/>
          </w:tcPr>
          <w:p w14:paraId="6D6CE40C" w14:textId="77777777" w:rsidR="00BB3E3B" w:rsidRPr="00BD6C5F" w:rsidRDefault="00BB3E3B" w:rsidP="00BB3E3B">
            <w:pPr>
              <w:pStyle w:val="Tabletext"/>
              <w:rPr>
                <w:rFonts w:asciiTheme="minorHAnsi" w:hAnsiTheme="minorHAnsi" w:cstheme="minorHAnsi"/>
              </w:rPr>
            </w:pPr>
          </w:p>
        </w:tc>
        <w:tc>
          <w:tcPr>
            <w:tcW w:w="3231" w:type="dxa"/>
          </w:tcPr>
          <w:p w14:paraId="65536A81" w14:textId="089972AD"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1CE250DA" w14:textId="3100FD68"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4B53EE16" w14:textId="77777777" w:rsidTr="00BB3E3B">
        <w:trPr>
          <w:cantSplit/>
        </w:trPr>
        <w:tc>
          <w:tcPr>
            <w:tcW w:w="1984" w:type="dxa"/>
            <w:vMerge/>
          </w:tcPr>
          <w:p w14:paraId="2CA68802" w14:textId="77777777" w:rsidR="00BB3E3B" w:rsidRPr="00BD6C5F" w:rsidRDefault="00BB3E3B" w:rsidP="00BB3E3B">
            <w:pPr>
              <w:rPr>
                <w:rFonts w:asciiTheme="minorHAnsi" w:hAnsiTheme="minorHAnsi" w:cstheme="minorHAnsi"/>
                <w:highlight w:val="yellow"/>
              </w:rPr>
            </w:pPr>
          </w:p>
        </w:tc>
        <w:tc>
          <w:tcPr>
            <w:tcW w:w="1984" w:type="dxa"/>
            <w:vMerge/>
          </w:tcPr>
          <w:p w14:paraId="0BBC73AB" w14:textId="77777777" w:rsidR="00BB3E3B" w:rsidRPr="00BD6C5F" w:rsidRDefault="00BB3E3B" w:rsidP="00BB3E3B">
            <w:pPr>
              <w:rPr>
                <w:rFonts w:asciiTheme="minorHAnsi" w:hAnsiTheme="minorHAnsi" w:cstheme="minorHAnsi"/>
              </w:rPr>
            </w:pPr>
          </w:p>
        </w:tc>
        <w:tc>
          <w:tcPr>
            <w:tcW w:w="3231" w:type="dxa"/>
          </w:tcPr>
          <w:p w14:paraId="0DBBD3A4" w14:textId="49D3D75A"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3EEDFEC7" w14:textId="2368EA1C"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327422FC" w14:textId="77777777" w:rsidTr="00BB3E3B">
        <w:trPr>
          <w:cantSplit/>
        </w:trPr>
        <w:tc>
          <w:tcPr>
            <w:tcW w:w="1984" w:type="dxa"/>
            <w:vMerge/>
          </w:tcPr>
          <w:p w14:paraId="03046D7A" w14:textId="77777777" w:rsidR="00BB3E3B" w:rsidRPr="00BD6C5F" w:rsidRDefault="00BB3E3B" w:rsidP="00BB3E3B">
            <w:pPr>
              <w:pStyle w:val="Tabletext"/>
              <w:rPr>
                <w:rFonts w:asciiTheme="minorHAnsi" w:hAnsiTheme="minorHAnsi" w:cstheme="minorHAnsi"/>
                <w:highlight w:val="yellow"/>
              </w:rPr>
            </w:pPr>
          </w:p>
        </w:tc>
        <w:tc>
          <w:tcPr>
            <w:tcW w:w="1984" w:type="dxa"/>
            <w:vMerge/>
          </w:tcPr>
          <w:p w14:paraId="5BE89B63" w14:textId="77777777" w:rsidR="00BB3E3B" w:rsidRPr="00BD6C5F" w:rsidRDefault="00BB3E3B" w:rsidP="00BB3E3B">
            <w:pPr>
              <w:pStyle w:val="Tabletext"/>
              <w:rPr>
                <w:rFonts w:asciiTheme="minorHAnsi" w:hAnsiTheme="minorHAnsi" w:cstheme="minorHAnsi"/>
              </w:rPr>
            </w:pPr>
          </w:p>
        </w:tc>
        <w:tc>
          <w:tcPr>
            <w:tcW w:w="3231" w:type="dxa"/>
          </w:tcPr>
          <w:p w14:paraId="2FC98DBA" w14:textId="23B90F9C"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6826C583" w14:textId="4D5F7AD6"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1F06F8" w:rsidRPr="00BD6C5F" w14:paraId="72510059" w14:textId="77777777" w:rsidTr="00BB3E3B">
        <w:trPr>
          <w:cantSplit/>
        </w:trPr>
        <w:tc>
          <w:tcPr>
            <w:tcW w:w="9472" w:type="dxa"/>
            <w:gridSpan w:val="4"/>
            <w:shd w:val="clear" w:color="auto" w:fill="F0F0F0"/>
          </w:tcPr>
          <w:p w14:paraId="44BBC3BD" w14:textId="7A5B3A04" w:rsidR="001F06F8" w:rsidRPr="00BD6C5F" w:rsidRDefault="001F06F8" w:rsidP="001F55C1">
            <w:pPr>
              <w:pStyle w:val="Tabletext"/>
              <w:rPr>
                <w:rFonts w:asciiTheme="minorHAnsi" w:hAnsiTheme="minorHAnsi" w:cstheme="minorHAnsi"/>
                <w:b/>
                <w:bCs/>
                <w:highlight w:val="yellow"/>
              </w:rPr>
            </w:pPr>
            <w:r w:rsidRPr="00BD6C5F">
              <w:rPr>
                <w:rFonts w:asciiTheme="minorHAnsi" w:hAnsiTheme="minorHAnsi" w:cstheme="minorHAnsi"/>
                <w:b/>
                <w:bCs/>
                <w:highlight w:val="yellow"/>
              </w:rPr>
              <w:t>[Service Line [X] – insert further rows as necessary]</w:t>
            </w:r>
          </w:p>
        </w:tc>
      </w:tr>
      <w:tr w:rsidR="00BB3E3B" w:rsidRPr="00BD6C5F" w14:paraId="4E355F3E" w14:textId="77777777" w:rsidTr="00BB3E3B">
        <w:trPr>
          <w:cantSplit/>
        </w:trPr>
        <w:tc>
          <w:tcPr>
            <w:tcW w:w="1984" w:type="dxa"/>
            <w:vMerge w:val="restart"/>
          </w:tcPr>
          <w:p w14:paraId="02810A2B" w14:textId="6BB2A1E7"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[etc.]</w:t>
            </w:r>
          </w:p>
        </w:tc>
        <w:tc>
          <w:tcPr>
            <w:tcW w:w="1984" w:type="dxa"/>
            <w:vMerge w:val="restart"/>
          </w:tcPr>
          <w:p w14:paraId="2B6FCDEB" w14:textId="77777777" w:rsidR="00BB3E3B" w:rsidRPr="00BD6C5F" w:rsidRDefault="00BB3E3B" w:rsidP="00BB3E3B">
            <w:pPr>
              <w:pStyle w:val="Tabletext"/>
              <w:rPr>
                <w:rFonts w:asciiTheme="minorHAnsi" w:hAnsiTheme="minorHAnsi" w:cstheme="minorHAnsi"/>
              </w:rPr>
            </w:pPr>
          </w:p>
        </w:tc>
        <w:tc>
          <w:tcPr>
            <w:tcW w:w="3231" w:type="dxa"/>
          </w:tcPr>
          <w:p w14:paraId="7815A1E9" w14:textId="2726D3C0"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5A7178D5" w14:textId="683BD20D"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1BAD11F9" w14:textId="77777777" w:rsidTr="00BB3E3B">
        <w:trPr>
          <w:cantSplit/>
        </w:trPr>
        <w:tc>
          <w:tcPr>
            <w:tcW w:w="1984" w:type="dxa"/>
            <w:vMerge/>
          </w:tcPr>
          <w:p w14:paraId="70939B85" w14:textId="77777777" w:rsidR="00BB3E3B" w:rsidRPr="00BD6C5F" w:rsidRDefault="00BB3E3B" w:rsidP="00BB3E3B">
            <w:pPr>
              <w:rPr>
                <w:rFonts w:asciiTheme="minorHAnsi" w:hAnsiTheme="minorHAnsi" w:cstheme="minorHAnsi"/>
              </w:rPr>
            </w:pPr>
          </w:p>
        </w:tc>
        <w:tc>
          <w:tcPr>
            <w:tcW w:w="1984" w:type="dxa"/>
            <w:vMerge/>
          </w:tcPr>
          <w:p w14:paraId="69C240E3" w14:textId="77777777" w:rsidR="00BB3E3B" w:rsidRPr="00BD6C5F" w:rsidRDefault="00BB3E3B" w:rsidP="00BB3E3B">
            <w:pPr>
              <w:rPr>
                <w:rFonts w:asciiTheme="minorHAnsi" w:hAnsiTheme="minorHAnsi" w:cstheme="minorHAnsi"/>
              </w:rPr>
            </w:pPr>
          </w:p>
        </w:tc>
        <w:tc>
          <w:tcPr>
            <w:tcW w:w="3231" w:type="dxa"/>
          </w:tcPr>
          <w:p w14:paraId="2C117053" w14:textId="76E05169"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391CA9DB" w14:textId="5508133A"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r w:rsidR="00BB3E3B" w:rsidRPr="00BD6C5F" w14:paraId="5AF623CD" w14:textId="77777777" w:rsidTr="00BB3E3B">
        <w:trPr>
          <w:cantSplit/>
        </w:trPr>
        <w:tc>
          <w:tcPr>
            <w:tcW w:w="1984" w:type="dxa"/>
            <w:vMerge/>
          </w:tcPr>
          <w:p w14:paraId="59974802" w14:textId="77777777" w:rsidR="00BB3E3B" w:rsidRPr="00BD6C5F" w:rsidRDefault="00BB3E3B" w:rsidP="00BB3E3B">
            <w:pPr>
              <w:rPr>
                <w:rFonts w:asciiTheme="minorHAnsi" w:hAnsiTheme="minorHAnsi" w:cstheme="minorHAnsi"/>
              </w:rPr>
            </w:pPr>
          </w:p>
        </w:tc>
        <w:tc>
          <w:tcPr>
            <w:tcW w:w="1984" w:type="dxa"/>
            <w:vMerge/>
          </w:tcPr>
          <w:p w14:paraId="1BB26AAB" w14:textId="77777777" w:rsidR="00BB3E3B" w:rsidRPr="00BD6C5F" w:rsidRDefault="00BB3E3B" w:rsidP="00BB3E3B">
            <w:pPr>
              <w:rPr>
                <w:rFonts w:asciiTheme="minorHAnsi" w:hAnsiTheme="minorHAnsi" w:cstheme="minorHAnsi"/>
              </w:rPr>
            </w:pPr>
          </w:p>
        </w:tc>
        <w:tc>
          <w:tcPr>
            <w:tcW w:w="3231" w:type="dxa"/>
          </w:tcPr>
          <w:p w14:paraId="10568879" w14:textId="170927FB"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c>
          <w:tcPr>
            <w:tcW w:w="2273" w:type="dxa"/>
          </w:tcPr>
          <w:p w14:paraId="1B45AC77" w14:textId="0DAE48DC" w:rsidR="00BB3E3B" w:rsidRPr="00BD6C5F" w:rsidRDefault="00BB3E3B" w:rsidP="00BB3E3B">
            <w:pPr>
              <w:pStyle w:val="Tabletext"/>
              <w:rPr>
                <w:rFonts w:asciiTheme="minorHAnsi" w:hAnsiTheme="minorHAnsi" w:cstheme="minorHAnsi"/>
                <w:highlight w:val="yellow"/>
              </w:rPr>
            </w:pPr>
            <w:r w:rsidRPr="00BD6C5F">
              <w:rPr>
                <w:rFonts w:asciiTheme="minorHAnsi" w:hAnsiTheme="minorHAnsi" w:cstheme="minorHAnsi"/>
                <w:highlight w:val="yellow"/>
              </w:rPr>
              <w:t>[</w:t>
            </w:r>
            <w:r w:rsidRPr="00BD6C5F">
              <w:rPr>
                <w:rFonts w:asciiTheme="minorHAnsi" w:hAnsiTheme="minorHAnsi" w:cstheme="minorHAnsi"/>
                <w:highlight w:val="yellow"/>
              </w:rPr>
              <w:t> </w:t>
            </w:r>
            <w:r w:rsidRPr="00BD6C5F">
              <w:rPr>
                <w:rFonts w:asciiTheme="minorHAnsi" w:hAnsiTheme="minorHAnsi" w:cstheme="minorHAnsi"/>
                <w:highlight w:val="yellow"/>
              </w:rPr>
              <w:t>] - [</w:t>
            </w:r>
            <w:r w:rsidRPr="00BD6C5F">
              <w:rPr>
                <w:rFonts w:asciiTheme="minorHAnsi" w:hAnsiTheme="minorHAnsi" w:cstheme="minorHAnsi"/>
                <w:highlight w:val="yellow"/>
              </w:rPr>
              <w:t> </w:t>
            </w:r>
            <w:r w:rsidRPr="00BD6C5F">
              <w:rPr>
                <w:rFonts w:asciiTheme="minorHAnsi" w:hAnsiTheme="minorHAnsi" w:cstheme="minorHAnsi"/>
                <w:highlight w:val="yellow"/>
              </w:rPr>
              <w:t>]</w:t>
            </w:r>
          </w:p>
        </w:tc>
      </w:tr>
    </w:tbl>
    <w:p w14:paraId="7DB27A27" w14:textId="0AEA90EF" w:rsidR="00BC7DDA" w:rsidRPr="00BD6C5F" w:rsidRDefault="00BC7DDA"/>
    <w:p w14:paraId="2A0EED3D" w14:textId="77777777" w:rsidR="00372251" w:rsidRPr="00BD6C5F" w:rsidRDefault="00372251">
      <w:bookmarkStart w:id="699" w:name="_bookmark241"/>
      <w:bookmarkStart w:id="700" w:name="_Toc98332742"/>
      <w:bookmarkStart w:id="701" w:name="_Ref98342039"/>
      <w:bookmarkStart w:id="702" w:name="_Ref98342068"/>
      <w:bookmarkStart w:id="703" w:name="_Ref98342082"/>
      <w:bookmarkStart w:id="704" w:name="_Ref98342099"/>
      <w:bookmarkStart w:id="705" w:name="_Ref98342230"/>
      <w:bookmarkStart w:id="706" w:name="_Ref98342382"/>
      <w:bookmarkStart w:id="707" w:name="_Ref98342410"/>
      <w:bookmarkStart w:id="708" w:name="_Ref98342440"/>
      <w:bookmarkStart w:id="709" w:name="_Ref98342642"/>
      <w:bookmarkStart w:id="710" w:name="_Ref98342668"/>
      <w:bookmarkStart w:id="711" w:name="_Ref98342684"/>
      <w:bookmarkStart w:id="712" w:name="_Ref98342694"/>
      <w:bookmarkStart w:id="713" w:name="_Ref98342727"/>
      <w:bookmarkStart w:id="714" w:name="_Ref98342736"/>
      <w:bookmarkStart w:id="715" w:name="_Ref98342748"/>
      <w:bookmarkEnd w:id="699"/>
      <w:r w:rsidRPr="00BD6C5F">
        <w:br w:type="page"/>
      </w:r>
    </w:p>
    <w:p w14:paraId="388D8C61" w14:textId="06FFE9B5" w:rsidR="00BC7DDA" w:rsidRPr="00BD6C5F" w:rsidRDefault="00183F6E" w:rsidP="006D411A">
      <w:pPr>
        <w:pStyle w:val="Heading2"/>
      </w:pPr>
      <w:bookmarkStart w:id="716" w:name="_Toc141721011"/>
      <w:r w:rsidRPr="00BD6C5F">
        <w:lastRenderedPageBreak/>
        <w:t xml:space="preserve">Annex </w:t>
      </w:r>
      <w:bookmarkStart w:id="717" w:name="Schedule_15_Part_E_Annex_2"/>
      <w:r w:rsidRPr="00BD6C5F">
        <w:t>2</w:t>
      </w:r>
      <w:bookmarkEnd w:id="717"/>
      <w:r w:rsidRPr="00BD6C5F">
        <w:t xml:space="preserve">: </w:t>
      </w:r>
      <w:bookmarkStart w:id="718" w:name="_Ref98477936"/>
      <w:bookmarkStart w:id="719" w:name="_Toc98852919"/>
      <w:r w:rsidRPr="00BD6C5F">
        <w:t>Charging Mechanism and Adjustments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8"/>
      <w:bookmarkEnd w:id="719"/>
      <w:bookmarkEnd w:id="716"/>
    </w:p>
    <w:p w14:paraId="5FE6176D" w14:textId="29C07F5A" w:rsidR="00BC7DDA" w:rsidRPr="00BD6C5F" w:rsidRDefault="00183F6E" w:rsidP="00B71FC0">
      <w:pPr>
        <w:pStyle w:val="AppendixText1"/>
        <w:numPr>
          <w:ilvl w:val="0"/>
          <w:numId w:val="154"/>
        </w:numPr>
      </w:pPr>
      <w:r w:rsidRPr="00BD6C5F">
        <w:t>Table 1</w:t>
      </w:r>
      <w:bookmarkStart w:id="720" w:name="_bookmark242"/>
      <w:bookmarkEnd w:id="720"/>
      <w:r w:rsidRPr="00BD6C5F">
        <w:t>: Milestone Payments and Delay Payments</w:t>
      </w:r>
    </w:p>
    <w:tbl>
      <w:tblPr>
        <w:tblStyle w:val="MSATable-header"/>
        <w:tblW w:w="9474" w:type="dxa"/>
        <w:tblInd w:w="720" w:type="dxa"/>
        <w:tblLayout w:type="fixed"/>
        <w:tblLook w:val="0620" w:firstRow="1" w:lastRow="0" w:firstColumn="0" w:lastColumn="0" w:noHBand="1" w:noVBand="1"/>
      </w:tblPr>
      <w:tblGrid>
        <w:gridCol w:w="1642"/>
        <w:gridCol w:w="1810"/>
        <w:gridCol w:w="1537"/>
        <w:gridCol w:w="51"/>
        <w:gridCol w:w="1423"/>
        <w:gridCol w:w="49"/>
        <w:gridCol w:w="1474"/>
        <w:gridCol w:w="8"/>
        <w:gridCol w:w="1474"/>
        <w:gridCol w:w="6"/>
      </w:tblGrid>
      <w:tr w:rsidR="00D96CB1" w:rsidRPr="00BD6C5F" w14:paraId="17F1709C" w14:textId="77777777" w:rsidTr="00D96CB1">
        <w:trPr>
          <w:cnfStyle w:val="100000000000" w:firstRow="1" w:lastRow="0" w:firstColumn="0" w:lastColumn="0" w:oddVBand="0" w:evenVBand="0" w:oddHBand="0" w:evenHBand="0" w:firstRowFirstColumn="0" w:firstRowLastColumn="0" w:lastRowFirstColumn="0" w:lastRowLastColumn="0"/>
          <w:cantSplit/>
          <w:trHeight w:val="20"/>
          <w:tblHeader/>
        </w:trPr>
        <w:tc>
          <w:tcPr>
            <w:tcW w:w="1642" w:type="dxa"/>
            <w:vMerge w:val="restart"/>
          </w:tcPr>
          <w:p w14:paraId="2270A185" w14:textId="77777777" w:rsidR="00D96CB1" w:rsidRPr="00BD6C5F" w:rsidRDefault="00D96CB1" w:rsidP="009A56D9">
            <w:pPr>
              <w:pStyle w:val="Tabletext"/>
              <w:rPr>
                <w:rFonts w:asciiTheme="minorHAnsi" w:hAnsiTheme="minorHAnsi" w:cstheme="minorHAnsi"/>
                <w:bCs/>
              </w:rPr>
            </w:pPr>
            <w:r w:rsidRPr="00BD6C5F">
              <w:rPr>
                <w:rFonts w:asciiTheme="minorHAnsi" w:hAnsiTheme="minorHAnsi" w:cstheme="minorHAnsi"/>
                <w:bCs/>
              </w:rPr>
              <w:t>Charge Number</w:t>
            </w:r>
          </w:p>
        </w:tc>
        <w:tc>
          <w:tcPr>
            <w:tcW w:w="1810" w:type="dxa"/>
            <w:vMerge w:val="restart"/>
          </w:tcPr>
          <w:p w14:paraId="1EDAFC0C" w14:textId="2DF73858" w:rsidR="00D96CB1" w:rsidRPr="00BD6C5F" w:rsidRDefault="00D96CB1" w:rsidP="00D96CB1">
            <w:pPr>
              <w:pStyle w:val="Tabletext"/>
              <w:rPr>
                <w:rFonts w:asciiTheme="minorHAnsi" w:hAnsiTheme="minorHAnsi" w:cstheme="minorHAnsi"/>
                <w:bCs/>
              </w:rPr>
            </w:pPr>
            <w:r w:rsidRPr="00BD6C5F">
              <w:rPr>
                <w:rFonts w:asciiTheme="minorHAnsi" w:hAnsiTheme="minorHAnsi" w:cstheme="minorHAnsi"/>
                <w:bCs/>
              </w:rPr>
              <w:t>Pricing Mechanism (FIX / FIRM / GMPTC / T&amp;M)</w:t>
            </w:r>
          </w:p>
        </w:tc>
        <w:tc>
          <w:tcPr>
            <w:tcW w:w="1588" w:type="dxa"/>
            <w:gridSpan w:val="2"/>
            <w:vMerge w:val="restart"/>
          </w:tcPr>
          <w:p w14:paraId="05404920" w14:textId="45073DAF" w:rsidR="00D96CB1" w:rsidRPr="00BD6C5F" w:rsidRDefault="00D96CB1" w:rsidP="00D96CB1">
            <w:pPr>
              <w:pStyle w:val="Tabletext"/>
              <w:rPr>
                <w:rFonts w:asciiTheme="minorHAnsi" w:hAnsiTheme="minorHAnsi" w:cstheme="minorHAnsi"/>
                <w:bCs/>
              </w:rPr>
            </w:pPr>
            <w:r w:rsidRPr="00BD6C5F">
              <w:rPr>
                <w:rFonts w:asciiTheme="minorHAnsi" w:hAnsiTheme="minorHAnsi" w:cstheme="minorHAnsi"/>
                <w:bCs/>
              </w:rPr>
              <w:t>CPP Milestone Charge Number</w:t>
            </w:r>
          </w:p>
        </w:tc>
        <w:tc>
          <w:tcPr>
            <w:tcW w:w="4434" w:type="dxa"/>
            <w:gridSpan w:val="6"/>
          </w:tcPr>
          <w:p w14:paraId="0E421377" w14:textId="0B5D4161" w:rsidR="00D96CB1" w:rsidRPr="00BD6C5F" w:rsidRDefault="00D96CB1" w:rsidP="009A56D9">
            <w:pPr>
              <w:pStyle w:val="Tabletext"/>
              <w:rPr>
                <w:rFonts w:asciiTheme="minorHAnsi" w:hAnsiTheme="minorHAnsi" w:cstheme="minorHAnsi"/>
                <w:bCs/>
              </w:rPr>
            </w:pPr>
            <w:r w:rsidRPr="00BD6C5F">
              <w:rPr>
                <w:rFonts w:asciiTheme="minorHAnsi" w:hAnsiTheme="minorHAnsi" w:cstheme="minorHAnsi"/>
                <w:bCs/>
              </w:rPr>
              <w:t>Delay Payments (if Key Milestone) (£ per day)</w:t>
            </w:r>
          </w:p>
        </w:tc>
      </w:tr>
      <w:tr w:rsidR="00D96CB1" w:rsidRPr="00BD6C5F" w14:paraId="68931725" w14:textId="77777777" w:rsidTr="00D96CB1">
        <w:trPr>
          <w:cnfStyle w:val="100000000000" w:firstRow="1" w:lastRow="0" w:firstColumn="0" w:lastColumn="0" w:oddVBand="0" w:evenVBand="0" w:oddHBand="0" w:evenHBand="0" w:firstRowFirstColumn="0" w:firstRowLastColumn="0" w:lastRowFirstColumn="0" w:lastRowLastColumn="0"/>
          <w:cantSplit/>
          <w:trHeight w:val="20"/>
          <w:tblHeader/>
        </w:trPr>
        <w:tc>
          <w:tcPr>
            <w:tcW w:w="1642" w:type="dxa"/>
            <w:vMerge/>
          </w:tcPr>
          <w:p w14:paraId="2479C2E0" w14:textId="77777777" w:rsidR="00D96CB1" w:rsidRPr="00BD6C5F" w:rsidRDefault="00D96CB1">
            <w:pPr>
              <w:rPr>
                <w:rFonts w:asciiTheme="minorHAnsi" w:hAnsiTheme="minorHAnsi" w:cstheme="minorHAnsi"/>
                <w:bCs/>
              </w:rPr>
            </w:pPr>
          </w:p>
        </w:tc>
        <w:tc>
          <w:tcPr>
            <w:tcW w:w="1810" w:type="dxa"/>
            <w:vMerge/>
          </w:tcPr>
          <w:p w14:paraId="6E35D9AC" w14:textId="77777777" w:rsidR="00D96CB1" w:rsidRPr="00BD6C5F" w:rsidRDefault="00D96CB1">
            <w:pPr>
              <w:rPr>
                <w:rFonts w:asciiTheme="minorHAnsi" w:hAnsiTheme="minorHAnsi" w:cstheme="minorHAnsi"/>
                <w:bCs/>
              </w:rPr>
            </w:pPr>
          </w:p>
        </w:tc>
        <w:tc>
          <w:tcPr>
            <w:tcW w:w="1588" w:type="dxa"/>
            <w:gridSpan w:val="2"/>
            <w:vMerge/>
          </w:tcPr>
          <w:p w14:paraId="22EC9492" w14:textId="77777777" w:rsidR="00D96CB1" w:rsidRPr="00BD6C5F" w:rsidRDefault="00D96CB1">
            <w:pPr>
              <w:rPr>
                <w:rFonts w:asciiTheme="minorHAnsi" w:hAnsiTheme="minorHAnsi" w:cstheme="minorHAnsi"/>
                <w:bCs/>
              </w:rPr>
            </w:pPr>
          </w:p>
        </w:tc>
        <w:tc>
          <w:tcPr>
            <w:tcW w:w="1472" w:type="dxa"/>
            <w:gridSpan w:val="2"/>
          </w:tcPr>
          <w:p w14:paraId="1CBA6E73" w14:textId="2FB889EE" w:rsidR="00D96CB1" w:rsidRPr="00BD6C5F" w:rsidRDefault="00D96CB1" w:rsidP="00D96CB1">
            <w:pPr>
              <w:pStyle w:val="Tabletext"/>
              <w:rPr>
                <w:rFonts w:asciiTheme="minorHAnsi" w:hAnsiTheme="minorHAnsi" w:cstheme="minorHAnsi"/>
                <w:bCs/>
              </w:rPr>
            </w:pPr>
            <w:r w:rsidRPr="00BD6C5F">
              <w:rPr>
                <w:rFonts w:asciiTheme="minorHAnsi" w:hAnsiTheme="minorHAnsi" w:cstheme="minorHAnsi"/>
                <w:bCs/>
              </w:rPr>
              <w:t>&lt;3 months’ notice</w:t>
            </w:r>
          </w:p>
        </w:tc>
        <w:tc>
          <w:tcPr>
            <w:tcW w:w="1474" w:type="dxa"/>
          </w:tcPr>
          <w:p w14:paraId="2E734D55" w14:textId="1AB7F647" w:rsidR="00D96CB1" w:rsidRPr="00BD6C5F" w:rsidRDefault="00D96CB1" w:rsidP="00D96CB1">
            <w:pPr>
              <w:pStyle w:val="Tabletext"/>
              <w:rPr>
                <w:rFonts w:asciiTheme="minorHAnsi" w:hAnsiTheme="minorHAnsi" w:cstheme="minorHAnsi"/>
                <w:bCs/>
              </w:rPr>
            </w:pPr>
            <w:r w:rsidRPr="00BD6C5F">
              <w:rPr>
                <w:rFonts w:asciiTheme="minorHAnsi" w:hAnsiTheme="minorHAnsi" w:cstheme="minorHAnsi"/>
                <w:bCs/>
              </w:rPr>
              <w:t xml:space="preserve">3-6 months’ </w:t>
            </w:r>
            <w:r w:rsidRPr="00BD6C5F">
              <w:rPr>
                <w:bCs/>
              </w:rPr>
              <w:t>notice</w:t>
            </w:r>
          </w:p>
        </w:tc>
        <w:tc>
          <w:tcPr>
            <w:tcW w:w="1488" w:type="dxa"/>
            <w:gridSpan w:val="3"/>
          </w:tcPr>
          <w:p w14:paraId="4929EDC2" w14:textId="3DD7B1C2" w:rsidR="00D96CB1" w:rsidRPr="00BD6C5F" w:rsidRDefault="00D96CB1" w:rsidP="00D96CB1">
            <w:pPr>
              <w:pStyle w:val="Tabletext"/>
              <w:rPr>
                <w:rFonts w:asciiTheme="minorHAnsi" w:hAnsiTheme="minorHAnsi" w:cstheme="minorHAnsi"/>
                <w:bCs/>
              </w:rPr>
            </w:pPr>
            <w:r w:rsidRPr="00BD6C5F">
              <w:rPr>
                <w:rFonts w:asciiTheme="minorHAnsi" w:hAnsiTheme="minorHAnsi" w:cstheme="minorHAnsi"/>
                <w:bCs/>
              </w:rPr>
              <w:t>&gt;6 months’ notice</w:t>
            </w:r>
          </w:p>
        </w:tc>
      </w:tr>
      <w:tr w:rsidR="00BC7DDA" w:rsidRPr="00BD6C5F" w14:paraId="0E15F874" w14:textId="77777777" w:rsidTr="00D96CB1">
        <w:trPr>
          <w:trHeight w:val="20"/>
        </w:trPr>
        <w:tc>
          <w:tcPr>
            <w:tcW w:w="9474" w:type="dxa"/>
            <w:gridSpan w:val="10"/>
            <w:shd w:val="clear" w:color="auto" w:fill="F0F0F0"/>
          </w:tcPr>
          <w:p w14:paraId="6DEBE751" w14:textId="77777777" w:rsidR="00BC7DDA" w:rsidRPr="00BD6C5F" w:rsidRDefault="009B03E9" w:rsidP="009A56D9">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27F98D45" w14:textId="77777777" w:rsidTr="00D96CB1">
        <w:trPr>
          <w:gridAfter w:val="1"/>
          <w:wAfter w:w="6" w:type="dxa"/>
          <w:trHeight w:val="20"/>
        </w:trPr>
        <w:tc>
          <w:tcPr>
            <w:tcW w:w="1642" w:type="dxa"/>
          </w:tcPr>
          <w:p w14:paraId="7BE92E83"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SL1M1]</w:t>
            </w:r>
          </w:p>
        </w:tc>
        <w:tc>
          <w:tcPr>
            <w:tcW w:w="1810" w:type="dxa"/>
          </w:tcPr>
          <w:p w14:paraId="3BAA5685"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1537" w:type="dxa"/>
          </w:tcPr>
          <w:p w14:paraId="10C5FAC5"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1474" w:type="dxa"/>
            <w:gridSpan w:val="2"/>
          </w:tcPr>
          <w:p w14:paraId="163211DD" w14:textId="77777777" w:rsidR="00BC7DDA" w:rsidRPr="00BD6C5F" w:rsidRDefault="00BC7DDA" w:rsidP="009A56D9">
            <w:pPr>
              <w:pStyle w:val="Tabletext"/>
            </w:pPr>
          </w:p>
        </w:tc>
        <w:tc>
          <w:tcPr>
            <w:tcW w:w="1531" w:type="dxa"/>
            <w:gridSpan w:val="3"/>
          </w:tcPr>
          <w:p w14:paraId="19E40AE7" w14:textId="77777777" w:rsidR="00BC7DDA" w:rsidRPr="00BD6C5F" w:rsidRDefault="00BC7DDA" w:rsidP="009A56D9">
            <w:pPr>
              <w:pStyle w:val="Tabletext"/>
            </w:pPr>
          </w:p>
        </w:tc>
        <w:tc>
          <w:tcPr>
            <w:tcW w:w="1474" w:type="dxa"/>
          </w:tcPr>
          <w:p w14:paraId="5C82FB8F" w14:textId="77777777" w:rsidR="00BC7DDA" w:rsidRPr="00BD6C5F" w:rsidRDefault="00BC7DDA" w:rsidP="009A56D9">
            <w:pPr>
              <w:pStyle w:val="Tabletext"/>
            </w:pPr>
          </w:p>
        </w:tc>
      </w:tr>
      <w:tr w:rsidR="00BC7DDA" w:rsidRPr="00BD6C5F" w14:paraId="526DE6FB" w14:textId="77777777" w:rsidTr="00D96CB1">
        <w:trPr>
          <w:gridAfter w:val="1"/>
          <w:wAfter w:w="6" w:type="dxa"/>
          <w:trHeight w:val="20"/>
        </w:trPr>
        <w:tc>
          <w:tcPr>
            <w:tcW w:w="1642" w:type="dxa"/>
            <w:tcBorders>
              <w:bottom w:val="single" w:sz="4" w:space="0" w:color="auto"/>
            </w:tcBorders>
          </w:tcPr>
          <w:p w14:paraId="2BAD4E42"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SL1M2]</w:t>
            </w:r>
          </w:p>
        </w:tc>
        <w:tc>
          <w:tcPr>
            <w:tcW w:w="1810" w:type="dxa"/>
            <w:tcBorders>
              <w:bottom w:val="single" w:sz="4" w:space="0" w:color="auto"/>
            </w:tcBorders>
          </w:tcPr>
          <w:p w14:paraId="32A00AAD"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1537" w:type="dxa"/>
            <w:tcBorders>
              <w:bottom w:val="single" w:sz="4" w:space="0" w:color="auto"/>
            </w:tcBorders>
          </w:tcPr>
          <w:p w14:paraId="40C65A60"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1474" w:type="dxa"/>
            <w:gridSpan w:val="2"/>
            <w:tcBorders>
              <w:bottom w:val="single" w:sz="4" w:space="0" w:color="auto"/>
            </w:tcBorders>
          </w:tcPr>
          <w:p w14:paraId="1485F250" w14:textId="77777777" w:rsidR="00BC7DDA" w:rsidRPr="00BD6C5F" w:rsidRDefault="00BC7DDA" w:rsidP="009A56D9">
            <w:pPr>
              <w:pStyle w:val="Tabletext"/>
            </w:pPr>
          </w:p>
        </w:tc>
        <w:tc>
          <w:tcPr>
            <w:tcW w:w="1531" w:type="dxa"/>
            <w:gridSpan w:val="3"/>
            <w:tcBorders>
              <w:bottom w:val="single" w:sz="4" w:space="0" w:color="auto"/>
            </w:tcBorders>
          </w:tcPr>
          <w:p w14:paraId="71ADADF1" w14:textId="77777777" w:rsidR="00BC7DDA" w:rsidRPr="00BD6C5F" w:rsidRDefault="00BC7DDA" w:rsidP="009A56D9">
            <w:pPr>
              <w:pStyle w:val="Tabletext"/>
            </w:pPr>
          </w:p>
        </w:tc>
        <w:tc>
          <w:tcPr>
            <w:tcW w:w="1474" w:type="dxa"/>
            <w:tcBorders>
              <w:bottom w:val="single" w:sz="4" w:space="0" w:color="auto"/>
            </w:tcBorders>
          </w:tcPr>
          <w:p w14:paraId="2EF6F050" w14:textId="77777777" w:rsidR="00BC7DDA" w:rsidRPr="00BD6C5F" w:rsidRDefault="00BC7DDA" w:rsidP="009A56D9">
            <w:pPr>
              <w:pStyle w:val="Tabletext"/>
            </w:pPr>
          </w:p>
        </w:tc>
      </w:tr>
      <w:tr w:rsidR="00BC7DDA" w:rsidRPr="00BD6C5F" w14:paraId="717D4DD2" w14:textId="77777777" w:rsidTr="00D96CB1">
        <w:trPr>
          <w:trHeight w:val="20"/>
        </w:trPr>
        <w:tc>
          <w:tcPr>
            <w:tcW w:w="9474" w:type="dxa"/>
            <w:gridSpan w:val="10"/>
            <w:shd w:val="clear" w:color="auto" w:fill="F0F0F0"/>
          </w:tcPr>
          <w:p w14:paraId="5D4314AE" w14:textId="77777777" w:rsidR="00BC7DDA" w:rsidRPr="00BD6C5F" w:rsidRDefault="009B03E9" w:rsidP="009A56D9">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15C8F621" w14:textId="77777777" w:rsidTr="00D96CB1">
        <w:trPr>
          <w:gridAfter w:val="1"/>
          <w:wAfter w:w="6" w:type="dxa"/>
          <w:trHeight w:val="20"/>
        </w:trPr>
        <w:tc>
          <w:tcPr>
            <w:tcW w:w="1642" w:type="dxa"/>
          </w:tcPr>
          <w:p w14:paraId="6F1F5FBB"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SL2M1]</w:t>
            </w:r>
          </w:p>
        </w:tc>
        <w:tc>
          <w:tcPr>
            <w:tcW w:w="1810" w:type="dxa"/>
          </w:tcPr>
          <w:p w14:paraId="21A87F3F"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1537" w:type="dxa"/>
          </w:tcPr>
          <w:p w14:paraId="58266688"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1474" w:type="dxa"/>
            <w:gridSpan w:val="2"/>
          </w:tcPr>
          <w:p w14:paraId="543856A8" w14:textId="77777777" w:rsidR="00BC7DDA" w:rsidRPr="00BD6C5F" w:rsidRDefault="00BC7DDA" w:rsidP="009A56D9">
            <w:pPr>
              <w:pStyle w:val="Tabletext"/>
            </w:pPr>
          </w:p>
        </w:tc>
        <w:tc>
          <w:tcPr>
            <w:tcW w:w="1531" w:type="dxa"/>
            <w:gridSpan w:val="3"/>
          </w:tcPr>
          <w:p w14:paraId="1061506A" w14:textId="77777777" w:rsidR="00BC7DDA" w:rsidRPr="00BD6C5F" w:rsidRDefault="00BC7DDA" w:rsidP="009A56D9">
            <w:pPr>
              <w:pStyle w:val="Tabletext"/>
            </w:pPr>
          </w:p>
        </w:tc>
        <w:tc>
          <w:tcPr>
            <w:tcW w:w="1474" w:type="dxa"/>
          </w:tcPr>
          <w:p w14:paraId="00569CC6" w14:textId="77777777" w:rsidR="00BC7DDA" w:rsidRPr="00BD6C5F" w:rsidRDefault="00BC7DDA" w:rsidP="009A56D9">
            <w:pPr>
              <w:pStyle w:val="Tabletext"/>
            </w:pPr>
          </w:p>
        </w:tc>
      </w:tr>
      <w:tr w:rsidR="00BC7DDA" w:rsidRPr="00BD6C5F" w14:paraId="00D311E1" w14:textId="77777777" w:rsidTr="00D96CB1">
        <w:trPr>
          <w:gridAfter w:val="1"/>
          <w:wAfter w:w="6" w:type="dxa"/>
          <w:trHeight w:val="20"/>
        </w:trPr>
        <w:tc>
          <w:tcPr>
            <w:tcW w:w="1642" w:type="dxa"/>
            <w:tcBorders>
              <w:bottom w:val="single" w:sz="4" w:space="0" w:color="auto"/>
            </w:tcBorders>
          </w:tcPr>
          <w:p w14:paraId="59970B2F"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SL2M2]</w:t>
            </w:r>
          </w:p>
        </w:tc>
        <w:tc>
          <w:tcPr>
            <w:tcW w:w="1810" w:type="dxa"/>
            <w:tcBorders>
              <w:bottom w:val="single" w:sz="4" w:space="0" w:color="auto"/>
            </w:tcBorders>
          </w:tcPr>
          <w:p w14:paraId="1294DEF4"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1537" w:type="dxa"/>
            <w:tcBorders>
              <w:bottom w:val="single" w:sz="4" w:space="0" w:color="auto"/>
            </w:tcBorders>
          </w:tcPr>
          <w:p w14:paraId="7439EA43"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[e.g. S2M2]</w:t>
            </w:r>
          </w:p>
        </w:tc>
        <w:tc>
          <w:tcPr>
            <w:tcW w:w="1474" w:type="dxa"/>
            <w:gridSpan w:val="2"/>
            <w:tcBorders>
              <w:bottom w:val="single" w:sz="4" w:space="0" w:color="auto"/>
            </w:tcBorders>
          </w:tcPr>
          <w:p w14:paraId="6CDD124F" w14:textId="77777777" w:rsidR="00BC7DDA" w:rsidRPr="00BD6C5F" w:rsidRDefault="00BC7DDA" w:rsidP="009A56D9">
            <w:pPr>
              <w:pStyle w:val="Tabletext"/>
            </w:pPr>
          </w:p>
        </w:tc>
        <w:tc>
          <w:tcPr>
            <w:tcW w:w="1531" w:type="dxa"/>
            <w:gridSpan w:val="3"/>
            <w:tcBorders>
              <w:bottom w:val="single" w:sz="4" w:space="0" w:color="auto"/>
            </w:tcBorders>
          </w:tcPr>
          <w:p w14:paraId="78145835" w14:textId="77777777" w:rsidR="00BC7DDA" w:rsidRPr="00BD6C5F" w:rsidRDefault="00BC7DDA" w:rsidP="009A56D9">
            <w:pPr>
              <w:pStyle w:val="Tabletext"/>
            </w:pPr>
          </w:p>
        </w:tc>
        <w:tc>
          <w:tcPr>
            <w:tcW w:w="1474" w:type="dxa"/>
            <w:tcBorders>
              <w:bottom w:val="single" w:sz="4" w:space="0" w:color="auto"/>
            </w:tcBorders>
          </w:tcPr>
          <w:p w14:paraId="3F88DEAB" w14:textId="77777777" w:rsidR="00BC7DDA" w:rsidRPr="00BD6C5F" w:rsidRDefault="00BC7DDA" w:rsidP="009A56D9">
            <w:pPr>
              <w:pStyle w:val="Tabletext"/>
            </w:pPr>
          </w:p>
        </w:tc>
      </w:tr>
      <w:tr w:rsidR="00BC7DDA" w:rsidRPr="00BD6C5F" w14:paraId="05057F95" w14:textId="77777777" w:rsidTr="00D96CB1">
        <w:trPr>
          <w:trHeight w:val="20"/>
        </w:trPr>
        <w:tc>
          <w:tcPr>
            <w:tcW w:w="9474" w:type="dxa"/>
            <w:gridSpan w:val="10"/>
            <w:shd w:val="clear" w:color="auto" w:fill="F0F0F0"/>
          </w:tcPr>
          <w:p w14:paraId="3C618A5A" w14:textId="77777777" w:rsidR="00BC7DDA" w:rsidRPr="00BD6C5F" w:rsidRDefault="009B03E9" w:rsidP="009A56D9">
            <w:pPr>
              <w:pStyle w:val="Tabletext"/>
              <w:rPr>
                <w:rFonts w:asciiTheme="minorHAnsi" w:hAnsiTheme="minorHAnsi" w:cstheme="minorHAnsi"/>
                <w:b/>
              </w:rPr>
            </w:pPr>
            <w:r w:rsidRPr="00BD6C5F">
              <w:rPr>
                <w:rFonts w:asciiTheme="minorHAnsi" w:hAnsiTheme="minorHAnsi" w:cstheme="minorHAnsi"/>
                <w:b/>
                <w:shd w:val="clear" w:color="auto" w:fill="FFFF00"/>
              </w:rPr>
              <w:t>[Service Line [X] – insert further rows as necessary]</w:t>
            </w:r>
          </w:p>
        </w:tc>
      </w:tr>
      <w:tr w:rsidR="00BC7DDA" w:rsidRPr="00BD6C5F" w14:paraId="4B8A1541" w14:textId="77777777" w:rsidTr="00D96CB1">
        <w:trPr>
          <w:gridAfter w:val="1"/>
          <w:wAfter w:w="6" w:type="dxa"/>
          <w:trHeight w:val="20"/>
        </w:trPr>
        <w:tc>
          <w:tcPr>
            <w:tcW w:w="1642" w:type="dxa"/>
          </w:tcPr>
          <w:p w14:paraId="3EFC30C0" w14:textId="77777777" w:rsidR="00BC7DDA" w:rsidRPr="00BD6C5F" w:rsidRDefault="009B03E9" w:rsidP="009A56D9">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1810" w:type="dxa"/>
          </w:tcPr>
          <w:p w14:paraId="6BE70360" w14:textId="77777777" w:rsidR="00BC7DDA" w:rsidRPr="00BD6C5F" w:rsidRDefault="00BC7DDA" w:rsidP="009A56D9">
            <w:pPr>
              <w:pStyle w:val="Tabletext"/>
            </w:pPr>
          </w:p>
        </w:tc>
        <w:tc>
          <w:tcPr>
            <w:tcW w:w="1537" w:type="dxa"/>
          </w:tcPr>
          <w:p w14:paraId="18795A9C" w14:textId="77777777" w:rsidR="00BC7DDA" w:rsidRPr="00BD6C5F" w:rsidRDefault="00BC7DDA" w:rsidP="009A56D9">
            <w:pPr>
              <w:pStyle w:val="Tabletext"/>
            </w:pPr>
          </w:p>
        </w:tc>
        <w:tc>
          <w:tcPr>
            <w:tcW w:w="1474" w:type="dxa"/>
            <w:gridSpan w:val="2"/>
          </w:tcPr>
          <w:p w14:paraId="0295D955" w14:textId="77777777" w:rsidR="00BC7DDA" w:rsidRPr="00BD6C5F" w:rsidRDefault="00BC7DDA" w:rsidP="009A56D9">
            <w:pPr>
              <w:pStyle w:val="Tabletext"/>
            </w:pPr>
          </w:p>
        </w:tc>
        <w:tc>
          <w:tcPr>
            <w:tcW w:w="1531" w:type="dxa"/>
            <w:gridSpan w:val="3"/>
          </w:tcPr>
          <w:p w14:paraId="49BF505E" w14:textId="77777777" w:rsidR="00BC7DDA" w:rsidRPr="00BD6C5F" w:rsidRDefault="00BC7DDA" w:rsidP="009A56D9">
            <w:pPr>
              <w:pStyle w:val="Tabletext"/>
            </w:pPr>
          </w:p>
        </w:tc>
        <w:tc>
          <w:tcPr>
            <w:tcW w:w="1474" w:type="dxa"/>
          </w:tcPr>
          <w:p w14:paraId="4B7B12B9" w14:textId="77777777" w:rsidR="00BC7DDA" w:rsidRPr="00BD6C5F" w:rsidRDefault="00BC7DDA" w:rsidP="009A56D9">
            <w:pPr>
              <w:pStyle w:val="Tabletext"/>
            </w:pPr>
          </w:p>
        </w:tc>
      </w:tr>
      <w:tr w:rsidR="00BC7DDA" w:rsidRPr="00BD6C5F" w14:paraId="1EE2C322" w14:textId="77777777" w:rsidTr="00D96CB1">
        <w:trPr>
          <w:gridAfter w:val="1"/>
          <w:wAfter w:w="6" w:type="dxa"/>
          <w:trHeight w:val="20"/>
        </w:trPr>
        <w:tc>
          <w:tcPr>
            <w:tcW w:w="1642" w:type="dxa"/>
          </w:tcPr>
          <w:p w14:paraId="0B5E347C" w14:textId="77777777" w:rsidR="00BC7DDA" w:rsidRPr="00BD6C5F" w:rsidRDefault="00BC7DDA" w:rsidP="009A56D9">
            <w:pPr>
              <w:pStyle w:val="Tabletext"/>
              <w:rPr>
                <w:rFonts w:asciiTheme="minorHAnsi" w:hAnsiTheme="minorHAnsi" w:cstheme="minorHAnsi"/>
              </w:rPr>
            </w:pPr>
          </w:p>
        </w:tc>
        <w:tc>
          <w:tcPr>
            <w:tcW w:w="1810" w:type="dxa"/>
          </w:tcPr>
          <w:p w14:paraId="381032AB" w14:textId="77777777" w:rsidR="00BC7DDA" w:rsidRPr="00BD6C5F" w:rsidRDefault="00BC7DDA" w:rsidP="009A56D9">
            <w:pPr>
              <w:pStyle w:val="Tabletext"/>
            </w:pPr>
          </w:p>
        </w:tc>
        <w:tc>
          <w:tcPr>
            <w:tcW w:w="1537" w:type="dxa"/>
          </w:tcPr>
          <w:p w14:paraId="607497BF" w14:textId="77777777" w:rsidR="00BC7DDA" w:rsidRPr="00BD6C5F" w:rsidRDefault="00BC7DDA" w:rsidP="009A56D9">
            <w:pPr>
              <w:pStyle w:val="Tabletext"/>
            </w:pPr>
          </w:p>
        </w:tc>
        <w:tc>
          <w:tcPr>
            <w:tcW w:w="1474" w:type="dxa"/>
            <w:gridSpan w:val="2"/>
          </w:tcPr>
          <w:p w14:paraId="73EE5B1E" w14:textId="77777777" w:rsidR="00BC7DDA" w:rsidRPr="00BD6C5F" w:rsidRDefault="00BC7DDA" w:rsidP="009A56D9">
            <w:pPr>
              <w:pStyle w:val="Tabletext"/>
            </w:pPr>
          </w:p>
        </w:tc>
        <w:tc>
          <w:tcPr>
            <w:tcW w:w="1531" w:type="dxa"/>
            <w:gridSpan w:val="3"/>
          </w:tcPr>
          <w:p w14:paraId="1A2A7AD9" w14:textId="77777777" w:rsidR="00BC7DDA" w:rsidRPr="00BD6C5F" w:rsidRDefault="00BC7DDA" w:rsidP="009A56D9">
            <w:pPr>
              <w:pStyle w:val="Tabletext"/>
            </w:pPr>
          </w:p>
        </w:tc>
        <w:tc>
          <w:tcPr>
            <w:tcW w:w="1474" w:type="dxa"/>
          </w:tcPr>
          <w:p w14:paraId="6AB78E80" w14:textId="77777777" w:rsidR="00BC7DDA" w:rsidRPr="00BD6C5F" w:rsidRDefault="00BC7DDA" w:rsidP="009A56D9">
            <w:pPr>
              <w:pStyle w:val="Tabletext"/>
            </w:pPr>
          </w:p>
        </w:tc>
      </w:tr>
    </w:tbl>
    <w:p w14:paraId="7C64A1C6" w14:textId="77777777" w:rsidR="00BC7DDA" w:rsidRPr="00BD6C5F" w:rsidRDefault="00BC7DDA" w:rsidP="009A56D9"/>
    <w:p w14:paraId="65611EDB" w14:textId="59D89063" w:rsidR="00BC7DDA" w:rsidRPr="00BD6C5F" w:rsidRDefault="00183F6E" w:rsidP="00B71FC0">
      <w:pPr>
        <w:pStyle w:val="AppendixText1"/>
        <w:numPr>
          <w:ilvl w:val="0"/>
          <w:numId w:val="153"/>
        </w:numPr>
      </w:pPr>
      <w:bookmarkStart w:id="721" w:name="_bookmark243"/>
      <w:bookmarkEnd w:id="721"/>
      <w:r w:rsidRPr="00BD6C5F">
        <w:t>Table 2: Service Charges</w:t>
      </w:r>
    </w:p>
    <w:tbl>
      <w:tblPr>
        <w:tblStyle w:val="MSATable-header"/>
        <w:tblW w:w="0" w:type="auto"/>
        <w:tblInd w:w="720" w:type="dxa"/>
        <w:tblLayout w:type="fixed"/>
        <w:tblLook w:val="0620" w:firstRow="1" w:lastRow="0" w:firstColumn="0" w:lastColumn="0" w:noHBand="1" w:noVBand="1"/>
      </w:tblPr>
      <w:tblGrid>
        <w:gridCol w:w="2324"/>
        <w:gridCol w:w="2324"/>
        <w:gridCol w:w="2324"/>
        <w:gridCol w:w="2496"/>
      </w:tblGrid>
      <w:tr w:rsidR="00BC7DDA" w:rsidRPr="00BD6C5F" w14:paraId="055A5A75" w14:textId="77777777" w:rsidTr="00D96CB1">
        <w:trPr>
          <w:cnfStyle w:val="100000000000" w:firstRow="1" w:lastRow="0" w:firstColumn="0" w:lastColumn="0" w:oddVBand="0" w:evenVBand="0" w:oddHBand="0" w:evenHBand="0" w:firstRowFirstColumn="0" w:firstRowLastColumn="0" w:lastRowFirstColumn="0" w:lastRowLastColumn="0"/>
          <w:cantSplit/>
          <w:tblHeader/>
        </w:trPr>
        <w:tc>
          <w:tcPr>
            <w:tcW w:w="2324" w:type="dxa"/>
          </w:tcPr>
          <w:p w14:paraId="73B4C29B"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Charge Number</w:t>
            </w:r>
          </w:p>
        </w:tc>
        <w:tc>
          <w:tcPr>
            <w:tcW w:w="2324" w:type="dxa"/>
          </w:tcPr>
          <w:p w14:paraId="789ABA94"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Pricing Mechanism (VOL / FIX / T&amp;M)</w:t>
            </w:r>
          </w:p>
        </w:tc>
        <w:tc>
          <w:tcPr>
            <w:tcW w:w="2324" w:type="dxa"/>
          </w:tcPr>
          <w:p w14:paraId="62F4ACC9"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Service Charge Trigger Event</w:t>
            </w:r>
          </w:p>
        </w:tc>
        <w:tc>
          <w:tcPr>
            <w:tcW w:w="2496" w:type="dxa"/>
          </w:tcPr>
          <w:p w14:paraId="5F957FF2"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Service Charge Expiration Trigger Event</w:t>
            </w:r>
          </w:p>
        </w:tc>
      </w:tr>
      <w:tr w:rsidR="00BC7DDA" w:rsidRPr="00BD6C5F" w14:paraId="00D6C1E9" w14:textId="77777777" w:rsidTr="00D96CB1">
        <w:trPr>
          <w:cantSplit/>
        </w:trPr>
        <w:tc>
          <w:tcPr>
            <w:tcW w:w="9468" w:type="dxa"/>
            <w:gridSpan w:val="4"/>
            <w:shd w:val="clear" w:color="auto" w:fill="F0F0F0"/>
          </w:tcPr>
          <w:p w14:paraId="764CF16C" w14:textId="77777777" w:rsidR="00BC7DDA" w:rsidRPr="00BD6C5F" w:rsidRDefault="009B03E9" w:rsidP="00D96CB1">
            <w:pPr>
              <w:pStyle w:val="Tabletext"/>
              <w:rPr>
                <w:rFonts w:asciiTheme="minorHAnsi" w:hAnsiTheme="minorHAnsi" w:cstheme="minorHAnsi"/>
                <w:b/>
              </w:rPr>
            </w:pPr>
            <w:r w:rsidRPr="00BD6C5F">
              <w:rPr>
                <w:rFonts w:asciiTheme="minorHAnsi" w:hAnsiTheme="minorHAnsi" w:cstheme="minorHAnsi"/>
                <w:b/>
                <w:shd w:val="clear" w:color="auto" w:fill="FFFF00"/>
              </w:rPr>
              <w:t>[Service Line 1]</w:t>
            </w:r>
          </w:p>
        </w:tc>
      </w:tr>
      <w:tr w:rsidR="00BC7DDA" w:rsidRPr="00BD6C5F" w14:paraId="67E90622" w14:textId="77777777" w:rsidTr="00D96CB1">
        <w:trPr>
          <w:cantSplit/>
        </w:trPr>
        <w:tc>
          <w:tcPr>
            <w:tcW w:w="2324" w:type="dxa"/>
          </w:tcPr>
          <w:p w14:paraId="49D9BCEB"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SL1C1]</w:t>
            </w:r>
          </w:p>
        </w:tc>
        <w:tc>
          <w:tcPr>
            <w:tcW w:w="2324" w:type="dxa"/>
          </w:tcPr>
          <w:p w14:paraId="413162D5"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[VOL]</w:t>
            </w:r>
          </w:p>
        </w:tc>
        <w:tc>
          <w:tcPr>
            <w:tcW w:w="2324" w:type="dxa"/>
          </w:tcPr>
          <w:p w14:paraId="1EA9540E"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w:t>
            </w:r>
            <w:r w:rsidRPr="00BD6C5F">
              <w:rPr>
                <w:rFonts w:asciiTheme="minorHAnsi" w:hAnsiTheme="minorHAnsi" w:cstheme="minorHAnsi"/>
              </w:rPr>
              <w:t xml:space="preserve"> </w:t>
            </w:r>
            <w:r w:rsidRPr="00BD6C5F">
              <w:rPr>
                <w:rFonts w:asciiTheme="minorHAnsi" w:hAnsiTheme="minorHAnsi" w:cstheme="minorHAnsi"/>
                <w:shd w:val="clear" w:color="auto" w:fill="FFFF00"/>
              </w:rPr>
              <w:t>Achievement of</w:t>
            </w:r>
            <w:r w:rsidRPr="00BD6C5F">
              <w:rPr>
                <w:rFonts w:asciiTheme="minorHAnsi" w:hAnsiTheme="minorHAnsi" w:cstheme="minorHAnsi"/>
              </w:rPr>
              <w:t xml:space="preserve"> </w:t>
            </w:r>
            <w:r w:rsidRPr="00BD6C5F">
              <w:rPr>
                <w:rFonts w:asciiTheme="minorHAnsi" w:hAnsiTheme="minorHAnsi" w:cstheme="minorHAnsi"/>
                <w:shd w:val="clear" w:color="auto" w:fill="FFFF00"/>
              </w:rPr>
              <w:t>Milestone 4]</w:t>
            </w:r>
          </w:p>
        </w:tc>
        <w:tc>
          <w:tcPr>
            <w:tcW w:w="2496" w:type="dxa"/>
          </w:tcPr>
          <w:p w14:paraId="610A6C49" w14:textId="77777777" w:rsidR="00BC7DDA" w:rsidRPr="00BD6C5F" w:rsidRDefault="00BC7DDA" w:rsidP="00D96CB1">
            <w:pPr>
              <w:pStyle w:val="Tabletext"/>
              <w:rPr>
                <w:rFonts w:asciiTheme="minorHAnsi" w:hAnsiTheme="minorHAnsi" w:cstheme="minorHAnsi"/>
              </w:rPr>
            </w:pPr>
          </w:p>
        </w:tc>
      </w:tr>
      <w:tr w:rsidR="00BC7DDA" w:rsidRPr="00BD6C5F" w14:paraId="62A47363" w14:textId="77777777" w:rsidTr="00D96CB1">
        <w:trPr>
          <w:cantSplit/>
        </w:trPr>
        <w:tc>
          <w:tcPr>
            <w:tcW w:w="2324" w:type="dxa"/>
            <w:tcBorders>
              <w:bottom w:val="single" w:sz="4" w:space="0" w:color="auto"/>
            </w:tcBorders>
          </w:tcPr>
          <w:p w14:paraId="719D297B"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SL1C2]</w:t>
            </w:r>
          </w:p>
        </w:tc>
        <w:tc>
          <w:tcPr>
            <w:tcW w:w="2324" w:type="dxa"/>
            <w:tcBorders>
              <w:bottom w:val="single" w:sz="4" w:space="0" w:color="auto"/>
            </w:tcBorders>
          </w:tcPr>
          <w:p w14:paraId="354D3970"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[FIX]</w:t>
            </w:r>
          </w:p>
        </w:tc>
        <w:tc>
          <w:tcPr>
            <w:tcW w:w="2324" w:type="dxa"/>
            <w:tcBorders>
              <w:bottom w:val="single" w:sz="4" w:space="0" w:color="auto"/>
            </w:tcBorders>
          </w:tcPr>
          <w:p w14:paraId="6EA14AF0" w14:textId="77777777" w:rsidR="00BC7DDA" w:rsidRPr="00BD6C5F" w:rsidRDefault="00BC7DDA" w:rsidP="00D96CB1">
            <w:pPr>
              <w:pStyle w:val="Tabletext"/>
              <w:rPr>
                <w:rFonts w:asciiTheme="minorHAnsi" w:hAnsiTheme="minorHAnsi" w:cstheme="minorHAnsi"/>
              </w:rPr>
            </w:pPr>
          </w:p>
        </w:tc>
        <w:tc>
          <w:tcPr>
            <w:tcW w:w="2496" w:type="dxa"/>
            <w:tcBorders>
              <w:bottom w:val="single" w:sz="4" w:space="0" w:color="auto"/>
            </w:tcBorders>
          </w:tcPr>
          <w:p w14:paraId="3CC4BD71" w14:textId="77777777" w:rsidR="00BC7DDA" w:rsidRPr="00BD6C5F" w:rsidRDefault="00BC7DDA" w:rsidP="00D96CB1">
            <w:pPr>
              <w:pStyle w:val="Tabletext"/>
              <w:rPr>
                <w:rFonts w:asciiTheme="minorHAnsi" w:hAnsiTheme="minorHAnsi" w:cstheme="minorHAnsi"/>
              </w:rPr>
            </w:pPr>
          </w:p>
        </w:tc>
      </w:tr>
      <w:tr w:rsidR="00BC7DDA" w:rsidRPr="00BD6C5F" w14:paraId="3BA392B4" w14:textId="77777777" w:rsidTr="00D96CB1">
        <w:trPr>
          <w:cantSplit/>
        </w:trPr>
        <w:tc>
          <w:tcPr>
            <w:tcW w:w="9468" w:type="dxa"/>
            <w:gridSpan w:val="4"/>
            <w:shd w:val="clear" w:color="auto" w:fill="F0F0F0"/>
          </w:tcPr>
          <w:p w14:paraId="59EB86EA" w14:textId="77777777" w:rsidR="00BC7DDA" w:rsidRPr="00BD6C5F" w:rsidRDefault="009B03E9" w:rsidP="00D96CB1">
            <w:pPr>
              <w:pStyle w:val="Tabletext"/>
              <w:rPr>
                <w:rFonts w:asciiTheme="minorHAnsi" w:hAnsiTheme="minorHAnsi" w:cstheme="minorHAnsi"/>
                <w:b/>
              </w:rPr>
            </w:pPr>
            <w:r w:rsidRPr="00BD6C5F">
              <w:rPr>
                <w:rFonts w:asciiTheme="minorHAnsi" w:hAnsiTheme="minorHAnsi" w:cstheme="minorHAnsi"/>
                <w:b/>
                <w:shd w:val="clear" w:color="auto" w:fill="FFFF00"/>
              </w:rPr>
              <w:t>[Service Line 2]</w:t>
            </w:r>
          </w:p>
        </w:tc>
      </w:tr>
      <w:tr w:rsidR="00BC7DDA" w:rsidRPr="00BD6C5F" w14:paraId="5314B8C5" w14:textId="77777777" w:rsidTr="00D96CB1">
        <w:trPr>
          <w:cantSplit/>
        </w:trPr>
        <w:tc>
          <w:tcPr>
            <w:tcW w:w="2324" w:type="dxa"/>
          </w:tcPr>
          <w:p w14:paraId="6578D937"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SL2C1]</w:t>
            </w:r>
          </w:p>
        </w:tc>
        <w:tc>
          <w:tcPr>
            <w:tcW w:w="2324" w:type="dxa"/>
          </w:tcPr>
          <w:p w14:paraId="68320F36"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[VOL]</w:t>
            </w:r>
          </w:p>
        </w:tc>
        <w:tc>
          <w:tcPr>
            <w:tcW w:w="2324" w:type="dxa"/>
          </w:tcPr>
          <w:p w14:paraId="637E6A99"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w:t>
            </w:r>
            <w:r w:rsidRPr="00BD6C5F">
              <w:rPr>
                <w:rFonts w:asciiTheme="minorHAnsi" w:hAnsiTheme="minorHAnsi" w:cstheme="minorHAnsi"/>
              </w:rPr>
              <w:t xml:space="preserve"> </w:t>
            </w:r>
            <w:r w:rsidRPr="00BD6C5F">
              <w:rPr>
                <w:rFonts w:asciiTheme="minorHAnsi" w:hAnsiTheme="minorHAnsi" w:cstheme="minorHAnsi"/>
                <w:shd w:val="clear" w:color="auto" w:fill="FFFF00"/>
              </w:rPr>
              <w:t>Achievement of</w:t>
            </w:r>
            <w:r w:rsidRPr="00BD6C5F">
              <w:rPr>
                <w:rFonts w:asciiTheme="minorHAnsi" w:hAnsiTheme="minorHAnsi" w:cstheme="minorHAnsi"/>
              </w:rPr>
              <w:t xml:space="preserve"> </w:t>
            </w:r>
            <w:r w:rsidRPr="00BD6C5F">
              <w:rPr>
                <w:rFonts w:asciiTheme="minorHAnsi" w:hAnsiTheme="minorHAnsi" w:cstheme="minorHAnsi"/>
                <w:shd w:val="clear" w:color="auto" w:fill="FFFF00"/>
              </w:rPr>
              <w:t>Milestone 4]</w:t>
            </w:r>
          </w:p>
        </w:tc>
        <w:tc>
          <w:tcPr>
            <w:tcW w:w="2496" w:type="dxa"/>
          </w:tcPr>
          <w:p w14:paraId="03CC6393" w14:textId="77777777" w:rsidR="00BC7DDA" w:rsidRPr="00BD6C5F" w:rsidRDefault="00BC7DDA" w:rsidP="00D96CB1">
            <w:pPr>
              <w:pStyle w:val="Tabletext"/>
              <w:rPr>
                <w:rFonts w:asciiTheme="minorHAnsi" w:hAnsiTheme="minorHAnsi" w:cstheme="minorHAnsi"/>
              </w:rPr>
            </w:pPr>
          </w:p>
        </w:tc>
      </w:tr>
      <w:tr w:rsidR="00BC7DDA" w:rsidRPr="00BD6C5F" w14:paraId="06D3E9C7" w14:textId="77777777" w:rsidTr="00D96CB1">
        <w:trPr>
          <w:cantSplit/>
        </w:trPr>
        <w:tc>
          <w:tcPr>
            <w:tcW w:w="2324" w:type="dxa"/>
            <w:tcBorders>
              <w:bottom w:val="single" w:sz="4" w:space="0" w:color="auto"/>
            </w:tcBorders>
          </w:tcPr>
          <w:p w14:paraId="5D014A83"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SL2C2]</w:t>
            </w:r>
          </w:p>
        </w:tc>
        <w:tc>
          <w:tcPr>
            <w:tcW w:w="2324" w:type="dxa"/>
            <w:tcBorders>
              <w:bottom w:val="single" w:sz="4" w:space="0" w:color="auto"/>
            </w:tcBorders>
          </w:tcPr>
          <w:p w14:paraId="1594617A"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[FIX]</w:t>
            </w:r>
          </w:p>
        </w:tc>
        <w:tc>
          <w:tcPr>
            <w:tcW w:w="2324" w:type="dxa"/>
            <w:tcBorders>
              <w:bottom w:val="single" w:sz="4" w:space="0" w:color="auto"/>
            </w:tcBorders>
          </w:tcPr>
          <w:p w14:paraId="786C4FA5" w14:textId="77777777" w:rsidR="00BC7DDA" w:rsidRPr="00BD6C5F" w:rsidRDefault="00BC7DDA" w:rsidP="00D96CB1">
            <w:pPr>
              <w:pStyle w:val="Tabletext"/>
              <w:rPr>
                <w:rFonts w:asciiTheme="minorHAnsi" w:hAnsiTheme="minorHAnsi" w:cstheme="minorHAnsi"/>
              </w:rPr>
            </w:pPr>
          </w:p>
        </w:tc>
        <w:tc>
          <w:tcPr>
            <w:tcW w:w="2496" w:type="dxa"/>
            <w:tcBorders>
              <w:bottom w:val="single" w:sz="4" w:space="0" w:color="auto"/>
            </w:tcBorders>
          </w:tcPr>
          <w:p w14:paraId="6E387456" w14:textId="77777777" w:rsidR="00BC7DDA" w:rsidRPr="00BD6C5F" w:rsidRDefault="00BC7DDA" w:rsidP="00D96CB1">
            <w:pPr>
              <w:pStyle w:val="Tabletext"/>
              <w:rPr>
                <w:rFonts w:asciiTheme="minorHAnsi" w:hAnsiTheme="minorHAnsi" w:cstheme="minorHAnsi"/>
              </w:rPr>
            </w:pPr>
          </w:p>
        </w:tc>
      </w:tr>
      <w:tr w:rsidR="00BC7DDA" w:rsidRPr="00BD6C5F" w14:paraId="6EF2A28C" w14:textId="77777777" w:rsidTr="00D96CB1">
        <w:trPr>
          <w:cantSplit/>
        </w:trPr>
        <w:tc>
          <w:tcPr>
            <w:tcW w:w="9468" w:type="dxa"/>
            <w:gridSpan w:val="4"/>
            <w:shd w:val="clear" w:color="auto" w:fill="F0F0F0"/>
          </w:tcPr>
          <w:p w14:paraId="0ABC2561" w14:textId="77777777" w:rsidR="00BC7DDA" w:rsidRPr="00BD6C5F" w:rsidRDefault="009B03E9" w:rsidP="00D96CB1">
            <w:pPr>
              <w:pStyle w:val="Tabletext"/>
              <w:rPr>
                <w:rFonts w:asciiTheme="minorHAnsi" w:hAnsiTheme="minorHAnsi" w:cstheme="minorHAnsi"/>
                <w:b/>
              </w:rPr>
            </w:pPr>
            <w:r w:rsidRPr="00BD6C5F">
              <w:rPr>
                <w:rFonts w:asciiTheme="minorHAnsi" w:hAnsiTheme="minorHAnsi" w:cstheme="minorHAnsi"/>
                <w:b/>
                <w:shd w:val="clear" w:color="auto" w:fill="FFFF00"/>
              </w:rPr>
              <w:t>[Service Line [X] - insert further rows as necessary]</w:t>
            </w:r>
          </w:p>
        </w:tc>
      </w:tr>
      <w:tr w:rsidR="00BC7DDA" w:rsidRPr="00BD6C5F" w14:paraId="2308F475" w14:textId="77777777" w:rsidTr="00D96CB1">
        <w:trPr>
          <w:cantSplit/>
        </w:trPr>
        <w:tc>
          <w:tcPr>
            <w:tcW w:w="2324" w:type="dxa"/>
          </w:tcPr>
          <w:p w14:paraId="6D52CA6B"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lastRenderedPageBreak/>
              <w:t>[e.g. SLXC1]</w:t>
            </w:r>
          </w:p>
        </w:tc>
        <w:tc>
          <w:tcPr>
            <w:tcW w:w="2324" w:type="dxa"/>
          </w:tcPr>
          <w:p w14:paraId="1C2C6AED"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[VOL]</w:t>
            </w:r>
          </w:p>
        </w:tc>
        <w:tc>
          <w:tcPr>
            <w:tcW w:w="2324" w:type="dxa"/>
          </w:tcPr>
          <w:p w14:paraId="6F0EC9E8"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w:t>
            </w:r>
            <w:r w:rsidRPr="00BD6C5F">
              <w:rPr>
                <w:rFonts w:asciiTheme="minorHAnsi" w:hAnsiTheme="minorHAnsi" w:cstheme="minorHAnsi"/>
              </w:rPr>
              <w:t xml:space="preserve"> </w:t>
            </w:r>
            <w:r w:rsidRPr="00BD6C5F">
              <w:rPr>
                <w:rFonts w:asciiTheme="minorHAnsi" w:hAnsiTheme="minorHAnsi" w:cstheme="minorHAnsi"/>
                <w:shd w:val="clear" w:color="auto" w:fill="FFFF00"/>
              </w:rPr>
              <w:t>Achievement of</w:t>
            </w:r>
            <w:r w:rsidRPr="00BD6C5F">
              <w:rPr>
                <w:rFonts w:asciiTheme="minorHAnsi" w:hAnsiTheme="minorHAnsi" w:cstheme="minorHAnsi"/>
              </w:rPr>
              <w:t xml:space="preserve"> </w:t>
            </w:r>
            <w:r w:rsidRPr="00BD6C5F">
              <w:rPr>
                <w:rFonts w:asciiTheme="minorHAnsi" w:hAnsiTheme="minorHAnsi" w:cstheme="minorHAnsi"/>
                <w:shd w:val="clear" w:color="auto" w:fill="FFFF00"/>
              </w:rPr>
              <w:t>Milestone 4]</w:t>
            </w:r>
          </w:p>
        </w:tc>
        <w:tc>
          <w:tcPr>
            <w:tcW w:w="2494" w:type="dxa"/>
          </w:tcPr>
          <w:p w14:paraId="2564B1E2" w14:textId="77777777" w:rsidR="00BC7DDA" w:rsidRPr="00BD6C5F" w:rsidRDefault="00BC7DDA" w:rsidP="00D96CB1">
            <w:pPr>
              <w:pStyle w:val="Tabletext"/>
              <w:rPr>
                <w:rFonts w:asciiTheme="minorHAnsi" w:hAnsiTheme="minorHAnsi" w:cstheme="minorHAnsi"/>
              </w:rPr>
            </w:pPr>
          </w:p>
        </w:tc>
      </w:tr>
      <w:tr w:rsidR="00BC7DDA" w:rsidRPr="00BD6C5F" w14:paraId="414304B4" w14:textId="77777777" w:rsidTr="00D96CB1">
        <w:trPr>
          <w:cantSplit/>
        </w:trPr>
        <w:tc>
          <w:tcPr>
            <w:tcW w:w="2324" w:type="dxa"/>
          </w:tcPr>
          <w:p w14:paraId="2996FFAD"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SLXC2]</w:t>
            </w:r>
          </w:p>
        </w:tc>
        <w:tc>
          <w:tcPr>
            <w:tcW w:w="2324" w:type="dxa"/>
          </w:tcPr>
          <w:p w14:paraId="20DB5B27"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[FIX]</w:t>
            </w:r>
          </w:p>
        </w:tc>
        <w:tc>
          <w:tcPr>
            <w:tcW w:w="2324" w:type="dxa"/>
          </w:tcPr>
          <w:p w14:paraId="1A44AFB4" w14:textId="77777777" w:rsidR="00BC7DDA" w:rsidRPr="00BD6C5F" w:rsidRDefault="00BC7DDA" w:rsidP="00D96CB1">
            <w:pPr>
              <w:pStyle w:val="Tabletext"/>
              <w:rPr>
                <w:rFonts w:asciiTheme="minorHAnsi" w:hAnsiTheme="minorHAnsi" w:cstheme="minorHAnsi"/>
              </w:rPr>
            </w:pPr>
          </w:p>
        </w:tc>
        <w:tc>
          <w:tcPr>
            <w:tcW w:w="2494" w:type="dxa"/>
          </w:tcPr>
          <w:p w14:paraId="58153946" w14:textId="77777777" w:rsidR="00BC7DDA" w:rsidRPr="00BD6C5F" w:rsidRDefault="00BC7DDA" w:rsidP="00D96CB1">
            <w:pPr>
              <w:pStyle w:val="Tabletext"/>
              <w:rPr>
                <w:rFonts w:asciiTheme="minorHAnsi" w:hAnsiTheme="minorHAnsi" w:cstheme="minorHAnsi"/>
              </w:rPr>
            </w:pPr>
          </w:p>
        </w:tc>
      </w:tr>
    </w:tbl>
    <w:p w14:paraId="431831CD" w14:textId="77777777" w:rsidR="00BC7DDA" w:rsidRPr="00BD6C5F" w:rsidRDefault="00BC7DDA" w:rsidP="009A56D9"/>
    <w:p w14:paraId="09D5BC79" w14:textId="2FCFD470" w:rsidR="00BC7DDA" w:rsidRPr="00BD6C5F" w:rsidRDefault="00183F6E" w:rsidP="00B71FC0">
      <w:pPr>
        <w:pStyle w:val="AppendixText1"/>
        <w:numPr>
          <w:ilvl w:val="0"/>
          <w:numId w:val="153"/>
        </w:numPr>
      </w:pPr>
      <w:r w:rsidRPr="00BD6C5F">
        <w:t>Table 3</w:t>
      </w:r>
      <w:bookmarkStart w:id="722" w:name="_bookmark244"/>
      <w:bookmarkEnd w:id="722"/>
      <w:r w:rsidRPr="00BD6C5F">
        <w:t>: Optional Services Milestone Payments</w:t>
      </w:r>
    </w:p>
    <w:tbl>
      <w:tblPr>
        <w:tblStyle w:val="MSATable-header"/>
        <w:tblW w:w="0" w:type="auto"/>
        <w:tblInd w:w="720" w:type="dxa"/>
        <w:tblLayout w:type="fixed"/>
        <w:tblLook w:val="0620" w:firstRow="1" w:lastRow="0" w:firstColumn="0" w:lastColumn="0" w:noHBand="1" w:noVBand="1"/>
      </w:tblPr>
      <w:tblGrid>
        <w:gridCol w:w="2324"/>
        <w:gridCol w:w="2324"/>
        <w:gridCol w:w="2324"/>
        <w:gridCol w:w="2494"/>
      </w:tblGrid>
      <w:tr w:rsidR="00BC7DDA" w:rsidRPr="00BD6C5F" w14:paraId="766CE70F" w14:textId="77777777" w:rsidTr="00D96CB1">
        <w:trPr>
          <w:cnfStyle w:val="100000000000" w:firstRow="1" w:lastRow="0" w:firstColumn="0" w:lastColumn="0" w:oddVBand="0" w:evenVBand="0" w:oddHBand="0" w:evenHBand="0" w:firstRowFirstColumn="0" w:firstRowLastColumn="0" w:lastRowFirstColumn="0" w:lastRowLastColumn="0"/>
          <w:cantSplit/>
          <w:tblHeader/>
        </w:trPr>
        <w:tc>
          <w:tcPr>
            <w:tcW w:w="2324" w:type="dxa"/>
          </w:tcPr>
          <w:p w14:paraId="50FE9755"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Charge Number</w:t>
            </w:r>
          </w:p>
        </w:tc>
        <w:tc>
          <w:tcPr>
            <w:tcW w:w="2324" w:type="dxa"/>
          </w:tcPr>
          <w:p w14:paraId="0DE60A3E" w14:textId="70EB8FC3"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Pricing Mechanism (FIX</w:t>
            </w:r>
            <w:r w:rsidR="00D96CB1" w:rsidRPr="00BD6C5F">
              <w:rPr>
                <w:rFonts w:asciiTheme="minorHAnsi" w:hAnsiTheme="minorHAnsi" w:cstheme="minorHAnsi"/>
                <w:bCs/>
              </w:rPr>
              <w:t xml:space="preserve"> </w:t>
            </w:r>
            <w:r w:rsidRPr="00BD6C5F">
              <w:rPr>
                <w:rFonts w:asciiTheme="minorHAnsi" w:hAnsiTheme="minorHAnsi" w:cstheme="minorHAnsi"/>
                <w:bCs/>
              </w:rPr>
              <w:t>/ FIRM / GMPTC</w:t>
            </w:r>
            <w:r w:rsidR="00D96CB1" w:rsidRPr="00BD6C5F">
              <w:rPr>
                <w:rFonts w:asciiTheme="minorHAnsi" w:hAnsiTheme="minorHAnsi" w:cstheme="minorHAnsi"/>
                <w:bCs/>
              </w:rPr>
              <w:t xml:space="preserve"> </w:t>
            </w:r>
            <w:r w:rsidRPr="00BD6C5F">
              <w:rPr>
                <w:rFonts w:asciiTheme="minorHAnsi" w:hAnsiTheme="minorHAnsi" w:cstheme="minorHAnsi"/>
                <w:bCs/>
              </w:rPr>
              <w:t>/ T&amp;M)</w:t>
            </w:r>
          </w:p>
        </w:tc>
        <w:tc>
          <w:tcPr>
            <w:tcW w:w="2324" w:type="dxa"/>
          </w:tcPr>
          <w:p w14:paraId="4D239E80"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CPP Milestone Charge Number</w:t>
            </w:r>
          </w:p>
        </w:tc>
        <w:tc>
          <w:tcPr>
            <w:tcW w:w="2494" w:type="dxa"/>
          </w:tcPr>
          <w:p w14:paraId="6A847442" w14:textId="533CF988"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Delay Payments (if</w:t>
            </w:r>
            <w:r w:rsidR="00D96CB1" w:rsidRPr="00BD6C5F">
              <w:rPr>
                <w:rFonts w:asciiTheme="minorHAnsi" w:hAnsiTheme="minorHAnsi" w:cstheme="minorHAnsi"/>
                <w:bCs/>
              </w:rPr>
              <w:t> </w:t>
            </w:r>
            <w:r w:rsidRPr="00BD6C5F">
              <w:rPr>
                <w:rFonts w:asciiTheme="minorHAnsi" w:hAnsiTheme="minorHAnsi" w:cstheme="minorHAnsi"/>
                <w:bCs/>
              </w:rPr>
              <w:t>Key Milestone) (£</w:t>
            </w:r>
            <w:r w:rsidR="00D96CB1" w:rsidRPr="00BD6C5F">
              <w:rPr>
                <w:rFonts w:asciiTheme="minorHAnsi" w:hAnsiTheme="minorHAnsi" w:cstheme="minorHAnsi"/>
                <w:bCs/>
              </w:rPr>
              <w:t> </w:t>
            </w:r>
            <w:r w:rsidRPr="00BD6C5F">
              <w:rPr>
                <w:rFonts w:asciiTheme="minorHAnsi" w:hAnsiTheme="minorHAnsi" w:cstheme="minorHAnsi"/>
                <w:bCs/>
              </w:rPr>
              <w:t>per day)</w:t>
            </w:r>
          </w:p>
        </w:tc>
      </w:tr>
      <w:tr w:rsidR="00BC7DDA" w:rsidRPr="00BD6C5F" w14:paraId="4F088AAF" w14:textId="77777777" w:rsidTr="00D96CB1">
        <w:trPr>
          <w:cantSplit/>
        </w:trPr>
        <w:tc>
          <w:tcPr>
            <w:tcW w:w="2324" w:type="dxa"/>
          </w:tcPr>
          <w:p w14:paraId="4AE9178B"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OMS1]</w:t>
            </w:r>
          </w:p>
        </w:tc>
        <w:tc>
          <w:tcPr>
            <w:tcW w:w="2324" w:type="dxa"/>
          </w:tcPr>
          <w:p w14:paraId="6B391B51"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2324" w:type="dxa"/>
          </w:tcPr>
          <w:p w14:paraId="08D9DAE1"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OMS2]</w:t>
            </w:r>
          </w:p>
        </w:tc>
        <w:tc>
          <w:tcPr>
            <w:tcW w:w="2494" w:type="dxa"/>
          </w:tcPr>
          <w:p w14:paraId="28AEA54F" w14:textId="77777777" w:rsidR="00BC7DDA" w:rsidRPr="00BD6C5F" w:rsidRDefault="00BC7DDA" w:rsidP="00D96CB1">
            <w:pPr>
              <w:pStyle w:val="Tabletext"/>
              <w:rPr>
                <w:rFonts w:asciiTheme="minorHAnsi" w:hAnsiTheme="minorHAnsi" w:cstheme="minorHAnsi"/>
              </w:rPr>
            </w:pPr>
          </w:p>
        </w:tc>
      </w:tr>
      <w:tr w:rsidR="00BC7DDA" w:rsidRPr="00BD6C5F" w14:paraId="72F1234C" w14:textId="77777777" w:rsidTr="00D96CB1">
        <w:trPr>
          <w:cantSplit/>
        </w:trPr>
        <w:tc>
          <w:tcPr>
            <w:tcW w:w="2324" w:type="dxa"/>
          </w:tcPr>
          <w:p w14:paraId="15BD4440"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OMS2]</w:t>
            </w:r>
          </w:p>
        </w:tc>
        <w:tc>
          <w:tcPr>
            <w:tcW w:w="2324" w:type="dxa"/>
          </w:tcPr>
          <w:p w14:paraId="18F01B93"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[FIRM]</w:t>
            </w:r>
          </w:p>
        </w:tc>
        <w:tc>
          <w:tcPr>
            <w:tcW w:w="2324" w:type="dxa"/>
          </w:tcPr>
          <w:p w14:paraId="4E5EA573"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OMS2]</w:t>
            </w:r>
          </w:p>
        </w:tc>
        <w:tc>
          <w:tcPr>
            <w:tcW w:w="2494" w:type="dxa"/>
          </w:tcPr>
          <w:p w14:paraId="1FFE1ED2" w14:textId="77777777" w:rsidR="00BC7DDA" w:rsidRPr="00BD6C5F" w:rsidRDefault="00BC7DDA" w:rsidP="00D96CB1">
            <w:pPr>
              <w:pStyle w:val="Tabletext"/>
              <w:rPr>
                <w:rFonts w:asciiTheme="minorHAnsi" w:hAnsiTheme="minorHAnsi" w:cstheme="minorHAnsi"/>
              </w:rPr>
            </w:pPr>
          </w:p>
        </w:tc>
      </w:tr>
    </w:tbl>
    <w:p w14:paraId="27E3FF9D" w14:textId="77777777" w:rsidR="00BC7DDA" w:rsidRPr="00BD6C5F" w:rsidRDefault="00BC7DDA" w:rsidP="009A56D9"/>
    <w:p w14:paraId="431103E0" w14:textId="1A07F02D" w:rsidR="00BC7DDA" w:rsidRPr="00BD6C5F" w:rsidRDefault="00183F6E" w:rsidP="00B71FC0">
      <w:pPr>
        <w:pStyle w:val="AppendixText1"/>
        <w:numPr>
          <w:ilvl w:val="0"/>
          <w:numId w:val="153"/>
        </w:numPr>
      </w:pPr>
      <w:r w:rsidRPr="00BD6C5F">
        <w:t>Table 4</w:t>
      </w:r>
      <w:bookmarkStart w:id="723" w:name="_bookmark245"/>
      <w:bookmarkEnd w:id="723"/>
      <w:r w:rsidRPr="00BD6C5F">
        <w:t>: Optional Services Service Charges</w:t>
      </w:r>
    </w:p>
    <w:tbl>
      <w:tblPr>
        <w:tblStyle w:val="MSATable-header"/>
        <w:tblW w:w="0" w:type="auto"/>
        <w:tblInd w:w="720" w:type="dxa"/>
        <w:tblLayout w:type="fixed"/>
        <w:tblLook w:val="0620" w:firstRow="1" w:lastRow="0" w:firstColumn="0" w:lastColumn="0" w:noHBand="1" w:noVBand="1"/>
      </w:tblPr>
      <w:tblGrid>
        <w:gridCol w:w="2324"/>
        <w:gridCol w:w="2324"/>
        <w:gridCol w:w="2324"/>
        <w:gridCol w:w="2324"/>
      </w:tblGrid>
      <w:tr w:rsidR="00BC7DDA" w:rsidRPr="00BD6C5F" w14:paraId="091A6ED9" w14:textId="77777777" w:rsidTr="00D96CB1">
        <w:trPr>
          <w:cnfStyle w:val="100000000000" w:firstRow="1" w:lastRow="0" w:firstColumn="0" w:lastColumn="0" w:oddVBand="0" w:evenVBand="0" w:oddHBand="0" w:evenHBand="0" w:firstRowFirstColumn="0" w:firstRowLastColumn="0" w:lastRowFirstColumn="0" w:lastRowLastColumn="0"/>
          <w:cantSplit/>
          <w:tblHeader/>
        </w:trPr>
        <w:tc>
          <w:tcPr>
            <w:tcW w:w="2324" w:type="dxa"/>
          </w:tcPr>
          <w:p w14:paraId="544C3F4E"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Charge Number</w:t>
            </w:r>
          </w:p>
        </w:tc>
        <w:tc>
          <w:tcPr>
            <w:tcW w:w="2324" w:type="dxa"/>
          </w:tcPr>
          <w:p w14:paraId="0C257C77"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Pricing Mechanism (VOL / FIX / T&amp;M)</w:t>
            </w:r>
          </w:p>
        </w:tc>
        <w:tc>
          <w:tcPr>
            <w:tcW w:w="2324" w:type="dxa"/>
          </w:tcPr>
          <w:p w14:paraId="15248EA4"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Service Charge Trigger Event</w:t>
            </w:r>
          </w:p>
        </w:tc>
        <w:tc>
          <w:tcPr>
            <w:tcW w:w="2324" w:type="dxa"/>
          </w:tcPr>
          <w:p w14:paraId="3680DFE7" w14:textId="77777777" w:rsidR="00BC7DDA" w:rsidRPr="00BD6C5F" w:rsidRDefault="009B03E9" w:rsidP="00D96CB1">
            <w:pPr>
              <w:pStyle w:val="Tabletext"/>
              <w:rPr>
                <w:rFonts w:asciiTheme="minorHAnsi" w:hAnsiTheme="minorHAnsi" w:cstheme="minorHAnsi"/>
                <w:bCs/>
              </w:rPr>
            </w:pPr>
            <w:r w:rsidRPr="00BD6C5F">
              <w:rPr>
                <w:rFonts w:asciiTheme="minorHAnsi" w:hAnsiTheme="minorHAnsi" w:cstheme="minorHAnsi"/>
                <w:bCs/>
              </w:rPr>
              <w:t>Service Charge Expiration Trigger Event</w:t>
            </w:r>
          </w:p>
        </w:tc>
      </w:tr>
      <w:tr w:rsidR="00BC7DDA" w:rsidRPr="00BD6C5F" w14:paraId="7761646D" w14:textId="77777777" w:rsidTr="00D96CB1">
        <w:trPr>
          <w:cantSplit/>
        </w:trPr>
        <w:tc>
          <w:tcPr>
            <w:tcW w:w="2324" w:type="dxa"/>
          </w:tcPr>
          <w:p w14:paraId="561B2AB6"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OSC1]</w:t>
            </w:r>
          </w:p>
        </w:tc>
        <w:tc>
          <w:tcPr>
            <w:tcW w:w="2324" w:type="dxa"/>
          </w:tcPr>
          <w:p w14:paraId="6B426494"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[VOL]</w:t>
            </w:r>
          </w:p>
        </w:tc>
        <w:tc>
          <w:tcPr>
            <w:tcW w:w="2324" w:type="dxa"/>
          </w:tcPr>
          <w:p w14:paraId="6D196126"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w:t>
            </w:r>
            <w:r w:rsidRPr="00BD6C5F">
              <w:rPr>
                <w:rFonts w:asciiTheme="minorHAnsi" w:hAnsiTheme="minorHAnsi" w:cstheme="minorHAnsi"/>
              </w:rPr>
              <w:t xml:space="preserve"> </w:t>
            </w:r>
            <w:r w:rsidRPr="00BD6C5F">
              <w:rPr>
                <w:rFonts w:asciiTheme="minorHAnsi" w:hAnsiTheme="minorHAnsi" w:cstheme="minorHAnsi"/>
                <w:shd w:val="clear" w:color="auto" w:fill="FFFF00"/>
              </w:rPr>
              <w:t>Achievement of</w:t>
            </w:r>
            <w:r w:rsidRPr="00BD6C5F">
              <w:rPr>
                <w:rFonts w:asciiTheme="minorHAnsi" w:hAnsiTheme="minorHAnsi" w:cstheme="minorHAnsi"/>
              </w:rPr>
              <w:t xml:space="preserve"> </w:t>
            </w:r>
            <w:r w:rsidRPr="00BD6C5F">
              <w:rPr>
                <w:rFonts w:asciiTheme="minorHAnsi" w:hAnsiTheme="minorHAnsi" w:cstheme="minorHAnsi"/>
                <w:shd w:val="clear" w:color="auto" w:fill="FFFF00"/>
              </w:rPr>
              <w:t>Milestone 6]</w:t>
            </w:r>
          </w:p>
        </w:tc>
        <w:tc>
          <w:tcPr>
            <w:tcW w:w="2324" w:type="dxa"/>
          </w:tcPr>
          <w:p w14:paraId="01B0D17D" w14:textId="77777777" w:rsidR="00BC7DDA" w:rsidRPr="00BD6C5F" w:rsidRDefault="00BC7DDA" w:rsidP="00D96CB1">
            <w:pPr>
              <w:pStyle w:val="Tabletext"/>
              <w:rPr>
                <w:rFonts w:asciiTheme="minorHAnsi" w:hAnsiTheme="minorHAnsi" w:cstheme="minorHAnsi"/>
              </w:rPr>
            </w:pPr>
          </w:p>
        </w:tc>
      </w:tr>
      <w:tr w:rsidR="00BC7DDA" w:rsidRPr="00BD6C5F" w14:paraId="1CE36DD6" w14:textId="77777777" w:rsidTr="00D96CB1">
        <w:trPr>
          <w:cantSplit/>
        </w:trPr>
        <w:tc>
          <w:tcPr>
            <w:tcW w:w="2324" w:type="dxa"/>
          </w:tcPr>
          <w:p w14:paraId="6E569665"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[e.g. OSC2]</w:t>
            </w:r>
          </w:p>
        </w:tc>
        <w:tc>
          <w:tcPr>
            <w:tcW w:w="2324" w:type="dxa"/>
          </w:tcPr>
          <w:p w14:paraId="0AD487B9" w14:textId="77777777" w:rsidR="00BC7DDA" w:rsidRPr="00BD6C5F" w:rsidRDefault="009B03E9" w:rsidP="00D96CB1">
            <w:pPr>
              <w:pStyle w:val="Tabletext"/>
              <w:rPr>
                <w:rFonts w:asciiTheme="minorHAnsi" w:hAnsiTheme="minorHAnsi" w:cstheme="minorHAnsi"/>
              </w:rPr>
            </w:pPr>
            <w:r w:rsidRPr="00BD6C5F">
              <w:rPr>
                <w:rFonts w:asciiTheme="minorHAnsi" w:hAnsiTheme="minorHAnsi" w:cstheme="minorHAnsi"/>
                <w:shd w:val="clear" w:color="auto" w:fill="FFFF00"/>
              </w:rPr>
              <w:t>[FIX]</w:t>
            </w:r>
          </w:p>
        </w:tc>
        <w:tc>
          <w:tcPr>
            <w:tcW w:w="2324" w:type="dxa"/>
          </w:tcPr>
          <w:p w14:paraId="16676E65" w14:textId="77777777" w:rsidR="00BC7DDA" w:rsidRPr="00BD6C5F" w:rsidRDefault="00BC7DDA" w:rsidP="00D96CB1">
            <w:pPr>
              <w:pStyle w:val="Tabletext"/>
              <w:rPr>
                <w:rFonts w:asciiTheme="minorHAnsi" w:hAnsiTheme="minorHAnsi" w:cstheme="minorHAnsi"/>
              </w:rPr>
            </w:pPr>
          </w:p>
        </w:tc>
        <w:tc>
          <w:tcPr>
            <w:tcW w:w="2324" w:type="dxa"/>
          </w:tcPr>
          <w:p w14:paraId="1902D649" w14:textId="77777777" w:rsidR="00BC7DDA" w:rsidRPr="00BD6C5F" w:rsidRDefault="00BC7DDA" w:rsidP="00D96CB1">
            <w:pPr>
              <w:pStyle w:val="Tabletext"/>
              <w:rPr>
                <w:rFonts w:asciiTheme="minorHAnsi" w:hAnsiTheme="minorHAnsi" w:cstheme="minorHAnsi"/>
              </w:rPr>
            </w:pPr>
          </w:p>
        </w:tc>
      </w:tr>
    </w:tbl>
    <w:p w14:paraId="182A9C21" w14:textId="77777777" w:rsidR="003D4F45" w:rsidRPr="00BD6C5F" w:rsidRDefault="003D4F45" w:rsidP="009A56D9"/>
    <w:p w14:paraId="645DB49B" w14:textId="77777777" w:rsidR="003D4F45" w:rsidRPr="00BD6C5F" w:rsidRDefault="003D4F45" w:rsidP="009A56D9">
      <w:r w:rsidRPr="00BD6C5F">
        <w:br w:type="page"/>
      </w:r>
    </w:p>
    <w:p w14:paraId="0B6C1BD1" w14:textId="425EC1AE" w:rsidR="00BC7DDA" w:rsidRPr="00BD6C5F" w:rsidRDefault="00183F6E" w:rsidP="006D411A">
      <w:pPr>
        <w:pStyle w:val="Heading2"/>
      </w:pPr>
      <w:bookmarkStart w:id="724" w:name="_bookmark246"/>
      <w:bookmarkStart w:id="725" w:name="_Toc98332743"/>
      <w:bookmarkStart w:id="726" w:name="_Ref98341932"/>
      <w:bookmarkStart w:id="727" w:name="_Toc141721012"/>
      <w:bookmarkEnd w:id="724"/>
      <w:r w:rsidRPr="00BD6C5F">
        <w:lastRenderedPageBreak/>
        <w:t xml:space="preserve">Annex </w:t>
      </w:r>
      <w:bookmarkStart w:id="728" w:name="Schedule_15_Part_E_Annex_3"/>
      <w:r w:rsidRPr="00BD6C5F">
        <w:t>3</w:t>
      </w:r>
      <w:bookmarkEnd w:id="728"/>
      <w:r w:rsidRPr="00BD6C5F">
        <w:t xml:space="preserve">: </w:t>
      </w:r>
      <w:bookmarkStart w:id="729" w:name="_Toc98852920"/>
      <w:r w:rsidRPr="00BD6C5F">
        <w:t>Pro-Forma Certificate of Costs</w:t>
      </w:r>
      <w:bookmarkEnd w:id="725"/>
      <w:bookmarkEnd w:id="726"/>
      <w:bookmarkEnd w:id="729"/>
      <w:bookmarkEnd w:id="727"/>
    </w:p>
    <w:p w14:paraId="51F0628D" w14:textId="421B42F4" w:rsidR="00BC7DDA" w:rsidRPr="00566661" w:rsidRDefault="009B03E9" w:rsidP="00D96CB1">
      <w:pPr>
        <w:spacing w:before="100" w:after="200"/>
        <w:rPr>
          <w:rFonts w:asciiTheme="minorHAnsi" w:hAnsiTheme="minorHAnsi" w:cstheme="minorHAnsi"/>
          <w:szCs w:val="24"/>
        </w:rPr>
      </w:pPr>
      <w:r w:rsidRPr="00566661">
        <w:rPr>
          <w:rFonts w:asciiTheme="minorHAnsi" w:hAnsiTheme="minorHAnsi" w:cstheme="minorHAnsi"/>
          <w:szCs w:val="24"/>
        </w:rPr>
        <w:t xml:space="preserve">I </w:t>
      </w:r>
      <w:r w:rsidRPr="00566661">
        <w:rPr>
          <w:rFonts w:asciiTheme="minorHAnsi" w:hAnsiTheme="minorHAnsi" w:cstheme="minorHAnsi"/>
          <w:szCs w:val="24"/>
          <w:shd w:val="clear" w:color="auto" w:fill="FFFF00"/>
        </w:rPr>
        <w:t>[name of CFO or Director of Finance or equivalent as agreed in advance in writing with the Authority]</w:t>
      </w:r>
      <w:r w:rsidRPr="00566661">
        <w:rPr>
          <w:rFonts w:asciiTheme="minorHAnsi" w:hAnsiTheme="minorHAnsi" w:cstheme="minorHAnsi"/>
          <w:szCs w:val="24"/>
        </w:rPr>
        <w:t xml:space="preserve"> of </w:t>
      </w:r>
      <w:r w:rsidRPr="00566661">
        <w:rPr>
          <w:rFonts w:asciiTheme="minorHAnsi" w:hAnsiTheme="minorHAnsi" w:cstheme="minorHAnsi"/>
          <w:szCs w:val="24"/>
          <w:shd w:val="clear" w:color="auto" w:fill="FFFF00"/>
        </w:rPr>
        <w:t>[</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name of Supplier]</w:t>
      </w:r>
      <w:r w:rsidRPr="00566661">
        <w:rPr>
          <w:rFonts w:asciiTheme="minorHAnsi" w:hAnsiTheme="minorHAnsi" w:cstheme="minorHAnsi"/>
          <w:szCs w:val="24"/>
        </w:rPr>
        <w:t>, certify that the financial information provided as part of this Certificate of Costs, incurred in relation to the</w:t>
      </w:r>
      <w:r w:rsidRPr="00566661">
        <w:rPr>
          <w:rFonts w:asciiTheme="minorHAnsi" w:hAnsiTheme="minorHAnsi" w:cstheme="minorHAnsi"/>
          <w:szCs w:val="24"/>
          <w:shd w:val="clear" w:color="auto" w:fill="FFFF00"/>
        </w:rPr>
        <w:t xml:space="preserve"> [</w:t>
      </w:r>
      <w:r w:rsidRPr="00012747">
        <w:rPr>
          <w:rFonts w:asciiTheme="minorHAnsi" w:hAnsiTheme="minorHAnsi" w:cstheme="minorHAnsi"/>
          <w:b/>
          <w:bCs/>
          <w:szCs w:val="24"/>
          <w:shd w:val="clear" w:color="auto" w:fill="FFFF00"/>
        </w:rPr>
        <w:t>insert</w:t>
      </w:r>
      <w:r w:rsidRPr="00566661">
        <w:rPr>
          <w:rFonts w:asciiTheme="minorHAnsi" w:hAnsiTheme="minorHAnsi" w:cstheme="minorHAnsi"/>
          <w:szCs w:val="24"/>
          <w:shd w:val="clear" w:color="auto" w:fill="FFFF00"/>
        </w:rPr>
        <w:t xml:space="preserve"> name/reference for the</w:t>
      </w:r>
      <w:r w:rsidRPr="00566661">
        <w:rPr>
          <w:rFonts w:asciiTheme="minorHAnsi" w:hAnsiTheme="minorHAnsi" w:cstheme="minorHAnsi"/>
          <w:bCs/>
          <w:szCs w:val="24"/>
          <w:shd w:val="clear" w:color="auto" w:fill="FFFF00"/>
        </w:rPr>
        <w:t xml:space="preserve"> </w:t>
      </w:r>
      <w:r w:rsidR="00D9194D" w:rsidRPr="00566661">
        <w:rPr>
          <w:rFonts w:asciiTheme="minorHAnsi" w:hAnsiTheme="minorHAnsi" w:cstheme="minorHAnsi"/>
          <w:bCs/>
          <w:szCs w:val="24"/>
          <w:shd w:val="clear" w:color="auto" w:fill="FFFF00"/>
        </w:rPr>
        <w:t>Contract</w:t>
      </w:r>
      <w:r w:rsidRPr="00566661">
        <w:rPr>
          <w:rFonts w:asciiTheme="minorHAnsi" w:hAnsiTheme="minorHAnsi" w:cstheme="minorHAnsi"/>
          <w:bCs/>
          <w:szCs w:val="24"/>
          <w:shd w:val="clear" w:color="auto" w:fill="FFFF00"/>
        </w:rPr>
        <w:t>]</w:t>
      </w:r>
      <w:r w:rsidRPr="00566661">
        <w:rPr>
          <w:rFonts w:asciiTheme="minorHAnsi" w:hAnsiTheme="minorHAnsi" w:cstheme="minorHAnsi"/>
          <w:bCs/>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00D9194D" w:rsidRPr="00BD6C5F">
        <w:rPr>
          <w:rFonts w:asciiTheme="minorHAnsi" w:hAnsiTheme="minorHAnsi" w:cstheme="minorHAnsi"/>
          <w:b/>
          <w:szCs w:val="24"/>
        </w:rPr>
        <w:t>Contract</w:t>
      </w:r>
      <w:r w:rsidR="00A4555C" w:rsidRPr="00BD6C5F">
        <w:rPr>
          <w:rFonts w:asciiTheme="minorHAnsi" w:hAnsiTheme="minorHAnsi" w:cstheme="minorHAnsi"/>
          <w:szCs w:val="24"/>
        </w:rPr>
        <w:t>”</w:t>
      </w:r>
      <w:r w:rsidRPr="00BD6C5F">
        <w:rPr>
          <w:rFonts w:asciiTheme="minorHAnsi" w:hAnsiTheme="minorHAnsi" w:cstheme="minorHAnsi"/>
          <w:szCs w:val="24"/>
        </w:rPr>
        <w:t>) in relation to the followin</w:t>
      </w:r>
      <w:r w:rsidRPr="00566661">
        <w:rPr>
          <w:rFonts w:asciiTheme="minorHAnsi" w:hAnsiTheme="minorHAnsi" w:cstheme="minorHAnsi"/>
          <w:szCs w:val="24"/>
        </w:rPr>
        <w:t xml:space="preserve">g </w:t>
      </w:r>
      <w:r w:rsidRPr="00566661">
        <w:rPr>
          <w:rFonts w:asciiTheme="minorHAnsi" w:hAnsiTheme="minorHAnsi" w:cstheme="minorHAnsi"/>
          <w:szCs w:val="24"/>
          <w:shd w:val="clear" w:color="auto" w:fill="FFFF00"/>
        </w:rPr>
        <w:t>[Milestone/Milestone Group]</w:t>
      </w:r>
      <w:r w:rsidRPr="00566661">
        <w:rPr>
          <w:rFonts w:asciiTheme="minorHAnsi" w:hAnsiTheme="minorHAnsi" w:cstheme="minorHAnsi"/>
          <w:szCs w:val="24"/>
        </w:rPr>
        <w:t>:</w:t>
      </w:r>
    </w:p>
    <w:p w14:paraId="0E01A22D" w14:textId="77777777" w:rsidR="00BC7DDA" w:rsidRPr="00566661" w:rsidRDefault="009B03E9" w:rsidP="00D96CB1">
      <w:pPr>
        <w:spacing w:before="100" w:after="200"/>
        <w:rPr>
          <w:highlight w:val="yellow"/>
        </w:rPr>
      </w:pPr>
      <w:r w:rsidRPr="00566661">
        <w:rPr>
          <w:highlight w:val="yellow"/>
        </w:rPr>
        <w:t>[</w:t>
      </w:r>
      <w:r w:rsidRPr="003B6099">
        <w:rPr>
          <w:b/>
          <w:bCs/>
          <w:highlight w:val="yellow"/>
        </w:rPr>
        <w:t>Insert</w:t>
      </w:r>
      <w:r w:rsidRPr="00566661">
        <w:rPr>
          <w:highlight w:val="yellow"/>
        </w:rPr>
        <w:t xml:space="preserve"> details of Milestone/Milestone Group]</w:t>
      </w:r>
    </w:p>
    <w:p w14:paraId="6FB761DA" w14:textId="7497BAB6" w:rsidR="00BC7DDA" w:rsidRPr="00B750B0" w:rsidRDefault="009B03E9" w:rsidP="00B71FC0">
      <w:pPr>
        <w:pStyle w:val="AppendixText1"/>
        <w:keepNext w:val="0"/>
        <w:numPr>
          <w:ilvl w:val="0"/>
          <w:numId w:val="155"/>
        </w:numPr>
        <w:rPr>
          <w:b w:val="0"/>
          <w:bCs/>
        </w:rPr>
      </w:pPr>
      <w:r w:rsidRPr="00B750B0">
        <w:rPr>
          <w:b w:val="0"/>
          <w:bCs/>
        </w:rPr>
        <w:t xml:space="preserve">has been reasonably and properly incurred in accordance with </w:t>
      </w:r>
      <w:r w:rsidRPr="00B750B0">
        <w:rPr>
          <w:b w:val="0"/>
          <w:bCs/>
          <w:highlight w:val="yellow"/>
        </w:rPr>
        <w:t>[name of Supplier]</w:t>
      </w:r>
      <w:r w:rsidR="00A4555C" w:rsidRPr="00B750B0">
        <w:rPr>
          <w:b w:val="0"/>
          <w:bCs/>
        </w:rPr>
        <w:t>’</w:t>
      </w:r>
      <w:r w:rsidRPr="00B750B0">
        <w:rPr>
          <w:b w:val="0"/>
          <w:bCs/>
        </w:rPr>
        <w:t>s books, accounts, other documents and records;</w:t>
      </w:r>
    </w:p>
    <w:p w14:paraId="6931C94D" w14:textId="77777777" w:rsidR="00BC7DDA" w:rsidRPr="00B750B0" w:rsidRDefault="009B03E9" w:rsidP="00B71FC0">
      <w:pPr>
        <w:pStyle w:val="AppendixText1"/>
        <w:keepNext w:val="0"/>
        <w:numPr>
          <w:ilvl w:val="0"/>
          <w:numId w:val="155"/>
        </w:numPr>
        <w:rPr>
          <w:b w:val="0"/>
        </w:rPr>
      </w:pPr>
      <w:r w:rsidRPr="00B750B0">
        <w:rPr>
          <w:b w:val="0"/>
        </w:rPr>
        <w:t>is accurate and not misleading in all key respects; and</w:t>
      </w:r>
    </w:p>
    <w:p w14:paraId="36047866" w14:textId="7C709205" w:rsidR="00BC7DDA" w:rsidRPr="00B750B0" w:rsidRDefault="009B03E9" w:rsidP="00B71FC0">
      <w:pPr>
        <w:pStyle w:val="AppendixText1"/>
        <w:keepNext w:val="0"/>
        <w:numPr>
          <w:ilvl w:val="0"/>
          <w:numId w:val="155"/>
        </w:numPr>
        <w:rPr>
          <w:b w:val="0"/>
        </w:rPr>
      </w:pPr>
      <w:r w:rsidRPr="00B750B0">
        <w:rPr>
          <w:b w:val="0"/>
        </w:rPr>
        <w:t xml:space="preserve">is in conformity with the </w:t>
      </w:r>
      <w:r w:rsidR="00D9194D" w:rsidRPr="00B750B0">
        <w:rPr>
          <w:b w:val="0"/>
        </w:rPr>
        <w:t xml:space="preserve">Contract </w:t>
      </w:r>
      <w:r w:rsidRPr="00B750B0">
        <w:rPr>
          <w:b w:val="0"/>
        </w:rPr>
        <w:t>and with all generally accepted accounting principles within the United Kingdom.</w:t>
      </w:r>
    </w:p>
    <w:p w14:paraId="648BAA55" w14:textId="77777777" w:rsidR="00BC7DDA" w:rsidRPr="00566661" w:rsidRDefault="009B03E9" w:rsidP="00FF64C1">
      <w:pPr>
        <w:spacing w:before="100" w:after="200"/>
        <w:rPr>
          <w:rFonts w:asciiTheme="minorHAnsi" w:hAnsiTheme="minorHAnsi" w:cstheme="minorHAnsi"/>
          <w:szCs w:val="24"/>
        </w:rPr>
      </w:pPr>
      <w:r w:rsidRPr="00566661">
        <w:rPr>
          <w:rFonts w:asciiTheme="minorHAnsi" w:hAnsiTheme="minorHAnsi" w:cstheme="minorHAnsi"/>
          <w:szCs w:val="24"/>
        </w:rPr>
        <w:t xml:space="preserve">Signed </w:t>
      </w:r>
      <w:r w:rsidRPr="00566661">
        <w:rPr>
          <w:rFonts w:asciiTheme="minorHAnsi" w:hAnsiTheme="minorHAnsi" w:cstheme="minorHAnsi"/>
          <w:szCs w:val="24"/>
          <w:shd w:val="clear" w:color="auto" w:fill="FFFF00"/>
        </w:rPr>
        <w:t>[Director of Finance or equivalent]</w:t>
      </w:r>
    </w:p>
    <w:p w14:paraId="5D127171" w14:textId="77777777" w:rsidR="00BC7DDA" w:rsidRPr="00BD6C5F" w:rsidRDefault="00BC7DDA" w:rsidP="00FF64C1">
      <w:pPr>
        <w:spacing w:before="100" w:after="200"/>
        <w:rPr>
          <w:rFonts w:asciiTheme="minorHAnsi" w:hAnsiTheme="minorHAnsi" w:cstheme="minorHAnsi"/>
        </w:rPr>
      </w:pPr>
    </w:p>
    <w:p w14:paraId="2796F1D7" w14:textId="77777777" w:rsidR="00BC7DDA" w:rsidRPr="00BD6C5F" w:rsidRDefault="00BC7DDA" w:rsidP="00FF64C1">
      <w:pPr>
        <w:spacing w:before="100" w:after="200"/>
        <w:rPr>
          <w:rFonts w:asciiTheme="minorHAnsi" w:hAnsiTheme="minorHAnsi" w:cstheme="minorHAnsi"/>
          <w:szCs w:val="24"/>
        </w:rPr>
      </w:pPr>
    </w:p>
    <w:p w14:paraId="64C88D42" w14:textId="77777777" w:rsidR="00BC7DDA" w:rsidRPr="00566661" w:rsidRDefault="009B03E9" w:rsidP="00FF64C1">
      <w:pPr>
        <w:spacing w:before="100" w:after="200"/>
        <w:rPr>
          <w:highlight w:val="yellow"/>
        </w:rPr>
      </w:pPr>
      <w:r w:rsidRPr="00566661">
        <w:rPr>
          <w:highlight w:val="yellow"/>
        </w:rPr>
        <w:t>[Name of Supplier]</w:t>
      </w:r>
    </w:p>
    <w:p w14:paraId="3C5664B0" w14:textId="448C850E" w:rsidR="003D4F45" w:rsidRPr="00BD6C5F" w:rsidRDefault="003D4F45" w:rsidP="00FF64C1">
      <w:pPr>
        <w:spacing w:before="100" w:after="200"/>
        <w:rPr>
          <w:rFonts w:asciiTheme="minorHAnsi" w:hAnsiTheme="minorHAnsi" w:cstheme="minorHAnsi"/>
          <w:szCs w:val="24"/>
        </w:rPr>
      </w:pPr>
    </w:p>
    <w:p w14:paraId="5DD94007" w14:textId="77777777" w:rsidR="007F7721" w:rsidRPr="00BD6C5F" w:rsidRDefault="007F7721" w:rsidP="00FF64C1">
      <w:pPr>
        <w:spacing w:before="100" w:after="200"/>
        <w:rPr>
          <w:rFonts w:asciiTheme="minorHAnsi" w:hAnsiTheme="minorHAnsi" w:cstheme="minorHAnsi"/>
          <w:szCs w:val="24"/>
        </w:rPr>
      </w:pPr>
    </w:p>
    <w:p w14:paraId="6E7126DD" w14:textId="77777777" w:rsidR="00272B0A" w:rsidRPr="00BD6C5F" w:rsidRDefault="00272B0A" w:rsidP="00FF64C1">
      <w:pPr>
        <w:spacing w:before="100" w:after="200"/>
        <w:rPr>
          <w:rFonts w:asciiTheme="minorHAnsi" w:hAnsiTheme="minorHAnsi" w:cstheme="minorHAnsi"/>
          <w:szCs w:val="24"/>
        </w:rPr>
        <w:sectPr w:rsidR="00272B0A" w:rsidRPr="00BD6C5F" w:rsidSect="00EA65BF">
          <w:headerReference w:type="default" r:id="rId82"/>
          <w:footerReference w:type="default" r:id="rId83"/>
          <w:pgSz w:w="11910" w:h="16840"/>
          <w:pgMar w:top="1701" w:right="851" w:bottom="1134" w:left="851" w:header="567" w:footer="567" w:gutter="0"/>
          <w:cols w:space="720"/>
        </w:sectPr>
      </w:pPr>
    </w:p>
    <w:p w14:paraId="5961768C" w14:textId="58F2890D" w:rsidR="00BC7DDA" w:rsidRPr="00BD6C5F" w:rsidRDefault="00183F6E" w:rsidP="006D411A">
      <w:pPr>
        <w:pStyle w:val="Heading2"/>
      </w:pPr>
      <w:bookmarkStart w:id="730" w:name="_bookmark247"/>
      <w:bookmarkStart w:id="731" w:name="_Toc98332744"/>
      <w:bookmarkStart w:id="732" w:name="_Ref98335064"/>
      <w:bookmarkStart w:id="733" w:name="_Ref98342654"/>
      <w:bookmarkStart w:id="734" w:name="_Ref98342894"/>
      <w:bookmarkStart w:id="735" w:name="_Toc141721013"/>
      <w:bookmarkEnd w:id="730"/>
      <w:r w:rsidRPr="00BD6C5F">
        <w:lastRenderedPageBreak/>
        <w:t xml:space="preserve">Annex </w:t>
      </w:r>
      <w:bookmarkStart w:id="736" w:name="Schedule_15_Part_E_Annex_4"/>
      <w:r w:rsidRPr="00BD6C5F">
        <w:t>4</w:t>
      </w:r>
      <w:bookmarkEnd w:id="736"/>
      <w:r w:rsidRPr="00BD6C5F">
        <w:t xml:space="preserve">: </w:t>
      </w:r>
      <w:bookmarkStart w:id="737" w:name="_Toc98852921"/>
      <w:r w:rsidRPr="00BD6C5F">
        <w:t>Risk Register</w:t>
      </w:r>
      <w:bookmarkEnd w:id="731"/>
      <w:bookmarkEnd w:id="732"/>
      <w:bookmarkEnd w:id="733"/>
      <w:bookmarkEnd w:id="734"/>
      <w:bookmarkEnd w:id="737"/>
      <w:bookmarkEnd w:id="735"/>
    </w:p>
    <w:tbl>
      <w:tblPr>
        <w:tblStyle w:val="MSATable-header"/>
        <w:tblW w:w="15135" w:type="dxa"/>
        <w:tblLayout w:type="fixed"/>
        <w:tblLook w:val="0620" w:firstRow="1" w:lastRow="0" w:firstColumn="0" w:lastColumn="0" w:noHBand="1" w:noVBand="1"/>
      </w:tblPr>
      <w:tblGrid>
        <w:gridCol w:w="1077"/>
        <w:gridCol w:w="1020"/>
        <w:gridCol w:w="1474"/>
        <w:gridCol w:w="1020"/>
        <w:gridCol w:w="1361"/>
        <w:gridCol w:w="1077"/>
        <w:gridCol w:w="1587"/>
        <w:gridCol w:w="1587"/>
        <w:gridCol w:w="1304"/>
        <w:gridCol w:w="1304"/>
        <w:gridCol w:w="1304"/>
        <w:gridCol w:w="1020"/>
      </w:tblGrid>
      <w:tr w:rsidR="00FF64C1" w:rsidRPr="00BD6C5F" w14:paraId="6C509577" w14:textId="77777777" w:rsidTr="00FF64C1">
        <w:trPr>
          <w:cnfStyle w:val="100000000000" w:firstRow="1" w:lastRow="0" w:firstColumn="0" w:lastColumn="0" w:oddVBand="0" w:evenVBand="0" w:oddHBand="0" w:evenHBand="0" w:firstRowFirstColumn="0" w:firstRowLastColumn="0" w:lastRowFirstColumn="0" w:lastRowLastColumn="0"/>
          <w:cantSplit/>
          <w:tblHeader/>
        </w:trPr>
        <w:tc>
          <w:tcPr>
            <w:tcW w:w="1077" w:type="dxa"/>
          </w:tcPr>
          <w:p w14:paraId="169F52C7" w14:textId="296A4971" w:rsidR="00BC7DDA" w:rsidRPr="00BD6C5F" w:rsidRDefault="009B03E9" w:rsidP="00FF64C1">
            <w:pPr>
              <w:pStyle w:val="Tabletext"/>
            </w:pPr>
            <w:r w:rsidRPr="00BD6C5F">
              <w:t>Colum</w:t>
            </w:r>
            <w:r w:rsidR="00971138" w:rsidRPr="00BD6C5F">
              <w:t>n</w:t>
            </w:r>
            <w:r w:rsidRPr="00BD6C5F">
              <w:t xml:space="preserve"> 1</w:t>
            </w:r>
          </w:p>
        </w:tc>
        <w:tc>
          <w:tcPr>
            <w:tcW w:w="1020" w:type="dxa"/>
          </w:tcPr>
          <w:p w14:paraId="7937554F" w14:textId="5B63E15A" w:rsidR="00BC7DDA" w:rsidRPr="00BD6C5F" w:rsidRDefault="009B03E9" w:rsidP="00FF64C1">
            <w:pPr>
              <w:pStyle w:val="Tabletext"/>
            </w:pPr>
            <w:r w:rsidRPr="00BD6C5F">
              <w:t>Colum</w:t>
            </w:r>
            <w:r w:rsidR="00971138" w:rsidRPr="00BD6C5F">
              <w:t>n</w:t>
            </w:r>
            <w:r w:rsidRPr="00BD6C5F">
              <w:t xml:space="preserve"> 2</w:t>
            </w:r>
          </w:p>
        </w:tc>
        <w:tc>
          <w:tcPr>
            <w:tcW w:w="1474" w:type="dxa"/>
          </w:tcPr>
          <w:p w14:paraId="5AD0C0AB" w14:textId="77777777" w:rsidR="00BC7DDA" w:rsidRPr="00BD6C5F" w:rsidRDefault="009B03E9" w:rsidP="00FF64C1">
            <w:pPr>
              <w:pStyle w:val="Tabletext"/>
            </w:pPr>
            <w:r w:rsidRPr="00BD6C5F">
              <w:t>Column 3</w:t>
            </w:r>
          </w:p>
        </w:tc>
        <w:tc>
          <w:tcPr>
            <w:tcW w:w="1020" w:type="dxa"/>
          </w:tcPr>
          <w:p w14:paraId="157C3B76" w14:textId="5C95B5BF" w:rsidR="00BC7DDA" w:rsidRPr="00BD6C5F" w:rsidRDefault="009B03E9" w:rsidP="00FF64C1">
            <w:pPr>
              <w:pStyle w:val="Tabletext"/>
            </w:pPr>
            <w:r w:rsidRPr="00BD6C5F">
              <w:t>Colum</w:t>
            </w:r>
            <w:r w:rsidR="00971138" w:rsidRPr="00BD6C5F">
              <w:t>n</w:t>
            </w:r>
            <w:r w:rsidRPr="00BD6C5F">
              <w:t xml:space="preserve"> 4</w:t>
            </w:r>
          </w:p>
        </w:tc>
        <w:tc>
          <w:tcPr>
            <w:tcW w:w="1361" w:type="dxa"/>
          </w:tcPr>
          <w:p w14:paraId="5A01E174" w14:textId="77777777" w:rsidR="00BC7DDA" w:rsidRPr="00BD6C5F" w:rsidRDefault="009B03E9" w:rsidP="00FF64C1">
            <w:pPr>
              <w:pStyle w:val="Tabletext"/>
            </w:pPr>
            <w:r w:rsidRPr="00BD6C5F">
              <w:t>Column 5</w:t>
            </w:r>
          </w:p>
        </w:tc>
        <w:tc>
          <w:tcPr>
            <w:tcW w:w="1077" w:type="dxa"/>
          </w:tcPr>
          <w:p w14:paraId="1532F2D7" w14:textId="6E69CC03" w:rsidR="00BC7DDA" w:rsidRPr="00BD6C5F" w:rsidRDefault="009B03E9" w:rsidP="00FF64C1">
            <w:pPr>
              <w:pStyle w:val="Tabletext"/>
            </w:pPr>
            <w:r w:rsidRPr="00BD6C5F">
              <w:t>Colum</w:t>
            </w:r>
            <w:r w:rsidR="00971138" w:rsidRPr="00BD6C5F">
              <w:t>n</w:t>
            </w:r>
            <w:r w:rsidRPr="00BD6C5F">
              <w:t xml:space="preserve"> 6</w:t>
            </w:r>
          </w:p>
        </w:tc>
        <w:tc>
          <w:tcPr>
            <w:tcW w:w="1587" w:type="dxa"/>
          </w:tcPr>
          <w:p w14:paraId="5E9AD175" w14:textId="77777777" w:rsidR="00BC7DDA" w:rsidRPr="00BD6C5F" w:rsidRDefault="009B03E9" w:rsidP="00FF64C1">
            <w:pPr>
              <w:pStyle w:val="Tabletext"/>
            </w:pPr>
            <w:r w:rsidRPr="00BD6C5F">
              <w:t>Column 7</w:t>
            </w:r>
          </w:p>
        </w:tc>
        <w:tc>
          <w:tcPr>
            <w:tcW w:w="1587" w:type="dxa"/>
          </w:tcPr>
          <w:p w14:paraId="74626DE9" w14:textId="77777777" w:rsidR="00BC7DDA" w:rsidRPr="00BD6C5F" w:rsidRDefault="009B03E9" w:rsidP="00FF64C1">
            <w:pPr>
              <w:pStyle w:val="Tabletext"/>
            </w:pPr>
            <w:r w:rsidRPr="00BD6C5F">
              <w:t>Column 8</w:t>
            </w:r>
          </w:p>
        </w:tc>
        <w:tc>
          <w:tcPr>
            <w:tcW w:w="1304" w:type="dxa"/>
          </w:tcPr>
          <w:p w14:paraId="7F1F7FDF" w14:textId="77777777" w:rsidR="00BC7DDA" w:rsidRPr="00BD6C5F" w:rsidRDefault="009B03E9" w:rsidP="00FF64C1">
            <w:pPr>
              <w:pStyle w:val="Tabletext"/>
            </w:pPr>
            <w:r w:rsidRPr="00BD6C5F">
              <w:t>Column 9</w:t>
            </w:r>
          </w:p>
        </w:tc>
        <w:tc>
          <w:tcPr>
            <w:tcW w:w="1304" w:type="dxa"/>
          </w:tcPr>
          <w:p w14:paraId="76799481" w14:textId="77777777" w:rsidR="00BC7DDA" w:rsidRPr="00BD6C5F" w:rsidRDefault="009B03E9" w:rsidP="00FF64C1">
            <w:pPr>
              <w:pStyle w:val="Tabletext"/>
            </w:pPr>
            <w:r w:rsidRPr="00BD6C5F">
              <w:t>Column 10</w:t>
            </w:r>
          </w:p>
        </w:tc>
        <w:tc>
          <w:tcPr>
            <w:tcW w:w="1304" w:type="dxa"/>
          </w:tcPr>
          <w:p w14:paraId="31431ADD" w14:textId="77777777" w:rsidR="00BC7DDA" w:rsidRPr="00BD6C5F" w:rsidRDefault="009B03E9" w:rsidP="00FF64C1">
            <w:pPr>
              <w:pStyle w:val="Tabletext"/>
            </w:pPr>
            <w:r w:rsidRPr="00BD6C5F">
              <w:t>Column 11</w:t>
            </w:r>
          </w:p>
        </w:tc>
        <w:tc>
          <w:tcPr>
            <w:tcW w:w="1020" w:type="dxa"/>
          </w:tcPr>
          <w:p w14:paraId="766A6FD1" w14:textId="32BB6B5C" w:rsidR="00BC7DDA" w:rsidRPr="00BD6C5F" w:rsidRDefault="009B03E9" w:rsidP="00FF64C1">
            <w:pPr>
              <w:pStyle w:val="Tabletext"/>
            </w:pPr>
            <w:r w:rsidRPr="00BD6C5F">
              <w:t>Colum</w:t>
            </w:r>
            <w:r w:rsidR="00971138" w:rsidRPr="00BD6C5F">
              <w:t>n</w:t>
            </w:r>
            <w:r w:rsidRPr="00BD6C5F">
              <w:t xml:space="preserve"> 12</w:t>
            </w:r>
          </w:p>
        </w:tc>
      </w:tr>
      <w:tr w:rsidR="00FF64C1" w:rsidRPr="00BD6C5F" w14:paraId="7B10D707" w14:textId="77777777" w:rsidTr="00FF64C1">
        <w:trPr>
          <w:cnfStyle w:val="100000000000" w:firstRow="1" w:lastRow="0" w:firstColumn="0" w:lastColumn="0" w:oddVBand="0" w:evenVBand="0" w:oddHBand="0" w:evenHBand="0" w:firstRowFirstColumn="0" w:firstRowLastColumn="0" w:lastRowFirstColumn="0" w:lastRowLastColumn="0"/>
          <w:cantSplit/>
          <w:tblHeader/>
        </w:trPr>
        <w:tc>
          <w:tcPr>
            <w:tcW w:w="1077" w:type="dxa"/>
          </w:tcPr>
          <w:p w14:paraId="6A82EFD6" w14:textId="2808BC59" w:rsidR="00BC7DDA" w:rsidRPr="00BD6C5F" w:rsidRDefault="009B03E9" w:rsidP="00FF64C1">
            <w:pPr>
              <w:pStyle w:val="Tabletext"/>
            </w:pPr>
            <w:r w:rsidRPr="00BD6C5F">
              <w:t>Risk Numbe</w:t>
            </w:r>
            <w:r w:rsidR="00971138" w:rsidRPr="00BD6C5F">
              <w:t>r</w:t>
            </w:r>
            <w:r w:rsidRPr="00BD6C5F">
              <w:t xml:space="preserve"> </w:t>
            </w:r>
          </w:p>
        </w:tc>
        <w:tc>
          <w:tcPr>
            <w:tcW w:w="1020" w:type="dxa"/>
          </w:tcPr>
          <w:p w14:paraId="3C37DD74" w14:textId="77777777" w:rsidR="00BC7DDA" w:rsidRPr="00BD6C5F" w:rsidRDefault="009B03E9" w:rsidP="00FF64C1">
            <w:pPr>
              <w:pStyle w:val="Tabletext"/>
            </w:pPr>
            <w:r w:rsidRPr="00BD6C5F">
              <w:t>Risk Name</w:t>
            </w:r>
          </w:p>
        </w:tc>
        <w:tc>
          <w:tcPr>
            <w:tcW w:w="1474" w:type="dxa"/>
          </w:tcPr>
          <w:p w14:paraId="46377685" w14:textId="43E7A39D" w:rsidR="00BC7DDA" w:rsidRPr="00BD6C5F" w:rsidRDefault="009B03E9" w:rsidP="00FF64C1">
            <w:pPr>
              <w:pStyle w:val="Tabletext"/>
            </w:pPr>
            <w:r w:rsidRPr="00BD6C5F">
              <w:t>Descriptio</w:t>
            </w:r>
            <w:r w:rsidR="00971138" w:rsidRPr="00BD6C5F">
              <w:t>n</w:t>
            </w:r>
            <w:r w:rsidRPr="00BD6C5F">
              <w:t xml:space="preserve"> of risk</w:t>
            </w:r>
          </w:p>
        </w:tc>
        <w:tc>
          <w:tcPr>
            <w:tcW w:w="1020" w:type="dxa"/>
          </w:tcPr>
          <w:p w14:paraId="58CA9BD0" w14:textId="77777777" w:rsidR="00BC7DDA" w:rsidRPr="00BD6C5F" w:rsidRDefault="009B03E9" w:rsidP="00FF64C1">
            <w:pPr>
              <w:pStyle w:val="Tabletext"/>
            </w:pPr>
            <w:r w:rsidRPr="00BD6C5F">
              <w:t>Timing</w:t>
            </w:r>
          </w:p>
        </w:tc>
        <w:tc>
          <w:tcPr>
            <w:tcW w:w="1361" w:type="dxa"/>
          </w:tcPr>
          <w:p w14:paraId="6FC8700C" w14:textId="513CA2A1" w:rsidR="00BC7DDA" w:rsidRPr="00BD6C5F" w:rsidRDefault="009B03E9" w:rsidP="00FF64C1">
            <w:pPr>
              <w:pStyle w:val="Tabletext"/>
            </w:pPr>
            <w:r w:rsidRPr="00BD6C5F">
              <w:t>Likelihoo</w:t>
            </w:r>
            <w:r w:rsidR="00971138" w:rsidRPr="00BD6C5F">
              <w:t>d</w:t>
            </w:r>
            <w:r w:rsidRPr="00BD6C5F">
              <w:t xml:space="preserve"> </w:t>
            </w:r>
          </w:p>
        </w:tc>
        <w:tc>
          <w:tcPr>
            <w:tcW w:w="1077" w:type="dxa"/>
          </w:tcPr>
          <w:p w14:paraId="777F755E" w14:textId="77777777" w:rsidR="00BC7DDA" w:rsidRPr="00BD6C5F" w:rsidRDefault="009B03E9" w:rsidP="00FF64C1">
            <w:pPr>
              <w:pStyle w:val="Tabletext"/>
            </w:pPr>
            <w:r w:rsidRPr="00BD6C5F">
              <w:t>Impact (£)</w:t>
            </w:r>
          </w:p>
        </w:tc>
        <w:tc>
          <w:tcPr>
            <w:tcW w:w="1587" w:type="dxa"/>
          </w:tcPr>
          <w:p w14:paraId="6FC67E79" w14:textId="2FF2FDDE" w:rsidR="00BC7DDA" w:rsidRPr="00BD6C5F" w:rsidRDefault="009B03E9" w:rsidP="00FF64C1">
            <w:pPr>
              <w:pStyle w:val="Tabletext"/>
            </w:pPr>
            <w:r w:rsidRPr="00BD6C5F">
              <w:t>Impact (descriptio</w:t>
            </w:r>
            <w:r w:rsidR="00971138" w:rsidRPr="00BD6C5F">
              <w:t>n)</w:t>
            </w:r>
          </w:p>
        </w:tc>
        <w:tc>
          <w:tcPr>
            <w:tcW w:w="1587" w:type="dxa"/>
          </w:tcPr>
          <w:p w14:paraId="2CEED461" w14:textId="7F6CEB03" w:rsidR="00BC7DDA" w:rsidRPr="00BD6C5F" w:rsidRDefault="009B03E9" w:rsidP="00FF64C1">
            <w:pPr>
              <w:pStyle w:val="Tabletext"/>
            </w:pPr>
            <w:r w:rsidRPr="00BD6C5F">
              <w:t>Mitigation (descriptio</w:t>
            </w:r>
            <w:r w:rsidR="00971138" w:rsidRPr="00BD6C5F">
              <w:t>n)</w:t>
            </w:r>
            <w:r w:rsidRPr="00BD6C5F">
              <w:t xml:space="preserve"> </w:t>
            </w:r>
          </w:p>
        </w:tc>
        <w:tc>
          <w:tcPr>
            <w:tcW w:w="1304" w:type="dxa"/>
          </w:tcPr>
          <w:p w14:paraId="615660C8" w14:textId="36083BE9" w:rsidR="00BC7DDA" w:rsidRPr="00BD6C5F" w:rsidRDefault="009B03E9" w:rsidP="00FF64C1">
            <w:pPr>
              <w:pStyle w:val="Tabletext"/>
            </w:pPr>
            <w:r w:rsidRPr="00BD6C5F">
              <w:t>Cost of mitigatio</w:t>
            </w:r>
            <w:r w:rsidR="00971138" w:rsidRPr="00BD6C5F">
              <w:t>n</w:t>
            </w:r>
            <w:r w:rsidRPr="00BD6C5F">
              <w:t xml:space="preserve"> </w:t>
            </w:r>
          </w:p>
        </w:tc>
        <w:tc>
          <w:tcPr>
            <w:tcW w:w="1304" w:type="dxa"/>
          </w:tcPr>
          <w:p w14:paraId="49CBC6CD" w14:textId="6AA55593" w:rsidR="00BC7DDA" w:rsidRPr="00BD6C5F" w:rsidRDefault="009B03E9" w:rsidP="00FF64C1">
            <w:pPr>
              <w:pStyle w:val="Tabletext"/>
            </w:pPr>
            <w:r w:rsidRPr="00BD6C5F">
              <w:t>Post- mitigatio</w:t>
            </w:r>
            <w:r w:rsidR="00971138" w:rsidRPr="00BD6C5F">
              <w:t>n</w:t>
            </w:r>
            <w:r w:rsidRPr="00BD6C5F">
              <w:t xml:space="preserve"> impact (£)</w:t>
            </w:r>
          </w:p>
        </w:tc>
        <w:tc>
          <w:tcPr>
            <w:tcW w:w="1304" w:type="dxa"/>
          </w:tcPr>
          <w:p w14:paraId="299680C3" w14:textId="71BF41AD" w:rsidR="00BC7DDA" w:rsidRPr="00BD6C5F" w:rsidRDefault="009B03E9" w:rsidP="00FF64C1">
            <w:pPr>
              <w:pStyle w:val="Tabletext"/>
            </w:pPr>
            <w:r w:rsidRPr="00BD6C5F">
              <w:t>Forecast Contingenc</w:t>
            </w:r>
            <w:r w:rsidR="00971138" w:rsidRPr="00BD6C5F">
              <w:t>y</w:t>
            </w:r>
            <w:r w:rsidRPr="00BD6C5F">
              <w:t xml:space="preserve"> Costs</w:t>
            </w:r>
          </w:p>
        </w:tc>
        <w:tc>
          <w:tcPr>
            <w:tcW w:w="1020" w:type="dxa"/>
          </w:tcPr>
          <w:p w14:paraId="0DD68DF6" w14:textId="77777777" w:rsidR="00BC7DDA" w:rsidRPr="00BD6C5F" w:rsidRDefault="009B03E9" w:rsidP="00FF64C1">
            <w:pPr>
              <w:pStyle w:val="Tabletext"/>
            </w:pPr>
            <w:r w:rsidRPr="00BD6C5F">
              <w:t>Owner</w:t>
            </w:r>
          </w:p>
        </w:tc>
      </w:tr>
      <w:tr w:rsidR="00FF64C1" w:rsidRPr="00BD6C5F" w14:paraId="2621F24F" w14:textId="77777777" w:rsidTr="00FF64C1">
        <w:trPr>
          <w:cantSplit/>
        </w:trPr>
        <w:tc>
          <w:tcPr>
            <w:tcW w:w="1077" w:type="dxa"/>
          </w:tcPr>
          <w:p w14:paraId="50161E61" w14:textId="77777777" w:rsidR="00BC7DDA" w:rsidRPr="00BD6C5F" w:rsidRDefault="00BC7DDA" w:rsidP="00FF64C1">
            <w:pPr>
              <w:pStyle w:val="Tabletext"/>
            </w:pPr>
          </w:p>
        </w:tc>
        <w:tc>
          <w:tcPr>
            <w:tcW w:w="1020" w:type="dxa"/>
          </w:tcPr>
          <w:p w14:paraId="7B984C5F" w14:textId="77777777" w:rsidR="00BC7DDA" w:rsidRPr="00BD6C5F" w:rsidRDefault="00BC7DDA" w:rsidP="00FF64C1">
            <w:pPr>
              <w:pStyle w:val="Tabletext"/>
            </w:pPr>
          </w:p>
        </w:tc>
        <w:tc>
          <w:tcPr>
            <w:tcW w:w="1474" w:type="dxa"/>
          </w:tcPr>
          <w:p w14:paraId="1CB6D040" w14:textId="77777777" w:rsidR="00BC7DDA" w:rsidRPr="00BD6C5F" w:rsidRDefault="00BC7DDA" w:rsidP="00FF64C1">
            <w:pPr>
              <w:pStyle w:val="Tabletext"/>
            </w:pPr>
          </w:p>
        </w:tc>
        <w:tc>
          <w:tcPr>
            <w:tcW w:w="1020" w:type="dxa"/>
          </w:tcPr>
          <w:p w14:paraId="2C5FE4EB" w14:textId="77777777" w:rsidR="00BC7DDA" w:rsidRPr="00BD6C5F" w:rsidRDefault="00BC7DDA" w:rsidP="00FF64C1">
            <w:pPr>
              <w:pStyle w:val="Tabletext"/>
            </w:pPr>
          </w:p>
        </w:tc>
        <w:tc>
          <w:tcPr>
            <w:tcW w:w="1361" w:type="dxa"/>
          </w:tcPr>
          <w:p w14:paraId="75DDD1A7" w14:textId="77777777" w:rsidR="00BC7DDA" w:rsidRPr="00BD6C5F" w:rsidRDefault="00BC7DDA" w:rsidP="00FF64C1">
            <w:pPr>
              <w:pStyle w:val="Tabletext"/>
            </w:pPr>
          </w:p>
        </w:tc>
        <w:tc>
          <w:tcPr>
            <w:tcW w:w="1077" w:type="dxa"/>
          </w:tcPr>
          <w:p w14:paraId="59C0DC0B" w14:textId="77777777" w:rsidR="00BC7DDA" w:rsidRPr="00BD6C5F" w:rsidRDefault="00BC7DDA" w:rsidP="00FF64C1">
            <w:pPr>
              <w:pStyle w:val="Tabletext"/>
            </w:pPr>
          </w:p>
        </w:tc>
        <w:tc>
          <w:tcPr>
            <w:tcW w:w="1587" w:type="dxa"/>
          </w:tcPr>
          <w:p w14:paraId="56C66CE2" w14:textId="77777777" w:rsidR="00BC7DDA" w:rsidRPr="00BD6C5F" w:rsidRDefault="00BC7DDA" w:rsidP="00FF64C1">
            <w:pPr>
              <w:pStyle w:val="Tabletext"/>
            </w:pPr>
          </w:p>
        </w:tc>
        <w:tc>
          <w:tcPr>
            <w:tcW w:w="1587" w:type="dxa"/>
          </w:tcPr>
          <w:p w14:paraId="154C009B" w14:textId="77777777" w:rsidR="00BC7DDA" w:rsidRPr="00BD6C5F" w:rsidRDefault="00BC7DDA" w:rsidP="00FF64C1">
            <w:pPr>
              <w:pStyle w:val="Tabletext"/>
            </w:pPr>
          </w:p>
        </w:tc>
        <w:tc>
          <w:tcPr>
            <w:tcW w:w="1304" w:type="dxa"/>
          </w:tcPr>
          <w:p w14:paraId="1FC0005E" w14:textId="77777777" w:rsidR="00BC7DDA" w:rsidRPr="00BD6C5F" w:rsidRDefault="00BC7DDA" w:rsidP="00FF64C1">
            <w:pPr>
              <w:pStyle w:val="Tabletext"/>
            </w:pPr>
          </w:p>
        </w:tc>
        <w:tc>
          <w:tcPr>
            <w:tcW w:w="1304" w:type="dxa"/>
          </w:tcPr>
          <w:p w14:paraId="23DAE99F" w14:textId="77777777" w:rsidR="00BC7DDA" w:rsidRPr="00BD6C5F" w:rsidRDefault="00BC7DDA" w:rsidP="00FF64C1">
            <w:pPr>
              <w:pStyle w:val="Tabletext"/>
            </w:pPr>
          </w:p>
        </w:tc>
        <w:tc>
          <w:tcPr>
            <w:tcW w:w="1304" w:type="dxa"/>
          </w:tcPr>
          <w:p w14:paraId="20413994" w14:textId="77777777" w:rsidR="00BC7DDA" w:rsidRPr="00BD6C5F" w:rsidRDefault="00BC7DDA" w:rsidP="00FF64C1">
            <w:pPr>
              <w:pStyle w:val="Tabletext"/>
            </w:pPr>
          </w:p>
        </w:tc>
        <w:tc>
          <w:tcPr>
            <w:tcW w:w="1020" w:type="dxa"/>
          </w:tcPr>
          <w:p w14:paraId="014A9AD1" w14:textId="77777777" w:rsidR="00BC7DDA" w:rsidRPr="00BD6C5F" w:rsidRDefault="00BC7DDA" w:rsidP="00FF64C1">
            <w:pPr>
              <w:pStyle w:val="Tabletext"/>
            </w:pPr>
          </w:p>
        </w:tc>
      </w:tr>
      <w:tr w:rsidR="00FF64C1" w:rsidRPr="00BD6C5F" w14:paraId="5C7B4D7B" w14:textId="77777777" w:rsidTr="00FF64C1">
        <w:trPr>
          <w:cantSplit/>
        </w:trPr>
        <w:tc>
          <w:tcPr>
            <w:tcW w:w="1077" w:type="dxa"/>
          </w:tcPr>
          <w:p w14:paraId="7F5984E2" w14:textId="77777777" w:rsidR="00BC7DDA" w:rsidRPr="00BD6C5F" w:rsidRDefault="00BC7DDA" w:rsidP="00FF64C1">
            <w:pPr>
              <w:pStyle w:val="Tabletext"/>
            </w:pPr>
          </w:p>
        </w:tc>
        <w:tc>
          <w:tcPr>
            <w:tcW w:w="1020" w:type="dxa"/>
          </w:tcPr>
          <w:p w14:paraId="284BC2AF" w14:textId="77777777" w:rsidR="00BC7DDA" w:rsidRPr="00BD6C5F" w:rsidRDefault="00BC7DDA" w:rsidP="00FF64C1">
            <w:pPr>
              <w:pStyle w:val="Tabletext"/>
            </w:pPr>
          </w:p>
        </w:tc>
        <w:tc>
          <w:tcPr>
            <w:tcW w:w="1474" w:type="dxa"/>
          </w:tcPr>
          <w:p w14:paraId="7D787715" w14:textId="77777777" w:rsidR="00BC7DDA" w:rsidRPr="00BD6C5F" w:rsidRDefault="00BC7DDA" w:rsidP="00FF64C1">
            <w:pPr>
              <w:pStyle w:val="Tabletext"/>
            </w:pPr>
          </w:p>
        </w:tc>
        <w:tc>
          <w:tcPr>
            <w:tcW w:w="1020" w:type="dxa"/>
          </w:tcPr>
          <w:p w14:paraId="117D53B9" w14:textId="77777777" w:rsidR="00BC7DDA" w:rsidRPr="00BD6C5F" w:rsidRDefault="00BC7DDA" w:rsidP="00FF64C1">
            <w:pPr>
              <w:pStyle w:val="Tabletext"/>
            </w:pPr>
          </w:p>
        </w:tc>
        <w:tc>
          <w:tcPr>
            <w:tcW w:w="1361" w:type="dxa"/>
          </w:tcPr>
          <w:p w14:paraId="100193B0" w14:textId="77777777" w:rsidR="00BC7DDA" w:rsidRPr="00BD6C5F" w:rsidRDefault="00BC7DDA" w:rsidP="00FF64C1">
            <w:pPr>
              <w:pStyle w:val="Tabletext"/>
            </w:pPr>
          </w:p>
        </w:tc>
        <w:tc>
          <w:tcPr>
            <w:tcW w:w="1077" w:type="dxa"/>
          </w:tcPr>
          <w:p w14:paraId="278B723F" w14:textId="77777777" w:rsidR="00BC7DDA" w:rsidRPr="00BD6C5F" w:rsidRDefault="00BC7DDA" w:rsidP="00FF64C1">
            <w:pPr>
              <w:pStyle w:val="Tabletext"/>
            </w:pPr>
          </w:p>
        </w:tc>
        <w:tc>
          <w:tcPr>
            <w:tcW w:w="1587" w:type="dxa"/>
          </w:tcPr>
          <w:p w14:paraId="2BAAB447" w14:textId="77777777" w:rsidR="00BC7DDA" w:rsidRPr="00BD6C5F" w:rsidRDefault="00BC7DDA" w:rsidP="00FF64C1">
            <w:pPr>
              <w:pStyle w:val="Tabletext"/>
            </w:pPr>
          </w:p>
        </w:tc>
        <w:tc>
          <w:tcPr>
            <w:tcW w:w="1587" w:type="dxa"/>
          </w:tcPr>
          <w:p w14:paraId="4ED2D604" w14:textId="77777777" w:rsidR="00BC7DDA" w:rsidRPr="00BD6C5F" w:rsidRDefault="00BC7DDA" w:rsidP="00FF64C1">
            <w:pPr>
              <w:pStyle w:val="Tabletext"/>
            </w:pPr>
          </w:p>
        </w:tc>
        <w:tc>
          <w:tcPr>
            <w:tcW w:w="1304" w:type="dxa"/>
          </w:tcPr>
          <w:p w14:paraId="09694993" w14:textId="77777777" w:rsidR="00BC7DDA" w:rsidRPr="00BD6C5F" w:rsidRDefault="00BC7DDA" w:rsidP="00FF64C1">
            <w:pPr>
              <w:pStyle w:val="Tabletext"/>
            </w:pPr>
          </w:p>
        </w:tc>
        <w:tc>
          <w:tcPr>
            <w:tcW w:w="1304" w:type="dxa"/>
          </w:tcPr>
          <w:p w14:paraId="27383205" w14:textId="77777777" w:rsidR="00BC7DDA" w:rsidRPr="00BD6C5F" w:rsidRDefault="00BC7DDA" w:rsidP="00FF64C1">
            <w:pPr>
              <w:pStyle w:val="Tabletext"/>
            </w:pPr>
          </w:p>
        </w:tc>
        <w:tc>
          <w:tcPr>
            <w:tcW w:w="1304" w:type="dxa"/>
          </w:tcPr>
          <w:p w14:paraId="31E3A456" w14:textId="77777777" w:rsidR="00BC7DDA" w:rsidRPr="00BD6C5F" w:rsidRDefault="00BC7DDA" w:rsidP="00FF64C1">
            <w:pPr>
              <w:pStyle w:val="Tabletext"/>
            </w:pPr>
          </w:p>
        </w:tc>
        <w:tc>
          <w:tcPr>
            <w:tcW w:w="1020" w:type="dxa"/>
          </w:tcPr>
          <w:p w14:paraId="05244BC4" w14:textId="77777777" w:rsidR="00BC7DDA" w:rsidRPr="00BD6C5F" w:rsidRDefault="00BC7DDA" w:rsidP="00FF64C1">
            <w:pPr>
              <w:pStyle w:val="Tabletext"/>
            </w:pPr>
          </w:p>
        </w:tc>
      </w:tr>
      <w:tr w:rsidR="00FF64C1" w:rsidRPr="00BD6C5F" w14:paraId="2BAD187E" w14:textId="77777777" w:rsidTr="00FF64C1">
        <w:trPr>
          <w:cantSplit/>
        </w:trPr>
        <w:tc>
          <w:tcPr>
            <w:tcW w:w="1077" w:type="dxa"/>
          </w:tcPr>
          <w:p w14:paraId="01585921" w14:textId="77777777" w:rsidR="00BC7DDA" w:rsidRPr="00BD6C5F" w:rsidRDefault="00BC7DDA" w:rsidP="00FF64C1">
            <w:pPr>
              <w:pStyle w:val="Tabletext"/>
            </w:pPr>
          </w:p>
        </w:tc>
        <w:tc>
          <w:tcPr>
            <w:tcW w:w="1020" w:type="dxa"/>
          </w:tcPr>
          <w:p w14:paraId="355FFA9D" w14:textId="77777777" w:rsidR="00BC7DDA" w:rsidRPr="00BD6C5F" w:rsidRDefault="00BC7DDA" w:rsidP="00FF64C1">
            <w:pPr>
              <w:pStyle w:val="Tabletext"/>
            </w:pPr>
          </w:p>
        </w:tc>
        <w:tc>
          <w:tcPr>
            <w:tcW w:w="1474" w:type="dxa"/>
          </w:tcPr>
          <w:p w14:paraId="3E1E38A5" w14:textId="77777777" w:rsidR="00BC7DDA" w:rsidRPr="00BD6C5F" w:rsidRDefault="00BC7DDA" w:rsidP="00FF64C1">
            <w:pPr>
              <w:pStyle w:val="Tabletext"/>
            </w:pPr>
          </w:p>
        </w:tc>
        <w:tc>
          <w:tcPr>
            <w:tcW w:w="1020" w:type="dxa"/>
          </w:tcPr>
          <w:p w14:paraId="286FEE98" w14:textId="77777777" w:rsidR="00BC7DDA" w:rsidRPr="00BD6C5F" w:rsidRDefault="00BC7DDA" w:rsidP="00FF64C1">
            <w:pPr>
              <w:pStyle w:val="Tabletext"/>
            </w:pPr>
          </w:p>
        </w:tc>
        <w:tc>
          <w:tcPr>
            <w:tcW w:w="1361" w:type="dxa"/>
          </w:tcPr>
          <w:p w14:paraId="6920F483" w14:textId="77777777" w:rsidR="00BC7DDA" w:rsidRPr="00BD6C5F" w:rsidRDefault="00BC7DDA" w:rsidP="00FF64C1">
            <w:pPr>
              <w:pStyle w:val="Tabletext"/>
            </w:pPr>
          </w:p>
        </w:tc>
        <w:tc>
          <w:tcPr>
            <w:tcW w:w="1077" w:type="dxa"/>
          </w:tcPr>
          <w:p w14:paraId="305147BE" w14:textId="77777777" w:rsidR="00BC7DDA" w:rsidRPr="00BD6C5F" w:rsidRDefault="00BC7DDA" w:rsidP="00FF64C1">
            <w:pPr>
              <w:pStyle w:val="Tabletext"/>
            </w:pPr>
          </w:p>
        </w:tc>
        <w:tc>
          <w:tcPr>
            <w:tcW w:w="1587" w:type="dxa"/>
          </w:tcPr>
          <w:p w14:paraId="393A0B0E" w14:textId="77777777" w:rsidR="00BC7DDA" w:rsidRPr="00BD6C5F" w:rsidRDefault="00BC7DDA" w:rsidP="00FF64C1">
            <w:pPr>
              <w:pStyle w:val="Tabletext"/>
            </w:pPr>
          </w:p>
        </w:tc>
        <w:tc>
          <w:tcPr>
            <w:tcW w:w="1587" w:type="dxa"/>
          </w:tcPr>
          <w:p w14:paraId="02C6F96C" w14:textId="77777777" w:rsidR="00BC7DDA" w:rsidRPr="00BD6C5F" w:rsidRDefault="00BC7DDA" w:rsidP="00FF64C1">
            <w:pPr>
              <w:pStyle w:val="Tabletext"/>
            </w:pPr>
          </w:p>
        </w:tc>
        <w:tc>
          <w:tcPr>
            <w:tcW w:w="1304" w:type="dxa"/>
          </w:tcPr>
          <w:p w14:paraId="265B55D7" w14:textId="77777777" w:rsidR="00BC7DDA" w:rsidRPr="00BD6C5F" w:rsidRDefault="00BC7DDA" w:rsidP="00FF64C1">
            <w:pPr>
              <w:pStyle w:val="Tabletext"/>
            </w:pPr>
          </w:p>
        </w:tc>
        <w:tc>
          <w:tcPr>
            <w:tcW w:w="1304" w:type="dxa"/>
          </w:tcPr>
          <w:p w14:paraId="18F8D607" w14:textId="77777777" w:rsidR="00BC7DDA" w:rsidRPr="00BD6C5F" w:rsidRDefault="00BC7DDA" w:rsidP="00FF64C1">
            <w:pPr>
              <w:pStyle w:val="Tabletext"/>
            </w:pPr>
          </w:p>
        </w:tc>
        <w:tc>
          <w:tcPr>
            <w:tcW w:w="1304" w:type="dxa"/>
          </w:tcPr>
          <w:p w14:paraId="1D378883" w14:textId="77777777" w:rsidR="00BC7DDA" w:rsidRPr="00BD6C5F" w:rsidRDefault="00BC7DDA" w:rsidP="00FF64C1">
            <w:pPr>
              <w:pStyle w:val="Tabletext"/>
            </w:pPr>
          </w:p>
        </w:tc>
        <w:tc>
          <w:tcPr>
            <w:tcW w:w="1020" w:type="dxa"/>
          </w:tcPr>
          <w:p w14:paraId="767CC561" w14:textId="77777777" w:rsidR="00BC7DDA" w:rsidRPr="00BD6C5F" w:rsidRDefault="00BC7DDA" w:rsidP="00FF64C1">
            <w:pPr>
              <w:pStyle w:val="Tabletext"/>
            </w:pPr>
          </w:p>
        </w:tc>
      </w:tr>
      <w:tr w:rsidR="00FF64C1" w:rsidRPr="00BD6C5F" w14:paraId="475D25A5" w14:textId="77777777" w:rsidTr="00FF64C1">
        <w:trPr>
          <w:cantSplit/>
        </w:trPr>
        <w:tc>
          <w:tcPr>
            <w:tcW w:w="1077" w:type="dxa"/>
          </w:tcPr>
          <w:p w14:paraId="2A917629" w14:textId="77777777" w:rsidR="00BC7DDA" w:rsidRPr="00BD6C5F" w:rsidRDefault="00BC7DDA" w:rsidP="00FF64C1">
            <w:pPr>
              <w:pStyle w:val="Tabletext"/>
            </w:pPr>
          </w:p>
        </w:tc>
        <w:tc>
          <w:tcPr>
            <w:tcW w:w="1020" w:type="dxa"/>
          </w:tcPr>
          <w:p w14:paraId="296EDB50" w14:textId="77777777" w:rsidR="00BC7DDA" w:rsidRPr="00BD6C5F" w:rsidRDefault="00BC7DDA" w:rsidP="00FF64C1">
            <w:pPr>
              <w:pStyle w:val="Tabletext"/>
            </w:pPr>
          </w:p>
        </w:tc>
        <w:tc>
          <w:tcPr>
            <w:tcW w:w="1474" w:type="dxa"/>
          </w:tcPr>
          <w:p w14:paraId="1CE04C6E" w14:textId="77777777" w:rsidR="00BC7DDA" w:rsidRPr="00BD6C5F" w:rsidRDefault="00BC7DDA" w:rsidP="00FF64C1">
            <w:pPr>
              <w:pStyle w:val="Tabletext"/>
            </w:pPr>
          </w:p>
        </w:tc>
        <w:tc>
          <w:tcPr>
            <w:tcW w:w="1020" w:type="dxa"/>
          </w:tcPr>
          <w:p w14:paraId="63E0CC8F" w14:textId="77777777" w:rsidR="00BC7DDA" w:rsidRPr="00BD6C5F" w:rsidRDefault="00BC7DDA" w:rsidP="00FF64C1">
            <w:pPr>
              <w:pStyle w:val="Tabletext"/>
            </w:pPr>
          </w:p>
        </w:tc>
        <w:tc>
          <w:tcPr>
            <w:tcW w:w="1361" w:type="dxa"/>
          </w:tcPr>
          <w:p w14:paraId="4214776B" w14:textId="77777777" w:rsidR="00BC7DDA" w:rsidRPr="00BD6C5F" w:rsidRDefault="00BC7DDA" w:rsidP="00FF64C1">
            <w:pPr>
              <w:pStyle w:val="Tabletext"/>
            </w:pPr>
          </w:p>
        </w:tc>
        <w:tc>
          <w:tcPr>
            <w:tcW w:w="1077" w:type="dxa"/>
          </w:tcPr>
          <w:p w14:paraId="26362C2C" w14:textId="77777777" w:rsidR="00BC7DDA" w:rsidRPr="00BD6C5F" w:rsidRDefault="00BC7DDA" w:rsidP="00FF64C1">
            <w:pPr>
              <w:pStyle w:val="Tabletext"/>
            </w:pPr>
          </w:p>
        </w:tc>
        <w:tc>
          <w:tcPr>
            <w:tcW w:w="1587" w:type="dxa"/>
          </w:tcPr>
          <w:p w14:paraId="074967D5" w14:textId="77777777" w:rsidR="00BC7DDA" w:rsidRPr="00BD6C5F" w:rsidRDefault="00BC7DDA" w:rsidP="00FF64C1">
            <w:pPr>
              <w:pStyle w:val="Tabletext"/>
            </w:pPr>
          </w:p>
        </w:tc>
        <w:tc>
          <w:tcPr>
            <w:tcW w:w="1587" w:type="dxa"/>
          </w:tcPr>
          <w:p w14:paraId="262113AC" w14:textId="77777777" w:rsidR="00BC7DDA" w:rsidRPr="00BD6C5F" w:rsidRDefault="00BC7DDA" w:rsidP="00FF64C1">
            <w:pPr>
              <w:pStyle w:val="Tabletext"/>
            </w:pPr>
          </w:p>
        </w:tc>
        <w:tc>
          <w:tcPr>
            <w:tcW w:w="1304" w:type="dxa"/>
          </w:tcPr>
          <w:p w14:paraId="5DFC774A" w14:textId="77777777" w:rsidR="00BC7DDA" w:rsidRPr="00BD6C5F" w:rsidRDefault="00BC7DDA" w:rsidP="00FF64C1">
            <w:pPr>
              <w:pStyle w:val="Tabletext"/>
            </w:pPr>
          </w:p>
        </w:tc>
        <w:tc>
          <w:tcPr>
            <w:tcW w:w="1304" w:type="dxa"/>
          </w:tcPr>
          <w:p w14:paraId="39792880" w14:textId="77777777" w:rsidR="00BC7DDA" w:rsidRPr="00BD6C5F" w:rsidRDefault="00BC7DDA" w:rsidP="00FF64C1">
            <w:pPr>
              <w:pStyle w:val="Tabletext"/>
            </w:pPr>
          </w:p>
        </w:tc>
        <w:tc>
          <w:tcPr>
            <w:tcW w:w="1304" w:type="dxa"/>
          </w:tcPr>
          <w:p w14:paraId="78138F70" w14:textId="77777777" w:rsidR="00BC7DDA" w:rsidRPr="00BD6C5F" w:rsidRDefault="00BC7DDA" w:rsidP="00FF64C1">
            <w:pPr>
              <w:pStyle w:val="Tabletext"/>
            </w:pPr>
          </w:p>
        </w:tc>
        <w:tc>
          <w:tcPr>
            <w:tcW w:w="1020" w:type="dxa"/>
          </w:tcPr>
          <w:p w14:paraId="2172ACD5" w14:textId="77777777" w:rsidR="00BC7DDA" w:rsidRPr="00BD6C5F" w:rsidRDefault="00BC7DDA" w:rsidP="00FF64C1">
            <w:pPr>
              <w:pStyle w:val="Tabletext"/>
            </w:pPr>
          </w:p>
        </w:tc>
      </w:tr>
    </w:tbl>
    <w:p w14:paraId="72C2E213" w14:textId="1AE2395B" w:rsidR="00BC7DDA" w:rsidRPr="00BD6C5F" w:rsidRDefault="00BC7DDA" w:rsidP="00FF64C1"/>
    <w:p w14:paraId="3967F714" w14:textId="3B2920FF" w:rsidR="00BC7DDA" w:rsidRPr="00BD6C5F" w:rsidRDefault="00183F6E" w:rsidP="006D411A">
      <w:pPr>
        <w:pStyle w:val="Heading2"/>
        <w:pageBreakBefore/>
      </w:pPr>
      <w:bookmarkStart w:id="738" w:name="_bookmark248"/>
      <w:bookmarkStart w:id="739" w:name="_Toc98332745"/>
      <w:bookmarkStart w:id="740" w:name="_Ref98333128"/>
      <w:bookmarkStart w:id="741" w:name="_Ref98342019"/>
      <w:bookmarkStart w:id="742" w:name="_Ref98342825"/>
      <w:bookmarkStart w:id="743" w:name="_Ref98342856"/>
      <w:bookmarkStart w:id="744" w:name="_Ref98342872"/>
      <w:bookmarkStart w:id="745" w:name="_Toc141721014"/>
      <w:bookmarkEnd w:id="738"/>
      <w:r w:rsidRPr="00BD6C5F">
        <w:lastRenderedPageBreak/>
        <w:t xml:space="preserve">Annex </w:t>
      </w:r>
      <w:bookmarkStart w:id="746" w:name="Schedule_15_Part_E_Annex_5"/>
      <w:r w:rsidRPr="00BD6C5F">
        <w:t>5</w:t>
      </w:r>
      <w:bookmarkEnd w:id="746"/>
      <w:r w:rsidRPr="00BD6C5F">
        <w:t xml:space="preserve">: </w:t>
      </w:r>
      <w:bookmarkStart w:id="747" w:name="_Toc98852922"/>
      <w:r w:rsidRPr="00BD6C5F">
        <w:t>Allowable Assumptions</w:t>
      </w:r>
      <w:bookmarkEnd w:id="739"/>
      <w:bookmarkEnd w:id="740"/>
      <w:bookmarkEnd w:id="741"/>
      <w:bookmarkEnd w:id="742"/>
      <w:bookmarkEnd w:id="743"/>
      <w:bookmarkEnd w:id="744"/>
      <w:bookmarkEnd w:id="747"/>
      <w:bookmarkEnd w:id="745"/>
    </w:p>
    <w:tbl>
      <w:tblPr>
        <w:tblStyle w:val="MSATable-header"/>
        <w:tblW w:w="0" w:type="auto"/>
        <w:tblLayout w:type="fixed"/>
        <w:tblLook w:val="0620" w:firstRow="1" w:lastRow="0" w:firstColumn="0" w:lastColumn="0" w:noHBand="1" w:noVBand="1"/>
      </w:tblPr>
      <w:tblGrid>
        <w:gridCol w:w="1075"/>
        <w:gridCol w:w="1086"/>
        <w:gridCol w:w="1581"/>
        <w:gridCol w:w="1531"/>
        <w:gridCol w:w="1206"/>
        <w:gridCol w:w="1137"/>
        <w:gridCol w:w="1531"/>
        <w:gridCol w:w="1327"/>
        <w:gridCol w:w="2041"/>
        <w:gridCol w:w="1304"/>
        <w:gridCol w:w="1304"/>
      </w:tblGrid>
      <w:tr w:rsidR="00BC7DDA" w:rsidRPr="00BD6C5F" w14:paraId="65888B7A" w14:textId="77777777" w:rsidTr="00EA4C23">
        <w:trPr>
          <w:cnfStyle w:val="100000000000" w:firstRow="1" w:lastRow="0" w:firstColumn="0" w:lastColumn="0" w:oddVBand="0" w:evenVBand="0" w:oddHBand="0" w:evenHBand="0" w:firstRowFirstColumn="0" w:firstRowLastColumn="0" w:lastRowFirstColumn="0" w:lastRowLastColumn="0"/>
          <w:cantSplit/>
          <w:tblHeader/>
        </w:trPr>
        <w:tc>
          <w:tcPr>
            <w:tcW w:w="1075" w:type="dxa"/>
          </w:tcPr>
          <w:p w14:paraId="63A64847" w14:textId="1E95A761" w:rsidR="00BC7DDA" w:rsidRPr="00BD6C5F" w:rsidRDefault="009B03E9" w:rsidP="00FF64C1">
            <w:pPr>
              <w:pStyle w:val="Tabletext"/>
            </w:pPr>
            <w:r w:rsidRPr="00BD6C5F">
              <w:t>Colu</w:t>
            </w:r>
            <w:r w:rsidR="00971138" w:rsidRPr="00BD6C5F">
              <w:t>mn</w:t>
            </w:r>
            <w:r w:rsidRPr="00BD6C5F">
              <w:t xml:space="preserve"> 1</w:t>
            </w:r>
          </w:p>
        </w:tc>
        <w:tc>
          <w:tcPr>
            <w:tcW w:w="1086" w:type="dxa"/>
          </w:tcPr>
          <w:p w14:paraId="7D2FADDF" w14:textId="77777777" w:rsidR="00BC7DDA" w:rsidRPr="00BD6C5F" w:rsidRDefault="009B03E9" w:rsidP="00FF64C1">
            <w:pPr>
              <w:pStyle w:val="Tabletext"/>
            </w:pPr>
            <w:r w:rsidRPr="00BD6C5F">
              <w:t>Column 2</w:t>
            </w:r>
          </w:p>
        </w:tc>
        <w:tc>
          <w:tcPr>
            <w:tcW w:w="1581" w:type="dxa"/>
          </w:tcPr>
          <w:p w14:paraId="292E3B4D" w14:textId="77777777" w:rsidR="00BC7DDA" w:rsidRPr="00BD6C5F" w:rsidRDefault="009B03E9" w:rsidP="00FF64C1">
            <w:pPr>
              <w:pStyle w:val="Tabletext"/>
            </w:pPr>
            <w:r w:rsidRPr="00BD6C5F">
              <w:t>Column 3</w:t>
            </w:r>
          </w:p>
        </w:tc>
        <w:tc>
          <w:tcPr>
            <w:tcW w:w="1531" w:type="dxa"/>
          </w:tcPr>
          <w:p w14:paraId="6DA5B30A" w14:textId="77777777" w:rsidR="00BC7DDA" w:rsidRPr="00BD6C5F" w:rsidRDefault="009B03E9" w:rsidP="00FF64C1">
            <w:pPr>
              <w:pStyle w:val="Tabletext"/>
            </w:pPr>
            <w:r w:rsidRPr="00BD6C5F">
              <w:t>Column 4</w:t>
            </w:r>
          </w:p>
        </w:tc>
        <w:tc>
          <w:tcPr>
            <w:tcW w:w="1206" w:type="dxa"/>
          </w:tcPr>
          <w:p w14:paraId="08D27E12" w14:textId="77777777" w:rsidR="00BC7DDA" w:rsidRPr="00BD6C5F" w:rsidRDefault="009B03E9" w:rsidP="00FF64C1">
            <w:pPr>
              <w:pStyle w:val="Tabletext"/>
            </w:pPr>
            <w:r w:rsidRPr="00BD6C5F">
              <w:t>Column 5</w:t>
            </w:r>
          </w:p>
        </w:tc>
        <w:tc>
          <w:tcPr>
            <w:tcW w:w="1137" w:type="dxa"/>
          </w:tcPr>
          <w:p w14:paraId="0E3B40B3" w14:textId="77777777" w:rsidR="00BC7DDA" w:rsidRPr="00BD6C5F" w:rsidRDefault="009B03E9" w:rsidP="00FF64C1">
            <w:pPr>
              <w:pStyle w:val="Tabletext"/>
            </w:pPr>
            <w:r w:rsidRPr="00BD6C5F">
              <w:t>Column 6</w:t>
            </w:r>
          </w:p>
        </w:tc>
        <w:tc>
          <w:tcPr>
            <w:tcW w:w="1531" w:type="dxa"/>
          </w:tcPr>
          <w:p w14:paraId="122DC36F" w14:textId="77777777" w:rsidR="00BC7DDA" w:rsidRPr="00BD6C5F" w:rsidRDefault="009B03E9" w:rsidP="00FF64C1">
            <w:pPr>
              <w:pStyle w:val="Tabletext"/>
            </w:pPr>
            <w:r w:rsidRPr="00BD6C5F">
              <w:t>Column 7</w:t>
            </w:r>
          </w:p>
        </w:tc>
        <w:tc>
          <w:tcPr>
            <w:tcW w:w="1327" w:type="dxa"/>
          </w:tcPr>
          <w:p w14:paraId="00AF39D7" w14:textId="77777777" w:rsidR="00BC7DDA" w:rsidRPr="00BD6C5F" w:rsidRDefault="009B03E9" w:rsidP="00FF64C1">
            <w:pPr>
              <w:pStyle w:val="Tabletext"/>
            </w:pPr>
            <w:r w:rsidRPr="00BD6C5F">
              <w:t>Column 8</w:t>
            </w:r>
          </w:p>
        </w:tc>
        <w:tc>
          <w:tcPr>
            <w:tcW w:w="2041" w:type="dxa"/>
          </w:tcPr>
          <w:p w14:paraId="5D4AAFA4" w14:textId="77777777" w:rsidR="00BC7DDA" w:rsidRPr="00BD6C5F" w:rsidRDefault="009B03E9" w:rsidP="00FF64C1">
            <w:pPr>
              <w:pStyle w:val="Tabletext"/>
            </w:pPr>
            <w:r w:rsidRPr="00BD6C5F">
              <w:t>Column 9</w:t>
            </w:r>
          </w:p>
        </w:tc>
        <w:tc>
          <w:tcPr>
            <w:tcW w:w="1304" w:type="dxa"/>
          </w:tcPr>
          <w:p w14:paraId="15410BCF" w14:textId="77777777" w:rsidR="00BC7DDA" w:rsidRPr="00BD6C5F" w:rsidRDefault="009B03E9" w:rsidP="00FF64C1">
            <w:pPr>
              <w:pStyle w:val="Tabletext"/>
            </w:pPr>
            <w:r w:rsidRPr="00BD6C5F">
              <w:t>Column 10</w:t>
            </w:r>
          </w:p>
        </w:tc>
        <w:tc>
          <w:tcPr>
            <w:tcW w:w="1304" w:type="dxa"/>
          </w:tcPr>
          <w:p w14:paraId="7B6ED259" w14:textId="77777777" w:rsidR="00BC7DDA" w:rsidRPr="00BD6C5F" w:rsidRDefault="009B03E9" w:rsidP="00FF64C1">
            <w:pPr>
              <w:pStyle w:val="Tabletext"/>
            </w:pPr>
            <w:r w:rsidRPr="00BD6C5F">
              <w:t>Column 11</w:t>
            </w:r>
          </w:p>
        </w:tc>
      </w:tr>
      <w:tr w:rsidR="00BC7DDA" w:rsidRPr="00BD6C5F" w14:paraId="558D5343" w14:textId="77777777" w:rsidTr="00EA4C23">
        <w:trPr>
          <w:cnfStyle w:val="100000000000" w:firstRow="1" w:lastRow="0" w:firstColumn="0" w:lastColumn="0" w:oddVBand="0" w:evenVBand="0" w:oddHBand="0" w:evenHBand="0" w:firstRowFirstColumn="0" w:firstRowLastColumn="0" w:lastRowFirstColumn="0" w:lastRowLastColumn="0"/>
          <w:cantSplit/>
          <w:tblHeader/>
        </w:trPr>
        <w:tc>
          <w:tcPr>
            <w:tcW w:w="1075" w:type="dxa"/>
          </w:tcPr>
          <w:p w14:paraId="425BBDEF" w14:textId="77777777" w:rsidR="00BC7DDA" w:rsidRPr="00BD6C5F" w:rsidRDefault="009B03E9" w:rsidP="00FF64C1">
            <w:pPr>
              <w:pStyle w:val="Tabletext"/>
            </w:pPr>
            <w:r w:rsidRPr="00BD6C5F">
              <w:t>Ref</w:t>
            </w:r>
          </w:p>
        </w:tc>
        <w:tc>
          <w:tcPr>
            <w:tcW w:w="1086" w:type="dxa"/>
          </w:tcPr>
          <w:p w14:paraId="549241E8" w14:textId="33696E27" w:rsidR="00BC7DDA" w:rsidRPr="00BD6C5F" w:rsidRDefault="009B03E9" w:rsidP="00FF64C1">
            <w:pPr>
              <w:pStyle w:val="Tabletext"/>
            </w:pPr>
            <w:r w:rsidRPr="00BD6C5F">
              <w:t>Descripti</w:t>
            </w:r>
            <w:r w:rsidR="00971138" w:rsidRPr="00BD6C5F">
              <w:t>on</w:t>
            </w:r>
            <w:r w:rsidRPr="00BD6C5F">
              <w:t xml:space="preserve"> of proposed Allowable Assumpti</w:t>
            </w:r>
            <w:r w:rsidR="00971138" w:rsidRPr="00BD6C5F">
              <w:t>on</w:t>
            </w:r>
          </w:p>
        </w:tc>
        <w:tc>
          <w:tcPr>
            <w:tcW w:w="1581" w:type="dxa"/>
          </w:tcPr>
          <w:p w14:paraId="09F73115" w14:textId="79931EE6" w:rsidR="00BC7DDA" w:rsidRPr="00BD6C5F" w:rsidRDefault="009B03E9" w:rsidP="00FF64C1">
            <w:pPr>
              <w:pStyle w:val="Tabletext"/>
            </w:pPr>
            <w:r w:rsidRPr="00BD6C5F">
              <w:t>Impact on the Implementat</w:t>
            </w:r>
            <w:r w:rsidR="00971138" w:rsidRPr="00BD6C5F">
              <w:t>ion</w:t>
            </w:r>
            <w:r w:rsidRPr="00BD6C5F">
              <w:t xml:space="preserve"> Plan if the Allowable Assumption is not accurate</w:t>
            </w:r>
          </w:p>
        </w:tc>
        <w:tc>
          <w:tcPr>
            <w:tcW w:w="1531" w:type="dxa"/>
          </w:tcPr>
          <w:p w14:paraId="6B22B743" w14:textId="7EC3337E" w:rsidR="00BC7DDA" w:rsidRPr="00BD6C5F" w:rsidRDefault="009B03E9" w:rsidP="00FF64C1">
            <w:pPr>
              <w:pStyle w:val="Tabletext"/>
            </w:pPr>
            <w:r w:rsidRPr="00BD6C5F">
              <w:t>Cost Impact (maximu</w:t>
            </w:r>
            <w:r w:rsidR="00971138" w:rsidRPr="00BD6C5F">
              <w:t>m,</w:t>
            </w:r>
            <w:r w:rsidRPr="00BD6C5F">
              <w:t xml:space="preserve"> minimum and most likely values if the Allowable Assumpti</w:t>
            </w:r>
            <w:r w:rsidR="00971138" w:rsidRPr="00BD6C5F">
              <w:t>on</w:t>
            </w:r>
            <w:r w:rsidRPr="00BD6C5F">
              <w:t xml:space="preserve"> is not accurate)</w:t>
            </w:r>
          </w:p>
        </w:tc>
        <w:tc>
          <w:tcPr>
            <w:tcW w:w="1206" w:type="dxa"/>
          </w:tcPr>
          <w:p w14:paraId="2DDD6DDE" w14:textId="76E2B6D6" w:rsidR="00BC7DDA" w:rsidRPr="00BD6C5F" w:rsidRDefault="009B03E9" w:rsidP="00FF64C1">
            <w:pPr>
              <w:pStyle w:val="Tabletext"/>
            </w:pPr>
            <w:r w:rsidRPr="00BD6C5F">
              <w:t>Basis of Calculati</w:t>
            </w:r>
            <w:r w:rsidR="00971138" w:rsidRPr="00BD6C5F">
              <w:t>on</w:t>
            </w:r>
            <w:r w:rsidRPr="00BD6C5F">
              <w:t xml:space="preserve"> of Cost Impact</w:t>
            </w:r>
          </w:p>
        </w:tc>
        <w:tc>
          <w:tcPr>
            <w:tcW w:w="1137" w:type="dxa"/>
          </w:tcPr>
          <w:p w14:paraId="22CCA01D" w14:textId="0EDC79CF" w:rsidR="00BC7DDA" w:rsidRPr="00BD6C5F" w:rsidRDefault="009B03E9" w:rsidP="00FF64C1">
            <w:pPr>
              <w:pStyle w:val="Tabletext"/>
            </w:pPr>
            <w:r w:rsidRPr="00BD6C5F">
              <w:t>Applica</w:t>
            </w:r>
            <w:r w:rsidR="00971138" w:rsidRPr="00BD6C5F">
              <w:t>ble</w:t>
            </w:r>
            <w:r w:rsidRPr="00BD6C5F">
              <w:t xml:space="preserve"> Profit Margin</w:t>
            </w:r>
          </w:p>
        </w:tc>
        <w:tc>
          <w:tcPr>
            <w:tcW w:w="1531" w:type="dxa"/>
          </w:tcPr>
          <w:p w14:paraId="1F27306F" w14:textId="20E9317B" w:rsidR="00BC7DDA" w:rsidRPr="00BD6C5F" w:rsidRDefault="009B03E9" w:rsidP="00FF64C1">
            <w:pPr>
              <w:pStyle w:val="Tabletext"/>
            </w:pPr>
            <w:r w:rsidRPr="00BD6C5F">
              <w:t>Charge Impact (maximu</w:t>
            </w:r>
            <w:r w:rsidR="00971138" w:rsidRPr="00BD6C5F">
              <w:t>m,</w:t>
            </w:r>
            <w:r w:rsidRPr="00BD6C5F">
              <w:t xml:space="preserve"> minimum and most likely values if the Allowable Assumpti</w:t>
            </w:r>
            <w:r w:rsidR="00971138" w:rsidRPr="00BD6C5F">
              <w:t>on</w:t>
            </w:r>
            <w:r w:rsidRPr="00BD6C5F">
              <w:t xml:space="preserve"> is not accurate)</w:t>
            </w:r>
          </w:p>
        </w:tc>
        <w:tc>
          <w:tcPr>
            <w:tcW w:w="1327" w:type="dxa"/>
          </w:tcPr>
          <w:p w14:paraId="3D79D922" w14:textId="668ED68C" w:rsidR="00BC7DDA" w:rsidRPr="00BD6C5F" w:rsidRDefault="009B03E9" w:rsidP="00FF64C1">
            <w:pPr>
              <w:pStyle w:val="Tabletext"/>
            </w:pPr>
            <w:r w:rsidRPr="00BD6C5F">
              <w:t>Verificatio</w:t>
            </w:r>
            <w:r w:rsidR="00971138" w:rsidRPr="00BD6C5F">
              <w:t>n</w:t>
            </w:r>
            <w:r w:rsidRPr="00BD6C5F">
              <w:t xml:space="preserve"> Method (how the Supplier will verify the Allowable Assumpti</w:t>
            </w:r>
            <w:r w:rsidR="00971138" w:rsidRPr="00BD6C5F">
              <w:t>on)</w:t>
            </w:r>
          </w:p>
        </w:tc>
        <w:tc>
          <w:tcPr>
            <w:tcW w:w="2041" w:type="dxa"/>
          </w:tcPr>
          <w:p w14:paraId="068BB9C8" w14:textId="46D34153" w:rsidR="00BC7DDA" w:rsidRPr="00BD6C5F" w:rsidRDefault="009B03E9" w:rsidP="00FF64C1">
            <w:pPr>
              <w:pStyle w:val="Tabletext"/>
            </w:pPr>
            <w:r w:rsidRPr="00BD6C5F">
              <w:t>Trigger for Invocation (what will determine that the Implementat</w:t>
            </w:r>
            <w:r w:rsidR="00971138" w:rsidRPr="00BD6C5F">
              <w:t>ion</w:t>
            </w:r>
            <w:r w:rsidRPr="00BD6C5F">
              <w:t xml:space="preserve"> Plan and/or Financial Model may require adjustment for the Allowable Assumption)</w:t>
            </w:r>
          </w:p>
        </w:tc>
        <w:tc>
          <w:tcPr>
            <w:tcW w:w="1304" w:type="dxa"/>
          </w:tcPr>
          <w:p w14:paraId="3962EB9F" w14:textId="7C1F1950" w:rsidR="00BC7DDA" w:rsidRPr="00BD6C5F" w:rsidRDefault="009B03E9" w:rsidP="00FF64C1">
            <w:pPr>
              <w:pStyle w:val="Tabletext"/>
            </w:pPr>
            <w:r w:rsidRPr="00BD6C5F">
              <w:t>Period of Impact (period that the updated assumpti</w:t>
            </w:r>
            <w:r w:rsidR="00971138" w:rsidRPr="00BD6C5F">
              <w:t>on</w:t>
            </w:r>
            <w:r w:rsidRPr="00BD6C5F">
              <w:t xml:space="preserve"> will have an impact)</w:t>
            </w:r>
          </w:p>
        </w:tc>
        <w:tc>
          <w:tcPr>
            <w:tcW w:w="1304" w:type="dxa"/>
          </w:tcPr>
          <w:p w14:paraId="22F614EB" w14:textId="372B6C4C" w:rsidR="00BC7DDA" w:rsidRPr="00BD6C5F" w:rsidRDefault="009B03E9" w:rsidP="00FF64C1">
            <w:pPr>
              <w:pStyle w:val="Tabletext"/>
            </w:pPr>
            <w:r w:rsidRPr="00BD6C5F">
              <w:t>Expiry Date (Date at which the Allowable Assumpti</w:t>
            </w:r>
            <w:r w:rsidR="00971138" w:rsidRPr="00BD6C5F">
              <w:t>on</w:t>
            </w:r>
            <w:r w:rsidRPr="00BD6C5F">
              <w:t xml:space="preserve"> expires)</w:t>
            </w:r>
          </w:p>
        </w:tc>
      </w:tr>
      <w:tr w:rsidR="00BC7DDA" w:rsidRPr="00BD6C5F" w14:paraId="5AE9B678" w14:textId="77777777" w:rsidTr="00EA4C23">
        <w:trPr>
          <w:cantSplit/>
        </w:trPr>
        <w:tc>
          <w:tcPr>
            <w:tcW w:w="1075" w:type="dxa"/>
          </w:tcPr>
          <w:p w14:paraId="29C00DA7" w14:textId="77777777" w:rsidR="00BC7DDA" w:rsidRPr="00BD6C5F" w:rsidRDefault="00BC7DDA" w:rsidP="00FF64C1">
            <w:pPr>
              <w:pStyle w:val="Tabletext"/>
            </w:pPr>
          </w:p>
        </w:tc>
        <w:tc>
          <w:tcPr>
            <w:tcW w:w="1086" w:type="dxa"/>
          </w:tcPr>
          <w:p w14:paraId="47D8911D" w14:textId="77777777" w:rsidR="00BC7DDA" w:rsidRPr="00BD6C5F" w:rsidRDefault="00BC7DDA" w:rsidP="00FF64C1">
            <w:pPr>
              <w:pStyle w:val="Tabletext"/>
            </w:pPr>
          </w:p>
        </w:tc>
        <w:tc>
          <w:tcPr>
            <w:tcW w:w="1581" w:type="dxa"/>
          </w:tcPr>
          <w:p w14:paraId="5A43F062" w14:textId="77777777" w:rsidR="00BC7DDA" w:rsidRPr="00BD6C5F" w:rsidRDefault="00BC7DDA" w:rsidP="00FF64C1">
            <w:pPr>
              <w:pStyle w:val="Tabletext"/>
            </w:pPr>
          </w:p>
        </w:tc>
        <w:tc>
          <w:tcPr>
            <w:tcW w:w="1531" w:type="dxa"/>
          </w:tcPr>
          <w:p w14:paraId="7B69BA30" w14:textId="77777777" w:rsidR="00BC7DDA" w:rsidRPr="00BD6C5F" w:rsidRDefault="00BC7DDA" w:rsidP="00FF64C1">
            <w:pPr>
              <w:pStyle w:val="Tabletext"/>
            </w:pPr>
          </w:p>
        </w:tc>
        <w:tc>
          <w:tcPr>
            <w:tcW w:w="1206" w:type="dxa"/>
          </w:tcPr>
          <w:p w14:paraId="2218B46E" w14:textId="77777777" w:rsidR="00BC7DDA" w:rsidRPr="00BD6C5F" w:rsidRDefault="00BC7DDA" w:rsidP="00FF64C1">
            <w:pPr>
              <w:pStyle w:val="Tabletext"/>
            </w:pPr>
          </w:p>
        </w:tc>
        <w:tc>
          <w:tcPr>
            <w:tcW w:w="1137" w:type="dxa"/>
          </w:tcPr>
          <w:p w14:paraId="28CEB681" w14:textId="77777777" w:rsidR="00BC7DDA" w:rsidRPr="00BD6C5F" w:rsidRDefault="00BC7DDA" w:rsidP="00FF64C1">
            <w:pPr>
              <w:pStyle w:val="Tabletext"/>
            </w:pPr>
          </w:p>
        </w:tc>
        <w:tc>
          <w:tcPr>
            <w:tcW w:w="1531" w:type="dxa"/>
          </w:tcPr>
          <w:p w14:paraId="1D3C44D6" w14:textId="77777777" w:rsidR="00BC7DDA" w:rsidRPr="00BD6C5F" w:rsidRDefault="00BC7DDA" w:rsidP="00FF64C1">
            <w:pPr>
              <w:pStyle w:val="Tabletext"/>
            </w:pPr>
          </w:p>
        </w:tc>
        <w:tc>
          <w:tcPr>
            <w:tcW w:w="1327" w:type="dxa"/>
          </w:tcPr>
          <w:p w14:paraId="2C2994A5" w14:textId="77777777" w:rsidR="00BC7DDA" w:rsidRPr="00BD6C5F" w:rsidRDefault="00BC7DDA" w:rsidP="00FF64C1">
            <w:pPr>
              <w:pStyle w:val="Tabletext"/>
            </w:pPr>
          </w:p>
        </w:tc>
        <w:tc>
          <w:tcPr>
            <w:tcW w:w="2041" w:type="dxa"/>
          </w:tcPr>
          <w:p w14:paraId="52383BAE" w14:textId="77777777" w:rsidR="00BC7DDA" w:rsidRPr="00BD6C5F" w:rsidRDefault="00BC7DDA" w:rsidP="00FF64C1">
            <w:pPr>
              <w:pStyle w:val="Tabletext"/>
            </w:pPr>
          </w:p>
        </w:tc>
        <w:tc>
          <w:tcPr>
            <w:tcW w:w="1304" w:type="dxa"/>
          </w:tcPr>
          <w:p w14:paraId="525675D3" w14:textId="77777777" w:rsidR="00BC7DDA" w:rsidRPr="00BD6C5F" w:rsidRDefault="00BC7DDA" w:rsidP="00FF64C1">
            <w:pPr>
              <w:pStyle w:val="Tabletext"/>
            </w:pPr>
          </w:p>
        </w:tc>
        <w:tc>
          <w:tcPr>
            <w:tcW w:w="1304" w:type="dxa"/>
          </w:tcPr>
          <w:p w14:paraId="59F303E8" w14:textId="77777777" w:rsidR="00BC7DDA" w:rsidRPr="00BD6C5F" w:rsidRDefault="00BC7DDA" w:rsidP="00FF64C1">
            <w:pPr>
              <w:pStyle w:val="Tabletext"/>
            </w:pPr>
          </w:p>
        </w:tc>
      </w:tr>
      <w:tr w:rsidR="00BC7DDA" w:rsidRPr="00BD6C5F" w14:paraId="200CC5BF" w14:textId="77777777" w:rsidTr="00EA4C23">
        <w:trPr>
          <w:cantSplit/>
        </w:trPr>
        <w:tc>
          <w:tcPr>
            <w:tcW w:w="1075" w:type="dxa"/>
          </w:tcPr>
          <w:p w14:paraId="5309F59B" w14:textId="77777777" w:rsidR="00BC7DDA" w:rsidRPr="00BD6C5F" w:rsidRDefault="00BC7DDA" w:rsidP="00FF64C1">
            <w:pPr>
              <w:pStyle w:val="Tabletext"/>
            </w:pPr>
          </w:p>
        </w:tc>
        <w:tc>
          <w:tcPr>
            <w:tcW w:w="1086" w:type="dxa"/>
          </w:tcPr>
          <w:p w14:paraId="4020173F" w14:textId="77777777" w:rsidR="00BC7DDA" w:rsidRPr="00BD6C5F" w:rsidRDefault="00BC7DDA" w:rsidP="00FF64C1">
            <w:pPr>
              <w:pStyle w:val="Tabletext"/>
            </w:pPr>
          </w:p>
        </w:tc>
        <w:tc>
          <w:tcPr>
            <w:tcW w:w="1581" w:type="dxa"/>
          </w:tcPr>
          <w:p w14:paraId="2A28A0DB" w14:textId="77777777" w:rsidR="00BC7DDA" w:rsidRPr="00BD6C5F" w:rsidRDefault="00BC7DDA" w:rsidP="00FF64C1">
            <w:pPr>
              <w:pStyle w:val="Tabletext"/>
            </w:pPr>
          </w:p>
        </w:tc>
        <w:tc>
          <w:tcPr>
            <w:tcW w:w="1531" w:type="dxa"/>
          </w:tcPr>
          <w:p w14:paraId="73AFCAA5" w14:textId="77777777" w:rsidR="00BC7DDA" w:rsidRPr="00BD6C5F" w:rsidRDefault="00BC7DDA" w:rsidP="00FF64C1">
            <w:pPr>
              <w:pStyle w:val="Tabletext"/>
            </w:pPr>
          </w:p>
        </w:tc>
        <w:tc>
          <w:tcPr>
            <w:tcW w:w="1206" w:type="dxa"/>
          </w:tcPr>
          <w:p w14:paraId="39FE1B05" w14:textId="77777777" w:rsidR="00BC7DDA" w:rsidRPr="00BD6C5F" w:rsidRDefault="00BC7DDA" w:rsidP="00FF64C1">
            <w:pPr>
              <w:pStyle w:val="Tabletext"/>
            </w:pPr>
          </w:p>
        </w:tc>
        <w:tc>
          <w:tcPr>
            <w:tcW w:w="1137" w:type="dxa"/>
          </w:tcPr>
          <w:p w14:paraId="645F6B0D" w14:textId="77777777" w:rsidR="00BC7DDA" w:rsidRPr="00BD6C5F" w:rsidRDefault="00BC7DDA" w:rsidP="00FF64C1">
            <w:pPr>
              <w:pStyle w:val="Tabletext"/>
            </w:pPr>
          </w:p>
        </w:tc>
        <w:tc>
          <w:tcPr>
            <w:tcW w:w="1531" w:type="dxa"/>
          </w:tcPr>
          <w:p w14:paraId="3B9AC291" w14:textId="77777777" w:rsidR="00BC7DDA" w:rsidRPr="00BD6C5F" w:rsidRDefault="00BC7DDA" w:rsidP="00FF64C1">
            <w:pPr>
              <w:pStyle w:val="Tabletext"/>
            </w:pPr>
          </w:p>
        </w:tc>
        <w:tc>
          <w:tcPr>
            <w:tcW w:w="1327" w:type="dxa"/>
          </w:tcPr>
          <w:p w14:paraId="3B26FD48" w14:textId="77777777" w:rsidR="00BC7DDA" w:rsidRPr="00BD6C5F" w:rsidRDefault="00BC7DDA" w:rsidP="00FF64C1">
            <w:pPr>
              <w:pStyle w:val="Tabletext"/>
            </w:pPr>
          </w:p>
        </w:tc>
        <w:tc>
          <w:tcPr>
            <w:tcW w:w="2041" w:type="dxa"/>
          </w:tcPr>
          <w:p w14:paraId="61CF8D5E" w14:textId="77777777" w:rsidR="00BC7DDA" w:rsidRPr="00BD6C5F" w:rsidRDefault="00BC7DDA" w:rsidP="00FF64C1">
            <w:pPr>
              <w:pStyle w:val="Tabletext"/>
            </w:pPr>
          </w:p>
        </w:tc>
        <w:tc>
          <w:tcPr>
            <w:tcW w:w="1304" w:type="dxa"/>
          </w:tcPr>
          <w:p w14:paraId="726F43A9" w14:textId="77777777" w:rsidR="00BC7DDA" w:rsidRPr="00BD6C5F" w:rsidRDefault="00BC7DDA" w:rsidP="00FF64C1">
            <w:pPr>
              <w:pStyle w:val="Tabletext"/>
            </w:pPr>
          </w:p>
        </w:tc>
        <w:tc>
          <w:tcPr>
            <w:tcW w:w="1304" w:type="dxa"/>
          </w:tcPr>
          <w:p w14:paraId="3183958B" w14:textId="77777777" w:rsidR="00BC7DDA" w:rsidRPr="00BD6C5F" w:rsidRDefault="00BC7DDA" w:rsidP="00FF64C1">
            <w:pPr>
              <w:pStyle w:val="Tabletext"/>
            </w:pPr>
          </w:p>
        </w:tc>
      </w:tr>
      <w:tr w:rsidR="00BC7DDA" w:rsidRPr="00BD6C5F" w14:paraId="37280284" w14:textId="77777777" w:rsidTr="00EA4C23">
        <w:trPr>
          <w:cantSplit/>
        </w:trPr>
        <w:tc>
          <w:tcPr>
            <w:tcW w:w="1075" w:type="dxa"/>
          </w:tcPr>
          <w:p w14:paraId="250AF878" w14:textId="77777777" w:rsidR="00BC7DDA" w:rsidRPr="00BD6C5F" w:rsidRDefault="00BC7DDA" w:rsidP="00FF64C1">
            <w:pPr>
              <w:pStyle w:val="Tabletext"/>
            </w:pPr>
          </w:p>
        </w:tc>
        <w:tc>
          <w:tcPr>
            <w:tcW w:w="1086" w:type="dxa"/>
          </w:tcPr>
          <w:p w14:paraId="30EAE365" w14:textId="77777777" w:rsidR="00BC7DDA" w:rsidRPr="00BD6C5F" w:rsidRDefault="00BC7DDA" w:rsidP="00FF64C1">
            <w:pPr>
              <w:pStyle w:val="Tabletext"/>
            </w:pPr>
          </w:p>
        </w:tc>
        <w:tc>
          <w:tcPr>
            <w:tcW w:w="1581" w:type="dxa"/>
          </w:tcPr>
          <w:p w14:paraId="3E225E53" w14:textId="77777777" w:rsidR="00BC7DDA" w:rsidRPr="00BD6C5F" w:rsidRDefault="00BC7DDA" w:rsidP="00FF64C1">
            <w:pPr>
              <w:pStyle w:val="Tabletext"/>
            </w:pPr>
          </w:p>
        </w:tc>
        <w:tc>
          <w:tcPr>
            <w:tcW w:w="1531" w:type="dxa"/>
          </w:tcPr>
          <w:p w14:paraId="47897EAD" w14:textId="77777777" w:rsidR="00BC7DDA" w:rsidRPr="00BD6C5F" w:rsidRDefault="00BC7DDA" w:rsidP="00FF64C1">
            <w:pPr>
              <w:pStyle w:val="Tabletext"/>
            </w:pPr>
          </w:p>
        </w:tc>
        <w:tc>
          <w:tcPr>
            <w:tcW w:w="1206" w:type="dxa"/>
          </w:tcPr>
          <w:p w14:paraId="00CD9B9A" w14:textId="77777777" w:rsidR="00BC7DDA" w:rsidRPr="00BD6C5F" w:rsidRDefault="00BC7DDA" w:rsidP="00FF64C1">
            <w:pPr>
              <w:pStyle w:val="Tabletext"/>
            </w:pPr>
          </w:p>
        </w:tc>
        <w:tc>
          <w:tcPr>
            <w:tcW w:w="1137" w:type="dxa"/>
          </w:tcPr>
          <w:p w14:paraId="6AD713DF" w14:textId="77777777" w:rsidR="00BC7DDA" w:rsidRPr="00BD6C5F" w:rsidRDefault="00BC7DDA" w:rsidP="00FF64C1">
            <w:pPr>
              <w:pStyle w:val="Tabletext"/>
            </w:pPr>
          </w:p>
        </w:tc>
        <w:tc>
          <w:tcPr>
            <w:tcW w:w="1531" w:type="dxa"/>
          </w:tcPr>
          <w:p w14:paraId="5822434E" w14:textId="77777777" w:rsidR="00BC7DDA" w:rsidRPr="00BD6C5F" w:rsidRDefault="00BC7DDA" w:rsidP="00FF64C1">
            <w:pPr>
              <w:pStyle w:val="Tabletext"/>
            </w:pPr>
          </w:p>
        </w:tc>
        <w:tc>
          <w:tcPr>
            <w:tcW w:w="1327" w:type="dxa"/>
          </w:tcPr>
          <w:p w14:paraId="357CDEEE" w14:textId="77777777" w:rsidR="00BC7DDA" w:rsidRPr="00BD6C5F" w:rsidRDefault="00BC7DDA" w:rsidP="00FF64C1">
            <w:pPr>
              <w:pStyle w:val="Tabletext"/>
            </w:pPr>
          </w:p>
        </w:tc>
        <w:tc>
          <w:tcPr>
            <w:tcW w:w="2041" w:type="dxa"/>
          </w:tcPr>
          <w:p w14:paraId="128110E7" w14:textId="77777777" w:rsidR="00BC7DDA" w:rsidRPr="00BD6C5F" w:rsidRDefault="00BC7DDA" w:rsidP="00FF64C1">
            <w:pPr>
              <w:pStyle w:val="Tabletext"/>
            </w:pPr>
          </w:p>
        </w:tc>
        <w:tc>
          <w:tcPr>
            <w:tcW w:w="1304" w:type="dxa"/>
          </w:tcPr>
          <w:p w14:paraId="7C72297C" w14:textId="77777777" w:rsidR="00BC7DDA" w:rsidRPr="00BD6C5F" w:rsidRDefault="00BC7DDA" w:rsidP="00FF64C1">
            <w:pPr>
              <w:pStyle w:val="Tabletext"/>
            </w:pPr>
          </w:p>
        </w:tc>
        <w:tc>
          <w:tcPr>
            <w:tcW w:w="1304" w:type="dxa"/>
          </w:tcPr>
          <w:p w14:paraId="42AE6365" w14:textId="77777777" w:rsidR="00BC7DDA" w:rsidRPr="00BD6C5F" w:rsidRDefault="00BC7DDA" w:rsidP="00FF64C1">
            <w:pPr>
              <w:pStyle w:val="Tabletext"/>
            </w:pPr>
          </w:p>
        </w:tc>
      </w:tr>
    </w:tbl>
    <w:p w14:paraId="0B4609FF" w14:textId="18FA2A52" w:rsidR="00272B0A" w:rsidRPr="00BD6C5F" w:rsidRDefault="00272B0A" w:rsidP="00FF64C1"/>
    <w:p w14:paraId="5036457C" w14:textId="77777777" w:rsidR="00FF64C1" w:rsidRPr="00BD6C5F" w:rsidRDefault="00FF64C1" w:rsidP="00FF64C1"/>
    <w:p w14:paraId="6A7BE8B6" w14:textId="6AF31A54" w:rsidR="00FF64C1" w:rsidRPr="00BD6C5F" w:rsidRDefault="00FF64C1" w:rsidP="00FF64C1">
      <w:pPr>
        <w:sectPr w:rsidR="00FF64C1" w:rsidRPr="00BD6C5F" w:rsidSect="00EA65BF">
          <w:footerReference w:type="default" r:id="rId84"/>
          <w:pgSz w:w="16840" w:h="11910" w:orient="landscape"/>
          <w:pgMar w:top="1701" w:right="851" w:bottom="1134" w:left="851" w:header="567" w:footer="567" w:gutter="0"/>
          <w:cols w:space="720"/>
          <w:docGrid w:linePitch="299"/>
        </w:sectPr>
      </w:pPr>
    </w:p>
    <w:p w14:paraId="5C4C0061" w14:textId="3C9CD5D6" w:rsidR="004F122B" w:rsidRDefault="004F122B" w:rsidP="004F122B">
      <w:pPr>
        <w:pStyle w:val="Dividername"/>
      </w:pPr>
      <w:bookmarkStart w:id="748" w:name="_bookmark249"/>
      <w:bookmarkStart w:id="749" w:name="_bookmark250"/>
      <w:bookmarkStart w:id="750" w:name="_Ref98254042"/>
      <w:bookmarkStart w:id="751" w:name="_Ref98254193"/>
      <w:bookmarkStart w:id="752" w:name="_Toc98332746"/>
      <w:bookmarkStart w:id="753" w:name="_Toc98852923"/>
      <w:bookmarkEnd w:id="748"/>
      <w:bookmarkEnd w:id="749"/>
      <w:r>
        <w:lastRenderedPageBreak/>
        <w:t xml:space="preserve">Schedule </w:t>
      </w:r>
      <w:bookmarkStart w:id="754" w:name="Schedule_16"/>
      <w:r>
        <w:t>16</w:t>
      </w:r>
      <w:bookmarkEnd w:id="754"/>
    </w:p>
    <w:p w14:paraId="6AB76360" w14:textId="4A36627C" w:rsidR="004F122B" w:rsidRDefault="004F122B" w:rsidP="004F122B">
      <w:pPr>
        <w:pStyle w:val="Dividername"/>
      </w:pPr>
      <w:r w:rsidRPr="004F122B">
        <w:t>Payments on Termination</w:t>
      </w:r>
    </w:p>
    <w:p w14:paraId="186C476C" w14:textId="77777777" w:rsidR="004F122B" w:rsidRDefault="004F122B" w:rsidP="004F122B"/>
    <w:p w14:paraId="7E813485" w14:textId="798FEF37" w:rsidR="00BC7DDA" w:rsidRPr="00BD6C5F" w:rsidRDefault="00FF64C1" w:rsidP="004F122B">
      <w:pPr>
        <w:pStyle w:val="Heading1"/>
        <w:pageBreakBefore/>
      </w:pPr>
      <w:bookmarkStart w:id="755" w:name="_Toc141721015"/>
      <w:r w:rsidRPr="00BD6C5F">
        <w:lastRenderedPageBreak/>
        <w:t>Schedule 16</w:t>
      </w:r>
      <w:r w:rsidR="0058158C" w:rsidRPr="00BD6C5F">
        <w:t>:</w:t>
      </w:r>
      <w:r w:rsidRPr="00BD6C5F">
        <w:t xml:space="preserve"> Payments on Termination</w:t>
      </w:r>
      <w:bookmarkEnd w:id="750"/>
      <w:bookmarkEnd w:id="751"/>
      <w:bookmarkEnd w:id="752"/>
      <w:bookmarkEnd w:id="753"/>
      <w:bookmarkEnd w:id="755"/>
    </w:p>
    <w:p w14:paraId="5EDBBA2A" w14:textId="155347AE" w:rsidR="00E2131D" w:rsidRPr="00BD6C5F" w:rsidRDefault="00E2131D" w:rsidP="00FF64C1">
      <w:pPr>
        <w:jc w:val="center"/>
      </w:pPr>
      <w:r w:rsidRPr="00BD6C5F">
        <w:t>This is the schedule referred to in the foregoing agreement betwee</w:t>
      </w:r>
      <w:r w:rsidR="00183F6E" w:rsidRPr="00BD6C5F">
        <w:t>n [</w:t>
      </w:r>
      <w:r w:rsidR="00183F6E" w:rsidRPr="00BD6C5F">
        <w:rPr>
          <w:highlight w:val="yellow"/>
        </w:rPr>
        <w:t>name of party</w:t>
      </w:r>
      <w:r w:rsidR="00183F6E" w:rsidRPr="00BD6C5F">
        <w:t>] and [</w:t>
      </w:r>
      <w:r w:rsidR="00183F6E" w:rsidRPr="00BD6C5F">
        <w:rPr>
          <w:highlight w:val="yellow"/>
        </w:rPr>
        <w:t>name of party</w:t>
      </w:r>
      <w:r w:rsidR="00183F6E" w:rsidRPr="00BD6C5F">
        <w:t>] dated [</w:t>
      </w:r>
      <w:r w:rsidR="00183F6E" w:rsidRPr="00BD6C5F">
        <w:rPr>
          <w:highlight w:val="yellow"/>
        </w:rPr>
        <w:t>date</w:t>
      </w:r>
      <w:r w:rsidR="00183F6E" w:rsidRPr="00BD6C5F">
        <w:t>]</w:t>
      </w:r>
    </w:p>
    <w:p w14:paraId="1EB2178D" w14:textId="77777777" w:rsidR="00FF64C1" w:rsidRPr="00BD6C5F" w:rsidRDefault="00FF64C1" w:rsidP="00FF64C1"/>
    <w:p w14:paraId="590DCEFF" w14:textId="6A1C5A82" w:rsidR="00BC7DDA" w:rsidRPr="00BD6C5F" w:rsidRDefault="009B03E9" w:rsidP="00FF64C1">
      <w:pPr>
        <w:jc w:val="center"/>
        <w:rPr>
          <w:b/>
          <w:bCs/>
        </w:rPr>
      </w:pPr>
      <w:r w:rsidRPr="00BD6C5F">
        <w:rPr>
          <w:b/>
          <w:bCs/>
        </w:rPr>
        <w:t>Payments on Termination</w:t>
      </w:r>
    </w:p>
    <w:p w14:paraId="01CAE535" w14:textId="10D0AA8C" w:rsidR="00BC7DDA" w:rsidRPr="00BD6C5F" w:rsidRDefault="00183F6E" w:rsidP="00B71FC0">
      <w:pPr>
        <w:pStyle w:val="Numbered1"/>
        <w:numPr>
          <w:ilvl w:val="0"/>
          <w:numId w:val="99"/>
        </w:numPr>
      </w:pPr>
      <w:r w:rsidRPr="00BD6C5F">
        <w:t>Definitions</w:t>
      </w:r>
    </w:p>
    <w:p w14:paraId="0EA48C87" w14:textId="77777777" w:rsidR="00BC7DDA" w:rsidRPr="00BD6C5F" w:rsidRDefault="009B03E9" w:rsidP="00EA4C23">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5842B323" w14:textId="77777777" w:rsidTr="00771E5A">
        <w:tc>
          <w:tcPr>
            <w:tcW w:w="3572" w:type="dxa"/>
          </w:tcPr>
          <w:p w14:paraId="48B9B953" w14:textId="02293EE5" w:rsidR="00BC7DDA" w:rsidRPr="00BD6C5F" w:rsidRDefault="00A4555C" w:rsidP="003A31AD">
            <w:pPr>
              <w:pStyle w:val="Tabletext"/>
              <w:rPr>
                <w:b/>
                <w:bCs/>
              </w:rPr>
            </w:pPr>
            <w:r w:rsidRPr="00BD6C5F">
              <w:rPr>
                <w:b/>
                <w:bCs/>
              </w:rPr>
              <w:t>“</w:t>
            </w:r>
            <w:r w:rsidR="009B03E9" w:rsidRPr="00BD6C5F">
              <w:rPr>
                <w:b/>
                <w:bCs/>
              </w:rPr>
              <w:t>Applicable Supplier Personnel</w:t>
            </w:r>
            <w:r w:rsidRPr="00BD6C5F">
              <w:rPr>
                <w:b/>
                <w:bCs/>
              </w:rPr>
              <w:t>”</w:t>
            </w:r>
          </w:p>
        </w:tc>
        <w:tc>
          <w:tcPr>
            <w:tcW w:w="5953" w:type="dxa"/>
          </w:tcPr>
          <w:p w14:paraId="180776FA" w14:textId="77777777" w:rsidR="00BC7DDA" w:rsidRPr="00BD6C5F" w:rsidRDefault="009B03E9" w:rsidP="003A31AD">
            <w:pPr>
              <w:pStyle w:val="Tabletext"/>
            </w:pPr>
            <w:r w:rsidRPr="00BD6C5F">
              <w:t>any Supplier Personnel who:</w:t>
            </w:r>
          </w:p>
          <w:p w14:paraId="716C15C8" w14:textId="77777777" w:rsidR="00BC7DDA" w:rsidRPr="00BD6C5F" w:rsidRDefault="009B03E9" w:rsidP="00B71FC0">
            <w:pPr>
              <w:pStyle w:val="Tablea"/>
              <w:numPr>
                <w:ilvl w:val="0"/>
                <w:numId w:val="64"/>
              </w:numPr>
            </w:pPr>
            <w:r w:rsidRPr="00BD6C5F">
              <w:t>at the Termination Date:</w:t>
            </w:r>
          </w:p>
          <w:p w14:paraId="5A8C8600" w14:textId="77777777" w:rsidR="00BC7DDA" w:rsidRPr="00BD6C5F" w:rsidRDefault="009B03E9" w:rsidP="00183F6E">
            <w:pPr>
              <w:pStyle w:val="Tableai"/>
            </w:pPr>
            <w:r w:rsidRPr="00BD6C5F">
              <w:t>are employees of the Supplier;</w:t>
            </w:r>
          </w:p>
          <w:p w14:paraId="5BFDA103" w14:textId="77777777" w:rsidR="00BC7DDA" w:rsidRPr="00BD6C5F" w:rsidRDefault="009B03E9" w:rsidP="00183F6E">
            <w:pPr>
              <w:pStyle w:val="Tableai"/>
            </w:pPr>
            <w:r w:rsidRPr="00BD6C5F">
              <w:t>are Dedicated Supplier Personnel;</w:t>
            </w:r>
          </w:p>
          <w:p w14:paraId="2C16E953" w14:textId="77777777" w:rsidR="00BC7DDA" w:rsidRPr="00BD6C5F" w:rsidRDefault="009B03E9" w:rsidP="00183F6E">
            <w:pPr>
              <w:pStyle w:val="Tableai"/>
            </w:pPr>
            <w:r w:rsidRPr="00BD6C5F">
              <w:t>have not transferred (and are not in scope to transfer at a later date) to the Authority or the Replacement Supplier by virtue of the Employment Regulations; and</w:t>
            </w:r>
          </w:p>
          <w:p w14:paraId="0601EAF3" w14:textId="77777777" w:rsidR="00BC7DDA" w:rsidRPr="00BD6C5F" w:rsidRDefault="009B03E9" w:rsidP="00B71FC0">
            <w:pPr>
              <w:pStyle w:val="Tablea"/>
              <w:numPr>
                <w:ilvl w:val="0"/>
                <w:numId w:val="64"/>
              </w:numPr>
            </w:pPr>
            <w:r w:rsidRPr="00BD6C5F">
              <w:t>are dismissed or given notice of dismissal by the Supplier within:</w:t>
            </w:r>
          </w:p>
          <w:p w14:paraId="129F1EEF" w14:textId="77777777" w:rsidR="00BC7DDA" w:rsidRPr="00BD6C5F" w:rsidRDefault="009B03E9" w:rsidP="00B71FC0">
            <w:pPr>
              <w:pStyle w:val="Tableai"/>
              <w:numPr>
                <w:ilvl w:val="2"/>
                <w:numId w:val="183"/>
              </w:numPr>
            </w:pPr>
            <w:r w:rsidRPr="00BD6C5F">
              <w:t>40 Working Days of the Termination Date; or</w:t>
            </w:r>
          </w:p>
          <w:p w14:paraId="7D726234" w14:textId="77777777" w:rsidR="00BC7DDA" w:rsidRPr="00BD6C5F" w:rsidRDefault="009B03E9" w:rsidP="00183F6E">
            <w:pPr>
              <w:pStyle w:val="Tableai"/>
            </w:pPr>
            <w:r w:rsidRPr="00BD6C5F">
              <w:t>such longer period required by Law, their employment contract (as at the Termination Date) or an applicable collective agreement; and</w:t>
            </w:r>
          </w:p>
          <w:p w14:paraId="282E6B9D" w14:textId="77777777" w:rsidR="00BC7DDA" w:rsidRPr="00BD6C5F" w:rsidRDefault="009B03E9" w:rsidP="00B71FC0">
            <w:pPr>
              <w:pStyle w:val="Tablea"/>
              <w:numPr>
                <w:ilvl w:val="0"/>
                <w:numId w:val="64"/>
              </w:numPr>
            </w:pPr>
            <w:r w:rsidRPr="00BD6C5F">
              <w:t>have not resigned or given notice of resignation prior to the date of their dismissal by the Supplier; and</w:t>
            </w:r>
          </w:p>
          <w:p w14:paraId="17E3304B" w14:textId="77777777" w:rsidR="00BC7DDA" w:rsidRPr="00BD6C5F" w:rsidRDefault="009B03E9" w:rsidP="00B71FC0">
            <w:pPr>
              <w:pStyle w:val="Tablea"/>
              <w:numPr>
                <w:ilvl w:val="0"/>
                <w:numId w:val="64"/>
              </w:numPr>
            </w:pPr>
            <w:r w:rsidRPr="00BD6C5F">
              <w:t>the Supplier can demonstrate to the satisfaction of the Authority:</w:t>
            </w:r>
          </w:p>
          <w:p w14:paraId="01C060F3" w14:textId="00E1069F" w:rsidR="00BC7DDA" w:rsidRPr="00BD6C5F" w:rsidRDefault="009B03E9" w:rsidP="00B71FC0">
            <w:pPr>
              <w:pStyle w:val="Tableai"/>
              <w:numPr>
                <w:ilvl w:val="2"/>
                <w:numId w:val="184"/>
              </w:numPr>
            </w:pPr>
            <w:r w:rsidRPr="00BD6C5F">
              <w:t>are surplus to the Supplier</w:t>
            </w:r>
            <w:r w:rsidR="00A4555C" w:rsidRPr="00BD6C5F">
              <w:t>’</w:t>
            </w:r>
            <w:r w:rsidRPr="00BD6C5F">
              <w:t>s requirements after the Termination Date notwithstanding its obligation to provide services to its other customers;</w:t>
            </w:r>
          </w:p>
          <w:p w14:paraId="4C540A7E" w14:textId="77777777" w:rsidR="00BC7DDA" w:rsidRPr="00BD6C5F" w:rsidRDefault="009B03E9" w:rsidP="00183F6E">
            <w:pPr>
              <w:pStyle w:val="Tableai"/>
            </w:pPr>
            <w:r w:rsidRPr="00BD6C5F">
              <w:t>are genuinely being dismissed for reasons of redundancy; and</w:t>
            </w:r>
          </w:p>
          <w:p w14:paraId="18DFAED4" w14:textId="54851E68" w:rsidR="00BC7DDA" w:rsidRPr="00BD6C5F" w:rsidRDefault="009B03E9" w:rsidP="00183F6E">
            <w:pPr>
              <w:pStyle w:val="Tableai"/>
            </w:pPr>
            <w:r w:rsidRPr="00BD6C5F">
              <w:t>have been selected for redundancy by the Supplier on objective grounds other than the fact that the Supplier is entitled to reimbursement under this</w:t>
            </w:r>
            <w:r w:rsidR="003A31AD" w:rsidRPr="00BD6C5F">
              <w:t xml:space="preserve"> </w:t>
            </w:r>
            <w:r w:rsidRPr="00BD6C5F">
              <w:t>provision in respect of such employees;</w:t>
            </w:r>
          </w:p>
        </w:tc>
      </w:tr>
      <w:tr w:rsidR="00BC7DDA" w:rsidRPr="00BD6C5F" w14:paraId="7CAD9E70" w14:textId="77777777" w:rsidTr="00771E5A">
        <w:tc>
          <w:tcPr>
            <w:tcW w:w="3572" w:type="dxa"/>
          </w:tcPr>
          <w:p w14:paraId="38123907" w14:textId="470C1F9A"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Breakage Costs Payment</w:t>
            </w:r>
            <w:r w:rsidRPr="00BD6C5F">
              <w:rPr>
                <w:rFonts w:asciiTheme="minorHAnsi" w:hAnsiTheme="minorHAnsi" w:cstheme="minorHAnsi"/>
                <w:b/>
              </w:rPr>
              <w:t>”</w:t>
            </w:r>
          </w:p>
        </w:tc>
        <w:tc>
          <w:tcPr>
            <w:tcW w:w="5953" w:type="dxa"/>
          </w:tcPr>
          <w:p w14:paraId="2E2280A2" w14:textId="0947E929"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an amount equal to the Redundancy Costs and the Contract Breakage Costs as at the Termination Date as determined in accordance with Paragraph </w:t>
            </w:r>
            <w:r w:rsidR="00812321" w:rsidRPr="00BD6C5F">
              <w:rPr>
                <w:rFonts w:asciiTheme="minorHAnsi" w:hAnsiTheme="minorHAnsi" w:cstheme="minorHAnsi"/>
              </w:rPr>
              <w:fldChar w:fldCharType="begin"/>
            </w:r>
            <w:r w:rsidR="00812321" w:rsidRPr="00BD6C5F">
              <w:rPr>
                <w:rFonts w:asciiTheme="minorHAnsi" w:hAnsiTheme="minorHAnsi" w:cstheme="minorHAnsi"/>
              </w:rPr>
              <w:instrText xml:space="preserve"> REF _Ref98413135 \n \h </w:instrText>
            </w:r>
            <w:r w:rsidR="00AD7DD0" w:rsidRPr="00BD6C5F">
              <w:rPr>
                <w:rFonts w:asciiTheme="minorHAnsi" w:hAnsiTheme="minorHAnsi" w:cstheme="minorHAnsi"/>
              </w:rPr>
              <w:instrText xml:space="preserve"> \* MERGEFORMAT </w:instrText>
            </w:r>
            <w:r w:rsidR="00812321" w:rsidRPr="00BD6C5F">
              <w:rPr>
                <w:rFonts w:asciiTheme="minorHAnsi" w:hAnsiTheme="minorHAnsi" w:cstheme="minorHAnsi"/>
              </w:rPr>
            </w:r>
            <w:r w:rsidR="00812321" w:rsidRPr="00BD6C5F">
              <w:rPr>
                <w:rFonts w:asciiTheme="minorHAnsi" w:hAnsiTheme="minorHAnsi" w:cstheme="minorHAnsi"/>
              </w:rPr>
              <w:fldChar w:fldCharType="separate"/>
            </w:r>
            <w:r w:rsidR="009749A0">
              <w:rPr>
                <w:rFonts w:asciiTheme="minorHAnsi" w:hAnsiTheme="minorHAnsi" w:cstheme="minorHAnsi"/>
              </w:rPr>
              <w:t>3</w:t>
            </w:r>
            <w:r w:rsidR="0081232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460D40F9" w14:textId="77777777" w:rsidTr="00771E5A">
        <w:tc>
          <w:tcPr>
            <w:tcW w:w="3572" w:type="dxa"/>
          </w:tcPr>
          <w:p w14:paraId="2BA43BDB" w14:textId="54E1A283"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Compensation Payment</w:t>
            </w:r>
            <w:r w:rsidRPr="00BD6C5F">
              <w:rPr>
                <w:rFonts w:asciiTheme="minorHAnsi" w:hAnsiTheme="minorHAnsi" w:cstheme="minorHAnsi"/>
                <w:b/>
              </w:rPr>
              <w:t>”</w:t>
            </w:r>
          </w:p>
        </w:tc>
        <w:tc>
          <w:tcPr>
            <w:tcW w:w="5953" w:type="dxa"/>
          </w:tcPr>
          <w:p w14:paraId="33B490FB" w14:textId="753C2EA5"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the payment calculated in accordance with Paragraph</w:t>
            </w:r>
            <w:r w:rsidR="003A31AD" w:rsidRPr="00BD6C5F">
              <w:rPr>
                <w:rFonts w:asciiTheme="minorHAnsi" w:hAnsiTheme="minorHAnsi" w:cstheme="minorHAnsi"/>
              </w:rPr>
              <w:t> </w:t>
            </w:r>
            <w:r w:rsidR="00812321" w:rsidRPr="00BD6C5F">
              <w:rPr>
                <w:rFonts w:asciiTheme="minorHAnsi" w:hAnsiTheme="minorHAnsi" w:cstheme="minorHAnsi"/>
              </w:rPr>
              <w:fldChar w:fldCharType="begin"/>
            </w:r>
            <w:r w:rsidR="00812321" w:rsidRPr="00BD6C5F">
              <w:rPr>
                <w:rFonts w:asciiTheme="minorHAnsi" w:hAnsiTheme="minorHAnsi" w:cstheme="minorHAnsi"/>
              </w:rPr>
              <w:instrText xml:space="preserve"> REF _Ref98413144 \n \h </w:instrText>
            </w:r>
            <w:r w:rsidR="00AD7DD0" w:rsidRPr="00BD6C5F">
              <w:rPr>
                <w:rFonts w:asciiTheme="minorHAnsi" w:hAnsiTheme="minorHAnsi" w:cstheme="minorHAnsi"/>
              </w:rPr>
              <w:instrText xml:space="preserve"> \* MERGEFORMAT </w:instrText>
            </w:r>
            <w:r w:rsidR="00812321" w:rsidRPr="00BD6C5F">
              <w:rPr>
                <w:rFonts w:asciiTheme="minorHAnsi" w:hAnsiTheme="minorHAnsi" w:cstheme="minorHAnsi"/>
              </w:rPr>
            </w:r>
            <w:r w:rsidR="00812321" w:rsidRPr="00BD6C5F">
              <w:rPr>
                <w:rFonts w:asciiTheme="minorHAnsi" w:hAnsiTheme="minorHAnsi" w:cstheme="minorHAnsi"/>
              </w:rPr>
              <w:fldChar w:fldCharType="separate"/>
            </w:r>
            <w:r w:rsidR="009749A0">
              <w:rPr>
                <w:rFonts w:asciiTheme="minorHAnsi" w:hAnsiTheme="minorHAnsi" w:cstheme="minorHAnsi"/>
              </w:rPr>
              <w:t>6</w:t>
            </w:r>
            <w:r w:rsidR="0081232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06DE04E7" w14:textId="77777777" w:rsidTr="00771E5A">
        <w:tc>
          <w:tcPr>
            <w:tcW w:w="3572" w:type="dxa"/>
          </w:tcPr>
          <w:p w14:paraId="05827923" w14:textId="188C2856"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Contract Breakage Costs</w:t>
            </w:r>
            <w:r w:rsidRPr="00BD6C5F">
              <w:rPr>
                <w:rFonts w:asciiTheme="minorHAnsi" w:hAnsiTheme="minorHAnsi" w:cstheme="minorHAnsi"/>
                <w:b/>
              </w:rPr>
              <w:t>”</w:t>
            </w:r>
          </w:p>
        </w:tc>
        <w:tc>
          <w:tcPr>
            <w:tcW w:w="5953" w:type="dxa"/>
          </w:tcPr>
          <w:p w14:paraId="796DDDAC" w14:textId="3A86C8E4"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the </w:t>
            </w:r>
            <w:r w:rsidRPr="00BD6C5F">
              <w:t>amounts</w:t>
            </w:r>
            <w:r w:rsidRPr="00BD6C5F">
              <w:rPr>
                <w:rFonts w:asciiTheme="minorHAnsi" w:hAnsiTheme="minorHAnsi" w:cstheme="minorHAnsi"/>
              </w:rPr>
              <w:t xml:space="preserve"> payable by the Supplier to its Key Sub-contractors or other third parties (as applicable) for terminating all relevant Key Sub-contracts or Third Party Contracts as a direct result of the early termination of this </w:t>
            </w:r>
            <w:r w:rsidR="00884B2C" w:rsidRPr="00BD6C5F">
              <w:rPr>
                <w:rFonts w:asciiTheme="minorHAnsi" w:hAnsiTheme="minorHAnsi" w:cstheme="minorHAnsi"/>
              </w:rPr>
              <w:t>Contract</w:t>
            </w:r>
            <w:r w:rsidRPr="00BD6C5F">
              <w:rPr>
                <w:rFonts w:asciiTheme="minorHAnsi" w:hAnsiTheme="minorHAnsi" w:cstheme="minorHAnsi"/>
              </w:rPr>
              <w:t>;</w:t>
            </w:r>
          </w:p>
        </w:tc>
      </w:tr>
      <w:tr w:rsidR="00BC7DDA" w:rsidRPr="00BD6C5F" w14:paraId="362E56BB" w14:textId="77777777" w:rsidTr="00771E5A">
        <w:tc>
          <w:tcPr>
            <w:tcW w:w="3572" w:type="dxa"/>
          </w:tcPr>
          <w:p w14:paraId="0E6EB74F" w14:textId="61781879"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Dedicated Supplier Personnel</w:t>
            </w:r>
            <w:r w:rsidRPr="00BD6C5F">
              <w:rPr>
                <w:rFonts w:asciiTheme="minorHAnsi" w:hAnsiTheme="minorHAnsi" w:cstheme="minorHAnsi"/>
                <w:b/>
              </w:rPr>
              <w:t>”</w:t>
            </w:r>
          </w:p>
        </w:tc>
        <w:tc>
          <w:tcPr>
            <w:tcW w:w="5953" w:type="dxa"/>
          </w:tcPr>
          <w:p w14:paraId="487B1DAD" w14:textId="77777777"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all Supplier Personnel then assigned to the Services or any part of the Services. If the Supplier is unsure as to whether Supplier Personnel are or should be regarded as so assigned, it shall consult with the Authority whose view shall be determinative provided that the employee has been materially involved in the provision of the Services or any part of the Services;</w:t>
            </w:r>
          </w:p>
        </w:tc>
      </w:tr>
      <w:tr w:rsidR="00BC7DDA" w:rsidRPr="00BD6C5F" w14:paraId="376BBD19" w14:textId="77777777" w:rsidTr="00771E5A">
        <w:tc>
          <w:tcPr>
            <w:tcW w:w="3572" w:type="dxa"/>
          </w:tcPr>
          <w:p w14:paraId="2AC21874" w14:textId="71B1A386"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Profit Already Paid</w:t>
            </w:r>
            <w:r w:rsidRPr="00BD6C5F">
              <w:rPr>
                <w:rFonts w:asciiTheme="minorHAnsi" w:hAnsiTheme="minorHAnsi" w:cstheme="minorHAnsi"/>
                <w:b/>
              </w:rPr>
              <w:t>”</w:t>
            </w:r>
          </w:p>
        </w:tc>
        <w:tc>
          <w:tcPr>
            <w:tcW w:w="5953" w:type="dxa"/>
          </w:tcPr>
          <w:p w14:paraId="7330EFC8" w14:textId="541ABC9A"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the Supplier Profit paid or payable to the Supplier under this </w:t>
            </w:r>
            <w:r w:rsidR="00884B2C" w:rsidRPr="00BD6C5F">
              <w:rPr>
                <w:rFonts w:asciiTheme="minorHAnsi" w:hAnsiTheme="minorHAnsi" w:cstheme="minorHAnsi"/>
              </w:rPr>
              <w:t xml:space="preserve">Contract </w:t>
            </w:r>
            <w:r w:rsidRPr="00BD6C5F">
              <w:rPr>
                <w:rFonts w:asciiTheme="minorHAnsi" w:hAnsiTheme="minorHAnsi" w:cstheme="minorHAnsi"/>
              </w:rPr>
              <w:t>for the period from the Effective Date up to (and including) the Termination Date;</w:t>
            </w:r>
          </w:p>
        </w:tc>
      </w:tr>
      <w:tr w:rsidR="00BC7DDA" w:rsidRPr="00BD6C5F" w14:paraId="2C63C202" w14:textId="77777777" w:rsidTr="00771E5A">
        <w:tc>
          <w:tcPr>
            <w:tcW w:w="3572" w:type="dxa"/>
          </w:tcPr>
          <w:p w14:paraId="3B424239" w14:textId="4D0DF4E3"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Redundancy Costs</w:t>
            </w:r>
            <w:r w:rsidRPr="00BD6C5F">
              <w:rPr>
                <w:rFonts w:asciiTheme="minorHAnsi" w:hAnsiTheme="minorHAnsi" w:cstheme="minorHAnsi"/>
                <w:b/>
              </w:rPr>
              <w:t>”</w:t>
            </w:r>
          </w:p>
        </w:tc>
        <w:tc>
          <w:tcPr>
            <w:tcW w:w="5953" w:type="dxa"/>
          </w:tcPr>
          <w:p w14:paraId="77F34BE3" w14:textId="77777777"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the total sum of any of the following sums paid to Applicable Supplier Personnel, each amount apportioned between the Supplier and the Authority based on the time spent by such employee on the Services as a proportion of the total Service duration:</w:t>
            </w:r>
          </w:p>
          <w:p w14:paraId="4BB332BC" w14:textId="77777777" w:rsidR="00BC7DDA" w:rsidRPr="00BD6C5F" w:rsidRDefault="009B03E9" w:rsidP="00B71FC0">
            <w:pPr>
              <w:pStyle w:val="Tablea"/>
              <w:numPr>
                <w:ilvl w:val="0"/>
                <w:numId w:val="65"/>
              </w:numPr>
            </w:pPr>
            <w:r w:rsidRPr="00BD6C5F">
              <w:t>any statutory redundancy payment; and</w:t>
            </w:r>
          </w:p>
          <w:p w14:paraId="17F851B8" w14:textId="0BF2EB0C" w:rsidR="00BC7DDA" w:rsidRPr="00BD6C5F" w:rsidRDefault="009B03E9" w:rsidP="00B71FC0">
            <w:pPr>
              <w:pStyle w:val="Tablea"/>
              <w:numPr>
                <w:ilvl w:val="0"/>
                <w:numId w:val="64"/>
              </w:numPr>
            </w:pPr>
            <w:r w:rsidRPr="00BD6C5F">
              <w:t>in respect of an employee who was a Transferring Former Supplier Employee or a Transferring Authority Employee, any contractual redundancy payment (or where such a contractual benefit on redundancy is a benefit payable from a pension scheme, the increase in cost to the Supplier as a net present value compared to the benefit payable on termination of employment without redundancy), provided that such</w:t>
            </w:r>
            <w:r w:rsidR="001F06F8" w:rsidRPr="00BD6C5F">
              <w:t xml:space="preserve"> </w:t>
            </w:r>
            <w:r w:rsidRPr="00BD6C5F">
              <w:t>employee was entitled to such contractual redundancy payment immediately prior to</w:t>
            </w:r>
            <w:r w:rsidR="001F06F8" w:rsidRPr="00BD6C5F">
              <w:t xml:space="preserve"> his or her transfer to the Supplier under the Employment Regulations;</w:t>
            </w:r>
          </w:p>
        </w:tc>
      </w:tr>
      <w:tr w:rsidR="00BC7DDA" w:rsidRPr="00BD6C5F" w14:paraId="05749611" w14:textId="77777777" w:rsidTr="00771E5A">
        <w:tc>
          <w:tcPr>
            <w:tcW w:w="3572" w:type="dxa"/>
          </w:tcPr>
          <w:p w14:paraId="4F606995" w14:textId="2A4CF3DD"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Request for Estimate</w:t>
            </w:r>
            <w:r w:rsidRPr="00BD6C5F">
              <w:rPr>
                <w:rFonts w:asciiTheme="minorHAnsi" w:hAnsiTheme="minorHAnsi" w:cstheme="minorHAnsi"/>
                <w:b/>
              </w:rPr>
              <w:t>”</w:t>
            </w:r>
          </w:p>
        </w:tc>
        <w:tc>
          <w:tcPr>
            <w:tcW w:w="5953" w:type="dxa"/>
          </w:tcPr>
          <w:p w14:paraId="40BF4987" w14:textId="2F1B6367"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a written request sent by the Authority to the Supplier, requiring that the Supplier provide it with an accurate estimate of the Termination Payment and Compensation Payment that would be payable if the </w:t>
            </w:r>
            <w:r w:rsidRPr="00BD6C5F">
              <w:rPr>
                <w:rFonts w:asciiTheme="minorHAnsi" w:hAnsiTheme="minorHAnsi" w:cstheme="minorHAnsi"/>
              </w:rPr>
              <w:lastRenderedPageBreak/>
              <w:t xml:space="preserve">Authority exercised its right under </w:t>
            </w:r>
            <w:r w:rsidR="005E736B" w:rsidRPr="00BD6C5F">
              <w:rPr>
                <w:rFonts w:asciiTheme="minorHAnsi" w:hAnsiTheme="minorHAnsi" w:cstheme="minorHAnsi"/>
              </w:rPr>
              <w:t>Clause </w:t>
            </w:r>
            <w:r w:rsidR="004479D5" w:rsidRPr="00BD6C5F">
              <w:rPr>
                <w:rFonts w:asciiTheme="minorHAnsi" w:hAnsiTheme="minorHAnsi" w:cstheme="minorHAnsi"/>
              </w:rPr>
              <w:t>3</w:t>
            </w:r>
            <w:r w:rsidR="006509FE">
              <w:rPr>
                <w:rFonts w:asciiTheme="minorHAnsi" w:hAnsiTheme="minorHAnsi" w:cstheme="minorHAnsi"/>
              </w:rPr>
              <w:t>1</w:t>
            </w:r>
            <w:r w:rsidRPr="00BD6C5F">
              <w:rPr>
                <w:rFonts w:asciiTheme="minorHAnsi" w:hAnsiTheme="minorHAnsi" w:cstheme="minorHAnsi"/>
              </w:rPr>
              <w:t>.1</w:t>
            </w:r>
            <w:r w:rsidR="006509FE">
              <w:rPr>
                <w:rFonts w:asciiTheme="minorHAnsi" w:hAnsiTheme="minorHAnsi" w:cstheme="minorHAnsi"/>
              </w:rPr>
              <w:t>.1</w:t>
            </w:r>
            <w:r w:rsidRPr="00BD6C5F">
              <w:rPr>
                <w:rFonts w:asciiTheme="minorHAnsi" w:hAnsiTheme="minorHAnsi" w:cstheme="minorHAnsi"/>
              </w:rPr>
              <w:t xml:space="preserve"> (</w:t>
            </w:r>
            <w:r w:rsidRPr="00BD6C5F">
              <w:rPr>
                <w:rFonts w:asciiTheme="minorHAnsi" w:hAnsiTheme="minorHAnsi" w:cstheme="minorHAnsi"/>
                <w:i/>
              </w:rPr>
              <w:t>Termination by the Authority</w:t>
            </w:r>
            <w:r w:rsidRPr="00BD6C5F">
              <w:rPr>
                <w:rFonts w:asciiTheme="minorHAnsi" w:hAnsiTheme="minorHAnsi" w:cstheme="minorHAnsi"/>
              </w:rPr>
              <w:t xml:space="preserve">) to terminate this </w:t>
            </w:r>
            <w:r w:rsidR="00884B2C" w:rsidRPr="00BD6C5F">
              <w:rPr>
                <w:rFonts w:asciiTheme="minorHAnsi" w:hAnsiTheme="minorHAnsi" w:cstheme="minorHAnsi"/>
              </w:rPr>
              <w:t xml:space="preserve">Contract </w:t>
            </w:r>
            <w:r w:rsidRPr="00BD6C5F">
              <w:rPr>
                <w:rFonts w:asciiTheme="minorHAnsi" w:hAnsiTheme="minorHAnsi" w:cstheme="minorHAnsi"/>
              </w:rPr>
              <w:t>for convenience on a specified Termination Date;</w:t>
            </w:r>
          </w:p>
        </w:tc>
      </w:tr>
      <w:tr w:rsidR="00BC7DDA" w:rsidRPr="00BD6C5F" w14:paraId="4EBED2AC" w14:textId="77777777" w:rsidTr="00771E5A">
        <w:tc>
          <w:tcPr>
            <w:tcW w:w="3572" w:type="dxa"/>
          </w:tcPr>
          <w:p w14:paraId="64ADAB5E" w14:textId="6537C41C"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Shortfall Period</w:t>
            </w:r>
            <w:r w:rsidRPr="00BD6C5F">
              <w:rPr>
                <w:rFonts w:asciiTheme="minorHAnsi" w:hAnsiTheme="minorHAnsi" w:cstheme="minorHAnsi"/>
                <w:b/>
              </w:rPr>
              <w:t>”</w:t>
            </w:r>
          </w:p>
        </w:tc>
        <w:tc>
          <w:tcPr>
            <w:tcW w:w="5953" w:type="dxa"/>
          </w:tcPr>
          <w:p w14:paraId="759420E4" w14:textId="6F3F73AB"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812321" w:rsidRPr="00BD6C5F">
              <w:rPr>
                <w:rFonts w:asciiTheme="minorHAnsi" w:hAnsiTheme="minorHAnsi" w:cstheme="minorHAnsi"/>
              </w:rPr>
              <w:fldChar w:fldCharType="begin"/>
            </w:r>
            <w:r w:rsidR="00812321" w:rsidRPr="00BD6C5F">
              <w:rPr>
                <w:rFonts w:asciiTheme="minorHAnsi" w:hAnsiTheme="minorHAnsi" w:cstheme="minorHAnsi"/>
              </w:rPr>
              <w:instrText xml:space="preserve"> REF _Ref98413155 \n \h </w:instrText>
            </w:r>
            <w:r w:rsidR="00AD7DD0" w:rsidRPr="00BD6C5F">
              <w:rPr>
                <w:rFonts w:asciiTheme="minorHAnsi" w:hAnsiTheme="minorHAnsi" w:cstheme="minorHAnsi"/>
              </w:rPr>
              <w:instrText xml:space="preserve"> \* MERGEFORMAT </w:instrText>
            </w:r>
            <w:r w:rsidR="00812321" w:rsidRPr="00BD6C5F">
              <w:rPr>
                <w:rFonts w:asciiTheme="minorHAnsi" w:hAnsiTheme="minorHAnsi" w:cstheme="minorHAnsi"/>
              </w:rPr>
            </w:r>
            <w:r w:rsidR="00812321" w:rsidRPr="00BD6C5F">
              <w:rPr>
                <w:rFonts w:asciiTheme="minorHAnsi" w:hAnsiTheme="minorHAnsi" w:cstheme="minorHAnsi"/>
              </w:rPr>
              <w:fldChar w:fldCharType="separate"/>
            </w:r>
            <w:r w:rsidR="009749A0">
              <w:rPr>
                <w:rFonts w:asciiTheme="minorHAnsi" w:hAnsiTheme="minorHAnsi" w:cstheme="minorHAnsi"/>
              </w:rPr>
              <w:t>6.2</w:t>
            </w:r>
            <w:r w:rsidR="0081232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4CBD154" w14:textId="77777777" w:rsidTr="00771E5A">
        <w:tc>
          <w:tcPr>
            <w:tcW w:w="3572" w:type="dxa"/>
          </w:tcPr>
          <w:p w14:paraId="09A4F677" w14:textId="27E0A1EB"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Termination Estimate</w:t>
            </w:r>
            <w:r w:rsidRPr="00BD6C5F">
              <w:rPr>
                <w:rFonts w:asciiTheme="minorHAnsi" w:hAnsiTheme="minorHAnsi" w:cstheme="minorHAnsi"/>
                <w:b/>
              </w:rPr>
              <w:t>”</w:t>
            </w:r>
          </w:p>
        </w:tc>
        <w:tc>
          <w:tcPr>
            <w:tcW w:w="5953" w:type="dxa"/>
          </w:tcPr>
          <w:p w14:paraId="188FEEE0" w14:textId="2E411371"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has the meaning given in Paragraph </w:t>
            </w:r>
            <w:r w:rsidR="00812321" w:rsidRPr="00BD6C5F">
              <w:rPr>
                <w:rFonts w:asciiTheme="minorHAnsi" w:hAnsiTheme="minorHAnsi" w:cstheme="minorHAnsi"/>
              </w:rPr>
              <w:fldChar w:fldCharType="begin"/>
            </w:r>
            <w:r w:rsidR="00812321" w:rsidRPr="00BD6C5F">
              <w:rPr>
                <w:rFonts w:asciiTheme="minorHAnsi" w:hAnsiTheme="minorHAnsi" w:cstheme="minorHAnsi"/>
              </w:rPr>
              <w:instrText xml:space="preserve"> REF _Ref98413171 \n \h </w:instrText>
            </w:r>
            <w:r w:rsidR="00AD7DD0" w:rsidRPr="00BD6C5F">
              <w:rPr>
                <w:rFonts w:asciiTheme="minorHAnsi" w:hAnsiTheme="minorHAnsi" w:cstheme="minorHAnsi"/>
              </w:rPr>
              <w:instrText xml:space="preserve"> \* MERGEFORMAT </w:instrText>
            </w:r>
            <w:r w:rsidR="00812321" w:rsidRPr="00BD6C5F">
              <w:rPr>
                <w:rFonts w:asciiTheme="minorHAnsi" w:hAnsiTheme="minorHAnsi" w:cstheme="minorHAnsi"/>
              </w:rPr>
            </w:r>
            <w:r w:rsidR="00812321" w:rsidRPr="00BD6C5F">
              <w:rPr>
                <w:rFonts w:asciiTheme="minorHAnsi" w:hAnsiTheme="minorHAnsi" w:cstheme="minorHAnsi"/>
              </w:rPr>
              <w:fldChar w:fldCharType="separate"/>
            </w:r>
            <w:r w:rsidR="009749A0">
              <w:rPr>
                <w:rFonts w:asciiTheme="minorHAnsi" w:hAnsiTheme="minorHAnsi" w:cstheme="minorHAnsi"/>
              </w:rPr>
              <w:t>11.2</w:t>
            </w:r>
            <w:r w:rsidR="00812321"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0F3E2EC4" w14:textId="77777777" w:rsidTr="00771E5A">
        <w:tc>
          <w:tcPr>
            <w:tcW w:w="3572" w:type="dxa"/>
          </w:tcPr>
          <w:p w14:paraId="7A2A6811" w14:textId="68729E1E"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Third Party Contract</w:t>
            </w:r>
            <w:r w:rsidRPr="00BD6C5F">
              <w:rPr>
                <w:rFonts w:asciiTheme="minorHAnsi" w:hAnsiTheme="minorHAnsi" w:cstheme="minorHAnsi"/>
                <w:b/>
              </w:rPr>
              <w:t>”</w:t>
            </w:r>
          </w:p>
        </w:tc>
        <w:tc>
          <w:tcPr>
            <w:tcW w:w="5953" w:type="dxa"/>
          </w:tcPr>
          <w:p w14:paraId="47E74B3D" w14:textId="55CAD64C"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a contract with a third party entered into by the Supplier exclusively for the purpose of delivering the Services, as listed in </w:t>
            </w:r>
            <w:r w:rsidR="00FF2A19" w:rsidRPr="00BD6C5F">
              <w:rPr>
                <w:rFonts w:asciiTheme="minorHAnsi" w:hAnsiTheme="minorHAnsi" w:cstheme="minorHAnsi"/>
              </w:rPr>
              <w:t>Schedule</w:t>
            </w:r>
            <w:r w:rsidR="00B11037" w:rsidRPr="00BD6C5F">
              <w:rPr>
                <w:rFonts w:asciiTheme="minorHAnsi" w:hAnsiTheme="minorHAnsi" w:cstheme="minorHAnsi"/>
              </w:rPr>
              <w:t> </w:t>
            </w:r>
            <w:r w:rsidR="0019439D">
              <w:rPr>
                <w:rFonts w:asciiTheme="minorHAnsi" w:hAnsiTheme="minorHAnsi" w:cstheme="minorHAnsi"/>
              </w:rPr>
              <w:fldChar w:fldCharType="begin"/>
            </w:r>
            <w:r w:rsidR="0019439D">
              <w:rPr>
                <w:rFonts w:asciiTheme="minorHAnsi" w:hAnsiTheme="minorHAnsi" w:cstheme="minorHAnsi"/>
              </w:rPr>
              <w:instrText xml:space="preserve"> REF Schedule_11 \h </w:instrText>
            </w:r>
            <w:r w:rsidR="0019439D">
              <w:rPr>
                <w:rFonts w:asciiTheme="minorHAnsi" w:hAnsiTheme="minorHAnsi" w:cstheme="minorHAnsi"/>
              </w:rPr>
            </w:r>
            <w:r w:rsidR="0019439D">
              <w:rPr>
                <w:rFonts w:asciiTheme="minorHAnsi" w:hAnsiTheme="minorHAnsi" w:cstheme="minorHAnsi"/>
              </w:rPr>
              <w:fldChar w:fldCharType="separate"/>
            </w:r>
            <w:r w:rsidR="009749A0">
              <w:t>11</w:t>
            </w:r>
            <w:r w:rsidR="0019439D">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Third Party Contracts</w:t>
            </w:r>
            <w:r w:rsidRPr="00BD6C5F">
              <w:rPr>
                <w:rFonts w:asciiTheme="minorHAnsi" w:hAnsiTheme="minorHAnsi" w:cstheme="minorHAnsi"/>
              </w:rPr>
              <w:t>);</w:t>
            </w:r>
          </w:p>
        </w:tc>
      </w:tr>
      <w:tr w:rsidR="00BC7DDA" w:rsidRPr="00BD6C5F" w14:paraId="1668E614" w14:textId="77777777" w:rsidTr="00771E5A">
        <w:tc>
          <w:tcPr>
            <w:tcW w:w="3572" w:type="dxa"/>
          </w:tcPr>
          <w:p w14:paraId="5F94D33E" w14:textId="05941BBF"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Total Costs Incurred</w:t>
            </w:r>
            <w:r w:rsidRPr="00BD6C5F">
              <w:rPr>
                <w:rFonts w:asciiTheme="minorHAnsi" w:hAnsiTheme="minorHAnsi" w:cstheme="minorHAnsi"/>
                <w:b/>
              </w:rPr>
              <w:t>”</w:t>
            </w:r>
          </w:p>
        </w:tc>
        <w:tc>
          <w:tcPr>
            <w:tcW w:w="5953" w:type="dxa"/>
          </w:tcPr>
          <w:p w14:paraId="6B78DAA5" w14:textId="57D9128D"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the Costs incurred by the Supplier up to the Termination Date in the performance of this </w:t>
            </w:r>
            <w:r w:rsidR="00AA675C" w:rsidRPr="00BD6C5F">
              <w:rPr>
                <w:rFonts w:asciiTheme="minorHAnsi" w:hAnsiTheme="minorHAnsi" w:cstheme="minorHAnsi"/>
              </w:rPr>
              <w:t xml:space="preserve">Contract </w:t>
            </w:r>
            <w:r w:rsidRPr="00BD6C5F">
              <w:rPr>
                <w:rFonts w:asciiTheme="minorHAnsi" w:hAnsiTheme="minorHAnsi" w:cstheme="minorHAnsi"/>
              </w:rPr>
              <w:t>and detailed in the Financial Model (but excluding Contract Breakage Costs, Redundancy Costs and any costs the Supplier would not otherwise be able to recover through the Charges) less any Deductions up to (and including) the Termination Date;</w:t>
            </w:r>
          </w:p>
        </w:tc>
      </w:tr>
      <w:tr w:rsidR="00BC7DDA" w:rsidRPr="00BD6C5F" w14:paraId="6E9D33AD" w14:textId="77777777" w:rsidTr="00771E5A">
        <w:tc>
          <w:tcPr>
            <w:tcW w:w="3572" w:type="dxa"/>
          </w:tcPr>
          <w:p w14:paraId="514F43BD" w14:textId="3280324D"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Unrecovered Costs</w:t>
            </w:r>
            <w:r w:rsidRPr="00BD6C5F">
              <w:rPr>
                <w:rFonts w:asciiTheme="minorHAnsi" w:hAnsiTheme="minorHAnsi" w:cstheme="minorHAnsi"/>
                <w:b/>
              </w:rPr>
              <w:t>”</w:t>
            </w:r>
          </w:p>
        </w:tc>
        <w:tc>
          <w:tcPr>
            <w:tcW w:w="5953" w:type="dxa"/>
          </w:tcPr>
          <w:p w14:paraId="68E68585" w14:textId="44BC9D40"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 xml:space="preserve">the Costs incurred by the Supplier in the performance of this </w:t>
            </w:r>
            <w:r w:rsidR="00AA675C" w:rsidRPr="00BD6C5F">
              <w:rPr>
                <w:rFonts w:asciiTheme="minorHAnsi" w:hAnsiTheme="minorHAnsi" w:cstheme="minorHAnsi"/>
              </w:rPr>
              <w:t xml:space="preserve">Contract </w:t>
            </w:r>
            <w:r w:rsidRPr="00BD6C5F">
              <w:rPr>
                <w:rFonts w:asciiTheme="minorHAnsi" w:hAnsiTheme="minorHAnsi" w:cstheme="minorHAnsi"/>
              </w:rPr>
              <w:t xml:space="preserve">(as summarised in the Financial Model) to the extent that the same remain at the Termination Date to be recovered through Charges that but for the termination of this </w:t>
            </w:r>
            <w:r w:rsidR="00AA675C" w:rsidRPr="00BD6C5F">
              <w:rPr>
                <w:rFonts w:asciiTheme="minorHAnsi" w:hAnsiTheme="minorHAnsi" w:cstheme="minorHAnsi"/>
              </w:rPr>
              <w:t xml:space="preserve">Contract </w:t>
            </w:r>
            <w:r w:rsidRPr="00BD6C5F">
              <w:rPr>
                <w:rFonts w:asciiTheme="minorHAnsi" w:hAnsiTheme="minorHAnsi" w:cstheme="minorHAnsi"/>
              </w:rPr>
              <w:t xml:space="preserve">would have been payable by the Authority after the Termination Date in accordance with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Schedule_15 \h </w:instrText>
            </w:r>
            <w:r w:rsidR="00346653">
              <w:rPr>
                <w:rFonts w:asciiTheme="minorHAnsi" w:hAnsiTheme="minorHAnsi" w:cstheme="minorHAnsi"/>
              </w:rPr>
            </w:r>
            <w:r w:rsidR="00346653">
              <w:rPr>
                <w:rFonts w:asciiTheme="minorHAnsi" w:hAnsiTheme="minorHAnsi" w:cstheme="minorHAnsi"/>
              </w:rPr>
              <w:fldChar w:fldCharType="separate"/>
            </w:r>
            <w:r w:rsidR="009749A0">
              <w:t>15</w:t>
            </w:r>
            <w:r w:rsidR="00346653">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Charges and Invoicing</w:t>
            </w:r>
            <w:r w:rsidRPr="00BD6C5F">
              <w:rPr>
                <w:rFonts w:asciiTheme="minorHAnsi" w:hAnsiTheme="minorHAnsi" w:cstheme="minorHAnsi"/>
              </w:rPr>
              <w:t>) as such Costs and Charges are forecast in the Financial Model;</w:t>
            </w:r>
          </w:p>
        </w:tc>
      </w:tr>
      <w:tr w:rsidR="00BC7DDA" w:rsidRPr="00BD6C5F" w14:paraId="01DE23EC" w14:textId="77777777" w:rsidTr="00771E5A">
        <w:tc>
          <w:tcPr>
            <w:tcW w:w="3572" w:type="dxa"/>
          </w:tcPr>
          <w:p w14:paraId="1FD4776D" w14:textId="7E3B289F"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Unrecovered Payment</w:t>
            </w:r>
            <w:r w:rsidRPr="00BD6C5F">
              <w:rPr>
                <w:rFonts w:asciiTheme="minorHAnsi" w:hAnsiTheme="minorHAnsi" w:cstheme="minorHAnsi"/>
                <w:b/>
              </w:rPr>
              <w:t>”</w:t>
            </w:r>
          </w:p>
        </w:tc>
        <w:tc>
          <w:tcPr>
            <w:tcW w:w="5953" w:type="dxa"/>
          </w:tcPr>
          <w:p w14:paraId="34F64293" w14:textId="77777777"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an amount equal to the lower of:</w:t>
            </w:r>
          </w:p>
          <w:p w14:paraId="6664E129" w14:textId="77777777" w:rsidR="00BC7DDA" w:rsidRPr="00BD6C5F" w:rsidRDefault="009B03E9" w:rsidP="00B71FC0">
            <w:pPr>
              <w:pStyle w:val="Tablea"/>
              <w:numPr>
                <w:ilvl w:val="0"/>
                <w:numId w:val="66"/>
              </w:numPr>
            </w:pPr>
            <w:r w:rsidRPr="00BD6C5F">
              <w:t>the sum of the Unrecovered Costs and the Unrecovered Profit; and</w:t>
            </w:r>
          </w:p>
          <w:p w14:paraId="471EC0FA" w14:textId="24987807" w:rsidR="00BC7DDA" w:rsidRPr="00BD6C5F" w:rsidRDefault="009B03E9" w:rsidP="00B71FC0">
            <w:pPr>
              <w:pStyle w:val="Tablea"/>
              <w:numPr>
                <w:ilvl w:val="0"/>
                <w:numId w:val="65"/>
              </w:numPr>
            </w:pPr>
            <w:r w:rsidRPr="00BD6C5F">
              <w:t xml:space="preserve">the amount specified in Paragraph </w:t>
            </w:r>
            <w:r w:rsidR="00812321" w:rsidRPr="00BD6C5F">
              <w:fldChar w:fldCharType="begin"/>
            </w:r>
            <w:r w:rsidR="00812321" w:rsidRPr="00BD6C5F">
              <w:instrText xml:space="preserve"> REF _Ref98413184 \n \h </w:instrText>
            </w:r>
            <w:r w:rsidR="00AD7DD0" w:rsidRPr="00BD6C5F">
              <w:instrText xml:space="preserve"> \* MERGEFORMAT </w:instrText>
            </w:r>
            <w:r w:rsidR="00812321" w:rsidRPr="00BD6C5F">
              <w:fldChar w:fldCharType="separate"/>
            </w:r>
            <w:r w:rsidR="009749A0">
              <w:t>4</w:t>
            </w:r>
            <w:r w:rsidR="00812321" w:rsidRPr="00BD6C5F">
              <w:fldChar w:fldCharType="end"/>
            </w:r>
            <w:r w:rsidRPr="00BD6C5F">
              <w:t>; and</w:t>
            </w:r>
          </w:p>
        </w:tc>
      </w:tr>
      <w:tr w:rsidR="00BC7DDA" w:rsidRPr="00BD6C5F" w14:paraId="5525A4D9" w14:textId="77777777" w:rsidTr="00771E5A">
        <w:tc>
          <w:tcPr>
            <w:tcW w:w="3572" w:type="dxa"/>
          </w:tcPr>
          <w:p w14:paraId="2F43B478" w14:textId="67D65443" w:rsidR="00BC7DDA" w:rsidRPr="00BD6C5F" w:rsidRDefault="00A4555C" w:rsidP="003A31A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Unrecovered Profit</w:t>
            </w:r>
            <w:r w:rsidRPr="00BD6C5F">
              <w:rPr>
                <w:rFonts w:asciiTheme="minorHAnsi" w:hAnsiTheme="minorHAnsi" w:cstheme="minorHAnsi"/>
                <w:b/>
              </w:rPr>
              <w:t>”</w:t>
            </w:r>
          </w:p>
        </w:tc>
        <w:tc>
          <w:tcPr>
            <w:tcW w:w="5953" w:type="dxa"/>
          </w:tcPr>
          <w:p w14:paraId="6BDE95CC" w14:textId="0212B458" w:rsidR="00BC7DDA" w:rsidRPr="00BD6C5F" w:rsidRDefault="009B03E9" w:rsidP="003A31AD">
            <w:pPr>
              <w:pStyle w:val="Tabletext"/>
              <w:rPr>
                <w:rFonts w:asciiTheme="minorHAnsi" w:hAnsiTheme="minorHAnsi" w:cstheme="minorHAnsi"/>
              </w:rPr>
            </w:pPr>
            <w:r w:rsidRPr="00BD6C5F">
              <w:rPr>
                <w:rFonts w:asciiTheme="minorHAnsi" w:hAnsiTheme="minorHAnsi" w:cstheme="minorHAnsi"/>
              </w:rPr>
              <w:t>(Total Costs Incurred x Anticipated Contract Life Profit Margin) - Profit Already Paid + Milestone Retentions remaining unpaid at the Termination</w:t>
            </w:r>
            <w:r w:rsidR="00AC5BF1" w:rsidRPr="00BD6C5F">
              <w:rPr>
                <w:rFonts w:asciiTheme="minorHAnsi" w:hAnsiTheme="minorHAnsi" w:cstheme="minorHAnsi"/>
              </w:rPr>
              <w:t xml:space="preserve"> </w:t>
            </w:r>
            <w:r w:rsidRPr="00BD6C5F">
              <w:rPr>
                <w:rFonts w:asciiTheme="minorHAnsi" w:hAnsiTheme="minorHAnsi" w:cstheme="minorHAnsi"/>
              </w:rPr>
              <w:t>Date.</w:t>
            </w:r>
          </w:p>
        </w:tc>
      </w:tr>
    </w:tbl>
    <w:p w14:paraId="3B705188" w14:textId="5F4CC25B" w:rsidR="00BC7DDA" w:rsidRPr="00BD6C5F" w:rsidRDefault="00183F6E" w:rsidP="00C5057A">
      <w:pPr>
        <w:pStyle w:val="Numbered1"/>
      </w:pPr>
      <w:r w:rsidRPr="00BD6C5F">
        <w:t>Termination Payment</w:t>
      </w:r>
    </w:p>
    <w:p w14:paraId="5EF498CF" w14:textId="70B69130" w:rsidR="00BC7DDA" w:rsidRPr="00BD6C5F" w:rsidRDefault="009B03E9" w:rsidP="00C5057A">
      <w:pPr>
        <w:pStyle w:val="Numbered11"/>
      </w:pPr>
      <w:r w:rsidRPr="00BD6C5F">
        <w:t xml:space="preserve">The Termination Payment payable pursuant to </w:t>
      </w:r>
      <w:r w:rsidR="005E736B" w:rsidRPr="00BD6C5F">
        <w:t>Clause </w:t>
      </w:r>
      <w:r w:rsidRPr="00BD6C5F">
        <w:t>3</w:t>
      </w:r>
      <w:r w:rsidR="001F06F8" w:rsidRPr="00BD6C5F">
        <w:t>2</w:t>
      </w:r>
      <w:r w:rsidRPr="00BD6C5F">
        <w:t>.</w:t>
      </w:r>
      <w:r w:rsidR="006509FE">
        <w:t>4.1</w:t>
      </w:r>
      <w:r w:rsidRPr="00BD6C5F">
        <w:t xml:space="preserve"> (</w:t>
      </w:r>
      <w:r w:rsidRPr="00BD6C5F">
        <w:rPr>
          <w:i/>
        </w:rPr>
        <w:t>Payments by the Authority</w:t>
      </w:r>
      <w:r w:rsidRPr="00BD6C5F">
        <w:t>) shall be an amount equal to the aggregate of the Breakage Costs Payment and the Unrecovered Payment.</w:t>
      </w:r>
    </w:p>
    <w:p w14:paraId="68972533" w14:textId="2048D109" w:rsidR="00BC7DDA" w:rsidRPr="00BD6C5F" w:rsidRDefault="00183F6E" w:rsidP="00C5057A">
      <w:pPr>
        <w:pStyle w:val="Numbered1"/>
      </w:pPr>
      <w:bookmarkStart w:id="756" w:name="_bookmark251"/>
      <w:bookmarkStart w:id="757" w:name="_Ref98413135"/>
      <w:bookmarkEnd w:id="756"/>
      <w:r w:rsidRPr="00BD6C5F">
        <w:lastRenderedPageBreak/>
        <w:t>Breakage Costs Payment</w:t>
      </w:r>
      <w:bookmarkEnd w:id="757"/>
    </w:p>
    <w:p w14:paraId="097AF3DE" w14:textId="7E57BE3D" w:rsidR="00BC7DDA" w:rsidRPr="00BD6C5F" w:rsidRDefault="009B03E9" w:rsidP="00C70900">
      <w:pPr>
        <w:pStyle w:val="Numbered11"/>
        <w:keepNext/>
        <w:widowControl/>
      </w:pPr>
      <w:r w:rsidRPr="00BD6C5F">
        <w:t xml:space="preserve">The Supplier may recover through the Breakage Costs Payment only those costs incurred by the Supplier directly as a result of the termination of this </w:t>
      </w:r>
      <w:r w:rsidR="00AA675C" w:rsidRPr="00BD6C5F">
        <w:t xml:space="preserve">Contract </w:t>
      </w:r>
      <w:r w:rsidRPr="00BD6C5F">
        <w:t>which:</w:t>
      </w:r>
    </w:p>
    <w:p w14:paraId="4CEA330F" w14:textId="072A13BD" w:rsidR="00BC7DDA" w:rsidRPr="00BD6C5F" w:rsidRDefault="009B03E9" w:rsidP="00183F6E">
      <w:pPr>
        <w:pStyle w:val="Numbered111"/>
      </w:pPr>
      <w:r w:rsidRPr="00BD6C5F">
        <w:t xml:space="preserve">would not have been incurred had this </w:t>
      </w:r>
      <w:r w:rsidR="00AA675C" w:rsidRPr="00BD6C5F">
        <w:t xml:space="preserve">Contract </w:t>
      </w:r>
      <w:r w:rsidRPr="00BD6C5F">
        <w:t>continued until expiry of the Initial Term, or in the event that the Term has been extended, the expiry of the Extension Period;</w:t>
      </w:r>
    </w:p>
    <w:p w14:paraId="4FB5B51E" w14:textId="77777777" w:rsidR="00BC7DDA" w:rsidRPr="00BD6C5F" w:rsidRDefault="009B03E9" w:rsidP="00183F6E">
      <w:pPr>
        <w:pStyle w:val="Numbered111"/>
      </w:pPr>
      <w:r w:rsidRPr="00BD6C5F">
        <w:t>are unavoidable, proven, reasonable, and not capable of recovery;</w:t>
      </w:r>
    </w:p>
    <w:p w14:paraId="08F2249B" w14:textId="7443EA96" w:rsidR="00BC7DDA" w:rsidRPr="00BD6C5F" w:rsidRDefault="009B03E9" w:rsidP="00183F6E">
      <w:pPr>
        <w:pStyle w:val="Numbered111"/>
      </w:pPr>
      <w:r w:rsidRPr="00BD6C5F">
        <w:t xml:space="preserve">are incurred under arrangements or agreements that are directly associated with this </w:t>
      </w:r>
      <w:r w:rsidR="00AA675C" w:rsidRPr="00BD6C5F">
        <w:t>Contract</w:t>
      </w:r>
      <w:r w:rsidRPr="00BD6C5F">
        <w:t>;</w:t>
      </w:r>
    </w:p>
    <w:p w14:paraId="4C730694" w14:textId="292E19B1" w:rsidR="00BC7DDA" w:rsidRPr="00BD6C5F" w:rsidRDefault="009B03E9" w:rsidP="00183F6E">
      <w:pPr>
        <w:pStyle w:val="Numbered111"/>
      </w:pPr>
      <w:r w:rsidRPr="00BD6C5F">
        <w:t>are not Contract Breakage Costs relating to contracts or Sub-contracts with Affiliates of the Supplier; and</w:t>
      </w:r>
    </w:p>
    <w:p w14:paraId="73D04569" w14:textId="77777777" w:rsidR="00BC7DDA" w:rsidRPr="00BD6C5F" w:rsidRDefault="009B03E9" w:rsidP="00183F6E">
      <w:pPr>
        <w:pStyle w:val="Numbered111"/>
      </w:pPr>
      <w:r w:rsidRPr="00BD6C5F">
        <w:t>relate directly to the termination of the Services.</w:t>
      </w:r>
    </w:p>
    <w:p w14:paraId="1803D1B2" w14:textId="77777777" w:rsidR="00BC7DDA" w:rsidRPr="00BD6C5F" w:rsidRDefault="009B03E9" w:rsidP="005D0C39">
      <w:pPr>
        <w:keepNext/>
        <w:keepLines/>
        <w:widowControl/>
        <w:spacing w:before="100" w:after="200"/>
        <w:rPr>
          <w:b/>
          <w:bCs/>
        </w:rPr>
      </w:pPr>
      <w:r w:rsidRPr="00BD6C5F">
        <w:rPr>
          <w:b/>
          <w:bCs/>
        </w:rPr>
        <w:t>Limitation on Breakage Costs Payment</w:t>
      </w:r>
    </w:p>
    <w:p w14:paraId="65905993" w14:textId="77777777" w:rsidR="00BC7DDA" w:rsidRPr="00BD6C5F" w:rsidRDefault="009B03E9" w:rsidP="00C70900">
      <w:pPr>
        <w:pStyle w:val="Numbered11"/>
        <w:keepNext/>
      </w:pPr>
      <w:r w:rsidRPr="00BD6C5F">
        <w:t>The Breakage Costs Payment shall not exceed the lower of:</w:t>
      </w:r>
    </w:p>
    <w:p w14:paraId="6DC95A48" w14:textId="44798298" w:rsidR="00BC7DDA" w:rsidRPr="00BD6C5F" w:rsidRDefault="009B03E9" w:rsidP="00183F6E">
      <w:pPr>
        <w:pStyle w:val="Numbered111"/>
      </w:pPr>
      <w:r w:rsidRPr="00BD6C5F">
        <w:t xml:space="preserve">the relevant limit set out in </w:t>
      </w:r>
      <w:r w:rsidR="00DF7441">
        <w:t>Annex </w:t>
      </w:r>
      <w:r w:rsidR="00DF7441">
        <w:fldChar w:fldCharType="begin"/>
      </w:r>
      <w:r w:rsidR="00DF7441">
        <w:instrText xml:space="preserve"> REF Schedule_16_Annex_1 \h </w:instrText>
      </w:r>
      <w:r w:rsidR="00DF7441">
        <w:fldChar w:fldCharType="separate"/>
      </w:r>
      <w:r w:rsidR="009749A0" w:rsidRPr="00BD6C5F">
        <w:t>1</w:t>
      </w:r>
      <w:r w:rsidR="00DF7441">
        <w:fldChar w:fldCharType="end"/>
      </w:r>
      <w:r w:rsidRPr="00BD6C5F">
        <w:t>; and</w:t>
      </w:r>
    </w:p>
    <w:p w14:paraId="60995BFD" w14:textId="77777777" w:rsidR="00BC7DDA" w:rsidRPr="00BD6C5F" w:rsidRDefault="009B03E9" w:rsidP="00183F6E">
      <w:pPr>
        <w:pStyle w:val="Numbered111"/>
      </w:pPr>
      <w:r w:rsidRPr="00BD6C5F">
        <w:t>120% of the estimate for the Breakage Costs Payment set out in any relevant Termination Estimate.</w:t>
      </w:r>
    </w:p>
    <w:p w14:paraId="766ADF09" w14:textId="77777777" w:rsidR="00BC7DDA" w:rsidRPr="00BD6C5F" w:rsidRDefault="009B03E9" w:rsidP="005D0C39">
      <w:pPr>
        <w:keepNext/>
        <w:keepLines/>
        <w:widowControl/>
        <w:spacing w:before="100" w:after="200"/>
        <w:rPr>
          <w:b/>
          <w:bCs/>
        </w:rPr>
      </w:pPr>
      <w:r w:rsidRPr="00BD6C5F">
        <w:rPr>
          <w:b/>
          <w:bCs/>
        </w:rPr>
        <w:t>Redundancy Costs</w:t>
      </w:r>
    </w:p>
    <w:p w14:paraId="7CFB4C36" w14:textId="77777777" w:rsidR="00BC7DDA" w:rsidRPr="00BD6C5F" w:rsidRDefault="009B03E9" w:rsidP="00C5057A">
      <w:pPr>
        <w:pStyle w:val="Numbered11"/>
      </w:pPr>
      <w:r w:rsidRPr="00BD6C5F">
        <w:t>The Authority shall not be liable under this Schedule for any costs associated with Supplier Personnel (whether relating to redundancy, redeployment or otherwise) other than the Redundancy Costs.</w:t>
      </w:r>
    </w:p>
    <w:p w14:paraId="4FA79BD8" w14:textId="6C8B6DC8" w:rsidR="00BC7DDA" w:rsidRPr="00BD6C5F" w:rsidRDefault="009B03E9" w:rsidP="00C5057A">
      <w:pPr>
        <w:pStyle w:val="Numbered11"/>
      </w:pPr>
      <w:r w:rsidRPr="00BD6C5F">
        <w:t xml:space="preserve">Where the Supplier can demonstrate that a member of Supplier Personnel will be made redundant following termination of this </w:t>
      </w:r>
      <w:r w:rsidR="006A7F15" w:rsidRPr="00BD6C5F">
        <w:t>Contract</w:t>
      </w:r>
      <w:r w:rsidRPr="00BD6C5F">
        <w:t>, but redeployment of such person is possible and would offer value for money to the Authority when compared with redundancy, then the Authority shall pay the Supplier the actual direct costs incurred by the Supplier or its Sub-contractor arising out of the redeployment of such person (including retraining and relocation costs) subject to a maximum amount of £30,000 per relevant member of the Supplier Personnel.</w:t>
      </w:r>
    </w:p>
    <w:p w14:paraId="1BEF499E" w14:textId="125D5602" w:rsidR="00BC7DDA" w:rsidRPr="00BD6C5F" w:rsidRDefault="009B03E9" w:rsidP="005D0C39">
      <w:pPr>
        <w:keepNext/>
        <w:keepLines/>
        <w:widowControl/>
        <w:spacing w:before="100" w:after="200"/>
        <w:rPr>
          <w:b/>
          <w:bCs/>
        </w:rPr>
      </w:pPr>
      <w:r w:rsidRPr="00BD6C5F">
        <w:rPr>
          <w:b/>
          <w:bCs/>
        </w:rPr>
        <w:t>Contract Breakage Costs</w:t>
      </w:r>
    </w:p>
    <w:p w14:paraId="45E7F7DB" w14:textId="77777777" w:rsidR="00BC7DDA" w:rsidRPr="00BD6C5F" w:rsidRDefault="009B03E9" w:rsidP="00C70900">
      <w:pPr>
        <w:pStyle w:val="Numbered11"/>
        <w:keepNext/>
      </w:pPr>
      <w:r w:rsidRPr="00BD6C5F">
        <w:t>The Supplier shall be entitled to Contract Breakage Costs only in respect of Third Party Contracts or Sub-contracts which:</w:t>
      </w:r>
    </w:p>
    <w:p w14:paraId="6F1C7502" w14:textId="7FA3889A" w:rsidR="00BC7DDA" w:rsidRPr="00BD6C5F" w:rsidRDefault="009B03E9" w:rsidP="00183F6E">
      <w:pPr>
        <w:pStyle w:val="Numbered111"/>
      </w:pPr>
      <w:r w:rsidRPr="00BD6C5F">
        <w:t xml:space="preserve">are not </w:t>
      </w:r>
      <w:r w:rsidR="00B677C5">
        <w:t>subject to</w:t>
      </w:r>
      <w:r w:rsidR="00BF7B96">
        <w:t xml:space="preserve"> </w:t>
      </w:r>
      <w:r w:rsidRPr="00BD6C5F">
        <w:t>assign</w:t>
      </w:r>
      <w:r w:rsidR="00BF7B96">
        <w:t xml:space="preserve">ation </w:t>
      </w:r>
      <w:r w:rsidRPr="00BD6C5F">
        <w:t xml:space="preserve"> or novated to a Replacement Supplier at the request of the Authority in accordance with </w:t>
      </w:r>
      <w:r w:rsidR="00BF4352" w:rsidRPr="00BD6C5F">
        <w:rPr>
          <w:rFonts w:asciiTheme="minorHAnsi" w:hAnsiTheme="minorHAnsi" w:cstheme="minorHAnsi"/>
        </w:rPr>
        <w:t>Schedule </w:t>
      </w:r>
      <w:r w:rsidR="00BF4352">
        <w:rPr>
          <w:rFonts w:asciiTheme="minorHAnsi" w:hAnsiTheme="minorHAnsi" w:cstheme="minorHAnsi"/>
        </w:rPr>
        <w:fldChar w:fldCharType="begin"/>
      </w:r>
      <w:r w:rsidR="00BF4352">
        <w:rPr>
          <w:rFonts w:asciiTheme="minorHAnsi" w:hAnsiTheme="minorHAnsi" w:cstheme="minorHAnsi"/>
        </w:rPr>
        <w:instrText xml:space="preserve"> REF Schedule_25 \h </w:instrText>
      </w:r>
      <w:r w:rsidR="00BF4352">
        <w:rPr>
          <w:rFonts w:asciiTheme="minorHAnsi" w:hAnsiTheme="minorHAnsi" w:cstheme="minorHAnsi"/>
        </w:rPr>
      </w:r>
      <w:r w:rsidR="00BF4352">
        <w:rPr>
          <w:rFonts w:asciiTheme="minorHAnsi" w:hAnsiTheme="minorHAnsi" w:cstheme="minorHAnsi"/>
        </w:rPr>
        <w:fldChar w:fldCharType="separate"/>
      </w:r>
      <w:r w:rsidR="009749A0">
        <w:t>25</w:t>
      </w:r>
      <w:r w:rsidR="00BF4352">
        <w:rPr>
          <w:rFonts w:asciiTheme="minorHAnsi" w:hAnsiTheme="minorHAnsi" w:cstheme="minorHAnsi"/>
        </w:rPr>
        <w:fldChar w:fldCharType="end"/>
      </w:r>
      <w:r w:rsidRPr="00BD6C5F">
        <w:t xml:space="preserve"> (</w:t>
      </w:r>
      <w:r w:rsidRPr="00BD6C5F">
        <w:rPr>
          <w:i/>
        </w:rPr>
        <w:t>Exit Management</w:t>
      </w:r>
      <w:r w:rsidRPr="00BD6C5F">
        <w:t>); and</w:t>
      </w:r>
    </w:p>
    <w:p w14:paraId="31C1AF82" w14:textId="77777777" w:rsidR="00BC7DDA" w:rsidRPr="00BD6C5F" w:rsidRDefault="009B03E9" w:rsidP="00C70900">
      <w:pPr>
        <w:pStyle w:val="Numbered111"/>
        <w:keepNext/>
      </w:pPr>
      <w:r w:rsidRPr="00BD6C5F">
        <w:t>the Supplier can demonstrate:</w:t>
      </w:r>
    </w:p>
    <w:p w14:paraId="6E76E9B6" w14:textId="311324BB" w:rsidR="00BC7DDA" w:rsidRPr="00BD6C5F" w:rsidRDefault="009B03E9" w:rsidP="00771E5A">
      <w:pPr>
        <w:pStyle w:val="Numbered111a"/>
      </w:pPr>
      <w:r w:rsidRPr="00BD6C5F">
        <w:t>are surplus to the Supplier</w:t>
      </w:r>
      <w:r w:rsidR="00A4555C" w:rsidRPr="00BD6C5F">
        <w:t>’</w:t>
      </w:r>
      <w:r w:rsidRPr="00BD6C5F">
        <w:t xml:space="preserve">s requirements after the Termination Date, whether in relation to use internally within its business or in providing </w:t>
      </w:r>
      <w:r w:rsidRPr="00BD6C5F">
        <w:lastRenderedPageBreak/>
        <w:t>services to any of its other customers; and</w:t>
      </w:r>
    </w:p>
    <w:p w14:paraId="62F0E300" w14:textId="77777777" w:rsidR="00BC7DDA" w:rsidRPr="00BD6C5F" w:rsidRDefault="009B03E9" w:rsidP="00183F6E">
      <w:pPr>
        <w:pStyle w:val="Numbered111a"/>
        <w:rPr>
          <w:lang w:val="en-GB"/>
        </w:rPr>
      </w:pPr>
      <w:r w:rsidRPr="00BD6C5F">
        <w:rPr>
          <w:lang w:val="en-GB"/>
        </w:rPr>
        <w:t>have been entered into by it in the ordinary course of business.</w:t>
      </w:r>
    </w:p>
    <w:p w14:paraId="4E4168D1" w14:textId="77777777" w:rsidR="00BC7DDA" w:rsidRPr="00BD6C5F" w:rsidRDefault="009B03E9" w:rsidP="00C5057A">
      <w:pPr>
        <w:pStyle w:val="Numbered11"/>
      </w:pPr>
      <w:r w:rsidRPr="00BD6C5F">
        <w:t>The Supplier shall seek to negotiate termination of any Third Party Contracts or Sub-contracts with the relevant third party or Sub-contractor (as the case may be) using all reasonable endeavours to minimise the cancellation or termination charges.</w:t>
      </w:r>
    </w:p>
    <w:p w14:paraId="3E5EF065" w14:textId="77777777" w:rsidR="00BC7DDA" w:rsidRPr="00BD6C5F" w:rsidRDefault="009B03E9" w:rsidP="00C70900">
      <w:pPr>
        <w:pStyle w:val="Numbered11"/>
        <w:keepNext/>
      </w:pPr>
      <w:r w:rsidRPr="00BD6C5F">
        <w:t>Except with the prior written agreement of the Authority, the Authority shall not be liable for any costs (including cancellation or termination charges) that the Supplier is obliged to pay in respect of:</w:t>
      </w:r>
    </w:p>
    <w:p w14:paraId="5B391DB1" w14:textId="3BFF8413" w:rsidR="00BC7DDA" w:rsidRPr="00BD6C5F" w:rsidRDefault="009B03E9" w:rsidP="00183F6E">
      <w:pPr>
        <w:pStyle w:val="Numbered111"/>
      </w:pPr>
      <w:r w:rsidRPr="00BD6C5F">
        <w:t xml:space="preserve">the termination of any contractual arrangements for occupation of, support of and/or services provided for Supplier premises which may arise as a consequence of the termination of this </w:t>
      </w:r>
      <w:r w:rsidR="006A7F15" w:rsidRPr="00BD6C5F">
        <w:t>Contract</w:t>
      </w:r>
      <w:r w:rsidRPr="00BD6C5F">
        <w:t>; and/or</w:t>
      </w:r>
    </w:p>
    <w:p w14:paraId="393508AF" w14:textId="77777777" w:rsidR="00BC7DDA" w:rsidRPr="00BD6C5F" w:rsidRDefault="009B03E9" w:rsidP="00183F6E">
      <w:pPr>
        <w:pStyle w:val="Numbered111"/>
      </w:pPr>
      <w:r w:rsidRPr="00BD6C5F">
        <w:t>Assets not yet installed at the Termination Date.</w:t>
      </w:r>
    </w:p>
    <w:p w14:paraId="429B054E" w14:textId="2812D3AC" w:rsidR="00BC7DDA" w:rsidRPr="00BD6C5F" w:rsidRDefault="00183F6E" w:rsidP="00C5057A">
      <w:pPr>
        <w:pStyle w:val="Numbered1"/>
      </w:pPr>
      <w:bookmarkStart w:id="758" w:name="_bookmark252"/>
      <w:bookmarkStart w:id="759" w:name="_Ref98413184"/>
      <w:bookmarkEnd w:id="758"/>
      <w:r w:rsidRPr="00BD6C5F">
        <w:t>Unrecovered Payment</w:t>
      </w:r>
      <w:bookmarkEnd w:id="759"/>
    </w:p>
    <w:p w14:paraId="5027521C" w14:textId="77777777" w:rsidR="00BC7DDA" w:rsidRPr="00BD6C5F" w:rsidRDefault="009B03E9" w:rsidP="00C70900">
      <w:pPr>
        <w:pStyle w:val="Numbered11"/>
        <w:keepNext/>
      </w:pPr>
      <w:r w:rsidRPr="00BD6C5F">
        <w:t>The Unrecovered Payment shall not exceed the lowest of:</w:t>
      </w:r>
    </w:p>
    <w:p w14:paraId="0F85CEAC" w14:textId="0041AB9A" w:rsidR="00BC7DDA" w:rsidRPr="00BD6C5F" w:rsidRDefault="009B03E9" w:rsidP="00183F6E">
      <w:pPr>
        <w:pStyle w:val="Numbered111"/>
      </w:pPr>
      <w:r w:rsidRPr="00BD6C5F">
        <w:t xml:space="preserve">the relevant limit set out in </w:t>
      </w:r>
      <w:r w:rsidR="00DF7441">
        <w:t>Annex </w:t>
      </w:r>
      <w:r w:rsidR="00DF7441">
        <w:fldChar w:fldCharType="begin"/>
      </w:r>
      <w:r w:rsidR="00DF7441">
        <w:instrText xml:space="preserve"> REF Schedule_16_Annex_1 \h </w:instrText>
      </w:r>
      <w:r w:rsidR="00DF7441">
        <w:fldChar w:fldCharType="separate"/>
      </w:r>
      <w:r w:rsidR="009749A0" w:rsidRPr="00BD6C5F">
        <w:t>1</w:t>
      </w:r>
      <w:r w:rsidR="00DF7441">
        <w:fldChar w:fldCharType="end"/>
      </w:r>
      <w:r w:rsidRPr="00BD6C5F">
        <w:t>;</w:t>
      </w:r>
    </w:p>
    <w:p w14:paraId="1B564F70" w14:textId="77777777" w:rsidR="00BC7DDA" w:rsidRPr="00BD6C5F" w:rsidRDefault="009B03E9" w:rsidP="00183F6E">
      <w:pPr>
        <w:pStyle w:val="Numbered111"/>
      </w:pPr>
      <w:r w:rsidRPr="00BD6C5F">
        <w:t>120% of the estimate for the Unrecovered Payment set out in any relevant Termination Estimate; and</w:t>
      </w:r>
    </w:p>
    <w:p w14:paraId="593242F1" w14:textId="35736A08" w:rsidR="00BC7DDA" w:rsidRPr="00BD6C5F" w:rsidRDefault="009B03E9" w:rsidP="00183F6E">
      <w:pPr>
        <w:pStyle w:val="Numbered111"/>
      </w:pPr>
      <w:r w:rsidRPr="00BD6C5F">
        <w:t xml:space="preserve">the Charges that but for the termination of this </w:t>
      </w:r>
      <w:r w:rsidR="006A7F15" w:rsidRPr="00BD6C5F">
        <w:t xml:space="preserve">Contract </w:t>
      </w:r>
      <w:r w:rsidRPr="00BD6C5F">
        <w:t xml:space="preserve">would have been payable by the Authority after the Termination Date in accordance with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Schedule_15 \h </w:instrText>
      </w:r>
      <w:r w:rsidR="00346653">
        <w:rPr>
          <w:rFonts w:asciiTheme="minorHAnsi" w:hAnsiTheme="minorHAnsi" w:cstheme="minorHAnsi"/>
        </w:rPr>
      </w:r>
      <w:r w:rsidR="00346653">
        <w:rPr>
          <w:rFonts w:asciiTheme="minorHAnsi" w:hAnsiTheme="minorHAnsi" w:cstheme="minorHAnsi"/>
        </w:rPr>
        <w:fldChar w:fldCharType="separate"/>
      </w:r>
      <w:r w:rsidR="009749A0">
        <w:t>15</w:t>
      </w:r>
      <w:r w:rsidR="00346653">
        <w:rPr>
          <w:rFonts w:asciiTheme="minorHAnsi" w:hAnsiTheme="minorHAnsi" w:cstheme="minorHAnsi"/>
        </w:rPr>
        <w:fldChar w:fldCharType="end"/>
      </w:r>
      <w:r w:rsidRPr="00BD6C5F">
        <w:t xml:space="preserve"> (</w:t>
      </w:r>
      <w:r w:rsidRPr="00BD6C5F">
        <w:rPr>
          <w:i/>
        </w:rPr>
        <w:t>Charges and Invoicing</w:t>
      </w:r>
      <w:r w:rsidRPr="00BD6C5F">
        <w:t>) as forecast in the Financial Model.</w:t>
      </w:r>
    </w:p>
    <w:p w14:paraId="783F0DC9" w14:textId="364A0988" w:rsidR="00BC7DDA" w:rsidRPr="00BD6C5F" w:rsidRDefault="00183F6E" w:rsidP="00C5057A">
      <w:pPr>
        <w:pStyle w:val="Numbered1"/>
      </w:pPr>
      <w:bookmarkStart w:id="760" w:name="_bookmark253"/>
      <w:bookmarkEnd w:id="760"/>
      <w:r w:rsidRPr="00BD6C5F">
        <w:t>Mitigation of Contract Breakage Costs, Redundancy Costs and Unrecovered Costs</w:t>
      </w:r>
    </w:p>
    <w:p w14:paraId="2600C9FD" w14:textId="77777777" w:rsidR="00BC7DDA" w:rsidRPr="00BD6C5F" w:rsidRDefault="009B03E9" w:rsidP="00C70900">
      <w:pPr>
        <w:pStyle w:val="Numbered11"/>
        <w:keepNext/>
      </w:pPr>
      <w:r w:rsidRPr="00BD6C5F">
        <w:t>The Supplier agrees to use all reasonable endeavours to minimise and mitigate Contract Breakage Costs, Redundancy Costs and Unrecovered Costs by:</w:t>
      </w:r>
    </w:p>
    <w:p w14:paraId="6367AF45" w14:textId="5382FC5B" w:rsidR="00BC7DDA" w:rsidRPr="00BD6C5F" w:rsidRDefault="009B03E9" w:rsidP="00183F6E">
      <w:pPr>
        <w:pStyle w:val="Numbered111"/>
      </w:pPr>
      <w:r w:rsidRPr="00BD6C5F">
        <w:t>the appropriation of Assets, employees and resources for other purposes;</w:t>
      </w:r>
    </w:p>
    <w:p w14:paraId="1BBBE015" w14:textId="3257CAA6" w:rsidR="00BC7DDA" w:rsidRPr="00BD6C5F" w:rsidRDefault="009B03E9" w:rsidP="00183F6E">
      <w:pPr>
        <w:pStyle w:val="Numbered111"/>
      </w:pPr>
      <w:r w:rsidRPr="00BD6C5F">
        <w:t>at the Authority</w:t>
      </w:r>
      <w:r w:rsidR="00A4555C" w:rsidRPr="00BD6C5F">
        <w:t>’</w:t>
      </w:r>
      <w:r w:rsidRPr="00BD6C5F">
        <w:t xml:space="preserve">s request, </w:t>
      </w:r>
      <w:r w:rsidR="00BF7B96">
        <w:t xml:space="preserve">carry out an </w:t>
      </w:r>
      <w:r w:rsidRPr="00BD6C5F">
        <w:t>assign</w:t>
      </w:r>
      <w:r w:rsidR="00BF7B96">
        <w:t xml:space="preserve">ation  for </w:t>
      </w:r>
      <w:r w:rsidRPr="00BD6C5F">
        <w:t>any Third Party Contracts and Sub-contracts to the Authority or a third party acting on behalf of the Authority; and</w:t>
      </w:r>
    </w:p>
    <w:p w14:paraId="11903C54" w14:textId="6570E72C" w:rsidR="00BC7DDA" w:rsidRPr="00BD6C5F" w:rsidRDefault="009B03E9" w:rsidP="00183F6E">
      <w:pPr>
        <w:pStyle w:val="Numbered111"/>
      </w:pPr>
      <w:r w:rsidRPr="00BD6C5F">
        <w:t xml:space="preserve">in relation </w:t>
      </w:r>
      <w:r w:rsidR="004479D5" w:rsidRPr="00BD6C5F">
        <w:t xml:space="preserve">to </w:t>
      </w:r>
      <w:r w:rsidRPr="00BD6C5F">
        <w:t>Third Party Contracts and Sub-contract</w:t>
      </w:r>
      <w:r w:rsidR="004479D5" w:rsidRPr="00BD6C5F">
        <w:t>s</w:t>
      </w:r>
      <w:r w:rsidRPr="00BD6C5F">
        <w:t xml:space="preserve"> that are not to be </w:t>
      </w:r>
      <w:r w:rsidR="00BF7B96">
        <w:t xml:space="preserve">carried across by </w:t>
      </w:r>
      <w:r w:rsidRPr="00BD6C5F">
        <w:t>assign</w:t>
      </w:r>
      <w:r w:rsidR="00BF7B96">
        <w:t>ation</w:t>
      </w:r>
      <w:r w:rsidRPr="00BD6C5F">
        <w:t xml:space="preserve"> to the Authority or to another third party, terminating those contracts at the earliest possible date without breach or where contractually permitted.</w:t>
      </w:r>
    </w:p>
    <w:p w14:paraId="65672CEB" w14:textId="1E74CD84" w:rsidR="00BC7DDA" w:rsidRPr="00BD6C5F" w:rsidRDefault="009B03E9" w:rsidP="00C5057A">
      <w:pPr>
        <w:pStyle w:val="Numbered11"/>
      </w:pPr>
      <w:r w:rsidRPr="00BD6C5F">
        <w:t xml:space="preserve">If Assets, employees and resources can be used by the Supplier for other purposes, then there shall be an equitable reduction in the Contract Breakage Costs, Redundancy Costs and Unrecovered Costs payable by the Authority or a third party to the Supplier. In the event of any Dispute arising over whether the Supplier can use any Assets, employees and/or resources for other purposes and/or over the amount of the relevant equitable reduction, the Dispute shall be referred to an Expert for determination in accordance with the procedure detailed in </w:t>
      </w:r>
      <w:r w:rsidR="00BF4352" w:rsidRPr="00BD6C5F">
        <w:t>Schedule </w:t>
      </w:r>
      <w:r w:rsidR="00BF4352">
        <w:fldChar w:fldCharType="begin"/>
      </w:r>
      <w:r w:rsidR="00BF4352">
        <w:instrText xml:space="preserve"> REF Schedule_23 \h </w:instrText>
      </w:r>
      <w:r w:rsidR="00BF4352">
        <w:fldChar w:fldCharType="separate"/>
      </w:r>
      <w:r w:rsidR="009749A0">
        <w:t>23</w:t>
      </w:r>
      <w:r w:rsidR="00BF4352">
        <w:fldChar w:fldCharType="end"/>
      </w:r>
      <w:r w:rsidRPr="00BD6C5F">
        <w:t xml:space="preserve"> (</w:t>
      </w:r>
      <w:r w:rsidRPr="00BD6C5F">
        <w:rPr>
          <w:i/>
        </w:rPr>
        <w:t>Dispute Resolution Procedure</w:t>
      </w:r>
      <w:r w:rsidRPr="00BD6C5F">
        <w:t>).</w:t>
      </w:r>
    </w:p>
    <w:p w14:paraId="42331B5F" w14:textId="1D6860BE" w:rsidR="00BC7DDA" w:rsidRPr="00BD6C5F" w:rsidRDefault="00183F6E" w:rsidP="00C5057A">
      <w:pPr>
        <w:pStyle w:val="Numbered1"/>
      </w:pPr>
      <w:bookmarkStart w:id="761" w:name="_bookmark254"/>
      <w:bookmarkStart w:id="762" w:name="_Ref98413144"/>
      <w:bookmarkEnd w:id="761"/>
      <w:r w:rsidRPr="00BD6C5F">
        <w:lastRenderedPageBreak/>
        <w:t>Compensation Payment</w:t>
      </w:r>
      <w:bookmarkEnd w:id="762"/>
    </w:p>
    <w:p w14:paraId="3DADE9D9" w14:textId="7B0AC77E" w:rsidR="00BC7DDA" w:rsidRPr="00BD6C5F" w:rsidRDefault="009B03E9" w:rsidP="00C5057A">
      <w:pPr>
        <w:pStyle w:val="Numbered11"/>
      </w:pPr>
      <w:bookmarkStart w:id="763" w:name="_bookmark255"/>
      <w:bookmarkStart w:id="764" w:name="_Ref98413221"/>
      <w:bookmarkEnd w:id="763"/>
      <w:r w:rsidRPr="00BD6C5F">
        <w:t xml:space="preserve">The Compensation Payment payable pursuant to </w:t>
      </w:r>
      <w:r w:rsidR="005E736B" w:rsidRPr="00BD6C5F">
        <w:t>Clause </w:t>
      </w:r>
      <w:r w:rsidRPr="00BD6C5F">
        <w:t>3</w:t>
      </w:r>
      <w:r w:rsidR="004479D5" w:rsidRPr="00BD6C5F">
        <w:t>1</w:t>
      </w:r>
      <w:r w:rsidRPr="00BD6C5F">
        <w:t>.3</w:t>
      </w:r>
      <w:r w:rsidR="006509FE">
        <w:t>.2</w:t>
      </w:r>
      <w:r w:rsidRPr="00BD6C5F">
        <w:t xml:space="preserve"> (</w:t>
      </w:r>
      <w:r w:rsidRPr="00BD6C5F">
        <w:rPr>
          <w:i/>
        </w:rPr>
        <w:t>Payments by the Authority</w:t>
      </w:r>
      <w:r w:rsidRPr="00BD6C5F">
        <w:t>) shall be an amount equal to the total forecast Charges over the Shortfall Period (as stated in the Financial Model) multiplied by the Anticipated Contract Life Profit Margin.</w:t>
      </w:r>
      <w:bookmarkEnd w:id="764"/>
    </w:p>
    <w:p w14:paraId="53F0F79B" w14:textId="5D0393E9" w:rsidR="00BC7DDA" w:rsidRPr="00BD6C5F" w:rsidRDefault="009B03E9" w:rsidP="00C70900">
      <w:pPr>
        <w:pStyle w:val="Numbered11"/>
        <w:keepNext/>
      </w:pPr>
      <w:bookmarkStart w:id="765" w:name="_bookmark256"/>
      <w:bookmarkStart w:id="766" w:name="_Ref98413155"/>
      <w:bookmarkEnd w:id="765"/>
      <w:r w:rsidRPr="00BD6C5F">
        <w:t xml:space="preserve">For the purposes of Paragraph </w:t>
      </w:r>
      <w:r w:rsidR="00F53A14" w:rsidRPr="00BD6C5F">
        <w:fldChar w:fldCharType="begin"/>
      </w:r>
      <w:r w:rsidR="00F53A14" w:rsidRPr="00BD6C5F">
        <w:instrText xml:space="preserve"> REF _Ref98413221 \n \h </w:instrText>
      </w:r>
      <w:r w:rsidR="00AD7DD0" w:rsidRPr="00BD6C5F">
        <w:instrText xml:space="preserve"> \* MERGEFORMAT </w:instrText>
      </w:r>
      <w:r w:rsidR="00F53A14" w:rsidRPr="00BD6C5F">
        <w:fldChar w:fldCharType="separate"/>
      </w:r>
      <w:r w:rsidR="009749A0">
        <w:t>6.1</w:t>
      </w:r>
      <w:r w:rsidR="00F53A14" w:rsidRPr="00BD6C5F">
        <w:fldChar w:fldCharType="end"/>
      </w:r>
      <w:r w:rsidRPr="00BD6C5F">
        <w:t xml:space="preserve">, the </w:t>
      </w:r>
      <w:r w:rsidR="00A4555C" w:rsidRPr="00BD6C5F">
        <w:t>“</w:t>
      </w:r>
      <w:r w:rsidRPr="00BD6C5F">
        <w:rPr>
          <w:b/>
        </w:rPr>
        <w:t>Shortfall Period</w:t>
      </w:r>
      <w:r w:rsidR="00A4555C" w:rsidRPr="00BD6C5F">
        <w:t>”</w:t>
      </w:r>
      <w:r w:rsidRPr="00BD6C5F">
        <w:t xml:space="preserve"> means:</w:t>
      </w:r>
      <w:bookmarkEnd w:id="766"/>
    </w:p>
    <w:p w14:paraId="5E57E3FA" w14:textId="2175B6D3" w:rsidR="00BC7DDA" w:rsidRPr="00BD6C5F" w:rsidRDefault="009B03E9" w:rsidP="00183F6E">
      <w:pPr>
        <w:pStyle w:val="Numbered111"/>
      </w:pPr>
      <w:r w:rsidRPr="00BD6C5F">
        <w:t xml:space="preserve">where the Authority terminates this </w:t>
      </w:r>
      <w:r w:rsidR="006A7F15" w:rsidRPr="00BD6C5F">
        <w:t xml:space="preserve">Contract </w:t>
      </w:r>
      <w:r w:rsidRPr="00BD6C5F">
        <w:t xml:space="preserve">pursuant to </w:t>
      </w:r>
      <w:r w:rsidR="005E736B" w:rsidRPr="00BD6C5F">
        <w:t>Clause </w:t>
      </w:r>
      <w:r w:rsidRPr="00BD6C5F">
        <w:t>3</w:t>
      </w:r>
      <w:r w:rsidR="001F06F8" w:rsidRPr="00BD6C5F">
        <w:t>1</w:t>
      </w:r>
      <w:r w:rsidRPr="00BD6C5F">
        <w:t>.1</w:t>
      </w:r>
      <w:r w:rsidR="006509FE">
        <w:t>.1</w:t>
      </w:r>
      <w:r w:rsidRPr="00BD6C5F">
        <w:t xml:space="preserve"> (</w:t>
      </w:r>
      <w:r w:rsidRPr="00BD6C5F">
        <w:rPr>
          <w:i/>
        </w:rPr>
        <w:t>Termination by the Authority</w:t>
      </w:r>
      <w:r w:rsidRPr="00BD6C5F">
        <w:t xml:space="preserve">), a number of days equal to the number of days by which the notice given (or deemed given pursuant to Paragraph </w:t>
      </w:r>
      <w:r w:rsidR="00AC5BF1" w:rsidRPr="00BD6C5F">
        <w:fldChar w:fldCharType="begin"/>
      </w:r>
      <w:r w:rsidR="00AC5BF1" w:rsidRPr="00BD6C5F">
        <w:instrText xml:space="preserve"> REF _Ref98452983 \w \h </w:instrText>
      </w:r>
      <w:r w:rsidR="00AD7DD0" w:rsidRPr="00BD6C5F">
        <w:instrText xml:space="preserve"> \* MERGEFORMAT </w:instrText>
      </w:r>
      <w:r w:rsidR="00AC5BF1" w:rsidRPr="00BD6C5F">
        <w:fldChar w:fldCharType="separate"/>
      </w:r>
      <w:r w:rsidR="009749A0">
        <w:t>2.1.1</w:t>
      </w:r>
      <w:r w:rsidR="00AC5BF1" w:rsidRPr="00BD6C5F">
        <w:fldChar w:fldCharType="end"/>
      </w:r>
      <w:r w:rsidR="00AC5BF1" w:rsidRPr="00BD6C5F">
        <w:t xml:space="preserve"> </w:t>
      </w:r>
      <w:r w:rsidRPr="00BD6C5F">
        <w:t>of</w:t>
      </w:r>
      <w:r w:rsidR="00AC5BF1" w:rsidRPr="00BD6C5F">
        <w:t> </w:t>
      </w:r>
      <w:r w:rsidR="000E1EDB">
        <w:t>Part </w:t>
      </w:r>
      <w:r w:rsidR="000E1EDB">
        <w:fldChar w:fldCharType="begin"/>
      </w:r>
      <w:r w:rsidR="000E1EDB">
        <w:instrText xml:space="preserve"> REF Schedule_15_Part_D \h </w:instrText>
      </w:r>
      <w:r w:rsidR="000E1EDB">
        <w:fldChar w:fldCharType="separate"/>
      </w:r>
      <w:r w:rsidR="009749A0" w:rsidRPr="00BD6C5F">
        <w:t>D</w:t>
      </w:r>
      <w:r w:rsidR="000E1EDB">
        <w:fldChar w:fldCharType="end"/>
      </w:r>
      <w:r w:rsidRPr="00BD6C5F">
        <w:t xml:space="preserve"> of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Schedule_15 \h </w:instrText>
      </w:r>
      <w:r w:rsidR="00346653">
        <w:rPr>
          <w:rFonts w:asciiTheme="minorHAnsi" w:hAnsiTheme="minorHAnsi" w:cstheme="minorHAnsi"/>
        </w:rPr>
      </w:r>
      <w:r w:rsidR="00346653">
        <w:rPr>
          <w:rFonts w:asciiTheme="minorHAnsi" w:hAnsiTheme="minorHAnsi" w:cstheme="minorHAnsi"/>
        </w:rPr>
        <w:fldChar w:fldCharType="separate"/>
      </w:r>
      <w:r w:rsidR="009749A0">
        <w:t>15</w:t>
      </w:r>
      <w:r w:rsidR="00346653">
        <w:rPr>
          <w:rFonts w:asciiTheme="minorHAnsi" w:hAnsiTheme="minorHAnsi" w:cstheme="minorHAnsi"/>
        </w:rPr>
        <w:fldChar w:fldCharType="end"/>
      </w:r>
      <w:r w:rsidRPr="00BD6C5F">
        <w:t xml:space="preserve"> (</w:t>
      </w:r>
      <w:r w:rsidRPr="00BD6C5F">
        <w:rPr>
          <w:i/>
        </w:rPr>
        <w:t>Charges and Invoicing</w:t>
      </w:r>
      <w:r w:rsidRPr="00BD6C5F">
        <w:t>)) falls short of 365 days; or</w:t>
      </w:r>
    </w:p>
    <w:p w14:paraId="6CD1D286" w14:textId="4300557F" w:rsidR="00BC7DDA" w:rsidRPr="00BD6C5F" w:rsidRDefault="009B03E9" w:rsidP="00183F6E">
      <w:pPr>
        <w:pStyle w:val="Numbered111"/>
      </w:pPr>
      <w:r w:rsidRPr="00BD6C5F">
        <w:t xml:space="preserve">where the Supplier terminates this </w:t>
      </w:r>
      <w:r w:rsidR="006A7F15" w:rsidRPr="00BD6C5F">
        <w:t xml:space="preserve">Contract </w:t>
      </w:r>
      <w:r w:rsidRPr="00BD6C5F">
        <w:t xml:space="preserve">pursuant to </w:t>
      </w:r>
      <w:r w:rsidR="005E736B" w:rsidRPr="00BD6C5F">
        <w:t>Clause </w:t>
      </w:r>
      <w:r w:rsidRPr="00BD6C5F">
        <w:t>3</w:t>
      </w:r>
      <w:r w:rsidR="001F06F8" w:rsidRPr="00BD6C5F">
        <w:t>1</w:t>
      </w:r>
      <w:r w:rsidRPr="00BD6C5F">
        <w:t>.3</w:t>
      </w:r>
      <w:r w:rsidR="006509FE">
        <w:t>.1</w:t>
      </w:r>
      <w:r w:rsidRPr="00BD6C5F">
        <w:t xml:space="preserve"> (</w:t>
      </w:r>
      <w:r w:rsidRPr="00BD6C5F">
        <w:rPr>
          <w:i/>
        </w:rPr>
        <w:t>Termination by the Supplier</w:t>
      </w:r>
      <w:r w:rsidRPr="00BD6C5F">
        <w:t>), a number of days equal to the number of days by which the period from (and including) the date of the non-payment by the Authority to (and including) the Termination Date falls short of 365 days,</w:t>
      </w:r>
    </w:p>
    <w:p w14:paraId="48863D50" w14:textId="072F7BFF" w:rsidR="00BC7DDA" w:rsidRPr="00BD6C5F" w:rsidRDefault="009B03E9" w:rsidP="003A31AD">
      <w:pPr>
        <w:pStyle w:val="BodyText"/>
        <w:spacing w:before="100" w:after="200"/>
        <w:ind w:left="720"/>
        <w:rPr>
          <w:rFonts w:asciiTheme="minorHAnsi" w:hAnsiTheme="minorHAnsi" w:cstheme="minorHAnsi"/>
        </w:rPr>
      </w:pPr>
      <w:r w:rsidRPr="00BD6C5F">
        <w:rPr>
          <w:rFonts w:asciiTheme="minorHAnsi" w:hAnsiTheme="minorHAnsi" w:cstheme="minorHAnsi"/>
        </w:rPr>
        <w:t xml:space="preserve">but in each case subject to the limit set out in Paragraph </w:t>
      </w:r>
      <w:r w:rsidR="00F53A14" w:rsidRPr="00BD6C5F">
        <w:rPr>
          <w:rFonts w:asciiTheme="minorHAnsi" w:hAnsiTheme="minorHAnsi" w:cstheme="minorHAnsi"/>
        </w:rPr>
        <w:fldChar w:fldCharType="begin"/>
      </w:r>
      <w:r w:rsidR="00F53A14" w:rsidRPr="00BD6C5F">
        <w:rPr>
          <w:rFonts w:asciiTheme="minorHAnsi" w:hAnsiTheme="minorHAnsi" w:cstheme="minorHAnsi"/>
        </w:rPr>
        <w:instrText xml:space="preserve"> REF _Ref98413233 \n \h </w:instrText>
      </w:r>
      <w:r w:rsidR="00AD7DD0" w:rsidRPr="00BD6C5F">
        <w:rPr>
          <w:rFonts w:asciiTheme="minorHAnsi" w:hAnsiTheme="minorHAnsi" w:cstheme="minorHAnsi"/>
        </w:rPr>
        <w:instrText xml:space="preserve"> \* MERGEFORMAT </w:instrText>
      </w:r>
      <w:r w:rsidR="00F53A14" w:rsidRPr="00BD6C5F">
        <w:rPr>
          <w:rFonts w:asciiTheme="minorHAnsi" w:hAnsiTheme="minorHAnsi" w:cstheme="minorHAnsi"/>
        </w:rPr>
      </w:r>
      <w:r w:rsidR="00F53A14" w:rsidRPr="00BD6C5F">
        <w:rPr>
          <w:rFonts w:asciiTheme="minorHAnsi" w:hAnsiTheme="minorHAnsi" w:cstheme="minorHAnsi"/>
        </w:rPr>
        <w:fldChar w:fldCharType="separate"/>
      </w:r>
      <w:r w:rsidR="009749A0">
        <w:rPr>
          <w:rFonts w:asciiTheme="minorHAnsi" w:hAnsiTheme="minorHAnsi" w:cstheme="minorHAnsi"/>
        </w:rPr>
        <w:t>6.3</w:t>
      </w:r>
      <w:r w:rsidR="00F53A14" w:rsidRPr="00BD6C5F">
        <w:rPr>
          <w:rFonts w:asciiTheme="minorHAnsi" w:hAnsiTheme="minorHAnsi" w:cstheme="minorHAnsi"/>
        </w:rPr>
        <w:fldChar w:fldCharType="end"/>
      </w:r>
      <w:r w:rsidRPr="00BD6C5F">
        <w:rPr>
          <w:rFonts w:asciiTheme="minorHAnsi" w:hAnsiTheme="minorHAnsi" w:cstheme="minorHAnsi"/>
        </w:rPr>
        <w:t>.</w:t>
      </w:r>
    </w:p>
    <w:p w14:paraId="60EB0FC9" w14:textId="77777777" w:rsidR="00BC7DDA" w:rsidRPr="00BD6C5F" w:rsidRDefault="009B03E9" w:rsidP="00C70900">
      <w:pPr>
        <w:pStyle w:val="Numbered11"/>
        <w:keepNext/>
      </w:pPr>
      <w:bookmarkStart w:id="767" w:name="_bookmark257"/>
      <w:bookmarkStart w:id="768" w:name="_Ref98413233"/>
      <w:bookmarkEnd w:id="767"/>
      <w:r w:rsidRPr="00BD6C5F">
        <w:t>The Compensation Payment shall be no greater than the lower of:</w:t>
      </w:r>
      <w:bookmarkEnd w:id="768"/>
    </w:p>
    <w:p w14:paraId="34C9772C" w14:textId="7C9AD36E" w:rsidR="00BC7DDA" w:rsidRPr="00BD6C5F" w:rsidRDefault="009B03E9" w:rsidP="00183F6E">
      <w:pPr>
        <w:pStyle w:val="Numbered111"/>
      </w:pPr>
      <w:r w:rsidRPr="00BD6C5F">
        <w:t xml:space="preserve">the relevant limit set out in </w:t>
      </w:r>
      <w:r w:rsidR="00DF7441">
        <w:t>Annex </w:t>
      </w:r>
      <w:r w:rsidR="00DF7441">
        <w:fldChar w:fldCharType="begin"/>
      </w:r>
      <w:r w:rsidR="00DF7441">
        <w:instrText xml:space="preserve"> REF Schedule_16_Annex_1 \h </w:instrText>
      </w:r>
      <w:r w:rsidR="00DF7441">
        <w:fldChar w:fldCharType="separate"/>
      </w:r>
      <w:r w:rsidR="009749A0" w:rsidRPr="00BD6C5F">
        <w:t>1</w:t>
      </w:r>
      <w:r w:rsidR="00DF7441">
        <w:fldChar w:fldCharType="end"/>
      </w:r>
      <w:r w:rsidRPr="00BD6C5F">
        <w:t>; and</w:t>
      </w:r>
    </w:p>
    <w:p w14:paraId="2FEDB511" w14:textId="77777777" w:rsidR="00BC7DDA" w:rsidRPr="00BD6C5F" w:rsidRDefault="009B03E9" w:rsidP="00183F6E">
      <w:pPr>
        <w:pStyle w:val="Numbered111"/>
      </w:pPr>
      <w:r w:rsidRPr="00BD6C5F">
        <w:t>120% of the estimate for the Compensation Payment set out in the relevant Termination Estimate.</w:t>
      </w:r>
    </w:p>
    <w:p w14:paraId="62B78583" w14:textId="3E565B50" w:rsidR="00BC7DDA" w:rsidRPr="00BD6C5F" w:rsidRDefault="00183F6E" w:rsidP="00C5057A">
      <w:pPr>
        <w:pStyle w:val="Numbered1"/>
      </w:pPr>
      <w:r w:rsidRPr="00BD6C5F">
        <w:t>Full and Final Settlement</w:t>
      </w:r>
    </w:p>
    <w:p w14:paraId="3589EA07" w14:textId="75F56A7B" w:rsidR="00BC7DDA" w:rsidRPr="00BD6C5F" w:rsidRDefault="009B03E9" w:rsidP="00C5057A">
      <w:pPr>
        <w:pStyle w:val="Numbered11"/>
      </w:pPr>
      <w:r w:rsidRPr="00BD6C5F">
        <w:t xml:space="preserve">Any Termination Payment and/or Compensation Payment paid under this Schedule shall be in full and final settlement of any claim, demand and/or proceedings of the Supplier in relation to any termination by the Authority pursuant to </w:t>
      </w:r>
      <w:r w:rsidR="005E736B" w:rsidRPr="00BD6C5F">
        <w:t>Clause </w:t>
      </w:r>
      <w:r w:rsidRPr="00BD6C5F">
        <w:t>3</w:t>
      </w:r>
      <w:r w:rsidR="001F06F8" w:rsidRPr="00BD6C5F">
        <w:t>1</w:t>
      </w:r>
      <w:r w:rsidRPr="00BD6C5F">
        <w:t>.1</w:t>
      </w:r>
      <w:r w:rsidR="006509FE">
        <w:t>.1</w:t>
      </w:r>
      <w:r w:rsidRPr="00BD6C5F">
        <w:t xml:space="preserve"> (</w:t>
      </w:r>
      <w:r w:rsidRPr="00BD6C5F">
        <w:rPr>
          <w:i/>
        </w:rPr>
        <w:t>Termination by the Authority</w:t>
      </w:r>
      <w:r w:rsidRPr="00BD6C5F">
        <w:t xml:space="preserve">) or termination by the Supplier pursuant to </w:t>
      </w:r>
      <w:r w:rsidR="005E736B" w:rsidRPr="00BD6C5F">
        <w:t>Clause </w:t>
      </w:r>
      <w:r w:rsidRPr="00BD6C5F">
        <w:t>3</w:t>
      </w:r>
      <w:r w:rsidR="001F06F8" w:rsidRPr="00BD6C5F">
        <w:t>1</w:t>
      </w:r>
      <w:r w:rsidRPr="00BD6C5F">
        <w:t>.3</w:t>
      </w:r>
      <w:r w:rsidR="006509FE">
        <w:t>.1</w:t>
      </w:r>
      <w:r w:rsidRPr="00BD6C5F">
        <w:t xml:space="preserve"> (</w:t>
      </w:r>
      <w:r w:rsidRPr="00BD6C5F">
        <w:rPr>
          <w:i/>
        </w:rPr>
        <w:t>Termination by the Supplier</w:t>
      </w:r>
      <w:r w:rsidRPr="00BD6C5F">
        <w:t>) (as applicable), and the Supplier shall be excluded from all other rights and remedies it would otherwise have been entitled to in respect of any such termination.</w:t>
      </w:r>
    </w:p>
    <w:p w14:paraId="06E3D68E" w14:textId="5270F378" w:rsidR="00BC7DDA" w:rsidRPr="00BD6C5F" w:rsidRDefault="00183F6E" w:rsidP="00C5057A">
      <w:pPr>
        <w:pStyle w:val="Numbered1"/>
      </w:pPr>
      <w:r w:rsidRPr="00BD6C5F">
        <w:t>Invoicing for The Payments on Termination</w:t>
      </w:r>
    </w:p>
    <w:p w14:paraId="6DAAA80D" w14:textId="556C91E2" w:rsidR="00BC7DDA" w:rsidRPr="00BD6C5F" w:rsidRDefault="009B03E9" w:rsidP="00C5057A">
      <w:pPr>
        <w:pStyle w:val="Numbered11"/>
      </w:pPr>
      <w:r w:rsidRPr="00BD6C5F">
        <w:t xml:space="preserve">All sums due under this Schedule shall be payable by the Authority to the Supplier in accordance with the payment terms set out in </w:t>
      </w:r>
      <w:r w:rsidR="00346653" w:rsidRPr="00BD6C5F">
        <w:t>Schedule </w:t>
      </w:r>
      <w:r w:rsidR="00346653">
        <w:fldChar w:fldCharType="begin"/>
      </w:r>
      <w:r w:rsidR="00346653">
        <w:instrText xml:space="preserve"> REF Schedule_15 \h </w:instrText>
      </w:r>
      <w:r w:rsidR="00346653">
        <w:fldChar w:fldCharType="separate"/>
      </w:r>
      <w:r w:rsidR="009749A0">
        <w:t>15</w:t>
      </w:r>
      <w:r w:rsidR="00346653">
        <w:fldChar w:fldCharType="end"/>
      </w:r>
      <w:r w:rsidRPr="00BD6C5F">
        <w:t xml:space="preserve"> (</w:t>
      </w:r>
      <w:r w:rsidRPr="00BD6C5F">
        <w:rPr>
          <w:i/>
        </w:rPr>
        <w:t>Charges and Invoicing</w:t>
      </w:r>
      <w:r w:rsidRPr="00BD6C5F">
        <w:t>).</w:t>
      </w:r>
    </w:p>
    <w:p w14:paraId="46FDE9D7" w14:textId="6B2E66FC" w:rsidR="00BC7DDA" w:rsidRPr="00BD6C5F" w:rsidRDefault="00183F6E" w:rsidP="00C5057A">
      <w:pPr>
        <w:pStyle w:val="Numbered1"/>
      </w:pPr>
      <w:r w:rsidRPr="00BD6C5F">
        <w:t>Set Off</w:t>
      </w:r>
    </w:p>
    <w:p w14:paraId="1600C555" w14:textId="77777777" w:rsidR="00BC7DDA" w:rsidRPr="00BD6C5F" w:rsidRDefault="009B03E9" w:rsidP="00C5057A">
      <w:pPr>
        <w:pStyle w:val="Numbered11"/>
      </w:pPr>
      <w:r w:rsidRPr="00BD6C5F">
        <w:t>The Authority shall be entitled to set off any outstanding liabilities of the Supplier against any amounts that are payable by it pursuant to this Schedule.</w:t>
      </w:r>
    </w:p>
    <w:p w14:paraId="369F1AC2" w14:textId="61440A00" w:rsidR="00BC7DDA" w:rsidRPr="00BD6C5F" w:rsidRDefault="00183F6E" w:rsidP="00C5057A">
      <w:pPr>
        <w:pStyle w:val="Numbered1"/>
      </w:pPr>
      <w:r w:rsidRPr="00BD6C5F">
        <w:t>No Double Recovery</w:t>
      </w:r>
    </w:p>
    <w:p w14:paraId="10D245E4" w14:textId="7EF3A73C" w:rsidR="00BC7DDA" w:rsidRPr="00BD6C5F" w:rsidRDefault="009B03E9" w:rsidP="00C5057A">
      <w:pPr>
        <w:pStyle w:val="Numbered11"/>
      </w:pPr>
      <w:r w:rsidRPr="00BD6C5F">
        <w:t xml:space="preserve">If any amount payable under this Schedule (in whole or in part) relates to or arises from any Transferring Assets then, to the extent that the Authority makes any payments pursuant to </w:t>
      </w:r>
      <w:r w:rsidR="00BF4352" w:rsidRPr="00BD6C5F">
        <w:t>Schedule </w:t>
      </w:r>
      <w:r w:rsidR="00BF4352">
        <w:fldChar w:fldCharType="begin"/>
      </w:r>
      <w:r w:rsidR="00BF4352">
        <w:instrText xml:space="preserve"> REF Schedule_25 \h </w:instrText>
      </w:r>
      <w:r w:rsidR="00BF4352">
        <w:fldChar w:fldCharType="separate"/>
      </w:r>
      <w:r w:rsidR="009749A0">
        <w:t>25</w:t>
      </w:r>
      <w:r w:rsidR="00BF4352">
        <w:fldChar w:fldCharType="end"/>
      </w:r>
      <w:r w:rsidRPr="00BD6C5F">
        <w:t xml:space="preserve"> (</w:t>
      </w:r>
      <w:r w:rsidRPr="00BD6C5F">
        <w:rPr>
          <w:i/>
        </w:rPr>
        <w:t>Exit Management</w:t>
      </w:r>
      <w:r w:rsidRPr="00BD6C5F">
        <w:t>) in respect of such Transferring Assets, such payments shall be deducted from the amount payable pursuant to this Schedule.</w:t>
      </w:r>
    </w:p>
    <w:p w14:paraId="6DD00541" w14:textId="78DB6BB0" w:rsidR="00BC7DDA" w:rsidRPr="00BD6C5F" w:rsidRDefault="009B03E9" w:rsidP="00C5057A">
      <w:pPr>
        <w:pStyle w:val="Numbered11"/>
      </w:pPr>
      <w:r w:rsidRPr="00BD6C5F">
        <w:t xml:space="preserve">The value of the Termination Payment and/or the Compensation Payment shall be </w:t>
      </w:r>
      <w:r w:rsidRPr="00BD6C5F">
        <w:lastRenderedPageBreak/>
        <w:t xml:space="preserve">reduced or extinguished to the extent that the Supplier has already received the Charges or the financial benefit of any other rights or remedy given under this </w:t>
      </w:r>
      <w:r w:rsidR="006A7F15" w:rsidRPr="00BD6C5F">
        <w:t xml:space="preserve">Contract </w:t>
      </w:r>
      <w:r w:rsidRPr="00BD6C5F">
        <w:t>so that there is no double counting in calculating the relevant payment.</w:t>
      </w:r>
    </w:p>
    <w:p w14:paraId="60668F1D" w14:textId="77777777" w:rsidR="00BC7DDA" w:rsidRPr="00BD6C5F" w:rsidRDefault="009B03E9" w:rsidP="00C5057A">
      <w:pPr>
        <w:pStyle w:val="Numbered11"/>
      </w:pPr>
      <w:r w:rsidRPr="00BD6C5F">
        <w:t>Any payments that are due in respect of the Transferring Assets shall be calculated in accordance with the provisions of the Exit Plan.</w:t>
      </w:r>
    </w:p>
    <w:p w14:paraId="598D3927" w14:textId="2A6D09CF" w:rsidR="00BC7DDA" w:rsidRPr="00BD6C5F" w:rsidRDefault="00183F6E" w:rsidP="00C5057A">
      <w:pPr>
        <w:pStyle w:val="Numbered1"/>
      </w:pPr>
      <w:r w:rsidRPr="00BD6C5F">
        <w:t>Estimate of Termination Payment and Compensation Payment</w:t>
      </w:r>
    </w:p>
    <w:p w14:paraId="19D68368" w14:textId="77777777" w:rsidR="00BC7DDA" w:rsidRPr="00BD6C5F" w:rsidRDefault="009B03E9" w:rsidP="00C5057A">
      <w:pPr>
        <w:pStyle w:val="Numbered11"/>
      </w:pPr>
      <w:r w:rsidRPr="00BD6C5F">
        <w:t>The Authority may issue a Request for Estimate at any time during the Term provided that no more than 2 Requests for Estimate may be issued in any 6 month period.</w:t>
      </w:r>
    </w:p>
    <w:p w14:paraId="557BF862" w14:textId="5B658EBE" w:rsidR="00BC7DDA" w:rsidRPr="00BD6C5F" w:rsidRDefault="009B03E9" w:rsidP="00C5057A">
      <w:pPr>
        <w:pStyle w:val="Numbered11"/>
      </w:pPr>
      <w:bookmarkStart w:id="769" w:name="_bookmark258"/>
      <w:bookmarkStart w:id="770" w:name="_Ref98413171"/>
      <w:bookmarkEnd w:id="769"/>
      <w:r w:rsidRPr="00BD6C5F">
        <w:t xml:space="preserve">The Supplier shall within 20 Working Days of receiving the Request for Estimate (or such other timescale agreed between the Parties), provide an accurate written estimate of the Termination Payment and the Compensation Payment that would be payable by the Authority based on a postulated Termination Date specified in the Request for Estimate (such estimate being the </w:t>
      </w:r>
      <w:r w:rsidR="00A4555C" w:rsidRPr="00BD6C5F">
        <w:t>“</w:t>
      </w:r>
      <w:r w:rsidRPr="00BD6C5F">
        <w:rPr>
          <w:b/>
        </w:rPr>
        <w:t>Termination Estimate</w:t>
      </w:r>
      <w:r w:rsidR="00A4555C" w:rsidRPr="00BD6C5F">
        <w:t>”</w:t>
      </w:r>
      <w:r w:rsidRPr="00BD6C5F">
        <w:t>). The Termination Estimate shall:</w:t>
      </w:r>
      <w:bookmarkEnd w:id="770"/>
    </w:p>
    <w:p w14:paraId="0FF4AC02" w14:textId="77777777" w:rsidR="00BC7DDA" w:rsidRPr="00BD6C5F" w:rsidRDefault="009B03E9" w:rsidP="00183F6E">
      <w:pPr>
        <w:pStyle w:val="Numbered111"/>
      </w:pPr>
      <w:r w:rsidRPr="00BD6C5F">
        <w:t>be based on the relevant amounts set out in the Financial Model;</w:t>
      </w:r>
    </w:p>
    <w:p w14:paraId="5D2F0E2E" w14:textId="09434580" w:rsidR="00BC7DDA" w:rsidRPr="00BD6C5F" w:rsidRDefault="009B03E9" w:rsidP="00C70900">
      <w:pPr>
        <w:pStyle w:val="Numbered111"/>
        <w:keepNext/>
      </w:pPr>
      <w:r w:rsidRPr="00BD6C5F">
        <w:t>include:</w:t>
      </w:r>
    </w:p>
    <w:p w14:paraId="713FD765" w14:textId="77777777" w:rsidR="00BC7DDA" w:rsidRPr="00BD6C5F" w:rsidRDefault="009B03E9" w:rsidP="00771E5A">
      <w:pPr>
        <w:pStyle w:val="Numbered111a"/>
      </w:pPr>
      <w:r w:rsidRPr="00BD6C5F">
        <w:t>details of the mechanism by which the Termination Payment is calculated;</w:t>
      </w:r>
    </w:p>
    <w:p w14:paraId="393731FB" w14:textId="77777777" w:rsidR="00BC7DDA" w:rsidRPr="00BD6C5F" w:rsidRDefault="009B03E9" w:rsidP="00183F6E">
      <w:pPr>
        <w:pStyle w:val="Numbered111a"/>
        <w:rPr>
          <w:lang w:val="en-GB"/>
        </w:rPr>
      </w:pPr>
      <w:r w:rsidRPr="00BD6C5F">
        <w:rPr>
          <w:lang w:val="en-GB"/>
        </w:rPr>
        <w:t>full particulars of the estimated Contract Breakage Costs in respect of each Sub-contract or Third Party Contract and appropriate supporting documentation; and</w:t>
      </w:r>
    </w:p>
    <w:p w14:paraId="1585406E" w14:textId="77777777" w:rsidR="00BC7DDA" w:rsidRPr="00BD6C5F" w:rsidRDefault="009B03E9" w:rsidP="00183F6E">
      <w:pPr>
        <w:pStyle w:val="Numbered111a"/>
        <w:rPr>
          <w:lang w:val="en-GB"/>
        </w:rPr>
      </w:pPr>
      <w:r w:rsidRPr="00BD6C5F">
        <w:rPr>
          <w:lang w:val="en-GB"/>
        </w:rPr>
        <w:t>such information as the Authority may reasonably require; and</w:t>
      </w:r>
    </w:p>
    <w:p w14:paraId="3405720F" w14:textId="77777777" w:rsidR="00BC7DDA" w:rsidRPr="00BD6C5F" w:rsidRDefault="009B03E9" w:rsidP="00183F6E">
      <w:pPr>
        <w:pStyle w:val="Numbered111"/>
      </w:pPr>
      <w:r w:rsidRPr="00BD6C5F">
        <w:t>state the period for which that Termination Estimate remains valid, which shall be not less than 20 Working Days.</w:t>
      </w:r>
    </w:p>
    <w:p w14:paraId="4FF588D5" w14:textId="14BF2E22" w:rsidR="00BC7DDA" w:rsidRPr="00BD6C5F" w:rsidRDefault="009B03E9" w:rsidP="00C5057A">
      <w:pPr>
        <w:pStyle w:val="Numbered11"/>
      </w:pPr>
      <w:r w:rsidRPr="00BD6C5F">
        <w:t xml:space="preserve">The Supplier acknowledges that issue of a Request for Estimate shall not be construed in any way as to represent an intention by the Authority to terminate this </w:t>
      </w:r>
      <w:r w:rsidR="001068C3" w:rsidRPr="00BD6C5F">
        <w:t>Contract</w:t>
      </w:r>
      <w:r w:rsidRPr="00BD6C5F">
        <w:t>.</w:t>
      </w:r>
    </w:p>
    <w:p w14:paraId="198F35FD" w14:textId="77777777" w:rsidR="00BC7DDA" w:rsidRPr="00BD6C5F" w:rsidRDefault="009B03E9" w:rsidP="00C5057A">
      <w:pPr>
        <w:pStyle w:val="Numbered11"/>
      </w:pPr>
      <w:r w:rsidRPr="00BD6C5F">
        <w:t>If the Authority issues a Termination Notice to the Supplier within the stated period for which a Termination Estimate remains valid, the Supplier shall use the same mechanism to calculate the Termination Payment as was detailed in the Termination Estimate unless otherwise agreed in writing between the Supplier and the Authority.</w:t>
      </w:r>
    </w:p>
    <w:p w14:paraId="79248DDA" w14:textId="77777777" w:rsidR="003A31AD" w:rsidRPr="00BD6C5F" w:rsidRDefault="003A31AD" w:rsidP="003A31AD"/>
    <w:p w14:paraId="254E6C59" w14:textId="11D024E8" w:rsidR="00272B0A" w:rsidRPr="00BD6C5F" w:rsidRDefault="00272B0A" w:rsidP="003A31AD">
      <w:r w:rsidRPr="00BD6C5F">
        <w:br w:type="page"/>
      </w:r>
    </w:p>
    <w:p w14:paraId="5697CB0D" w14:textId="7587D861" w:rsidR="00BC7DDA" w:rsidRPr="00BD6C5F" w:rsidRDefault="00183F6E" w:rsidP="005D0C39">
      <w:pPr>
        <w:pStyle w:val="Heading2"/>
      </w:pPr>
      <w:bookmarkStart w:id="771" w:name="_bookmark259"/>
      <w:bookmarkStart w:id="772" w:name="_Toc98332747"/>
      <w:bookmarkStart w:id="773" w:name="_Ref98342933"/>
      <w:bookmarkStart w:id="774" w:name="_Ref98342945"/>
      <w:bookmarkStart w:id="775" w:name="_Ref98342963"/>
      <w:bookmarkStart w:id="776" w:name="_Toc98852924"/>
      <w:bookmarkStart w:id="777" w:name="_Toc141721016"/>
      <w:bookmarkEnd w:id="771"/>
      <w:r w:rsidRPr="00BD6C5F">
        <w:lastRenderedPageBreak/>
        <w:t xml:space="preserve">Annex </w:t>
      </w:r>
      <w:bookmarkStart w:id="778" w:name="Schedule_16_Annex_1"/>
      <w:r w:rsidRPr="00BD6C5F">
        <w:t>1</w:t>
      </w:r>
      <w:bookmarkEnd w:id="778"/>
      <w:r w:rsidRPr="00BD6C5F">
        <w:t>: Maximum Payments on Termination</w:t>
      </w:r>
      <w:bookmarkEnd w:id="772"/>
      <w:bookmarkEnd w:id="773"/>
      <w:bookmarkEnd w:id="774"/>
      <w:bookmarkEnd w:id="775"/>
      <w:bookmarkEnd w:id="776"/>
      <w:bookmarkEnd w:id="777"/>
    </w:p>
    <w:p w14:paraId="23EC2F97" w14:textId="0559971C" w:rsidR="00BC7DDA" w:rsidRPr="00BD6C5F" w:rsidRDefault="009B03E9" w:rsidP="005D0C39">
      <w:pPr>
        <w:pStyle w:val="BodyText"/>
        <w:spacing w:before="100" w:after="200"/>
        <w:rPr>
          <w:rFonts w:asciiTheme="minorHAnsi" w:hAnsiTheme="minorHAnsi" w:cstheme="minorHAnsi"/>
        </w:rPr>
      </w:pPr>
      <w:r w:rsidRPr="00BD6C5F">
        <w:rPr>
          <w:rFonts w:asciiTheme="minorHAnsi" w:hAnsiTheme="minorHAnsi" w:cstheme="minorHAnsi"/>
        </w:rPr>
        <w:t xml:space="preserve">The table below sets out, by Contract Year, the maximum amount of the Unrecovered Payment, Breakage Costs Payment and Compensation Payment that the Authority shall be liable to pay to the Supplier pursuant to this </w:t>
      </w:r>
      <w:r w:rsidR="001068C3" w:rsidRPr="00BD6C5F">
        <w:rPr>
          <w:rFonts w:asciiTheme="minorHAnsi" w:hAnsiTheme="minorHAnsi" w:cstheme="minorHAnsi"/>
        </w:rPr>
        <w:t>Contract</w:t>
      </w:r>
      <w:r w:rsidRPr="00BD6C5F">
        <w:rPr>
          <w:rFonts w:asciiTheme="minorHAnsi" w:hAnsiTheme="minorHAnsi" w:cstheme="minorHAnsi"/>
        </w:rPr>
        <w:t>:</w:t>
      </w:r>
    </w:p>
    <w:tbl>
      <w:tblPr>
        <w:tblStyle w:val="MSATable-header"/>
        <w:tblW w:w="10204" w:type="dxa"/>
        <w:tblLayout w:type="fixed"/>
        <w:tblLook w:val="0620" w:firstRow="1" w:lastRow="0" w:firstColumn="0" w:lastColumn="0" w:noHBand="1" w:noVBand="1"/>
      </w:tblPr>
      <w:tblGrid>
        <w:gridCol w:w="4252"/>
        <w:gridCol w:w="1984"/>
        <w:gridCol w:w="1984"/>
        <w:gridCol w:w="1984"/>
      </w:tblGrid>
      <w:tr w:rsidR="001C56BF" w:rsidRPr="00BD6C5F" w14:paraId="07CFE4E6" w14:textId="77777777" w:rsidTr="001C56BF">
        <w:trPr>
          <w:cnfStyle w:val="100000000000" w:firstRow="1" w:lastRow="0" w:firstColumn="0" w:lastColumn="0" w:oddVBand="0" w:evenVBand="0" w:oddHBand="0" w:evenHBand="0" w:firstRowFirstColumn="0" w:firstRowLastColumn="0" w:lastRowFirstColumn="0" w:lastRowLastColumn="0"/>
          <w:cantSplit/>
          <w:tblHeader/>
        </w:trPr>
        <w:tc>
          <w:tcPr>
            <w:tcW w:w="4252" w:type="dxa"/>
          </w:tcPr>
          <w:p w14:paraId="722A7AFC"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Termination Date</w:t>
            </w:r>
          </w:p>
        </w:tc>
        <w:tc>
          <w:tcPr>
            <w:tcW w:w="1984" w:type="dxa"/>
          </w:tcPr>
          <w:p w14:paraId="62BD1CA4"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Maximum Unrecovered Payment</w:t>
            </w:r>
          </w:p>
        </w:tc>
        <w:tc>
          <w:tcPr>
            <w:tcW w:w="1984" w:type="dxa"/>
          </w:tcPr>
          <w:p w14:paraId="0C00AC9A"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Maximum Breakage Costs Payment</w:t>
            </w:r>
          </w:p>
        </w:tc>
        <w:tc>
          <w:tcPr>
            <w:tcW w:w="1984" w:type="dxa"/>
          </w:tcPr>
          <w:p w14:paraId="10EA4E70"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Maximum Compensation Payment</w:t>
            </w:r>
          </w:p>
        </w:tc>
      </w:tr>
      <w:tr w:rsidR="001C56BF" w:rsidRPr="00BD6C5F" w14:paraId="6D81B47F" w14:textId="77777777" w:rsidTr="001C56BF">
        <w:trPr>
          <w:cantSplit/>
        </w:trPr>
        <w:tc>
          <w:tcPr>
            <w:tcW w:w="4252" w:type="dxa"/>
          </w:tcPr>
          <w:p w14:paraId="4D8D0699"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Anytime in the first Contract Year</w:t>
            </w:r>
          </w:p>
        </w:tc>
        <w:tc>
          <w:tcPr>
            <w:tcW w:w="1984" w:type="dxa"/>
          </w:tcPr>
          <w:p w14:paraId="3642FA84" w14:textId="77777777" w:rsidR="00BC7DDA" w:rsidRPr="00BD6C5F" w:rsidRDefault="00BC7DDA" w:rsidP="005D0C39">
            <w:pPr>
              <w:pStyle w:val="Tabletext"/>
            </w:pPr>
          </w:p>
        </w:tc>
        <w:tc>
          <w:tcPr>
            <w:tcW w:w="1984" w:type="dxa"/>
          </w:tcPr>
          <w:p w14:paraId="4291791D" w14:textId="77777777" w:rsidR="00BC7DDA" w:rsidRPr="00BD6C5F" w:rsidRDefault="00BC7DDA" w:rsidP="005D0C39">
            <w:pPr>
              <w:pStyle w:val="Tabletext"/>
            </w:pPr>
          </w:p>
        </w:tc>
        <w:tc>
          <w:tcPr>
            <w:tcW w:w="1984" w:type="dxa"/>
          </w:tcPr>
          <w:p w14:paraId="61E01B3C" w14:textId="77777777" w:rsidR="00BC7DDA" w:rsidRPr="00BD6C5F" w:rsidRDefault="00BC7DDA" w:rsidP="005D0C39">
            <w:pPr>
              <w:pStyle w:val="Tabletext"/>
            </w:pPr>
          </w:p>
        </w:tc>
      </w:tr>
      <w:tr w:rsidR="001C56BF" w:rsidRPr="00BD6C5F" w14:paraId="6FBF97CC" w14:textId="77777777" w:rsidTr="001C56BF">
        <w:trPr>
          <w:cantSplit/>
        </w:trPr>
        <w:tc>
          <w:tcPr>
            <w:tcW w:w="4252" w:type="dxa"/>
          </w:tcPr>
          <w:p w14:paraId="23F654F7" w14:textId="77777777" w:rsidR="00BC7DDA" w:rsidRPr="00BD6C5F" w:rsidRDefault="009B03E9" w:rsidP="005D0C39">
            <w:pPr>
              <w:pStyle w:val="Tabletext"/>
              <w:rPr>
                <w:rFonts w:asciiTheme="minorHAnsi" w:hAnsiTheme="minorHAnsi" w:cstheme="minorHAnsi"/>
              </w:rPr>
            </w:pPr>
            <w:r w:rsidRPr="00BD6C5F">
              <w:rPr>
                <w:rFonts w:asciiTheme="minorHAnsi" w:hAnsiTheme="minorHAnsi" w:cstheme="minorHAnsi"/>
              </w:rPr>
              <w:t>Anytime in the second Contract Year</w:t>
            </w:r>
          </w:p>
        </w:tc>
        <w:tc>
          <w:tcPr>
            <w:tcW w:w="1984" w:type="dxa"/>
          </w:tcPr>
          <w:p w14:paraId="3C263FB4" w14:textId="77777777" w:rsidR="00BC7DDA" w:rsidRPr="00BD6C5F" w:rsidRDefault="00BC7DDA" w:rsidP="005D0C39">
            <w:pPr>
              <w:pStyle w:val="Tabletext"/>
            </w:pPr>
          </w:p>
        </w:tc>
        <w:tc>
          <w:tcPr>
            <w:tcW w:w="1984" w:type="dxa"/>
          </w:tcPr>
          <w:p w14:paraId="2266AA2B" w14:textId="77777777" w:rsidR="00BC7DDA" w:rsidRPr="00BD6C5F" w:rsidRDefault="00BC7DDA" w:rsidP="005D0C39">
            <w:pPr>
              <w:pStyle w:val="Tabletext"/>
            </w:pPr>
          </w:p>
        </w:tc>
        <w:tc>
          <w:tcPr>
            <w:tcW w:w="1984" w:type="dxa"/>
          </w:tcPr>
          <w:p w14:paraId="579AFBED" w14:textId="77777777" w:rsidR="00BC7DDA" w:rsidRPr="00BD6C5F" w:rsidRDefault="00BC7DDA" w:rsidP="005D0C39">
            <w:pPr>
              <w:pStyle w:val="Tabletext"/>
            </w:pPr>
          </w:p>
        </w:tc>
      </w:tr>
      <w:tr w:rsidR="001C56BF" w:rsidRPr="00BD6C5F" w14:paraId="3D89E4E7" w14:textId="77777777" w:rsidTr="001C56BF">
        <w:trPr>
          <w:cantSplit/>
        </w:trPr>
        <w:tc>
          <w:tcPr>
            <w:tcW w:w="4252" w:type="dxa"/>
          </w:tcPr>
          <w:p w14:paraId="242F721C" w14:textId="77777777" w:rsidR="00BC7DDA" w:rsidRPr="00BD6C5F" w:rsidRDefault="009B03E9" w:rsidP="005D0C39">
            <w:pPr>
              <w:pStyle w:val="Tabletext"/>
              <w:rPr>
                <w:rFonts w:asciiTheme="minorHAnsi" w:hAnsiTheme="minorHAnsi" w:cstheme="minorHAnsi"/>
                <w:i/>
              </w:rPr>
            </w:pPr>
            <w:r w:rsidRPr="00BD6C5F">
              <w:rPr>
                <w:rFonts w:asciiTheme="minorHAnsi" w:hAnsiTheme="minorHAnsi" w:cstheme="minorHAnsi"/>
              </w:rPr>
              <w:t xml:space="preserve">Anytime in Contract Years 3 – </w:t>
            </w:r>
            <w:r w:rsidRPr="00566661">
              <w:rPr>
                <w:rFonts w:asciiTheme="minorHAnsi" w:hAnsiTheme="minorHAnsi" w:cstheme="minorHAnsi"/>
                <w:iCs/>
                <w:shd w:val="clear" w:color="auto" w:fill="FFFF00"/>
              </w:rPr>
              <w:t>[x]</w:t>
            </w:r>
          </w:p>
        </w:tc>
        <w:tc>
          <w:tcPr>
            <w:tcW w:w="1984" w:type="dxa"/>
          </w:tcPr>
          <w:p w14:paraId="4B395F88" w14:textId="77777777" w:rsidR="00BC7DDA" w:rsidRPr="00BD6C5F" w:rsidRDefault="00BC7DDA" w:rsidP="005D0C39">
            <w:pPr>
              <w:pStyle w:val="Tabletext"/>
            </w:pPr>
          </w:p>
        </w:tc>
        <w:tc>
          <w:tcPr>
            <w:tcW w:w="1984" w:type="dxa"/>
          </w:tcPr>
          <w:p w14:paraId="7312C98F" w14:textId="77777777" w:rsidR="00BC7DDA" w:rsidRPr="00BD6C5F" w:rsidRDefault="00BC7DDA" w:rsidP="005D0C39">
            <w:pPr>
              <w:pStyle w:val="Tabletext"/>
            </w:pPr>
          </w:p>
        </w:tc>
        <w:tc>
          <w:tcPr>
            <w:tcW w:w="1984" w:type="dxa"/>
          </w:tcPr>
          <w:p w14:paraId="32CB5508" w14:textId="77777777" w:rsidR="00BC7DDA" w:rsidRPr="00BD6C5F" w:rsidRDefault="00BC7DDA" w:rsidP="005D0C39">
            <w:pPr>
              <w:pStyle w:val="Tabletext"/>
            </w:pPr>
          </w:p>
        </w:tc>
      </w:tr>
    </w:tbl>
    <w:p w14:paraId="5F89CAE0" w14:textId="77777777" w:rsidR="00272B0A" w:rsidRPr="00BD6C5F" w:rsidRDefault="00272B0A" w:rsidP="00B76843">
      <w:pPr>
        <w:rPr>
          <w:rFonts w:asciiTheme="minorHAnsi" w:hAnsiTheme="minorHAnsi" w:cstheme="minorHAnsi"/>
        </w:rPr>
      </w:pPr>
    </w:p>
    <w:p w14:paraId="5CBCD627" w14:textId="77777777" w:rsidR="00B76843" w:rsidRPr="00BD6C5F" w:rsidRDefault="00B76843" w:rsidP="00B76843">
      <w:pPr>
        <w:rPr>
          <w:rFonts w:asciiTheme="minorHAnsi" w:hAnsiTheme="minorHAnsi" w:cstheme="minorHAnsi"/>
        </w:rPr>
      </w:pPr>
    </w:p>
    <w:p w14:paraId="1E0F7CA3" w14:textId="77777777" w:rsidR="00B76843" w:rsidRPr="00BD6C5F" w:rsidRDefault="00B76843" w:rsidP="00B76843">
      <w:pPr>
        <w:rPr>
          <w:rFonts w:asciiTheme="minorHAnsi" w:hAnsiTheme="minorHAnsi" w:cstheme="minorHAnsi"/>
        </w:rPr>
      </w:pPr>
    </w:p>
    <w:p w14:paraId="181D2728" w14:textId="537080F1" w:rsidR="00B76843" w:rsidRPr="00BD6C5F" w:rsidRDefault="00B76843" w:rsidP="00B76843">
      <w:pPr>
        <w:rPr>
          <w:rFonts w:asciiTheme="minorHAnsi" w:hAnsiTheme="minorHAnsi" w:cstheme="minorHAnsi"/>
        </w:rPr>
        <w:sectPr w:rsidR="00B76843" w:rsidRPr="00BD6C5F" w:rsidSect="00EA65BF">
          <w:headerReference w:type="default" r:id="rId85"/>
          <w:footerReference w:type="default" r:id="rId86"/>
          <w:pgSz w:w="11910" w:h="16840"/>
          <w:pgMar w:top="1701" w:right="851" w:bottom="1134" w:left="851" w:header="567" w:footer="567" w:gutter="0"/>
          <w:cols w:space="720"/>
        </w:sectPr>
      </w:pPr>
    </w:p>
    <w:p w14:paraId="346E6E69" w14:textId="15F3BBD2" w:rsidR="004F122B" w:rsidRDefault="004F122B" w:rsidP="004F122B">
      <w:pPr>
        <w:pStyle w:val="Dividername"/>
      </w:pPr>
      <w:bookmarkStart w:id="779" w:name="_bookmark260"/>
      <w:bookmarkStart w:id="780" w:name="_bookmark261"/>
      <w:bookmarkStart w:id="781" w:name="_Ref98320817"/>
      <w:bookmarkStart w:id="782" w:name="_Ref98323234"/>
      <w:bookmarkStart w:id="783" w:name="_Ref98323411"/>
      <w:bookmarkStart w:id="784" w:name="_Toc98332748"/>
      <w:bookmarkStart w:id="785" w:name="_Toc98852925"/>
      <w:bookmarkEnd w:id="779"/>
      <w:bookmarkEnd w:id="780"/>
      <w:r>
        <w:lastRenderedPageBreak/>
        <w:t xml:space="preserve">Schedule </w:t>
      </w:r>
      <w:bookmarkStart w:id="786" w:name="Schedule_17"/>
      <w:r>
        <w:t>17</w:t>
      </w:r>
      <w:bookmarkEnd w:id="786"/>
    </w:p>
    <w:p w14:paraId="0B8E87CB" w14:textId="2898D1AB" w:rsidR="004F122B" w:rsidRDefault="004F122B" w:rsidP="004F122B">
      <w:pPr>
        <w:pStyle w:val="Dividername"/>
      </w:pPr>
      <w:r w:rsidRPr="004F122B">
        <w:t>Benchmarking</w:t>
      </w:r>
    </w:p>
    <w:p w14:paraId="75FC1B75" w14:textId="77777777" w:rsidR="004F122B" w:rsidRDefault="004F122B" w:rsidP="004F122B"/>
    <w:p w14:paraId="585DC84F" w14:textId="61A7C921" w:rsidR="00BC7DDA" w:rsidRPr="00BD6C5F" w:rsidRDefault="00E31437" w:rsidP="004F122B">
      <w:pPr>
        <w:pStyle w:val="Heading1"/>
        <w:pageBreakBefore/>
      </w:pPr>
      <w:bookmarkStart w:id="787" w:name="_Toc141721017"/>
      <w:r w:rsidRPr="00BD6C5F">
        <w:lastRenderedPageBreak/>
        <w:t>Schedule 17</w:t>
      </w:r>
      <w:r w:rsidR="0058158C" w:rsidRPr="00BD6C5F">
        <w:t xml:space="preserve">: </w:t>
      </w:r>
      <w:r w:rsidRPr="00BD6C5F">
        <w:t>Benchmarking</w:t>
      </w:r>
      <w:bookmarkEnd w:id="781"/>
      <w:bookmarkEnd w:id="782"/>
      <w:bookmarkEnd w:id="783"/>
      <w:bookmarkEnd w:id="784"/>
      <w:bookmarkEnd w:id="785"/>
      <w:bookmarkEnd w:id="787"/>
    </w:p>
    <w:p w14:paraId="1A83D4E5" w14:textId="09E5F967" w:rsidR="00E2131D" w:rsidRPr="00BD6C5F" w:rsidRDefault="00E2131D" w:rsidP="00E31437">
      <w:pPr>
        <w:jc w:val="center"/>
      </w:pPr>
      <w:r w:rsidRPr="00BD6C5F">
        <w:t>This is the schedule referred to in the foregoing agreement betwe</w:t>
      </w:r>
      <w:r w:rsidR="00183F6E" w:rsidRPr="00BD6C5F">
        <w:t>en [</w:t>
      </w:r>
      <w:r w:rsidR="00183F6E" w:rsidRPr="00BD6C5F">
        <w:rPr>
          <w:highlight w:val="yellow"/>
        </w:rPr>
        <w:t>name of party</w:t>
      </w:r>
      <w:r w:rsidR="00183F6E" w:rsidRPr="00BD6C5F">
        <w:t>] and [</w:t>
      </w:r>
      <w:r w:rsidR="00183F6E" w:rsidRPr="00BD6C5F">
        <w:rPr>
          <w:highlight w:val="yellow"/>
        </w:rPr>
        <w:t>name of party</w:t>
      </w:r>
      <w:r w:rsidR="00183F6E" w:rsidRPr="00BD6C5F">
        <w:t>] dated [</w:t>
      </w:r>
      <w:r w:rsidR="00183F6E" w:rsidRPr="00BD6C5F">
        <w:rPr>
          <w:highlight w:val="yellow"/>
        </w:rPr>
        <w:t>date</w:t>
      </w:r>
      <w:r w:rsidR="00183F6E" w:rsidRPr="00BD6C5F">
        <w:t>]</w:t>
      </w:r>
    </w:p>
    <w:p w14:paraId="0701CA6F" w14:textId="77777777" w:rsidR="00E31437" w:rsidRPr="00BD6C5F" w:rsidRDefault="00E31437" w:rsidP="00E31437"/>
    <w:p w14:paraId="353D5751" w14:textId="75970C58" w:rsidR="00BC7DDA" w:rsidRPr="00BD6C5F" w:rsidRDefault="00183F6E" w:rsidP="00B71FC0">
      <w:pPr>
        <w:pStyle w:val="Numbered1"/>
        <w:numPr>
          <w:ilvl w:val="0"/>
          <w:numId w:val="100"/>
        </w:numPr>
      </w:pPr>
      <w:r w:rsidRPr="00BD6C5F">
        <w:t>Definitions</w:t>
      </w:r>
    </w:p>
    <w:p w14:paraId="27FABBEE" w14:textId="77777777" w:rsidR="00BC7DDA" w:rsidRPr="00BD6C5F" w:rsidRDefault="009B03E9" w:rsidP="00C70900">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0D96B915" w14:textId="77777777" w:rsidTr="00771E5A">
        <w:tc>
          <w:tcPr>
            <w:tcW w:w="3572" w:type="dxa"/>
          </w:tcPr>
          <w:p w14:paraId="3014927F" w14:textId="4BE2A0E7"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Benchmarked Service</w:t>
            </w:r>
            <w:r w:rsidRPr="00BD6C5F">
              <w:rPr>
                <w:rFonts w:asciiTheme="minorHAnsi" w:hAnsiTheme="minorHAnsi" w:cstheme="minorHAnsi"/>
                <w:b/>
              </w:rPr>
              <w:t>”</w:t>
            </w:r>
          </w:p>
        </w:tc>
        <w:tc>
          <w:tcPr>
            <w:tcW w:w="5953" w:type="dxa"/>
          </w:tcPr>
          <w:p w14:paraId="2044E1CA" w14:textId="55ACC4E1" w:rsidR="00BC7DDA" w:rsidRPr="00BD6C5F" w:rsidRDefault="009B03E9" w:rsidP="00E31437">
            <w:pPr>
              <w:pStyle w:val="Tabletext"/>
            </w:pPr>
            <w:r w:rsidRPr="00BD6C5F">
              <w:t xml:space="preserve">a Service that the Authority elects to include in a Benchmark Review under Paragraph </w:t>
            </w:r>
            <w:r w:rsidR="00F53A14" w:rsidRPr="00BD6C5F">
              <w:fldChar w:fldCharType="begin"/>
            </w:r>
            <w:r w:rsidR="00F53A14" w:rsidRPr="00BD6C5F">
              <w:instrText xml:space="preserve"> REF _Ref98413252 \n \h </w:instrText>
            </w:r>
            <w:r w:rsidR="00AD7DD0" w:rsidRPr="00BD6C5F">
              <w:instrText xml:space="preserve"> \* MERGEFORMAT </w:instrText>
            </w:r>
            <w:r w:rsidR="00F53A14" w:rsidRPr="00BD6C5F">
              <w:fldChar w:fldCharType="separate"/>
            </w:r>
            <w:r w:rsidR="009749A0">
              <w:t>2.3</w:t>
            </w:r>
            <w:r w:rsidR="00F53A14" w:rsidRPr="00BD6C5F">
              <w:fldChar w:fldCharType="end"/>
            </w:r>
            <w:r w:rsidRPr="00BD6C5F">
              <w:t>;</w:t>
            </w:r>
          </w:p>
        </w:tc>
      </w:tr>
      <w:tr w:rsidR="00BC7DDA" w:rsidRPr="00BD6C5F" w14:paraId="1A58219E" w14:textId="77777777" w:rsidTr="00771E5A">
        <w:tc>
          <w:tcPr>
            <w:tcW w:w="3572" w:type="dxa"/>
          </w:tcPr>
          <w:p w14:paraId="6A472508" w14:textId="18853635"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Benchmarker</w:t>
            </w:r>
            <w:r w:rsidRPr="00BD6C5F">
              <w:rPr>
                <w:rFonts w:asciiTheme="minorHAnsi" w:hAnsiTheme="minorHAnsi" w:cstheme="minorHAnsi"/>
                <w:b/>
              </w:rPr>
              <w:t>”</w:t>
            </w:r>
          </w:p>
        </w:tc>
        <w:tc>
          <w:tcPr>
            <w:tcW w:w="5953" w:type="dxa"/>
          </w:tcPr>
          <w:p w14:paraId="46648BE8" w14:textId="40A1EB9D"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 xml:space="preserve">the independent third party appointed under Paragraph </w:t>
            </w:r>
            <w:r w:rsidR="00AF11CE" w:rsidRPr="00BD6C5F">
              <w:rPr>
                <w:rFonts w:asciiTheme="minorHAnsi" w:hAnsiTheme="minorHAnsi" w:cstheme="minorHAnsi"/>
              </w:rPr>
              <w:fldChar w:fldCharType="begin"/>
            </w:r>
            <w:r w:rsidR="00AF11CE" w:rsidRPr="00BD6C5F">
              <w:rPr>
                <w:rFonts w:asciiTheme="minorHAnsi" w:hAnsiTheme="minorHAnsi" w:cstheme="minorHAnsi"/>
              </w:rPr>
              <w:instrText xml:space="preserve"> REF _Ref98413261 \n \h </w:instrText>
            </w:r>
            <w:r w:rsidR="00AD7DD0" w:rsidRPr="00BD6C5F">
              <w:rPr>
                <w:rFonts w:asciiTheme="minorHAnsi" w:hAnsiTheme="minorHAnsi" w:cstheme="minorHAnsi"/>
              </w:rPr>
              <w:instrText xml:space="preserve"> \* MERGEFORMAT </w:instrText>
            </w:r>
            <w:r w:rsidR="00AF11CE" w:rsidRPr="00BD6C5F">
              <w:rPr>
                <w:rFonts w:asciiTheme="minorHAnsi" w:hAnsiTheme="minorHAnsi" w:cstheme="minorHAnsi"/>
              </w:rPr>
            </w:r>
            <w:r w:rsidR="00AF11CE" w:rsidRPr="00BD6C5F">
              <w:rPr>
                <w:rFonts w:asciiTheme="minorHAnsi" w:hAnsiTheme="minorHAnsi" w:cstheme="minorHAnsi"/>
              </w:rPr>
              <w:fldChar w:fldCharType="separate"/>
            </w:r>
            <w:r w:rsidR="009749A0">
              <w:rPr>
                <w:rFonts w:asciiTheme="minorHAnsi" w:hAnsiTheme="minorHAnsi" w:cstheme="minorHAnsi"/>
              </w:rPr>
              <w:t>3.1</w:t>
            </w:r>
            <w:r w:rsidR="00AF11CE"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B15D15F" w14:textId="77777777" w:rsidTr="00771E5A">
        <w:tc>
          <w:tcPr>
            <w:tcW w:w="3572" w:type="dxa"/>
          </w:tcPr>
          <w:p w14:paraId="420E782D" w14:textId="7CCD9A01"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Benchmark Report</w:t>
            </w:r>
            <w:r w:rsidRPr="00BD6C5F">
              <w:rPr>
                <w:rFonts w:asciiTheme="minorHAnsi" w:hAnsiTheme="minorHAnsi" w:cstheme="minorHAnsi"/>
                <w:b/>
              </w:rPr>
              <w:t>”</w:t>
            </w:r>
          </w:p>
        </w:tc>
        <w:tc>
          <w:tcPr>
            <w:tcW w:w="5953" w:type="dxa"/>
          </w:tcPr>
          <w:p w14:paraId="40251EA7" w14:textId="7B0F5403"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 xml:space="preserve">the report produced by the Benchmarker following the Benchmark Review as further described in Paragraph </w:t>
            </w:r>
            <w:r w:rsidR="00AF11CE" w:rsidRPr="00BD6C5F">
              <w:rPr>
                <w:rFonts w:asciiTheme="minorHAnsi" w:hAnsiTheme="minorHAnsi" w:cstheme="minorHAnsi"/>
              </w:rPr>
              <w:fldChar w:fldCharType="begin"/>
            </w:r>
            <w:r w:rsidR="00AF11CE" w:rsidRPr="00BD6C5F">
              <w:rPr>
                <w:rFonts w:asciiTheme="minorHAnsi" w:hAnsiTheme="minorHAnsi" w:cstheme="minorHAnsi"/>
              </w:rPr>
              <w:instrText xml:space="preserve"> REF _Ref98413272 \n \h </w:instrText>
            </w:r>
            <w:r w:rsidR="00AD7DD0" w:rsidRPr="00BD6C5F">
              <w:rPr>
                <w:rFonts w:asciiTheme="minorHAnsi" w:hAnsiTheme="minorHAnsi" w:cstheme="minorHAnsi"/>
              </w:rPr>
              <w:instrText xml:space="preserve"> \* MERGEFORMAT </w:instrText>
            </w:r>
            <w:r w:rsidR="00AF11CE" w:rsidRPr="00BD6C5F">
              <w:rPr>
                <w:rFonts w:asciiTheme="minorHAnsi" w:hAnsiTheme="minorHAnsi" w:cstheme="minorHAnsi"/>
              </w:rPr>
            </w:r>
            <w:r w:rsidR="00AF11CE" w:rsidRPr="00BD6C5F">
              <w:rPr>
                <w:rFonts w:asciiTheme="minorHAnsi" w:hAnsiTheme="minorHAnsi" w:cstheme="minorHAnsi"/>
              </w:rPr>
              <w:fldChar w:fldCharType="separate"/>
            </w:r>
            <w:r w:rsidR="009749A0">
              <w:rPr>
                <w:rFonts w:asciiTheme="minorHAnsi" w:hAnsiTheme="minorHAnsi" w:cstheme="minorHAnsi"/>
              </w:rPr>
              <w:t>5</w:t>
            </w:r>
            <w:r w:rsidR="00AF11CE"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0411F96A" w14:textId="77777777" w:rsidTr="00771E5A">
        <w:tc>
          <w:tcPr>
            <w:tcW w:w="3572" w:type="dxa"/>
          </w:tcPr>
          <w:p w14:paraId="3F0E0826" w14:textId="48A00129"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Benchmark Review</w:t>
            </w:r>
            <w:r w:rsidRPr="00BD6C5F">
              <w:rPr>
                <w:rFonts w:asciiTheme="minorHAnsi" w:hAnsiTheme="minorHAnsi" w:cstheme="minorHAnsi"/>
                <w:b/>
              </w:rPr>
              <w:t>”</w:t>
            </w:r>
          </w:p>
        </w:tc>
        <w:tc>
          <w:tcPr>
            <w:tcW w:w="5953" w:type="dxa"/>
          </w:tcPr>
          <w:p w14:paraId="185B5D2B" w14:textId="07BE2528"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 xml:space="preserve">a review of one or more of the Services carried out in accordance with Paragraph </w:t>
            </w:r>
            <w:r w:rsidR="00AF11CE" w:rsidRPr="00BD6C5F">
              <w:rPr>
                <w:rFonts w:asciiTheme="minorHAnsi" w:hAnsiTheme="minorHAnsi" w:cstheme="minorHAnsi"/>
              </w:rPr>
              <w:fldChar w:fldCharType="begin"/>
            </w:r>
            <w:r w:rsidR="00AF11CE" w:rsidRPr="00BD6C5F">
              <w:rPr>
                <w:rFonts w:asciiTheme="minorHAnsi" w:hAnsiTheme="minorHAnsi" w:cstheme="minorHAnsi"/>
              </w:rPr>
              <w:instrText xml:space="preserve"> REF _Ref98413282 \n \h </w:instrText>
            </w:r>
            <w:r w:rsidR="00AD7DD0" w:rsidRPr="00BD6C5F">
              <w:rPr>
                <w:rFonts w:asciiTheme="minorHAnsi" w:hAnsiTheme="minorHAnsi" w:cstheme="minorHAnsi"/>
              </w:rPr>
              <w:instrText xml:space="preserve"> \* MERGEFORMAT </w:instrText>
            </w:r>
            <w:r w:rsidR="00AF11CE" w:rsidRPr="00BD6C5F">
              <w:rPr>
                <w:rFonts w:asciiTheme="minorHAnsi" w:hAnsiTheme="minorHAnsi" w:cstheme="minorHAnsi"/>
              </w:rPr>
            </w:r>
            <w:r w:rsidR="00AF11CE" w:rsidRPr="00BD6C5F">
              <w:rPr>
                <w:rFonts w:asciiTheme="minorHAnsi" w:hAnsiTheme="minorHAnsi" w:cstheme="minorHAnsi"/>
              </w:rPr>
              <w:fldChar w:fldCharType="separate"/>
            </w:r>
            <w:r w:rsidR="009749A0">
              <w:rPr>
                <w:rFonts w:asciiTheme="minorHAnsi" w:hAnsiTheme="minorHAnsi" w:cstheme="minorHAnsi"/>
              </w:rPr>
              <w:t>4</w:t>
            </w:r>
            <w:r w:rsidR="00AF11CE" w:rsidRPr="00BD6C5F">
              <w:rPr>
                <w:rFonts w:asciiTheme="minorHAnsi" w:hAnsiTheme="minorHAnsi" w:cstheme="minorHAnsi"/>
              </w:rPr>
              <w:fldChar w:fldCharType="end"/>
            </w:r>
            <w:r w:rsidRPr="00BD6C5F">
              <w:rPr>
                <w:rFonts w:asciiTheme="minorHAnsi" w:hAnsiTheme="minorHAnsi" w:cstheme="minorHAnsi"/>
              </w:rPr>
              <w:t xml:space="preserve"> to determine whether those Services represent Good Value;</w:t>
            </w:r>
          </w:p>
        </w:tc>
      </w:tr>
      <w:tr w:rsidR="00BC7DDA" w:rsidRPr="00BD6C5F" w14:paraId="4928B8B5" w14:textId="77777777" w:rsidTr="00771E5A">
        <w:tc>
          <w:tcPr>
            <w:tcW w:w="3572" w:type="dxa"/>
          </w:tcPr>
          <w:p w14:paraId="409A133A" w14:textId="3759A576"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Comparable Service</w:t>
            </w:r>
            <w:r w:rsidRPr="00BD6C5F">
              <w:rPr>
                <w:rFonts w:asciiTheme="minorHAnsi" w:hAnsiTheme="minorHAnsi" w:cstheme="minorHAnsi"/>
                <w:b/>
              </w:rPr>
              <w:t>”</w:t>
            </w:r>
          </w:p>
        </w:tc>
        <w:tc>
          <w:tcPr>
            <w:tcW w:w="5953" w:type="dxa"/>
          </w:tcPr>
          <w:p w14:paraId="71E068FD" w14:textId="77777777"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in relation to a Benchmarked Service, a service that is identical or materially similar to the Benchmarked Service (including in terms of scope, specification, volume and quality of performance);</w:t>
            </w:r>
          </w:p>
        </w:tc>
      </w:tr>
      <w:tr w:rsidR="00BC7DDA" w:rsidRPr="00BD6C5F" w14:paraId="498859E7" w14:textId="77777777" w:rsidTr="00771E5A">
        <w:tc>
          <w:tcPr>
            <w:tcW w:w="3572" w:type="dxa"/>
          </w:tcPr>
          <w:p w14:paraId="3A42C8E7" w14:textId="43550423"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Comparison Group</w:t>
            </w:r>
            <w:r w:rsidRPr="00BD6C5F">
              <w:rPr>
                <w:rFonts w:asciiTheme="minorHAnsi" w:hAnsiTheme="minorHAnsi" w:cstheme="minorHAnsi"/>
                <w:b/>
              </w:rPr>
              <w:t>”</w:t>
            </w:r>
          </w:p>
        </w:tc>
        <w:tc>
          <w:tcPr>
            <w:tcW w:w="5953" w:type="dxa"/>
          </w:tcPr>
          <w:p w14:paraId="2F2214E5" w14:textId="46504760"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 xml:space="preserve">in relation to a Comparable Service, a sample group of organisations providing the Comparable Service identified by the Benchmarker under Paragraph </w:t>
            </w:r>
            <w:r w:rsidR="00AF11CE" w:rsidRPr="00BD6C5F">
              <w:rPr>
                <w:rFonts w:asciiTheme="minorHAnsi" w:hAnsiTheme="minorHAnsi" w:cstheme="minorHAnsi"/>
              </w:rPr>
              <w:fldChar w:fldCharType="begin"/>
            </w:r>
            <w:r w:rsidR="00AF11CE" w:rsidRPr="00BD6C5F">
              <w:rPr>
                <w:rFonts w:asciiTheme="minorHAnsi" w:hAnsiTheme="minorHAnsi" w:cstheme="minorHAnsi"/>
              </w:rPr>
              <w:instrText xml:space="preserve"> REF _Ref98413295 \n \h </w:instrText>
            </w:r>
            <w:r w:rsidR="00AD7DD0" w:rsidRPr="00BD6C5F">
              <w:rPr>
                <w:rFonts w:asciiTheme="minorHAnsi" w:hAnsiTheme="minorHAnsi" w:cstheme="minorHAnsi"/>
              </w:rPr>
              <w:instrText xml:space="preserve"> \* MERGEFORMAT </w:instrText>
            </w:r>
            <w:r w:rsidR="00AF11CE" w:rsidRPr="00BD6C5F">
              <w:rPr>
                <w:rFonts w:asciiTheme="minorHAnsi" w:hAnsiTheme="minorHAnsi" w:cstheme="minorHAnsi"/>
              </w:rPr>
            </w:r>
            <w:r w:rsidR="00AF11CE" w:rsidRPr="00BD6C5F">
              <w:rPr>
                <w:rFonts w:asciiTheme="minorHAnsi" w:hAnsiTheme="minorHAnsi" w:cstheme="minorHAnsi"/>
              </w:rPr>
              <w:fldChar w:fldCharType="separate"/>
            </w:r>
            <w:r w:rsidR="009749A0">
              <w:rPr>
                <w:rFonts w:asciiTheme="minorHAnsi" w:hAnsiTheme="minorHAnsi" w:cstheme="minorHAnsi"/>
              </w:rPr>
              <w:t>4.8</w:t>
            </w:r>
            <w:r w:rsidR="00AF11CE" w:rsidRPr="00BD6C5F">
              <w:rPr>
                <w:rFonts w:asciiTheme="minorHAnsi" w:hAnsiTheme="minorHAnsi" w:cstheme="minorHAnsi"/>
              </w:rPr>
              <w:fldChar w:fldCharType="end"/>
            </w:r>
            <w:r w:rsidRPr="00BD6C5F">
              <w:rPr>
                <w:rFonts w:asciiTheme="minorHAnsi" w:hAnsiTheme="minorHAnsi" w:cstheme="minorHAnsi"/>
              </w:rPr>
              <w:t xml:space="preserve"> which consists of organisations which are either of similar size to the Supplier or which are similarly structured in terms of their business and their service offering so as to be (in the Benchmarker</w:t>
            </w:r>
            <w:r w:rsidR="00A4555C" w:rsidRPr="00BD6C5F">
              <w:rPr>
                <w:rFonts w:asciiTheme="minorHAnsi" w:hAnsiTheme="minorHAnsi" w:cstheme="minorHAnsi"/>
              </w:rPr>
              <w:t>’</w:t>
            </w:r>
            <w:r w:rsidRPr="00BD6C5F">
              <w:rPr>
                <w:rFonts w:asciiTheme="minorHAnsi" w:hAnsiTheme="minorHAnsi" w:cstheme="minorHAnsi"/>
              </w:rPr>
              <w:t>s professional opinion) fair comparators with the Supplier or which, in the professional opinion of the Benchmarker, are best practice organisations and, where there are a reasonable number of such organisations, referencing only those organisations that are carrying on at least a significant part of their business within the United Kingdom;</w:t>
            </w:r>
          </w:p>
        </w:tc>
      </w:tr>
      <w:tr w:rsidR="00BC7DDA" w:rsidRPr="00BD6C5F" w14:paraId="6535EE2C" w14:textId="77777777" w:rsidTr="00771E5A">
        <w:tc>
          <w:tcPr>
            <w:tcW w:w="3572" w:type="dxa"/>
          </w:tcPr>
          <w:p w14:paraId="0EEDBC0D" w14:textId="26BA0441"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Equivalent Services Data</w:t>
            </w:r>
            <w:r w:rsidRPr="00BD6C5F">
              <w:rPr>
                <w:rFonts w:asciiTheme="minorHAnsi" w:hAnsiTheme="minorHAnsi" w:cstheme="minorHAnsi"/>
                <w:b/>
              </w:rPr>
              <w:t>”</w:t>
            </w:r>
          </w:p>
        </w:tc>
        <w:tc>
          <w:tcPr>
            <w:tcW w:w="5953" w:type="dxa"/>
          </w:tcPr>
          <w:p w14:paraId="1E1D4D94" w14:textId="50DB81DC"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 xml:space="preserve">in relation to a Comparable Service, data derived from an analysis of the Comparable Service provided by the Comparison Group as adjusted in accordance with Paragraphs </w:t>
            </w:r>
            <w:r w:rsidR="007B7833" w:rsidRPr="00BD6C5F">
              <w:rPr>
                <w:rFonts w:asciiTheme="minorHAnsi" w:hAnsiTheme="minorHAnsi" w:cstheme="minorHAnsi"/>
              </w:rPr>
              <w:fldChar w:fldCharType="begin"/>
            </w:r>
            <w:r w:rsidR="007B7833" w:rsidRPr="00BD6C5F">
              <w:rPr>
                <w:rFonts w:asciiTheme="minorHAnsi" w:hAnsiTheme="minorHAnsi" w:cstheme="minorHAnsi"/>
              </w:rPr>
              <w:instrText xml:space="preserve"> REF _Ref98413569 \w \h </w:instrText>
            </w:r>
            <w:r w:rsidR="00AD7DD0" w:rsidRPr="00BD6C5F">
              <w:rPr>
                <w:rFonts w:asciiTheme="minorHAnsi" w:hAnsiTheme="minorHAnsi" w:cstheme="minorHAnsi"/>
              </w:rPr>
              <w:instrText xml:space="preserve"> \* MERGEFORMAT </w:instrText>
            </w:r>
            <w:r w:rsidR="007B7833" w:rsidRPr="00BD6C5F">
              <w:rPr>
                <w:rFonts w:asciiTheme="minorHAnsi" w:hAnsiTheme="minorHAnsi" w:cstheme="minorHAnsi"/>
              </w:rPr>
            </w:r>
            <w:r w:rsidR="007B7833" w:rsidRPr="00BD6C5F">
              <w:rPr>
                <w:rFonts w:asciiTheme="minorHAnsi" w:hAnsiTheme="minorHAnsi" w:cstheme="minorHAnsi"/>
              </w:rPr>
              <w:fldChar w:fldCharType="separate"/>
            </w:r>
            <w:r w:rsidR="009749A0">
              <w:rPr>
                <w:rFonts w:asciiTheme="minorHAnsi" w:hAnsiTheme="minorHAnsi" w:cstheme="minorHAnsi"/>
              </w:rPr>
              <w:t>4.8.1</w:t>
            </w:r>
            <w:r w:rsidR="007B7833" w:rsidRPr="00BD6C5F">
              <w:rPr>
                <w:rFonts w:asciiTheme="minorHAnsi" w:hAnsiTheme="minorHAnsi" w:cstheme="minorHAnsi"/>
              </w:rPr>
              <w:fldChar w:fldCharType="end"/>
            </w:r>
            <w:r w:rsidRPr="00BD6C5F">
              <w:rPr>
                <w:rFonts w:asciiTheme="minorHAnsi" w:hAnsiTheme="minorHAnsi" w:cstheme="minorHAnsi"/>
              </w:rPr>
              <w:t xml:space="preserve"> and </w:t>
            </w:r>
            <w:r w:rsidR="007B7833" w:rsidRPr="00BD6C5F">
              <w:rPr>
                <w:rFonts w:asciiTheme="minorHAnsi" w:hAnsiTheme="minorHAnsi" w:cstheme="minorHAnsi"/>
              </w:rPr>
              <w:fldChar w:fldCharType="begin"/>
            </w:r>
            <w:r w:rsidR="007B7833" w:rsidRPr="00BD6C5F">
              <w:rPr>
                <w:rFonts w:asciiTheme="minorHAnsi" w:hAnsiTheme="minorHAnsi" w:cstheme="minorHAnsi"/>
              </w:rPr>
              <w:instrText xml:space="preserve"> REF _Ref98413666 \n \h </w:instrText>
            </w:r>
            <w:r w:rsidR="00AD7DD0" w:rsidRPr="00BD6C5F">
              <w:rPr>
                <w:rFonts w:asciiTheme="minorHAnsi" w:hAnsiTheme="minorHAnsi" w:cstheme="minorHAnsi"/>
              </w:rPr>
              <w:instrText xml:space="preserve"> \* MERGEFORMAT </w:instrText>
            </w:r>
            <w:r w:rsidR="007B7833" w:rsidRPr="00BD6C5F">
              <w:rPr>
                <w:rFonts w:asciiTheme="minorHAnsi" w:hAnsiTheme="minorHAnsi" w:cstheme="minorHAnsi"/>
              </w:rPr>
            </w:r>
            <w:r w:rsidR="007B7833" w:rsidRPr="00BD6C5F">
              <w:rPr>
                <w:rFonts w:asciiTheme="minorHAnsi" w:hAnsiTheme="minorHAnsi" w:cstheme="minorHAnsi"/>
              </w:rPr>
              <w:fldChar w:fldCharType="separate"/>
            </w:r>
            <w:r w:rsidR="009749A0">
              <w:rPr>
                <w:rFonts w:asciiTheme="minorHAnsi" w:hAnsiTheme="minorHAnsi" w:cstheme="minorHAnsi"/>
              </w:rPr>
              <w:t>4.9</w:t>
            </w:r>
            <w:r w:rsidR="007B7833" w:rsidRPr="00BD6C5F">
              <w:rPr>
                <w:rFonts w:asciiTheme="minorHAnsi" w:hAnsiTheme="minorHAnsi" w:cstheme="minorHAnsi"/>
              </w:rPr>
              <w:fldChar w:fldCharType="end"/>
            </w:r>
            <w:r w:rsidRPr="00BD6C5F">
              <w:rPr>
                <w:rFonts w:asciiTheme="minorHAnsi" w:hAnsiTheme="minorHAnsi" w:cstheme="minorHAnsi"/>
              </w:rPr>
              <w:t xml:space="preserve"> provided that the Benchmarker shall not use any such data that relates to a period which ended</w:t>
            </w:r>
            <w:r w:rsidR="00E31437" w:rsidRPr="00BD6C5F">
              <w:rPr>
                <w:rFonts w:asciiTheme="minorHAnsi" w:hAnsiTheme="minorHAnsi" w:cstheme="minorHAnsi"/>
              </w:rPr>
              <w:t xml:space="preserve"> </w:t>
            </w:r>
            <w:r w:rsidRPr="00BD6C5F">
              <w:rPr>
                <w:rFonts w:asciiTheme="minorHAnsi" w:hAnsiTheme="minorHAnsi" w:cstheme="minorHAnsi"/>
              </w:rPr>
              <w:t xml:space="preserve">more than 36 months prior to </w:t>
            </w:r>
            <w:r w:rsidRPr="00BD6C5F">
              <w:rPr>
                <w:rFonts w:asciiTheme="minorHAnsi" w:hAnsiTheme="minorHAnsi" w:cstheme="minorHAnsi"/>
              </w:rPr>
              <w:lastRenderedPageBreak/>
              <w:t>the date of the appointment of the Benchmarker;</w:t>
            </w:r>
          </w:p>
        </w:tc>
      </w:tr>
      <w:tr w:rsidR="00BC7DDA" w:rsidRPr="00BD6C5F" w14:paraId="7D2D6162" w14:textId="77777777" w:rsidTr="00771E5A">
        <w:tc>
          <w:tcPr>
            <w:tcW w:w="3572" w:type="dxa"/>
          </w:tcPr>
          <w:p w14:paraId="2EA8B479" w14:textId="05548984"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Good Value</w:t>
            </w:r>
            <w:r w:rsidRPr="00BD6C5F">
              <w:rPr>
                <w:rFonts w:asciiTheme="minorHAnsi" w:hAnsiTheme="minorHAnsi" w:cstheme="minorHAnsi"/>
                <w:b/>
              </w:rPr>
              <w:t>”</w:t>
            </w:r>
          </w:p>
        </w:tc>
        <w:tc>
          <w:tcPr>
            <w:tcW w:w="5953" w:type="dxa"/>
          </w:tcPr>
          <w:p w14:paraId="192044C0" w14:textId="77777777"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in relation to a Benchmarked Service, that:</w:t>
            </w:r>
          </w:p>
          <w:p w14:paraId="05FA3579" w14:textId="0CE22310" w:rsidR="00BC7DDA" w:rsidRPr="00BD6C5F" w:rsidRDefault="009B03E9" w:rsidP="00771E5A">
            <w:pPr>
              <w:pStyle w:val="Tablea"/>
            </w:pPr>
            <w:r w:rsidRPr="00BD6C5F">
              <w:t xml:space="preserve">having taken into account the Performance Indicators and Target </w:t>
            </w:r>
            <w:r w:rsidR="00124981">
              <w:t>Performance</w:t>
            </w:r>
            <w:r w:rsidRPr="00BD6C5F">
              <w:t xml:space="preserve"> Levels, the value for money of the Charges attributable to that Benchmarked Service is at least as good as the value for money of the Upper Quartile; and</w:t>
            </w:r>
          </w:p>
          <w:p w14:paraId="6AE20D84" w14:textId="1C4448F5" w:rsidR="00BC7DDA" w:rsidRPr="00BD6C5F" w:rsidRDefault="009B03E9" w:rsidP="003A5D4B">
            <w:pPr>
              <w:pStyle w:val="Tablea"/>
            </w:pPr>
            <w:r w:rsidRPr="00BD6C5F">
              <w:t xml:space="preserve">any Performance Indicators and Target </w:t>
            </w:r>
            <w:r w:rsidR="00124981">
              <w:t>Performance</w:t>
            </w:r>
            <w:r w:rsidRPr="00BD6C5F">
              <w:t xml:space="preserve"> Levels applicable to that Benchmarked Service are, having taken into account the Charges, equal to or better than the median service levels for the Comparable Service using Equivalent Services Data; and</w:t>
            </w:r>
          </w:p>
        </w:tc>
      </w:tr>
      <w:tr w:rsidR="00BC7DDA" w:rsidRPr="00BD6C5F" w14:paraId="119FDDFF" w14:textId="77777777" w:rsidTr="00771E5A">
        <w:tc>
          <w:tcPr>
            <w:tcW w:w="3572" w:type="dxa"/>
          </w:tcPr>
          <w:p w14:paraId="50FDE41D" w14:textId="2076163B" w:rsidR="00BC7DDA" w:rsidRPr="00BD6C5F" w:rsidRDefault="00A4555C" w:rsidP="00E3143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Upper Quartile</w:t>
            </w:r>
            <w:r w:rsidRPr="00BD6C5F">
              <w:rPr>
                <w:rFonts w:asciiTheme="minorHAnsi" w:hAnsiTheme="minorHAnsi" w:cstheme="minorHAnsi"/>
                <w:b/>
              </w:rPr>
              <w:t>”</w:t>
            </w:r>
          </w:p>
        </w:tc>
        <w:tc>
          <w:tcPr>
            <w:tcW w:w="5953" w:type="dxa"/>
          </w:tcPr>
          <w:p w14:paraId="20D4752C" w14:textId="1E4C33F1" w:rsidR="00BC7DDA" w:rsidRPr="00BD6C5F" w:rsidRDefault="009B03E9" w:rsidP="00E31437">
            <w:pPr>
              <w:pStyle w:val="Tabletext"/>
              <w:rPr>
                <w:rFonts w:asciiTheme="minorHAnsi" w:hAnsiTheme="minorHAnsi" w:cstheme="minorHAnsi"/>
              </w:rPr>
            </w:pPr>
            <w:r w:rsidRPr="00BD6C5F">
              <w:rPr>
                <w:rFonts w:asciiTheme="minorHAnsi" w:hAnsiTheme="minorHAnsi" w:cstheme="minorHAnsi"/>
              </w:rPr>
              <w:t>the top 25% of instances of provision of a Comparable Service by members of the</w:t>
            </w:r>
            <w:r w:rsidR="00E31437" w:rsidRPr="00BD6C5F">
              <w:rPr>
                <w:rFonts w:asciiTheme="minorHAnsi" w:hAnsiTheme="minorHAnsi" w:cstheme="minorHAnsi"/>
              </w:rPr>
              <w:t xml:space="preserve"> </w:t>
            </w:r>
            <w:r w:rsidRPr="00BD6C5F">
              <w:rPr>
                <w:rFonts w:asciiTheme="minorHAnsi" w:hAnsiTheme="minorHAnsi" w:cstheme="minorHAnsi"/>
              </w:rPr>
              <w:t>Comparison Group ranked by best value for money to the recipients of that Comparable Service.</w:t>
            </w:r>
          </w:p>
        </w:tc>
      </w:tr>
    </w:tbl>
    <w:p w14:paraId="4CA5FDF0" w14:textId="3CF27773" w:rsidR="00BC7DDA" w:rsidRPr="00BD6C5F" w:rsidRDefault="00183F6E" w:rsidP="00C5057A">
      <w:pPr>
        <w:pStyle w:val="Numbered1"/>
      </w:pPr>
      <w:r w:rsidRPr="00BD6C5F">
        <w:t>Frequency, Purpose and Scope of Benchmark Review</w:t>
      </w:r>
    </w:p>
    <w:p w14:paraId="170BB95B" w14:textId="77777777" w:rsidR="00BC7DDA" w:rsidRPr="00BD6C5F" w:rsidRDefault="009B03E9" w:rsidP="00C5057A">
      <w:pPr>
        <w:pStyle w:val="Numbered11"/>
      </w:pPr>
      <w:bookmarkStart w:id="788" w:name="_bookmark262"/>
      <w:bookmarkStart w:id="789" w:name="_Ref98413886"/>
      <w:bookmarkEnd w:id="788"/>
      <w:r w:rsidRPr="00BD6C5F">
        <w:t>The Authority may, by written notice to the Supplier, require a Benchmark Review of any or all of the Services in order to establish whether a Benchmarked Service is, and/or the Benchmarked Services as a whole are, Good Value.</w:t>
      </w:r>
      <w:bookmarkEnd w:id="789"/>
    </w:p>
    <w:p w14:paraId="37D29161" w14:textId="77777777" w:rsidR="00BC7DDA" w:rsidRPr="00BD6C5F" w:rsidRDefault="009B03E9" w:rsidP="00C5057A">
      <w:pPr>
        <w:pStyle w:val="Numbered11"/>
      </w:pPr>
      <w:r w:rsidRPr="00BD6C5F">
        <w:t>The Authority shall not be entitled to carry out a Benchmark Review of any Services during the 12 month period from the Operational Service Commencement Date for those Services, nor at intervals of less than 12 months after any previous Benchmark Review relating to the same Services.</w:t>
      </w:r>
    </w:p>
    <w:p w14:paraId="24200E5B" w14:textId="5DECDB9B" w:rsidR="00BC7DDA" w:rsidRPr="00BD6C5F" w:rsidRDefault="009B03E9" w:rsidP="00C5057A">
      <w:pPr>
        <w:pStyle w:val="Numbered11"/>
      </w:pPr>
      <w:bookmarkStart w:id="790" w:name="_bookmark263"/>
      <w:bookmarkStart w:id="791" w:name="_Ref98413252"/>
      <w:bookmarkEnd w:id="790"/>
      <w:r w:rsidRPr="00BD6C5F">
        <w:t xml:space="preserve">The Services that are to be the Benchmarked Services shall be identified by the Authority in the notice given under Paragraph </w:t>
      </w:r>
      <w:r w:rsidR="007B7833" w:rsidRPr="00BD6C5F">
        <w:fldChar w:fldCharType="begin"/>
      </w:r>
      <w:r w:rsidR="007B7833" w:rsidRPr="00BD6C5F">
        <w:instrText xml:space="preserve"> REF _Ref98413886 \n \h </w:instrText>
      </w:r>
      <w:r w:rsidR="00AD7DD0" w:rsidRPr="00BD6C5F">
        <w:instrText xml:space="preserve"> \* MERGEFORMAT </w:instrText>
      </w:r>
      <w:r w:rsidR="007B7833" w:rsidRPr="00BD6C5F">
        <w:fldChar w:fldCharType="separate"/>
      </w:r>
      <w:r w:rsidR="009749A0">
        <w:t>2.1</w:t>
      </w:r>
      <w:r w:rsidR="007B7833" w:rsidRPr="00BD6C5F">
        <w:fldChar w:fldCharType="end"/>
      </w:r>
      <w:r w:rsidRPr="00BD6C5F">
        <w:t>.</w:t>
      </w:r>
      <w:bookmarkEnd w:id="791"/>
    </w:p>
    <w:p w14:paraId="7CD383E9" w14:textId="12B52033" w:rsidR="00BC7DDA" w:rsidRPr="00BD6C5F" w:rsidRDefault="00183F6E" w:rsidP="00C5057A">
      <w:pPr>
        <w:pStyle w:val="Numbered1"/>
      </w:pPr>
      <w:r w:rsidRPr="00BD6C5F">
        <w:t>Appointment of Benchmarker</w:t>
      </w:r>
    </w:p>
    <w:p w14:paraId="59786D17" w14:textId="74298CB5" w:rsidR="00BC7DDA" w:rsidRPr="00BD6C5F" w:rsidRDefault="009B03E9" w:rsidP="00C5057A">
      <w:pPr>
        <w:pStyle w:val="Numbered11"/>
      </w:pPr>
      <w:bookmarkStart w:id="792" w:name="_bookmark264"/>
      <w:bookmarkStart w:id="793" w:name="_Ref98413261"/>
      <w:bookmarkEnd w:id="792"/>
      <w:r w:rsidRPr="00BD6C5F">
        <w:t xml:space="preserve">The Authority shall appoint as the Benchmarker to carry out the Benchmark Review either an organisation on the list of organisations set out in </w:t>
      </w:r>
      <w:r w:rsidR="00A93D47">
        <w:t>Annex </w:t>
      </w:r>
      <w:r w:rsidR="00A93D47">
        <w:fldChar w:fldCharType="begin"/>
      </w:r>
      <w:r w:rsidR="00A93D47">
        <w:instrText xml:space="preserve"> REF Schedule_17_Annex_1 \h </w:instrText>
      </w:r>
      <w:r w:rsidR="00A93D47">
        <w:fldChar w:fldCharType="separate"/>
      </w:r>
      <w:r w:rsidR="009749A0">
        <w:t>1</w:t>
      </w:r>
      <w:r w:rsidR="00A93D47">
        <w:fldChar w:fldCharType="end"/>
      </w:r>
      <w:r w:rsidRPr="00BD6C5F">
        <w:t xml:space="preserve"> or such other organisation as may be agreed in writing between the Parties.</w:t>
      </w:r>
      <w:bookmarkEnd w:id="793"/>
    </w:p>
    <w:p w14:paraId="7BFDF779" w14:textId="434A9692" w:rsidR="00BC7DDA" w:rsidRPr="00BD6C5F" w:rsidRDefault="009B03E9" w:rsidP="00C5057A">
      <w:pPr>
        <w:pStyle w:val="Numbered11"/>
      </w:pPr>
      <w:r w:rsidRPr="00BD6C5F">
        <w:t xml:space="preserve">The Authority shall, at the written request of the Supplier, require the Benchmarker to enter into a confidentiality agreement with the Supplier in, or substantially in, the form set out in </w:t>
      </w:r>
      <w:r w:rsidR="00DF7441">
        <w:t>Annex </w:t>
      </w:r>
      <w:r w:rsidR="00DF7441">
        <w:fldChar w:fldCharType="begin"/>
      </w:r>
      <w:r w:rsidR="00DF7441">
        <w:instrText xml:space="preserve"> REF Schedule_17_Annex_2 \h </w:instrText>
      </w:r>
      <w:r w:rsidR="00DF7441">
        <w:fldChar w:fldCharType="separate"/>
      </w:r>
      <w:r w:rsidR="009749A0">
        <w:t>2</w:t>
      </w:r>
      <w:r w:rsidR="00DF7441">
        <w:fldChar w:fldCharType="end"/>
      </w:r>
      <w:r w:rsidRPr="00BD6C5F">
        <w:t>.</w:t>
      </w:r>
    </w:p>
    <w:p w14:paraId="590BE147" w14:textId="77777777" w:rsidR="00BC7DDA" w:rsidRPr="00BD6C5F" w:rsidRDefault="009B03E9" w:rsidP="00C5057A">
      <w:pPr>
        <w:pStyle w:val="Numbered11"/>
      </w:pPr>
      <w:r w:rsidRPr="00BD6C5F">
        <w:t>The costs and expenses of the Benchmarker and the Benchmark Review shall be shared equally between both Parties provided that each Party shall bear its own internal costs of the Benchmark Review. The Benchmarker shall not be compensated on a contingency fee or incentive basis.</w:t>
      </w:r>
    </w:p>
    <w:p w14:paraId="0229F6CC" w14:textId="7C6A6978" w:rsidR="00BC7DDA" w:rsidRPr="00BD6C5F" w:rsidRDefault="009B03E9" w:rsidP="00C5057A">
      <w:pPr>
        <w:pStyle w:val="Numbered11"/>
      </w:pPr>
      <w:r w:rsidRPr="00BD6C5F">
        <w:t>The Authority shall be entitled to pay the Benchmarker</w:t>
      </w:r>
      <w:r w:rsidR="00A4555C" w:rsidRPr="00BD6C5F">
        <w:t>’</w:t>
      </w:r>
      <w:r w:rsidRPr="00BD6C5F">
        <w:t>s costs and expenses in full and to recover the Supplier</w:t>
      </w:r>
      <w:r w:rsidR="00A4555C" w:rsidRPr="00BD6C5F">
        <w:t>’</w:t>
      </w:r>
      <w:r w:rsidRPr="00BD6C5F">
        <w:t>s share from the Supplier.</w:t>
      </w:r>
    </w:p>
    <w:p w14:paraId="1EEDA456" w14:textId="42FD4601" w:rsidR="00BC7DDA" w:rsidRPr="00BD6C5F" w:rsidRDefault="00183F6E" w:rsidP="00C5057A">
      <w:pPr>
        <w:pStyle w:val="Numbered1"/>
      </w:pPr>
      <w:bookmarkStart w:id="794" w:name="_bookmark265"/>
      <w:bookmarkStart w:id="795" w:name="_Ref98413282"/>
      <w:bookmarkEnd w:id="794"/>
      <w:r w:rsidRPr="00BD6C5F">
        <w:lastRenderedPageBreak/>
        <w:t>Benchmark Review</w:t>
      </w:r>
      <w:bookmarkEnd w:id="795"/>
    </w:p>
    <w:p w14:paraId="1DC641E0" w14:textId="77777777" w:rsidR="00BC7DDA" w:rsidRPr="00BD6C5F" w:rsidRDefault="009B03E9" w:rsidP="00C5057A">
      <w:pPr>
        <w:pStyle w:val="Numbered11"/>
      </w:pPr>
      <w:bookmarkStart w:id="796" w:name="_bookmark266"/>
      <w:bookmarkStart w:id="797" w:name="_Ref98413937"/>
      <w:bookmarkEnd w:id="796"/>
      <w:r w:rsidRPr="00BD6C5F">
        <w:t>The Authority shall require the Benchmarker to produce, and to send to each Party for approval, a draft plan for the Benchmark Review within 10 Working Days after the date of the appointment of the Benchmarker, or such longer period as the Benchmarker shall reasonably request in all the circumstances. The plan must include:</w:t>
      </w:r>
      <w:bookmarkEnd w:id="797"/>
    </w:p>
    <w:p w14:paraId="59D9F58E" w14:textId="77777777" w:rsidR="00BC7DDA" w:rsidRPr="00BD6C5F" w:rsidRDefault="009B03E9" w:rsidP="00183F6E">
      <w:pPr>
        <w:pStyle w:val="Numbered111"/>
      </w:pPr>
      <w:r w:rsidRPr="00BD6C5F">
        <w:t>a proposed timetable for the Benchmark Review;</w:t>
      </w:r>
    </w:p>
    <w:p w14:paraId="19AE37DB" w14:textId="77777777" w:rsidR="00BC7DDA" w:rsidRPr="00BD6C5F" w:rsidRDefault="009B03E9" w:rsidP="00183F6E">
      <w:pPr>
        <w:pStyle w:val="Numbered111"/>
      </w:pPr>
      <w:r w:rsidRPr="00BD6C5F">
        <w:t>a description of the information that the Benchmarker requires each Party to provide;</w:t>
      </w:r>
    </w:p>
    <w:p w14:paraId="4BA19C48" w14:textId="77777777" w:rsidR="00BC7DDA" w:rsidRPr="00BD6C5F" w:rsidRDefault="009B03E9" w:rsidP="00183F6E">
      <w:pPr>
        <w:pStyle w:val="Numbered111"/>
      </w:pPr>
      <w:r w:rsidRPr="00BD6C5F">
        <w:t>a description of the benchmarking methodology to be used;</w:t>
      </w:r>
    </w:p>
    <w:p w14:paraId="11F55A30" w14:textId="6EB30189" w:rsidR="00BC7DDA" w:rsidRPr="00BD6C5F" w:rsidRDefault="009B03E9" w:rsidP="00183F6E">
      <w:pPr>
        <w:pStyle w:val="Numbered111"/>
      </w:pPr>
      <w:r w:rsidRPr="00BD6C5F">
        <w:t xml:space="preserve">a description that clearly illustrates that the benchmarking methodology to be used is capable of fulfilling the benchmarking objectives under Paragraph </w:t>
      </w:r>
      <w:r w:rsidR="00280692" w:rsidRPr="00BD6C5F">
        <w:fldChar w:fldCharType="begin"/>
      </w:r>
      <w:r w:rsidR="00280692" w:rsidRPr="00BD6C5F">
        <w:instrText xml:space="preserve"> REF _Ref98413886 \n \h </w:instrText>
      </w:r>
      <w:r w:rsidR="00AD7DD0" w:rsidRPr="00BD6C5F">
        <w:instrText xml:space="preserve"> \* MERGEFORMAT </w:instrText>
      </w:r>
      <w:r w:rsidR="00280692" w:rsidRPr="00BD6C5F">
        <w:fldChar w:fldCharType="separate"/>
      </w:r>
      <w:r w:rsidR="009749A0">
        <w:t>2.1</w:t>
      </w:r>
      <w:r w:rsidR="00280692" w:rsidRPr="00BD6C5F">
        <w:fldChar w:fldCharType="end"/>
      </w:r>
      <w:r w:rsidRPr="00BD6C5F">
        <w:t>;</w:t>
      </w:r>
    </w:p>
    <w:p w14:paraId="0C91A9B9" w14:textId="77777777" w:rsidR="00BC7DDA" w:rsidRPr="00BD6C5F" w:rsidRDefault="009B03E9" w:rsidP="00183F6E">
      <w:pPr>
        <w:pStyle w:val="Numbered111"/>
      </w:pPr>
      <w:r w:rsidRPr="00BD6C5F">
        <w:t>an estimate of the resources required from each Party to underpin the delivery of the plan;</w:t>
      </w:r>
    </w:p>
    <w:p w14:paraId="4B28E038" w14:textId="77777777" w:rsidR="00BC7DDA" w:rsidRPr="00BD6C5F" w:rsidRDefault="009B03E9" w:rsidP="00183F6E">
      <w:pPr>
        <w:pStyle w:val="Numbered111"/>
      </w:pPr>
      <w:r w:rsidRPr="00BD6C5F">
        <w:t>a description of how the Benchmarker will scope and identify the Comparison Group;</w:t>
      </w:r>
    </w:p>
    <w:p w14:paraId="7A2E9F27" w14:textId="77777777" w:rsidR="00BC7DDA" w:rsidRPr="00BD6C5F" w:rsidRDefault="009B03E9" w:rsidP="00183F6E">
      <w:pPr>
        <w:pStyle w:val="Numbered111"/>
      </w:pPr>
      <w:r w:rsidRPr="00BD6C5F">
        <w:t>details of any entities which the Benchmarker proposes to include within the Comparison Group; and</w:t>
      </w:r>
    </w:p>
    <w:p w14:paraId="699CA110" w14:textId="423FCFCB" w:rsidR="00BC7DDA" w:rsidRPr="00BD6C5F" w:rsidRDefault="009B03E9" w:rsidP="00183F6E">
      <w:pPr>
        <w:pStyle w:val="Numbered111"/>
      </w:pPr>
      <w:r w:rsidRPr="00BD6C5F">
        <w:t>if in the Benchmarker</w:t>
      </w:r>
      <w:r w:rsidR="00A4555C" w:rsidRPr="00BD6C5F">
        <w:t>’</w:t>
      </w:r>
      <w:r w:rsidRPr="00BD6C5F">
        <w:t xml:space="preserve">s professional opinion there are no Comparable Services or the number of entities carrying out Comparable Services is insufficient to create a Comparison Group, a detailed approach for meeting the relevant benchmarking objective(s) under Paragraph </w:t>
      </w:r>
      <w:r w:rsidR="00280692" w:rsidRPr="00BD6C5F">
        <w:fldChar w:fldCharType="begin"/>
      </w:r>
      <w:r w:rsidR="00280692" w:rsidRPr="00BD6C5F">
        <w:instrText xml:space="preserve"> REF _Ref98413886 \n \h </w:instrText>
      </w:r>
      <w:r w:rsidR="00AD7DD0" w:rsidRPr="00BD6C5F">
        <w:instrText xml:space="preserve"> \* MERGEFORMAT </w:instrText>
      </w:r>
      <w:r w:rsidR="00280692" w:rsidRPr="00BD6C5F">
        <w:fldChar w:fldCharType="separate"/>
      </w:r>
      <w:r w:rsidR="009749A0">
        <w:t>2.1</w:t>
      </w:r>
      <w:r w:rsidR="00280692" w:rsidRPr="00BD6C5F">
        <w:fldChar w:fldCharType="end"/>
      </w:r>
      <w:r w:rsidRPr="00BD6C5F">
        <w:t xml:space="preserve"> using a proxy for the Comparison Services and/or Comparison Group as applicable.</w:t>
      </w:r>
    </w:p>
    <w:p w14:paraId="38DBD36E" w14:textId="70B3D99F" w:rsidR="00BC7DDA" w:rsidRPr="00BD6C5F" w:rsidRDefault="009B03E9" w:rsidP="00C5057A">
      <w:pPr>
        <w:pStyle w:val="Numbered11"/>
      </w:pPr>
      <w:r w:rsidRPr="00BD6C5F">
        <w:t>The Parties acknowledge that the selection and or use of proxies for the Comparison Group (both in terms of number and identity of entities) and Comparable Services shall be a matter for the Benchmarker</w:t>
      </w:r>
      <w:r w:rsidR="00A4555C" w:rsidRPr="00BD6C5F">
        <w:t>’</w:t>
      </w:r>
      <w:r w:rsidRPr="00BD6C5F">
        <w:t>s professional judgment.</w:t>
      </w:r>
    </w:p>
    <w:p w14:paraId="644AFD06" w14:textId="2894C5F0" w:rsidR="00BC7DDA" w:rsidRPr="00BD6C5F" w:rsidRDefault="009B03E9" w:rsidP="00C5057A">
      <w:pPr>
        <w:pStyle w:val="Numbered11"/>
      </w:pPr>
      <w:bookmarkStart w:id="798" w:name="_bookmark267"/>
      <w:bookmarkStart w:id="799" w:name="_Ref98413927"/>
      <w:bookmarkEnd w:id="798"/>
      <w:r w:rsidRPr="00BD6C5F">
        <w:t xml:space="preserve">Each Party shall give notice in writing to the Benchmarker and to the other Party within 10 Working Days after receiving the draft plan either approving the draft plan or suggesting amendments to that plan which must be reasonable Where a Party suggests amendments to the draft plan pursuant to this Paragraph </w:t>
      </w:r>
      <w:r w:rsidR="00280692" w:rsidRPr="00BD6C5F">
        <w:fldChar w:fldCharType="begin"/>
      </w:r>
      <w:r w:rsidR="00280692" w:rsidRPr="00BD6C5F">
        <w:instrText xml:space="preserve"> REF _Ref98413927 \n \h </w:instrText>
      </w:r>
      <w:r w:rsidR="00AD7DD0" w:rsidRPr="00BD6C5F">
        <w:instrText xml:space="preserve"> \* MERGEFORMAT </w:instrText>
      </w:r>
      <w:r w:rsidR="00280692" w:rsidRPr="00BD6C5F">
        <w:fldChar w:fldCharType="separate"/>
      </w:r>
      <w:r w:rsidR="009749A0">
        <w:t>4.3</w:t>
      </w:r>
      <w:r w:rsidR="00280692" w:rsidRPr="00BD6C5F">
        <w:fldChar w:fldCharType="end"/>
      </w:r>
      <w:r w:rsidRPr="00BD6C5F">
        <w:t xml:space="preserve">, the Benchmarker shall, if it believes the amendments are reasonable, produce an amended draft plan. Paragraph </w:t>
      </w:r>
      <w:r w:rsidR="00280692" w:rsidRPr="00BD6C5F">
        <w:fldChar w:fldCharType="begin"/>
      </w:r>
      <w:r w:rsidR="00280692" w:rsidRPr="00BD6C5F">
        <w:instrText xml:space="preserve"> REF _Ref98413937 \n \h </w:instrText>
      </w:r>
      <w:r w:rsidR="00AD7DD0" w:rsidRPr="00BD6C5F">
        <w:instrText xml:space="preserve"> \* MERGEFORMAT </w:instrText>
      </w:r>
      <w:r w:rsidR="00280692" w:rsidRPr="00BD6C5F">
        <w:fldChar w:fldCharType="separate"/>
      </w:r>
      <w:r w:rsidR="009749A0">
        <w:t>4.1</w:t>
      </w:r>
      <w:r w:rsidR="00280692" w:rsidRPr="00BD6C5F">
        <w:fldChar w:fldCharType="end"/>
      </w:r>
      <w:r w:rsidRPr="00BD6C5F">
        <w:t xml:space="preserve"> and this Paragraph </w:t>
      </w:r>
      <w:r w:rsidR="00280692" w:rsidRPr="00BD6C5F">
        <w:fldChar w:fldCharType="begin"/>
      </w:r>
      <w:r w:rsidR="00280692" w:rsidRPr="00BD6C5F">
        <w:instrText xml:space="preserve"> REF _Ref98413927 \n \h </w:instrText>
      </w:r>
      <w:r w:rsidR="00AD7DD0" w:rsidRPr="00BD6C5F">
        <w:instrText xml:space="preserve"> \* MERGEFORMAT </w:instrText>
      </w:r>
      <w:r w:rsidR="00280692" w:rsidRPr="00BD6C5F">
        <w:fldChar w:fldCharType="separate"/>
      </w:r>
      <w:r w:rsidR="009749A0">
        <w:t>4.3</w:t>
      </w:r>
      <w:r w:rsidR="00280692" w:rsidRPr="00BD6C5F">
        <w:fldChar w:fldCharType="end"/>
      </w:r>
      <w:r w:rsidRPr="00BD6C5F">
        <w:t xml:space="preserve"> shall apply to any amended draft plan.</w:t>
      </w:r>
      <w:bookmarkEnd w:id="799"/>
    </w:p>
    <w:p w14:paraId="64004436" w14:textId="23F5C619" w:rsidR="00BC7DDA" w:rsidRPr="00BD6C5F" w:rsidRDefault="009B03E9" w:rsidP="00C5057A">
      <w:pPr>
        <w:pStyle w:val="Numbered11"/>
      </w:pPr>
      <w:r w:rsidRPr="00BD6C5F">
        <w:t xml:space="preserve">Failure by a Party to give notice under Paragraph </w:t>
      </w:r>
      <w:r w:rsidR="00280692" w:rsidRPr="00BD6C5F">
        <w:fldChar w:fldCharType="begin"/>
      </w:r>
      <w:r w:rsidR="00280692" w:rsidRPr="00BD6C5F">
        <w:instrText xml:space="preserve"> REF _Ref98413927 \n \h </w:instrText>
      </w:r>
      <w:r w:rsidR="00AD7DD0" w:rsidRPr="00BD6C5F">
        <w:instrText xml:space="preserve"> \* MERGEFORMAT </w:instrText>
      </w:r>
      <w:r w:rsidR="00280692" w:rsidRPr="00BD6C5F">
        <w:fldChar w:fldCharType="separate"/>
      </w:r>
      <w:r w:rsidR="009749A0">
        <w:t>4.3</w:t>
      </w:r>
      <w:r w:rsidR="00280692" w:rsidRPr="00BD6C5F">
        <w:fldChar w:fldCharType="end"/>
      </w:r>
      <w:r w:rsidRPr="00BD6C5F">
        <w:t xml:space="preserve"> shall be treated as approval of the draft plan by that Party. If the Parties fail to approve the draft</w:t>
      </w:r>
      <w:r w:rsidR="001F06F8" w:rsidRPr="00BD6C5F">
        <w:t xml:space="preserve"> </w:t>
      </w:r>
      <w:r w:rsidRPr="00BD6C5F">
        <w:t xml:space="preserve">plan within 30 Working Days of its first being sent to them pursuant to Paragraph </w:t>
      </w:r>
      <w:r w:rsidR="00280692" w:rsidRPr="00BD6C5F">
        <w:fldChar w:fldCharType="begin"/>
      </w:r>
      <w:r w:rsidR="00280692" w:rsidRPr="00BD6C5F">
        <w:instrText xml:space="preserve"> REF _Ref98413937 \n \h </w:instrText>
      </w:r>
      <w:r w:rsidR="00AD7DD0" w:rsidRPr="00BD6C5F">
        <w:instrText xml:space="preserve"> \* MERGEFORMAT </w:instrText>
      </w:r>
      <w:r w:rsidR="00280692" w:rsidRPr="00BD6C5F">
        <w:fldChar w:fldCharType="separate"/>
      </w:r>
      <w:r w:rsidR="009749A0">
        <w:t>4.1</w:t>
      </w:r>
      <w:r w:rsidR="00280692" w:rsidRPr="00BD6C5F">
        <w:fldChar w:fldCharType="end"/>
      </w:r>
      <w:r w:rsidRPr="00BD6C5F">
        <w:t xml:space="preserve"> then the Benchmarker shall prescribe the plan.</w:t>
      </w:r>
    </w:p>
    <w:p w14:paraId="7945B32A" w14:textId="525E546F" w:rsidR="00BC7DDA" w:rsidRPr="00BD6C5F" w:rsidRDefault="009B03E9" w:rsidP="00C5057A">
      <w:pPr>
        <w:pStyle w:val="Numbered11"/>
      </w:pPr>
      <w:r w:rsidRPr="00BD6C5F">
        <w:t xml:space="preserve">Once the plan is approved by both Parties or prescribed by the Benchmarker, the Benchmarker shall carry out the Benchmark Review in accordance with the plan. Each Party shall procure that all the information described in the plan, together with any additional information reasonably required by the Benchmarker is provided to the Benchmarker without undue delay. If the Supplier fails to provide any information requested from it by the Benchmarker and described in the plan, such failure shall </w:t>
      </w:r>
      <w:r w:rsidRPr="00BD6C5F">
        <w:lastRenderedPageBreak/>
        <w:t xml:space="preserve">constitute a material Default for the purposes of </w:t>
      </w:r>
      <w:r w:rsidR="005E736B" w:rsidRPr="00BD6C5F">
        <w:t>Clause </w:t>
      </w:r>
      <w:r w:rsidRPr="00BD6C5F">
        <w:t>2</w:t>
      </w:r>
      <w:r w:rsidR="001F06F8" w:rsidRPr="00BD6C5F">
        <w:t>5</w:t>
      </w:r>
      <w:r w:rsidRPr="00BD6C5F">
        <w:t>.1</w:t>
      </w:r>
      <w:r w:rsidR="006509FE">
        <w:t>.3</w:t>
      </w:r>
      <w:r w:rsidRPr="00BD6C5F">
        <w:t xml:space="preserve"> (</w:t>
      </w:r>
      <w:r w:rsidRPr="00BD6C5F">
        <w:rPr>
          <w:i/>
        </w:rPr>
        <w:t>Rectification Plan Process</w:t>
      </w:r>
      <w:r w:rsidRPr="00BD6C5F">
        <w:t>).</w:t>
      </w:r>
    </w:p>
    <w:p w14:paraId="01F75383" w14:textId="77777777" w:rsidR="00BC7DDA" w:rsidRPr="00BD6C5F" w:rsidRDefault="009B03E9" w:rsidP="00C5057A">
      <w:pPr>
        <w:pStyle w:val="Numbered11"/>
      </w:pPr>
      <w:r w:rsidRPr="00BD6C5F">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Services.</w:t>
      </w:r>
    </w:p>
    <w:p w14:paraId="084B88CF" w14:textId="77777777" w:rsidR="00BC7DDA" w:rsidRPr="00BD6C5F" w:rsidRDefault="009B03E9" w:rsidP="00C5057A">
      <w:pPr>
        <w:pStyle w:val="Numbered11"/>
      </w:pPr>
      <w:r w:rsidRPr="00BD6C5F">
        <w:t>Either Party may provide additional material to the Benchmarker to assist the Benchmarker in conducting the Benchmark Review.</w:t>
      </w:r>
    </w:p>
    <w:p w14:paraId="54CC13DD" w14:textId="77777777" w:rsidR="00BC7DDA" w:rsidRPr="00BD6C5F" w:rsidRDefault="009B03E9" w:rsidP="00C70900">
      <w:pPr>
        <w:pStyle w:val="Numbered11"/>
        <w:keepNext/>
      </w:pPr>
      <w:bookmarkStart w:id="800" w:name="_bookmark268"/>
      <w:bookmarkStart w:id="801" w:name="_Ref98413295"/>
      <w:bookmarkEnd w:id="800"/>
      <w:r w:rsidRPr="00BD6C5F">
        <w:t>Once it has received the information it requires, the Benchmarker shall:</w:t>
      </w:r>
      <w:bookmarkEnd w:id="801"/>
    </w:p>
    <w:p w14:paraId="3422EBA1" w14:textId="1618EDE7" w:rsidR="00BC7DDA" w:rsidRPr="00BD6C5F" w:rsidRDefault="009B03E9" w:rsidP="00183F6E">
      <w:pPr>
        <w:pStyle w:val="Numbered111"/>
      </w:pPr>
      <w:bookmarkStart w:id="802" w:name="_bookmark269"/>
      <w:bookmarkStart w:id="803" w:name="_Ref98413569"/>
      <w:bookmarkEnd w:id="802"/>
      <w:r w:rsidRPr="00BD6C5F">
        <w:t>finalise the sample of entities constituting the Comparison Group and collect data relating to Comparable Services. The final selection of the Comparison Group (both in terms of number and identity of entities) and of the Comparable Services shall be a matter for the Benchmarker</w:t>
      </w:r>
      <w:r w:rsidR="00A4555C" w:rsidRPr="00BD6C5F">
        <w:t>’</w:t>
      </w:r>
      <w:r w:rsidRPr="00BD6C5F">
        <w:t>s professional judgment;</w:t>
      </w:r>
      <w:bookmarkEnd w:id="803"/>
    </w:p>
    <w:p w14:paraId="3AB64EB0" w14:textId="4D363CB4" w:rsidR="00BC7DDA" w:rsidRPr="00BD6C5F" w:rsidRDefault="009B03E9" w:rsidP="00183F6E">
      <w:pPr>
        <w:pStyle w:val="Numbered111"/>
      </w:pPr>
      <w:r w:rsidRPr="00BD6C5F">
        <w:t xml:space="preserve">derive the Equivalent Services Data by applying the adjustment factors listed in Paragraph </w:t>
      </w:r>
      <w:r w:rsidR="00280692" w:rsidRPr="00BD6C5F">
        <w:fldChar w:fldCharType="begin"/>
      </w:r>
      <w:r w:rsidR="00280692" w:rsidRPr="00BD6C5F">
        <w:instrText xml:space="preserve"> REF _Ref98413666 \n \h </w:instrText>
      </w:r>
      <w:r w:rsidR="00AD7DD0" w:rsidRPr="00BD6C5F">
        <w:instrText xml:space="preserve"> \* MERGEFORMAT </w:instrText>
      </w:r>
      <w:r w:rsidR="00280692" w:rsidRPr="00BD6C5F">
        <w:fldChar w:fldCharType="separate"/>
      </w:r>
      <w:r w:rsidR="009749A0">
        <w:t>4.9</w:t>
      </w:r>
      <w:r w:rsidR="00280692" w:rsidRPr="00BD6C5F">
        <w:fldChar w:fldCharType="end"/>
      </w:r>
      <w:r w:rsidRPr="00BD6C5F">
        <w:t xml:space="preserve"> and from an analysis of the Comparable Services;</w:t>
      </w:r>
    </w:p>
    <w:p w14:paraId="7EF58F8C" w14:textId="77777777" w:rsidR="00BC7DDA" w:rsidRPr="00BD6C5F" w:rsidRDefault="009B03E9" w:rsidP="00183F6E">
      <w:pPr>
        <w:pStyle w:val="Numbered111"/>
      </w:pPr>
      <w:r w:rsidRPr="00BD6C5F">
        <w:t>derive the relative value for money of the charges payable for the Comparable Services using the Equivalent Services Data and from that derive the Upper Quartile;</w:t>
      </w:r>
    </w:p>
    <w:p w14:paraId="2D90F75B" w14:textId="77777777" w:rsidR="00BC7DDA" w:rsidRPr="00BD6C5F" w:rsidRDefault="009B03E9" w:rsidP="00183F6E">
      <w:pPr>
        <w:pStyle w:val="Numbered111"/>
      </w:pPr>
      <w:r w:rsidRPr="00BD6C5F">
        <w:t>derive the median service levels relating to the Comparable Services using the Equivalent Services Data;</w:t>
      </w:r>
    </w:p>
    <w:p w14:paraId="2D6E1D86" w14:textId="1F8C5DBD" w:rsidR="00BC7DDA" w:rsidRPr="00BD6C5F" w:rsidRDefault="009B03E9" w:rsidP="00183F6E">
      <w:pPr>
        <w:pStyle w:val="Numbered111"/>
      </w:pPr>
      <w:r w:rsidRPr="00BD6C5F">
        <w:t xml:space="preserve">compare the value for money of the Charges attributable to the Benchmarked Services (having regard in particular to the applicable Performance Indicators and Target </w:t>
      </w:r>
      <w:r w:rsidR="00D42AF4">
        <w:t>Performance</w:t>
      </w:r>
      <w:r w:rsidRPr="00BD6C5F">
        <w:t xml:space="preserve"> Levels) to the value for money of the Upper Quartile;</w:t>
      </w:r>
    </w:p>
    <w:p w14:paraId="746F71BF" w14:textId="246C8664" w:rsidR="00BC7DDA" w:rsidRPr="00BD6C5F" w:rsidRDefault="009B03E9" w:rsidP="00183F6E">
      <w:pPr>
        <w:pStyle w:val="Numbered111"/>
      </w:pPr>
      <w:r w:rsidRPr="00BD6C5F">
        <w:t xml:space="preserve">compare the Performance Indicators and Target </w:t>
      </w:r>
      <w:r w:rsidR="00D42AF4">
        <w:t>Performance</w:t>
      </w:r>
      <w:r w:rsidRPr="00BD6C5F">
        <w:t xml:space="preserve"> Levels attributable to the Benchmarked Services (having regard to the Charges and Service Credits) with the median service levels using the Equivalent Services Data; and</w:t>
      </w:r>
    </w:p>
    <w:p w14:paraId="726BA4F2" w14:textId="77777777" w:rsidR="00BC7DDA" w:rsidRPr="00BD6C5F" w:rsidRDefault="009B03E9" w:rsidP="00183F6E">
      <w:pPr>
        <w:pStyle w:val="Numbered111"/>
      </w:pPr>
      <w:r w:rsidRPr="00BD6C5F">
        <w:t>determine whether or not each Benchmarked Service is and/or the Benchmarked Services as a whole are, Good Value.</w:t>
      </w:r>
    </w:p>
    <w:p w14:paraId="72683987" w14:textId="5FBE5298" w:rsidR="00BC7DDA" w:rsidRPr="00BD6C5F" w:rsidRDefault="009B03E9" w:rsidP="00C70900">
      <w:pPr>
        <w:pStyle w:val="Numbered11"/>
        <w:keepNext/>
      </w:pPr>
      <w:bookmarkStart w:id="804" w:name="_bookmark270"/>
      <w:bookmarkStart w:id="805" w:name="_Ref98413666"/>
      <w:bookmarkEnd w:id="804"/>
      <w:r w:rsidRPr="00BD6C5F">
        <w:t>The Benchmarker shall have regard to the following matters when performing a comparative assessment of a Benchmarked Service and a Comparable Service in order to derive Equivalent Services Data:</w:t>
      </w:r>
      <w:bookmarkEnd w:id="805"/>
    </w:p>
    <w:p w14:paraId="2373E7A1" w14:textId="77777777" w:rsidR="00BC7DDA" w:rsidRPr="00BD6C5F" w:rsidRDefault="009B03E9" w:rsidP="00183F6E">
      <w:pPr>
        <w:pStyle w:val="Numbered111"/>
      </w:pPr>
      <w:r w:rsidRPr="00BD6C5F">
        <w:t>the contractual and business environment under which the Services are being provided (including the scope, scale, complexity and geographical spread of the Services);</w:t>
      </w:r>
    </w:p>
    <w:p w14:paraId="3089E16F" w14:textId="77777777" w:rsidR="00BC7DDA" w:rsidRPr="00BD6C5F" w:rsidRDefault="009B03E9" w:rsidP="00183F6E">
      <w:pPr>
        <w:pStyle w:val="Numbered111"/>
      </w:pPr>
      <w:r w:rsidRPr="00BD6C5F">
        <w:t>any front-end investment and development costs of the Supplier;</w:t>
      </w:r>
    </w:p>
    <w:p w14:paraId="349A1FEA" w14:textId="6D16C219" w:rsidR="00BC7DDA" w:rsidRPr="00BD6C5F" w:rsidRDefault="009B03E9" w:rsidP="00183F6E">
      <w:pPr>
        <w:pStyle w:val="Numbered111"/>
      </w:pPr>
      <w:r w:rsidRPr="00BD6C5F">
        <w:t>the Supplier</w:t>
      </w:r>
      <w:r w:rsidR="00A4555C" w:rsidRPr="00BD6C5F">
        <w:t>’</w:t>
      </w:r>
      <w:r w:rsidRPr="00BD6C5F">
        <w:t>s risk profile including the financial, performance or liability risks associated with the provision of the Services as a whole;</w:t>
      </w:r>
    </w:p>
    <w:p w14:paraId="17C71D84" w14:textId="1A190B50" w:rsidR="00BC7DDA" w:rsidRPr="00BD6C5F" w:rsidRDefault="009B03E9" w:rsidP="00183F6E">
      <w:pPr>
        <w:pStyle w:val="Numbered111"/>
      </w:pPr>
      <w:r w:rsidRPr="00BD6C5F">
        <w:t>the extent of the Supplier</w:t>
      </w:r>
      <w:r w:rsidR="00A4555C" w:rsidRPr="00BD6C5F">
        <w:t>’</w:t>
      </w:r>
      <w:r w:rsidRPr="00BD6C5F">
        <w:t xml:space="preserve">s management and contract governance </w:t>
      </w:r>
      <w:r w:rsidRPr="00BD6C5F">
        <w:lastRenderedPageBreak/>
        <w:t>responsibilities;</w:t>
      </w:r>
    </w:p>
    <w:p w14:paraId="4CC40BB2" w14:textId="4E9D204F" w:rsidR="00BC7DDA" w:rsidRPr="00BD6C5F" w:rsidRDefault="009B03E9" w:rsidP="00183F6E">
      <w:pPr>
        <w:pStyle w:val="Numbered111"/>
      </w:pPr>
      <w:r w:rsidRPr="00BD6C5F">
        <w:t>any other reasonable factors demonstrated by the Supplier, which, if not taken into consideration, could unfairly cause the Supplier</w:t>
      </w:r>
      <w:r w:rsidR="00A4555C" w:rsidRPr="00BD6C5F">
        <w:t>’</w:t>
      </w:r>
      <w:r w:rsidRPr="00BD6C5F">
        <w:t>s pricing to appear non-competitive (such as erroneous costing, non- sustainable behaviour including excessive consumption of energy or over-aggressive pricing).</w:t>
      </w:r>
    </w:p>
    <w:p w14:paraId="18019517" w14:textId="0BE9028C" w:rsidR="00BC7DDA" w:rsidRPr="00BD6C5F" w:rsidRDefault="00183F6E" w:rsidP="00C5057A">
      <w:pPr>
        <w:pStyle w:val="Numbered1"/>
      </w:pPr>
      <w:bookmarkStart w:id="806" w:name="_bookmark271"/>
      <w:bookmarkStart w:id="807" w:name="_Ref98413272"/>
      <w:bookmarkEnd w:id="806"/>
      <w:r w:rsidRPr="00BD6C5F">
        <w:t>Benchmark Report</w:t>
      </w:r>
      <w:bookmarkEnd w:id="807"/>
    </w:p>
    <w:p w14:paraId="0FC15CA3" w14:textId="4FA96D24" w:rsidR="00BC7DDA" w:rsidRPr="00BD6C5F" w:rsidRDefault="009B03E9" w:rsidP="00C70900">
      <w:pPr>
        <w:pStyle w:val="Numbered11"/>
        <w:keepNext/>
      </w:pPr>
      <w:r w:rsidRPr="00BD6C5F">
        <w:t xml:space="preserve">The Benchmarker shall be required to prepare a Benchmark Report and deliver it simultaneously to both Parties, at the time specified in the plan approved under Paragraph </w:t>
      </w:r>
      <w:r w:rsidR="00280692" w:rsidRPr="00BD6C5F">
        <w:fldChar w:fldCharType="begin"/>
      </w:r>
      <w:r w:rsidR="00280692" w:rsidRPr="00BD6C5F">
        <w:instrText xml:space="preserve"> REF _Ref98413282 \n \h </w:instrText>
      </w:r>
      <w:r w:rsidR="00AD7DD0" w:rsidRPr="00BD6C5F">
        <w:instrText xml:space="preserve"> \* MERGEFORMAT </w:instrText>
      </w:r>
      <w:r w:rsidR="00280692" w:rsidRPr="00BD6C5F">
        <w:fldChar w:fldCharType="separate"/>
      </w:r>
      <w:r w:rsidR="009749A0">
        <w:t>4</w:t>
      </w:r>
      <w:r w:rsidR="00280692" w:rsidRPr="00BD6C5F">
        <w:fldChar w:fldCharType="end"/>
      </w:r>
      <w:r w:rsidRPr="00BD6C5F">
        <w:t>, setting out its findings. The Benchmark Report shall:</w:t>
      </w:r>
    </w:p>
    <w:p w14:paraId="080BA56C" w14:textId="77777777" w:rsidR="00BC7DDA" w:rsidRPr="00BD6C5F" w:rsidRDefault="009B03E9" w:rsidP="00183F6E">
      <w:pPr>
        <w:pStyle w:val="Numbered111"/>
      </w:pPr>
      <w:r w:rsidRPr="00BD6C5F">
        <w:t>include a finding as to whether or not each Benchmarked Service is and/or whether the Benchmarked Services as a whole are, Good Value;</w:t>
      </w:r>
    </w:p>
    <w:p w14:paraId="41D5C94C" w14:textId="77777777" w:rsidR="00BC7DDA" w:rsidRPr="00BD6C5F" w:rsidRDefault="009B03E9" w:rsidP="00183F6E">
      <w:pPr>
        <w:pStyle w:val="Numbered111"/>
      </w:pPr>
      <w:r w:rsidRPr="00BD6C5F">
        <w:t>include other findings (if any) regarding the quality and competitiveness or otherwise of those Services;</w:t>
      </w:r>
    </w:p>
    <w:p w14:paraId="419830C4" w14:textId="77777777" w:rsidR="00BC7DDA" w:rsidRPr="00BD6C5F" w:rsidRDefault="009B03E9" w:rsidP="00183F6E">
      <w:pPr>
        <w:pStyle w:val="Numbered111"/>
      </w:pPr>
      <w:r w:rsidRPr="00BD6C5F">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0693A5F9" w14:textId="2A7C3059" w:rsidR="00BC7DDA" w:rsidRPr="00BD6C5F" w:rsidRDefault="009B03E9" w:rsidP="00183F6E">
      <w:pPr>
        <w:pStyle w:val="Numbered111"/>
      </w:pPr>
      <w:r w:rsidRPr="00BD6C5F">
        <w:t>illustrate the method used for any normalisation of the Equivalent Services Data</w:t>
      </w:r>
      <w:r w:rsidR="00494C99" w:rsidRPr="00BD6C5F">
        <w:t>.</w:t>
      </w:r>
    </w:p>
    <w:p w14:paraId="695301F8" w14:textId="77777777" w:rsidR="00BC7DDA" w:rsidRPr="00BD6C5F" w:rsidRDefault="009B03E9" w:rsidP="00C5057A">
      <w:pPr>
        <w:pStyle w:val="Numbered11"/>
      </w:pPr>
      <w:r w:rsidRPr="00BD6C5F">
        <w:t>The Benchmarker shall act as an expert and not as an arbitrator.</w:t>
      </w:r>
    </w:p>
    <w:p w14:paraId="07023F8E" w14:textId="2527CD6D" w:rsidR="00BC7DDA" w:rsidRPr="00BD6C5F" w:rsidRDefault="009B03E9" w:rsidP="00C5057A">
      <w:pPr>
        <w:pStyle w:val="Numbered11"/>
      </w:pPr>
      <w:bookmarkStart w:id="808" w:name="_bookmark272"/>
      <w:bookmarkStart w:id="809" w:name="_Ref98414108"/>
      <w:bookmarkEnd w:id="808"/>
      <w:r w:rsidRPr="00BD6C5F">
        <w:t xml:space="preserve">If the Benchmark Report states that any Benchmarked Service is not Good Value or that the Benchmarked Services as a whole are not Good Value, then the Supplier shall (subject to Paragraphs </w:t>
      </w:r>
      <w:r w:rsidR="00280692" w:rsidRPr="00BD6C5F">
        <w:fldChar w:fldCharType="begin"/>
      </w:r>
      <w:r w:rsidR="00280692" w:rsidRPr="00BD6C5F">
        <w:instrText xml:space="preserve"> REF _Ref98414060 \n \h </w:instrText>
      </w:r>
      <w:r w:rsidR="00AD7DD0" w:rsidRPr="00BD6C5F">
        <w:instrText xml:space="preserve"> \* MERGEFORMAT </w:instrText>
      </w:r>
      <w:r w:rsidR="00280692" w:rsidRPr="00BD6C5F">
        <w:fldChar w:fldCharType="separate"/>
      </w:r>
      <w:r w:rsidR="009749A0">
        <w:t>5.5</w:t>
      </w:r>
      <w:r w:rsidR="00280692" w:rsidRPr="00BD6C5F">
        <w:fldChar w:fldCharType="end"/>
      </w:r>
      <w:r w:rsidRPr="00BD6C5F">
        <w:t xml:space="preserve"> and </w:t>
      </w:r>
      <w:r w:rsidR="00280692" w:rsidRPr="00BD6C5F">
        <w:fldChar w:fldCharType="begin"/>
      </w:r>
      <w:r w:rsidR="00280692" w:rsidRPr="00BD6C5F">
        <w:instrText xml:space="preserve"> REF _Ref98414067 \n \h </w:instrText>
      </w:r>
      <w:r w:rsidR="00AD7DD0" w:rsidRPr="00BD6C5F">
        <w:instrText xml:space="preserve"> \* MERGEFORMAT </w:instrText>
      </w:r>
      <w:r w:rsidR="00280692" w:rsidRPr="00BD6C5F">
        <w:fldChar w:fldCharType="separate"/>
      </w:r>
      <w:r w:rsidR="009749A0">
        <w:t>5.6</w:t>
      </w:r>
      <w:r w:rsidR="00280692" w:rsidRPr="00BD6C5F">
        <w:fldChar w:fldCharType="end"/>
      </w:r>
      <w:r w:rsidRPr="00BD6C5F">
        <w:t>) implement the changes set out in the Benchmark Report as soon as reasonably practicable within timescales agreed with the Authority but in any event within no more than 3</w:t>
      </w:r>
      <w:bookmarkEnd w:id="809"/>
      <w:r w:rsidR="00DB2677" w:rsidRPr="00BD6C5F">
        <w:t xml:space="preserve"> </w:t>
      </w:r>
      <w:r w:rsidRPr="00BD6C5F">
        <w:t>months. Any associated changes to the Charges shall take effect only from the same date and shall not be retrospective.</w:t>
      </w:r>
    </w:p>
    <w:p w14:paraId="7C4CD105" w14:textId="77777777" w:rsidR="00BC7DDA" w:rsidRPr="00BD6C5F" w:rsidRDefault="009B03E9" w:rsidP="00C5057A">
      <w:pPr>
        <w:pStyle w:val="Numbered11"/>
      </w:pPr>
      <w:r w:rsidRPr="00BD6C5F">
        <w:t>The Supplier acknowledges and agrees that Benchmark Reviews shall not result in any increase to the Charges, disapplication of the Performance Indicators or any reduction in the Target Performance Levels.</w:t>
      </w:r>
    </w:p>
    <w:p w14:paraId="29FBB3FD" w14:textId="77777777" w:rsidR="00BC7DDA" w:rsidRPr="00BD6C5F" w:rsidRDefault="009B03E9" w:rsidP="00C5057A">
      <w:pPr>
        <w:pStyle w:val="Numbered11"/>
      </w:pPr>
      <w:bookmarkStart w:id="810" w:name="_bookmark273"/>
      <w:bookmarkStart w:id="811" w:name="_Ref98414060"/>
      <w:bookmarkEnd w:id="810"/>
      <w:r w:rsidRPr="00BD6C5F">
        <w:t>The Supplier shall be entitled to reject any Benchmark Report if the Supplier reasonably considers that the Benchmarker has not followed the procedure for the related Benchmark Review as set out in this Schedule in any material respect.</w:t>
      </w:r>
      <w:bookmarkEnd w:id="811"/>
    </w:p>
    <w:p w14:paraId="3834BE76" w14:textId="77777777" w:rsidR="00BC7DDA" w:rsidRPr="00BD6C5F" w:rsidRDefault="009B03E9" w:rsidP="00C5057A">
      <w:pPr>
        <w:pStyle w:val="Numbered11"/>
      </w:pPr>
      <w:bookmarkStart w:id="812" w:name="_bookmark274"/>
      <w:bookmarkStart w:id="813" w:name="_Ref98414067"/>
      <w:bookmarkEnd w:id="812"/>
      <w:r w:rsidRPr="00BD6C5F">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813"/>
    </w:p>
    <w:p w14:paraId="511BA78E" w14:textId="514D9B60" w:rsidR="00BC7DDA" w:rsidRPr="00BD6C5F" w:rsidRDefault="009B03E9" w:rsidP="00C5057A">
      <w:pPr>
        <w:pStyle w:val="Numbered11"/>
      </w:pPr>
      <w:bookmarkStart w:id="814" w:name="_bookmark275"/>
      <w:bookmarkStart w:id="815" w:name="_Ref98414135"/>
      <w:bookmarkEnd w:id="814"/>
      <w:r w:rsidRPr="00BD6C5F">
        <w:t>In the event of any Dispute arising over whether the Benchmarker has followed the procedure for the related Benchmark Review under Paragraph</w:t>
      </w:r>
      <w:bookmarkEnd w:id="815"/>
      <w:r w:rsidR="00E31437" w:rsidRPr="00BD6C5F">
        <w:t xml:space="preserve"> </w:t>
      </w:r>
      <w:r w:rsidR="00280692" w:rsidRPr="00BD6C5F">
        <w:fldChar w:fldCharType="begin"/>
      </w:r>
      <w:r w:rsidR="00280692" w:rsidRPr="00BD6C5F">
        <w:instrText xml:space="preserve"> REF _Ref98414060 \n \h </w:instrText>
      </w:r>
      <w:r w:rsidR="00AD7DD0" w:rsidRPr="00BD6C5F">
        <w:instrText xml:space="preserve"> \* MERGEFORMAT </w:instrText>
      </w:r>
      <w:r w:rsidR="00280692" w:rsidRPr="00BD6C5F">
        <w:fldChar w:fldCharType="separate"/>
      </w:r>
      <w:r w:rsidR="009749A0">
        <w:t>5.5</w:t>
      </w:r>
      <w:r w:rsidR="00280692" w:rsidRPr="00BD6C5F">
        <w:fldChar w:fldCharType="end"/>
      </w:r>
      <w:r w:rsidRPr="00BD6C5F">
        <w:t xml:space="preserve"> and/or any matter referred to in Paragraph </w:t>
      </w:r>
      <w:r w:rsidR="00280692" w:rsidRPr="00BD6C5F">
        <w:fldChar w:fldCharType="begin"/>
      </w:r>
      <w:r w:rsidR="00280692" w:rsidRPr="00BD6C5F">
        <w:instrText xml:space="preserve"> REF _Ref98414067 \n \h </w:instrText>
      </w:r>
      <w:r w:rsidR="00AD7DD0" w:rsidRPr="00BD6C5F">
        <w:instrText xml:space="preserve"> \* MERGEFORMAT </w:instrText>
      </w:r>
      <w:r w:rsidR="00280692" w:rsidRPr="00BD6C5F">
        <w:fldChar w:fldCharType="separate"/>
      </w:r>
      <w:r w:rsidR="009749A0">
        <w:t>5.6</w:t>
      </w:r>
      <w:r w:rsidR="00280692" w:rsidRPr="00BD6C5F">
        <w:fldChar w:fldCharType="end"/>
      </w:r>
      <w:r w:rsidRPr="00BD6C5F">
        <w:t xml:space="preserve">, the Dispute shall be referred to Expert Determination. For the avoidance of doubt in the event of a Dispute between the Parties, the Authority shall </w:t>
      </w:r>
      <w:r w:rsidRPr="00BD6C5F">
        <w:lastRenderedPageBreak/>
        <w:t xml:space="preserve">continue to pay the Charges to the Supplier in accordance with the terms of this </w:t>
      </w:r>
      <w:r w:rsidR="001068C3" w:rsidRPr="00BD6C5F">
        <w:t>Contract</w:t>
      </w:r>
      <w:r w:rsidR="001E2AE0" w:rsidRPr="00BD6C5F">
        <w:t xml:space="preserve"> </w:t>
      </w:r>
      <w:r w:rsidRPr="00BD6C5F">
        <w:t>and the Performance Indicators and Target Performance Levels shall remain unchanged pending the conclusion of the Expert Determination.</w:t>
      </w:r>
    </w:p>
    <w:p w14:paraId="2CF7D019" w14:textId="77777777" w:rsidR="00BC7DDA" w:rsidRPr="00BD6C5F" w:rsidRDefault="009B03E9" w:rsidP="00C70900">
      <w:pPr>
        <w:pStyle w:val="Numbered11"/>
        <w:keepNext/>
      </w:pPr>
      <w:bookmarkStart w:id="816" w:name="_bookmark276"/>
      <w:bookmarkStart w:id="817" w:name="_Ref98414141"/>
      <w:bookmarkEnd w:id="816"/>
      <w:r w:rsidRPr="00BD6C5F">
        <w:t>On conclusion of the Expert Determination:</w:t>
      </w:r>
      <w:bookmarkEnd w:id="817"/>
    </w:p>
    <w:p w14:paraId="39F71CEF" w14:textId="44220ADC" w:rsidR="00BC7DDA" w:rsidRPr="00BD6C5F" w:rsidRDefault="009B03E9" w:rsidP="00183F6E">
      <w:pPr>
        <w:pStyle w:val="Numbered111"/>
      </w:pPr>
      <w:r w:rsidRPr="00BD6C5F">
        <w:t>if the Expert determines that all or any part of the Benchmark Report recommendations regarding any reduction in the Charges shall be implemented by the Supplier, the Supplier shall immediately repay to the Authority the difference between the Charges paid by the Authority up to and including the date of the Expert</w:t>
      </w:r>
      <w:r w:rsidR="00A4555C" w:rsidRPr="00BD6C5F">
        <w:t>’</w:t>
      </w:r>
      <w:r w:rsidRPr="00BD6C5F">
        <w:t xml:space="preserve">s determination and the date upon which the recommended reduction in Charges should have originally taken effect pursuant to Paragraph </w:t>
      </w:r>
      <w:r w:rsidR="00280692" w:rsidRPr="00BD6C5F">
        <w:fldChar w:fldCharType="begin"/>
      </w:r>
      <w:r w:rsidR="00280692" w:rsidRPr="00BD6C5F">
        <w:instrText xml:space="preserve"> REF _Ref98414108 \n \h </w:instrText>
      </w:r>
      <w:r w:rsidR="00AD7DD0" w:rsidRPr="00BD6C5F">
        <w:instrText xml:space="preserve"> \* MERGEFORMAT </w:instrText>
      </w:r>
      <w:r w:rsidR="00280692" w:rsidRPr="00BD6C5F">
        <w:fldChar w:fldCharType="separate"/>
      </w:r>
      <w:r w:rsidR="009749A0">
        <w:t>5.3</w:t>
      </w:r>
      <w:r w:rsidR="00280692" w:rsidRPr="00BD6C5F">
        <w:fldChar w:fldCharType="end"/>
      </w:r>
      <w:r w:rsidRPr="00BD6C5F">
        <w:t xml:space="preserve"> together with interest thereon at the applicable rate under the Late Payment Of Commercial Debts (Interest) Act 1998; and</w:t>
      </w:r>
    </w:p>
    <w:p w14:paraId="581DCC19" w14:textId="77777777" w:rsidR="00BC7DDA" w:rsidRPr="00BD6C5F" w:rsidRDefault="009B03E9" w:rsidP="00C70900">
      <w:pPr>
        <w:pStyle w:val="Numbered111"/>
        <w:keepNext/>
      </w:pPr>
      <w:r w:rsidRPr="00BD6C5F">
        <w:t>if the Expert determines that all or any part of the Benchmark Report recommendations regarding any changes to the Performance Indicators and/or Target Performance Levels shall be implemented by the Supplier:</w:t>
      </w:r>
    </w:p>
    <w:p w14:paraId="0A2BBBAB" w14:textId="77777777" w:rsidR="00BC7DDA" w:rsidRPr="00BD6C5F" w:rsidRDefault="009B03E9" w:rsidP="00771E5A">
      <w:pPr>
        <w:pStyle w:val="Numbered111a"/>
      </w:pPr>
      <w:r w:rsidRPr="00BD6C5F">
        <w:t>the Supplier shall immediately implement the relevant changes;</w:t>
      </w:r>
    </w:p>
    <w:p w14:paraId="4ACB47C4" w14:textId="6018B8AE" w:rsidR="00BC7DDA" w:rsidRPr="00BD6C5F" w:rsidRDefault="009B03E9" w:rsidP="00183F6E">
      <w:pPr>
        <w:pStyle w:val="Numbered111a"/>
        <w:rPr>
          <w:lang w:val="en-GB"/>
        </w:rPr>
      </w:pPr>
      <w:r w:rsidRPr="00BD6C5F">
        <w:rPr>
          <w:lang w:val="en-GB"/>
        </w:rPr>
        <w:t>the Supplier shall immediately pay an amount equal to any Service Credits which would have accrued up to and including the date of the Expert</w:t>
      </w:r>
      <w:r w:rsidR="00A4555C" w:rsidRPr="00BD6C5F">
        <w:rPr>
          <w:lang w:val="en-GB"/>
        </w:rPr>
        <w:t>’</w:t>
      </w:r>
      <w:r w:rsidRPr="00BD6C5F">
        <w:rPr>
          <w:lang w:val="en-GB"/>
        </w:rPr>
        <w:t xml:space="preserve">s determination if the relevant changes had taken effect on the date determined pursuant to Paragraph </w:t>
      </w:r>
      <w:r w:rsidR="00280692" w:rsidRPr="00BD6C5F">
        <w:rPr>
          <w:lang w:val="en-GB"/>
        </w:rPr>
        <w:fldChar w:fldCharType="begin"/>
      </w:r>
      <w:r w:rsidR="00280692" w:rsidRPr="00BD6C5F">
        <w:rPr>
          <w:lang w:val="en-GB"/>
        </w:rPr>
        <w:instrText xml:space="preserve"> REF _Ref98414108 \n \h </w:instrText>
      </w:r>
      <w:r w:rsidR="00AD7DD0" w:rsidRPr="00BD6C5F">
        <w:rPr>
          <w:lang w:val="en-GB"/>
        </w:rPr>
        <w:instrText xml:space="preserve"> \* MERGEFORMAT </w:instrText>
      </w:r>
      <w:r w:rsidR="00280692" w:rsidRPr="00BD6C5F">
        <w:rPr>
          <w:lang w:val="en-GB"/>
        </w:rPr>
      </w:r>
      <w:r w:rsidR="00280692" w:rsidRPr="00BD6C5F">
        <w:rPr>
          <w:lang w:val="en-GB"/>
        </w:rPr>
        <w:fldChar w:fldCharType="separate"/>
      </w:r>
      <w:r w:rsidR="009749A0">
        <w:rPr>
          <w:lang w:val="en-GB"/>
        </w:rPr>
        <w:t>5.3</w:t>
      </w:r>
      <w:r w:rsidR="00280692" w:rsidRPr="00BD6C5F">
        <w:rPr>
          <w:lang w:val="en-GB"/>
        </w:rPr>
        <w:fldChar w:fldCharType="end"/>
      </w:r>
      <w:r w:rsidRPr="00BD6C5F">
        <w:rPr>
          <w:lang w:val="en-GB"/>
        </w:rPr>
        <w:t xml:space="preserve"> together with interest thereon at the applicable rate under the Late Payment Of Commercial Debts (Interest) Act 1998; and</w:t>
      </w:r>
    </w:p>
    <w:p w14:paraId="05B85676" w14:textId="02992498" w:rsidR="00BC7DDA" w:rsidRPr="00BD6C5F" w:rsidRDefault="009B03E9" w:rsidP="00183F6E">
      <w:pPr>
        <w:pStyle w:val="Numbered111a"/>
        <w:rPr>
          <w:lang w:val="en-GB"/>
        </w:rPr>
      </w:pPr>
      <w:r w:rsidRPr="00BD6C5F">
        <w:rPr>
          <w:lang w:val="en-GB"/>
        </w:rPr>
        <w:t xml:space="preserve">the relevant changes shall thereafter be subject to the Change Control Procedure for the purposes of formalising and documenting the relevant change or amendment for the purposes of this </w:t>
      </w:r>
      <w:r w:rsidR="001E2AE0" w:rsidRPr="00BD6C5F">
        <w:rPr>
          <w:lang w:val="en-GB"/>
        </w:rPr>
        <w:t>Contract</w:t>
      </w:r>
      <w:r w:rsidRPr="00BD6C5F">
        <w:rPr>
          <w:lang w:val="en-GB"/>
        </w:rPr>
        <w:t>.</w:t>
      </w:r>
    </w:p>
    <w:p w14:paraId="0BD9AEBC" w14:textId="5B484F24" w:rsidR="00BC7DDA" w:rsidRPr="00BD6C5F" w:rsidRDefault="009B03E9" w:rsidP="00C5057A">
      <w:pPr>
        <w:pStyle w:val="Numbered11"/>
      </w:pPr>
      <w:bookmarkStart w:id="818" w:name="_bookmark277"/>
      <w:bookmarkStart w:id="819" w:name="_Ref98320845"/>
      <w:bookmarkEnd w:id="818"/>
      <w:r w:rsidRPr="00BD6C5F">
        <w:t xml:space="preserve">Any failure by the Supplier to implement the changes as set out in the Benchmark Report in accordance with the relevant timescales determined in accordance with Paragraph </w:t>
      </w:r>
      <w:r w:rsidR="00280692" w:rsidRPr="00BD6C5F">
        <w:fldChar w:fldCharType="begin"/>
      </w:r>
      <w:r w:rsidR="00280692" w:rsidRPr="00BD6C5F">
        <w:instrText xml:space="preserve"> REF _Ref98414108 \n \h </w:instrText>
      </w:r>
      <w:r w:rsidR="00AD7DD0" w:rsidRPr="00BD6C5F">
        <w:instrText xml:space="preserve"> \* MERGEFORMAT </w:instrText>
      </w:r>
      <w:r w:rsidR="00280692" w:rsidRPr="00BD6C5F">
        <w:fldChar w:fldCharType="separate"/>
      </w:r>
      <w:r w:rsidR="009749A0">
        <w:t>5.3</w:t>
      </w:r>
      <w:r w:rsidR="00280692" w:rsidRPr="00BD6C5F">
        <w:fldChar w:fldCharType="end"/>
      </w:r>
      <w:r w:rsidRPr="00BD6C5F">
        <w:t xml:space="preserve"> (unless the provisions of Paragraph </w:t>
      </w:r>
      <w:r w:rsidR="00AC5BF1" w:rsidRPr="00BD6C5F">
        <w:fldChar w:fldCharType="begin"/>
      </w:r>
      <w:r w:rsidR="00AC5BF1" w:rsidRPr="00BD6C5F">
        <w:instrText xml:space="preserve"> REF _Ref98414067 \w \h </w:instrText>
      </w:r>
      <w:r w:rsidR="00AD7DD0" w:rsidRPr="00BD6C5F">
        <w:instrText xml:space="preserve"> \* MERGEFORMAT </w:instrText>
      </w:r>
      <w:r w:rsidR="00AC5BF1" w:rsidRPr="00BD6C5F">
        <w:fldChar w:fldCharType="separate"/>
      </w:r>
      <w:r w:rsidR="009749A0">
        <w:t>5.6</w:t>
      </w:r>
      <w:r w:rsidR="00AC5BF1" w:rsidRPr="00BD6C5F">
        <w:fldChar w:fldCharType="end"/>
      </w:r>
      <w:r w:rsidRPr="00BD6C5F">
        <w:t xml:space="preserve"> and/or Paragraph </w:t>
      </w:r>
      <w:r w:rsidR="00280692" w:rsidRPr="00BD6C5F">
        <w:fldChar w:fldCharType="begin"/>
      </w:r>
      <w:r w:rsidR="00280692" w:rsidRPr="00BD6C5F">
        <w:instrText xml:space="preserve"> REF _Ref98414135 \n \h </w:instrText>
      </w:r>
      <w:r w:rsidR="00AD7DD0" w:rsidRPr="00BD6C5F">
        <w:instrText xml:space="preserve"> \* MERGEFORMAT </w:instrText>
      </w:r>
      <w:r w:rsidR="00280692" w:rsidRPr="00BD6C5F">
        <w:fldChar w:fldCharType="separate"/>
      </w:r>
      <w:r w:rsidR="009749A0">
        <w:t>5.7</w:t>
      </w:r>
      <w:r w:rsidR="00280692" w:rsidRPr="00BD6C5F">
        <w:fldChar w:fldCharType="end"/>
      </w:r>
      <w:r w:rsidRPr="00BD6C5F">
        <w:t xml:space="preserve"> apply) or in accordance with Paragraph </w:t>
      </w:r>
      <w:r w:rsidR="00280692" w:rsidRPr="00BD6C5F">
        <w:fldChar w:fldCharType="begin"/>
      </w:r>
      <w:r w:rsidR="00280692" w:rsidRPr="00BD6C5F">
        <w:instrText xml:space="preserve"> REF _Ref98414141 \n \h </w:instrText>
      </w:r>
      <w:r w:rsidR="00AD7DD0" w:rsidRPr="00BD6C5F">
        <w:instrText xml:space="preserve"> \* MERGEFORMAT </w:instrText>
      </w:r>
      <w:r w:rsidR="00280692" w:rsidRPr="00BD6C5F">
        <w:fldChar w:fldCharType="separate"/>
      </w:r>
      <w:r w:rsidR="009749A0">
        <w:t>5.8</w:t>
      </w:r>
      <w:r w:rsidR="00280692" w:rsidRPr="00BD6C5F">
        <w:fldChar w:fldCharType="end"/>
      </w:r>
      <w:r w:rsidRPr="00BD6C5F">
        <w:t xml:space="preserve"> shall, without prejudice to any other rights or remedies of the Authority, constitute a Supplier Termination Event.</w:t>
      </w:r>
      <w:bookmarkEnd w:id="819"/>
    </w:p>
    <w:p w14:paraId="282A2877" w14:textId="77777777" w:rsidR="00B76843" w:rsidRPr="00BD6C5F" w:rsidRDefault="00B76843" w:rsidP="00E31437"/>
    <w:p w14:paraId="40B61E17" w14:textId="1B3DAD32" w:rsidR="00272B0A" w:rsidRPr="00BD6C5F" w:rsidRDefault="00272B0A" w:rsidP="00E31437">
      <w:r w:rsidRPr="00BD6C5F">
        <w:br w:type="page"/>
      </w:r>
    </w:p>
    <w:p w14:paraId="5D8BD4F9" w14:textId="1C833CE1" w:rsidR="00BC7DDA" w:rsidRPr="00BD6C5F" w:rsidRDefault="00183F6E" w:rsidP="00F45AA2">
      <w:pPr>
        <w:pStyle w:val="Heading2"/>
      </w:pPr>
      <w:bookmarkStart w:id="820" w:name="_bookmark278"/>
      <w:bookmarkStart w:id="821" w:name="_Toc98332749"/>
      <w:bookmarkStart w:id="822" w:name="_Ref98342987"/>
      <w:bookmarkStart w:id="823" w:name="_Toc98852926"/>
      <w:bookmarkStart w:id="824" w:name="_Toc141721018"/>
      <w:bookmarkEnd w:id="820"/>
      <w:r w:rsidRPr="00BD6C5F">
        <w:lastRenderedPageBreak/>
        <w:t xml:space="preserve">Annex </w:t>
      </w:r>
      <w:bookmarkStart w:id="825" w:name="Schedule_17_Annex_1"/>
      <w:r w:rsidR="00EF1BFD">
        <w:t>1</w:t>
      </w:r>
      <w:bookmarkEnd w:id="825"/>
      <w:r w:rsidRPr="00BD6C5F">
        <w:t>: Approved Benchmarkers</w:t>
      </w:r>
      <w:bookmarkEnd w:id="821"/>
      <w:bookmarkEnd w:id="822"/>
      <w:bookmarkEnd w:id="823"/>
      <w:bookmarkEnd w:id="824"/>
    </w:p>
    <w:p w14:paraId="3835CF1B" w14:textId="77777777" w:rsidR="00B76843" w:rsidRPr="00BD6C5F" w:rsidRDefault="00B76843" w:rsidP="00F45AA2"/>
    <w:p w14:paraId="010C7299" w14:textId="67EE3360" w:rsidR="00272B0A" w:rsidRPr="00BD6C5F" w:rsidRDefault="00272B0A" w:rsidP="00F45AA2">
      <w:r w:rsidRPr="00BD6C5F">
        <w:br w:type="page"/>
      </w:r>
    </w:p>
    <w:p w14:paraId="4C252563" w14:textId="6B017571" w:rsidR="00BC7DDA" w:rsidRPr="00BD6C5F" w:rsidRDefault="00183F6E" w:rsidP="00F45AA2">
      <w:pPr>
        <w:pStyle w:val="Heading2"/>
      </w:pPr>
      <w:bookmarkStart w:id="826" w:name="_bookmark279"/>
      <w:bookmarkStart w:id="827" w:name="_bookmark280"/>
      <w:bookmarkStart w:id="828" w:name="_Toc98332750"/>
      <w:bookmarkStart w:id="829" w:name="_Ref98342997"/>
      <w:bookmarkStart w:id="830" w:name="_Toc98852927"/>
      <w:bookmarkStart w:id="831" w:name="_Toc141721019"/>
      <w:bookmarkEnd w:id="826"/>
      <w:bookmarkEnd w:id="827"/>
      <w:r w:rsidRPr="00BD6C5F">
        <w:lastRenderedPageBreak/>
        <w:t xml:space="preserve">Annex </w:t>
      </w:r>
      <w:bookmarkStart w:id="832" w:name="Schedule_17_Annex_2"/>
      <w:r w:rsidR="00EF1BFD">
        <w:t>2</w:t>
      </w:r>
      <w:bookmarkEnd w:id="832"/>
      <w:r w:rsidRPr="00BD6C5F">
        <w:t>: Confidentiality Agreement</w:t>
      </w:r>
      <w:bookmarkEnd w:id="828"/>
      <w:bookmarkEnd w:id="829"/>
      <w:bookmarkEnd w:id="830"/>
      <w:bookmarkEnd w:id="831"/>
    </w:p>
    <w:p w14:paraId="48183483" w14:textId="77777777" w:rsidR="00BC7DDA" w:rsidRPr="00BD6C5F" w:rsidRDefault="00BC7DDA" w:rsidP="00F45AA2"/>
    <w:p w14:paraId="63A34E7E" w14:textId="77777777" w:rsidR="00BC7DDA" w:rsidRPr="00BD6C5F" w:rsidRDefault="009B03E9" w:rsidP="00C70900">
      <w:pPr>
        <w:keepNext/>
        <w:spacing w:before="100" w:after="200"/>
        <w:rPr>
          <w:rFonts w:asciiTheme="minorHAnsi" w:hAnsiTheme="minorHAnsi" w:cstheme="minorHAnsi"/>
          <w:b/>
          <w:szCs w:val="24"/>
        </w:rPr>
      </w:pPr>
      <w:r w:rsidRPr="00BD6C5F">
        <w:rPr>
          <w:rFonts w:asciiTheme="minorHAnsi" w:hAnsiTheme="minorHAnsi" w:cstheme="minorHAnsi"/>
          <w:b/>
          <w:szCs w:val="24"/>
        </w:rPr>
        <w:t>CONFIDENTIALITY AGREEMENT</w:t>
      </w:r>
    </w:p>
    <w:p w14:paraId="0B072DDD" w14:textId="77777777" w:rsidR="00BC7DDA" w:rsidRPr="00BD6C5F" w:rsidRDefault="009B03E9" w:rsidP="00C70900">
      <w:pPr>
        <w:keepNext/>
        <w:spacing w:before="100" w:after="200"/>
        <w:rPr>
          <w:rFonts w:asciiTheme="minorHAnsi" w:hAnsiTheme="minorHAnsi" w:cstheme="minorHAnsi"/>
          <w:b/>
          <w:szCs w:val="24"/>
        </w:rPr>
      </w:pPr>
      <w:r w:rsidRPr="00BD6C5F">
        <w:rPr>
          <w:rFonts w:asciiTheme="minorHAnsi" w:hAnsiTheme="minorHAnsi" w:cstheme="minorHAnsi"/>
          <w:b/>
          <w:szCs w:val="24"/>
        </w:rPr>
        <w:t>BETWEEN:</w:t>
      </w:r>
    </w:p>
    <w:p w14:paraId="51373AEC" w14:textId="3A5ECD17" w:rsidR="00BC7DDA" w:rsidRPr="00BD6C5F" w:rsidRDefault="009B03E9" w:rsidP="00AA48C6">
      <w:pPr>
        <w:pStyle w:val="ListParagraph"/>
        <w:numPr>
          <w:ilvl w:val="0"/>
          <w:numId w:val="6"/>
        </w:numPr>
        <w:tabs>
          <w:tab w:val="left" w:pos="1020"/>
          <w:tab w:val="left" w:pos="1021"/>
        </w:tabs>
        <w:spacing w:before="100" w:after="200"/>
        <w:ind w:left="720" w:hanging="720"/>
        <w:rPr>
          <w:rFonts w:asciiTheme="minorHAnsi" w:hAnsiTheme="minorHAnsi" w:cstheme="minorHAnsi"/>
          <w:szCs w:val="24"/>
        </w:rPr>
      </w:pPr>
      <w:r w:rsidRPr="008E0842">
        <w:rPr>
          <w:rFonts w:asciiTheme="minorHAnsi" w:hAnsiTheme="minorHAnsi" w:cstheme="minorHAnsi"/>
          <w:bCs/>
          <w:szCs w:val="24"/>
          <w:shd w:val="clear" w:color="auto" w:fill="FFFF00"/>
        </w:rPr>
        <w:t>[</w:t>
      </w:r>
      <w:r w:rsidRPr="007E0568">
        <w:rPr>
          <w:rFonts w:asciiTheme="minorHAnsi" w:hAnsiTheme="minorHAnsi" w:cstheme="minorHAnsi"/>
          <w:b/>
          <w:szCs w:val="24"/>
          <w:shd w:val="clear" w:color="auto" w:fill="FFFF00"/>
        </w:rPr>
        <w:t>insert</w:t>
      </w:r>
      <w:r w:rsidRPr="008E0842">
        <w:rPr>
          <w:rFonts w:asciiTheme="minorHAnsi" w:hAnsiTheme="minorHAnsi" w:cstheme="minorHAnsi"/>
          <w:bCs/>
          <w:szCs w:val="24"/>
          <w:shd w:val="clear" w:color="auto" w:fill="FFFF00"/>
        </w:rPr>
        <w:t xml:space="preserve"> name]</w:t>
      </w:r>
      <w:r w:rsidRPr="008E0842">
        <w:rPr>
          <w:rFonts w:asciiTheme="minorHAnsi" w:hAnsiTheme="minorHAnsi" w:cstheme="minorHAnsi"/>
          <w:bCs/>
          <w:szCs w:val="24"/>
        </w:rPr>
        <w:t xml:space="preserve"> of </w:t>
      </w:r>
      <w:r w:rsidRPr="008E0842">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8E0842">
        <w:rPr>
          <w:rFonts w:asciiTheme="minorHAnsi" w:hAnsiTheme="minorHAnsi" w:cstheme="minorHAnsi"/>
          <w:bCs/>
          <w:szCs w:val="24"/>
          <w:shd w:val="clear" w:color="auto" w:fill="FFFF00"/>
        </w:rPr>
        <w:t xml:space="preserve"> address]</w:t>
      </w:r>
      <w:r w:rsidRPr="008E0842">
        <w:rPr>
          <w:rFonts w:asciiTheme="minorHAnsi" w:hAnsiTheme="minorHAnsi" w:cstheme="minorHAnsi"/>
          <w:bCs/>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Supplier</w:t>
      </w:r>
      <w:r w:rsidR="00A4555C" w:rsidRPr="00BD6C5F">
        <w:rPr>
          <w:rFonts w:asciiTheme="minorHAnsi" w:hAnsiTheme="minorHAnsi" w:cstheme="minorHAnsi"/>
          <w:szCs w:val="24"/>
        </w:rPr>
        <w:t>”</w:t>
      </w:r>
      <w:r w:rsidRPr="00BD6C5F">
        <w:rPr>
          <w:rFonts w:asciiTheme="minorHAnsi" w:hAnsiTheme="minorHAnsi" w:cstheme="minorHAnsi"/>
          <w:szCs w:val="24"/>
        </w:rPr>
        <w:t>); and</w:t>
      </w:r>
    </w:p>
    <w:p w14:paraId="4EDC581C" w14:textId="02E6188F" w:rsidR="00BC7DDA" w:rsidRPr="00BD6C5F" w:rsidRDefault="009B03E9" w:rsidP="00AA48C6">
      <w:pPr>
        <w:pStyle w:val="ListParagraph"/>
        <w:numPr>
          <w:ilvl w:val="0"/>
          <w:numId w:val="6"/>
        </w:numPr>
        <w:tabs>
          <w:tab w:val="left" w:pos="1020"/>
          <w:tab w:val="left" w:pos="1021"/>
        </w:tabs>
        <w:spacing w:before="100" w:after="200" w:line="242" w:lineRule="auto"/>
        <w:ind w:left="720" w:hanging="720"/>
        <w:rPr>
          <w:rFonts w:asciiTheme="minorHAnsi" w:hAnsiTheme="minorHAnsi" w:cstheme="minorHAnsi"/>
          <w:szCs w:val="24"/>
        </w:rPr>
      </w:pPr>
      <w:r w:rsidRPr="008E0842">
        <w:rPr>
          <w:rFonts w:asciiTheme="minorHAnsi" w:hAnsiTheme="minorHAnsi" w:cstheme="minorHAnsi"/>
          <w:bCs/>
          <w:szCs w:val="24"/>
          <w:shd w:val="clear" w:color="auto" w:fill="FFFF00"/>
        </w:rPr>
        <w:t>[</w:t>
      </w:r>
      <w:r w:rsidRPr="0080027B">
        <w:rPr>
          <w:rFonts w:asciiTheme="minorHAnsi" w:hAnsiTheme="minorHAnsi" w:cstheme="minorHAnsi"/>
          <w:b/>
          <w:szCs w:val="24"/>
          <w:shd w:val="clear" w:color="auto" w:fill="FFFF00"/>
        </w:rPr>
        <w:t>insert</w:t>
      </w:r>
      <w:r w:rsidRPr="008E0842">
        <w:rPr>
          <w:rFonts w:asciiTheme="minorHAnsi" w:hAnsiTheme="minorHAnsi" w:cstheme="minorHAnsi"/>
          <w:bCs/>
          <w:szCs w:val="24"/>
          <w:shd w:val="clear" w:color="auto" w:fill="FFFF00"/>
        </w:rPr>
        <w:t xml:space="preserve"> name]</w:t>
      </w:r>
      <w:r w:rsidRPr="008E0842">
        <w:rPr>
          <w:rFonts w:asciiTheme="minorHAnsi" w:hAnsiTheme="minorHAnsi" w:cstheme="minorHAnsi"/>
          <w:bCs/>
          <w:szCs w:val="24"/>
        </w:rPr>
        <w:t xml:space="preserve"> of </w:t>
      </w:r>
      <w:r w:rsidRPr="008E0842">
        <w:rPr>
          <w:rFonts w:asciiTheme="minorHAnsi" w:hAnsiTheme="minorHAnsi" w:cstheme="minorHAnsi"/>
          <w:bCs/>
          <w:szCs w:val="24"/>
          <w:shd w:val="clear" w:color="auto" w:fill="FFFF00"/>
        </w:rPr>
        <w:t>[</w:t>
      </w:r>
      <w:r w:rsidRPr="00012747">
        <w:rPr>
          <w:rFonts w:asciiTheme="minorHAnsi" w:hAnsiTheme="minorHAnsi" w:cstheme="minorHAnsi"/>
          <w:b/>
          <w:szCs w:val="24"/>
          <w:shd w:val="clear" w:color="auto" w:fill="FFFF00"/>
        </w:rPr>
        <w:t>insert</w:t>
      </w:r>
      <w:r w:rsidRPr="008E0842">
        <w:rPr>
          <w:rFonts w:asciiTheme="minorHAnsi" w:hAnsiTheme="minorHAnsi" w:cstheme="minorHAnsi"/>
          <w:bCs/>
          <w:szCs w:val="24"/>
          <w:shd w:val="clear" w:color="auto" w:fill="FFFF00"/>
        </w:rPr>
        <w:t xml:space="preserve"> address]</w:t>
      </w:r>
      <w:r w:rsidRPr="008E0842">
        <w:rPr>
          <w:rFonts w:asciiTheme="minorHAnsi" w:hAnsiTheme="minorHAnsi" w:cstheme="minorHAnsi"/>
          <w:bCs/>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Benchmarker</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together with the Supplier, the </w:t>
      </w:r>
      <w:r w:rsidR="00A4555C" w:rsidRPr="00BD6C5F">
        <w:rPr>
          <w:rFonts w:asciiTheme="minorHAnsi" w:hAnsiTheme="minorHAnsi" w:cstheme="minorHAnsi"/>
          <w:szCs w:val="24"/>
        </w:rPr>
        <w:t>“</w:t>
      </w:r>
      <w:r w:rsidRPr="00BD6C5F">
        <w:rPr>
          <w:rFonts w:asciiTheme="minorHAnsi" w:hAnsiTheme="minorHAnsi" w:cstheme="minorHAnsi"/>
          <w:b/>
          <w:szCs w:val="24"/>
        </w:rPr>
        <w:t>Parties</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762D04FB" w14:textId="77777777" w:rsidR="00BC7DDA" w:rsidRPr="00BD6C5F" w:rsidRDefault="009B03E9" w:rsidP="00C70900">
      <w:pPr>
        <w:keepNext/>
        <w:spacing w:before="100" w:after="200"/>
        <w:rPr>
          <w:rFonts w:asciiTheme="minorHAnsi" w:hAnsiTheme="minorHAnsi" w:cstheme="minorHAnsi"/>
          <w:b/>
          <w:szCs w:val="24"/>
        </w:rPr>
      </w:pPr>
      <w:r w:rsidRPr="00BD6C5F">
        <w:rPr>
          <w:rFonts w:asciiTheme="minorHAnsi" w:hAnsiTheme="minorHAnsi" w:cstheme="minorHAnsi"/>
          <w:b/>
          <w:szCs w:val="24"/>
        </w:rPr>
        <w:t>WHEREAS:</w:t>
      </w:r>
    </w:p>
    <w:p w14:paraId="38251715" w14:textId="0BF117E0" w:rsidR="00BC7DDA" w:rsidRPr="00BD6C5F" w:rsidRDefault="009B03E9" w:rsidP="00AA48C6">
      <w:pPr>
        <w:pStyle w:val="ListParagraph"/>
        <w:numPr>
          <w:ilvl w:val="1"/>
          <w:numId w:val="6"/>
        </w:numPr>
        <w:tabs>
          <w:tab w:val="left" w:pos="1020"/>
          <w:tab w:val="left" w:pos="1021"/>
        </w:tabs>
        <w:spacing w:before="100" w:after="200"/>
        <w:ind w:hanging="720"/>
        <w:rPr>
          <w:rFonts w:asciiTheme="minorHAnsi" w:hAnsiTheme="minorHAnsi" w:cstheme="minorHAnsi"/>
          <w:szCs w:val="24"/>
        </w:rPr>
      </w:pPr>
      <w:r w:rsidRPr="008E0842">
        <w:rPr>
          <w:rFonts w:asciiTheme="minorHAnsi" w:hAnsiTheme="minorHAnsi" w:cstheme="minorHAnsi"/>
          <w:szCs w:val="24"/>
          <w:shd w:val="clear" w:color="auto" w:fill="FFFF00"/>
        </w:rPr>
        <w:t>[</w:t>
      </w:r>
      <w:r w:rsidRPr="0080027B">
        <w:rPr>
          <w:rFonts w:asciiTheme="minorHAnsi" w:hAnsiTheme="minorHAnsi" w:cstheme="minorHAnsi"/>
          <w:b/>
          <w:bCs/>
          <w:szCs w:val="24"/>
          <w:shd w:val="clear" w:color="auto" w:fill="FFFF00"/>
        </w:rPr>
        <w:t>insert</w:t>
      </w:r>
      <w:r w:rsidRPr="008E0842">
        <w:rPr>
          <w:rFonts w:asciiTheme="minorHAnsi" w:hAnsiTheme="minorHAnsi" w:cstheme="minorHAnsi"/>
          <w:szCs w:val="24"/>
          <w:shd w:val="clear" w:color="auto" w:fill="FFFF00"/>
        </w:rPr>
        <w:t xml:space="preserve"> name of Authority]</w:t>
      </w:r>
      <w:r w:rsidRPr="008E0842">
        <w:rPr>
          <w:rFonts w:asciiTheme="minorHAnsi" w:hAnsiTheme="minorHAnsi" w:cstheme="minorHAnsi"/>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Authority</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the Supplier are party to a contract dated </w:t>
      </w:r>
      <w:r w:rsidRPr="008E0842">
        <w:rPr>
          <w:rFonts w:asciiTheme="minorHAnsi" w:hAnsiTheme="minorHAnsi" w:cstheme="minorHAnsi"/>
          <w:szCs w:val="24"/>
          <w:shd w:val="clear" w:color="auto" w:fill="FFFF00"/>
        </w:rPr>
        <w:t>[</w:t>
      </w:r>
      <w:r w:rsidRPr="0080027B">
        <w:rPr>
          <w:rFonts w:asciiTheme="minorHAnsi" w:hAnsiTheme="minorHAnsi" w:cstheme="minorHAnsi"/>
          <w:b/>
          <w:bCs/>
          <w:szCs w:val="24"/>
          <w:shd w:val="clear" w:color="auto" w:fill="FFFF00"/>
        </w:rPr>
        <w:t>insert</w:t>
      </w:r>
      <w:r w:rsidRPr="008E0842">
        <w:rPr>
          <w:rFonts w:asciiTheme="minorHAnsi" w:hAnsiTheme="minorHAnsi" w:cstheme="minorHAnsi"/>
          <w:szCs w:val="24"/>
          <w:shd w:val="clear" w:color="auto" w:fill="FFFF00"/>
        </w:rPr>
        <w:t xml:space="preserve"> date]</w:t>
      </w:r>
      <w:r w:rsidRPr="008E0842">
        <w:rPr>
          <w:rFonts w:asciiTheme="minorHAnsi" w:hAnsiTheme="minorHAnsi" w:cstheme="minorHAnsi"/>
          <w:szCs w:val="24"/>
        </w:rPr>
        <w:t xml:space="preserve"> </w:t>
      </w:r>
      <w:r w:rsidRPr="00BD6C5F">
        <w:rPr>
          <w:rFonts w:asciiTheme="minorHAnsi" w:hAnsiTheme="minorHAnsi" w:cstheme="minorHAnsi"/>
          <w:szCs w:val="24"/>
        </w:rPr>
        <w:t xml:space="preserve">(the </w:t>
      </w:r>
      <w:r w:rsidR="00A4555C" w:rsidRPr="00BD6C5F">
        <w:rPr>
          <w:rFonts w:asciiTheme="minorHAnsi" w:hAnsiTheme="minorHAnsi" w:cstheme="minorHAnsi"/>
          <w:szCs w:val="24"/>
        </w:rPr>
        <w:t>“</w:t>
      </w:r>
      <w:r w:rsidRPr="00BD6C5F">
        <w:rPr>
          <w:rFonts w:asciiTheme="minorHAnsi" w:hAnsiTheme="minorHAnsi" w:cstheme="minorHAnsi"/>
          <w:b/>
          <w:szCs w:val="24"/>
        </w:rPr>
        <w:t>Contract</w:t>
      </w:r>
      <w:r w:rsidR="00A4555C" w:rsidRPr="00BD6C5F">
        <w:rPr>
          <w:rFonts w:asciiTheme="minorHAnsi" w:hAnsiTheme="minorHAnsi" w:cstheme="minorHAnsi"/>
          <w:szCs w:val="24"/>
        </w:rPr>
        <w:t>”</w:t>
      </w:r>
      <w:r w:rsidRPr="00BD6C5F">
        <w:rPr>
          <w:rFonts w:asciiTheme="minorHAnsi" w:hAnsiTheme="minorHAnsi" w:cstheme="minorHAnsi"/>
          <w:szCs w:val="24"/>
        </w:rPr>
        <w:t xml:space="preserve">) for the provision by the Supplier </w:t>
      </w:r>
      <w:r w:rsidRPr="008E0842">
        <w:rPr>
          <w:rFonts w:asciiTheme="minorHAnsi" w:hAnsiTheme="minorHAnsi" w:cstheme="minorHAnsi"/>
          <w:szCs w:val="24"/>
        </w:rPr>
        <w:t>o</w:t>
      </w:r>
      <w:r w:rsidR="00BA185F" w:rsidRPr="008E0842">
        <w:rPr>
          <w:rFonts w:asciiTheme="minorHAnsi" w:hAnsiTheme="minorHAnsi" w:cstheme="minorHAnsi"/>
          <w:szCs w:val="24"/>
        </w:rPr>
        <w:t xml:space="preserve">f </w:t>
      </w:r>
      <w:r w:rsidRPr="008E0842">
        <w:rPr>
          <w:rFonts w:asciiTheme="minorHAnsi" w:hAnsiTheme="minorHAnsi" w:cstheme="minorHAnsi"/>
          <w:szCs w:val="24"/>
          <w:shd w:val="clear" w:color="auto" w:fill="FFFF00"/>
        </w:rPr>
        <w:t>[</w:t>
      </w:r>
      <w:r w:rsidRPr="0080027B">
        <w:rPr>
          <w:rFonts w:asciiTheme="minorHAnsi" w:hAnsiTheme="minorHAnsi" w:cstheme="minorHAnsi"/>
          <w:b/>
          <w:bCs/>
          <w:szCs w:val="24"/>
          <w:shd w:val="clear" w:color="auto" w:fill="FFFF00"/>
        </w:rPr>
        <w:t>insert</w:t>
      </w:r>
      <w:r w:rsidRPr="008E0842">
        <w:rPr>
          <w:rFonts w:asciiTheme="minorHAnsi" w:hAnsiTheme="minorHAnsi" w:cstheme="minorHAnsi"/>
          <w:szCs w:val="24"/>
          <w:shd w:val="clear" w:color="auto" w:fill="FFFF00"/>
        </w:rPr>
        <w:t xml:space="preserve"> brief description of services]</w:t>
      </w:r>
      <w:r w:rsidRPr="00BD6C5F">
        <w:rPr>
          <w:rFonts w:asciiTheme="minorHAnsi" w:hAnsiTheme="minorHAnsi" w:cstheme="minorHAnsi"/>
          <w:szCs w:val="24"/>
        </w:rPr>
        <w:t xml:space="preserve"> to the Authority.</w:t>
      </w:r>
    </w:p>
    <w:p w14:paraId="01F34AE3" w14:textId="23CD164F" w:rsidR="00BC7DDA" w:rsidRPr="00BD6C5F" w:rsidRDefault="009B03E9" w:rsidP="00AA48C6">
      <w:pPr>
        <w:pStyle w:val="ListParagraph"/>
        <w:numPr>
          <w:ilvl w:val="1"/>
          <w:numId w:val="6"/>
        </w:numPr>
        <w:tabs>
          <w:tab w:val="left" w:pos="1020"/>
          <w:tab w:val="left" w:pos="1021"/>
        </w:tabs>
        <w:spacing w:before="100" w:after="200"/>
        <w:ind w:hanging="720"/>
        <w:rPr>
          <w:rFonts w:asciiTheme="minorHAnsi" w:hAnsiTheme="minorHAnsi" w:cstheme="minorHAnsi"/>
          <w:szCs w:val="24"/>
        </w:rPr>
      </w:pPr>
      <w:bookmarkStart w:id="833" w:name="_bookmark281"/>
      <w:bookmarkEnd w:id="833"/>
      <w:r w:rsidRPr="00BD6C5F">
        <w:rPr>
          <w:rFonts w:asciiTheme="minorHAnsi" w:hAnsiTheme="minorHAnsi" w:cstheme="minorHAnsi"/>
          <w:szCs w:val="24"/>
        </w:rPr>
        <w:t xml:space="preserve">The Benchmarker is to receive Confidential Information from the Supplier for the purpose of carrying out a benchmarking review for the Authority of one or more of such services pursuant to the terms of the Contract (the </w:t>
      </w:r>
      <w:r w:rsidR="00A4555C" w:rsidRPr="00BD6C5F">
        <w:rPr>
          <w:rFonts w:asciiTheme="minorHAnsi" w:hAnsiTheme="minorHAnsi" w:cstheme="minorHAnsi"/>
          <w:szCs w:val="24"/>
        </w:rPr>
        <w:t>“</w:t>
      </w:r>
      <w:r w:rsidRPr="00BD6C5F">
        <w:rPr>
          <w:rFonts w:asciiTheme="minorHAnsi" w:hAnsiTheme="minorHAnsi" w:cstheme="minorHAnsi"/>
          <w:b/>
          <w:szCs w:val="24"/>
        </w:rPr>
        <w:t>Permitted Purpose</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6D8C9A2A" w14:textId="77777777" w:rsidR="00BC7DDA" w:rsidRPr="00BD6C5F" w:rsidRDefault="009B03E9" w:rsidP="00F45AA2">
      <w:pPr>
        <w:spacing w:before="100" w:after="200"/>
        <w:rPr>
          <w:rFonts w:asciiTheme="minorHAnsi" w:hAnsiTheme="minorHAnsi" w:cstheme="minorHAnsi"/>
          <w:b/>
          <w:szCs w:val="24"/>
        </w:rPr>
      </w:pPr>
      <w:r w:rsidRPr="00BD6C5F">
        <w:rPr>
          <w:rFonts w:asciiTheme="minorHAnsi" w:hAnsiTheme="minorHAnsi" w:cstheme="minorHAnsi"/>
          <w:b/>
          <w:szCs w:val="24"/>
        </w:rPr>
        <w:t>IT IS AGREED as follows:</w:t>
      </w:r>
    </w:p>
    <w:p w14:paraId="460323D6" w14:textId="77777777" w:rsidR="00BC7DDA" w:rsidRPr="00BD6C5F" w:rsidRDefault="009B03E9" w:rsidP="00B71FC0">
      <w:pPr>
        <w:pStyle w:val="AppendixText1"/>
        <w:numPr>
          <w:ilvl w:val="0"/>
          <w:numId w:val="156"/>
        </w:numPr>
      </w:pPr>
      <w:r w:rsidRPr="00BD6C5F">
        <w:t>Interpretation</w:t>
      </w:r>
    </w:p>
    <w:p w14:paraId="0182ACC7" w14:textId="77777777" w:rsidR="00BC7DDA" w:rsidRPr="00BD6C5F" w:rsidRDefault="009B03E9" w:rsidP="00C70900">
      <w:pPr>
        <w:pStyle w:val="AppendixText2"/>
        <w:keepNext/>
      </w:pPr>
      <w:r w:rsidRPr="00BD6C5F">
        <w:t>In this Agreement, unless the context otherwise requires:</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37220" w:rsidRPr="00BD6C5F" w14:paraId="4A19E657" w14:textId="77777777" w:rsidTr="00B750B0">
        <w:trPr>
          <w:trHeight w:val="20"/>
        </w:trPr>
        <w:tc>
          <w:tcPr>
            <w:tcW w:w="3572" w:type="dxa"/>
          </w:tcPr>
          <w:p w14:paraId="430175FE" w14:textId="62062D97" w:rsidR="00B37220" w:rsidRPr="00BD6C5F" w:rsidRDefault="00B37220" w:rsidP="00B37220">
            <w:pPr>
              <w:pStyle w:val="Tabletext"/>
              <w:rPr>
                <w:rFonts w:asciiTheme="minorHAnsi" w:hAnsiTheme="minorHAnsi" w:cstheme="minorHAnsi"/>
                <w:b/>
              </w:rPr>
            </w:pPr>
            <w:r w:rsidRPr="00BD6C5F">
              <w:rPr>
                <w:rFonts w:asciiTheme="minorHAnsi" w:hAnsiTheme="minorHAnsi" w:cstheme="minorHAnsi"/>
                <w:b/>
              </w:rPr>
              <w:t>“Confidential Information”</w:t>
            </w:r>
          </w:p>
        </w:tc>
        <w:tc>
          <w:tcPr>
            <w:tcW w:w="5953" w:type="dxa"/>
          </w:tcPr>
          <w:p w14:paraId="2A187797" w14:textId="77777777" w:rsidR="00B37220" w:rsidRPr="00BD6C5F" w:rsidRDefault="00B37220" w:rsidP="00B750B0">
            <w:pPr>
              <w:pStyle w:val="Tabletext"/>
            </w:pPr>
            <w:r w:rsidRPr="00BD6C5F">
              <w:t>means:</w:t>
            </w:r>
          </w:p>
          <w:p w14:paraId="07B0A3A4" w14:textId="77777777" w:rsidR="00B37220" w:rsidRPr="00BD6C5F" w:rsidRDefault="00B37220" w:rsidP="00B750B0">
            <w:pPr>
              <w:pStyle w:val="Tablea"/>
            </w:pPr>
            <w:r w:rsidRPr="00BD6C5F">
              <w:t>Information, including all personal data within the meaning of the Data Protection Act 2018, and however it is conveyed, provided by the Supplier to the Benchmarker pursuant to this Agreement that relates to:</w:t>
            </w:r>
          </w:p>
          <w:p w14:paraId="1E827E81" w14:textId="77777777" w:rsidR="00B37220" w:rsidRPr="00BD6C5F" w:rsidRDefault="00B37220" w:rsidP="00183F6E">
            <w:pPr>
              <w:pStyle w:val="Tableai"/>
            </w:pPr>
            <w:r w:rsidRPr="00BD6C5F">
              <w:t>the Supplier; or</w:t>
            </w:r>
          </w:p>
          <w:p w14:paraId="0F3BEFFC" w14:textId="77777777" w:rsidR="00B37220" w:rsidRPr="00BD6C5F" w:rsidRDefault="00B37220" w:rsidP="00183F6E">
            <w:pPr>
              <w:pStyle w:val="Tableai"/>
            </w:pPr>
            <w:r w:rsidRPr="00BD6C5F">
              <w:t>the operations, business, affairs, developments, intellectual property rights, trade secrets, know-how and/or personnel of the Supplier;</w:t>
            </w:r>
          </w:p>
          <w:p w14:paraId="7803BD9D" w14:textId="77777777" w:rsidR="00B37220" w:rsidRPr="00BD6C5F" w:rsidRDefault="00B37220" w:rsidP="00B750B0">
            <w:pPr>
              <w:pStyle w:val="Tablea"/>
            </w:pPr>
            <w:r w:rsidRPr="00BD6C5F">
              <w:t>other Information provided by the Supplier pursuant to this Agreement to the Benchmarker that is clearly designated as being confidential or equivalent or that ought reasonably to be considered to be confidential which comes (or has come) to the Benchmarker’s attention or into the Benchmarker’s possession in connection with the Permitted Purpose;</w:t>
            </w:r>
          </w:p>
          <w:p w14:paraId="428E2885" w14:textId="77777777" w:rsidR="00B37220" w:rsidRPr="00BD6C5F" w:rsidRDefault="00B37220" w:rsidP="00B750B0">
            <w:pPr>
              <w:pStyle w:val="Tablea"/>
            </w:pPr>
            <w:r w:rsidRPr="00BD6C5F">
              <w:t xml:space="preserve">discussions, negotiations, and correspondence between the Supplier or any of its directors, officers, employees, consultants or professional </w:t>
            </w:r>
            <w:r w:rsidRPr="00BD6C5F">
              <w:lastRenderedPageBreak/>
              <w:t>advisers and the Benchmarker or any of its directors, officers, employees, consultants and professional advisers in connection with the Permitted Purpose and all matters arising therefrom; and</w:t>
            </w:r>
          </w:p>
          <w:p w14:paraId="62B55327" w14:textId="77777777" w:rsidR="00B37220" w:rsidRPr="00BD6C5F" w:rsidRDefault="00B37220" w:rsidP="00B37220">
            <w:pPr>
              <w:pStyle w:val="Tabletext"/>
            </w:pPr>
            <w:r w:rsidRPr="00BD6C5F">
              <w:t>Information derived from any of the above, but not including any Information that:</w:t>
            </w:r>
          </w:p>
          <w:p w14:paraId="6143DB07" w14:textId="77777777" w:rsidR="00B37220" w:rsidRPr="00BD6C5F" w:rsidRDefault="00B37220" w:rsidP="00B750B0">
            <w:pPr>
              <w:pStyle w:val="Tablea"/>
            </w:pPr>
            <w:r w:rsidRPr="00BD6C5F">
              <w:t>was in the possession of the Benchmarker without obligation of confidentiality prior to its disclosure by the Supplier;</w:t>
            </w:r>
          </w:p>
          <w:p w14:paraId="03368FE9" w14:textId="77777777" w:rsidR="00B37220" w:rsidRPr="00BD6C5F" w:rsidRDefault="00B37220" w:rsidP="00B750B0">
            <w:pPr>
              <w:pStyle w:val="Tablea"/>
            </w:pPr>
            <w:r w:rsidRPr="00BD6C5F">
              <w:t>the Benchmarker obtained on a non- confidential basis from a third party who is not, to the Benchmarker’s knowledge or belief, bound by a confidentiality agreement with the Supplier or otherwise prohibited from disclosing the information to the Benchmarker;</w:t>
            </w:r>
          </w:p>
          <w:p w14:paraId="5F3B947E" w14:textId="77777777" w:rsidR="00B37220" w:rsidRPr="00BD6C5F" w:rsidRDefault="00B37220" w:rsidP="00B750B0">
            <w:pPr>
              <w:pStyle w:val="Tablea"/>
            </w:pPr>
            <w:r w:rsidRPr="00BD6C5F">
              <w:t>was already generally available and in the public domain at the time of disclosure otherwise than by a breach of this Agreement or breach of a duty of confidentiality; or</w:t>
            </w:r>
          </w:p>
          <w:p w14:paraId="02888318" w14:textId="0BBC7E1F" w:rsidR="00B37220" w:rsidRPr="00BD6C5F" w:rsidRDefault="00B37220" w:rsidP="00B750B0">
            <w:pPr>
              <w:pStyle w:val="Tablea"/>
            </w:pPr>
            <w:r w:rsidRPr="00BD6C5F">
              <w:t>was independently developed without access to the Confidential Information;</w:t>
            </w:r>
          </w:p>
        </w:tc>
      </w:tr>
      <w:tr w:rsidR="00B37220" w:rsidRPr="00BD6C5F" w14:paraId="0C9276A4" w14:textId="77777777" w:rsidTr="00B750B0">
        <w:trPr>
          <w:trHeight w:val="20"/>
        </w:trPr>
        <w:tc>
          <w:tcPr>
            <w:tcW w:w="3572" w:type="dxa"/>
          </w:tcPr>
          <w:p w14:paraId="3C9E72F9" w14:textId="2CB31587" w:rsidR="00B37220" w:rsidRPr="00BD6C5F" w:rsidRDefault="00B37220" w:rsidP="00B37220">
            <w:pPr>
              <w:pStyle w:val="Tabletext"/>
              <w:rPr>
                <w:rFonts w:asciiTheme="minorHAnsi" w:hAnsiTheme="minorHAnsi" w:cstheme="minorHAnsi"/>
                <w:b/>
              </w:rPr>
            </w:pPr>
            <w:r w:rsidRPr="00BD6C5F">
              <w:rPr>
                <w:rFonts w:asciiTheme="minorHAnsi" w:hAnsiTheme="minorHAnsi" w:cstheme="minorHAnsi"/>
                <w:b/>
              </w:rPr>
              <w:lastRenderedPageBreak/>
              <w:t>“Information”</w:t>
            </w:r>
          </w:p>
        </w:tc>
        <w:tc>
          <w:tcPr>
            <w:tcW w:w="5953" w:type="dxa"/>
          </w:tcPr>
          <w:p w14:paraId="25AD834A" w14:textId="15482BDB" w:rsidR="00B37220" w:rsidRPr="00BD6C5F" w:rsidRDefault="00B37220" w:rsidP="00B37220">
            <w:pPr>
              <w:pStyle w:val="Tabletext"/>
            </w:pPr>
            <w:r w:rsidRPr="00BD6C5F">
              <w:rPr>
                <w:rFonts w:asciiTheme="minorHAnsi" w:hAnsiTheme="minorHAnsi" w:cstheme="minorHAnsi"/>
              </w:rPr>
              <w:t>means all information of whatever nature, however conveyed and in whatever form, including in writing, orally, by demonstration, electronically and in a tangible, visual or machine-readable medium (including CD-ROM, magnetic and digital form); and</w:t>
            </w:r>
          </w:p>
        </w:tc>
      </w:tr>
      <w:tr w:rsidR="00B37220" w:rsidRPr="00BD6C5F" w14:paraId="0AEA19CB" w14:textId="77777777" w:rsidTr="00B750B0">
        <w:trPr>
          <w:trHeight w:val="20"/>
        </w:trPr>
        <w:tc>
          <w:tcPr>
            <w:tcW w:w="3572" w:type="dxa"/>
          </w:tcPr>
          <w:p w14:paraId="71F8BFB4" w14:textId="5A5CF14E" w:rsidR="00B37220" w:rsidRPr="00BD6C5F" w:rsidRDefault="00B37220" w:rsidP="00B37220">
            <w:pPr>
              <w:pStyle w:val="Tabletext"/>
              <w:rPr>
                <w:rFonts w:asciiTheme="minorHAnsi" w:hAnsiTheme="minorHAnsi" w:cstheme="minorHAnsi"/>
                <w:b/>
              </w:rPr>
            </w:pPr>
            <w:r w:rsidRPr="00BD6C5F">
              <w:rPr>
                <w:rFonts w:asciiTheme="minorHAnsi" w:hAnsiTheme="minorHAnsi" w:cstheme="minorHAnsi"/>
                <w:b/>
              </w:rPr>
              <w:t>“Permitted Purpose”</w:t>
            </w:r>
          </w:p>
        </w:tc>
        <w:tc>
          <w:tcPr>
            <w:tcW w:w="5953" w:type="dxa"/>
          </w:tcPr>
          <w:p w14:paraId="6EDF631C" w14:textId="5322FFD0" w:rsidR="00B37220" w:rsidRPr="00BD6C5F" w:rsidRDefault="00B37220" w:rsidP="00B37220">
            <w:pPr>
              <w:pStyle w:val="Tabletext"/>
            </w:pPr>
            <w:r w:rsidRPr="00BD6C5F">
              <w:rPr>
                <w:rFonts w:asciiTheme="minorHAnsi" w:hAnsiTheme="minorHAnsi" w:cstheme="minorHAnsi"/>
              </w:rPr>
              <w:t>has the meaning given to that expression in recital (B) to this Agreement.</w:t>
            </w:r>
          </w:p>
        </w:tc>
      </w:tr>
    </w:tbl>
    <w:p w14:paraId="2318E568" w14:textId="77777777" w:rsidR="00BC7DDA" w:rsidRPr="00BD6C5F" w:rsidRDefault="009B03E9" w:rsidP="00C70900">
      <w:pPr>
        <w:pStyle w:val="AppendixText2"/>
        <w:keepNext/>
      </w:pPr>
      <w:r w:rsidRPr="00BD6C5F">
        <w:t>In this Agreement:</w:t>
      </w:r>
    </w:p>
    <w:p w14:paraId="0D259AA1" w14:textId="77777777" w:rsidR="00BC7DDA" w:rsidRPr="00BD6C5F" w:rsidRDefault="009B03E9" w:rsidP="008A53A5">
      <w:pPr>
        <w:pStyle w:val="AppendixText3"/>
      </w:pPr>
      <w:r w:rsidRPr="00BD6C5F">
        <w:t>a reference to any gender includes a reference to other genders;</w:t>
      </w:r>
    </w:p>
    <w:p w14:paraId="76A9CFC7" w14:textId="77777777" w:rsidR="00BC7DDA" w:rsidRPr="00BD6C5F" w:rsidRDefault="009B03E9" w:rsidP="008A53A5">
      <w:pPr>
        <w:pStyle w:val="AppendixText3"/>
      </w:pPr>
      <w:r w:rsidRPr="00BD6C5F">
        <w:t>the singular includes the plural and vice versa;</w:t>
      </w:r>
    </w:p>
    <w:p w14:paraId="4C99868F" w14:textId="42227DE0" w:rsidR="00BC7DDA" w:rsidRPr="00BD6C5F" w:rsidRDefault="009B03E9" w:rsidP="008A53A5">
      <w:pPr>
        <w:pStyle w:val="AppendixText3"/>
      </w:pPr>
      <w:r w:rsidRPr="00BD6C5F">
        <w:t xml:space="preserve">the words </w:t>
      </w:r>
      <w:r w:rsidR="00A4555C" w:rsidRPr="00BD6C5F">
        <w:t>“</w:t>
      </w:r>
      <w:r w:rsidRPr="00BD6C5F">
        <w:t>include</w:t>
      </w:r>
      <w:r w:rsidR="00A4555C" w:rsidRPr="00BD6C5F">
        <w:t>”</w:t>
      </w:r>
      <w:r w:rsidRPr="00BD6C5F">
        <w:t xml:space="preserve"> and cognate expressions shall be construed as if they were immediately followed by the words </w:t>
      </w:r>
      <w:r w:rsidR="00A4555C" w:rsidRPr="00BD6C5F">
        <w:t>“</w:t>
      </w:r>
      <w:r w:rsidRPr="00BD6C5F">
        <w:t>without limitation</w:t>
      </w:r>
      <w:r w:rsidR="00A4555C" w:rsidRPr="00BD6C5F">
        <w:t>”</w:t>
      </w:r>
      <w:r w:rsidRPr="00BD6C5F">
        <w:t>;</w:t>
      </w:r>
    </w:p>
    <w:p w14:paraId="38CBFBEF" w14:textId="77777777" w:rsidR="00BC7DDA" w:rsidRPr="00BD6C5F" w:rsidRDefault="009B03E9" w:rsidP="008A53A5">
      <w:pPr>
        <w:pStyle w:val="AppendixText3"/>
      </w:pPr>
      <w:r w:rsidRPr="00BD6C5F">
        <w:t>references to any statutory provision include a reference to that provision as modified, replaced, amended and/or re-enacted from time to time (before or after the date of signature of this Agreement) and any prior or subsequent subordinate legislation made under it;</w:t>
      </w:r>
    </w:p>
    <w:p w14:paraId="048CCD74" w14:textId="77777777" w:rsidR="00BC7DDA" w:rsidRPr="00BD6C5F" w:rsidRDefault="009B03E9" w:rsidP="008A53A5">
      <w:pPr>
        <w:pStyle w:val="AppendixText3"/>
      </w:pPr>
      <w:r w:rsidRPr="00BD6C5F">
        <w:t>headings are included for ease of reference only and shall not affect the interpretation or construction of this Agreement; and</w:t>
      </w:r>
    </w:p>
    <w:p w14:paraId="28B29583" w14:textId="77777777" w:rsidR="00BC7DDA" w:rsidRPr="00BD6C5F" w:rsidRDefault="009B03E9" w:rsidP="008A53A5">
      <w:pPr>
        <w:pStyle w:val="AppendixText3"/>
      </w:pPr>
      <w:r w:rsidRPr="00BD6C5F">
        <w:t>references to Clauses are to clauses of this Agreement.</w:t>
      </w:r>
    </w:p>
    <w:p w14:paraId="661E892C" w14:textId="77777777" w:rsidR="00BC7DDA" w:rsidRPr="00BD6C5F" w:rsidRDefault="009B03E9" w:rsidP="008A53A5">
      <w:pPr>
        <w:pStyle w:val="AppendixText1"/>
      </w:pPr>
      <w:r w:rsidRPr="00BD6C5F">
        <w:lastRenderedPageBreak/>
        <w:t>Confidentiality Obligations</w:t>
      </w:r>
    </w:p>
    <w:p w14:paraId="3C813ADF" w14:textId="77777777" w:rsidR="00BC7DDA" w:rsidRPr="00BD6C5F" w:rsidRDefault="009B03E9" w:rsidP="00C70900">
      <w:pPr>
        <w:pStyle w:val="AppendixText2"/>
        <w:keepNext/>
      </w:pPr>
      <w:r w:rsidRPr="00BD6C5F">
        <w:t>In consideration of the Supplier providing Confidential Information to the Benchmarker, the Benchmarker shall:</w:t>
      </w:r>
    </w:p>
    <w:p w14:paraId="44BC4757" w14:textId="77777777" w:rsidR="00BC7DDA" w:rsidRPr="00BD6C5F" w:rsidRDefault="009B03E9" w:rsidP="008A53A5">
      <w:pPr>
        <w:pStyle w:val="AppendixText3"/>
      </w:pPr>
      <w:r w:rsidRPr="00BD6C5F">
        <w:t>treat all Confidential Information as secret and confidential;</w:t>
      </w:r>
    </w:p>
    <w:p w14:paraId="0609B5A4" w14:textId="77777777" w:rsidR="00BC7DDA" w:rsidRPr="00BD6C5F" w:rsidRDefault="009B03E9" w:rsidP="008A53A5">
      <w:pPr>
        <w:pStyle w:val="AppendixText3"/>
      </w:pPr>
      <w:r w:rsidRPr="00BD6C5F">
        <w:t>have in place and maintain proper security measures and procedures to protect the confidentiality of the Confidential Information (having regard to its form and nature);</w:t>
      </w:r>
    </w:p>
    <w:p w14:paraId="3D8A10AC" w14:textId="77777777" w:rsidR="00BC7DDA" w:rsidRPr="00BD6C5F" w:rsidRDefault="009B03E9" w:rsidP="008A53A5">
      <w:pPr>
        <w:pStyle w:val="AppendixText3"/>
      </w:pPr>
      <w:r w:rsidRPr="00BD6C5F">
        <w:t>not disclose or permit the disclosure of any of the Confidential Information to any other person without obtaining the prior written consent of the Supplier or, if relevant, other owner or except as expressly set out in this Agreement;</w:t>
      </w:r>
    </w:p>
    <w:p w14:paraId="74AE63E2" w14:textId="77777777" w:rsidR="00BC7DDA" w:rsidRPr="00BD6C5F" w:rsidRDefault="009B03E9" w:rsidP="008A53A5">
      <w:pPr>
        <w:pStyle w:val="AppendixText3"/>
      </w:pPr>
      <w:r w:rsidRPr="00BD6C5F">
        <w:t>not transfer any of the Confidential Information outside the United Kingdom;</w:t>
      </w:r>
    </w:p>
    <w:p w14:paraId="613AC74A" w14:textId="77777777" w:rsidR="00BC7DDA" w:rsidRPr="00BD6C5F" w:rsidRDefault="009B03E9" w:rsidP="008A53A5">
      <w:pPr>
        <w:pStyle w:val="AppendixText3"/>
      </w:pPr>
      <w:r w:rsidRPr="00BD6C5F">
        <w:t>not use or exploit any of the Confidential Information for any purpose whatsoever other than the Permitted Purpose;</w:t>
      </w:r>
    </w:p>
    <w:p w14:paraId="26FC5B32" w14:textId="77777777" w:rsidR="00BC7DDA" w:rsidRPr="00BD6C5F" w:rsidRDefault="009B03E9" w:rsidP="008A53A5">
      <w:pPr>
        <w:pStyle w:val="AppendixText3"/>
      </w:pPr>
      <w:r w:rsidRPr="00BD6C5F">
        <w:t>immediately notify the Supplier in writing if it suspects or becomes aware of any unauthorised access, copying, use or disclosure in any form of any of the Confidential Information; and</w:t>
      </w:r>
    </w:p>
    <w:p w14:paraId="3A434390" w14:textId="77777777" w:rsidR="00BC7DDA" w:rsidRPr="00BD6C5F" w:rsidRDefault="009B03E9" w:rsidP="008A53A5">
      <w:pPr>
        <w:pStyle w:val="AppendixText3"/>
      </w:pPr>
      <w:r w:rsidRPr="00BD6C5F">
        <w:t>once the Permitted Purpose has been fulfilled:</w:t>
      </w:r>
    </w:p>
    <w:p w14:paraId="4183C035" w14:textId="77777777" w:rsidR="00BC7DDA" w:rsidRPr="00BD6C5F" w:rsidRDefault="009B03E9" w:rsidP="00C70900">
      <w:pPr>
        <w:pStyle w:val="AppendixText3"/>
        <w:keepNext/>
      </w:pPr>
      <w:r w:rsidRPr="00BD6C5F">
        <w:t>destroy or return to the Supplier all documents and other tangible materials that contain any of the Confidential Information;</w:t>
      </w:r>
    </w:p>
    <w:p w14:paraId="7671835F" w14:textId="77777777" w:rsidR="00BC7DDA" w:rsidRPr="00BD6C5F" w:rsidRDefault="009B03E9" w:rsidP="00B750B0">
      <w:pPr>
        <w:pStyle w:val="AppendixText4"/>
      </w:pPr>
      <w:r w:rsidRPr="00BD6C5F">
        <w:t>ensure, so far as reasonably practicable, that all Confidential Information held in electronic, digital or other machine- readable form ceases to be readily accessible (other than by the information technology staff of the Benchmarker) from any computer, word processor, voicemail system or any other device; and</w:t>
      </w:r>
    </w:p>
    <w:p w14:paraId="7BC9D6B5" w14:textId="77777777" w:rsidR="00BC7DDA" w:rsidRPr="00BD6C5F" w:rsidRDefault="009B03E9" w:rsidP="00B750B0">
      <w:pPr>
        <w:pStyle w:val="AppendixText4"/>
      </w:pPr>
      <w:r w:rsidRPr="00BD6C5F">
        <w:t>make no further use of any Confidential Information.</w:t>
      </w:r>
    </w:p>
    <w:p w14:paraId="4C264E21" w14:textId="68B3F581" w:rsidR="00BC7DDA" w:rsidRPr="00BD6C5F" w:rsidRDefault="009B03E9" w:rsidP="008A53A5">
      <w:pPr>
        <w:pStyle w:val="AppendixText1"/>
      </w:pPr>
      <w:r w:rsidRPr="00BD6C5F">
        <w:t>Permitted Disclosures</w:t>
      </w:r>
    </w:p>
    <w:p w14:paraId="7490280B" w14:textId="77777777" w:rsidR="00BC7DDA" w:rsidRPr="00BD6C5F" w:rsidRDefault="009B03E9" w:rsidP="00C70900">
      <w:pPr>
        <w:pStyle w:val="AppendixText2"/>
        <w:keepNext/>
      </w:pPr>
      <w:r w:rsidRPr="00BD6C5F">
        <w:t>The Benchmarker may disclose Confidential Information to those of its directors, officers, employees, consultants and professional advisers who:</w:t>
      </w:r>
    </w:p>
    <w:p w14:paraId="595D28F4" w14:textId="77777777" w:rsidR="00BC7DDA" w:rsidRPr="00BD6C5F" w:rsidRDefault="009B03E9" w:rsidP="008A53A5">
      <w:pPr>
        <w:pStyle w:val="AppendixText3"/>
      </w:pPr>
      <w:r w:rsidRPr="00BD6C5F">
        <w:t>reasonably need to receive the Confidential Information in connection with the Permitted Purpose; and</w:t>
      </w:r>
    </w:p>
    <w:p w14:paraId="65F8F553" w14:textId="77777777" w:rsidR="00BC7DDA" w:rsidRPr="00BD6C5F" w:rsidRDefault="009B03E9" w:rsidP="008A53A5">
      <w:pPr>
        <w:pStyle w:val="AppendixText3"/>
      </w:pPr>
      <w:r w:rsidRPr="00BD6C5F">
        <w:t>have been informed by the Benchmarker of the confidential nature of the Confidential Information; and</w:t>
      </w:r>
    </w:p>
    <w:p w14:paraId="1AE86572" w14:textId="77777777" w:rsidR="00BC7DDA" w:rsidRPr="00BD6C5F" w:rsidRDefault="009B03E9" w:rsidP="008A53A5">
      <w:pPr>
        <w:pStyle w:val="AppendixText3"/>
      </w:pPr>
      <w:r w:rsidRPr="00BD6C5F">
        <w:t>have agreed to terms similar to those in this Agreement.</w:t>
      </w:r>
    </w:p>
    <w:p w14:paraId="6088764B" w14:textId="2C8D4A61" w:rsidR="00BC7DDA" w:rsidRPr="00BD6C5F" w:rsidRDefault="009B03E9" w:rsidP="008A53A5">
      <w:pPr>
        <w:pStyle w:val="AppendixText2"/>
      </w:pPr>
      <w:r w:rsidRPr="00BD6C5F">
        <w:t xml:space="preserve">The Benchmarker shall be entitled to disclose Confidential Information to the Authority for the Permitted Purpose and to any Expert appointed in relation to a Dispute as referred to in paragraph </w:t>
      </w:r>
      <w:r w:rsidR="00280692" w:rsidRPr="00BD6C5F">
        <w:fldChar w:fldCharType="begin"/>
      </w:r>
      <w:r w:rsidR="00280692" w:rsidRPr="00BD6C5F">
        <w:instrText xml:space="preserve"> REF _Ref98414135 \n \h </w:instrText>
      </w:r>
      <w:r w:rsidR="001F06F8" w:rsidRPr="00BD6C5F">
        <w:instrText xml:space="preserve"> \* MERGEFORMAT </w:instrText>
      </w:r>
      <w:r w:rsidR="00280692" w:rsidRPr="00BD6C5F">
        <w:fldChar w:fldCharType="separate"/>
      </w:r>
      <w:r w:rsidR="009749A0">
        <w:t>5.7</w:t>
      </w:r>
      <w:r w:rsidR="00280692" w:rsidRPr="00BD6C5F">
        <w:fldChar w:fldCharType="end"/>
      </w:r>
      <w:r w:rsidRPr="00BD6C5F">
        <w:t xml:space="preserve"> of</w:t>
      </w:r>
      <w:r w:rsidR="00C84629" w:rsidRPr="00BD6C5F">
        <w:t xml:space="preserve"> this</w:t>
      </w:r>
      <w:r w:rsidRPr="00BD6C5F">
        <w:t xml:space="preserve"> </w:t>
      </w:r>
      <w:r w:rsidR="00B94CF9" w:rsidRPr="00BD6C5F">
        <w:t>Schedule</w:t>
      </w:r>
      <w:r w:rsidR="00B11037" w:rsidRPr="00BD6C5F">
        <w:t> </w:t>
      </w:r>
      <w:r w:rsidR="00346653">
        <w:fldChar w:fldCharType="begin"/>
      </w:r>
      <w:r w:rsidR="00346653">
        <w:instrText xml:space="preserve"> REF Schedule_17 \h </w:instrText>
      </w:r>
      <w:r w:rsidR="00346653">
        <w:fldChar w:fldCharType="separate"/>
      </w:r>
      <w:r w:rsidR="009749A0">
        <w:t>17</w:t>
      </w:r>
      <w:r w:rsidR="00346653">
        <w:fldChar w:fldCharType="end"/>
      </w:r>
      <w:r w:rsidRPr="00BD6C5F">
        <w:t xml:space="preserve"> (</w:t>
      </w:r>
      <w:r w:rsidRPr="00346653">
        <w:rPr>
          <w:i/>
          <w:iCs/>
        </w:rPr>
        <w:t>Benchmarking</w:t>
      </w:r>
      <w:r w:rsidRPr="00BD6C5F">
        <w:t>) to the Contract.</w:t>
      </w:r>
    </w:p>
    <w:p w14:paraId="6E2EF7B5" w14:textId="77777777" w:rsidR="00BC7DDA" w:rsidRPr="00BD6C5F" w:rsidRDefault="009B03E9" w:rsidP="008A53A5">
      <w:pPr>
        <w:pStyle w:val="AppendixText2"/>
      </w:pPr>
      <w:bookmarkStart w:id="834" w:name="_bookmark282"/>
      <w:bookmarkStart w:id="835" w:name="_Ref98414264"/>
      <w:bookmarkEnd w:id="834"/>
      <w:r w:rsidRPr="00BD6C5F">
        <w:lastRenderedPageBreak/>
        <w:t>The Benchmarker shall be entitled to disclose Confidential Information to the extent that it is required to do so by applicable law or by order of a court or other public body that has jurisdiction over the Benchmarker.</w:t>
      </w:r>
      <w:bookmarkEnd w:id="835"/>
    </w:p>
    <w:p w14:paraId="1AE1BA24" w14:textId="05909E94" w:rsidR="00BC7DDA" w:rsidRPr="00BD6C5F" w:rsidRDefault="009B03E9" w:rsidP="00C70900">
      <w:pPr>
        <w:pStyle w:val="AppendixText2"/>
        <w:keepNext/>
      </w:pPr>
      <w:r w:rsidRPr="00BD6C5F">
        <w:t xml:space="preserve">Before making a disclosure pursuant to </w:t>
      </w:r>
      <w:r w:rsidR="005E736B" w:rsidRPr="00BD6C5F">
        <w:t>Clause </w:t>
      </w:r>
      <w:r w:rsidR="00280692" w:rsidRPr="00BD6C5F">
        <w:fldChar w:fldCharType="begin"/>
      </w:r>
      <w:r w:rsidR="00280692" w:rsidRPr="00BD6C5F">
        <w:instrText xml:space="preserve"> REF _Ref98414264 \n \h </w:instrText>
      </w:r>
      <w:r w:rsidR="001F06F8" w:rsidRPr="00BD6C5F">
        <w:instrText xml:space="preserve"> \* MERGEFORMAT </w:instrText>
      </w:r>
      <w:r w:rsidR="00280692" w:rsidRPr="00BD6C5F">
        <w:fldChar w:fldCharType="separate"/>
      </w:r>
      <w:r w:rsidR="009749A0">
        <w:t>3.3</w:t>
      </w:r>
      <w:r w:rsidR="00280692" w:rsidRPr="00BD6C5F">
        <w:fldChar w:fldCharType="end"/>
      </w:r>
      <w:r w:rsidRPr="00BD6C5F">
        <w:t>, the Benchmarker shall, if the circumstances permit:</w:t>
      </w:r>
    </w:p>
    <w:p w14:paraId="60AEB365" w14:textId="77777777" w:rsidR="00BC7DDA" w:rsidRPr="00BD6C5F" w:rsidRDefault="009B03E9" w:rsidP="008A53A5">
      <w:pPr>
        <w:pStyle w:val="AppendixText3"/>
      </w:pPr>
      <w:r w:rsidRPr="00BD6C5F">
        <w:t>notify the Supplier in writing of the proposed disclosure as soon as possible (and if possible before the court or other public body orders the disclosure of the Confidential Information); and</w:t>
      </w:r>
    </w:p>
    <w:p w14:paraId="29250C00" w14:textId="77777777" w:rsidR="00BC7DDA" w:rsidRPr="00BD6C5F" w:rsidRDefault="009B03E9" w:rsidP="008A53A5">
      <w:pPr>
        <w:pStyle w:val="AppendixText3"/>
      </w:pPr>
      <w:r w:rsidRPr="00BD6C5F">
        <w:t>ask the court or other public body to treat the Confidential Information as confidential.</w:t>
      </w:r>
    </w:p>
    <w:p w14:paraId="6F0C784C" w14:textId="77777777" w:rsidR="00BC7DDA" w:rsidRPr="00BD6C5F" w:rsidRDefault="009B03E9" w:rsidP="008A53A5">
      <w:pPr>
        <w:pStyle w:val="AppendixText1"/>
      </w:pPr>
      <w:r w:rsidRPr="00BD6C5F">
        <w:t>General</w:t>
      </w:r>
    </w:p>
    <w:p w14:paraId="4C6FF42B" w14:textId="77777777" w:rsidR="00BC7DDA" w:rsidRPr="00BD6C5F" w:rsidRDefault="009B03E9" w:rsidP="008A53A5">
      <w:pPr>
        <w:pStyle w:val="AppendixText2"/>
      </w:pPr>
      <w:r w:rsidRPr="00BD6C5F">
        <w:t>The Benchmarker acknowledges and agrees that all property, including intellectual property rights, in Confidential Information disclosed to it by the Supplier shall remain with and be vested in the Supplier.</w:t>
      </w:r>
    </w:p>
    <w:p w14:paraId="7DF6F97F" w14:textId="77777777" w:rsidR="00BC7DDA" w:rsidRPr="00BD6C5F" w:rsidRDefault="009B03E9" w:rsidP="00C70900">
      <w:pPr>
        <w:pStyle w:val="AppendixText2"/>
        <w:keepNext/>
      </w:pPr>
      <w:r w:rsidRPr="00BD6C5F">
        <w:t>This Agreement does not include, expressly or by implication, any representations, warranties or other obligations:</w:t>
      </w:r>
    </w:p>
    <w:p w14:paraId="06CE8237" w14:textId="77777777" w:rsidR="00BC7DDA" w:rsidRPr="00BD6C5F" w:rsidRDefault="009B03E9" w:rsidP="008A53A5">
      <w:pPr>
        <w:pStyle w:val="AppendixText3"/>
      </w:pPr>
      <w:r w:rsidRPr="00BD6C5F">
        <w:t>to grant the Benchmarker any licence or rights other than as may be expressly stated in this Agreement;</w:t>
      </w:r>
    </w:p>
    <w:p w14:paraId="3B661BDF" w14:textId="77777777" w:rsidR="00BC7DDA" w:rsidRPr="00BD6C5F" w:rsidRDefault="009B03E9" w:rsidP="008A53A5">
      <w:pPr>
        <w:pStyle w:val="AppendixText3"/>
      </w:pPr>
      <w:r w:rsidRPr="00BD6C5F">
        <w:t>to require the Supplier to disclose, continue disclosing or update any Confidential Information; or</w:t>
      </w:r>
    </w:p>
    <w:p w14:paraId="57481413" w14:textId="77777777" w:rsidR="00BC7DDA" w:rsidRPr="00BD6C5F" w:rsidRDefault="009B03E9" w:rsidP="008A53A5">
      <w:pPr>
        <w:pStyle w:val="AppendixText3"/>
      </w:pPr>
      <w:r w:rsidRPr="00BD6C5F">
        <w:t>as to the accuracy, efficacy, completeness, capabilities, safety or any other qualities whatsoever of any Information or materials provided pursuant to or in anticipation of this Agreement.</w:t>
      </w:r>
    </w:p>
    <w:p w14:paraId="78AADF77" w14:textId="2C25CFD8" w:rsidR="00BC7DDA" w:rsidRPr="00BD6C5F" w:rsidRDefault="009B03E9" w:rsidP="008A53A5">
      <w:pPr>
        <w:pStyle w:val="AppendixText2"/>
      </w:pPr>
      <w:r w:rsidRPr="00BD6C5F">
        <w:t>The rights, powers and remedies provided in this Agreement are cumulative and not exclusive of any rights, powers or remedies provided by law. No failure or delay by either Party to exercise any right, power or remedy will</w:t>
      </w:r>
      <w:r w:rsidR="00DB2677" w:rsidRPr="00BD6C5F">
        <w:t xml:space="preserve"> </w:t>
      </w:r>
      <w:r w:rsidRPr="00BD6C5F">
        <w:t>operate as a waiver of it nor will any partial exercise preclude any further exercise of the same, or of some other right, power or remedy.</w:t>
      </w:r>
    </w:p>
    <w:p w14:paraId="4E4BD6C9" w14:textId="77777777" w:rsidR="00BC7DDA" w:rsidRPr="00BD6C5F" w:rsidRDefault="009B03E9" w:rsidP="008A53A5">
      <w:pPr>
        <w:pStyle w:val="AppendixText2"/>
      </w:pPr>
      <w:r w:rsidRPr="00BD6C5F">
        <w:t>Without prejudice to any other rights or remedies that the Supplier may have, the Benchmarker acknowledges and agrees that damages alone may not be an adequate remedy for any breach by the Benchmarker of any of the provisions of this Agreement. Accordingly, the Benchmarker acknowledges that the Supplier shall be entitled to the remedies of interdict and implement for any threatened or actual breach of this Agreement and/or breach of confidence and that no proof of special damages shall be necessary for the enforcement of such remedies.</w:t>
      </w:r>
    </w:p>
    <w:p w14:paraId="4E7BAEEA" w14:textId="77777777" w:rsidR="00BC7DDA" w:rsidRPr="00BD6C5F" w:rsidRDefault="009B03E9" w:rsidP="008A53A5">
      <w:pPr>
        <w:pStyle w:val="AppendixText2"/>
      </w:pPr>
      <w:r w:rsidRPr="00BD6C5F">
        <w:t>The maximum liability of the Benchmarker to the Supplier for any breach of this Agreement shall be limited to ten million pounds (£10,000,000).</w:t>
      </w:r>
    </w:p>
    <w:p w14:paraId="79F2354D" w14:textId="665DC025" w:rsidR="00BC7DDA" w:rsidRPr="00BD6C5F" w:rsidRDefault="009B03E9" w:rsidP="008A53A5">
      <w:pPr>
        <w:pStyle w:val="AppendixText2"/>
      </w:pPr>
      <w:r w:rsidRPr="00BD6C5F">
        <w:t xml:space="preserve">For the purposes of the </w:t>
      </w:r>
      <w:r w:rsidR="00C84629" w:rsidRPr="00BD6C5F">
        <w:t>Contract (Third Part</w:t>
      </w:r>
      <w:r w:rsidR="00494C99" w:rsidRPr="00BD6C5F">
        <w:t>y Rights</w:t>
      </w:r>
      <w:r w:rsidR="00C84629" w:rsidRPr="00BD6C5F">
        <w:t xml:space="preserve">) </w:t>
      </w:r>
      <w:r w:rsidR="00494C99" w:rsidRPr="00BD6C5F">
        <w:t xml:space="preserve">(Scotland) </w:t>
      </w:r>
      <w:r w:rsidR="00C84629" w:rsidRPr="00BD6C5F">
        <w:t xml:space="preserve">Act </w:t>
      </w:r>
      <w:r w:rsidR="00494C99" w:rsidRPr="00BD6C5F">
        <w:t>2017</w:t>
      </w:r>
      <w:r w:rsidR="00C84629" w:rsidRPr="00BD6C5F">
        <w:t xml:space="preserve"> </w:t>
      </w:r>
      <w:r w:rsidRPr="00BD6C5F">
        <w:t>no one other than the Parties has the right to enforce the terms of this Agreement.</w:t>
      </w:r>
    </w:p>
    <w:p w14:paraId="5BF3B332" w14:textId="77777777" w:rsidR="00BC7DDA" w:rsidRPr="00BD6C5F" w:rsidRDefault="009B03E9" w:rsidP="008A53A5">
      <w:pPr>
        <w:pStyle w:val="AppendixText2"/>
      </w:pPr>
      <w:r w:rsidRPr="00BD6C5F">
        <w:t>Each Party shall be responsible for all costs incurred by it or on its behalf in connection with this Agreement.</w:t>
      </w:r>
    </w:p>
    <w:p w14:paraId="2F2E787B" w14:textId="7E717496" w:rsidR="00BC7DDA" w:rsidRPr="00BD6C5F" w:rsidRDefault="009B03E9" w:rsidP="008A53A5">
      <w:pPr>
        <w:pStyle w:val="AppendixText2"/>
      </w:pPr>
      <w:r w:rsidRPr="00BD6C5F">
        <w:lastRenderedPageBreak/>
        <w:t xml:space="preserve">This Agreement may be executed in any number of counterparts and by the Parties on separate counterparts, but shall not be effective until each Party has </w:t>
      </w:r>
      <w:r w:rsidR="00494C99" w:rsidRPr="00BD6C5F">
        <w:t xml:space="preserve">delivered </w:t>
      </w:r>
      <w:r w:rsidRPr="00BD6C5F">
        <w:t>at least one counterpart.</w:t>
      </w:r>
      <w:r w:rsidR="008B2F9D" w:rsidRPr="00BD6C5F">
        <w:t xml:space="preserve"> </w:t>
      </w:r>
      <w:r w:rsidR="00494C99" w:rsidRPr="00BD6C5F">
        <w:t>Delivery shall take place when the date of delivery is agreed between the Parties after execution of this Agreement as evidenced by the date inserted on page 1 of this Agreement.</w:t>
      </w:r>
      <w:r w:rsidRPr="00BD6C5F">
        <w:t xml:space="preserve"> Each counterpart shall constitute an original of this Agreement, but all the counterparts shall together constitute but one and the same instrument.</w:t>
      </w:r>
    </w:p>
    <w:p w14:paraId="24D0CF11" w14:textId="77777777" w:rsidR="00BC7DDA" w:rsidRPr="00BD6C5F" w:rsidRDefault="009B03E9" w:rsidP="008A53A5">
      <w:pPr>
        <w:pStyle w:val="AppendixText1"/>
      </w:pPr>
      <w:r w:rsidRPr="00BD6C5F">
        <w:t>Notices</w:t>
      </w:r>
    </w:p>
    <w:p w14:paraId="79A4847B" w14:textId="5DDB556E" w:rsidR="00BC7DDA" w:rsidRPr="00BD6C5F" w:rsidRDefault="009B03E9" w:rsidP="008A53A5">
      <w:pPr>
        <w:pStyle w:val="AppendixText2"/>
      </w:pPr>
      <w:r w:rsidRPr="00BD6C5F">
        <w:t xml:space="preserve">Any notice to be given under this Agreement (each a </w:t>
      </w:r>
      <w:r w:rsidR="00A4555C" w:rsidRPr="00BD6C5F">
        <w:t>“</w:t>
      </w:r>
      <w:r w:rsidRPr="00BD6C5F">
        <w:rPr>
          <w:b/>
        </w:rPr>
        <w:t>Notice</w:t>
      </w:r>
      <w:r w:rsidR="00A4555C" w:rsidRPr="00BD6C5F">
        <w:t>”</w:t>
      </w:r>
      <w:r w:rsidRPr="00BD6C5F">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r w:rsidR="005E736B" w:rsidRPr="00BD6C5F">
        <w:t>Clause </w:t>
      </w:r>
      <w:r w:rsidRPr="00BD6C5F">
        <w:t>5.2.</w:t>
      </w:r>
    </w:p>
    <w:p w14:paraId="377B6390" w14:textId="77777777" w:rsidR="00BC7DDA" w:rsidRPr="00BD6C5F" w:rsidRDefault="009B03E9" w:rsidP="00C70900">
      <w:pPr>
        <w:pStyle w:val="AppendixText2"/>
        <w:keepNext/>
      </w:pPr>
      <w:bookmarkStart w:id="836" w:name="_bookmark283"/>
      <w:bookmarkEnd w:id="836"/>
      <w:r w:rsidRPr="00BD6C5F">
        <w:t>Any Notice:</w:t>
      </w:r>
    </w:p>
    <w:p w14:paraId="13A74EFA" w14:textId="574983C5" w:rsidR="00BC7DDA" w:rsidRPr="008E0842" w:rsidRDefault="009B03E9" w:rsidP="008A53A5">
      <w:pPr>
        <w:pStyle w:val="AppendixText3"/>
      </w:pPr>
      <w:r w:rsidRPr="00BD6C5F">
        <w:t>if to be given to the Supplier shall b</w:t>
      </w:r>
      <w:r w:rsidRPr="008E0842">
        <w:t>e sent to</w:t>
      </w:r>
      <w:r w:rsidR="00BA185F" w:rsidRPr="008E0842">
        <w:t xml:space="preserve">: </w:t>
      </w:r>
      <w:r w:rsidRPr="008E0842">
        <w:rPr>
          <w:shd w:val="clear" w:color="auto" w:fill="FFFF00"/>
        </w:rPr>
        <w:t>[Address]</w:t>
      </w:r>
    </w:p>
    <w:p w14:paraId="148D8120" w14:textId="7B37C5F6" w:rsidR="00BC7DDA" w:rsidRPr="008E0842" w:rsidRDefault="009B03E9" w:rsidP="002E553F">
      <w:pPr>
        <w:spacing w:before="100" w:after="200"/>
        <w:ind w:left="1803"/>
        <w:rPr>
          <w:rFonts w:asciiTheme="minorHAnsi" w:hAnsiTheme="minorHAnsi" w:cstheme="minorHAnsi"/>
          <w:szCs w:val="24"/>
        </w:rPr>
      </w:pPr>
      <w:r w:rsidRPr="008E0842">
        <w:rPr>
          <w:rFonts w:asciiTheme="minorHAnsi" w:hAnsiTheme="minorHAnsi" w:cstheme="minorHAnsi"/>
          <w:szCs w:val="24"/>
        </w:rPr>
        <w:t xml:space="preserve">Attention: </w:t>
      </w:r>
      <w:r w:rsidR="00BA185F" w:rsidRPr="008E0842">
        <w:rPr>
          <w:rFonts w:asciiTheme="minorHAnsi" w:hAnsiTheme="minorHAnsi" w:cstheme="minorHAnsi"/>
          <w:szCs w:val="24"/>
        </w:rPr>
        <w:t>[</w:t>
      </w:r>
      <w:r w:rsidR="00BA185F" w:rsidRPr="008E0842">
        <w:rPr>
          <w:rFonts w:asciiTheme="minorHAnsi" w:hAnsiTheme="minorHAnsi" w:cstheme="minorHAnsi"/>
          <w:szCs w:val="24"/>
          <w:highlight w:val="yellow"/>
        </w:rPr>
        <w:t>Contact name and/or position, e.g. “The Finance Director”</w:t>
      </w:r>
      <w:r w:rsidR="00BA185F" w:rsidRPr="008E0842">
        <w:rPr>
          <w:rFonts w:asciiTheme="minorHAnsi" w:hAnsiTheme="minorHAnsi" w:cstheme="minorHAnsi"/>
          <w:szCs w:val="24"/>
        </w:rPr>
        <w:t>]</w:t>
      </w:r>
    </w:p>
    <w:p w14:paraId="139F53DD" w14:textId="309D2279" w:rsidR="00BC7DDA" w:rsidRPr="008E0842" w:rsidRDefault="009B03E9" w:rsidP="008A53A5">
      <w:pPr>
        <w:pStyle w:val="AppendixText3"/>
      </w:pPr>
      <w:r w:rsidRPr="00BD6C5F">
        <w:t>if to be given t</w:t>
      </w:r>
      <w:r w:rsidRPr="008E0842">
        <w:t>o the Benchmarker shall be sent to</w:t>
      </w:r>
      <w:r w:rsidR="00BA185F" w:rsidRPr="008E0842">
        <w:t xml:space="preserve">: </w:t>
      </w:r>
      <w:r w:rsidRPr="008E0842">
        <w:rPr>
          <w:shd w:val="clear" w:color="auto" w:fill="FFFF00"/>
        </w:rPr>
        <w:t>[Name of Organisation]</w:t>
      </w:r>
    </w:p>
    <w:p w14:paraId="6614D9E3" w14:textId="22B6CF57" w:rsidR="002E553F" w:rsidRPr="008E0842" w:rsidRDefault="009B03E9" w:rsidP="002E553F">
      <w:pPr>
        <w:spacing w:before="100" w:after="200"/>
        <w:ind w:left="1803"/>
        <w:rPr>
          <w:rFonts w:asciiTheme="minorHAnsi" w:hAnsiTheme="minorHAnsi" w:cstheme="minorHAnsi"/>
          <w:szCs w:val="24"/>
        </w:rPr>
      </w:pPr>
      <w:r w:rsidRPr="008E0842">
        <w:rPr>
          <w:rFonts w:asciiTheme="minorHAnsi" w:hAnsiTheme="minorHAnsi" w:cstheme="minorHAnsi"/>
          <w:szCs w:val="24"/>
          <w:shd w:val="clear" w:color="auto" w:fill="FFFF00"/>
        </w:rPr>
        <w:t>[Address]</w:t>
      </w:r>
    </w:p>
    <w:p w14:paraId="6260F157" w14:textId="611CA36F" w:rsidR="00BC7DDA" w:rsidRPr="00BD6C5F" w:rsidRDefault="009B03E9" w:rsidP="002E553F">
      <w:pPr>
        <w:spacing w:before="100" w:after="200"/>
        <w:ind w:left="1803"/>
        <w:rPr>
          <w:rFonts w:asciiTheme="minorHAnsi" w:hAnsiTheme="minorHAnsi" w:cstheme="minorHAnsi"/>
          <w:szCs w:val="24"/>
        </w:rPr>
      </w:pPr>
      <w:r w:rsidRPr="00BD6C5F">
        <w:rPr>
          <w:rFonts w:asciiTheme="minorHAnsi" w:hAnsiTheme="minorHAnsi" w:cstheme="minorHAnsi"/>
          <w:szCs w:val="24"/>
        </w:rPr>
        <w:t>Attention:</w:t>
      </w:r>
      <w:r w:rsidR="002E553F" w:rsidRPr="00BD6C5F">
        <w:rPr>
          <w:rFonts w:asciiTheme="minorHAnsi" w:hAnsiTheme="minorHAnsi" w:cstheme="minorHAnsi"/>
          <w:szCs w:val="24"/>
        </w:rPr>
        <w:tab/>
      </w:r>
      <w:r w:rsidR="002E553F" w:rsidRPr="00BD6C5F">
        <w:rPr>
          <w:rFonts w:asciiTheme="minorHAnsi" w:hAnsiTheme="minorHAnsi" w:cstheme="minorHAnsi"/>
          <w:szCs w:val="24"/>
        </w:rPr>
        <w:tab/>
      </w:r>
      <w:r w:rsidR="002E553F" w:rsidRPr="00BD6C5F">
        <w:rPr>
          <w:rFonts w:asciiTheme="minorHAnsi" w:hAnsiTheme="minorHAnsi" w:cstheme="minorHAnsi"/>
          <w:szCs w:val="24"/>
          <w:highlight w:val="yellow"/>
        </w:rPr>
        <w:t>[</w:t>
      </w:r>
      <w:r w:rsidR="002E553F" w:rsidRPr="00BD6C5F">
        <w:rPr>
          <w:rFonts w:asciiTheme="minorHAnsi" w:hAnsiTheme="minorHAnsi" w:cstheme="minorHAnsi"/>
          <w:szCs w:val="24"/>
          <w:highlight w:val="yellow"/>
        </w:rPr>
        <w:tab/>
        <w:t>]</w:t>
      </w:r>
    </w:p>
    <w:p w14:paraId="6EE1E1CD" w14:textId="18ED989A" w:rsidR="00BC7DDA" w:rsidRPr="00BD6C5F" w:rsidRDefault="009B03E9" w:rsidP="008A53A5">
      <w:pPr>
        <w:pStyle w:val="AppendixText1"/>
      </w:pPr>
      <w:r w:rsidRPr="00BD6C5F">
        <w:t>Governing law</w:t>
      </w:r>
    </w:p>
    <w:p w14:paraId="6AA06B55" w14:textId="77777777" w:rsidR="00BC7DDA" w:rsidRPr="00BD6C5F" w:rsidRDefault="009B03E9" w:rsidP="008A53A5">
      <w:pPr>
        <w:pStyle w:val="AppendixText2"/>
      </w:pPr>
      <w:r w:rsidRPr="00BD6C5F">
        <w:t>This Agreement shall be governed by, and construed in accordance with, the laws of Scotland and any matter claim or dispute arising out of or in connection with this Agreement whether contractual or non-contractual, shall be governed by and determined in accordance with the laws of Scotland.</w:t>
      </w:r>
    </w:p>
    <w:p w14:paraId="27429171" w14:textId="5A3CF34D" w:rsidR="00BC7DDA" w:rsidRPr="00BD6C5F" w:rsidRDefault="009B03E9" w:rsidP="008A53A5">
      <w:pPr>
        <w:pStyle w:val="AppendixText2"/>
      </w:pPr>
      <w:r w:rsidRPr="00BD6C5F">
        <w:t>Each Party hereby irrevocably submits to the exclusive jurisdiction of the Court of Session in respect of any claim or dispute arising out of or in connection with this Agreement.</w:t>
      </w:r>
    </w:p>
    <w:p w14:paraId="6F4EC1BD" w14:textId="77777777" w:rsidR="002E553F" w:rsidRPr="00BD6C5F" w:rsidRDefault="002E553F" w:rsidP="002E553F"/>
    <w:p w14:paraId="71653337" w14:textId="77777777" w:rsidR="00BC7DDA" w:rsidRPr="00BD6C5F" w:rsidRDefault="009B03E9" w:rsidP="006B4600">
      <w:pPr>
        <w:pStyle w:val="BodyText"/>
        <w:spacing w:before="100" w:after="200"/>
        <w:rPr>
          <w:rFonts w:asciiTheme="minorHAnsi" w:hAnsiTheme="minorHAnsi" w:cstheme="minorHAnsi"/>
        </w:rPr>
      </w:pPr>
      <w:r w:rsidRPr="00BD6C5F">
        <w:rPr>
          <w:rFonts w:asciiTheme="minorHAnsi" w:hAnsiTheme="minorHAnsi" w:cstheme="minorHAnsi"/>
          <w:b/>
        </w:rPr>
        <w:t xml:space="preserve">IN WITNESS WHEREOF </w:t>
      </w:r>
      <w:r w:rsidRPr="00BD6C5F">
        <w:rPr>
          <w:rFonts w:asciiTheme="minorHAnsi" w:hAnsiTheme="minorHAnsi" w:cstheme="minorHAnsi"/>
        </w:rPr>
        <w:t xml:space="preserve">these presents consisting of this page and the </w:t>
      </w:r>
      <w:r w:rsidRPr="00BD6C5F">
        <w:rPr>
          <w:rFonts w:asciiTheme="minorHAnsi" w:hAnsiTheme="minorHAnsi" w:cstheme="minorHAnsi"/>
          <w:highlight w:val="yellow"/>
        </w:rPr>
        <w:t>[ ]</w:t>
      </w:r>
      <w:r w:rsidRPr="00BD6C5F">
        <w:rPr>
          <w:rFonts w:asciiTheme="minorHAnsi" w:hAnsiTheme="minorHAnsi" w:cstheme="minorHAnsi"/>
        </w:rPr>
        <w:t xml:space="preserve"> preceding pages are executed in duplicate as follows:</w:t>
      </w:r>
    </w:p>
    <w:p w14:paraId="072313AF" w14:textId="77777777" w:rsidR="00B76843" w:rsidRDefault="00B76843" w:rsidP="006B4600"/>
    <w:tbl>
      <w:tblPr>
        <w:tblW w:w="9378" w:type="dxa"/>
        <w:tblLayout w:type="fixed"/>
        <w:tblLook w:val="0000" w:firstRow="0" w:lastRow="0" w:firstColumn="0" w:lastColumn="0" w:noHBand="0" w:noVBand="0"/>
      </w:tblPr>
      <w:tblGrid>
        <w:gridCol w:w="2070"/>
        <w:gridCol w:w="2160"/>
        <w:gridCol w:w="270"/>
        <w:gridCol w:w="2340"/>
        <w:gridCol w:w="2538"/>
      </w:tblGrid>
      <w:tr w:rsidR="008E3D79" w:rsidRPr="004233CF" w14:paraId="31D51F43" w14:textId="77777777" w:rsidTr="00963796">
        <w:trPr>
          <w:cantSplit/>
        </w:trPr>
        <w:tc>
          <w:tcPr>
            <w:tcW w:w="4230" w:type="dxa"/>
            <w:gridSpan w:val="2"/>
          </w:tcPr>
          <w:p w14:paraId="0461C6FE" w14:textId="77777777" w:rsidR="008E3D79" w:rsidRPr="004233CF" w:rsidRDefault="008E3D79" w:rsidP="00963796">
            <w:pPr>
              <w:pStyle w:val="Executionclause"/>
              <w:keepNext/>
              <w:rPr>
                <w:rFonts w:ascii="Arial" w:hAnsi="Arial" w:cs="Arial"/>
                <w:sz w:val="24"/>
                <w:szCs w:val="24"/>
              </w:rPr>
            </w:pPr>
            <w:r w:rsidRPr="004233CF">
              <w:rPr>
                <w:rFonts w:ascii="Arial" w:hAnsi="Arial" w:cs="Arial"/>
                <w:b/>
                <w:sz w:val="24"/>
                <w:szCs w:val="24"/>
              </w:rPr>
              <w:lastRenderedPageBreak/>
              <w:t xml:space="preserve">SUBSCRIBED </w:t>
            </w:r>
            <w:r w:rsidRPr="004233CF">
              <w:rPr>
                <w:rFonts w:ascii="Arial" w:hAnsi="Arial" w:cs="Arial"/>
                <w:sz w:val="24"/>
                <w:szCs w:val="24"/>
              </w:rPr>
              <w:t xml:space="preserve">for and on behalf of </w:t>
            </w:r>
            <w:r w:rsidRPr="004233CF">
              <w:rPr>
                <w:rFonts w:ascii="Arial" w:hAnsi="Arial" w:cs="Arial"/>
                <w:sz w:val="24"/>
                <w:szCs w:val="24"/>
                <w:highlight w:val="yellow"/>
              </w:rPr>
              <w:t>[</w:t>
            </w:r>
            <w:r w:rsidRPr="004233CF">
              <w:rPr>
                <w:rFonts w:ascii="Arial" w:hAnsi="Arial" w:cs="Arial"/>
                <w:b/>
                <w:bCs/>
                <w:caps/>
                <w:sz w:val="24"/>
                <w:szCs w:val="24"/>
                <w:highlight w:val="yellow"/>
              </w:rPr>
              <w:t>name of SUPPLIER</w:t>
            </w:r>
            <w:r w:rsidRPr="004233CF">
              <w:rPr>
                <w:rFonts w:ascii="Arial" w:hAnsi="Arial" w:cs="Arial"/>
                <w:sz w:val="24"/>
                <w:szCs w:val="24"/>
                <w:highlight w:val="yellow"/>
              </w:rPr>
              <w:t>]</w:t>
            </w:r>
            <w:r w:rsidRPr="004233CF">
              <w:rPr>
                <w:rFonts w:ascii="Arial" w:hAnsi="Arial" w:cs="Arial"/>
                <w:sz w:val="24"/>
                <w:szCs w:val="24"/>
              </w:rPr>
              <w:t xml:space="preserve"> by </w:t>
            </w:r>
            <w:r w:rsidRPr="004233CF">
              <w:rPr>
                <w:rFonts w:ascii="Arial" w:hAnsi="Arial" w:cs="Arial"/>
                <w:sz w:val="24"/>
                <w:szCs w:val="24"/>
                <w:highlight w:val="yellow"/>
              </w:rPr>
              <w:t>[a director][the secretary][an authorised</w:t>
            </w:r>
            <w:r w:rsidRPr="004233CF">
              <w:rPr>
                <w:rFonts w:ascii="Arial" w:hAnsi="Arial" w:cs="Arial"/>
                <w:b/>
                <w:sz w:val="24"/>
                <w:szCs w:val="24"/>
                <w:highlight w:val="yellow"/>
              </w:rPr>
              <w:t xml:space="preserve"> </w:t>
            </w:r>
            <w:r w:rsidRPr="004233CF">
              <w:rPr>
                <w:rFonts w:ascii="Arial" w:hAnsi="Arial" w:cs="Arial"/>
                <w:sz w:val="24"/>
                <w:szCs w:val="24"/>
                <w:highlight w:val="yellow"/>
              </w:rPr>
              <w:t>signatory]</w:t>
            </w:r>
            <w:r w:rsidRPr="004233CF">
              <w:rPr>
                <w:rFonts w:ascii="Arial" w:hAnsi="Arial" w:cs="Arial"/>
                <w:sz w:val="24"/>
                <w:szCs w:val="24"/>
              </w:rPr>
              <w:t xml:space="preserve"> in the presence of a witness on the </w:t>
            </w:r>
            <w:r w:rsidRPr="004233CF">
              <w:rPr>
                <w:rFonts w:ascii="Arial" w:hAnsi="Arial" w:cs="Arial"/>
                <w:sz w:val="24"/>
                <w:szCs w:val="24"/>
                <w:highlight w:val="yellow"/>
              </w:rPr>
              <w:t>[</w:t>
            </w:r>
            <w:r w:rsidRPr="004233CF">
              <w:rPr>
                <w:rFonts w:ascii="Arial" w:hAnsi="Arial" w:cs="Arial"/>
                <w:b/>
                <w:sz w:val="24"/>
                <w:szCs w:val="24"/>
                <w:highlight w:val="yellow"/>
              </w:rPr>
              <w:t>DATE</w:t>
            </w:r>
            <w:r w:rsidRPr="004233CF">
              <w:rPr>
                <w:rFonts w:ascii="Arial" w:hAnsi="Arial" w:cs="Arial"/>
                <w:sz w:val="24"/>
                <w:szCs w:val="24"/>
                <w:highlight w:val="yellow"/>
              </w:rPr>
              <w:t>]</w:t>
            </w:r>
            <w:r w:rsidRPr="004233CF">
              <w:rPr>
                <w:rFonts w:ascii="Arial" w:hAnsi="Arial" w:cs="Arial"/>
                <w:sz w:val="24"/>
                <w:szCs w:val="24"/>
              </w:rPr>
              <w:t xml:space="preserve"> day of </w:t>
            </w:r>
            <w:r w:rsidRPr="004233CF">
              <w:rPr>
                <w:rFonts w:ascii="Arial" w:hAnsi="Arial" w:cs="Arial"/>
                <w:sz w:val="24"/>
                <w:szCs w:val="24"/>
                <w:highlight w:val="yellow"/>
              </w:rPr>
              <w:t>[</w:t>
            </w:r>
            <w:r w:rsidRPr="004233CF">
              <w:rPr>
                <w:rFonts w:ascii="Arial" w:hAnsi="Arial" w:cs="Arial"/>
                <w:b/>
                <w:sz w:val="24"/>
                <w:szCs w:val="24"/>
                <w:highlight w:val="yellow"/>
              </w:rPr>
              <w:t>MONTH</w:t>
            </w:r>
            <w:r w:rsidRPr="004233CF">
              <w:rPr>
                <w:rFonts w:ascii="Arial" w:hAnsi="Arial" w:cs="Arial"/>
                <w:sz w:val="24"/>
                <w:szCs w:val="24"/>
                <w:highlight w:val="yellow"/>
              </w:rPr>
              <w:t>][</w:t>
            </w:r>
            <w:r w:rsidRPr="004233CF">
              <w:rPr>
                <w:rFonts w:ascii="Arial" w:hAnsi="Arial" w:cs="Arial"/>
                <w:b/>
                <w:sz w:val="24"/>
                <w:szCs w:val="24"/>
                <w:highlight w:val="yellow"/>
              </w:rPr>
              <w:t>YEAR</w:t>
            </w:r>
            <w:r w:rsidRPr="004233CF">
              <w:rPr>
                <w:rFonts w:ascii="Arial" w:hAnsi="Arial" w:cs="Arial"/>
                <w:sz w:val="24"/>
                <w:szCs w:val="24"/>
                <w:highlight w:val="yellow"/>
              </w:rPr>
              <w:t>]</w:t>
            </w:r>
            <w:r w:rsidRPr="004233CF">
              <w:rPr>
                <w:rFonts w:ascii="Arial" w:hAnsi="Arial" w:cs="Arial"/>
                <w:sz w:val="24"/>
                <w:szCs w:val="24"/>
              </w:rPr>
              <w:t xml:space="preserve"> at </w:t>
            </w:r>
            <w:r w:rsidRPr="004233CF">
              <w:rPr>
                <w:rFonts w:ascii="Arial" w:hAnsi="Arial" w:cs="Arial"/>
                <w:sz w:val="24"/>
                <w:szCs w:val="24"/>
                <w:highlight w:val="yellow"/>
              </w:rPr>
              <w:t>[</w:t>
            </w:r>
            <w:r w:rsidRPr="004233CF">
              <w:rPr>
                <w:rFonts w:ascii="Arial" w:hAnsi="Arial" w:cs="Arial"/>
                <w:b/>
                <w:sz w:val="24"/>
                <w:szCs w:val="24"/>
                <w:highlight w:val="yellow"/>
              </w:rPr>
              <w:t>PLACE OF SUBSCRIPTION</w:t>
            </w:r>
            <w:r w:rsidRPr="004233CF">
              <w:rPr>
                <w:rFonts w:ascii="Arial" w:hAnsi="Arial" w:cs="Arial"/>
                <w:sz w:val="24"/>
                <w:szCs w:val="24"/>
                <w:highlight w:val="yellow"/>
              </w:rPr>
              <w:t>]:</w:t>
            </w:r>
          </w:p>
        </w:tc>
        <w:tc>
          <w:tcPr>
            <w:tcW w:w="270" w:type="dxa"/>
          </w:tcPr>
          <w:p w14:paraId="361BA9F5" w14:textId="77777777" w:rsidR="008E3D79" w:rsidRPr="004233CF" w:rsidRDefault="008E3D79" w:rsidP="00963796">
            <w:pPr>
              <w:pStyle w:val="Executionclause"/>
              <w:keepNext/>
              <w:rPr>
                <w:rFonts w:ascii="Arial" w:hAnsi="Arial" w:cs="Arial"/>
                <w:sz w:val="24"/>
                <w:szCs w:val="24"/>
              </w:rPr>
            </w:pPr>
          </w:p>
        </w:tc>
        <w:tc>
          <w:tcPr>
            <w:tcW w:w="2340" w:type="dxa"/>
            <w:vAlign w:val="bottom"/>
          </w:tcPr>
          <w:p w14:paraId="5E53F1DF" w14:textId="77777777" w:rsidR="008E3D79" w:rsidRPr="004233CF" w:rsidRDefault="008E3D79" w:rsidP="00963796">
            <w:pPr>
              <w:pStyle w:val="Executionclause"/>
              <w:keepNext/>
              <w:jc w:val="right"/>
              <w:rPr>
                <w:rFonts w:ascii="Arial" w:hAnsi="Arial" w:cs="Arial"/>
                <w:sz w:val="24"/>
                <w:szCs w:val="24"/>
              </w:rPr>
            </w:pPr>
            <w:r w:rsidRPr="004233CF">
              <w:rPr>
                <w:rFonts w:ascii="Arial" w:hAnsi="Arial" w:cs="Arial"/>
                <w:sz w:val="24"/>
                <w:szCs w:val="24"/>
              </w:rPr>
              <w:t>Signature</w:t>
            </w:r>
          </w:p>
        </w:tc>
        <w:tc>
          <w:tcPr>
            <w:tcW w:w="2538" w:type="dxa"/>
            <w:tcBorders>
              <w:top w:val="nil"/>
              <w:left w:val="nil"/>
              <w:bottom w:val="dashed" w:sz="4" w:space="0" w:color="auto"/>
              <w:right w:val="nil"/>
            </w:tcBorders>
          </w:tcPr>
          <w:p w14:paraId="5572D7FE" w14:textId="77777777" w:rsidR="008E3D79" w:rsidRPr="004233CF" w:rsidRDefault="008E3D79" w:rsidP="00963796">
            <w:pPr>
              <w:pStyle w:val="Executionclause"/>
              <w:keepNext/>
              <w:rPr>
                <w:rFonts w:ascii="Arial" w:hAnsi="Arial" w:cs="Arial"/>
                <w:b/>
                <w:bCs/>
                <w:sz w:val="24"/>
                <w:szCs w:val="24"/>
              </w:rPr>
            </w:pPr>
          </w:p>
        </w:tc>
      </w:tr>
      <w:tr w:rsidR="008E3D79" w:rsidRPr="004233CF" w14:paraId="79751311" w14:textId="77777777" w:rsidTr="00963796">
        <w:trPr>
          <w:cantSplit/>
        </w:trPr>
        <w:tc>
          <w:tcPr>
            <w:tcW w:w="4230" w:type="dxa"/>
            <w:gridSpan w:val="2"/>
          </w:tcPr>
          <w:p w14:paraId="581D2E12" w14:textId="77777777" w:rsidR="008E3D79" w:rsidRPr="004233CF" w:rsidRDefault="008E3D79" w:rsidP="00963796">
            <w:pPr>
              <w:pStyle w:val="Executionclause"/>
              <w:keepNext/>
              <w:rPr>
                <w:rFonts w:ascii="Arial" w:hAnsi="Arial" w:cs="Arial"/>
                <w:sz w:val="24"/>
                <w:szCs w:val="24"/>
              </w:rPr>
            </w:pPr>
          </w:p>
        </w:tc>
        <w:tc>
          <w:tcPr>
            <w:tcW w:w="270" w:type="dxa"/>
          </w:tcPr>
          <w:p w14:paraId="727D557B" w14:textId="77777777" w:rsidR="008E3D79" w:rsidRPr="004233CF" w:rsidRDefault="008E3D79" w:rsidP="00963796">
            <w:pPr>
              <w:pStyle w:val="Executionclause"/>
              <w:rPr>
                <w:rFonts w:ascii="Arial" w:hAnsi="Arial" w:cs="Arial"/>
                <w:sz w:val="24"/>
                <w:szCs w:val="24"/>
              </w:rPr>
            </w:pPr>
          </w:p>
        </w:tc>
        <w:tc>
          <w:tcPr>
            <w:tcW w:w="2340" w:type="dxa"/>
          </w:tcPr>
          <w:p w14:paraId="4D4553EE" w14:textId="77777777" w:rsidR="008E3D79" w:rsidRPr="004233CF" w:rsidRDefault="008E3D79" w:rsidP="00963796">
            <w:pPr>
              <w:pStyle w:val="Executionclause"/>
              <w:jc w:val="right"/>
              <w:rPr>
                <w:rFonts w:ascii="Arial" w:hAnsi="Arial" w:cs="Arial"/>
                <w:sz w:val="24"/>
                <w:szCs w:val="24"/>
              </w:rPr>
            </w:pPr>
          </w:p>
        </w:tc>
        <w:tc>
          <w:tcPr>
            <w:tcW w:w="2538" w:type="dxa"/>
            <w:tcBorders>
              <w:top w:val="dashed" w:sz="4" w:space="0" w:color="auto"/>
              <w:left w:val="nil"/>
              <w:right w:val="nil"/>
            </w:tcBorders>
          </w:tcPr>
          <w:p w14:paraId="77B1C23A" w14:textId="77777777" w:rsidR="008E3D79" w:rsidRPr="004233CF" w:rsidRDefault="008E3D79" w:rsidP="00963796">
            <w:pPr>
              <w:pStyle w:val="Executionclause"/>
              <w:rPr>
                <w:rFonts w:ascii="Arial" w:hAnsi="Arial" w:cs="Arial"/>
                <w:b/>
                <w:bCs/>
                <w:sz w:val="24"/>
                <w:szCs w:val="24"/>
              </w:rPr>
            </w:pPr>
          </w:p>
        </w:tc>
      </w:tr>
      <w:tr w:rsidR="008E3D79" w:rsidRPr="004233CF" w14:paraId="3476523C" w14:textId="77777777" w:rsidTr="00963796">
        <w:trPr>
          <w:cantSplit/>
        </w:trPr>
        <w:tc>
          <w:tcPr>
            <w:tcW w:w="4230" w:type="dxa"/>
            <w:gridSpan w:val="2"/>
          </w:tcPr>
          <w:p w14:paraId="1B6977E0" w14:textId="77777777" w:rsidR="008E3D79" w:rsidRPr="004233CF" w:rsidRDefault="008E3D79" w:rsidP="00963796">
            <w:pPr>
              <w:pStyle w:val="Executionclause"/>
              <w:keepNext/>
              <w:rPr>
                <w:rFonts w:ascii="Arial" w:hAnsi="Arial" w:cs="Arial"/>
                <w:sz w:val="24"/>
                <w:szCs w:val="24"/>
              </w:rPr>
            </w:pPr>
          </w:p>
        </w:tc>
        <w:tc>
          <w:tcPr>
            <w:tcW w:w="270" w:type="dxa"/>
          </w:tcPr>
          <w:p w14:paraId="38289A3A" w14:textId="77777777" w:rsidR="008E3D79" w:rsidRPr="004233CF" w:rsidRDefault="008E3D79" w:rsidP="00963796">
            <w:pPr>
              <w:pStyle w:val="Executionclause"/>
              <w:rPr>
                <w:rFonts w:ascii="Arial" w:hAnsi="Arial" w:cs="Arial"/>
                <w:sz w:val="24"/>
                <w:szCs w:val="24"/>
              </w:rPr>
            </w:pPr>
          </w:p>
        </w:tc>
        <w:tc>
          <w:tcPr>
            <w:tcW w:w="2340" w:type="dxa"/>
          </w:tcPr>
          <w:p w14:paraId="08B17259" w14:textId="77777777" w:rsidR="008E3D79" w:rsidRPr="004233CF" w:rsidRDefault="008E3D79" w:rsidP="00963796">
            <w:pPr>
              <w:pStyle w:val="Executionclause"/>
              <w:spacing w:before="40"/>
              <w:jc w:val="right"/>
              <w:rPr>
                <w:rFonts w:ascii="Arial" w:hAnsi="Arial" w:cs="Arial"/>
                <w:sz w:val="24"/>
                <w:szCs w:val="24"/>
              </w:rPr>
            </w:pPr>
            <w:r w:rsidRPr="004233CF">
              <w:rPr>
                <w:rFonts w:ascii="Arial" w:hAnsi="Arial" w:cs="Arial"/>
                <w:sz w:val="24"/>
                <w:szCs w:val="24"/>
              </w:rPr>
              <w:t>Name (block capitals)</w:t>
            </w:r>
          </w:p>
        </w:tc>
        <w:tc>
          <w:tcPr>
            <w:tcW w:w="2538" w:type="dxa"/>
            <w:tcBorders>
              <w:left w:val="nil"/>
              <w:bottom w:val="dashed" w:sz="4" w:space="0" w:color="auto"/>
              <w:right w:val="nil"/>
            </w:tcBorders>
          </w:tcPr>
          <w:p w14:paraId="1A7C7A8E" w14:textId="77777777" w:rsidR="008E3D79" w:rsidRPr="004233CF" w:rsidRDefault="008E3D79" w:rsidP="00963796">
            <w:pPr>
              <w:pStyle w:val="Executionclause"/>
              <w:rPr>
                <w:rFonts w:ascii="Arial" w:hAnsi="Arial" w:cs="Arial"/>
                <w:b/>
                <w:bCs/>
                <w:sz w:val="24"/>
                <w:szCs w:val="24"/>
              </w:rPr>
            </w:pPr>
          </w:p>
        </w:tc>
      </w:tr>
      <w:tr w:rsidR="008E3D79" w:rsidRPr="004233CF" w14:paraId="43E9155D" w14:textId="77777777" w:rsidTr="00963796">
        <w:trPr>
          <w:cantSplit/>
        </w:trPr>
        <w:tc>
          <w:tcPr>
            <w:tcW w:w="4230" w:type="dxa"/>
            <w:gridSpan w:val="2"/>
          </w:tcPr>
          <w:p w14:paraId="3A3D8790" w14:textId="77777777" w:rsidR="008E3D79" w:rsidRPr="004233CF" w:rsidRDefault="008E3D79" w:rsidP="00963796">
            <w:pPr>
              <w:pStyle w:val="Executionclause"/>
              <w:keepNext/>
              <w:rPr>
                <w:rFonts w:ascii="Arial" w:hAnsi="Arial" w:cs="Arial"/>
                <w:sz w:val="24"/>
                <w:szCs w:val="24"/>
              </w:rPr>
            </w:pPr>
          </w:p>
        </w:tc>
        <w:tc>
          <w:tcPr>
            <w:tcW w:w="270" w:type="dxa"/>
          </w:tcPr>
          <w:p w14:paraId="658668E4" w14:textId="77777777" w:rsidR="008E3D79" w:rsidRPr="004233CF" w:rsidRDefault="008E3D79" w:rsidP="00963796">
            <w:pPr>
              <w:pStyle w:val="Executionclause"/>
              <w:rPr>
                <w:rFonts w:ascii="Arial" w:hAnsi="Arial" w:cs="Arial"/>
                <w:sz w:val="24"/>
                <w:szCs w:val="24"/>
              </w:rPr>
            </w:pPr>
          </w:p>
        </w:tc>
        <w:tc>
          <w:tcPr>
            <w:tcW w:w="2340" w:type="dxa"/>
          </w:tcPr>
          <w:p w14:paraId="7072DAE7" w14:textId="77777777" w:rsidR="008E3D79" w:rsidRPr="004233CF" w:rsidRDefault="008E3D79" w:rsidP="00963796">
            <w:pPr>
              <w:pStyle w:val="Executionclause"/>
              <w:rPr>
                <w:rFonts w:ascii="Arial" w:hAnsi="Arial" w:cs="Arial"/>
                <w:sz w:val="24"/>
                <w:szCs w:val="24"/>
              </w:rPr>
            </w:pPr>
          </w:p>
        </w:tc>
        <w:tc>
          <w:tcPr>
            <w:tcW w:w="2538" w:type="dxa"/>
            <w:tcBorders>
              <w:top w:val="dashed" w:sz="4" w:space="0" w:color="auto"/>
              <w:left w:val="nil"/>
              <w:right w:val="nil"/>
            </w:tcBorders>
          </w:tcPr>
          <w:p w14:paraId="0144B53A" w14:textId="77777777" w:rsidR="008E3D79" w:rsidRPr="004233CF" w:rsidRDefault="008E3D79" w:rsidP="00963796">
            <w:pPr>
              <w:pStyle w:val="Executionclause"/>
              <w:spacing w:before="40"/>
              <w:rPr>
                <w:rFonts w:ascii="Arial" w:hAnsi="Arial" w:cs="Arial"/>
                <w:bCs/>
                <w:sz w:val="24"/>
                <w:szCs w:val="24"/>
                <w:highlight w:val="yellow"/>
              </w:rPr>
            </w:pPr>
            <w:r w:rsidRPr="004233CF">
              <w:rPr>
                <w:rFonts w:ascii="Arial" w:hAnsi="Arial" w:cs="Arial"/>
                <w:bCs/>
                <w:sz w:val="24"/>
                <w:szCs w:val="24"/>
                <w:highlight w:val="yellow"/>
              </w:rPr>
              <w:t>[</w:t>
            </w:r>
            <w:r w:rsidRPr="004233CF">
              <w:rPr>
                <w:rFonts w:ascii="Arial" w:hAnsi="Arial" w:cs="Arial"/>
                <w:b/>
                <w:bCs/>
                <w:sz w:val="24"/>
                <w:szCs w:val="24"/>
                <w:highlight w:val="yellow"/>
              </w:rPr>
              <w:t>Director</w:t>
            </w:r>
            <w:r w:rsidRPr="004233CF">
              <w:rPr>
                <w:rFonts w:ascii="Arial" w:hAnsi="Arial" w:cs="Arial"/>
                <w:sz w:val="24"/>
                <w:szCs w:val="24"/>
                <w:highlight w:val="yellow"/>
              </w:rPr>
              <w:t>][</w:t>
            </w:r>
            <w:r w:rsidRPr="004233CF">
              <w:rPr>
                <w:rFonts w:ascii="Arial" w:hAnsi="Arial" w:cs="Arial"/>
                <w:b/>
                <w:sz w:val="24"/>
                <w:szCs w:val="24"/>
                <w:highlight w:val="yellow"/>
              </w:rPr>
              <w:t>Secretary</w:t>
            </w:r>
            <w:r w:rsidRPr="004233CF">
              <w:rPr>
                <w:rFonts w:ascii="Arial" w:hAnsi="Arial" w:cs="Arial"/>
                <w:sz w:val="24"/>
                <w:szCs w:val="24"/>
                <w:highlight w:val="yellow"/>
              </w:rPr>
              <w:t>]</w:t>
            </w:r>
            <w:r w:rsidRPr="004233CF">
              <w:rPr>
                <w:rFonts w:ascii="Arial" w:hAnsi="Arial" w:cs="Arial"/>
                <w:sz w:val="24"/>
                <w:szCs w:val="24"/>
                <w:highlight w:val="yellow"/>
              </w:rPr>
              <w:br/>
              <w:t>[</w:t>
            </w:r>
            <w:r w:rsidRPr="004233CF">
              <w:rPr>
                <w:rFonts w:ascii="Arial" w:hAnsi="Arial" w:cs="Arial"/>
                <w:b/>
                <w:sz w:val="24"/>
                <w:szCs w:val="24"/>
                <w:highlight w:val="yellow"/>
              </w:rPr>
              <w:t>Authorised Signatory</w:t>
            </w:r>
            <w:r w:rsidRPr="004233CF">
              <w:rPr>
                <w:rFonts w:ascii="Arial" w:hAnsi="Arial" w:cs="Arial"/>
                <w:sz w:val="24"/>
                <w:szCs w:val="24"/>
                <w:highlight w:val="yellow"/>
              </w:rPr>
              <w:t>]</w:t>
            </w:r>
          </w:p>
        </w:tc>
      </w:tr>
      <w:tr w:rsidR="008E3D79" w:rsidRPr="004233CF" w14:paraId="47A6DBA3" w14:textId="77777777" w:rsidTr="00963796">
        <w:trPr>
          <w:cantSplit/>
        </w:trPr>
        <w:tc>
          <w:tcPr>
            <w:tcW w:w="2070" w:type="dxa"/>
          </w:tcPr>
          <w:p w14:paraId="5FE55977" w14:textId="77777777" w:rsidR="008E3D79" w:rsidRPr="004233CF" w:rsidRDefault="008E3D79" w:rsidP="00963796">
            <w:pPr>
              <w:pStyle w:val="Executionclause"/>
              <w:keepNext/>
              <w:spacing w:before="40"/>
              <w:rPr>
                <w:rFonts w:ascii="Arial" w:hAnsi="Arial" w:cs="Arial"/>
                <w:sz w:val="24"/>
                <w:szCs w:val="24"/>
              </w:rPr>
            </w:pPr>
            <w:r w:rsidRPr="004233CF">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7CA616E0" w14:textId="77777777" w:rsidR="008E3D79" w:rsidRPr="004233CF" w:rsidRDefault="008E3D79" w:rsidP="00963796">
            <w:pPr>
              <w:pStyle w:val="Executionclause"/>
              <w:rPr>
                <w:rFonts w:ascii="Arial" w:hAnsi="Arial" w:cs="Arial"/>
                <w:sz w:val="24"/>
                <w:szCs w:val="24"/>
              </w:rPr>
            </w:pPr>
          </w:p>
        </w:tc>
        <w:tc>
          <w:tcPr>
            <w:tcW w:w="4878" w:type="dxa"/>
            <w:gridSpan w:val="2"/>
          </w:tcPr>
          <w:p w14:paraId="0AC877C1" w14:textId="77777777" w:rsidR="008E3D79" w:rsidRPr="004233CF" w:rsidRDefault="008E3D79" w:rsidP="00963796">
            <w:pPr>
              <w:pStyle w:val="Executionclause"/>
              <w:rPr>
                <w:rFonts w:ascii="Arial" w:hAnsi="Arial" w:cs="Arial"/>
                <w:sz w:val="24"/>
                <w:szCs w:val="24"/>
              </w:rPr>
            </w:pPr>
          </w:p>
        </w:tc>
      </w:tr>
      <w:tr w:rsidR="008E3D79" w:rsidRPr="004233CF" w14:paraId="64AB4C24" w14:textId="77777777" w:rsidTr="00963796">
        <w:trPr>
          <w:cantSplit/>
        </w:trPr>
        <w:tc>
          <w:tcPr>
            <w:tcW w:w="2070" w:type="dxa"/>
          </w:tcPr>
          <w:p w14:paraId="6744E2B7" w14:textId="77777777" w:rsidR="008E3D79" w:rsidRPr="004233CF" w:rsidRDefault="008E3D79" w:rsidP="00963796">
            <w:pPr>
              <w:pStyle w:val="Executionclause"/>
              <w:keepNext/>
              <w:spacing w:before="40"/>
              <w:jc w:val="right"/>
              <w:rPr>
                <w:rFonts w:ascii="Arial" w:hAnsi="Arial" w:cs="Arial"/>
                <w:sz w:val="24"/>
                <w:szCs w:val="24"/>
              </w:rPr>
            </w:pPr>
          </w:p>
        </w:tc>
        <w:tc>
          <w:tcPr>
            <w:tcW w:w="2430" w:type="dxa"/>
            <w:gridSpan w:val="2"/>
          </w:tcPr>
          <w:p w14:paraId="58BA72E7" w14:textId="77777777" w:rsidR="008E3D79" w:rsidRPr="004233CF" w:rsidRDefault="008E3D79" w:rsidP="00963796">
            <w:pPr>
              <w:pStyle w:val="Executionclause"/>
              <w:rPr>
                <w:rFonts w:ascii="Arial" w:hAnsi="Arial" w:cs="Arial"/>
                <w:sz w:val="24"/>
                <w:szCs w:val="24"/>
              </w:rPr>
            </w:pPr>
          </w:p>
        </w:tc>
        <w:tc>
          <w:tcPr>
            <w:tcW w:w="4878" w:type="dxa"/>
            <w:gridSpan w:val="2"/>
          </w:tcPr>
          <w:p w14:paraId="03D6DB64" w14:textId="77777777" w:rsidR="008E3D79" w:rsidRPr="004233CF" w:rsidRDefault="008E3D79" w:rsidP="00963796">
            <w:pPr>
              <w:pStyle w:val="Executionclause"/>
              <w:rPr>
                <w:rFonts w:ascii="Arial" w:hAnsi="Arial" w:cs="Arial"/>
                <w:sz w:val="24"/>
                <w:szCs w:val="24"/>
              </w:rPr>
            </w:pPr>
          </w:p>
        </w:tc>
      </w:tr>
      <w:tr w:rsidR="008E3D79" w:rsidRPr="004233CF" w14:paraId="62FD368F" w14:textId="77777777" w:rsidTr="00963796">
        <w:trPr>
          <w:cantSplit/>
        </w:trPr>
        <w:tc>
          <w:tcPr>
            <w:tcW w:w="2070" w:type="dxa"/>
          </w:tcPr>
          <w:p w14:paraId="1A94DF7E" w14:textId="77777777" w:rsidR="008E3D79" w:rsidRPr="004233CF" w:rsidRDefault="008E3D79" w:rsidP="00963796">
            <w:pPr>
              <w:pStyle w:val="Executionclause"/>
              <w:keepNext/>
              <w:spacing w:before="40"/>
              <w:rPr>
                <w:rFonts w:ascii="Arial" w:hAnsi="Arial" w:cs="Arial"/>
                <w:sz w:val="24"/>
                <w:szCs w:val="24"/>
              </w:rPr>
            </w:pPr>
            <w:r w:rsidRPr="004233CF">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5C4E9327" w14:textId="77777777" w:rsidR="008E3D79" w:rsidRPr="004233CF" w:rsidRDefault="008E3D79" w:rsidP="00963796">
            <w:pPr>
              <w:pStyle w:val="Executionclause"/>
              <w:rPr>
                <w:rFonts w:ascii="Arial" w:hAnsi="Arial" w:cs="Arial"/>
                <w:sz w:val="24"/>
                <w:szCs w:val="24"/>
              </w:rPr>
            </w:pPr>
          </w:p>
        </w:tc>
        <w:tc>
          <w:tcPr>
            <w:tcW w:w="4878" w:type="dxa"/>
            <w:gridSpan w:val="2"/>
          </w:tcPr>
          <w:p w14:paraId="4D7029B7" w14:textId="77777777" w:rsidR="008E3D79" w:rsidRPr="004233CF" w:rsidRDefault="008E3D79" w:rsidP="00963796">
            <w:pPr>
              <w:pStyle w:val="Executionclause"/>
              <w:rPr>
                <w:rFonts w:ascii="Arial" w:hAnsi="Arial" w:cs="Arial"/>
                <w:sz w:val="24"/>
                <w:szCs w:val="24"/>
              </w:rPr>
            </w:pPr>
          </w:p>
        </w:tc>
      </w:tr>
      <w:tr w:rsidR="008E3D79" w:rsidRPr="004233CF" w14:paraId="72F0DBFE" w14:textId="77777777" w:rsidTr="00963796">
        <w:trPr>
          <w:cantSplit/>
        </w:trPr>
        <w:tc>
          <w:tcPr>
            <w:tcW w:w="2070" w:type="dxa"/>
          </w:tcPr>
          <w:p w14:paraId="2722E710" w14:textId="77777777" w:rsidR="008E3D79" w:rsidRPr="004233CF" w:rsidRDefault="008E3D79" w:rsidP="00963796">
            <w:pPr>
              <w:pStyle w:val="Executionclause"/>
              <w:keepNext/>
              <w:rPr>
                <w:rFonts w:ascii="Arial" w:hAnsi="Arial" w:cs="Arial"/>
                <w:sz w:val="24"/>
                <w:szCs w:val="24"/>
              </w:rPr>
            </w:pPr>
            <w:r w:rsidRPr="004233CF">
              <w:rPr>
                <w:rFonts w:ascii="Arial" w:hAnsi="Arial" w:cs="Arial"/>
                <w:sz w:val="24"/>
                <w:szCs w:val="24"/>
              </w:rPr>
              <w:t>(block capitals)</w:t>
            </w:r>
          </w:p>
        </w:tc>
        <w:tc>
          <w:tcPr>
            <w:tcW w:w="2430" w:type="dxa"/>
            <w:gridSpan w:val="2"/>
            <w:tcBorders>
              <w:top w:val="dashed" w:sz="4" w:space="0" w:color="auto"/>
              <w:left w:val="nil"/>
              <w:bottom w:val="nil"/>
              <w:right w:val="nil"/>
            </w:tcBorders>
          </w:tcPr>
          <w:p w14:paraId="010725DC" w14:textId="77777777" w:rsidR="008E3D79" w:rsidRPr="004233CF" w:rsidRDefault="008E3D79" w:rsidP="00963796">
            <w:pPr>
              <w:pStyle w:val="Executionclause"/>
              <w:rPr>
                <w:rFonts w:ascii="Arial" w:hAnsi="Arial" w:cs="Arial"/>
                <w:sz w:val="24"/>
                <w:szCs w:val="24"/>
              </w:rPr>
            </w:pPr>
          </w:p>
        </w:tc>
        <w:tc>
          <w:tcPr>
            <w:tcW w:w="4878" w:type="dxa"/>
            <w:gridSpan w:val="2"/>
          </w:tcPr>
          <w:p w14:paraId="0A44229F" w14:textId="77777777" w:rsidR="008E3D79" w:rsidRPr="004233CF" w:rsidRDefault="008E3D79" w:rsidP="00963796">
            <w:pPr>
              <w:pStyle w:val="Executionclause"/>
              <w:rPr>
                <w:rFonts w:ascii="Arial" w:hAnsi="Arial" w:cs="Arial"/>
                <w:sz w:val="24"/>
                <w:szCs w:val="24"/>
              </w:rPr>
            </w:pPr>
          </w:p>
        </w:tc>
      </w:tr>
      <w:tr w:rsidR="008E3D79" w:rsidRPr="004233CF" w14:paraId="012624BF" w14:textId="77777777" w:rsidTr="00963796">
        <w:trPr>
          <w:cantSplit/>
        </w:trPr>
        <w:tc>
          <w:tcPr>
            <w:tcW w:w="2070" w:type="dxa"/>
          </w:tcPr>
          <w:p w14:paraId="1D348764" w14:textId="77777777" w:rsidR="008E3D79" w:rsidRPr="004233CF" w:rsidRDefault="008E3D79" w:rsidP="00963796">
            <w:pPr>
              <w:pStyle w:val="Executionclause"/>
              <w:keepNext/>
              <w:spacing w:before="40"/>
              <w:jc w:val="right"/>
              <w:rPr>
                <w:rFonts w:ascii="Arial" w:hAnsi="Arial" w:cs="Arial"/>
                <w:sz w:val="24"/>
                <w:szCs w:val="24"/>
              </w:rPr>
            </w:pPr>
          </w:p>
        </w:tc>
        <w:tc>
          <w:tcPr>
            <w:tcW w:w="2430" w:type="dxa"/>
            <w:gridSpan w:val="2"/>
          </w:tcPr>
          <w:p w14:paraId="033AB69D" w14:textId="77777777" w:rsidR="008E3D79" w:rsidRPr="004233CF" w:rsidRDefault="008E3D79" w:rsidP="00963796">
            <w:pPr>
              <w:pStyle w:val="Executionclause"/>
              <w:rPr>
                <w:rFonts w:ascii="Arial" w:hAnsi="Arial" w:cs="Arial"/>
                <w:sz w:val="24"/>
                <w:szCs w:val="24"/>
              </w:rPr>
            </w:pPr>
          </w:p>
        </w:tc>
        <w:tc>
          <w:tcPr>
            <w:tcW w:w="4878" w:type="dxa"/>
            <w:gridSpan w:val="2"/>
          </w:tcPr>
          <w:p w14:paraId="7E7C49BF" w14:textId="77777777" w:rsidR="008E3D79" w:rsidRPr="004233CF" w:rsidRDefault="008E3D79" w:rsidP="00963796">
            <w:pPr>
              <w:pStyle w:val="Executionclause"/>
              <w:rPr>
                <w:rFonts w:ascii="Arial" w:hAnsi="Arial" w:cs="Arial"/>
                <w:sz w:val="24"/>
                <w:szCs w:val="24"/>
              </w:rPr>
            </w:pPr>
          </w:p>
        </w:tc>
      </w:tr>
      <w:tr w:rsidR="008E3D79" w:rsidRPr="004233CF" w14:paraId="7310081C" w14:textId="77777777" w:rsidTr="00963796">
        <w:trPr>
          <w:cantSplit/>
        </w:trPr>
        <w:tc>
          <w:tcPr>
            <w:tcW w:w="2070" w:type="dxa"/>
          </w:tcPr>
          <w:p w14:paraId="2F5C5D46" w14:textId="77777777" w:rsidR="008E3D79" w:rsidRPr="004233CF" w:rsidRDefault="008E3D79" w:rsidP="00963796">
            <w:pPr>
              <w:pStyle w:val="Executionclause"/>
              <w:keepNext/>
              <w:spacing w:before="40"/>
              <w:rPr>
                <w:rFonts w:ascii="Arial" w:hAnsi="Arial" w:cs="Arial"/>
                <w:sz w:val="24"/>
                <w:szCs w:val="24"/>
              </w:rPr>
            </w:pPr>
            <w:r w:rsidRPr="004233CF">
              <w:rPr>
                <w:rFonts w:ascii="Arial" w:hAnsi="Arial" w:cs="Arial"/>
                <w:sz w:val="24"/>
                <w:szCs w:val="24"/>
              </w:rPr>
              <w:t>Witness address</w:t>
            </w:r>
          </w:p>
        </w:tc>
        <w:tc>
          <w:tcPr>
            <w:tcW w:w="2430" w:type="dxa"/>
            <w:gridSpan w:val="2"/>
            <w:tcBorders>
              <w:top w:val="nil"/>
              <w:left w:val="nil"/>
              <w:bottom w:val="dashed" w:sz="4" w:space="0" w:color="auto"/>
              <w:right w:val="nil"/>
            </w:tcBorders>
          </w:tcPr>
          <w:p w14:paraId="05730E84" w14:textId="77777777" w:rsidR="008E3D79" w:rsidRPr="004233CF" w:rsidRDefault="008E3D79" w:rsidP="00963796">
            <w:pPr>
              <w:pStyle w:val="Executionclause"/>
              <w:rPr>
                <w:rFonts w:ascii="Arial" w:hAnsi="Arial" w:cs="Arial"/>
                <w:sz w:val="24"/>
                <w:szCs w:val="24"/>
              </w:rPr>
            </w:pPr>
          </w:p>
        </w:tc>
        <w:tc>
          <w:tcPr>
            <w:tcW w:w="4878" w:type="dxa"/>
            <w:gridSpan w:val="2"/>
          </w:tcPr>
          <w:p w14:paraId="2A0092E4" w14:textId="77777777" w:rsidR="008E3D79" w:rsidRPr="004233CF" w:rsidRDefault="008E3D79" w:rsidP="00963796">
            <w:pPr>
              <w:pStyle w:val="Executionclause"/>
              <w:rPr>
                <w:rFonts w:ascii="Arial" w:hAnsi="Arial" w:cs="Arial"/>
                <w:sz w:val="24"/>
                <w:szCs w:val="24"/>
              </w:rPr>
            </w:pPr>
          </w:p>
        </w:tc>
      </w:tr>
      <w:tr w:rsidR="008E3D79" w:rsidRPr="004233CF" w14:paraId="1AA7175B" w14:textId="77777777" w:rsidTr="00963796">
        <w:trPr>
          <w:cantSplit/>
        </w:trPr>
        <w:tc>
          <w:tcPr>
            <w:tcW w:w="2070" w:type="dxa"/>
          </w:tcPr>
          <w:p w14:paraId="4914031C" w14:textId="77777777" w:rsidR="008E3D79" w:rsidRPr="004233CF" w:rsidRDefault="008E3D79" w:rsidP="00963796">
            <w:pPr>
              <w:pStyle w:val="Executionclause"/>
              <w:keepNext/>
              <w:spacing w:before="40"/>
              <w:jc w:val="right"/>
              <w:rPr>
                <w:rFonts w:ascii="Arial" w:hAnsi="Arial" w:cs="Arial"/>
                <w:sz w:val="24"/>
                <w:szCs w:val="24"/>
              </w:rPr>
            </w:pPr>
          </w:p>
        </w:tc>
        <w:tc>
          <w:tcPr>
            <w:tcW w:w="2430" w:type="dxa"/>
            <w:gridSpan w:val="2"/>
          </w:tcPr>
          <w:p w14:paraId="1FC81ED1" w14:textId="77777777" w:rsidR="008E3D79" w:rsidRPr="004233CF" w:rsidRDefault="008E3D79" w:rsidP="00963796">
            <w:pPr>
              <w:pStyle w:val="Executionclause"/>
              <w:rPr>
                <w:rFonts w:ascii="Arial" w:hAnsi="Arial" w:cs="Arial"/>
                <w:sz w:val="24"/>
                <w:szCs w:val="24"/>
              </w:rPr>
            </w:pPr>
          </w:p>
        </w:tc>
        <w:tc>
          <w:tcPr>
            <w:tcW w:w="4878" w:type="dxa"/>
            <w:gridSpan w:val="2"/>
          </w:tcPr>
          <w:p w14:paraId="5B530301" w14:textId="77777777" w:rsidR="008E3D79" w:rsidRPr="004233CF" w:rsidRDefault="008E3D79" w:rsidP="00963796">
            <w:pPr>
              <w:pStyle w:val="Executionclause"/>
              <w:rPr>
                <w:rFonts w:ascii="Arial" w:hAnsi="Arial" w:cs="Arial"/>
                <w:sz w:val="24"/>
                <w:szCs w:val="24"/>
              </w:rPr>
            </w:pPr>
          </w:p>
        </w:tc>
      </w:tr>
      <w:tr w:rsidR="008E3D79" w:rsidRPr="004233CF" w14:paraId="0AD5DAE4" w14:textId="77777777" w:rsidTr="00963796">
        <w:trPr>
          <w:cantSplit/>
        </w:trPr>
        <w:tc>
          <w:tcPr>
            <w:tcW w:w="2070" w:type="dxa"/>
          </w:tcPr>
          <w:p w14:paraId="1737B74E" w14:textId="77777777" w:rsidR="008E3D79" w:rsidRPr="004233CF" w:rsidRDefault="008E3D79" w:rsidP="00963796">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4F7FFC7C" w14:textId="77777777" w:rsidR="008E3D79" w:rsidRPr="004233CF" w:rsidRDefault="008E3D79" w:rsidP="00963796">
            <w:pPr>
              <w:pStyle w:val="Executionclause"/>
              <w:rPr>
                <w:rFonts w:ascii="Arial" w:hAnsi="Arial" w:cs="Arial"/>
                <w:sz w:val="24"/>
                <w:szCs w:val="24"/>
              </w:rPr>
            </w:pPr>
          </w:p>
        </w:tc>
        <w:tc>
          <w:tcPr>
            <w:tcW w:w="4878" w:type="dxa"/>
            <w:gridSpan w:val="2"/>
          </w:tcPr>
          <w:p w14:paraId="7C05F005" w14:textId="77777777" w:rsidR="008E3D79" w:rsidRPr="004233CF" w:rsidRDefault="008E3D79" w:rsidP="00963796">
            <w:pPr>
              <w:pStyle w:val="Executionclause"/>
              <w:rPr>
                <w:rFonts w:ascii="Arial" w:hAnsi="Arial" w:cs="Arial"/>
                <w:sz w:val="24"/>
                <w:szCs w:val="24"/>
              </w:rPr>
            </w:pPr>
          </w:p>
        </w:tc>
      </w:tr>
      <w:tr w:rsidR="008E3D79" w:rsidRPr="004233CF" w14:paraId="3DCE5800" w14:textId="77777777" w:rsidTr="00963796">
        <w:trPr>
          <w:cantSplit/>
        </w:trPr>
        <w:tc>
          <w:tcPr>
            <w:tcW w:w="2070" w:type="dxa"/>
          </w:tcPr>
          <w:p w14:paraId="493B2608" w14:textId="77777777" w:rsidR="008E3D79" w:rsidRPr="004233CF" w:rsidRDefault="008E3D79" w:rsidP="00963796">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7D2EEC80" w14:textId="77777777" w:rsidR="008E3D79" w:rsidRPr="004233CF" w:rsidRDefault="008E3D79" w:rsidP="00963796">
            <w:pPr>
              <w:pStyle w:val="Executionclause"/>
              <w:rPr>
                <w:rFonts w:ascii="Arial" w:hAnsi="Arial" w:cs="Arial"/>
                <w:sz w:val="24"/>
                <w:szCs w:val="24"/>
              </w:rPr>
            </w:pPr>
          </w:p>
        </w:tc>
        <w:tc>
          <w:tcPr>
            <w:tcW w:w="4878" w:type="dxa"/>
            <w:gridSpan w:val="2"/>
          </w:tcPr>
          <w:p w14:paraId="0C33E469" w14:textId="77777777" w:rsidR="008E3D79" w:rsidRPr="004233CF" w:rsidRDefault="008E3D79" w:rsidP="00963796">
            <w:pPr>
              <w:pStyle w:val="Executionclause"/>
              <w:rPr>
                <w:rFonts w:ascii="Arial" w:hAnsi="Arial" w:cs="Arial"/>
                <w:sz w:val="24"/>
                <w:szCs w:val="24"/>
              </w:rPr>
            </w:pPr>
          </w:p>
        </w:tc>
      </w:tr>
      <w:tr w:rsidR="008E3D79" w:rsidRPr="004233CF" w14:paraId="493350DF" w14:textId="77777777" w:rsidTr="00963796">
        <w:trPr>
          <w:cantSplit/>
        </w:trPr>
        <w:tc>
          <w:tcPr>
            <w:tcW w:w="2070" w:type="dxa"/>
          </w:tcPr>
          <w:p w14:paraId="3012D942" w14:textId="77777777" w:rsidR="008E3D79" w:rsidRPr="004233CF" w:rsidRDefault="008E3D79" w:rsidP="00963796">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5E2589F9" w14:textId="77777777" w:rsidR="008E3D79" w:rsidRPr="004233CF" w:rsidRDefault="008E3D79" w:rsidP="00963796">
            <w:pPr>
              <w:pStyle w:val="Executionclause"/>
              <w:rPr>
                <w:rFonts w:ascii="Arial" w:hAnsi="Arial" w:cs="Arial"/>
                <w:sz w:val="24"/>
                <w:szCs w:val="24"/>
              </w:rPr>
            </w:pPr>
          </w:p>
        </w:tc>
        <w:tc>
          <w:tcPr>
            <w:tcW w:w="4878" w:type="dxa"/>
            <w:gridSpan w:val="2"/>
          </w:tcPr>
          <w:p w14:paraId="612AFCDB" w14:textId="77777777" w:rsidR="008E3D79" w:rsidRPr="004233CF" w:rsidRDefault="008E3D79" w:rsidP="00963796">
            <w:pPr>
              <w:pStyle w:val="Executionclause"/>
              <w:rPr>
                <w:rFonts w:ascii="Arial" w:hAnsi="Arial" w:cs="Arial"/>
                <w:sz w:val="24"/>
                <w:szCs w:val="24"/>
              </w:rPr>
            </w:pPr>
          </w:p>
        </w:tc>
      </w:tr>
      <w:tr w:rsidR="00BF6549" w:rsidRPr="004233CF" w14:paraId="385CAD7D" w14:textId="77777777" w:rsidTr="00963796">
        <w:trPr>
          <w:cantSplit/>
        </w:trPr>
        <w:tc>
          <w:tcPr>
            <w:tcW w:w="4230" w:type="dxa"/>
            <w:gridSpan w:val="2"/>
          </w:tcPr>
          <w:p w14:paraId="7F2895B8" w14:textId="77777777" w:rsidR="00BF6549" w:rsidRPr="00811307" w:rsidRDefault="00BF6549" w:rsidP="00963796">
            <w:pPr>
              <w:pStyle w:val="Executionclause"/>
              <w:keepNext/>
              <w:rPr>
                <w:rFonts w:ascii="Arial" w:hAnsi="Arial" w:cs="Arial"/>
                <w:sz w:val="24"/>
                <w:szCs w:val="24"/>
              </w:rPr>
            </w:pPr>
            <w:r w:rsidRPr="00E46775">
              <w:rPr>
                <w:rFonts w:ascii="Arial" w:hAnsi="Arial" w:cs="Arial"/>
                <w:b/>
                <w:sz w:val="24"/>
                <w:szCs w:val="24"/>
              </w:rPr>
              <w:lastRenderedPageBreak/>
              <w:t xml:space="preserve">SUBSCRIBED </w:t>
            </w:r>
            <w:r w:rsidRPr="00E46775">
              <w:rPr>
                <w:rFonts w:ascii="Arial" w:hAnsi="Arial" w:cs="Arial"/>
                <w:sz w:val="24"/>
                <w:szCs w:val="24"/>
              </w:rPr>
              <w:t xml:space="preserve">for and on behalf of </w:t>
            </w:r>
            <w:r w:rsidRPr="00E46775">
              <w:rPr>
                <w:rFonts w:ascii="Arial" w:hAnsi="Arial" w:cs="Arial"/>
                <w:sz w:val="24"/>
                <w:szCs w:val="24"/>
                <w:highlight w:val="yellow"/>
              </w:rPr>
              <w:t>[</w:t>
            </w:r>
            <w:r w:rsidRPr="00E46775">
              <w:rPr>
                <w:rFonts w:ascii="Arial" w:hAnsi="Arial" w:cs="Arial"/>
                <w:b/>
                <w:bCs/>
                <w:caps/>
                <w:sz w:val="24"/>
                <w:szCs w:val="24"/>
                <w:highlight w:val="yellow"/>
              </w:rPr>
              <w:t xml:space="preserve">name of </w:t>
            </w:r>
            <w:r w:rsidRPr="004233CF">
              <w:rPr>
                <w:rFonts w:ascii="Arial" w:hAnsi="Arial" w:cs="Arial"/>
                <w:b/>
                <w:bCs/>
                <w:caps/>
                <w:sz w:val="24"/>
                <w:szCs w:val="24"/>
                <w:highlight w:val="yellow"/>
              </w:rPr>
              <w:t>BENCHMARKER</w:t>
            </w:r>
            <w:r w:rsidRPr="00811307">
              <w:rPr>
                <w:rFonts w:ascii="Arial" w:hAnsi="Arial" w:cs="Arial"/>
                <w:sz w:val="24"/>
                <w:szCs w:val="24"/>
                <w:highlight w:val="yellow"/>
              </w:rPr>
              <w:t>]</w:t>
            </w:r>
            <w:r w:rsidRPr="00811307">
              <w:rPr>
                <w:rFonts w:ascii="Arial" w:hAnsi="Arial" w:cs="Arial"/>
                <w:sz w:val="24"/>
                <w:szCs w:val="24"/>
              </w:rPr>
              <w:t xml:space="preserve"> by </w:t>
            </w:r>
            <w:r w:rsidRPr="00811307">
              <w:rPr>
                <w:rFonts w:ascii="Arial" w:hAnsi="Arial" w:cs="Arial"/>
                <w:sz w:val="24"/>
                <w:szCs w:val="24"/>
                <w:highlight w:val="yellow"/>
              </w:rPr>
              <w:t>[a director][the secretary][an authorised</w:t>
            </w:r>
            <w:r w:rsidRPr="00811307">
              <w:rPr>
                <w:rFonts w:ascii="Arial" w:hAnsi="Arial" w:cs="Arial"/>
                <w:b/>
                <w:sz w:val="24"/>
                <w:szCs w:val="24"/>
                <w:highlight w:val="yellow"/>
              </w:rPr>
              <w:t xml:space="preserve"> </w:t>
            </w:r>
            <w:r w:rsidRPr="00811307">
              <w:rPr>
                <w:rFonts w:ascii="Arial" w:hAnsi="Arial" w:cs="Arial"/>
                <w:sz w:val="24"/>
                <w:szCs w:val="24"/>
                <w:highlight w:val="yellow"/>
              </w:rPr>
              <w:t>signatory]</w:t>
            </w:r>
            <w:r w:rsidRPr="00811307">
              <w:rPr>
                <w:rFonts w:ascii="Arial" w:hAnsi="Arial" w:cs="Arial"/>
                <w:sz w:val="24"/>
                <w:szCs w:val="24"/>
              </w:rPr>
              <w:t xml:space="preserve"> in the presence of a witness on the </w:t>
            </w:r>
            <w:r w:rsidRPr="00811307">
              <w:rPr>
                <w:rFonts w:ascii="Arial" w:hAnsi="Arial" w:cs="Arial"/>
                <w:sz w:val="24"/>
                <w:szCs w:val="24"/>
                <w:highlight w:val="yellow"/>
              </w:rPr>
              <w:t>[</w:t>
            </w:r>
            <w:r w:rsidRPr="00811307">
              <w:rPr>
                <w:rFonts w:ascii="Arial" w:hAnsi="Arial" w:cs="Arial"/>
                <w:b/>
                <w:sz w:val="24"/>
                <w:szCs w:val="24"/>
                <w:highlight w:val="yellow"/>
              </w:rPr>
              <w:t>DATE</w:t>
            </w:r>
            <w:r w:rsidRPr="00811307">
              <w:rPr>
                <w:rFonts w:ascii="Arial" w:hAnsi="Arial" w:cs="Arial"/>
                <w:sz w:val="24"/>
                <w:szCs w:val="24"/>
                <w:highlight w:val="yellow"/>
              </w:rPr>
              <w:t>]</w:t>
            </w:r>
            <w:r w:rsidRPr="00811307">
              <w:rPr>
                <w:rFonts w:ascii="Arial" w:hAnsi="Arial" w:cs="Arial"/>
                <w:sz w:val="24"/>
                <w:szCs w:val="24"/>
              </w:rPr>
              <w:t xml:space="preserve"> day of </w:t>
            </w:r>
            <w:r w:rsidRPr="00811307">
              <w:rPr>
                <w:rFonts w:ascii="Arial" w:hAnsi="Arial" w:cs="Arial"/>
                <w:sz w:val="24"/>
                <w:szCs w:val="24"/>
                <w:highlight w:val="yellow"/>
              </w:rPr>
              <w:t>[</w:t>
            </w:r>
            <w:r w:rsidRPr="00811307">
              <w:rPr>
                <w:rFonts w:ascii="Arial" w:hAnsi="Arial" w:cs="Arial"/>
                <w:b/>
                <w:sz w:val="24"/>
                <w:szCs w:val="24"/>
                <w:highlight w:val="yellow"/>
              </w:rPr>
              <w:t>MONTH</w:t>
            </w:r>
            <w:r w:rsidRPr="00811307">
              <w:rPr>
                <w:rFonts w:ascii="Arial" w:hAnsi="Arial" w:cs="Arial"/>
                <w:sz w:val="24"/>
                <w:szCs w:val="24"/>
                <w:highlight w:val="yellow"/>
              </w:rPr>
              <w:t>] [</w:t>
            </w:r>
            <w:r w:rsidRPr="00811307">
              <w:rPr>
                <w:rFonts w:ascii="Arial" w:hAnsi="Arial" w:cs="Arial"/>
                <w:b/>
                <w:sz w:val="24"/>
                <w:szCs w:val="24"/>
                <w:highlight w:val="yellow"/>
              </w:rPr>
              <w:t>YEAR</w:t>
            </w:r>
            <w:r w:rsidRPr="00811307">
              <w:rPr>
                <w:rFonts w:ascii="Arial" w:hAnsi="Arial" w:cs="Arial"/>
                <w:sz w:val="24"/>
                <w:szCs w:val="24"/>
                <w:highlight w:val="yellow"/>
              </w:rPr>
              <w:t>]</w:t>
            </w:r>
            <w:r w:rsidRPr="00811307">
              <w:rPr>
                <w:rFonts w:ascii="Arial" w:hAnsi="Arial" w:cs="Arial"/>
                <w:sz w:val="24"/>
                <w:szCs w:val="24"/>
              </w:rPr>
              <w:t xml:space="preserve"> at </w:t>
            </w:r>
            <w:r w:rsidRPr="00811307">
              <w:rPr>
                <w:rFonts w:ascii="Arial" w:hAnsi="Arial" w:cs="Arial"/>
                <w:sz w:val="24"/>
                <w:szCs w:val="24"/>
                <w:highlight w:val="yellow"/>
              </w:rPr>
              <w:t>[</w:t>
            </w:r>
            <w:r w:rsidRPr="00811307">
              <w:rPr>
                <w:rFonts w:ascii="Arial" w:hAnsi="Arial" w:cs="Arial"/>
                <w:b/>
                <w:sz w:val="24"/>
                <w:szCs w:val="24"/>
                <w:highlight w:val="yellow"/>
              </w:rPr>
              <w:t>PLACE OF SUBSCRIPTION</w:t>
            </w:r>
            <w:r w:rsidRPr="00811307">
              <w:rPr>
                <w:rFonts w:ascii="Arial" w:hAnsi="Arial" w:cs="Arial"/>
                <w:sz w:val="24"/>
                <w:szCs w:val="24"/>
                <w:highlight w:val="yellow"/>
              </w:rPr>
              <w:t>]:</w:t>
            </w:r>
          </w:p>
        </w:tc>
        <w:tc>
          <w:tcPr>
            <w:tcW w:w="270" w:type="dxa"/>
          </w:tcPr>
          <w:p w14:paraId="5304A98E" w14:textId="77777777" w:rsidR="00BF6549" w:rsidRPr="00811307" w:rsidRDefault="00BF6549" w:rsidP="00963796">
            <w:pPr>
              <w:pStyle w:val="Executionclause"/>
              <w:keepNext/>
              <w:rPr>
                <w:rFonts w:ascii="Arial" w:hAnsi="Arial" w:cs="Arial"/>
                <w:sz w:val="24"/>
                <w:szCs w:val="24"/>
              </w:rPr>
            </w:pPr>
            <w:r w:rsidRPr="00811307">
              <w:rPr>
                <w:rFonts w:ascii="Arial" w:hAnsi="Arial" w:cs="Arial"/>
                <w:sz w:val="24"/>
                <w:szCs w:val="24"/>
              </w:rPr>
              <w:t>))))))</w:t>
            </w:r>
          </w:p>
        </w:tc>
        <w:tc>
          <w:tcPr>
            <w:tcW w:w="2340" w:type="dxa"/>
            <w:vAlign w:val="bottom"/>
          </w:tcPr>
          <w:p w14:paraId="74E99435" w14:textId="77777777" w:rsidR="00BF6549" w:rsidRPr="00811307" w:rsidRDefault="00BF6549" w:rsidP="00963796">
            <w:pPr>
              <w:pStyle w:val="Executionclause"/>
              <w:keepNext/>
              <w:jc w:val="right"/>
              <w:rPr>
                <w:rFonts w:ascii="Arial" w:hAnsi="Arial" w:cs="Arial"/>
                <w:sz w:val="24"/>
                <w:szCs w:val="24"/>
              </w:rPr>
            </w:pPr>
            <w:r w:rsidRPr="00811307">
              <w:rPr>
                <w:rFonts w:ascii="Arial" w:hAnsi="Arial" w:cs="Arial"/>
                <w:sz w:val="24"/>
                <w:szCs w:val="24"/>
              </w:rPr>
              <w:t>Signature</w:t>
            </w:r>
          </w:p>
        </w:tc>
        <w:tc>
          <w:tcPr>
            <w:tcW w:w="2538" w:type="dxa"/>
            <w:tcBorders>
              <w:top w:val="nil"/>
              <w:left w:val="nil"/>
              <w:bottom w:val="dashed" w:sz="4" w:space="0" w:color="auto"/>
              <w:right w:val="nil"/>
            </w:tcBorders>
          </w:tcPr>
          <w:p w14:paraId="3FE7BD79" w14:textId="77777777" w:rsidR="00BF6549" w:rsidRPr="00811307" w:rsidRDefault="00BF6549" w:rsidP="00963796">
            <w:pPr>
              <w:pStyle w:val="Executionclause"/>
              <w:keepNext/>
              <w:rPr>
                <w:rFonts w:ascii="Arial" w:hAnsi="Arial" w:cs="Arial"/>
                <w:b/>
                <w:bCs/>
                <w:sz w:val="24"/>
                <w:szCs w:val="24"/>
              </w:rPr>
            </w:pPr>
          </w:p>
        </w:tc>
      </w:tr>
      <w:tr w:rsidR="00BF6549" w:rsidRPr="004233CF" w14:paraId="3124A703" w14:textId="77777777" w:rsidTr="00963796">
        <w:trPr>
          <w:cantSplit/>
        </w:trPr>
        <w:tc>
          <w:tcPr>
            <w:tcW w:w="4230" w:type="dxa"/>
            <w:gridSpan w:val="2"/>
          </w:tcPr>
          <w:p w14:paraId="567868C7" w14:textId="77777777" w:rsidR="00BF6549" w:rsidRPr="00811307" w:rsidRDefault="00BF6549" w:rsidP="00963796">
            <w:pPr>
              <w:pStyle w:val="Executionclause"/>
              <w:keepNext/>
              <w:rPr>
                <w:rFonts w:ascii="Arial" w:hAnsi="Arial" w:cs="Arial"/>
                <w:sz w:val="24"/>
                <w:szCs w:val="24"/>
              </w:rPr>
            </w:pPr>
          </w:p>
        </w:tc>
        <w:tc>
          <w:tcPr>
            <w:tcW w:w="270" w:type="dxa"/>
          </w:tcPr>
          <w:p w14:paraId="6458885C" w14:textId="77777777" w:rsidR="00BF6549" w:rsidRPr="00811307" w:rsidRDefault="00BF6549" w:rsidP="00963796">
            <w:pPr>
              <w:pStyle w:val="Executionclause"/>
              <w:rPr>
                <w:rFonts w:ascii="Arial" w:hAnsi="Arial" w:cs="Arial"/>
                <w:sz w:val="24"/>
                <w:szCs w:val="24"/>
              </w:rPr>
            </w:pPr>
          </w:p>
        </w:tc>
        <w:tc>
          <w:tcPr>
            <w:tcW w:w="2340" w:type="dxa"/>
          </w:tcPr>
          <w:p w14:paraId="33742B1B" w14:textId="77777777" w:rsidR="00BF6549" w:rsidRPr="00811307" w:rsidRDefault="00BF6549" w:rsidP="00963796">
            <w:pPr>
              <w:pStyle w:val="Executionclause"/>
              <w:jc w:val="right"/>
              <w:rPr>
                <w:rFonts w:ascii="Arial" w:hAnsi="Arial" w:cs="Arial"/>
                <w:sz w:val="24"/>
                <w:szCs w:val="24"/>
              </w:rPr>
            </w:pPr>
          </w:p>
        </w:tc>
        <w:tc>
          <w:tcPr>
            <w:tcW w:w="2538" w:type="dxa"/>
            <w:tcBorders>
              <w:top w:val="dashed" w:sz="4" w:space="0" w:color="auto"/>
              <w:left w:val="nil"/>
              <w:right w:val="nil"/>
            </w:tcBorders>
          </w:tcPr>
          <w:p w14:paraId="0AA6840D" w14:textId="77777777" w:rsidR="00BF6549" w:rsidRPr="00811307" w:rsidRDefault="00BF6549" w:rsidP="00963796">
            <w:pPr>
              <w:pStyle w:val="Executionclause"/>
              <w:rPr>
                <w:rFonts w:ascii="Arial" w:hAnsi="Arial" w:cs="Arial"/>
                <w:b/>
                <w:bCs/>
                <w:sz w:val="24"/>
                <w:szCs w:val="24"/>
              </w:rPr>
            </w:pPr>
          </w:p>
        </w:tc>
      </w:tr>
      <w:tr w:rsidR="00BF6549" w:rsidRPr="004233CF" w14:paraId="5B74DB38" w14:textId="77777777" w:rsidTr="00963796">
        <w:trPr>
          <w:cantSplit/>
        </w:trPr>
        <w:tc>
          <w:tcPr>
            <w:tcW w:w="4230" w:type="dxa"/>
            <w:gridSpan w:val="2"/>
          </w:tcPr>
          <w:p w14:paraId="6627F215" w14:textId="77777777" w:rsidR="00BF6549" w:rsidRPr="00811307" w:rsidRDefault="00BF6549" w:rsidP="00963796">
            <w:pPr>
              <w:pStyle w:val="Executionclause"/>
              <w:keepNext/>
              <w:rPr>
                <w:rFonts w:ascii="Arial" w:hAnsi="Arial" w:cs="Arial"/>
                <w:sz w:val="24"/>
                <w:szCs w:val="24"/>
              </w:rPr>
            </w:pPr>
          </w:p>
        </w:tc>
        <w:tc>
          <w:tcPr>
            <w:tcW w:w="270" w:type="dxa"/>
          </w:tcPr>
          <w:p w14:paraId="257F0139" w14:textId="77777777" w:rsidR="00BF6549" w:rsidRPr="00811307" w:rsidRDefault="00BF6549" w:rsidP="00963796">
            <w:pPr>
              <w:pStyle w:val="Executionclause"/>
              <w:rPr>
                <w:rFonts w:ascii="Arial" w:hAnsi="Arial" w:cs="Arial"/>
                <w:sz w:val="24"/>
                <w:szCs w:val="24"/>
              </w:rPr>
            </w:pPr>
          </w:p>
        </w:tc>
        <w:tc>
          <w:tcPr>
            <w:tcW w:w="2340" w:type="dxa"/>
          </w:tcPr>
          <w:p w14:paraId="145EA946" w14:textId="77777777" w:rsidR="00BF6549" w:rsidRPr="00811307" w:rsidRDefault="00BF6549" w:rsidP="00963796">
            <w:pPr>
              <w:pStyle w:val="Executionclause"/>
              <w:spacing w:before="40"/>
              <w:jc w:val="right"/>
              <w:rPr>
                <w:rFonts w:ascii="Arial" w:hAnsi="Arial" w:cs="Arial"/>
                <w:sz w:val="24"/>
                <w:szCs w:val="24"/>
              </w:rPr>
            </w:pPr>
            <w:r w:rsidRPr="00811307">
              <w:rPr>
                <w:rFonts w:ascii="Arial" w:hAnsi="Arial" w:cs="Arial"/>
                <w:sz w:val="24"/>
                <w:szCs w:val="24"/>
              </w:rPr>
              <w:t>Name (block capitals)</w:t>
            </w:r>
          </w:p>
        </w:tc>
        <w:tc>
          <w:tcPr>
            <w:tcW w:w="2538" w:type="dxa"/>
            <w:tcBorders>
              <w:left w:val="nil"/>
              <w:bottom w:val="dashed" w:sz="4" w:space="0" w:color="auto"/>
              <w:right w:val="nil"/>
            </w:tcBorders>
          </w:tcPr>
          <w:p w14:paraId="0E909370" w14:textId="77777777" w:rsidR="00BF6549" w:rsidRPr="00811307" w:rsidRDefault="00BF6549" w:rsidP="00963796">
            <w:pPr>
              <w:pStyle w:val="Executionclause"/>
              <w:rPr>
                <w:rFonts w:ascii="Arial" w:hAnsi="Arial" w:cs="Arial"/>
                <w:b/>
                <w:bCs/>
                <w:sz w:val="24"/>
                <w:szCs w:val="24"/>
              </w:rPr>
            </w:pPr>
          </w:p>
        </w:tc>
      </w:tr>
      <w:tr w:rsidR="00BF6549" w:rsidRPr="004233CF" w14:paraId="759966CD" w14:textId="77777777" w:rsidTr="00963796">
        <w:trPr>
          <w:cantSplit/>
        </w:trPr>
        <w:tc>
          <w:tcPr>
            <w:tcW w:w="4230" w:type="dxa"/>
            <w:gridSpan w:val="2"/>
          </w:tcPr>
          <w:p w14:paraId="2D0AE1A4" w14:textId="77777777" w:rsidR="00BF6549" w:rsidRPr="00811307" w:rsidRDefault="00BF6549" w:rsidP="00963796">
            <w:pPr>
              <w:pStyle w:val="Executionclause"/>
              <w:keepNext/>
              <w:rPr>
                <w:rFonts w:ascii="Arial" w:hAnsi="Arial" w:cs="Arial"/>
                <w:sz w:val="24"/>
                <w:szCs w:val="24"/>
              </w:rPr>
            </w:pPr>
          </w:p>
        </w:tc>
        <w:tc>
          <w:tcPr>
            <w:tcW w:w="270" w:type="dxa"/>
          </w:tcPr>
          <w:p w14:paraId="157F1271" w14:textId="77777777" w:rsidR="00BF6549" w:rsidRPr="00811307" w:rsidRDefault="00BF6549" w:rsidP="00963796">
            <w:pPr>
              <w:pStyle w:val="Executionclause"/>
              <w:rPr>
                <w:rFonts w:ascii="Arial" w:hAnsi="Arial" w:cs="Arial"/>
                <w:sz w:val="24"/>
                <w:szCs w:val="24"/>
              </w:rPr>
            </w:pPr>
          </w:p>
        </w:tc>
        <w:tc>
          <w:tcPr>
            <w:tcW w:w="2340" w:type="dxa"/>
          </w:tcPr>
          <w:p w14:paraId="46F345ED" w14:textId="77777777" w:rsidR="00BF6549" w:rsidRPr="00811307" w:rsidRDefault="00BF6549" w:rsidP="00963796">
            <w:pPr>
              <w:pStyle w:val="Executionclause"/>
              <w:rPr>
                <w:rFonts w:ascii="Arial" w:hAnsi="Arial" w:cs="Arial"/>
                <w:sz w:val="24"/>
                <w:szCs w:val="24"/>
              </w:rPr>
            </w:pPr>
          </w:p>
        </w:tc>
        <w:tc>
          <w:tcPr>
            <w:tcW w:w="2538" w:type="dxa"/>
            <w:tcBorders>
              <w:top w:val="dashed" w:sz="4" w:space="0" w:color="auto"/>
              <w:left w:val="nil"/>
              <w:right w:val="nil"/>
            </w:tcBorders>
          </w:tcPr>
          <w:p w14:paraId="7DCE7CDF" w14:textId="77777777" w:rsidR="00BF6549" w:rsidRPr="00811307" w:rsidRDefault="00BF6549" w:rsidP="00963796">
            <w:pPr>
              <w:pStyle w:val="Executionclause"/>
              <w:spacing w:before="40"/>
              <w:rPr>
                <w:rFonts w:ascii="Arial" w:hAnsi="Arial" w:cs="Arial"/>
                <w:bCs/>
                <w:sz w:val="24"/>
                <w:szCs w:val="24"/>
                <w:highlight w:val="yellow"/>
              </w:rPr>
            </w:pPr>
            <w:r w:rsidRPr="00811307">
              <w:rPr>
                <w:rFonts w:ascii="Arial" w:hAnsi="Arial" w:cs="Arial"/>
                <w:bCs/>
                <w:sz w:val="24"/>
                <w:szCs w:val="24"/>
                <w:highlight w:val="yellow"/>
              </w:rPr>
              <w:t>[</w:t>
            </w:r>
            <w:r w:rsidRPr="00811307">
              <w:rPr>
                <w:rFonts w:ascii="Arial" w:hAnsi="Arial" w:cs="Arial"/>
                <w:b/>
                <w:bCs/>
                <w:sz w:val="24"/>
                <w:szCs w:val="24"/>
                <w:highlight w:val="yellow"/>
              </w:rPr>
              <w:t>Director</w:t>
            </w:r>
            <w:r w:rsidRPr="00811307">
              <w:rPr>
                <w:rFonts w:ascii="Arial" w:hAnsi="Arial" w:cs="Arial"/>
                <w:sz w:val="24"/>
                <w:szCs w:val="24"/>
                <w:highlight w:val="yellow"/>
              </w:rPr>
              <w:t>][</w:t>
            </w:r>
            <w:r w:rsidRPr="00811307">
              <w:rPr>
                <w:rFonts w:ascii="Arial" w:hAnsi="Arial" w:cs="Arial"/>
                <w:b/>
                <w:sz w:val="24"/>
                <w:szCs w:val="24"/>
                <w:highlight w:val="yellow"/>
              </w:rPr>
              <w:t>Secretary</w:t>
            </w:r>
            <w:r w:rsidRPr="00811307">
              <w:rPr>
                <w:rFonts w:ascii="Arial" w:hAnsi="Arial" w:cs="Arial"/>
                <w:sz w:val="24"/>
                <w:szCs w:val="24"/>
                <w:highlight w:val="yellow"/>
              </w:rPr>
              <w:t>]</w:t>
            </w:r>
            <w:r w:rsidRPr="00811307">
              <w:rPr>
                <w:rFonts w:ascii="Arial" w:hAnsi="Arial" w:cs="Arial"/>
                <w:sz w:val="24"/>
                <w:szCs w:val="24"/>
                <w:highlight w:val="yellow"/>
              </w:rPr>
              <w:br/>
              <w:t>[</w:t>
            </w:r>
            <w:r w:rsidRPr="00811307">
              <w:rPr>
                <w:rFonts w:ascii="Arial" w:hAnsi="Arial" w:cs="Arial"/>
                <w:b/>
                <w:sz w:val="24"/>
                <w:szCs w:val="24"/>
                <w:highlight w:val="yellow"/>
              </w:rPr>
              <w:t>Authorised Signatory</w:t>
            </w:r>
            <w:r w:rsidRPr="00811307">
              <w:rPr>
                <w:rFonts w:ascii="Arial" w:hAnsi="Arial" w:cs="Arial"/>
                <w:sz w:val="24"/>
                <w:szCs w:val="24"/>
                <w:highlight w:val="yellow"/>
              </w:rPr>
              <w:t>]</w:t>
            </w:r>
          </w:p>
        </w:tc>
      </w:tr>
      <w:tr w:rsidR="00BF6549" w:rsidRPr="004233CF" w14:paraId="4EA3EFAE" w14:textId="77777777" w:rsidTr="00963796">
        <w:trPr>
          <w:cantSplit/>
        </w:trPr>
        <w:tc>
          <w:tcPr>
            <w:tcW w:w="2070" w:type="dxa"/>
          </w:tcPr>
          <w:p w14:paraId="1909C6FA" w14:textId="77777777" w:rsidR="00BF6549" w:rsidRPr="00811307" w:rsidRDefault="00BF6549" w:rsidP="00963796">
            <w:pPr>
              <w:pStyle w:val="Executionclause"/>
              <w:keepNext/>
              <w:spacing w:before="40"/>
              <w:rPr>
                <w:rFonts w:ascii="Arial" w:hAnsi="Arial" w:cs="Arial"/>
                <w:sz w:val="24"/>
                <w:szCs w:val="24"/>
              </w:rPr>
            </w:pPr>
            <w:r w:rsidRPr="00811307">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27232C14" w14:textId="77777777" w:rsidR="00BF6549" w:rsidRPr="00811307" w:rsidRDefault="00BF6549" w:rsidP="00963796">
            <w:pPr>
              <w:pStyle w:val="Executionclause"/>
              <w:rPr>
                <w:rFonts w:ascii="Arial" w:hAnsi="Arial" w:cs="Arial"/>
                <w:sz w:val="24"/>
                <w:szCs w:val="24"/>
              </w:rPr>
            </w:pPr>
          </w:p>
        </w:tc>
        <w:tc>
          <w:tcPr>
            <w:tcW w:w="4878" w:type="dxa"/>
            <w:gridSpan w:val="2"/>
          </w:tcPr>
          <w:p w14:paraId="0B5ECB25" w14:textId="77777777" w:rsidR="00BF6549" w:rsidRPr="00811307" w:rsidRDefault="00BF6549" w:rsidP="00963796">
            <w:pPr>
              <w:pStyle w:val="Executionclause"/>
              <w:rPr>
                <w:rFonts w:ascii="Arial" w:hAnsi="Arial" w:cs="Arial"/>
                <w:sz w:val="24"/>
                <w:szCs w:val="24"/>
              </w:rPr>
            </w:pPr>
          </w:p>
        </w:tc>
      </w:tr>
      <w:tr w:rsidR="00BF6549" w:rsidRPr="004233CF" w14:paraId="1EE06773" w14:textId="77777777" w:rsidTr="00963796">
        <w:trPr>
          <w:cantSplit/>
        </w:trPr>
        <w:tc>
          <w:tcPr>
            <w:tcW w:w="2070" w:type="dxa"/>
          </w:tcPr>
          <w:p w14:paraId="022ECA9E" w14:textId="77777777" w:rsidR="00BF6549" w:rsidRPr="00811307" w:rsidRDefault="00BF6549" w:rsidP="00963796">
            <w:pPr>
              <w:pStyle w:val="Executionclause"/>
              <w:keepNext/>
              <w:spacing w:before="40"/>
              <w:jc w:val="right"/>
              <w:rPr>
                <w:rFonts w:ascii="Arial" w:hAnsi="Arial" w:cs="Arial"/>
                <w:sz w:val="24"/>
                <w:szCs w:val="24"/>
              </w:rPr>
            </w:pPr>
          </w:p>
        </w:tc>
        <w:tc>
          <w:tcPr>
            <w:tcW w:w="2430" w:type="dxa"/>
            <w:gridSpan w:val="2"/>
          </w:tcPr>
          <w:p w14:paraId="581FD229" w14:textId="77777777" w:rsidR="00BF6549" w:rsidRPr="00811307" w:rsidRDefault="00BF6549" w:rsidP="00963796">
            <w:pPr>
              <w:pStyle w:val="Executionclause"/>
              <w:rPr>
                <w:rFonts w:ascii="Arial" w:hAnsi="Arial" w:cs="Arial"/>
                <w:sz w:val="24"/>
                <w:szCs w:val="24"/>
              </w:rPr>
            </w:pPr>
          </w:p>
        </w:tc>
        <w:tc>
          <w:tcPr>
            <w:tcW w:w="4878" w:type="dxa"/>
            <w:gridSpan w:val="2"/>
          </w:tcPr>
          <w:p w14:paraId="57CE42AA" w14:textId="77777777" w:rsidR="00BF6549" w:rsidRPr="00811307" w:rsidRDefault="00BF6549" w:rsidP="00963796">
            <w:pPr>
              <w:pStyle w:val="Executionclause"/>
              <w:rPr>
                <w:rFonts w:ascii="Arial" w:hAnsi="Arial" w:cs="Arial"/>
                <w:sz w:val="24"/>
                <w:szCs w:val="24"/>
              </w:rPr>
            </w:pPr>
          </w:p>
        </w:tc>
      </w:tr>
      <w:tr w:rsidR="00BF6549" w:rsidRPr="004233CF" w14:paraId="5B0E75E9" w14:textId="77777777" w:rsidTr="00963796">
        <w:trPr>
          <w:cantSplit/>
        </w:trPr>
        <w:tc>
          <w:tcPr>
            <w:tcW w:w="2070" w:type="dxa"/>
          </w:tcPr>
          <w:p w14:paraId="21ED6BA3" w14:textId="77777777" w:rsidR="00BF6549" w:rsidRPr="00811307" w:rsidRDefault="00BF6549" w:rsidP="00963796">
            <w:pPr>
              <w:pStyle w:val="Executionclause"/>
              <w:keepNext/>
              <w:spacing w:before="40"/>
              <w:rPr>
                <w:rFonts w:ascii="Arial" w:hAnsi="Arial" w:cs="Arial"/>
                <w:sz w:val="24"/>
                <w:szCs w:val="24"/>
              </w:rPr>
            </w:pPr>
            <w:r w:rsidRPr="00811307">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2C472348" w14:textId="77777777" w:rsidR="00BF6549" w:rsidRPr="00811307" w:rsidRDefault="00BF6549" w:rsidP="00963796">
            <w:pPr>
              <w:pStyle w:val="Executionclause"/>
              <w:rPr>
                <w:rFonts w:ascii="Arial" w:hAnsi="Arial" w:cs="Arial"/>
                <w:sz w:val="24"/>
                <w:szCs w:val="24"/>
              </w:rPr>
            </w:pPr>
          </w:p>
        </w:tc>
        <w:tc>
          <w:tcPr>
            <w:tcW w:w="4878" w:type="dxa"/>
            <w:gridSpan w:val="2"/>
          </w:tcPr>
          <w:p w14:paraId="40215D8B" w14:textId="77777777" w:rsidR="00BF6549" w:rsidRPr="00811307" w:rsidRDefault="00BF6549" w:rsidP="00963796">
            <w:pPr>
              <w:pStyle w:val="Executionclause"/>
              <w:rPr>
                <w:rFonts w:ascii="Arial" w:hAnsi="Arial" w:cs="Arial"/>
                <w:sz w:val="24"/>
                <w:szCs w:val="24"/>
              </w:rPr>
            </w:pPr>
          </w:p>
        </w:tc>
      </w:tr>
      <w:tr w:rsidR="00BF6549" w:rsidRPr="004233CF" w14:paraId="70F759E5" w14:textId="77777777" w:rsidTr="00963796">
        <w:trPr>
          <w:cantSplit/>
        </w:trPr>
        <w:tc>
          <w:tcPr>
            <w:tcW w:w="2070" w:type="dxa"/>
          </w:tcPr>
          <w:p w14:paraId="54CE525F" w14:textId="77777777" w:rsidR="00BF6549" w:rsidRPr="00811307" w:rsidRDefault="00BF6549" w:rsidP="00963796">
            <w:pPr>
              <w:pStyle w:val="Executionclause"/>
              <w:keepNext/>
              <w:rPr>
                <w:rFonts w:ascii="Arial" w:hAnsi="Arial" w:cs="Arial"/>
                <w:sz w:val="24"/>
                <w:szCs w:val="24"/>
              </w:rPr>
            </w:pPr>
            <w:r w:rsidRPr="00811307">
              <w:rPr>
                <w:rFonts w:ascii="Arial" w:hAnsi="Arial" w:cs="Arial"/>
                <w:sz w:val="24"/>
                <w:szCs w:val="24"/>
              </w:rPr>
              <w:t>(block capitals)</w:t>
            </w:r>
          </w:p>
        </w:tc>
        <w:tc>
          <w:tcPr>
            <w:tcW w:w="2430" w:type="dxa"/>
            <w:gridSpan w:val="2"/>
            <w:tcBorders>
              <w:top w:val="dashed" w:sz="4" w:space="0" w:color="auto"/>
              <w:left w:val="nil"/>
              <w:bottom w:val="nil"/>
              <w:right w:val="nil"/>
            </w:tcBorders>
          </w:tcPr>
          <w:p w14:paraId="0A3AE17A" w14:textId="77777777" w:rsidR="00BF6549" w:rsidRPr="00811307" w:rsidRDefault="00BF6549" w:rsidP="00963796">
            <w:pPr>
              <w:pStyle w:val="Executionclause"/>
              <w:rPr>
                <w:rFonts w:ascii="Arial" w:hAnsi="Arial" w:cs="Arial"/>
                <w:sz w:val="24"/>
                <w:szCs w:val="24"/>
              </w:rPr>
            </w:pPr>
          </w:p>
        </w:tc>
        <w:tc>
          <w:tcPr>
            <w:tcW w:w="4878" w:type="dxa"/>
            <w:gridSpan w:val="2"/>
          </w:tcPr>
          <w:p w14:paraId="0FE8CC6E" w14:textId="77777777" w:rsidR="00BF6549" w:rsidRPr="00811307" w:rsidRDefault="00BF6549" w:rsidP="00963796">
            <w:pPr>
              <w:pStyle w:val="Executionclause"/>
              <w:rPr>
                <w:rFonts w:ascii="Arial" w:hAnsi="Arial" w:cs="Arial"/>
                <w:sz w:val="24"/>
                <w:szCs w:val="24"/>
              </w:rPr>
            </w:pPr>
          </w:p>
        </w:tc>
      </w:tr>
      <w:tr w:rsidR="00BF6549" w:rsidRPr="004233CF" w14:paraId="6D1BBD3D" w14:textId="77777777" w:rsidTr="00963796">
        <w:trPr>
          <w:cantSplit/>
        </w:trPr>
        <w:tc>
          <w:tcPr>
            <w:tcW w:w="2070" w:type="dxa"/>
          </w:tcPr>
          <w:p w14:paraId="5C40A066" w14:textId="77777777" w:rsidR="00BF6549" w:rsidRPr="00811307" w:rsidRDefault="00BF6549" w:rsidP="00963796">
            <w:pPr>
              <w:pStyle w:val="Executionclause"/>
              <w:keepNext/>
              <w:spacing w:before="40"/>
              <w:jc w:val="right"/>
              <w:rPr>
                <w:rFonts w:ascii="Arial" w:hAnsi="Arial" w:cs="Arial"/>
                <w:sz w:val="24"/>
                <w:szCs w:val="24"/>
              </w:rPr>
            </w:pPr>
          </w:p>
        </w:tc>
        <w:tc>
          <w:tcPr>
            <w:tcW w:w="2430" w:type="dxa"/>
            <w:gridSpan w:val="2"/>
          </w:tcPr>
          <w:p w14:paraId="36564CC9" w14:textId="77777777" w:rsidR="00BF6549" w:rsidRPr="00811307" w:rsidRDefault="00BF6549" w:rsidP="00963796">
            <w:pPr>
              <w:pStyle w:val="Executionclause"/>
              <w:rPr>
                <w:rFonts w:ascii="Arial" w:hAnsi="Arial" w:cs="Arial"/>
                <w:sz w:val="24"/>
                <w:szCs w:val="24"/>
              </w:rPr>
            </w:pPr>
          </w:p>
        </w:tc>
        <w:tc>
          <w:tcPr>
            <w:tcW w:w="4878" w:type="dxa"/>
            <w:gridSpan w:val="2"/>
          </w:tcPr>
          <w:p w14:paraId="27CC8BCB" w14:textId="77777777" w:rsidR="00BF6549" w:rsidRPr="00811307" w:rsidRDefault="00BF6549" w:rsidP="00963796">
            <w:pPr>
              <w:pStyle w:val="Executionclause"/>
              <w:rPr>
                <w:rFonts w:ascii="Arial" w:hAnsi="Arial" w:cs="Arial"/>
                <w:sz w:val="24"/>
                <w:szCs w:val="24"/>
              </w:rPr>
            </w:pPr>
          </w:p>
        </w:tc>
      </w:tr>
      <w:tr w:rsidR="00BF6549" w:rsidRPr="004233CF" w14:paraId="4445B4FF" w14:textId="77777777" w:rsidTr="00963796">
        <w:trPr>
          <w:cantSplit/>
        </w:trPr>
        <w:tc>
          <w:tcPr>
            <w:tcW w:w="2070" w:type="dxa"/>
          </w:tcPr>
          <w:p w14:paraId="5C37CCD6" w14:textId="77777777" w:rsidR="00BF6549" w:rsidRPr="00811307" w:rsidRDefault="00BF6549" w:rsidP="00963796">
            <w:pPr>
              <w:pStyle w:val="Executionclause"/>
              <w:keepNext/>
              <w:spacing w:before="40"/>
              <w:rPr>
                <w:rFonts w:ascii="Arial" w:hAnsi="Arial" w:cs="Arial"/>
                <w:sz w:val="24"/>
                <w:szCs w:val="24"/>
              </w:rPr>
            </w:pPr>
            <w:r w:rsidRPr="00811307">
              <w:rPr>
                <w:rFonts w:ascii="Arial" w:hAnsi="Arial" w:cs="Arial"/>
                <w:sz w:val="24"/>
                <w:szCs w:val="24"/>
              </w:rPr>
              <w:t>Witness address</w:t>
            </w:r>
          </w:p>
        </w:tc>
        <w:tc>
          <w:tcPr>
            <w:tcW w:w="2430" w:type="dxa"/>
            <w:gridSpan w:val="2"/>
            <w:tcBorders>
              <w:top w:val="nil"/>
              <w:left w:val="nil"/>
              <w:bottom w:val="dashed" w:sz="4" w:space="0" w:color="auto"/>
              <w:right w:val="nil"/>
            </w:tcBorders>
          </w:tcPr>
          <w:p w14:paraId="63BA1B5C" w14:textId="77777777" w:rsidR="00BF6549" w:rsidRPr="00811307" w:rsidRDefault="00BF6549" w:rsidP="00963796">
            <w:pPr>
              <w:pStyle w:val="Executionclause"/>
              <w:rPr>
                <w:rFonts w:ascii="Arial" w:hAnsi="Arial" w:cs="Arial"/>
                <w:sz w:val="24"/>
                <w:szCs w:val="24"/>
              </w:rPr>
            </w:pPr>
          </w:p>
        </w:tc>
        <w:tc>
          <w:tcPr>
            <w:tcW w:w="4878" w:type="dxa"/>
            <w:gridSpan w:val="2"/>
          </w:tcPr>
          <w:p w14:paraId="75B88EA8" w14:textId="77777777" w:rsidR="00BF6549" w:rsidRPr="00811307" w:rsidRDefault="00BF6549" w:rsidP="00963796">
            <w:pPr>
              <w:pStyle w:val="Executionclause"/>
              <w:rPr>
                <w:rFonts w:ascii="Arial" w:hAnsi="Arial" w:cs="Arial"/>
                <w:sz w:val="24"/>
                <w:szCs w:val="24"/>
              </w:rPr>
            </w:pPr>
          </w:p>
        </w:tc>
      </w:tr>
      <w:tr w:rsidR="00BF6549" w:rsidRPr="004233CF" w14:paraId="2C424EDA" w14:textId="77777777" w:rsidTr="00963796">
        <w:trPr>
          <w:cantSplit/>
        </w:trPr>
        <w:tc>
          <w:tcPr>
            <w:tcW w:w="2070" w:type="dxa"/>
          </w:tcPr>
          <w:p w14:paraId="413D7F1E" w14:textId="77777777" w:rsidR="00BF6549" w:rsidRPr="00811307" w:rsidRDefault="00BF6549" w:rsidP="00963796">
            <w:pPr>
              <w:pStyle w:val="Executionclause"/>
              <w:keepNext/>
              <w:spacing w:before="40"/>
              <w:jc w:val="right"/>
              <w:rPr>
                <w:rFonts w:ascii="Arial" w:hAnsi="Arial" w:cs="Arial"/>
                <w:sz w:val="24"/>
                <w:szCs w:val="24"/>
              </w:rPr>
            </w:pPr>
          </w:p>
        </w:tc>
        <w:tc>
          <w:tcPr>
            <w:tcW w:w="2430" w:type="dxa"/>
            <w:gridSpan w:val="2"/>
          </w:tcPr>
          <w:p w14:paraId="6F426BA0" w14:textId="77777777" w:rsidR="00BF6549" w:rsidRPr="00811307" w:rsidRDefault="00BF6549" w:rsidP="00963796">
            <w:pPr>
              <w:pStyle w:val="Executionclause"/>
              <w:rPr>
                <w:rFonts w:ascii="Arial" w:hAnsi="Arial" w:cs="Arial"/>
                <w:sz w:val="24"/>
                <w:szCs w:val="24"/>
              </w:rPr>
            </w:pPr>
          </w:p>
        </w:tc>
        <w:tc>
          <w:tcPr>
            <w:tcW w:w="4878" w:type="dxa"/>
            <w:gridSpan w:val="2"/>
          </w:tcPr>
          <w:p w14:paraId="6227CF23" w14:textId="77777777" w:rsidR="00BF6549" w:rsidRPr="00811307" w:rsidRDefault="00BF6549" w:rsidP="00963796">
            <w:pPr>
              <w:pStyle w:val="Executionclause"/>
              <w:rPr>
                <w:rFonts w:ascii="Arial" w:hAnsi="Arial" w:cs="Arial"/>
                <w:sz w:val="24"/>
                <w:szCs w:val="24"/>
              </w:rPr>
            </w:pPr>
          </w:p>
        </w:tc>
      </w:tr>
      <w:tr w:rsidR="00BF6549" w:rsidRPr="004233CF" w14:paraId="1B3F23DE" w14:textId="77777777" w:rsidTr="00963796">
        <w:trPr>
          <w:cantSplit/>
        </w:trPr>
        <w:tc>
          <w:tcPr>
            <w:tcW w:w="2070" w:type="dxa"/>
          </w:tcPr>
          <w:p w14:paraId="06D7D292" w14:textId="77777777" w:rsidR="00BF6549" w:rsidRPr="00811307" w:rsidRDefault="00BF6549" w:rsidP="00963796">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20B5E88F" w14:textId="77777777" w:rsidR="00BF6549" w:rsidRPr="00811307" w:rsidRDefault="00BF6549" w:rsidP="00963796">
            <w:pPr>
              <w:pStyle w:val="Executionclause"/>
              <w:rPr>
                <w:rFonts w:ascii="Arial" w:hAnsi="Arial" w:cs="Arial"/>
                <w:sz w:val="24"/>
                <w:szCs w:val="24"/>
              </w:rPr>
            </w:pPr>
          </w:p>
        </w:tc>
        <w:tc>
          <w:tcPr>
            <w:tcW w:w="4878" w:type="dxa"/>
            <w:gridSpan w:val="2"/>
          </w:tcPr>
          <w:p w14:paraId="7DA76E4B" w14:textId="77777777" w:rsidR="00BF6549" w:rsidRPr="00811307" w:rsidRDefault="00BF6549" w:rsidP="00963796">
            <w:pPr>
              <w:pStyle w:val="Executionclause"/>
              <w:rPr>
                <w:rFonts w:ascii="Arial" w:hAnsi="Arial" w:cs="Arial"/>
                <w:sz w:val="24"/>
                <w:szCs w:val="24"/>
              </w:rPr>
            </w:pPr>
          </w:p>
        </w:tc>
      </w:tr>
      <w:tr w:rsidR="00BF6549" w:rsidRPr="004233CF" w14:paraId="5D1DE81C" w14:textId="77777777" w:rsidTr="00963796">
        <w:trPr>
          <w:cantSplit/>
          <w:trHeight w:val="77"/>
        </w:trPr>
        <w:tc>
          <w:tcPr>
            <w:tcW w:w="2070" w:type="dxa"/>
          </w:tcPr>
          <w:p w14:paraId="604FAF6C" w14:textId="77777777" w:rsidR="00BF6549" w:rsidRPr="00811307" w:rsidRDefault="00BF6549" w:rsidP="00963796">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6C09AFC7" w14:textId="77777777" w:rsidR="00BF6549" w:rsidRPr="00811307" w:rsidRDefault="00BF6549" w:rsidP="00963796">
            <w:pPr>
              <w:pStyle w:val="Executionclause"/>
              <w:rPr>
                <w:rFonts w:ascii="Arial" w:hAnsi="Arial" w:cs="Arial"/>
                <w:sz w:val="24"/>
                <w:szCs w:val="24"/>
              </w:rPr>
            </w:pPr>
          </w:p>
        </w:tc>
        <w:tc>
          <w:tcPr>
            <w:tcW w:w="4878" w:type="dxa"/>
            <w:gridSpan w:val="2"/>
          </w:tcPr>
          <w:p w14:paraId="4AA95490" w14:textId="77777777" w:rsidR="00BF6549" w:rsidRPr="00811307" w:rsidRDefault="00BF6549" w:rsidP="00963796">
            <w:pPr>
              <w:pStyle w:val="Executionclause"/>
              <w:rPr>
                <w:rFonts w:ascii="Arial" w:hAnsi="Arial" w:cs="Arial"/>
                <w:sz w:val="24"/>
                <w:szCs w:val="24"/>
              </w:rPr>
            </w:pPr>
          </w:p>
        </w:tc>
      </w:tr>
      <w:tr w:rsidR="00BF6549" w:rsidRPr="004233CF" w14:paraId="3A63F618" w14:textId="77777777" w:rsidTr="00963796">
        <w:trPr>
          <w:cantSplit/>
        </w:trPr>
        <w:tc>
          <w:tcPr>
            <w:tcW w:w="2070" w:type="dxa"/>
          </w:tcPr>
          <w:p w14:paraId="5F5E652B" w14:textId="77777777" w:rsidR="00BF6549" w:rsidRPr="00811307" w:rsidRDefault="00BF6549" w:rsidP="00963796">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435C0B25" w14:textId="77777777" w:rsidR="00BF6549" w:rsidRPr="00811307" w:rsidRDefault="00BF6549" w:rsidP="00963796">
            <w:pPr>
              <w:pStyle w:val="Executionclause"/>
              <w:rPr>
                <w:rFonts w:ascii="Arial" w:hAnsi="Arial" w:cs="Arial"/>
                <w:sz w:val="24"/>
                <w:szCs w:val="24"/>
              </w:rPr>
            </w:pPr>
          </w:p>
        </w:tc>
        <w:tc>
          <w:tcPr>
            <w:tcW w:w="4878" w:type="dxa"/>
            <w:gridSpan w:val="2"/>
          </w:tcPr>
          <w:p w14:paraId="3D247331" w14:textId="77777777" w:rsidR="00BF6549" w:rsidRPr="00811307" w:rsidRDefault="00BF6549" w:rsidP="00963796">
            <w:pPr>
              <w:pStyle w:val="Executionclause"/>
              <w:rPr>
                <w:rFonts w:ascii="Arial" w:hAnsi="Arial" w:cs="Arial"/>
                <w:sz w:val="24"/>
                <w:szCs w:val="24"/>
              </w:rPr>
            </w:pPr>
          </w:p>
        </w:tc>
      </w:tr>
    </w:tbl>
    <w:p w14:paraId="55950A02" w14:textId="04A9F4DA" w:rsidR="008E3D79" w:rsidRPr="00BD6C5F" w:rsidRDefault="008E3D79" w:rsidP="006B4600">
      <w:pPr>
        <w:sectPr w:rsidR="008E3D79" w:rsidRPr="00BD6C5F" w:rsidSect="00EA65BF">
          <w:headerReference w:type="default" r:id="rId87"/>
          <w:footerReference w:type="default" r:id="rId88"/>
          <w:pgSz w:w="11910" w:h="16840"/>
          <w:pgMar w:top="1701" w:right="851" w:bottom="1134" w:left="851" w:header="567" w:footer="567" w:gutter="0"/>
          <w:cols w:space="720"/>
        </w:sectPr>
      </w:pPr>
    </w:p>
    <w:p w14:paraId="2FF50C13" w14:textId="2B1513B3" w:rsidR="004F122B" w:rsidRDefault="004F122B" w:rsidP="004F122B">
      <w:pPr>
        <w:pStyle w:val="Dividername"/>
      </w:pPr>
      <w:bookmarkStart w:id="837" w:name="_bookmark284"/>
      <w:bookmarkStart w:id="838" w:name="_bookmark285"/>
      <w:bookmarkStart w:id="839" w:name="_Ref98252805"/>
      <w:bookmarkStart w:id="840" w:name="_Ref98253025"/>
      <w:bookmarkStart w:id="841" w:name="_Toc98332751"/>
      <w:bookmarkStart w:id="842" w:name="_Toc98852928"/>
      <w:bookmarkEnd w:id="837"/>
      <w:bookmarkEnd w:id="838"/>
      <w:r>
        <w:lastRenderedPageBreak/>
        <w:t xml:space="preserve">Schedule </w:t>
      </w:r>
      <w:bookmarkStart w:id="843" w:name="Schedule_18"/>
      <w:r>
        <w:t>18</w:t>
      </w:r>
      <w:bookmarkEnd w:id="843"/>
    </w:p>
    <w:p w14:paraId="66DCF7D0" w14:textId="638118DE" w:rsidR="004F122B" w:rsidRDefault="004F122B" w:rsidP="004F122B">
      <w:pPr>
        <w:pStyle w:val="Dividername"/>
      </w:pPr>
      <w:r w:rsidRPr="004F122B">
        <w:t>Financial Distress</w:t>
      </w:r>
    </w:p>
    <w:p w14:paraId="461BD3C5" w14:textId="77777777" w:rsidR="004F122B" w:rsidRDefault="004F122B" w:rsidP="004F122B"/>
    <w:p w14:paraId="02DAD2E5" w14:textId="45E467C0" w:rsidR="00E2131D" w:rsidRPr="00BD6C5F" w:rsidRDefault="006B4600" w:rsidP="004F122B">
      <w:pPr>
        <w:pStyle w:val="Heading1"/>
        <w:pageBreakBefore/>
      </w:pPr>
      <w:bookmarkStart w:id="844" w:name="_Toc141721020"/>
      <w:r w:rsidRPr="00BD6C5F">
        <w:lastRenderedPageBreak/>
        <w:t>Schedule 18</w:t>
      </w:r>
      <w:r w:rsidR="0058158C" w:rsidRPr="00BD6C5F">
        <w:t>:</w:t>
      </w:r>
      <w:r w:rsidRPr="00BD6C5F">
        <w:t xml:space="preserve"> Financial Distress</w:t>
      </w:r>
      <w:bookmarkEnd w:id="839"/>
      <w:bookmarkEnd w:id="840"/>
      <w:bookmarkEnd w:id="841"/>
      <w:bookmarkEnd w:id="842"/>
      <w:bookmarkEnd w:id="844"/>
    </w:p>
    <w:p w14:paraId="45CDDF18" w14:textId="0E3EE36C" w:rsidR="00E2131D" w:rsidRPr="00BD6C5F" w:rsidRDefault="00E2131D" w:rsidP="006B4600">
      <w:pPr>
        <w:jc w:val="center"/>
      </w:pPr>
      <w:r w:rsidRPr="00BD6C5F">
        <w:t>This is the schedule referred to in the foregoing agreement betwee</w:t>
      </w:r>
      <w:r w:rsidR="00183F6E" w:rsidRPr="00BD6C5F">
        <w:t>n [</w:t>
      </w:r>
      <w:r w:rsidR="00183F6E" w:rsidRPr="00BD6C5F">
        <w:rPr>
          <w:highlight w:val="yellow"/>
        </w:rPr>
        <w:t>name of party</w:t>
      </w:r>
      <w:r w:rsidR="00183F6E" w:rsidRPr="00BD6C5F">
        <w:t>] and [</w:t>
      </w:r>
      <w:r w:rsidR="00183F6E" w:rsidRPr="00BD6C5F">
        <w:rPr>
          <w:highlight w:val="yellow"/>
        </w:rPr>
        <w:t>name of party</w:t>
      </w:r>
      <w:r w:rsidR="00183F6E" w:rsidRPr="00BD6C5F">
        <w:t>] dated [</w:t>
      </w:r>
      <w:r w:rsidR="00183F6E" w:rsidRPr="00BD6C5F">
        <w:rPr>
          <w:highlight w:val="yellow"/>
        </w:rPr>
        <w:t>date</w:t>
      </w:r>
      <w:r w:rsidR="00183F6E" w:rsidRPr="00BD6C5F">
        <w:t>]</w:t>
      </w:r>
    </w:p>
    <w:p w14:paraId="3149E713" w14:textId="2E560F2C" w:rsidR="006B4600" w:rsidRPr="00BD6C5F" w:rsidRDefault="006B4600" w:rsidP="006B4600"/>
    <w:p w14:paraId="6AFE59FE" w14:textId="77777777" w:rsidR="006B4600" w:rsidRPr="00BD6C5F" w:rsidRDefault="006B4600" w:rsidP="006B4600">
      <w:pPr>
        <w:ind w:right="-15"/>
        <w:rPr>
          <w:bCs/>
          <w:iCs/>
        </w:rPr>
      </w:pPr>
      <w:r w:rsidRPr="00BD6C5F">
        <w:rPr>
          <w:bCs/>
          <w:iCs/>
          <w:highlight w:val="yellow"/>
        </w:rPr>
        <w:t>[</w:t>
      </w:r>
      <w:r w:rsidRPr="002476A5">
        <w:rPr>
          <w:b/>
          <w:i/>
          <w:highlight w:val="yellow"/>
        </w:rPr>
        <w:t>Guidance: This template Schedule provides the user with the option of using Credit Ratings and/or Financial Indicators for the purposes of the Financial Distress Provisions. Users may use any combination of these indicators to suit their own requirements and may delete or amend as required. Users should ensure that the drafting of any Financial Indicators aligns with the financial standing criteria used during the selection stage of the procurement</w:t>
      </w:r>
      <w:r w:rsidRPr="00BD6C5F">
        <w:rPr>
          <w:bCs/>
          <w:iCs/>
          <w:highlight w:val="yellow"/>
        </w:rPr>
        <w:t>]</w:t>
      </w:r>
    </w:p>
    <w:p w14:paraId="3690C5BB" w14:textId="3EF987B9" w:rsidR="006B4600" w:rsidRPr="00BD6C5F" w:rsidRDefault="006B4600" w:rsidP="006B4600"/>
    <w:p w14:paraId="66C96C6A" w14:textId="1BE2BC65" w:rsidR="00BC7DDA" w:rsidRPr="00BD6C5F" w:rsidRDefault="000D48A0" w:rsidP="00B71FC0">
      <w:pPr>
        <w:pStyle w:val="Numbered1"/>
        <w:numPr>
          <w:ilvl w:val="0"/>
          <w:numId w:val="101"/>
        </w:numPr>
      </w:pPr>
      <w:bookmarkStart w:id="845" w:name="_Ref98252692"/>
      <w:r w:rsidRPr="00BD6C5F">
        <w:t>Definitions</w:t>
      </w:r>
      <w:bookmarkEnd w:id="845"/>
    </w:p>
    <w:p w14:paraId="5850FF51" w14:textId="77777777" w:rsidR="00BC7DDA" w:rsidRPr="00BD6C5F" w:rsidRDefault="009B03E9" w:rsidP="00C70900">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3F050AB3" w14:textId="77777777" w:rsidTr="00F65C81">
        <w:tc>
          <w:tcPr>
            <w:tcW w:w="3572" w:type="dxa"/>
          </w:tcPr>
          <w:p w14:paraId="0D7483CD" w14:textId="7CDAB7A3" w:rsidR="00BC7DDA" w:rsidRPr="00BD6C5F" w:rsidRDefault="00A4555C" w:rsidP="008B2F9D">
            <w:pPr>
              <w:pStyle w:val="Tabletext"/>
              <w:rPr>
                <w:b/>
                <w:bCs/>
              </w:rPr>
            </w:pPr>
            <w:r w:rsidRPr="00BD6C5F">
              <w:rPr>
                <w:b/>
                <w:bCs/>
              </w:rPr>
              <w:t>“</w:t>
            </w:r>
            <w:r w:rsidR="009B03E9" w:rsidRPr="00BD6C5F">
              <w:rPr>
                <w:b/>
                <w:bCs/>
              </w:rPr>
              <w:t>Applicable Financial Indicators</w:t>
            </w:r>
            <w:r w:rsidRPr="00BD6C5F">
              <w:rPr>
                <w:b/>
                <w:bCs/>
              </w:rPr>
              <w:t>”</w:t>
            </w:r>
          </w:p>
        </w:tc>
        <w:tc>
          <w:tcPr>
            <w:tcW w:w="5953" w:type="dxa"/>
          </w:tcPr>
          <w:p w14:paraId="49F10978" w14:textId="17F81DB2" w:rsidR="00BC7DDA" w:rsidRPr="00BD6C5F" w:rsidRDefault="009B03E9" w:rsidP="008B2F9D">
            <w:pPr>
              <w:pStyle w:val="Tabletext"/>
            </w:pPr>
            <w:r w:rsidRPr="00BD6C5F">
              <w:t xml:space="preserve">means the financial indicators from Paragraph </w:t>
            </w:r>
            <w:r w:rsidR="00280692" w:rsidRPr="00BD6C5F">
              <w:fldChar w:fldCharType="begin"/>
            </w:r>
            <w:r w:rsidR="00280692" w:rsidRPr="00BD6C5F">
              <w:instrText xml:space="preserve"> REF _Ref98414293 \n \h </w:instrText>
            </w:r>
            <w:r w:rsidR="00AD7DD0" w:rsidRPr="00BD6C5F">
              <w:instrText xml:space="preserve"> \* MERGEFORMAT </w:instrText>
            </w:r>
            <w:r w:rsidR="00280692" w:rsidRPr="00BD6C5F">
              <w:fldChar w:fldCharType="separate"/>
            </w:r>
            <w:r w:rsidR="009749A0">
              <w:t>5.1</w:t>
            </w:r>
            <w:r w:rsidR="00280692" w:rsidRPr="00BD6C5F">
              <w:fldChar w:fldCharType="end"/>
            </w:r>
            <w:r w:rsidRPr="00BD6C5F">
              <w:t xml:space="preserve"> of this Schedule which are to apply to the Monitored Suppliers as set out in Paragraph </w:t>
            </w:r>
            <w:r w:rsidR="00280692" w:rsidRPr="00BD6C5F">
              <w:fldChar w:fldCharType="begin"/>
            </w:r>
            <w:r w:rsidR="00280692" w:rsidRPr="00BD6C5F">
              <w:instrText xml:space="preserve"> REF _Ref98414298 \n \h </w:instrText>
            </w:r>
            <w:r w:rsidR="00AD7DD0" w:rsidRPr="00BD6C5F">
              <w:instrText xml:space="preserve"> \* MERGEFORMAT </w:instrText>
            </w:r>
            <w:r w:rsidR="00280692" w:rsidRPr="00BD6C5F">
              <w:fldChar w:fldCharType="separate"/>
            </w:r>
            <w:r w:rsidR="009749A0">
              <w:t>5.2</w:t>
            </w:r>
            <w:r w:rsidR="00280692" w:rsidRPr="00BD6C5F">
              <w:fldChar w:fldCharType="end"/>
            </w:r>
            <w:r w:rsidRPr="00BD6C5F">
              <w:t xml:space="preserve"> of this Schedule;</w:t>
            </w:r>
          </w:p>
        </w:tc>
      </w:tr>
      <w:tr w:rsidR="00BC7DDA" w:rsidRPr="00BD6C5F" w14:paraId="56D0AD30" w14:textId="77777777" w:rsidTr="00F65C81">
        <w:tc>
          <w:tcPr>
            <w:tcW w:w="3572" w:type="dxa"/>
          </w:tcPr>
          <w:p w14:paraId="3F784128" w14:textId="5231E36F" w:rsidR="00BC7DDA" w:rsidRPr="00BD6C5F" w:rsidRDefault="00A4555C" w:rsidP="008B2F9D">
            <w:pPr>
              <w:pStyle w:val="Tabletext"/>
              <w:rPr>
                <w:b/>
                <w:bCs/>
              </w:rPr>
            </w:pPr>
            <w:r w:rsidRPr="00BD6C5F">
              <w:rPr>
                <w:b/>
                <w:bCs/>
              </w:rPr>
              <w:t>“</w:t>
            </w:r>
            <w:r w:rsidR="009B03E9" w:rsidRPr="00BD6C5F">
              <w:rPr>
                <w:b/>
                <w:bCs/>
              </w:rPr>
              <w:t>Board</w:t>
            </w:r>
            <w:r w:rsidRPr="00BD6C5F">
              <w:rPr>
                <w:b/>
                <w:bCs/>
              </w:rPr>
              <w:t>”</w:t>
            </w:r>
          </w:p>
        </w:tc>
        <w:tc>
          <w:tcPr>
            <w:tcW w:w="5953" w:type="dxa"/>
          </w:tcPr>
          <w:p w14:paraId="036863FE" w14:textId="5ACFAF78" w:rsidR="00BC7DDA" w:rsidRPr="00BD6C5F" w:rsidRDefault="009B03E9" w:rsidP="008B2F9D">
            <w:pPr>
              <w:pStyle w:val="Tabletext"/>
            </w:pPr>
            <w:r w:rsidRPr="00BD6C5F">
              <w:t>means the Supplier</w:t>
            </w:r>
            <w:r w:rsidR="00A4555C" w:rsidRPr="00BD6C5F">
              <w:t>’</w:t>
            </w:r>
            <w:r w:rsidRPr="00BD6C5F">
              <w:t>s board of directors;</w:t>
            </w:r>
          </w:p>
        </w:tc>
      </w:tr>
      <w:tr w:rsidR="00BC7DDA" w:rsidRPr="00BD6C5F" w14:paraId="31722CA7" w14:textId="77777777" w:rsidTr="00F65C81">
        <w:tc>
          <w:tcPr>
            <w:tcW w:w="3572" w:type="dxa"/>
          </w:tcPr>
          <w:p w14:paraId="1E90E0D5" w14:textId="62297DA1" w:rsidR="00BC7DDA" w:rsidRPr="00BD6C5F" w:rsidRDefault="00A4555C" w:rsidP="008B2F9D">
            <w:pPr>
              <w:pStyle w:val="Tabletext"/>
              <w:rPr>
                <w:b/>
                <w:bCs/>
              </w:rPr>
            </w:pPr>
            <w:r w:rsidRPr="00BD6C5F">
              <w:rPr>
                <w:b/>
                <w:bCs/>
              </w:rPr>
              <w:t>“</w:t>
            </w:r>
            <w:r w:rsidR="009B03E9" w:rsidRPr="00BD6C5F">
              <w:rPr>
                <w:b/>
                <w:bCs/>
              </w:rPr>
              <w:t>Board Confirmation</w:t>
            </w:r>
            <w:r w:rsidRPr="00BD6C5F">
              <w:rPr>
                <w:b/>
                <w:bCs/>
              </w:rPr>
              <w:t>”</w:t>
            </w:r>
          </w:p>
        </w:tc>
        <w:tc>
          <w:tcPr>
            <w:tcW w:w="5953" w:type="dxa"/>
          </w:tcPr>
          <w:p w14:paraId="370E0F6A" w14:textId="74D4A4DB" w:rsidR="00BC7DDA" w:rsidRPr="00BD6C5F" w:rsidRDefault="009B03E9" w:rsidP="008B2F9D">
            <w:pPr>
              <w:pStyle w:val="Tabletext"/>
            </w:pPr>
            <w:r w:rsidRPr="00BD6C5F">
              <w:t xml:space="preserve">means written confirmation from the Board in accordance with Paragraph </w:t>
            </w:r>
            <w:r w:rsidR="00280692" w:rsidRPr="00BD6C5F">
              <w:fldChar w:fldCharType="begin"/>
            </w:r>
            <w:r w:rsidR="00280692" w:rsidRPr="00BD6C5F">
              <w:instrText xml:space="preserve"> REF _Ref98254029 \n \h </w:instrText>
            </w:r>
            <w:r w:rsidR="00AD7DD0" w:rsidRPr="00BD6C5F">
              <w:instrText xml:space="preserve"> \* MERGEFORMAT </w:instrText>
            </w:r>
            <w:r w:rsidR="00280692" w:rsidRPr="00BD6C5F">
              <w:fldChar w:fldCharType="separate"/>
            </w:r>
            <w:r w:rsidR="009749A0">
              <w:t>8</w:t>
            </w:r>
            <w:r w:rsidR="00280692" w:rsidRPr="00BD6C5F">
              <w:fldChar w:fldCharType="end"/>
            </w:r>
            <w:r w:rsidRPr="00BD6C5F">
              <w:t xml:space="preserve"> of this Schedule;</w:t>
            </w:r>
          </w:p>
        </w:tc>
      </w:tr>
      <w:tr w:rsidR="00BC7DDA" w:rsidRPr="00BD6C5F" w14:paraId="3E05690A" w14:textId="77777777" w:rsidTr="00F65C81">
        <w:tc>
          <w:tcPr>
            <w:tcW w:w="3572" w:type="dxa"/>
          </w:tcPr>
          <w:p w14:paraId="0427BFAA" w14:textId="3F6FE6E6" w:rsidR="00BC7DDA" w:rsidRPr="00BD6C5F" w:rsidRDefault="00A4555C" w:rsidP="008B2F9D">
            <w:pPr>
              <w:pStyle w:val="Tabletext"/>
              <w:rPr>
                <w:b/>
                <w:bCs/>
              </w:rPr>
            </w:pPr>
            <w:r w:rsidRPr="00BD6C5F">
              <w:rPr>
                <w:b/>
                <w:bCs/>
              </w:rPr>
              <w:t>“</w:t>
            </w:r>
            <w:r w:rsidR="009B03E9" w:rsidRPr="00BD6C5F">
              <w:rPr>
                <w:b/>
                <w:bCs/>
              </w:rPr>
              <w:t>Credit Rating Level</w:t>
            </w:r>
            <w:r w:rsidRPr="00BD6C5F">
              <w:rPr>
                <w:b/>
                <w:bCs/>
              </w:rPr>
              <w:t>”</w:t>
            </w:r>
          </w:p>
        </w:tc>
        <w:tc>
          <w:tcPr>
            <w:tcW w:w="5953" w:type="dxa"/>
          </w:tcPr>
          <w:p w14:paraId="03F08AB1" w14:textId="52EE518E" w:rsidR="00BC7DDA" w:rsidRPr="00BD6C5F" w:rsidRDefault="009B03E9" w:rsidP="008B2F9D">
            <w:pPr>
              <w:pStyle w:val="Tabletext"/>
            </w:pPr>
            <w:r w:rsidRPr="00BD6C5F">
              <w:t xml:space="preserve">a credit rating level as specified in </w:t>
            </w:r>
            <w:r w:rsidR="00A93D47">
              <w:t>Annex </w:t>
            </w:r>
            <w:r w:rsidR="00A93D47">
              <w:fldChar w:fldCharType="begin"/>
            </w:r>
            <w:r w:rsidR="00A93D47">
              <w:instrText xml:space="preserve"> REF Schedule_18_Annex_1 \h </w:instrText>
            </w:r>
            <w:r w:rsidR="00A93D47">
              <w:fldChar w:fldCharType="separate"/>
            </w:r>
            <w:r w:rsidR="009749A0" w:rsidRPr="00BD6C5F">
              <w:t>1</w:t>
            </w:r>
            <w:r w:rsidR="00A93D47">
              <w:fldChar w:fldCharType="end"/>
            </w:r>
            <w:r w:rsidRPr="00BD6C5F">
              <w:t xml:space="preserve"> of this Schedule;</w:t>
            </w:r>
          </w:p>
        </w:tc>
      </w:tr>
      <w:tr w:rsidR="00BC7DDA" w:rsidRPr="00BD6C5F" w14:paraId="7CC3F286" w14:textId="77777777" w:rsidTr="00F65C81">
        <w:tc>
          <w:tcPr>
            <w:tcW w:w="3572" w:type="dxa"/>
          </w:tcPr>
          <w:p w14:paraId="709B7C12" w14:textId="40A43A07" w:rsidR="00BC7DDA" w:rsidRPr="00BD6C5F" w:rsidRDefault="00A4555C" w:rsidP="008B2F9D">
            <w:pPr>
              <w:pStyle w:val="Tabletext"/>
              <w:rPr>
                <w:b/>
                <w:bCs/>
              </w:rPr>
            </w:pPr>
            <w:r w:rsidRPr="00BD6C5F">
              <w:rPr>
                <w:b/>
                <w:bCs/>
              </w:rPr>
              <w:t>“</w:t>
            </w:r>
            <w:r w:rsidR="009B03E9" w:rsidRPr="00BD6C5F">
              <w:rPr>
                <w:b/>
                <w:bCs/>
              </w:rPr>
              <w:t>Credit Rating Threshold</w:t>
            </w:r>
            <w:r w:rsidRPr="00BD6C5F">
              <w:rPr>
                <w:b/>
                <w:bCs/>
              </w:rPr>
              <w:t>”</w:t>
            </w:r>
          </w:p>
        </w:tc>
        <w:tc>
          <w:tcPr>
            <w:tcW w:w="5953" w:type="dxa"/>
          </w:tcPr>
          <w:p w14:paraId="17F3BDC5" w14:textId="63666BB5" w:rsidR="00BC7DDA" w:rsidRPr="00BD6C5F" w:rsidRDefault="009B03E9" w:rsidP="008B2F9D">
            <w:pPr>
              <w:pStyle w:val="Tabletext"/>
            </w:pPr>
            <w:r w:rsidRPr="00BD6C5F">
              <w:t xml:space="preserve">the minimum Credit Rating Level for each entity in the FDE Group as set out in </w:t>
            </w:r>
            <w:r w:rsidR="00A93D47">
              <w:t>Annex </w:t>
            </w:r>
            <w:r w:rsidR="00A93D47">
              <w:fldChar w:fldCharType="begin"/>
            </w:r>
            <w:r w:rsidR="00A93D47">
              <w:instrText xml:space="preserve"> REF Schedule_18_Annex_2 \h </w:instrText>
            </w:r>
            <w:r w:rsidR="00A93D47">
              <w:fldChar w:fldCharType="separate"/>
            </w:r>
            <w:r w:rsidR="009749A0" w:rsidRPr="00BD6C5F">
              <w:t>2</w:t>
            </w:r>
            <w:r w:rsidR="00A93D47">
              <w:fldChar w:fldCharType="end"/>
            </w:r>
            <w:r w:rsidRPr="00BD6C5F">
              <w:t xml:space="preserve"> of this Schedule;</w:t>
            </w:r>
          </w:p>
        </w:tc>
      </w:tr>
      <w:tr w:rsidR="00BC7DDA" w:rsidRPr="00BD6C5F" w14:paraId="7744EA29" w14:textId="77777777" w:rsidTr="00F65C81">
        <w:tc>
          <w:tcPr>
            <w:tcW w:w="3572" w:type="dxa"/>
          </w:tcPr>
          <w:p w14:paraId="043BF538" w14:textId="7469D73E" w:rsidR="00BC7DDA" w:rsidRPr="00BD6C5F" w:rsidRDefault="00A4555C" w:rsidP="008B2F9D">
            <w:pPr>
              <w:pStyle w:val="Tabletext"/>
              <w:rPr>
                <w:b/>
                <w:bCs/>
              </w:rPr>
            </w:pPr>
            <w:r w:rsidRPr="00BD6C5F">
              <w:rPr>
                <w:b/>
                <w:bCs/>
              </w:rPr>
              <w:t>“</w:t>
            </w:r>
            <w:r w:rsidR="009B03E9" w:rsidRPr="00BD6C5F">
              <w:rPr>
                <w:b/>
                <w:bCs/>
              </w:rPr>
              <w:t>FDE Group</w:t>
            </w:r>
            <w:r w:rsidRPr="00BD6C5F">
              <w:rPr>
                <w:b/>
                <w:bCs/>
              </w:rPr>
              <w:t>”</w:t>
            </w:r>
          </w:p>
        </w:tc>
        <w:tc>
          <w:tcPr>
            <w:tcW w:w="5953" w:type="dxa"/>
          </w:tcPr>
          <w:p w14:paraId="0B3B269C" w14:textId="77777777" w:rsidR="00BC7DDA" w:rsidRPr="00BD6C5F" w:rsidRDefault="009B03E9" w:rsidP="008B2F9D">
            <w:pPr>
              <w:pStyle w:val="Tabletext"/>
              <w:rPr>
                <w:rFonts w:asciiTheme="minorHAnsi" w:hAnsiTheme="minorHAnsi" w:cstheme="minorHAnsi"/>
              </w:rPr>
            </w:pPr>
            <w:r w:rsidRPr="00BD6C5F">
              <w:rPr>
                <w:rFonts w:asciiTheme="minorHAnsi" w:hAnsiTheme="minorHAnsi" w:cstheme="minorHAnsi"/>
              </w:rPr>
              <w:t xml:space="preserve">means the </w:t>
            </w:r>
            <w:r w:rsidRPr="00C76C8A">
              <w:rPr>
                <w:rFonts w:asciiTheme="minorHAnsi" w:hAnsiTheme="minorHAnsi" w:cstheme="minorHAnsi"/>
                <w:highlight w:val="yellow"/>
                <w:shd w:val="clear" w:color="auto" w:fill="FFFF00"/>
              </w:rPr>
              <w:t>[Supplier, Key Sub-contractors, [the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Guarantor]</w:t>
            </w:r>
            <w:r w:rsidRPr="00C76C8A">
              <w:rPr>
                <w:rFonts w:asciiTheme="minorHAnsi" w:hAnsiTheme="minorHAnsi" w:cstheme="minorHAnsi"/>
                <w:highlight w:val="yellow"/>
              </w:rPr>
              <w:t xml:space="preserve"> and the </w:t>
            </w:r>
            <w:r w:rsidRPr="00C76C8A">
              <w:rPr>
                <w:rFonts w:asciiTheme="minorHAnsi" w:hAnsiTheme="minorHAnsi" w:cstheme="minorHAnsi"/>
                <w:highlight w:val="yellow"/>
                <w:shd w:val="clear" w:color="auto" w:fill="FFFF00"/>
              </w:rPr>
              <w:t>[Monitored Suppliers]</w:t>
            </w:r>
            <w:r w:rsidRPr="00BD6C5F">
              <w:rPr>
                <w:rFonts w:asciiTheme="minorHAnsi" w:hAnsiTheme="minorHAnsi" w:cstheme="minorHAnsi"/>
                <w:shd w:val="clear" w:color="auto" w:fill="FFFF00"/>
              </w:rPr>
              <w:t>]</w:t>
            </w:r>
            <w:r w:rsidRPr="00BD6C5F">
              <w:rPr>
                <w:rFonts w:asciiTheme="minorHAnsi" w:hAnsiTheme="minorHAnsi" w:cstheme="minorHAnsi"/>
              </w:rPr>
              <w:t>;</w:t>
            </w:r>
          </w:p>
        </w:tc>
      </w:tr>
      <w:tr w:rsidR="00BC7DDA" w:rsidRPr="00BD6C5F" w14:paraId="096DBBEA" w14:textId="77777777" w:rsidTr="00F65C81">
        <w:tc>
          <w:tcPr>
            <w:tcW w:w="3572" w:type="dxa"/>
          </w:tcPr>
          <w:p w14:paraId="29D82FA4" w14:textId="4F4B4666" w:rsidR="00BC7DDA" w:rsidRPr="00BD6C5F" w:rsidRDefault="00A4555C" w:rsidP="008B2F9D">
            <w:pPr>
              <w:pStyle w:val="Tabletext"/>
              <w:rPr>
                <w:b/>
                <w:bCs/>
              </w:rPr>
            </w:pPr>
            <w:r w:rsidRPr="00BD6C5F">
              <w:rPr>
                <w:b/>
                <w:bCs/>
              </w:rPr>
              <w:t>“</w:t>
            </w:r>
            <w:r w:rsidR="009B03E9" w:rsidRPr="00BD6C5F">
              <w:rPr>
                <w:b/>
                <w:bCs/>
              </w:rPr>
              <w:t>Financial Indicators</w:t>
            </w:r>
            <w:r w:rsidRPr="00BD6C5F">
              <w:rPr>
                <w:b/>
                <w:bCs/>
              </w:rPr>
              <w:t>”</w:t>
            </w:r>
          </w:p>
        </w:tc>
        <w:tc>
          <w:tcPr>
            <w:tcW w:w="5953" w:type="dxa"/>
          </w:tcPr>
          <w:p w14:paraId="65A86D15" w14:textId="6A21162D" w:rsidR="00BC7DDA" w:rsidRPr="00BD6C5F" w:rsidRDefault="009B03E9" w:rsidP="008B2F9D">
            <w:pPr>
              <w:pStyle w:val="Tabletext"/>
            </w:pPr>
            <w:r w:rsidRPr="00BD6C5F">
              <w:t xml:space="preserve">in respect of the Supplier, Key Sub-contractors and the Guarantor, means each of the financial indicators set out at paragraph </w:t>
            </w:r>
            <w:r w:rsidR="00280692" w:rsidRPr="00BD6C5F">
              <w:fldChar w:fldCharType="begin"/>
            </w:r>
            <w:r w:rsidR="00280692" w:rsidRPr="00BD6C5F">
              <w:instrText xml:space="preserve"> REF _Ref98414293 \n \h </w:instrText>
            </w:r>
            <w:r w:rsidR="00AD7DD0" w:rsidRPr="00BD6C5F">
              <w:instrText xml:space="preserve"> \* MERGEFORMAT </w:instrText>
            </w:r>
            <w:r w:rsidR="00280692" w:rsidRPr="00BD6C5F">
              <w:fldChar w:fldCharType="separate"/>
            </w:r>
            <w:r w:rsidR="009749A0">
              <w:t>5.1</w:t>
            </w:r>
            <w:r w:rsidR="00280692" w:rsidRPr="00BD6C5F">
              <w:fldChar w:fldCharType="end"/>
            </w:r>
            <w:r w:rsidRPr="00BD6C5F">
              <w:t xml:space="preserve"> of this Schedule; and in respect of each Monitored Supplier, means those Applicable Financial Indicators;</w:t>
            </w:r>
          </w:p>
        </w:tc>
      </w:tr>
      <w:tr w:rsidR="00BC7DDA" w:rsidRPr="00BD6C5F" w14:paraId="075725DB" w14:textId="77777777" w:rsidTr="00F65C81">
        <w:tc>
          <w:tcPr>
            <w:tcW w:w="3572" w:type="dxa"/>
          </w:tcPr>
          <w:p w14:paraId="51CEA818" w14:textId="2B003821" w:rsidR="00BC7DDA" w:rsidRPr="00BD6C5F" w:rsidRDefault="00A4555C" w:rsidP="008B2F9D">
            <w:pPr>
              <w:pStyle w:val="Tabletext"/>
              <w:rPr>
                <w:b/>
                <w:bCs/>
              </w:rPr>
            </w:pPr>
            <w:r w:rsidRPr="00BD6C5F">
              <w:rPr>
                <w:b/>
                <w:bCs/>
              </w:rPr>
              <w:t>“</w:t>
            </w:r>
            <w:r w:rsidR="009B03E9" w:rsidRPr="00BD6C5F">
              <w:rPr>
                <w:b/>
                <w:bCs/>
              </w:rPr>
              <w:t>Financial Target Thresholds</w:t>
            </w:r>
            <w:r w:rsidRPr="00BD6C5F">
              <w:rPr>
                <w:b/>
                <w:bCs/>
              </w:rPr>
              <w:t>”</w:t>
            </w:r>
          </w:p>
        </w:tc>
        <w:tc>
          <w:tcPr>
            <w:tcW w:w="5953" w:type="dxa"/>
          </w:tcPr>
          <w:p w14:paraId="00138161" w14:textId="063C72A1" w:rsidR="00BC7DDA" w:rsidRPr="00BD6C5F" w:rsidRDefault="009B03E9" w:rsidP="008B2F9D">
            <w:pPr>
              <w:pStyle w:val="Tabletext"/>
            </w:pPr>
            <w:r w:rsidRPr="00BD6C5F">
              <w:t xml:space="preserve">means the target thresholds for each of the Financial Indicators set out at paragraph </w:t>
            </w:r>
            <w:r w:rsidR="00280692" w:rsidRPr="00BD6C5F">
              <w:fldChar w:fldCharType="begin"/>
            </w:r>
            <w:r w:rsidR="00280692" w:rsidRPr="00BD6C5F">
              <w:instrText xml:space="preserve"> REF _Ref98414293 \n \h </w:instrText>
            </w:r>
            <w:r w:rsidR="00AD7DD0" w:rsidRPr="00BD6C5F">
              <w:instrText xml:space="preserve"> \* MERGEFORMAT </w:instrText>
            </w:r>
            <w:r w:rsidR="00280692" w:rsidRPr="00BD6C5F">
              <w:fldChar w:fldCharType="separate"/>
            </w:r>
            <w:r w:rsidR="009749A0">
              <w:t>5.1</w:t>
            </w:r>
            <w:r w:rsidR="00280692" w:rsidRPr="00BD6C5F">
              <w:fldChar w:fldCharType="end"/>
            </w:r>
            <w:r w:rsidRPr="00BD6C5F">
              <w:t xml:space="preserve"> of this Schedule;</w:t>
            </w:r>
          </w:p>
        </w:tc>
      </w:tr>
      <w:tr w:rsidR="00BC7DDA" w:rsidRPr="00BD6C5F" w14:paraId="6523556F" w14:textId="77777777" w:rsidTr="00F65C81">
        <w:tc>
          <w:tcPr>
            <w:tcW w:w="3572" w:type="dxa"/>
          </w:tcPr>
          <w:p w14:paraId="3553FE34" w14:textId="166DD1F8" w:rsidR="00BC7DDA" w:rsidRPr="00BD6C5F" w:rsidRDefault="00A4555C" w:rsidP="008B2F9D">
            <w:pPr>
              <w:pStyle w:val="Tabletext"/>
              <w:rPr>
                <w:b/>
                <w:bCs/>
              </w:rPr>
            </w:pPr>
            <w:r w:rsidRPr="00BD6C5F">
              <w:rPr>
                <w:b/>
                <w:bCs/>
              </w:rPr>
              <w:t>“</w:t>
            </w:r>
            <w:r w:rsidR="009B03E9" w:rsidRPr="00BD6C5F">
              <w:rPr>
                <w:b/>
                <w:bCs/>
              </w:rPr>
              <w:t>Monitored Suppliers</w:t>
            </w:r>
            <w:r w:rsidRPr="00BD6C5F">
              <w:rPr>
                <w:b/>
                <w:bCs/>
              </w:rPr>
              <w:t>”</w:t>
            </w:r>
          </w:p>
        </w:tc>
        <w:tc>
          <w:tcPr>
            <w:tcW w:w="5953" w:type="dxa"/>
          </w:tcPr>
          <w:p w14:paraId="724BE87F" w14:textId="0244C140" w:rsidR="00BC7DDA" w:rsidRPr="00BD6C5F" w:rsidRDefault="009B03E9" w:rsidP="008B2F9D">
            <w:pPr>
              <w:pStyle w:val="Tabletext"/>
            </w:pPr>
            <w:r w:rsidRPr="00BD6C5F">
              <w:t xml:space="preserve">means those entities specified at paragraph </w:t>
            </w:r>
            <w:r w:rsidR="00280692" w:rsidRPr="00BD6C5F">
              <w:fldChar w:fldCharType="begin"/>
            </w:r>
            <w:r w:rsidR="00280692" w:rsidRPr="00BD6C5F">
              <w:instrText xml:space="preserve"> REF _Ref98414298 \n \h </w:instrText>
            </w:r>
            <w:r w:rsidR="00AD7DD0" w:rsidRPr="00BD6C5F">
              <w:instrText xml:space="preserve"> \* MERGEFORMAT </w:instrText>
            </w:r>
            <w:r w:rsidR="00280692" w:rsidRPr="00BD6C5F">
              <w:fldChar w:fldCharType="separate"/>
            </w:r>
            <w:r w:rsidR="009749A0">
              <w:t>5.2</w:t>
            </w:r>
            <w:r w:rsidR="00280692" w:rsidRPr="00BD6C5F">
              <w:fldChar w:fldCharType="end"/>
            </w:r>
            <w:r w:rsidRPr="00BD6C5F">
              <w:t xml:space="preserve"> of this Schedule;</w:t>
            </w:r>
          </w:p>
        </w:tc>
      </w:tr>
      <w:tr w:rsidR="00BC7DDA" w:rsidRPr="00BD6C5F" w14:paraId="61F9D68E" w14:textId="77777777" w:rsidTr="00F65C81">
        <w:tc>
          <w:tcPr>
            <w:tcW w:w="3572" w:type="dxa"/>
          </w:tcPr>
          <w:p w14:paraId="3F7EDC9E" w14:textId="2B204BD8" w:rsidR="00BC7DDA" w:rsidRPr="00BD6C5F" w:rsidRDefault="00A4555C" w:rsidP="008B2F9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Rating Agencies</w:t>
            </w:r>
            <w:r w:rsidRPr="00BD6C5F">
              <w:rPr>
                <w:rFonts w:asciiTheme="minorHAnsi" w:hAnsiTheme="minorHAnsi" w:cstheme="minorHAnsi"/>
                <w:b/>
              </w:rPr>
              <w:t>”</w:t>
            </w:r>
          </w:p>
        </w:tc>
        <w:tc>
          <w:tcPr>
            <w:tcW w:w="5953" w:type="dxa"/>
          </w:tcPr>
          <w:p w14:paraId="0BE16C06" w14:textId="102F6F08" w:rsidR="00BC7DDA" w:rsidRPr="00BD6C5F" w:rsidRDefault="009B03E9" w:rsidP="008B2F9D">
            <w:pPr>
              <w:pStyle w:val="Tabletext"/>
              <w:rPr>
                <w:rFonts w:asciiTheme="minorHAnsi" w:hAnsiTheme="minorHAnsi" w:cstheme="minorHAnsi"/>
              </w:rPr>
            </w:pPr>
            <w:r w:rsidRPr="00BD6C5F">
              <w:rPr>
                <w:rFonts w:asciiTheme="minorHAnsi" w:hAnsiTheme="minorHAnsi" w:cstheme="minorHAnsi"/>
              </w:rPr>
              <w:t xml:space="preserve">the rating </w:t>
            </w:r>
            <w:r w:rsidRPr="00BD6C5F">
              <w:t>agencies</w:t>
            </w:r>
            <w:r w:rsidRPr="00BD6C5F">
              <w:rPr>
                <w:rFonts w:asciiTheme="minorHAnsi" w:hAnsiTheme="minorHAnsi" w:cstheme="minorHAnsi"/>
              </w:rPr>
              <w:t xml:space="preserve"> listed in Annex</w:t>
            </w:r>
            <w:r w:rsidR="00A66CDD">
              <w:rPr>
                <w:rFonts w:asciiTheme="minorHAnsi" w:hAnsiTheme="minorHAnsi" w:cstheme="minorHAnsi"/>
              </w:rPr>
              <w:t> </w:t>
            </w:r>
            <w:r w:rsidR="00A66CDD">
              <w:rPr>
                <w:rFonts w:asciiTheme="minorHAnsi" w:hAnsiTheme="minorHAnsi" w:cstheme="minorHAnsi"/>
              </w:rPr>
              <w:fldChar w:fldCharType="begin"/>
            </w:r>
            <w:r w:rsidR="00A66CDD">
              <w:rPr>
                <w:rFonts w:asciiTheme="minorHAnsi" w:hAnsiTheme="minorHAnsi" w:cstheme="minorHAnsi"/>
              </w:rPr>
              <w:instrText xml:space="preserve"> REF Schedule_18_Annex_1 \h </w:instrText>
            </w:r>
            <w:r w:rsidR="00A66CDD">
              <w:rPr>
                <w:rFonts w:asciiTheme="minorHAnsi" w:hAnsiTheme="minorHAnsi" w:cstheme="minorHAnsi"/>
              </w:rPr>
            </w:r>
            <w:r w:rsidR="00A66CDD">
              <w:rPr>
                <w:rFonts w:asciiTheme="minorHAnsi" w:hAnsiTheme="minorHAnsi" w:cstheme="minorHAnsi"/>
              </w:rPr>
              <w:fldChar w:fldCharType="separate"/>
            </w:r>
            <w:r w:rsidR="009749A0" w:rsidRPr="00BD6C5F">
              <w:t>1</w:t>
            </w:r>
            <w:r w:rsidR="00A66CDD">
              <w:rPr>
                <w:rFonts w:asciiTheme="minorHAnsi" w:hAnsiTheme="minorHAnsi" w:cstheme="minorHAnsi"/>
              </w:rPr>
              <w:fldChar w:fldCharType="end"/>
            </w:r>
            <w:r w:rsidRPr="00BD6C5F">
              <w:rPr>
                <w:rFonts w:asciiTheme="minorHAnsi" w:hAnsiTheme="minorHAnsi" w:cstheme="minorHAnsi"/>
              </w:rPr>
              <w:t xml:space="preserve"> of this</w:t>
            </w:r>
            <w:r w:rsidR="00AC5BF1" w:rsidRPr="00BD6C5F">
              <w:rPr>
                <w:rFonts w:asciiTheme="minorHAnsi" w:hAnsiTheme="minorHAnsi" w:cstheme="minorHAnsi"/>
              </w:rPr>
              <w:t xml:space="preserve"> </w:t>
            </w:r>
            <w:r w:rsidRPr="00BD6C5F">
              <w:rPr>
                <w:rFonts w:asciiTheme="minorHAnsi" w:hAnsiTheme="minorHAnsi" w:cstheme="minorHAnsi"/>
              </w:rPr>
              <w:t>Schedule.</w:t>
            </w:r>
          </w:p>
        </w:tc>
      </w:tr>
    </w:tbl>
    <w:p w14:paraId="13188895" w14:textId="63C2FD11" w:rsidR="00BC7DDA" w:rsidRPr="00BD6C5F" w:rsidRDefault="000D48A0" w:rsidP="00C5057A">
      <w:pPr>
        <w:pStyle w:val="Numbered1"/>
      </w:pPr>
      <w:bookmarkStart w:id="846" w:name="_bookmark286"/>
      <w:bookmarkStart w:id="847" w:name="_Ref98414904"/>
      <w:bookmarkEnd w:id="846"/>
      <w:r w:rsidRPr="00BD6C5F">
        <w:lastRenderedPageBreak/>
        <w:t>Warranties and Duty to Notify</w:t>
      </w:r>
      <w:bookmarkEnd w:id="847"/>
    </w:p>
    <w:p w14:paraId="2F3C7899" w14:textId="77777777" w:rsidR="00BC7DDA" w:rsidRPr="00BD6C5F" w:rsidRDefault="009B03E9" w:rsidP="00C70900">
      <w:pPr>
        <w:pStyle w:val="Numbered11"/>
        <w:keepNext/>
        <w:widowControl/>
      </w:pPr>
      <w:r w:rsidRPr="00BD6C5F">
        <w:t>The Supplier warrants and represents to the Authority for the benefit of the Authority that as at the Effective Date:</w:t>
      </w:r>
    </w:p>
    <w:p w14:paraId="3DEB4F76" w14:textId="3D90E81A" w:rsidR="00BC7DDA" w:rsidRPr="00BD6C5F" w:rsidRDefault="009B03E9" w:rsidP="000D48A0">
      <w:pPr>
        <w:pStyle w:val="Numbered111"/>
      </w:pPr>
      <w:r w:rsidRPr="00BD6C5F">
        <w:t xml:space="preserve">the long term credit ratings issued for each entity in the FDE Group by each of the Rating Agencies are as set out in </w:t>
      </w:r>
      <w:r w:rsidR="00A93D47">
        <w:t>Annex </w:t>
      </w:r>
      <w:r w:rsidR="00A93D47">
        <w:fldChar w:fldCharType="begin"/>
      </w:r>
      <w:r w:rsidR="00A93D47">
        <w:instrText xml:space="preserve"> REF Schedule_18_Annex_2 \h </w:instrText>
      </w:r>
      <w:r w:rsidR="00A93D47">
        <w:fldChar w:fldCharType="separate"/>
      </w:r>
      <w:r w:rsidR="009749A0" w:rsidRPr="00BD6C5F">
        <w:t>2</w:t>
      </w:r>
      <w:r w:rsidR="00A93D47">
        <w:fldChar w:fldCharType="end"/>
      </w:r>
      <w:r w:rsidRPr="00BD6C5F">
        <w:t xml:space="preserve"> of this Schedule; and</w:t>
      </w:r>
    </w:p>
    <w:p w14:paraId="07543F75" w14:textId="77777777" w:rsidR="00BC7DDA" w:rsidRPr="00BD6C5F" w:rsidRDefault="009B03E9" w:rsidP="000D48A0">
      <w:pPr>
        <w:pStyle w:val="Numbered111"/>
      </w:pPr>
      <w:r w:rsidRPr="00BD6C5F">
        <w:t>the financial position or, as appropriate, the financial performance of each of the Supplier, Guarantor and Key Sub-contractors satisfies the Financial Target Thresholds.</w:t>
      </w:r>
    </w:p>
    <w:p w14:paraId="461319F6" w14:textId="77777777" w:rsidR="00BC7DDA" w:rsidRPr="00BD6C5F" w:rsidRDefault="009B03E9" w:rsidP="00C5057A">
      <w:pPr>
        <w:pStyle w:val="Numbered11"/>
      </w:pPr>
      <w:r w:rsidRPr="00BD6C5F">
        <w:t>The Supplier shall promptly notify (or shall procure that its auditors promptly notify) the Authority in writing if there is any downgrade in the credit rating issued by any Rating Agency for any entity in the FDE Group (and in any event within 5 Working Days of the occurrence of the downgrade).</w:t>
      </w:r>
    </w:p>
    <w:p w14:paraId="65D7BD85" w14:textId="77777777" w:rsidR="00BC7DDA" w:rsidRPr="00BD6C5F" w:rsidRDefault="009B03E9" w:rsidP="00C70900">
      <w:pPr>
        <w:pStyle w:val="Numbered11"/>
        <w:keepNext/>
      </w:pPr>
      <w:r w:rsidRPr="00BD6C5F">
        <w:t>The Supplier shall:</w:t>
      </w:r>
    </w:p>
    <w:p w14:paraId="208E7847" w14:textId="77777777" w:rsidR="00BC7DDA" w:rsidRPr="00BD6C5F" w:rsidRDefault="009B03E9" w:rsidP="000D48A0">
      <w:pPr>
        <w:pStyle w:val="Numbered111"/>
      </w:pPr>
      <w:r w:rsidRPr="00BD6C5F">
        <w:t>regularly monitor the credit ratings of each entity in the FDE Group with the Rating Agencies;</w:t>
      </w:r>
    </w:p>
    <w:p w14:paraId="14A8F0EC" w14:textId="539B8F76" w:rsidR="00BC7DDA" w:rsidRPr="00BD6C5F" w:rsidRDefault="009B03E9" w:rsidP="000D48A0">
      <w:pPr>
        <w:pStyle w:val="Numbered111"/>
      </w:pPr>
      <w:bookmarkStart w:id="848" w:name="_bookmark287"/>
      <w:bookmarkStart w:id="849" w:name="_Ref98414492"/>
      <w:bookmarkEnd w:id="848"/>
      <w:r w:rsidRPr="00BD6C5F">
        <w:t xml:space="preserve">monitor and report on the Financial Indicators for each entity in the FDE Group against the Financial Target Thresholds at least at the frequency set out for each at Paragraph </w:t>
      </w:r>
      <w:r w:rsidR="00D27E4D" w:rsidRPr="00BD6C5F">
        <w:fldChar w:fldCharType="begin"/>
      </w:r>
      <w:r w:rsidR="00D27E4D" w:rsidRPr="00BD6C5F">
        <w:instrText xml:space="preserve"> REF _Ref98414293 \n \h </w:instrText>
      </w:r>
      <w:r w:rsidR="00AD7DD0" w:rsidRPr="00BD6C5F">
        <w:instrText xml:space="preserve"> \* MERGEFORMAT </w:instrText>
      </w:r>
      <w:r w:rsidR="00D27E4D" w:rsidRPr="00BD6C5F">
        <w:fldChar w:fldCharType="separate"/>
      </w:r>
      <w:r w:rsidR="009749A0">
        <w:t>5.1</w:t>
      </w:r>
      <w:r w:rsidR="00D27E4D" w:rsidRPr="00BD6C5F">
        <w:fldChar w:fldCharType="end"/>
      </w:r>
      <w:r w:rsidRPr="00BD6C5F">
        <w:t xml:space="preserve"> (where specified) and in any event, on a regular basis and no less than once a year within 120 days after the Accounting Reference Date; and</w:t>
      </w:r>
      <w:bookmarkEnd w:id="849"/>
    </w:p>
    <w:p w14:paraId="302F38E5" w14:textId="77777777" w:rsidR="00BC7DDA" w:rsidRPr="00BD6C5F" w:rsidRDefault="009B03E9" w:rsidP="000D48A0">
      <w:pPr>
        <w:pStyle w:val="Numbered111"/>
      </w:pPr>
      <w:bookmarkStart w:id="850" w:name="_bookmark288"/>
      <w:bookmarkStart w:id="851" w:name="_Ref98414847"/>
      <w:bookmarkEnd w:id="850"/>
      <w:r w:rsidRPr="00BD6C5F">
        <w:t>promptly notify (or shall procure that its auditors promptly notify) the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851"/>
    </w:p>
    <w:p w14:paraId="1EA674A6" w14:textId="38315039" w:rsidR="00BC7DDA" w:rsidRPr="00BD6C5F" w:rsidRDefault="009B03E9" w:rsidP="00C5057A">
      <w:pPr>
        <w:pStyle w:val="Numbered11"/>
      </w:pPr>
      <w:r w:rsidRPr="00BD6C5F">
        <w:t xml:space="preserve">For the purposes of determining whether a Financial Distress Event has occurred pursuant to the provisions of Paragraphs </w:t>
      </w:r>
      <w:r w:rsidR="00D27E4D" w:rsidRPr="00BD6C5F">
        <w:fldChar w:fldCharType="begin"/>
      </w:r>
      <w:r w:rsidR="00D27E4D" w:rsidRPr="00BD6C5F">
        <w:instrText xml:space="preserve"> REF _Ref98414466 \w \h </w:instrText>
      </w:r>
      <w:r w:rsidR="00AD7DD0" w:rsidRPr="00BD6C5F">
        <w:instrText xml:space="preserve"> \* MERGEFORMAT </w:instrText>
      </w:r>
      <w:r w:rsidR="00D27E4D" w:rsidRPr="00BD6C5F">
        <w:fldChar w:fldCharType="separate"/>
      </w:r>
      <w:r w:rsidR="009749A0">
        <w:t>3.1.1</w:t>
      </w:r>
      <w:r w:rsidR="00D27E4D" w:rsidRPr="00BD6C5F">
        <w:fldChar w:fldCharType="end"/>
      </w:r>
      <w:r w:rsidRPr="00BD6C5F">
        <w:t xml:space="preserve">, and for the purposes of determining relief under Paragraph </w:t>
      </w:r>
      <w:r w:rsidR="00D27E4D" w:rsidRPr="00BD6C5F">
        <w:fldChar w:fldCharType="begin"/>
      </w:r>
      <w:r w:rsidR="00D27E4D" w:rsidRPr="00BD6C5F">
        <w:instrText xml:space="preserve"> REF _Ref98414478 \n \h </w:instrText>
      </w:r>
      <w:r w:rsidR="00AD7DD0" w:rsidRPr="00BD6C5F">
        <w:instrText xml:space="preserve"> \* MERGEFORMAT </w:instrText>
      </w:r>
      <w:r w:rsidR="00D27E4D" w:rsidRPr="00BD6C5F">
        <w:fldChar w:fldCharType="separate"/>
      </w:r>
      <w:r w:rsidR="009749A0">
        <w:t>7.1</w:t>
      </w:r>
      <w:r w:rsidR="00D27E4D" w:rsidRPr="00BD6C5F">
        <w:fldChar w:fldCharType="end"/>
      </w:r>
      <w:r w:rsidRPr="00BD6C5F">
        <w:t>, the credit rating of an FDE Group entity shall be deemed to have dropped below the applicable Credit Rating Threshold if:</w:t>
      </w:r>
    </w:p>
    <w:p w14:paraId="72D5B468" w14:textId="77777777" w:rsidR="00BC7DDA" w:rsidRPr="00BD6C5F" w:rsidRDefault="009B03E9" w:rsidP="000D48A0">
      <w:pPr>
        <w:pStyle w:val="Numbered111"/>
      </w:pPr>
      <w:r w:rsidRPr="00BD6C5F">
        <w:t>any of the Rating Agencies have given a Credit Rating Level for that entity which is below the applicable Credit Rating Threshold; or</w:t>
      </w:r>
    </w:p>
    <w:p w14:paraId="0B76EB27" w14:textId="3001BA93" w:rsidR="00BC7DDA" w:rsidRPr="00BD6C5F" w:rsidRDefault="009B03E9" w:rsidP="000D48A0">
      <w:pPr>
        <w:pStyle w:val="Numbered111"/>
      </w:pPr>
      <w:r w:rsidRPr="00BD6C5F">
        <w:t xml:space="preserve">a Rating Agency that is specified as holding a Credit Rating for an entity as set out at </w:t>
      </w:r>
      <w:r w:rsidR="00A93D47">
        <w:t>Annex </w:t>
      </w:r>
      <w:r w:rsidR="00A93D47">
        <w:fldChar w:fldCharType="begin"/>
      </w:r>
      <w:r w:rsidR="00A93D47">
        <w:instrText xml:space="preserve"> REF Schedule_18_Annex_2 \h </w:instrText>
      </w:r>
      <w:r w:rsidR="00A93D47">
        <w:fldChar w:fldCharType="separate"/>
      </w:r>
      <w:r w:rsidR="009749A0" w:rsidRPr="00BD6C5F">
        <w:t>2</w:t>
      </w:r>
      <w:r w:rsidR="00A93D47">
        <w:fldChar w:fldCharType="end"/>
      </w:r>
      <w:r w:rsidRPr="00BD6C5F">
        <w:t xml:space="preserve"> of this Schedule ceases to hold a Credit Rating for that entity.</w:t>
      </w:r>
    </w:p>
    <w:p w14:paraId="515ED940" w14:textId="611FCB57" w:rsidR="00BC7DDA" w:rsidRPr="00BD6C5F" w:rsidRDefault="009B03E9" w:rsidP="00C70900">
      <w:pPr>
        <w:pStyle w:val="Numbered11"/>
        <w:keepNext/>
      </w:pPr>
      <w:bookmarkStart w:id="852" w:name="_bookmark289"/>
      <w:bookmarkStart w:id="853" w:name="_Ref141215936"/>
      <w:bookmarkEnd w:id="852"/>
      <w:r w:rsidRPr="00BD6C5F">
        <w:t xml:space="preserve">Each report submitted by the Supplier pursuant to paragraph </w:t>
      </w:r>
      <w:r w:rsidR="00D27E4D" w:rsidRPr="00BD6C5F">
        <w:fldChar w:fldCharType="begin"/>
      </w:r>
      <w:r w:rsidR="00D27E4D" w:rsidRPr="00BD6C5F">
        <w:instrText xml:space="preserve"> REF _Ref98414492 \w \h </w:instrText>
      </w:r>
      <w:r w:rsidR="00AD7DD0" w:rsidRPr="00BD6C5F">
        <w:instrText xml:space="preserve"> \* MERGEFORMAT </w:instrText>
      </w:r>
      <w:r w:rsidR="00D27E4D" w:rsidRPr="00BD6C5F">
        <w:fldChar w:fldCharType="separate"/>
      </w:r>
      <w:r w:rsidR="009749A0">
        <w:t>2.3.2</w:t>
      </w:r>
      <w:r w:rsidR="00D27E4D" w:rsidRPr="00BD6C5F">
        <w:fldChar w:fldCharType="end"/>
      </w:r>
      <w:r w:rsidRPr="00BD6C5F">
        <w:t xml:space="preserve"> shall:</w:t>
      </w:r>
      <w:bookmarkEnd w:id="853"/>
    </w:p>
    <w:p w14:paraId="3EC15F44" w14:textId="77777777" w:rsidR="00BC7DDA" w:rsidRPr="00BD6C5F" w:rsidRDefault="009B03E9" w:rsidP="000D48A0">
      <w:pPr>
        <w:pStyle w:val="Numbered111"/>
      </w:pPr>
      <w:r w:rsidRPr="00BD6C5F">
        <w:t>be a single report with separate sections for each of the FDE Group entities;</w:t>
      </w:r>
    </w:p>
    <w:p w14:paraId="1B708694" w14:textId="77777777" w:rsidR="00BC7DDA" w:rsidRPr="00BD6C5F" w:rsidRDefault="009B03E9" w:rsidP="000D48A0">
      <w:pPr>
        <w:pStyle w:val="Numbered111"/>
      </w:pPr>
      <w:r w:rsidRPr="00BD6C5F">
        <w:t>contain a sufficient level of information to enable the Authority to verify the calculations that have been made in respect of the Financial Indicators;</w:t>
      </w:r>
    </w:p>
    <w:p w14:paraId="46E78B32" w14:textId="77777777" w:rsidR="00BC7DDA" w:rsidRPr="00BD6C5F" w:rsidRDefault="009B03E9" w:rsidP="000D48A0">
      <w:pPr>
        <w:pStyle w:val="Numbered111"/>
      </w:pPr>
      <w:r w:rsidRPr="00BD6C5F">
        <w:lastRenderedPageBreak/>
        <w:t>include key financial and other supporting information (including any accounts data that has been relied on) as separate annexes;</w:t>
      </w:r>
    </w:p>
    <w:p w14:paraId="3BD3D62E" w14:textId="77777777" w:rsidR="00BC7DDA" w:rsidRPr="00BD6C5F" w:rsidRDefault="009B03E9" w:rsidP="000D48A0">
      <w:pPr>
        <w:pStyle w:val="Numbered111"/>
      </w:pPr>
      <w:r w:rsidRPr="00BD6C5F">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48CC7475" w14:textId="77777777" w:rsidR="00BC7DDA" w:rsidRPr="00BD6C5F" w:rsidRDefault="009B03E9" w:rsidP="000D48A0">
      <w:pPr>
        <w:pStyle w:val="Numbered111"/>
      </w:pPr>
      <w:r w:rsidRPr="00BD6C5F">
        <w:t>include a history of the Financial Indicators reported by the Supplier in graph form to enable the Authority to easily analyse and assess the trends in financial performance.</w:t>
      </w:r>
    </w:p>
    <w:p w14:paraId="669C8CDC" w14:textId="49D84281" w:rsidR="00BC7DDA" w:rsidRPr="00BD6C5F" w:rsidRDefault="000D48A0" w:rsidP="00C5057A">
      <w:pPr>
        <w:pStyle w:val="Numbered1"/>
      </w:pPr>
      <w:r w:rsidRPr="00BD6C5F">
        <w:t>Financial Distress Events</w:t>
      </w:r>
    </w:p>
    <w:p w14:paraId="1ED4C464" w14:textId="77777777" w:rsidR="00BC7DDA" w:rsidRPr="00BD6C5F" w:rsidRDefault="009B03E9" w:rsidP="00C70900">
      <w:pPr>
        <w:pStyle w:val="Numbered11"/>
        <w:keepNext/>
      </w:pPr>
      <w:bookmarkStart w:id="854" w:name="_bookmark290"/>
      <w:bookmarkStart w:id="855" w:name="_Ref98257546"/>
      <w:bookmarkEnd w:id="854"/>
      <w:r w:rsidRPr="00BD6C5F">
        <w:t>The following shall be Financial Distress Events:</w:t>
      </w:r>
      <w:bookmarkEnd w:id="855"/>
    </w:p>
    <w:p w14:paraId="637EFC74" w14:textId="77777777" w:rsidR="00BC7DDA" w:rsidRPr="00BD6C5F" w:rsidRDefault="009B03E9" w:rsidP="000D48A0">
      <w:pPr>
        <w:pStyle w:val="Numbered111"/>
      </w:pPr>
      <w:bookmarkStart w:id="856" w:name="_bookmark291"/>
      <w:bookmarkStart w:id="857" w:name="_Ref98414466"/>
      <w:bookmarkEnd w:id="856"/>
      <w:r w:rsidRPr="00BD6C5F">
        <w:t>the credit rating of an FDE Group entity dropping below the applicable Credit Rating Threshold;</w:t>
      </w:r>
      <w:bookmarkEnd w:id="857"/>
    </w:p>
    <w:p w14:paraId="19A7DCF6" w14:textId="77777777" w:rsidR="00BC7DDA" w:rsidRPr="00BD6C5F" w:rsidRDefault="009B03E9" w:rsidP="000D48A0">
      <w:pPr>
        <w:pStyle w:val="Numbered111"/>
      </w:pPr>
      <w:bookmarkStart w:id="858" w:name="_bookmark292"/>
      <w:bookmarkStart w:id="859" w:name="_Ref98414995"/>
      <w:bookmarkEnd w:id="858"/>
      <w:r w:rsidRPr="00BD6C5F">
        <w:t>an FDE Group entity issuing a profits warning to a stock exchange or making any other public announcement, in each case about a material deterioration in its financial position or prospects;</w:t>
      </w:r>
      <w:bookmarkEnd w:id="859"/>
    </w:p>
    <w:p w14:paraId="57D495A5" w14:textId="77777777" w:rsidR="00BC7DDA" w:rsidRPr="00BD6C5F" w:rsidRDefault="009B03E9" w:rsidP="000D48A0">
      <w:pPr>
        <w:pStyle w:val="Numbered111"/>
      </w:pPr>
      <w:r w:rsidRPr="00BD6C5F">
        <w:t>there being a public investigation into improper financial accounting and reporting, suspected fraud or any other impropriety of an FDE Group entity;</w:t>
      </w:r>
    </w:p>
    <w:p w14:paraId="117DB156" w14:textId="77777777" w:rsidR="00BC7DDA" w:rsidRPr="00BD6C5F" w:rsidRDefault="009B03E9" w:rsidP="000D48A0">
      <w:pPr>
        <w:pStyle w:val="Numbered111"/>
      </w:pPr>
      <w:r w:rsidRPr="00BD6C5F">
        <w:t>an FDE Group entity committing a material breach of covenant to its lenders;</w:t>
      </w:r>
    </w:p>
    <w:p w14:paraId="1E08F448" w14:textId="77777777" w:rsidR="00BC7DDA" w:rsidRPr="00BD6C5F" w:rsidRDefault="009B03E9" w:rsidP="000D48A0">
      <w:pPr>
        <w:pStyle w:val="Numbered111"/>
      </w:pPr>
      <w:bookmarkStart w:id="860" w:name="_bookmark293"/>
      <w:bookmarkStart w:id="861" w:name="_Ref98414545"/>
      <w:bookmarkEnd w:id="860"/>
      <w:r w:rsidRPr="00BD6C5F">
        <w:t>a Key Sub-contractor notifying the Authority that the Supplier has not satisfied any material sums properly due under a specified invoice and not subject to a genuine dispute;</w:t>
      </w:r>
      <w:bookmarkEnd w:id="861"/>
    </w:p>
    <w:p w14:paraId="0B6F52CE" w14:textId="11242F45" w:rsidR="00AF051A" w:rsidRPr="00BD6C5F" w:rsidRDefault="00AF051A" w:rsidP="000D48A0">
      <w:pPr>
        <w:pStyle w:val="Numbered111"/>
      </w:pPr>
      <w:r w:rsidRPr="00BD6C5F">
        <w:t>any FDE Group entity extends the filing period for filing its accounts with the Registrar of Companies so that the filing period ends more than 9 months after its accounting reference date without an explanation to the Authority which the Authority (acting reasonably) considers to be adequate;</w:t>
      </w:r>
    </w:p>
    <w:p w14:paraId="34EADB95" w14:textId="711F2384" w:rsidR="00AF051A" w:rsidRPr="00BD6C5F" w:rsidRDefault="00AF051A" w:rsidP="000D48A0">
      <w:pPr>
        <w:pStyle w:val="Numbered111"/>
      </w:pPr>
      <w:bookmarkStart w:id="862" w:name="_Ref98415003"/>
      <w:r w:rsidRPr="00BD6C5F">
        <w:t>any FDE Group entity is late to file its annual accounts without a public notification or an explanation to the Authority which the Authority</w:t>
      </w:r>
      <w:r w:rsidR="002123C0" w:rsidRPr="00BD6C5F">
        <w:t>, acting reasonably,</w:t>
      </w:r>
      <w:r w:rsidRPr="00BD6C5F">
        <w:t xml:space="preserve"> considers to be adequate</w:t>
      </w:r>
      <w:r w:rsidR="00063B22" w:rsidRPr="00BD6C5F">
        <w:t>;</w:t>
      </w:r>
      <w:bookmarkEnd w:id="862"/>
    </w:p>
    <w:p w14:paraId="7CE77155" w14:textId="3C269101" w:rsidR="00063B22" w:rsidRPr="00BD6C5F" w:rsidRDefault="00063B22" w:rsidP="000D48A0">
      <w:pPr>
        <w:pStyle w:val="Numbered111"/>
      </w:pPr>
      <w:r w:rsidRPr="00BD6C5F">
        <w:t>the directors and/or external auditors of any FDE Group entity conclude that a material uncertainty exists in relation to that FDE Group entity</w:t>
      </w:r>
      <w:r w:rsidR="00A4555C" w:rsidRPr="00BD6C5F">
        <w:t>’</w:t>
      </w:r>
      <w:r w:rsidRPr="00BD6C5F">
        <w:t>s going concern in the annual report including in a reasonable but plausible downside scenario. This includes, but is not limited to, commentary about liquidity and trading prospects in the reports from directors or external auditors;</w:t>
      </w:r>
    </w:p>
    <w:p w14:paraId="58901EEF" w14:textId="26E4DC79" w:rsidR="00BC7DDA" w:rsidRPr="00BD6C5F" w:rsidRDefault="009B03E9" w:rsidP="00C70900">
      <w:pPr>
        <w:pStyle w:val="Numbered111"/>
        <w:keepNext/>
      </w:pPr>
      <w:r w:rsidRPr="00BD6C5F">
        <w:t>any of the following:</w:t>
      </w:r>
    </w:p>
    <w:p w14:paraId="30F5F03B" w14:textId="3E537EE0" w:rsidR="00063B22" w:rsidRPr="00BD6C5F" w:rsidRDefault="00063B22" w:rsidP="00F65C81">
      <w:pPr>
        <w:pStyle w:val="Numbered111a"/>
      </w:pPr>
      <w:r w:rsidRPr="00BD6C5F">
        <w:t>any FDE Group entity makes a public announcement which contains adverse commentary with regards to that FDE Group entity</w:t>
      </w:r>
      <w:r w:rsidR="00A4555C" w:rsidRPr="00BD6C5F">
        <w:t>’</w:t>
      </w:r>
      <w:r w:rsidRPr="00BD6C5F">
        <w:t>s liquidity and trading and trading prospects, such as but not limited to, a profit warning or ability to trade as a going concern;</w:t>
      </w:r>
    </w:p>
    <w:p w14:paraId="2BFF9A2E" w14:textId="666B4C12" w:rsidR="00BC7DDA" w:rsidRPr="00BD6C5F" w:rsidRDefault="009B03E9" w:rsidP="000D48A0">
      <w:pPr>
        <w:pStyle w:val="Numbered111a"/>
        <w:rPr>
          <w:lang w:val="en-GB"/>
        </w:rPr>
      </w:pPr>
      <w:r w:rsidRPr="00BD6C5F">
        <w:rPr>
          <w:lang w:val="en-GB"/>
        </w:rPr>
        <w:lastRenderedPageBreak/>
        <w:t>commencement of any litigation against an FDE Group entity with respect to financial indebtedness greater than £5m or obligations under a service contract with a total contract value greater than £5m;</w:t>
      </w:r>
    </w:p>
    <w:p w14:paraId="07CAAB02" w14:textId="77777777" w:rsidR="00BC7DDA" w:rsidRPr="00BD6C5F" w:rsidRDefault="009B03E9" w:rsidP="000D48A0">
      <w:pPr>
        <w:pStyle w:val="Numbered111a"/>
        <w:rPr>
          <w:lang w:val="en-GB"/>
        </w:rPr>
      </w:pPr>
      <w:r w:rsidRPr="00BD6C5F">
        <w:rPr>
          <w:lang w:val="en-GB"/>
        </w:rPr>
        <w:t>non-payment by an FDE Group entity of any financial indebtedness;</w:t>
      </w:r>
    </w:p>
    <w:p w14:paraId="3229A8AC" w14:textId="6B1CA99F" w:rsidR="00BC7DDA" w:rsidRPr="00BD6C5F" w:rsidRDefault="009B03E9" w:rsidP="000D48A0">
      <w:pPr>
        <w:pStyle w:val="Numbered111a"/>
        <w:rPr>
          <w:lang w:val="en-GB"/>
        </w:rPr>
      </w:pPr>
      <w:r w:rsidRPr="00BD6C5F">
        <w:rPr>
          <w:lang w:val="en-GB"/>
        </w:rPr>
        <w:t>any financial indebtedness of an FDE Group entity becoming due as a result of an event of default;</w:t>
      </w:r>
    </w:p>
    <w:p w14:paraId="0338A75A" w14:textId="77777777" w:rsidR="00BC7DDA" w:rsidRPr="00BD6C5F" w:rsidRDefault="009B03E9" w:rsidP="000D48A0">
      <w:pPr>
        <w:pStyle w:val="Numbered111a"/>
        <w:rPr>
          <w:lang w:val="en-GB"/>
        </w:rPr>
      </w:pPr>
      <w:r w:rsidRPr="00BD6C5F">
        <w:rPr>
          <w:lang w:val="en-GB"/>
        </w:rPr>
        <w:t>the cancellation or suspension of any financial indebtedness in respect of an FDE Group entity; or</w:t>
      </w:r>
    </w:p>
    <w:p w14:paraId="2F78EB82" w14:textId="77777777" w:rsidR="00BC7DDA" w:rsidRPr="00BD6C5F" w:rsidRDefault="009B03E9" w:rsidP="000D48A0">
      <w:pPr>
        <w:pStyle w:val="Numbered111a"/>
        <w:rPr>
          <w:lang w:val="en-GB"/>
        </w:rPr>
      </w:pPr>
      <w:r w:rsidRPr="00BD6C5F">
        <w:rPr>
          <w:lang w:val="en-GB"/>
        </w:rPr>
        <w:t>the external auditor of an FDE Group entity expressing a qualified opinion on, or including an emphasis of matter in, its opinion on the statutory accounts of that FDE entity;</w:t>
      </w:r>
    </w:p>
    <w:p w14:paraId="4CEF9C77" w14:textId="7FC13B9C" w:rsidR="00BC7DDA" w:rsidRPr="00BD6C5F" w:rsidRDefault="009B03E9" w:rsidP="002D1243">
      <w:pPr>
        <w:pStyle w:val="BodyText"/>
        <w:spacing w:before="100" w:after="200"/>
        <w:ind w:left="1803"/>
        <w:rPr>
          <w:rFonts w:asciiTheme="minorHAnsi" w:hAnsiTheme="minorHAnsi" w:cstheme="minorHAnsi"/>
        </w:rPr>
      </w:pPr>
      <w:r w:rsidRPr="00BD6C5F">
        <w:rPr>
          <w:rFonts w:asciiTheme="minorHAnsi" w:hAnsiTheme="minorHAnsi" w:cstheme="minorHAnsi"/>
        </w:rPr>
        <w:t xml:space="preserve">in each case which the Authority reasonably believes (or would be likely reasonably to believe) could directly impact on the continued performance and delivery of the Services in accordance with this </w:t>
      </w:r>
      <w:r w:rsidR="00063B22" w:rsidRPr="00BD6C5F">
        <w:rPr>
          <w:rFonts w:asciiTheme="minorHAnsi" w:hAnsiTheme="minorHAnsi" w:cstheme="minorHAnsi"/>
        </w:rPr>
        <w:t>Contract</w:t>
      </w:r>
      <w:r w:rsidRPr="00BD6C5F">
        <w:rPr>
          <w:rFonts w:asciiTheme="minorHAnsi" w:hAnsiTheme="minorHAnsi" w:cstheme="minorHAnsi"/>
        </w:rPr>
        <w:t>; and</w:t>
      </w:r>
    </w:p>
    <w:p w14:paraId="1F526197" w14:textId="7F652F09" w:rsidR="00BC7DDA" w:rsidRPr="00BD6C5F" w:rsidRDefault="009B03E9" w:rsidP="000D48A0">
      <w:pPr>
        <w:pStyle w:val="Numbered111"/>
      </w:pPr>
      <w:bookmarkStart w:id="863" w:name="_bookmark294"/>
      <w:bookmarkEnd w:id="863"/>
      <w:r w:rsidRPr="00BD6C5F">
        <w:t xml:space="preserve">any </w:t>
      </w:r>
      <w:r w:rsidRPr="00C76C8A">
        <w:rPr>
          <w:shd w:val="clear" w:color="auto" w:fill="FFFF00"/>
        </w:rPr>
        <w:t>[one]</w:t>
      </w:r>
      <w:r w:rsidRPr="00BD6C5F">
        <w:t xml:space="preserve"> of the Financial Indicators set out at Paragraph </w:t>
      </w:r>
      <w:r w:rsidR="00D27E4D" w:rsidRPr="00BD6C5F">
        <w:fldChar w:fldCharType="begin"/>
      </w:r>
      <w:r w:rsidR="00D27E4D" w:rsidRPr="00BD6C5F">
        <w:instrText xml:space="preserve"> REF _Ref98414510 \n \h </w:instrText>
      </w:r>
      <w:r w:rsidR="00AD7DD0" w:rsidRPr="00BD6C5F">
        <w:instrText xml:space="preserve"> \* MERGEFORMAT </w:instrText>
      </w:r>
      <w:r w:rsidR="00D27E4D" w:rsidRPr="00BD6C5F">
        <w:fldChar w:fldCharType="separate"/>
      </w:r>
      <w:r w:rsidR="009749A0">
        <w:t>5</w:t>
      </w:r>
      <w:r w:rsidR="00D27E4D" w:rsidRPr="00BD6C5F">
        <w:fldChar w:fldCharType="end"/>
      </w:r>
      <w:r w:rsidRPr="00BD6C5F">
        <w:t xml:space="preserve"> for any of the FDE Group entities failing to meet the required Financial Target Threshold.</w:t>
      </w:r>
    </w:p>
    <w:p w14:paraId="3676A7F6" w14:textId="3EB6B1B9" w:rsidR="00BC7DDA" w:rsidRPr="00BD6C5F" w:rsidRDefault="000D48A0" w:rsidP="00C5057A">
      <w:pPr>
        <w:pStyle w:val="Numbered1"/>
      </w:pPr>
      <w:r w:rsidRPr="00BD6C5F">
        <w:t>Consequences of Financial Distress Events</w:t>
      </w:r>
    </w:p>
    <w:p w14:paraId="01165480" w14:textId="3B793556" w:rsidR="00BC7DDA" w:rsidRPr="00BD6C5F" w:rsidRDefault="009B03E9" w:rsidP="00C5057A">
      <w:pPr>
        <w:pStyle w:val="Numbered11"/>
      </w:pPr>
      <w:bookmarkStart w:id="864" w:name="_bookmark295"/>
      <w:bookmarkStart w:id="865" w:name="_Ref98414674"/>
      <w:bookmarkEnd w:id="864"/>
      <w:r w:rsidRPr="00BD6C5F">
        <w:t xml:space="preserve">Immediately upon notification by the Supplier of a Financial Distress Event (or if the Authority becomes aware of a Financial Distress Event without notification and brings the event to the attention of the Supplier), the Supplier shall have the obligations and the Authority shall have the rights and remedies as set out in Paragraphs </w:t>
      </w:r>
      <w:r w:rsidR="00D27E4D" w:rsidRPr="00BD6C5F">
        <w:fldChar w:fldCharType="begin"/>
      </w:r>
      <w:r w:rsidR="00D27E4D" w:rsidRPr="00BD6C5F">
        <w:instrText xml:space="preserve"> REF _Ref98414524 \n \h </w:instrText>
      </w:r>
      <w:r w:rsidR="00AD7DD0" w:rsidRPr="00BD6C5F">
        <w:instrText xml:space="preserve"> \* MERGEFORMAT </w:instrText>
      </w:r>
      <w:r w:rsidR="00D27E4D" w:rsidRPr="00BD6C5F">
        <w:fldChar w:fldCharType="separate"/>
      </w:r>
      <w:r w:rsidR="009749A0">
        <w:t>4.3</w:t>
      </w:r>
      <w:r w:rsidR="00D27E4D" w:rsidRPr="00BD6C5F">
        <w:fldChar w:fldCharType="end"/>
      </w:r>
      <w:r w:rsidRPr="00BD6C5F">
        <w:t xml:space="preserve"> to </w:t>
      </w:r>
      <w:r w:rsidR="00D27E4D" w:rsidRPr="00BD6C5F">
        <w:fldChar w:fldCharType="begin"/>
      </w:r>
      <w:r w:rsidR="00D27E4D" w:rsidRPr="00BD6C5F">
        <w:instrText xml:space="preserve"> REF _Ref98414533 \n \h </w:instrText>
      </w:r>
      <w:r w:rsidR="00AD7DD0" w:rsidRPr="00BD6C5F">
        <w:instrText xml:space="preserve"> \* MERGEFORMAT </w:instrText>
      </w:r>
      <w:r w:rsidR="00D27E4D" w:rsidRPr="00BD6C5F">
        <w:fldChar w:fldCharType="separate"/>
      </w:r>
      <w:r w:rsidR="009749A0">
        <w:t>4.6</w:t>
      </w:r>
      <w:r w:rsidR="00D27E4D" w:rsidRPr="00BD6C5F">
        <w:fldChar w:fldCharType="end"/>
      </w:r>
      <w:r w:rsidRPr="00BD6C5F">
        <w:t>.</w:t>
      </w:r>
      <w:bookmarkEnd w:id="865"/>
    </w:p>
    <w:p w14:paraId="50B45497" w14:textId="47357279" w:rsidR="00BC7DDA" w:rsidRPr="00BD6C5F" w:rsidRDefault="009B03E9" w:rsidP="00C70900">
      <w:pPr>
        <w:pStyle w:val="Numbered11"/>
        <w:keepNext/>
      </w:pPr>
      <w:r w:rsidRPr="00BD6C5F">
        <w:t xml:space="preserve">In the event of a late or non-payment of a Key Sub-contractor pursuant to Paragraph </w:t>
      </w:r>
      <w:r w:rsidR="00D27E4D" w:rsidRPr="00BD6C5F">
        <w:fldChar w:fldCharType="begin"/>
      </w:r>
      <w:r w:rsidR="00D27E4D" w:rsidRPr="00BD6C5F">
        <w:instrText xml:space="preserve"> REF _Ref98414545 \w \h </w:instrText>
      </w:r>
      <w:r w:rsidR="00AD7DD0" w:rsidRPr="00BD6C5F">
        <w:instrText xml:space="preserve"> \* MERGEFORMAT </w:instrText>
      </w:r>
      <w:r w:rsidR="00D27E4D" w:rsidRPr="00BD6C5F">
        <w:fldChar w:fldCharType="separate"/>
      </w:r>
      <w:r w:rsidR="009749A0">
        <w:t>3.1.5</w:t>
      </w:r>
      <w:r w:rsidR="00D27E4D" w:rsidRPr="00BD6C5F">
        <w:fldChar w:fldCharType="end"/>
      </w:r>
      <w:r w:rsidRPr="00BD6C5F">
        <w:t xml:space="preserve">, the Authority shall not exercise any of its rights or remedies under Paragraph </w:t>
      </w:r>
      <w:r w:rsidR="00D27E4D" w:rsidRPr="00BD6C5F">
        <w:fldChar w:fldCharType="begin"/>
      </w:r>
      <w:r w:rsidR="00D27E4D" w:rsidRPr="00BD6C5F">
        <w:instrText xml:space="preserve"> REF _Ref98414524 \n \h </w:instrText>
      </w:r>
      <w:r w:rsidR="00AD7DD0" w:rsidRPr="00BD6C5F">
        <w:instrText xml:space="preserve"> \* MERGEFORMAT </w:instrText>
      </w:r>
      <w:r w:rsidR="00D27E4D" w:rsidRPr="00BD6C5F">
        <w:fldChar w:fldCharType="separate"/>
      </w:r>
      <w:r w:rsidR="009749A0">
        <w:t>4.3</w:t>
      </w:r>
      <w:r w:rsidR="00D27E4D" w:rsidRPr="00BD6C5F">
        <w:fldChar w:fldCharType="end"/>
      </w:r>
      <w:r w:rsidRPr="00BD6C5F">
        <w:t xml:space="preserve"> without first giving the Supplier 10 Working Days to:</w:t>
      </w:r>
    </w:p>
    <w:p w14:paraId="311E1780" w14:textId="77777777" w:rsidR="00BC7DDA" w:rsidRPr="00BD6C5F" w:rsidRDefault="009B03E9" w:rsidP="000D48A0">
      <w:pPr>
        <w:pStyle w:val="Numbered111"/>
      </w:pPr>
      <w:r w:rsidRPr="00BD6C5F">
        <w:t>rectify such late or non-payment; or</w:t>
      </w:r>
    </w:p>
    <w:p w14:paraId="6A7844FE" w14:textId="72CFAF04" w:rsidR="00BC7DDA" w:rsidRPr="00BD6C5F" w:rsidRDefault="009B03E9" w:rsidP="000D48A0">
      <w:pPr>
        <w:pStyle w:val="Numbered111"/>
      </w:pPr>
      <w:r w:rsidRPr="00BD6C5F">
        <w:t>demonstrate to the Authority</w:t>
      </w:r>
      <w:r w:rsidR="00A4555C" w:rsidRPr="00BD6C5F">
        <w:t>’</w:t>
      </w:r>
      <w:r w:rsidRPr="00BD6C5F">
        <w:t>s reasonable satisfaction that there is a valid reason for late or non-payment.</w:t>
      </w:r>
    </w:p>
    <w:p w14:paraId="22FBA6A8" w14:textId="77777777" w:rsidR="00BC7DDA" w:rsidRPr="00BD6C5F" w:rsidRDefault="009B03E9" w:rsidP="00C70900">
      <w:pPr>
        <w:pStyle w:val="Numbered11"/>
        <w:keepNext/>
      </w:pPr>
      <w:bookmarkStart w:id="866" w:name="_bookmark296"/>
      <w:bookmarkStart w:id="867" w:name="_Ref98414524"/>
      <w:bookmarkEnd w:id="866"/>
      <w:r w:rsidRPr="00BD6C5F">
        <w:t>The Supplier shall (and shall procure that any Monitored Supplier, the Guarantor and/or any relevant Key Sub-contractor shall):</w:t>
      </w:r>
      <w:bookmarkEnd w:id="867"/>
    </w:p>
    <w:p w14:paraId="2B354177" w14:textId="3318BE6B" w:rsidR="00BC7DDA" w:rsidRPr="00BD6C5F" w:rsidRDefault="009B03E9" w:rsidP="000D48A0">
      <w:pPr>
        <w:pStyle w:val="Numbered111"/>
      </w:pPr>
      <w:bookmarkStart w:id="868" w:name="_bookmark297"/>
      <w:bookmarkStart w:id="869" w:name="_Ref98414572"/>
      <w:bookmarkEnd w:id="868"/>
      <w:r w:rsidRPr="00BD6C5F">
        <w:t xml:space="preserve">at the request of the Authority, meet the Authority as soon as reasonably practicable (and in any event within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w:t>
      </w:r>
      <w:r w:rsidR="00F93226" w:rsidRPr="00BD6C5F">
        <w:t>Contract</w:t>
      </w:r>
      <w:r w:rsidRPr="00BD6C5F">
        <w:t>; and</w:t>
      </w:r>
      <w:bookmarkEnd w:id="869"/>
    </w:p>
    <w:p w14:paraId="351D422E" w14:textId="7C252563" w:rsidR="00BC7DDA" w:rsidRPr="00BD6C5F" w:rsidRDefault="009B03E9" w:rsidP="000D48A0">
      <w:pPr>
        <w:pStyle w:val="Numbered111"/>
      </w:pPr>
      <w:bookmarkStart w:id="870" w:name="_bookmark298"/>
      <w:bookmarkStart w:id="871" w:name="_Ref141215946"/>
      <w:bookmarkEnd w:id="870"/>
      <w:r w:rsidRPr="00BD6C5F">
        <w:t xml:space="preserve">where the Authority reasonably believes (taking into account the discussions and any representations made under Paragraph </w:t>
      </w:r>
      <w:r w:rsidR="00D27E4D" w:rsidRPr="00BD6C5F">
        <w:fldChar w:fldCharType="begin"/>
      </w:r>
      <w:r w:rsidR="00D27E4D" w:rsidRPr="00BD6C5F">
        <w:instrText xml:space="preserve"> REF _Ref98414572 \w \h </w:instrText>
      </w:r>
      <w:r w:rsidR="00AD7DD0" w:rsidRPr="00BD6C5F">
        <w:instrText xml:space="preserve"> \* MERGEFORMAT </w:instrText>
      </w:r>
      <w:r w:rsidR="00D27E4D" w:rsidRPr="00BD6C5F">
        <w:fldChar w:fldCharType="separate"/>
      </w:r>
      <w:r w:rsidR="009749A0">
        <w:t>4.3.1</w:t>
      </w:r>
      <w:r w:rsidR="00D27E4D" w:rsidRPr="00BD6C5F">
        <w:fldChar w:fldCharType="end"/>
      </w:r>
      <w:r w:rsidRPr="00BD6C5F">
        <w:t xml:space="preserve"> that the Financial Distress Event could impact on the continued performance and delivery of the Services in accordance with this </w:t>
      </w:r>
      <w:r w:rsidR="00F93226" w:rsidRPr="00BD6C5F">
        <w:t>Contract</w:t>
      </w:r>
      <w:r w:rsidRPr="00BD6C5F">
        <w:t>:</w:t>
      </w:r>
      <w:bookmarkEnd w:id="871"/>
    </w:p>
    <w:p w14:paraId="6A1DF770" w14:textId="6D25D077" w:rsidR="00BC7DDA" w:rsidRPr="00BD6C5F" w:rsidRDefault="009B03E9" w:rsidP="00F65C81">
      <w:pPr>
        <w:pStyle w:val="Numbered111a"/>
      </w:pPr>
      <w:r w:rsidRPr="00BD6C5F">
        <w:lastRenderedPageBreak/>
        <w:t xml:space="preserve">submit to the Authority for its approval, a draft Financial Distress Remediation Plan as soon as </w:t>
      </w:r>
      <w:r w:rsidRPr="00F65C81">
        <w:rPr>
          <w:lang w:val="en-GB"/>
        </w:rPr>
        <w:t>reasonably</w:t>
      </w:r>
      <w:r w:rsidRPr="00BD6C5F">
        <w:t xml:space="preserve"> practicable (and in any event, within 10 Working Days of the initial notification (or awareness) of the Financial Distress Event or such other period as the Authority may permit and notify to the Supplier in writing); and</w:t>
      </w:r>
    </w:p>
    <w:p w14:paraId="1AAA6D30" w14:textId="62759E20" w:rsidR="00BC7DDA" w:rsidRPr="00BD6C5F" w:rsidRDefault="009B03E9" w:rsidP="000D48A0">
      <w:pPr>
        <w:pStyle w:val="Numbered111a"/>
        <w:rPr>
          <w:lang w:val="en-GB"/>
        </w:rPr>
      </w:pPr>
      <w:bookmarkStart w:id="872" w:name="_bookmark299"/>
      <w:bookmarkStart w:id="873" w:name="_Ref98414717"/>
      <w:bookmarkEnd w:id="872"/>
      <w:r w:rsidRPr="00BD6C5F">
        <w:rPr>
          <w:lang w:val="en-GB"/>
        </w:rPr>
        <w:t xml:space="preserve">to the extent that it is legally permitted to do so and subject to Paragraph </w:t>
      </w:r>
      <w:r w:rsidR="00D27E4D" w:rsidRPr="00BD6C5F">
        <w:rPr>
          <w:lang w:val="en-GB"/>
        </w:rPr>
        <w:fldChar w:fldCharType="begin"/>
      </w:r>
      <w:r w:rsidR="00D27E4D" w:rsidRPr="00BD6C5F">
        <w:rPr>
          <w:lang w:val="en-GB"/>
        </w:rPr>
        <w:instrText xml:space="preserve"> REF _Ref98414612 \w \h </w:instrText>
      </w:r>
      <w:r w:rsidR="001F06F8" w:rsidRPr="00BD6C5F">
        <w:rPr>
          <w:lang w:val="en-GB"/>
        </w:rPr>
        <w:instrText xml:space="preserve"> \* MERGEFORMAT </w:instrText>
      </w:r>
      <w:r w:rsidR="00D27E4D" w:rsidRPr="00BD6C5F">
        <w:rPr>
          <w:lang w:val="en-GB"/>
        </w:rPr>
      </w:r>
      <w:r w:rsidR="00D27E4D" w:rsidRPr="00BD6C5F">
        <w:rPr>
          <w:lang w:val="en-GB"/>
        </w:rPr>
        <w:fldChar w:fldCharType="separate"/>
      </w:r>
      <w:r w:rsidR="009749A0">
        <w:rPr>
          <w:lang w:val="en-GB"/>
        </w:rPr>
        <w:t>4.8</w:t>
      </w:r>
      <w:r w:rsidR="00D27E4D" w:rsidRPr="00BD6C5F">
        <w:rPr>
          <w:lang w:val="en-GB"/>
        </w:rPr>
        <w:fldChar w:fldCharType="end"/>
      </w:r>
      <w:r w:rsidRPr="00BD6C5F">
        <w:rPr>
          <w:lang w:val="en-GB"/>
        </w:rPr>
        <w:t>, provide such information relating to the Supplier, any Monitored Supplier, Key Sub-contractors and/or the Guarantor as the Authority may reasonably require in order to understand the risk to the Services, which may include forecasts in relation to cash flow, orders and profits and details of financial measures being considered to mitigate the impact of the Financial Distress Event.</w:t>
      </w:r>
      <w:bookmarkEnd w:id="873"/>
    </w:p>
    <w:p w14:paraId="28DD8E3D" w14:textId="289FCD01" w:rsidR="008C4B42" w:rsidRPr="00BD6C5F" w:rsidRDefault="009B03E9" w:rsidP="00C5057A">
      <w:pPr>
        <w:pStyle w:val="Numbered11"/>
      </w:pPr>
      <w:bookmarkStart w:id="874" w:name="_bookmark300"/>
      <w:bookmarkStart w:id="875" w:name="_Ref98414645"/>
      <w:bookmarkEnd w:id="874"/>
      <w:r w:rsidRPr="00BD6C5F">
        <w:t xml:space="preserve">The Authority shall not withhold its approval of a draft Financial Distress Remediation Plan unreasonably. If the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Authority within 5 Working Days of the rejection of the first draft. This process shall be repeated until the Financial Distress Remediation Plan is </w:t>
      </w:r>
      <w:r w:rsidR="008C4B42" w:rsidRPr="00BD6C5F">
        <w:t>either:</w:t>
      </w:r>
      <w:bookmarkEnd w:id="875"/>
    </w:p>
    <w:p w14:paraId="60CBE11A" w14:textId="2A863AE4" w:rsidR="008C4B42" w:rsidRPr="00BD6C5F" w:rsidRDefault="009B03E9" w:rsidP="000D48A0">
      <w:pPr>
        <w:pStyle w:val="Numbered111"/>
      </w:pPr>
      <w:r w:rsidRPr="00BD6C5F">
        <w:t>approved by the Authority</w:t>
      </w:r>
      <w:r w:rsidR="0086305B" w:rsidRPr="00BD6C5F">
        <w:t>;</w:t>
      </w:r>
      <w:r w:rsidRPr="00BD6C5F">
        <w:t xml:space="preserve"> </w:t>
      </w:r>
    </w:p>
    <w:p w14:paraId="7A3F4949" w14:textId="69C81F82" w:rsidR="008C4B42" w:rsidRPr="00BD6C5F" w:rsidRDefault="009B03E9" w:rsidP="000D48A0">
      <w:pPr>
        <w:pStyle w:val="Numbered111"/>
      </w:pPr>
      <w:r w:rsidRPr="00BD6C5F">
        <w:t xml:space="preserve">referred </w:t>
      </w:r>
      <w:r w:rsidR="008C4B42" w:rsidRPr="00BD6C5F">
        <w:t xml:space="preserve">by notice sent by either Party to the other Party explaining why it thinks the Financial Distress Remediation Plan has not been approved, to commercial negotiation led by senior representatives who have authority to agree the Financial Distress Remediation Plan to be held within 28 days of the date of the notice; or </w:t>
      </w:r>
    </w:p>
    <w:p w14:paraId="172B9AB0" w14:textId="51977A0A" w:rsidR="00BC7DDA" w:rsidRPr="00BD6C5F" w:rsidRDefault="008C4B42" w:rsidP="000D48A0">
      <w:pPr>
        <w:pStyle w:val="Numbered111"/>
      </w:pPr>
      <w:r w:rsidRPr="00BD6C5F">
        <w:t xml:space="preserve">finally rejected by the </w:t>
      </w:r>
      <w:r w:rsidR="0086305B" w:rsidRPr="00BD6C5F">
        <w:t>A</w:t>
      </w:r>
      <w:r w:rsidRPr="00BD6C5F">
        <w:t>uthority</w:t>
      </w:r>
      <w:r w:rsidR="009B03E9" w:rsidRPr="00BD6C5F">
        <w:t>.</w:t>
      </w:r>
    </w:p>
    <w:p w14:paraId="1025019E" w14:textId="77777777" w:rsidR="00BC7DDA" w:rsidRPr="00BD6C5F" w:rsidRDefault="009B03E9" w:rsidP="00C70900">
      <w:pPr>
        <w:pStyle w:val="Numbered11"/>
        <w:keepNext/>
      </w:pPr>
      <w:bookmarkStart w:id="876" w:name="_bookmark301"/>
      <w:bookmarkStart w:id="877" w:name="_bookmark302"/>
      <w:bookmarkStart w:id="878" w:name="_Ref98414651"/>
      <w:bookmarkEnd w:id="876"/>
      <w:bookmarkEnd w:id="877"/>
      <w:r w:rsidRPr="00BD6C5F">
        <w:t>Following approval of the Financial Distress Remediation Plan by the Authority, the Supplier shall:</w:t>
      </w:r>
      <w:bookmarkEnd w:id="878"/>
    </w:p>
    <w:p w14:paraId="76BBCF1B" w14:textId="77777777" w:rsidR="00BC7DDA" w:rsidRPr="00BD6C5F" w:rsidRDefault="009B03E9" w:rsidP="00C70900">
      <w:pPr>
        <w:pStyle w:val="Numbered111"/>
        <w:keepNext/>
      </w:pPr>
      <w:bookmarkStart w:id="879" w:name="_bookmark303"/>
      <w:bookmarkStart w:id="880" w:name="_Ref98414636"/>
      <w:bookmarkEnd w:id="879"/>
      <w:r w:rsidRPr="00BD6C5F">
        <w:t>on a regular basis (which shall not be less than fortnightly):</w:t>
      </w:r>
      <w:bookmarkEnd w:id="880"/>
    </w:p>
    <w:p w14:paraId="1E052E4E" w14:textId="7BE66A24" w:rsidR="00BC7DDA" w:rsidRPr="00BD6C5F" w:rsidRDefault="009B03E9" w:rsidP="00F65C81">
      <w:pPr>
        <w:pStyle w:val="Numbered111a"/>
      </w:pPr>
      <w:r w:rsidRPr="00BD6C5F">
        <w:t xml:space="preserve">review and make any updates to the Financial Distress Remediation Plan as the Supplier </w:t>
      </w:r>
      <w:r w:rsidRPr="00F65C81">
        <w:rPr>
          <w:lang w:val="en-GB"/>
        </w:rPr>
        <w:t>may</w:t>
      </w:r>
      <w:r w:rsidRPr="00BD6C5F">
        <w:t xml:space="preserve"> deem reasonably necessary and/or as may be reasonably requested by the Authority, so that the plan remains adequate, up to date and ensures the continued performance and delivery of the Services in accordance with this </w:t>
      </w:r>
      <w:r w:rsidR="008C4B42" w:rsidRPr="00BD6C5F">
        <w:t>Contract</w:t>
      </w:r>
      <w:r w:rsidRPr="00BD6C5F">
        <w:t>; and</w:t>
      </w:r>
    </w:p>
    <w:p w14:paraId="47CE249A" w14:textId="77777777" w:rsidR="00BC7DDA" w:rsidRPr="00BD6C5F" w:rsidRDefault="009B03E9" w:rsidP="000D48A0">
      <w:pPr>
        <w:pStyle w:val="Numbered111a"/>
        <w:rPr>
          <w:lang w:val="en-GB"/>
        </w:rPr>
      </w:pPr>
      <w:r w:rsidRPr="00BD6C5F">
        <w:rPr>
          <w:lang w:val="en-GB"/>
        </w:rPr>
        <w:t>provide a written report to the Authority setting out its progress against the Financial Distress Remediation Plan, the reasons for any changes made to the Financial Distress Remediation Plan by the Supplier and/or the reasons why the Supplier may have decided not to make any changes;</w:t>
      </w:r>
    </w:p>
    <w:p w14:paraId="3980F171" w14:textId="631C58E0" w:rsidR="00BC7DDA" w:rsidRPr="00BD6C5F" w:rsidRDefault="009B03E9" w:rsidP="000D48A0">
      <w:pPr>
        <w:pStyle w:val="Numbered111"/>
      </w:pPr>
      <w:r w:rsidRPr="00BD6C5F">
        <w:t xml:space="preserve">where updates are made to the Financial Distress Remediation Plan in accordance with Paragraph </w:t>
      </w:r>
      <w:r w:rsidR="00D27E4D" w:rsidRPr="00BD6C5F">
        <w:fldChar w:fldCharType="begin"/>
      </w:r>
      <w:r w:rsidR="00D27E4D" w:rsidRPr="00BD6C5F">
        <w:instrText xml:space="preserve"> REF _Ref98414636 \w \h </w:instrText>
      </w:r>
      <w:r w:rsidR="001F06F8" w:rsidRPr="00BD6C5F">
        <w:instrText xml:space="preserve"> \* MERGEFORMAT </w:instrText>
      </w:r>
      <w:r w:rsidR="00D27E4D" w:rsidRPr="00BD6C5F">
        <w:fldChar w:fldCharType="separate"/>
      </w:r>
      <w:r w:rsidR="009749A0">
        <w:t>4.5.1</w:t>
      </w:r>
      <w:r w:rsidR="00D27E4D" w:rsidRPr="00BD6C5F">
        <w:fldChar w:fldCharType="end"/>
      </w:r>
      <w:r w:rsidRPr="00BD6C5F">
        <w:t xml:space="preserve">, submit an updated Financial Distress Remediation Plan to the Authority for its approval, and the provisions of Paragraphs </w:t>
      </w:r>
      <w:r w:rsidR="00D27E4D" w:rsidRPr="00BD6C5F">
        <w:fldChar w:fldCharType="begin"/>
      </w:r>
      <w:r w:rsidR="00D27E4D" w:rsidRPr="00BD6C5F">
        <w:instrText xml:space="preserve"> REF _Ref98414645 \n \h </w:instrText>
      </w:r>
      <w:r w:rsidR="001F06F8" w:rsidRPr="00BD6C5F">
        <w:instrText xml:space="preserve"> \* MERGEFORMAT </w:instrText>
      </w:r>
      <w:r w:rsidR="00D27E4D" w:rsidRPr="00BD6C5F">
        <w:fldChar w:fldCharType="separate"/>
      </w:r>
      <w:r w:rsidR="009749A0">
        <w:t>4.4</w:t>
      </w:r>
      <w:r w:rsidR="00D27E4D" w:rsidRPr="00BD6C5F">
        <w:fldChar w:fldCharType="end"/>
      </w:r>
      <w:r w:rsidRPr="00BD6C5F">
        <w:t xml:space="preserve"> and </w:t>
      </w:r>
      <w:r w:rsidR="00D27E4D" w:rsidRPr="00BD6C5F">
        <w:fldChar w:fldCharType="begin"/>
      </w:r>
      <w:r w:rsidR="00D27E4D" w:rsidRPr="00BD6C5F">
        <w:instrText xml:space="preserve"> REF _Ref98414651 \n \h </w:instrText>
      </w:r>
      <w:r w:rsidR="001F06F8" w:rsidRPr="00BD6C5F">
        <w:instrText xml:space="preserve"> \* MERGEFORMAT </w:instrText>
      </w:r>
      <w:r w:rsidR="00D27E4D" w:rsidRPr="00BD6C5F">
        <w:fldChar w:fldCharType="separate"/>
      </w:r>
      <w:r w:rsidR="009749A0">
        <w:t>4.5</w:t>
      </w:r>
      <w:r w:rsidR="00D27E4D" w:rsidRPr="00BD6C5F">
        <w:fldChar w:fldCharType="end"/>
      </w:r>
      <w:r w:rsidRPr="00BD6C5F">
        <w:t xml:space="preserve"> shall apply to the review and approval process for the </w:t>
      </w:r>
      <w:r w:rsidRPr="00BD6C5F">
        <w:lastRenderedPageBreak/>
        <w:t>updated Financial Distress Remediation Plan; and</w:t>
      </w:r>
    </w:p>
    <w:p w14:paraId="22BB59DD" w14:textId="77777777" w:rsidR="00BC7DDA" w:rsidRPr="00BD6C5F" w:rsidRDefault="009B03E9" w:rsidP="000D48A0">
      <w:pPr>
        <w:pStyle w:val="Numbered111"/>
      </w:pPr>
      <w:bookmarkStart w:id="881" w:name="_bookmark304"/>
      <w:bookmarkStart w:id="882" w:name="_Ref98414894"/>
      <w:bookmarkEnd w:id="881"/>
      <w:r w:rsidRPr="00BD6C5F">
        <w:t>comply with the Financial Distress Remediation Plan (including any updated Financial Distress Remediation Plan) and ensure that it achieves the financial and performance requirements set out in the Financial Distress Remediation Plan.</w:t>
      </w:r>
      <w:bookmarkEnd w:id="882"/>
    </w:p>
    <w:p w14:paraId="087336A6" w14:textId="5887E2DD" w:rsidR="00BC7DDA" w:rsidRPr="00BD6C5F" w:rsidRDefault="009B03E9" w:rsidP="00C5057A">
      <w:pPr>
        <w:pStyle w:val="Numbered11"/>
      </w:pPr>
      <w:bookmarkStart w:id="883" w:name="_Ref98414533"/>
      <w:r w:rsidRPr="00BD6C5F">
        <w:t xml:space="preserve">Where the Supplier reasonably believes that the relevant Financial Distress Event under Paragraph </w:t>
      </w:r>
      <w:r w:rsidR="00D27E4D" w:rsidRPr="00BD6C5F">
        <w:fldChar w:fldCharType="begin"/>
      </w:r>
      <w:r w:rsidR="00D27E4D" w:rsidRPr="00BD6C5F">
        <w:instrText xml:space="preserve"> REF _Ref98414674 \n \h </w:instrText>
      </w:r>
      <w:r w:rsidR="00AD7DD0" w:rsidRPr="00BD6C5F">
        <w:instrText xml:space="preserve"> \* MERGEFORMAT </w:instrText>
      </w:r>
      <w:r w:rsidR="00D27E4D" w:rsidRPr="00BD6C5F">
        <w:fldChar w:fldCharType="separate"/>
      </w:r>
      <w:r w:rsidR="009749A0">
        <w:t>4.1</w:t>
      </w:r>
      <w:r w:rsidR="00D27E4D" w:rsidRPr="00BD6C5F">
        <w:fldChar w:fldCharType="end"/>
      </w:r>
      <w:r w:rsidRPr="00BD6C5F">
        <w:t xml:space="preserve"> (or the circumstance or matter which has caused or otherwise led to it) no longer exists, it shall notify the Authority and the Parties may agree that the Supplier shall be relieved of its obligations under Paragraph </w:t>
      </w:r>
      <w:r w:rsidR="00D27E4D" w:rsidRPr="00BD6C5F">
        <w:fldChar w:fldCharType="begin"/>
      </w:r>
      <w:r w:rsidR="00D27E4D" w:rsidRPr="00BD6C5F">
        <w:instrText xml:space="preserve"> REF _Ref98414510 \n \h </w:instrText>
      </w:r>
      <w:r w:rsidR="00AD7DD0" w:rsidRPr="00BD6C5F">
        <w:instrText xml:space="preserve"> \* MERGEFORMAT </w:instrText>
      </w:r>
      <w:r w:rsidR="00D27E4D" w:rsidRPr="00BD6C5F">
        <w:fldChar w:fldCharType="separate"/>
      </w:r>
      <w:r w:rsidR="009749A0">
        <w:t>5</w:t>
      </w:r>
      <w:r w:rsidR="00D27E4D" w:rsidRPr="00BD6C5F">
        <w:fldChar w:fldCharType="end"/>
      </w:r>
      <w:r w:rsidRPr="00BD6C5F">
        <w:t>.</w:t>
      </w:r>
      <w:bookmarkEnd w:id="883"/>
    </w:p>
    <w:p w14:paraId="47043D18" w14:textId="401F274C" w:rsidR="00BC7DDA" w:rsidRPr="00BD6C5F" w:rsidRDefault="009B03E9" w:rsidP="00C5057A">
      <w:pPr>
        <w:pStyle w:val="Numbered11"/>
      </w:pPr>
      <w:bookmarkStart w:id="884" w:name="_bookmark305"/>
      <w:bookmarkEnd w:id="884"/>
      <w:r w:rsidRPr="00BD6C5F">
        <w:t xml:space="preserve">The Supplier shall use reasonable endeavours to put in place the necessary measures to ensure that the information specified at paragraph </w:t>
      </w:r>
      <w:r w:rsidR="00D27E4D" w:rsidRPr="00BD6C5F">
        <w:fldChar w:fldCharType="begin"/>
      </w:r>
      <w:r w:rsidR="00D27E4D" w:rsidRPr="00BD6C5F">
        <w:instrText xml:space="preserve"> REF _Ref98414717 \w \h </w:instrText>
      </w:r>
      <w:r w:rsidR="00AD7DD0" w:rsidRPr="00BD6C5F">
        <w:instrText xml:space="preserve"> \* MERGEFORMAT </w:instrText>
      </w:r>
      <w:r w:rsidR="00D27E4D" w:rsidRPr="00BD6C5F">
        <w:fldChar w:fldCharType="separate"/>
      </w:r>
      <w:r w:rsidR="009749A0">
        <w:t>4.3.2(b)</w:t>
      </w:r>
      <w:r w:rsidR="00D27E4D" w:rsidRPr="00BD6C5F">
        <w:fldChar w:fldCharType="end"/>
      </w:r>
      <w:r w:rsidRPr="00BD6C5F">
        <w:t xml:space="preserve"> is available when required and on request from the Authority and within reasonable timescales. Such measures may include:</w:t>
      </w:r>
    </w:p>
    <w:p w14:paraId="08A8A3CE" w14:textId="77777777" w:rsidR="00BC7DDA" w:rsidRPr="00BD6C5F" w:rsidRDefault="009B03E9" w:rsidP="000D48A0">
      <w:pPr>
        <w:pStyle w:val="Numbered111"/>
      </w:pPr>
      <w:r w:rsidRPr="00BD6C5F">
        <w:t>obtaining in advance written authority from Key Sub-contractors, the Guarantor and/or Monitored Suppliers authorising the disclosure of the information to the Authority and/or entering into confidentiality agreements which permit disclosure;</w:t>
      </w:r>
    </w:p>
    <w:p w14:paraId="48A0C065" w14:textId="77777777" w:rsidR="00BC7DDA" w:rsidRPr="00BD6C5F" w:rsidRDefault="009B03E9" w:rsidP="000D48A0">
      <w:pPr>
        <w:pStyle w:val="Numbered111"/>
      </w:pPr>
      <w:r w:rsidRPr="00BD6C5F">
        <w:t>agreeing in advance with the Authority, Key Sub-contractors, the Guarantor and/or Monitored Suppliers a form of confidentiality agreement to be entered by the relevant parties to enable the disclosure of the information to the Authority;</w:t>
      </w:r>
    </w:p>
    <w:p w14:paraId="5A01C31F" w14:textId="77777777" w:rsidR="00BC7DDA" w:rsidRPr="00BD6C5F" w:rsidRDefault="009B03E9" w:rsidP="000D48A0">
      <w:pPr>
        <w:pStyle w:val="Numbered111"/>
      </w:pPr>
      <w:r w:rsidRPr="00BD6C5F">
        <w:t>putting in place any other reasonable arrangements to enable the information to be lawfully disclosed to the Authority (which may include making price sensitive information available to Authority nominated personnel through confidential arrangements, subject to their consent); and</w:t>
      </w:r>
    </w:p>
    <w:p w14:paraId="10A773B3" w14:textId="77777777" w:rsidR="00BC7DDA" w:rsidRPr="00BD6C5F" w:rsidRDefault="009B03E9" w:rsidP="000D48A0">
      <w:pPr>
        <w:pStyle w:val="Numbered111"/>
      </w:pPr>
      <w:r w:rsidRPr="00BD6C5F">
        <w:t>disclosing the information to the fullest extent that it is lawfully entitled to do so, including through the use of redaction, anonymisation and any other techniques to permit disclosure of the information without breaching a duty of confidentiality.</w:t>
      </w:r>
    </w:p>
    <w:p w14:paraId="030E620A" w14:textId="2C147C90" w:rsidR="00BC7DDA" w:rsidRPr="00BD6C5F" w:rsidRDefault="000D48A0" w:rsidP="00C5057A">
      <w:pPr>
        <w:pStyle w:val="Numbered1"/>
      </w:pPr>
      <w:bookmarkStart w:id="885" w:name="_bookmark306"/>
      <w:bookmarkStart w:id="886" w:name="_Ref98414510"/>
      <w:bookmarkEnd w:id="885"/>
      <w:r w:rsidRPr="00BD6C5F">
        <w:t>Financial Indicators</w:t>
      </w:r>
      <w:bookmarkEnd w:id="886"/>
    </w:p>
    <w:p w14:paraId="070275AF" w14:textId="7D2F55F7" w:rsidR="00BC7DDA" w:rsidRPr="00BD6C5F" w:rsidRDefault="001619C1" w:rsidP="002D1243">
      <w:pPr>
        <w:spacing w:before="100" w:after="200"/>
        <w:ind w:left="720"/>
      </w:pPr>
      <w:r w:rsidRPr="00BD6C5F">
        <w:rPr>
          <w:highlight w:val="yellow"/>
        </w:rPr>
        <w:t>[</w:t>
      </w:r>
      <w:r w:rsidRPr="004C60F6">
        <w:rPr>
          <w:b/>
          <w:bCs/>
          <w:i/>
          <w:iCs/>
          <w:highlight w:val="yellow"/>
        </w:rPr>
        <w:t xml:space="preserve">Guidance: The Financial Indicators set out in the table at paragraph </w:t>
      </w:r>
      <w:hyperlink w:anchor="_bookmark307" w:history="1">
        <w:r w:rsidRPr="004C60F6">
          <w:rPr>
            <w:rStyle w:val="Hyperlink"/>
            <w:b/>
            <w:bCs/>
            <w:i/>
            <w:iCs/>
            <w:highlight w:val="yellow"/>
          </w:rPr>
          <w:t>5.1</w:t>
        </w:r>
      </w:hyperlink>
      <w:r w:rsidRPr="004C60F6">
        <w:rPr>
          <w:b/>
          <w:bCs/>
          <w:i/>
          <w:iCs/>
          <w:highlight w:val="yellow"/>
        </w:rPr>
        <w:t xml:space="preserve"> are examples of the types of Financial Indicators that you may wish to use in respect of the Supplier</w:t>
      </w:r>
      <w:r w:rsidR="00A4555C" w:rsidRPr="004C60F6">
        <w:rPr>
          <w:b/>
          <w:bCs/>
          <w:i/>
          <w:iCs/>
          <w:highlight w:val="yellow"/>
        </w:rPr>
        <w:t>’</w:t>
      </w:r>
      <w:r w:rsidRPr="004C60F6">
        <w:rPr>
          <w:b/>
          <w:bCs/>
          <w:i/>
          <w:iCs/>
          <w:highlight w:val="yellow"/>
        </w:rPr>
        <w:t>s financial standing. These should be aligned with any financial standing criteria used at the selection stage of the procurement and you may wish to delete or insert different indicators as appropriate. Financial Indicators may be restricted to specific key</w:t>
      </w:r>
      <w:r w:rsidR="00DB2677" w:rsidRPr="004C60F6">
        <w:rPr>
          <w:b/>
          <w:bCs/>
          <w:i/>
          <w:iCs/>
          <w:highlight w:val="yellow"/>
        </w:rPr>
        <w:t xml:space="preserve"> </w:t>
      </w:r>
      <w:r w:rsidR="009B03E9" w:rsidRPr="004C60F6">
        <w:rPr>
          <w:b/>
          <w:bCs/>
          <w:i/>
          <w:iCs/>
          <w:highlight w:val="yellow"/>
        </w:rPr>
        <w:t>indicators rather than including all of the criteria used at the selection stage</w:t>
      </w:r>
      <w:r w:rsidR="009B03E9" w:rsidRPr="00BD6C5F">
        <w:rPr>
          <w:highlight w:val="yellow"/>
        </w:rPr>
        <w:t>]</w:t>
      </w:r>
    </w:p>
    <w:p w14:paraId="0469776C" w14:textId="70606416" w:rsidR="00BC7DDA" w:rsidRPr="00BD6C5F" w:rsidRDefault="009B03E9" w:rsidP="00C5057A">
      <w:pPr>
        <w:pStyle w:val="Numbered11"/>
      </w:pPr>
      <w:bookmarkStart w:id="887" w:name="_bookmark307"/>
      <w:bookmarkStart w:id="888" w:name="_Ref98414293"/>
      <w:bookmarkEnd w:id="887"/>
      <w:r w:rsidRPr="00BD6C5F">
        <w:t xml:space="preserve">Subject to the calculation methodology set out at </w:t>
      </w:r>
      <w:r w:rsidR="00A93D47">
        <w:t>Annex </w:t>
      </w:r>
      <w:r w:rsidR="00A93D47">
        <w:fldChar w:fldCharType="begin"/>
      </w:r>
      <w:r w:rsidR="00A93D47">
        <w:instrText xml:space="preserve"> REF Schedule_18_Annex_3 \h </w:instrText>
      </w:r>
      <w:r w:rsidR="00A93D47">
        <w:fldChar w:fldCharType="separate"/>
      </w:r>
      <w:r w:rsidR="009749A0" w:rsidRPr="00BD6C5F">
        <w:t>3</w:t>
      </w:r>
      <w:r w:rsidR="00A93D47">
        <w:fldChar w:fldCharType="end"/>
      </w:r>
      <w:r w:rsidRPr="00BD6C5F">
        <w:t xml:space="preserve"> of this Schedule, the Financial Indicators and the corresponding calculations and thresholds used to determine whether a Financial Distress Event has occurred in respect of those Financial Indicators, shall be as follows:</w:t>
      </w:r>
      <w:bookmarkEnd w:id="888"/>
    </w:p>
    <w:tbl>
      <w:tblPr>
        <w:tblStyle w:val="MSATable-header"/>
        <w:tblW w:w="9525" w:type="dxa"/>
        <w:tblInd w:w="720" w:type="dxa"/>
        <w:tblLayout w:type="fixed"/>
        <w:tblLook w:val="0620" w:firstRow="1" w:lastRow="0" w:firstColumn="0" w:lastColumn="0" w:noHBand="1" w:noVBand="1"/>
      </w:tblPr>
      <w:tblGrid>
        <w:gridCol w:w="2438"/>
        <w:gridCol w:w="1984"/>
        <w:gridCol w:w="1361"/>
        <w:gridCol w:w="3742"/>
      </w:tblGrid>
      <w:tr w:rsidR="00BC7DDA" w:rsidRPr="00BD6C5F" w14:paraId="062251F1" w14:textId="77777777" w:rsidTr="00CF457A">
        <w:trPr>
          <w:cnfStyle w:val="100000000000" w:firstRow="1" w:lastRow="0" w:firstColumn="0" w:lastColumn="0" w:oddVBand="0" w:evenVBand="0" w:oddHBand="0" w:evenHBand="0" w:firstRowFirstColumn="0" w:firstRowLastColumn="0" w:lastRowFirstColumn="0" w:lastRowLastColumn="0"/>
          <w:tblHeader/>
        </w:trPr>
        <w:tc>
          <w:tcPr>
            <w:tcW w:w="2438" w:type="dxa"/>
          </w:tcPr>
          <w:p w14:paraId="3730B333" w14:textId="77777777" w:rsidR="00BC7DDA" w:rsidRPr="00BD6C5F" w:rsidRDefault="009B03E9" w:rsidP="00CF457A">
            <w:pPr>
              <w:pStyle w:val="Tabletext"/>
              <w:rPr>
                <w:bCs/>
              </w:rPr>
            </w:pPr>
            <w:r w:rsidRPr="00BD6C5F">
              <w:rPr>
                <w:bCs/>
              </w:rPr>
              <w:lastRenderedPageBreak/>
              <w:t>Financial Indicator</w:t>
            </w:r>
          </w:p>
        </w:tc>
        <w:tc>
          <w:tcPr>
            <w:tcW w:w="1984" w:type="dxa"/>
          </w:tcPr>
          <w:p w14:paraId="656C2AD2" w14:textId="77777777" w:rsidR="00BC7DDA" w:rsidRPr="00BD6C5F" w:rsidRDefault="009B03E9" w:rsidP="00CF457A">
            <w:pPr>
              <w:pStyle w:val="Tabletext"/>
              <w:rPr>
                <w:rFonts w:asciiTheme="minorHAnsi" w:hAnsiTheme="minorHAnsi" w:cstheme="minorHAnsi"/>
                <w:bCs/>
              </w:rPr>
            </w:pPr>
            <w:r w:rsidRPr="00BD6C5F">
              <w:rPr>
                <w:rFonts w:asciiTheme="minorHAnsi" w:hAnsiTheme="minorHAnsi" w:cstheme="minorHAnsi"/>
                <w:bCs/>
              </w:rPr>
              <w:t>Calculation</w:t>
            </w:r>
            <w:r w:rsidRPr="00BD6C5F">
              <w:rPr>
                <w:vertAlign w:val="superscript"/>
              </w:rPr>
              <w:t>1</w:t>
            </w:r>
          </w:p>
        </w:tc>
        <w:tc>
          <w:tcPr>
            <w:tcW w:w="1361" w:type="dxa"/>
          </w:tcPr>
          <w:p w14:paraId="64152754" w14:textId="77777777" w:rsidR="00BC7DDA" w:rsidRPr="00BD6C5F" w:rsidRDefault="009B03E9" w:rsidP="00CF457A">
            <w:pPr>
              <w:pStyle w:val="Tabletext"/>
              <w:rPr>
                <w:rFonts w:asciiTheme="minorHAnsi" w:hAnsiTheme="minorHAnsi" w:cstheme="minorHAnsi"/>
                <w:bCs/>
              </w:rPr>
            </w:pPr>
            <w:r w:rsidRPr="00BD6C5F">
              <w:rPr>
                <w:rFonts w:asciiTheme="minorHAnsi" w:hAnsiTheme="minorHAnsi" w:cstheme="minorHAnsi"/>
                <w:bCs/>
              </w:rPr>
              <w:t>Financial Target Threshold:</w:t>
            </w:r>
          </w:p>
        </w:tc>
        <w:tc>
          <w:tcPr>
            <w:tcW w:w="3742" w:type="dxa"/>
          </w:tcPr>
          <w:p w14:paraId="1A92A074" w14:textId="0C5FDD1D" w:rsidR="00BC7DDA" w:rsidRPr="00BD6C5F" w:rsidRDefault="009B03E9" w:rsidP="00CF457A">
            <w:pPr>
              <w:pStyle w:val="Tabletext"/>
              <w:rPr>
                <w:rFonts w:asciiTheme="minorHAnsi" w:hAnsiTheme="minorHAnsi" w:cstheme="minorHAnsi"/>
                <w:bCs/>
              </w:rPr>
            </w:pPr>
            <w:r w:rsidRPr="00BD6C5F">
              <w:rPr>
                <w:rFonts w:asciiTheme="minorHAnsi" w:hAnsiTheme="minorHAnsi" w:cstheme="minorHAnsi"/>
                <w:bCs/>
              </w:rPr>
              <w:t xml:space="preserve">Monitoring and Reporting Frequency </w:t>
            </w:r>
            <w:r w:rsidRPr="00C76C8A">
              <w:rPr>
                <w:rFonts w:asciiTheme="minorHAnsi" w:hAnsiTheme="minorHAnsi" w:cstheme="minorHAnsi"/>
                <w:b w:val="0"/>
                <w:highlight w:val="yellow"/>
                <w:shd w:val="clear" w:color="auto" w:fill="FFFF00"/>
              </w:rPr>
              <w:t>[if</w:t>
            </w:r>
            <w:r w:rsidRPr="00C76C8A">
              <w:rPr>
                <w:rFonts w:asciiTheme="minorHAnsi" w:hAnsiTheme="minorHAnsi" w:cstheme="minorHAnsi"/>
                <w:b w:val="0"/>
                <w:highlight w:val="yellow"/>
              </w:rPr>
              <w:t xml:space="preserve"> </w:t>
            </w:r>
            <w:r w:rsidRPr="00C76C8A">
              <w:rPr>
                <w:rFonts w:asciiTheme="minorHAnsi" w:hAnsiTheme="minorHAnsi" w:cstheme="minorHAnsi"/>
                <w:b w:val="0"/>
                <w:highlight w:val="yellow"/>
                <w:shd w:val="clear" w:color="auto" w:fill="FFFF00"/>
              </w:rPr>
              <w:t>different from the default</w:t>
            </w:r>
            <w:r w:rsidRPr="00C76C8A">
              <w:rPr>
                <w:rFonts w:asciiTheme="minorHAnsi" w:hAnsiTheme="minorHAnsi" w:cstheme="minorHAnsi"/>
                <w:b w:val="0"/>
                <w:highlight w:val="yellow"/>
              </w:rPr>
              <w:t xml:space="preserve"> </w:t>
            </w:r>
            <w:r w:rsidRPr="00C76C8A">
              <w:rPr>
                <w:rFonts w:asciiTheme="minorHAnsi" w:hAnsiTheme="minorHAnsi" w:cstheme="minorHAnsi"/>
                <w:b w:val="0"/>
                <w:highlight w:val="yellow"/>
                <w:shd w:val="clear" w:color="auto" w:fill="FFFF00"/>
              </w:rPr>
              <w:t>position set out in</w:t>
            </w:r>
            <w:r w:rsidRPr="00C76C8A">
              <w:rPr>
                <w:rFonts w:asciiTheme="minorHAnsi" w:hAnsiTheme="minorHAnsi" w:cstheme="minorHAnsi"/>
                <w:b w:val="0"/>
                <w:highlight w:val="yellow"/>
              </w:rPr>
              <w:t xml:space="preserve"> </w:t>
            </w:r>
            <w:r w:rsidRPr="00C76C8A">
              <w:rPr>
                <w:rFonts w:asciiTheme="minorHAnsi" w:hAnsiTheme="minorHAnsi" w:cstheme="minorHAnsi"/>
                <w:b w:val="0"/>
                <w:highlight w:val="yellow"/>
                <w:shd w:val="clear" w:color="auto" w:fill="FFFF00"/>
              </w:rPr>
              <w:t xml:space="preserve">Paragraph </w:t>
            </w:r>
            <w:r w:rsidR="00D27E4D" w:rsidRPr="00C76C8A">
              <w:rPr>
                <w:rFonts w:asciiTheme="minorHAnsi" w:hAnsiTheme="minorHAnsi" w:cstheme="minorHAnsi"/>
                <w:highlight w:val="yellow"/>
                <w:shd w:val="clear" w:color="auto" w:fill="FFFF00"/>
              </w:rPr>
              <w:fldChar w:fldCharType="begin"/>
            </w:r>
            <w:r w:rsidR="00D27E4D" w:rsidRPr="00C76C8A">
              <w:rPr>
                <w:rFonts w:asciiTheme="minorHAnsi" w:hAnsiTheme="minorHAnsi" w:cstheme="minorHAnsi"/>
                <w:b w:val="0"/>
                <w:highlight w:val="yellow"/>
                <w:shd w:val="clear" w:color="auto" w:fill="FFFF00"/>
              </w:rPr>
              <w:instrText xml:space="preserve"> REF _Ref98414492 \w \h </w:instrText>
            </w:r>
            <w:r w:rsidR="00AD7DD0" w:rsidRPr="00C76C8A">
              <w:rPr>
                <w:rFonts w:asciiTheme="minorHAnsi" w:hAnsiTheme="minorHAnsi" w:cstheme="minorHAnsi"/>
                <w:b w:val="0"/>
                <w:highlight w:val="yellow"/>
                <w:shd w:val="clear" w:color="auto" w:fill="FFFF00"/>
              </w:rPr>
              <w:instrText xml:space="preserve"> \* MERGEFORMAT </w:instrText>
            </w:r>
            <w:r w:rsidR="00D27E4D" w:rsidRPr="00C76C8A">
              <w:rPr>
                <w:rFonts w:asciiTheme="minorHAnsi" w:hAnsiTheme="minorHAnsi" w:cstheme="minorHAnsi"/>
                <w:highlight w:val="yellow"/>
                <w:shd w:val="clear" w:color="auto" w:fill="FFFF00"/>
              </w:rPr>
            </w:r>
            <w:r w:rsidR="00D27E4D" w:rsidRPr="00C76C8A">
              <w:rPr>
                <w:rFonts w:asciiTheme="minorHAnsi" w:hAnsiTheme="minorHAnsi" w:cstheme="minorHAnsi"/>
                <w:highlight w:val="yellow"/>
                <w:shd w:val="clear" w:color="auto" w:fill="FFFF00"/>
              </w:rPr>
              <w:fldChar w:fldCharType="separate"/>
            </w:r>
            <w:r w:rsidR="009749A0">
              <w:rPr>
                <w:rFonts w:asciiTheme="minorHAnsi" w:hAnsiTheme="minorHAnsi" w:cstheme="minorHAnsi"/>
                <w:b w:val="0"/>
                <w:highlight w:val="yellow"/>
                <w:shd w:val="clear" w:color="auto" w:fill="FFFF00"/>
              </w:rPr>
              <w:t>2.3.2</w:t>
            </w:r>
            <w:r w:rsidR="00D27E4D" w:rsidRPr="00C76C8A">
              <w:rPr>
                <w:rFonts w:asciiTheme="minorHAnsi" w:hAnsiTheme="minorHAnsi" w:cstheme="minorHAnsi"/>
                <w:highlight w:val="yellow"/>
                <w:shd w:val="clear" w:color="auto" w:fill="FFFF00"/>
              </w:rPr>
              <w:fldChar w:fldCharType="end"/>
            </w:r>
            <w:r w:rsidRPr="00C76C8A">
              <w:rPr>
                <w:rFonts w:asciiTheme="minorHAnsi" w:hAnsiTheme="minorHAnsi" w:cstheme="minorHAnsi"/>
                <w:b w:val="0"/>
                <w:highlight w:val="yellow"/>
                <w:shd w:val="clear" w:color="auto" w:fill="FFFF00"/>
              </w:rPr>
              <w:t>]</w:t>
            </w:r>
          </w:p>
        </w:tc>
      </w:tr>
      <w:tr w:rsidR="00BC7DDA" w:rsidRPr="00BD6C5F" w14:paraId="5A3E545E" w14:textId="77777777" w:rsidTr="00CF457A">
        <w:tc>
          <w:tcPr>
            <w:tcW w:w="2438" w:type="dxa"/>
          </w:tcPr>
          <w:p w14:paraId="6DAE4F2F"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t>1</w:t>
            </w:r>
          </w:p>
          <w:p w14:paraId="5320A699"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[Operating</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Margin]</w:t>
            </w:r>
          </w:p>
          <w:p w14:paraId="26A42469"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rPr>
              <w:t>OR</w:t>
            </w:r>
          </w:p>
          <w:p w14:paraId="0215880C" w14:textId="7589859D" w:rsidR="00BC7DDA" w:rsidRPr="00BD6C5F" w:rsidRDefault="00CC352A" w:rsidP="00CF457A">
            <w:pPr>
              <w:pStyle w:val="Tabletext"/>
              <w:rPr>
                <w:rFonts w:asciiTheme="minorHAnsi" w:hAnsiTheme="minorHAnsi" w:cstheme="minorHAnsi"/>
                <w:b/>
              </w:rPr>
            </w:pPr>
            <w:r w:rsidRPr="00BD6C5F">
              <w:rPr>
                <w:rFonts w:asciiTheme="minorHAnsi" w:hAnsiTheme="minorHAnsi" w:cstheme="minorHAnsi"/>
                <w:b/>
                <w:highlight w:val="yellow"/>
              </w:rPr>
              <w:t>[The higher of (a) the Operating Margin for the most recent 12 month period and (b) the average Operating Margin for the last two 12 month periods]</w:t>
            </w:r>
          </w:p>
        </w:tc>
        <w:tc>
          <w:tcPr>
            <w:tcW w:w="1984" w:type="dxa"/>
          </w:tcPr>
          <w:p w14:paraId="2F512B32" w14:textId="4F120061"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[Operating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Margin =</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Operating Profit</w:t>
            </w:r>
            <w:r w:rsidR="00CF457A" w:rsidRPr="00BD6C5F">
              <w:rPr>
                <w:rFonts w:asciiTheme="minorHAnsi" w:hAnsiTheme="minorHAnsi" w:cstheme="minorHAnsi"/>
                <w:iCs/>
                <w:shd w:val="clear" w:color="auto" w:fill="FFFF00"/>
              </w:rPr>
              <w:t xml:space="preserve"> </w:t>
            </w:r>
            <w:r w:rsidRPr="00BD6C5F">
              <w:rPr>
                <w:rFonts w:asciiTheme="minorHAnsi" w:hAnsiTheme="minorHAnsi" w:cstheme="minorHAnsi"/>
                <w:iCs/>
                <w:shd w:val="clear" w:color="auto" w:fill="FFFF00"/>
              </w:rPr>
              <w:t>/ Revenue]</w:t>
            </w:r>
          </w:p>
        </w:tc>
        <w:tc>
          <w:tcPr>
            <w:tcW w:w="1361" w:type="dxa"/>
          </w:tcPr>
          <w:p w14:paraId="4B1B0394"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[&gt; [X%]]</w:t>
            </w:r>
          </w:p>
        </w:tc>
        <w:tc>
          <w:tcPr>
            <w:tcW w:w="3742" w:type="dxa"/>
          </w:tcPr>
          <w:p w14:paraId="2D601625"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 xml:space="preserve">Tested and reported </w:t>
            </w:r>
            <w:r w:rsidRPr="00BD6C5F">
              <w:rPr>
                <w:rFonts w:asciiTheme="minorHAnsi" w:hAnsiTheme="minorHAnsi" w:cstheme="minorHAnsi"/>
                <w:iCs/>
                <w:shd w:val="clear" w:color="auto" w:fill="FFFF00"/>
              </w:rPr>
              <w:t>[yearly / half yearly]</w:t>
            </w:r>
            <w:r w:rsidRPr="00BD6C5F">
              <w:rPr>
                <w:rFonts w:asciiTheme="minorHAnsi" w:hAnsiTheme="minorHAnsi" w:cstheme="minorHAnsi"/>
                <w:iCs/>
              </w:rPr>
              <w:t xml:space="preserve"> in arrears within </w:t>
            </w:r>
            <w:r w:rsidRPr="00BD6C5F">
              <w:rPr>
                <w:rFonts w:asciiTheme="minorHAnsi" w:hAnsiTheme="minorHAnsi" w:cstheme="minorHAnsi"/>
                <w:iCs/>
                <w:shd w:val="clear" w:color="auto" w:fill="FFFF00"/>
              </w:rPr>
              <w:t>[120 / 90]</w:t>
            </w:r>
            <w:r w:rsidRPr="00BD6C5F">
              <w:rPr>
                <w:rFonts w:asciiTheme="minorHAnsi" w:hAnsiTheme="minorHAnsi" w:cstheme="minorHAnsi"/>
                <w:iCs/>
              </w:rPr>
              <w:t xml:space="preserve"> days of each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r w:rsidRPr="00BD6C5F">
              <w:rPr>
                <w:rFonts w:asciiTheme="minorHAnsi" w:hAnsiTheme="minorHAnsi" w:cstheme="minorHAnsi"/>
                <w:iCs/>
              </w:rPr>
              <w:t xml:space="preserve"> based upon figures for the 12 months ending on the relevant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p>
        </w:tc>
      </w:tr>
      <w:tr w:rsidR="00BC7DDA" w:rsidRPr="00BD6C5F" w14:paraId="3F3DE365" w14:textId="77777777" w:rsidTr="00CF457A">
        <w:tc>
          <w:tcPr>
            <w:tcW w:w="2438" w:type="dxa"/>
          </w:tcPr>
          <w:p w14:paraId="7AFB13A7"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t>2</w:t>
            </w:r>
          </w:p>
          <w:p w14:paraId="0D2DEA0E"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rPr>
              <w:t>[Free Cash Flow to Net Debt Ratio]</w:t>
            </w:r>
          </w:p>
          <w:p w14:paraId="3578D35C"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rPr>
              <w:t>OR</w:t>
            </w:r>
          </w:p>
          <w:p w14:paraId="775133B4"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rPr>
              <w:t xml:space="preserve">[Net Debt to </w:t>
            </w:r>
            <w:r w:rsidRPr="00BD6C5F">
              <w:rPr>
                <w:rFonts w:asciiTheme="minorHAnsi" w:hAnsiTheme="minorHAnsi" w:cstheme="minorHAnsi"/>
                <w:b/>
                <w:shd w:val="clear" w:color="auto" w:fill="FFFF00"/>
              </w:rPr>
              <w:t>EBITDA Ratio]</w:t>
            </w:r>
          </w:p>
        </w:tc>
        <w:tc>
          <w:tcPr>
            <w:tcW w:w="1984" w:type="dxa"/>
          </w:tcPr>
          <w:p w14:paraId="013984F1"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[Free Cash Flow</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to Net Debt</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Ratio = Free</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Cash Flow / Net</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Debt]</w:t>
            </w:r>
          </w:p>
          <w:p w14:paraId="16ADD178"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OR</w:t>
            </w:r>
          </w:p>
          <w:p w14:paraId="254999C0" w14:textId="77777777" w:rsidR="00BC7DDA" w:rsidRPr="003A5D4B" w:rsidRDefault="009B03E9" w:rsidP="00CF457A">
            <w:pPr>
              <w:pStyle w:val="Tabletext"/>
              <w:rPr>
                <w:rFonts w:asciiTheme="minorHAnsi" w:hAnsiTheme="minorHAnsi" w:cstheme="minorHAnsi"/>
                <w:iCs/>
                <w:lang w:val="nl-NL"/>
              </w:rPr>
            </w:pPr>
            <w:r w:rsidRPr="003A5D4B">
              <w:rPr>
                <w:rFonts w:asciiTheme="minorHAnsi" w:hAnsiTheme="minorHAnsi" w:cstheme="minorHAnsi"/>
                <w:iCs/>
                <w:shd w:val="clear" w:color="auto" w:fill="FFFF00"/>
                <w:lang w:val="nl-NL"/>
              </w:rPr>
              <w:t>[Net Debt to</w:t>
            </w:r>
            <w:r w:rsidRPr="003A5D4B">
              <w:rPr>
                <w:rFonts w:asciiTheme="minorHAnsi" w:hAnsiTheme="minorHAnsi" w:cstheme="minorHAnsi"/>
                <w:iCs/>
                <w:lang w:val="nl-NL"/>
              </w:rPr>
              <w:t xml:space="preserve"> </w:t>
            </w:r>
            <w:r w:rsidRPr="003A5D4B">
              <w:rPr>
                <w:rFonts w:asciiTheme="minorHAnsi" w:hAnsiTheme="minorHAnsi" w:cstheme="minorHAnsi"/>
                <w:iCs/>
                <w:shd w:val="clear" w:color="auto" w:fill="FFFF00"/>
                <w:lang w:val="nl-NL"/>
              </w:rPr>
              <w:t>EBITDA ratio =</w:t>
            </w:r>
            <w:r w:rsidRPr="003A5D4B">
              <w:rPr>
                <w:rFonts w:asciiTheme="minorHAnsi" w:hAnsiTheme="minorHAnsi" w:cstheme="minorHAnsi"/>
                <w:iCs/>
                <w:lang w:val="nl-NL"/>
              </w:rPr>
              <w:t xml:space="preserve"> </w:t>
            </w:r>
            <w:r w:rsidRPr="003A5D4B">
              <w:rPr>
                <w:rFonts w:asciiTheme="minorHAnsi" w:hAnsiTheme="minorHAnsi" w:cstheme="minorHAnsi"/>
                <w:iCs/>
                <w:shd w:val="clear" w:color="auto" w:fill="FFFF00"/>
                <w:lang w:val="nl-NL"/>
              </w:rPr>
              <w:t>Net Debt /</w:t>
            </w:r>
            <w:r w:rsidRPr="003A5D4B">
              <w:rPr>
                <w:rFonts w:asciiTheme="minorHAnsi" w:hAnsiTheme="minorHAnsi" w:cstheme="minorHAnsi"/>
                <w:iCs/>
                <w:lang w:val="nl-NL"/>
              </w:rPr>
              <w:t xml:space="preserve"> </w:t>
            </w:r>
            <w:r w:rsidRPr="003A5D4B">
              <w:rPr>
                <w:rFonts w:asciiTheme="minorHAnsi" w:hAnsiTheme="minorHAnsi" w:cstheme="minorHAnsi"/>
                <w:iCs/>
                <w:shd w:val="clear" w:color="auto" w:fill="FFFF00"/>
                <w:lang w:val="nl-NL"/>
              </w:rPr>
              <w:t>EBITDA]</w:t>
            </w:r>
          </w:p>
        </w:tc>
        <w:tc>
          <w:tcPr>
            <w:tcW w:w="1361" w:type="dxa"/>
          </w:tcPr>
          <w:p w14:paraId="52F91144" w14:textId="77777777" w:rsidR="002D1243"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[&gt; [X%]]</w:t>
            </w:r>
          </w:p>
          <w:p w14:paraId="4C6B22A5" w14:textId="698FF6B9"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OR</w:t>
            </w:r>
          </w:p>
          <w:p w14:paraId="451CF44D"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[&lt; [X]]</w:t>
            </w:r>
            <w:r w:rsidRPr="00BD6C5F">
              <w:rPr>
                <w:rFonts w:asciiTheme="minorHAnsi" w:hAnsiTheme="minorHAnsi" w:cstheme="minorHAnsi"/>
                <w:iCs/>
              </w:rPr>
              <w:t xml:space="preserve"> times</w:t>
            </w:r>
          </w:p>
        </w:tc>
        <w:tc>
          <w:tcPr>
            <w:tcW w:w="3742" w:type="dxa"/>
          </w:tcPr>
          <w:p w14:paraId="02D4F815"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 xml:space="preserve">Tested and reported </w:t>
            </w:r>
            <w:r w:rsidRPr="00BD6C5F">
              <w:rPr>
                <w:rFonts w:asciiTheme="minorHAnsi" w:hAnsiTheme="minorHAnsi" w:cstheme="minorHAnsi"/>
                <w:iCs/>
                <w:shd w:val="clear" w:color="auto" w:fill="FFFF00"/>
              </w:rPr>
              <w:t>[yearly / half yearly]</w:t>
            </w:r>
            <w:r w:rsidRPr="00BD6C5F">
              <w:rPr>
                <w:rFonts w:asciiTheme="minorHAnsi" w:hAnsiTheme="minorHAnsi" w:cstheme="minorHAnsi"/>
                <w:iCs/>
              </w:rPr>
              <w:t xml:space="preserve"> in arrears within </w:t>
            </w:r>
            <w:r w:rsidRPr="00BD6C5F">
              <w:rPr>
                <w:rFonts w:asciiTheme="minorHAnsi" w:hAnsiTheme="minorHAnsi" w:cstheme="minorHAnsi"/>
                <w:iCs/>
                <w:shd w:val="clear" w:color="auto" w:fill="FFFF00"/>
              </w:rPr>
              <w:t>[120 / 90]</w:t>
            </w:r>
            <w:r w:rsidRPr="00BD6C5F">
              <w:rPr>
                <w:rFonts w:asciiTheme="minorHAnsi" w:hAnsiTheme="minorHAnsi" w:cstheme="minorHAnsi"/>
                <w:iCs/>
              </w:rPr>
              <w:t xml:space="preserve"> days of each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r w:rsidRPr="00BD6C5F">
              <w:rPr>
                <w:rFonts w:asciiTheme="minorHAnsi" w:hAnsiTheme="minorHAnsi" w:cstheme="minorHAnsi"/>
                <w:iCs/>
              </w:rPr>
              <w:t xml:space="preserve"> based upon </w:t>
            </w:r>
            <w:r w:rsidRPr="00BD6C5F">
              <w:rPr>
                <w:rFonts w:asciiTheme="minorHAnsi" w:hAnsiTheme="minorHAnsi" w:cstheme="minorHAnsi"/>
                <w:iCs/>
                <w:shd w:val="clear" w:color="auto" w:fill="FFFF00"/>
              </w:rPr>
              <w:t>[Free</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Cash Flow / EBITDA]</w:t>
            </w:r>
            <w:r w:rsidRPr="00BD6C5F">
              <w:rPr>
                <w:rFonts w:asciiTheme="minorHAnsi" w:hAnsiTheme="minorHAnsi" w:cstheme="minorHAnsi"/>
                <w:iCs/>
              </w:rPr>
              <w:t xml:space="preserve"> for the 12 months ending on, and Net Debt at, the relevant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p>
        </w:tc>
      </w:tr>
      <w:tr w:rsidR="00BC7DDA" w:rsidRPr="00BD6C5F" w14:paraId="0B480D5C" w14:textId="77777777" w:rsidTr="00CF457A">
        <w:tc>
          <w:tcPr>
            <w:tcW w:w="2438" w:type="dxa"/>
          </w:tcPr>
          <w:p w14:paraId="1BE62C52"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t>3</w:t>
            </w:r>
          </w:p>
          <w:p w14:paraId="683F0AA5"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[Net Debt + Net</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Pension Deficit to</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EBITDA ratio]</w:t>
            </w:r>
          </w:p>
        </w:tc>
        <w:tc>
          <w:tcPr>
            <w:tcW w:w="1984" w:type="dxa"/>
          </w:tcPr>
          <w:p w14:paraId="6AD96DE5" w14:textId="77777777" w:rsidR="00BC7DDA" w:rsidRPr="00F63080" w:rsidRDefault="009B03E9" w:rsidP="00CF457A">
            <w:pPr>
              <w:pStyle w:val="Tabletext"/>
              <w:rPr>
                <w:rFonts w:asciiTheme="minorHAnsi" w:hAnsiTheme="minorHAnsi" w:cstheme="minorHAnsi"/>
                <w:iCs/>
                <w:lang w:val="nl-NL"/>
              </w:rPr>
            </w:pPr>
            <w:r w:rsidRPr="00F63080">
              <w:rPr>
                <w:rFonts w:asciiTheme="minorHAnsi" w:hAnsiTheme="minorHAnsi" w:cstheme="minorHAnsi"/>
                <w:iCs/>
                <w:shd w:val="clear" w:color="auto" w:fill="FFFF00"/>
                <w:lang w:val="nl-NL"/>
              </w:rPr>
              <w:t>[Net Debt + Net</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Pension Deficit</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to EBITDA Ratio</w:t>
            </w:r>
          </w:p>
          <w:p w14:paraId="3259E8F9" w14:textId="77777777" w:rsidR="00BC7DDA" w:rsidRPr="00F63080" w:rsidRDefault="009B03E9" w:rsidP="00CF457A">
            <w:pPr>
              <w:pStyle w:val="Tabletext"/>
              <w:rPr>
                <w:rFonts w:asciiTheme="minorHAnsi" w:hAnsiTheme="minorHAnsi" w:cstheme="minorHAnsi"/>
                <w:iCs/>
                <w:lang w:val="nl-NL"/>
              </w:rPr>
            </w:pPr>
            <w:r w:rsidRPr="00F63080">
              <w:rPr>
                <w:rFonts w:asciiTheme="minorHAnsi" w:hAnsiTheme="minorHAnsi" w:cstheme="minorHAnsi"/>
                <w:iCs/>
                <w:shd w:val="clear" w:color="auto" w:fill="FFFF00"/>
                <w:lang w:val="nl-NL"/>
              </w:rPr>
              <w:t>= (Net Debt +</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Net Pension</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Deficit) /</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EBITDA]</w:t>
            </w:r>
          </w:p>
        </w:tc>
        <w:tc>
          <w:tcPr>
            <w:tcW w:w="1361" w:type="dxa"/>
          </w:tcPr>
          <w:p w14:paraId="18CE0929"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[&lt; [X]]</w:t>
            </w:r>
            <w:r w:rsidRPr="00BD6C5F">
              <w:rPr>
                <w:rFonts w:asciiTheme="minorHAnsi" w:hAnsiTheme="minorHAnsi" w:cstheme="minorHAnsi"/>
                <w:iCs/>
              </w:rPr>
              <w:t xml:space="preserve"> times</w:t>
            </w:r>
          </w:p>
        </w:tc>
        <w:tc>
          <w:tcPr>
            <w:tcW w:w="3742" w:type="dxa"/>
          </w:tcPr>
          <w:p w14:paraId="33422311"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Tested and reported yearly in arrears within 120 days of each accounting reference date based upon EBITDA for the 12 months ending on, and the Net Debt and Net Pension Deficit at, the relevant accounting reference date</w:t>
            </w:r>
          </w:p>
        </w:tc>
      </w:tr>
      <w:tr w:rsidR="00BC7DDA" w:rsidRPr="00BD6C5F" w14:paraId="66057DAD" w14:textId="77777777" w:rsidTr="00CF457A">
        <w:tc>
          <w:tcPr>
            <w:tcW w:w="2438" w:type="dxa"/>
          </w:tcPr>
          <w:p w14:paraId="66352F27"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t>4</w:t>
            </w:r>
          </w:p>
          <w:p w14:paraId="215ED5DE"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[Net Interest Paid</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Cover]</w:t>
            </w:r>
          </w:p>
        </w:tc>
        <w:tc>
          <w:tcPr>
            <w:tcW w:w="1984" w:type="dxa"/>
          </w:tcPr>
          <w:p w14:paraId="4E3F724D" w14:textId="6C4CFCCD"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[Net Interest</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Paid Cover =</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Earnings Before</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Interest and Tax</w:t>
            </w:r>
            <w:r w:rsidR="001619C1" w:rsidRPr="00BD6C5F">
              <w:rPr>
                <w:rFonts w:asciiTheme="minorHAnsi" w:hAnsiTheme="minorHAnsi" w:cstheme="minorHAnsi"/>
                <w:iCs/>
                <w:shd w:val="clear" w:color="auto" w:fill="FFFF00"/>
              </w:rPr>
              <w:t xml:space="preserve"> / Net Interest</w:t>
            </w:r>
            <w:r w:rsidR="001619C1" w:rsidRPr="00BD6C5F">
              <w:rPr>
                <w:rFonts w:asciiTheme="minorHAnsi" w:hAnsiTheme="minorHAnsi" w:cstheme="minorHAnsi"/>
                <w:iCs/>
              </w:rPr>
              <w:t xml:space="preserve"> </w:t>
            </w:r>
            <w:r w:rsidR="001619C1" w:rsidRPr="00BD6C5F">
              <w:rPr>
                <w:rFonts w:asciiTheme="minorHAnsi" w:hAnsiTheme="minorHAnsi" w:cstheme="minorHAnsi"/>
                <w:iCs/>
                <w:shd w:val="clear" w:color="auto" w:fill="FFFF00"/>
              </w:rPr>
              <w:t>Paid]</w:t>
            </w:r>
          </w:p>
        </w:tc>
        <w:tc>
          <w:tcPr>
            <w:tcW w:w="1361" w:type="dxa"/>
          </w:tcPr>
          <w:p w14:paraId="65A92242"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[&gt; [X]]</w:t>
            </w:r>
            <w:r w:rsidRPr="00BD6C5F">
              <w:rPr>
                <w:rFonts w:asciiTheme="minorHAnsi" w:hAnsiTheme="minorHAnsi" w:cstheme="minorHAnsi"/>
                <w:iCs/>
              </w:rPr>
              <w:t xml:space="preserve"> times</w:t>
            </w:r>
          </w:p>
        </w:tc>
        <w:tc>
          <w:tcPr>
            <w:tcW w:w="3742" w:type="dxa"/>
          </w:tcPr>
          <w:p w14:paraId="24943D6E" w14:textId="242A63B4"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 xml:space="preserve">Tested and reported </w:t>
            </w:r>
            <w:r w:rsidRPr="00BD6C5F">
              <w:rPr>
                <w:rFonts w:asciiTheme="minorHAnsi" w:hAnsiTheme="minorHAnsi" w:cstheme="minorHAnsi"/>
                <w:iCs/>
                <w:shd w:val="clear" w:color="auto" w:fill="FFFF00"/>
              </w:rPr>
              <w:t>[yearly / half yearly]</w:t>
            </w:r>
            <w:r w:rsidRPr="00BD6C5F">
              <w:rPr>
                <w:rFonts w:asciiTheme="minorHAnsi" w:hAnsiTheme="minorHAnsi" w:cstheme="minorHAnsi"/>
                <w:iCs/>
              </w:rPr>
              <w:t xml:space="preserve"> in arrears within </w:t>
            </w:r>
            <w:r w:rsidRPr="00BD6C5F">
              <w:rPr>
                <w:rFonts w:asciiTheme="minorHAnsi" w:hAnsiTheme="minorHAnsi" w:cstheme="minorHAnsi"/>
                <w:iCs/>
                <w:shd w:val="clear" w:color="auto" w:fill="FFFF00"/>
              </w:rPr>
              <w:t>[120 / 90]</w:t>
            </w:r>
            <w:r w:rsidRPr="00BD6C5F">
              <w:rPr>
                <w:rFonts w:asciiTheme="minorHAnsi" w:hAnsiTheme="minorHAnsi" w:cstheme="minorHAnsi"/>
                <w:iCs/>
              </w:rPr>
              <w:t xml:space="preserve"> days of each </w:t>
            </w:r>
            <w:r w:rsidRPr="00BD6C5F">
              <w:rPr>
                <w:rFonts w:asciiTheme="minorHAnsi" w:hAnsiTheme="minorHAnsi" w:cstheme="minorHAnsi"/>
                <w:iCs/>
                <w:shd w:val="clear" w:color="auto" w:fill="FFFF00"/>
              </w:rPr>
              <w:t>[accounting</w:t>
            </w:r>
            <w:r w:rsidR="001619C1" w:rsidRPr="00BD6C5F">
              <w:rPr>
                <w:rFonts w:asciiTheme="minorHAnsi" w:hAnsiTheme="minorHAnsi" w:cstheme="minorHAnsi"/>
                <w:iCs/>
                <w:shd w:val="clear" w:color="auto" w:fill="FFFF00"/>
              </w:rPr>
              <w:t xml:space="preserve"> reference date / half year</w:t>
            </w:r>
            <w:r w:rsidR="001619C1" w:rsidRPr="00BD6C5F">
              <w:rPr>
                <w:rFonts w:asciiTheme="minorHAnsi" w:hAnsiTheme="minorHAnsi" w:cstheme="minorHAnsi"/>
                <w:iCs/>
              </w:rPr>
              <w:t xml:space="preserve"> </w:t>
            </w:r>
            <w:r w:rsidR="001619C1" w:rsidRPr="00BD6C5F">
              <w:rPr>
                <w:rFonts w:asciiTheme="minorHAnsi" w:hAnsiTheme="minorHAnsi" w:cstheme="minorHAnsi"/>
                <w:iCs/>
                <w:shd w:val="clear" w:color="auto" w:fill="FFFF00"/>
              </w:rPr>
              <w:t>end]</w:t>
            </w:r>
            <w:r w:rsidR="001619C1" w:rsidRPr="00BD6C5F">
              <w:rPr>
                <w:rFonts w:asciiTheme="minorHAnsi" w:hAnsiTheme="minorHAnsi" w:cstheme="minorHAnsi"/>
                <w:iCs/>
              </w:rPr>
              <w:t xml:space="preserve"> based upon figures for the 12 months ending on the relevant </w:t>
            </w:r>
            <w:r w:rsidR="001619C1" w:rsidRPr="00BD6C5F">
              <w:rPr>
                <w:rFonts w:asciiTheme="minorHAnsi" w:hAnsiTheme="minorHAnsi" w:cstheme="minorHAnsi"/>
                <w:iCs/>
                <w:shd w:val="clear" w:color="auto" w:fill="FFFF00"/>
              </w:rPr>
              <w:t>[accounting</w:t>
            </w:r>
            <w:r w:rsidR="001619C1" w:rsidRPr="00BD6C5F">
              <w:rPr>
                <w:rFonts w:asciiTheme="minorHAnsi" w:hAnsiTheme="minorHAnsi" w:cstheme="minorHAnsi"/>
                <w:iCs/>
              </w:rPr>
              <w:t xml:space="preserve"> </w:t>
            </w:r>
            <w:r w:rsidR="001619C1" w:rsidRPr="00BD6C5F">
              <w:rPr>
                <w:rFonts w:asciiTheme="minorHAnsi" w:hAnsiTheme="minorHAnsi" w:cstheme="minorHAnsi"/>
                <w:iCs/>
                <w:shd w:val="clear" w:color="auto" w:fill="FFFF00"/>
              </w:rPr>
              <w:t>reference date / half year</w:t>
            </w:r>
            <w:r w:rsidR="001619C1" w:rsidRPr="00BD6C5F">
              <w:rPr>
                <w:rFonts w:asciiTheme="minorHAnsi" w:hAnsiTheme="minorHAnsi" w:cstheme="minorHAnsi"/>
                <w:iCs/>
              </w:rPr>
              <w:t xml:space="preserve"> </w:t>
            </w:r>
            <w:r w:rsidR="001619C1" w:rsidRPr="00BD6C5F">
              <w:rPr>
                <w:rFonts w:asciiTheme="minorHAnsi" w:hAnsiTheme="minorHAnsi" w:cstheme="minorHAnsi"/>
                <w:iCs/>
                <w:shd w:val="clear" w:color="auto" w:fill="FFFF00"/>
              </w:rPr>
              <w:t>end]</w:t>
            </w:r>
          </w:p>
        </w:tc>
      </w:tr>
      <w:tr w:rsidR="00BC7DDA" w:rsidRPr="00BD6C5F" w14:paraId="0D749228" w14:textId="77777777" w:rsidTr="00CF457A">
        <w:tc>
          <w:tcPr>
            <w:tcW w:w="2438" w:type="dxa"/>
          </w:tcPr>
          <w:p w14:paraId="670AD5D0" w14:textId="4E8A525D" w:rsidR="00BC7DDA" w:rsidRPr="00BD6C5F" w:rsidRDefault="00CC72E1" w:rsidP="00CF457A">
            <w:pPr>
              <w:pStyle w:val="Tabletext"/>
              <w:rPr>
                <w:b/>
                <w:bCs/>
              </w:rPr>
            </w:pPr>
            <w:r w:rsidRPr="00BD6C5F">
              <w:rPr>
                <w:b/>
                <w:bCs/>
                <w:noProof/>
              </w:rPr>
              <mc:AlternateContent>
                <mc:Choice Requires="wps">
                  <w:drawing>
                    <wp:anchor distT="0" distB="0" distL="114300" distR="114300" simplePos="0" relativeHeight="255164416" behindDoc="1" locked="0" layoutInCell="1" allowOverlap="1" wp14:anchorId="46E5C9C2" wp14:editId="66CCA50B">
                      <wp:simplePos x="0" y="0"/>
                      <wp:positionH relativeFrom="page">
                        <wp:posOffset>1944370</wp:posOffset>
                      </wp:positionH>
                      <wp:positionV relativeFrom="page">
                        <wp:posOffset>11076940</wp:posOffset>
                      </wp:positionV>
                      <wp:extent cx="1286510" cy="349250"/>
                      <wp:effectExtent l="0" t="0" r="0" b="0"/>
                      <wp:wrapNone/>
                      <wp:docPr id="26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86510" cy="349250"/>
                              </a:xfrm>
                              <a:custGeom>
                                <a:avLst/>
                                <a:gdLst>
                                  <a:gd name="T0" fmla="+- 0 3557 1531"/>
                                  <a:gd name="T1" fmla="*/ T0 w 2026"/>
                                  <a:gd name="T2" fmla="+- 0 8997 8722"/>
                                  <a:gd name="T3" fmla="*/ 8997 h 550"/>
                                  <a:gd name="T4" fmla="+- 0 3387 1531"/>
                                  <a:gd name="T5" fmla="*/ T4 w 2026"/>
                                  <a:gd name="T6" fmla="+- 0 8997 8722"/>
                                  <a:gd name="T7" fmla="*/ 8997 h 550"/>
                                  <a:gd name="T8" fmla="+- 0 3387 1531"/>
                                  <a:gd name="T9" fmla="*/ T8 w 2026"/>
                                  <a:gd name="T10" fmla="+- 0 8722 8722"/>
                                  <a:gd name="T11" fmla="*/ 8722 h 550"/>
                                  <a:gd name="T12" fmla="+- 0 1531 1531"/>
                                  <a:gd name="T13" fmla="*/ T12 w 2026"/>
                                  <a:gd name="T14" fmla="+- 0 8722 8722"/>
                                  <a:gd name="T15" fmla="*/ 8722 h 550"/>
                                  <a:gd name="T16" fmla="+- 0 1531 1531"/>
                                  <a:gd name="T17" fmla="*/ T16 w 2026"/>
                                  <a:gd name="T18" fmla="+- 0 8997 8722"/>
                                  <a:gd name="T19" fmla="*/ 8997 h 550"/>
                                  <a:gd name="T20" fmla="+- 0 1531 1531"/>
                                  <a:gd name="T21" fmla="*/ T20 w 2026"/>
                                  <a:gd name="T22" fmla="+- 0 9272 8722"/>
                                  <a:gd name="T23" fmla="*/ 9272 h 550"/>
                                  <a:gd name="T24" fmla="+- 0 3557 1531"/>
                                  <a:gd name="T25" fmla="*/ T24 w 2026"/>
                                  <a:gd name="T26" fmla="+- 0 9272 8722"/>
                                  <a:gd name="T27" fmla="*/ 9272 h 550"/>
                                  <a:gd name="T28" fmla="+- 0 3557 1531"/>
                                  <a:gd name="T29" fmla="*/ T28 w 2026"/>
                                  <a:gd name="T30" fmla="+- 0 8997 8722"/>
                                  <a:gd name="T31" fmla="*/ 8997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6" h="550">
                                    <a:moveTo>
                                      <a:pt x="2026" y="275"/>
                                    </a:moveTo>
                                    <a:lnTo>
                                      <a:pt x="1856" y="275"/>
                                    </a:lnTo>
                                    <a:lnTo>
                                      <a:pt x="1856" y="0"/>
                                    </a:lnTo>
                                    <a:lnTo>
                                      <a:pt x="0" y="0"/>
                                    </a:lnTo>
                                    <a:lnTo>
                                      <a:pt x="0" y="275"/>
                                    </a:lnTo>
                                    <a:lnTo>
                                      <a:pt x="0" y="550"/>
                                    </a:lnTo>
                                    <a:lnTo>
                                      <a:pt x="2026" y="550"/>
                                    </a:lnTo>
                                    <a:lnTo>
                                      <a:pt x="2026" y="27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A536A3" id="Freeform 39" o:spid="_x0000_s1026" style="position:absolute;z-index:-248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4pt,885.95pt,245.9pt,885.95pt,245.9pt,872.2pt,153.1pt,872.2pt,153.1pt,885.95pt,153.1pt,899.7pt,254.4pt,899.7pt,254.4pt,885.95pt" coordsize="202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" fillcolor="yellow" stroked="f">
                      <v:path arrowok="t" o:connecttype="custom" o:connectlocs="1286510,5713095;1178560,5713095;1178560,5538470;0,5538470;0,5713095;0,5887720;1286510,5887720;1286510,5713095" o:connectangles="0,0,0,0,0,0,0,0"/>
                      <o:lock v:ext="edit" verticies="t"/>
                      <w10:wrap anchorx="page" anchory="page"/>
                    </v:polyline>
                  </w:pict>
                </mc:Fallback>
              </mc:AlternateContent>
            </w:r>
            <w:r w:rsidR="009B03E9" w:rsidRPr="00BD6C5F">
              <w:rPr>
                <w:b/>
                <w:bCs/>
                <w:w w:val="99"/>
              </w:rPr>
              <w:t>5</w:t>
            </w:r>
          </w:p>
          <w:p w14:paraId="25B98AE5" w14:textId="77777777" w:rsidR="00BC7DDA" w:rsidRPr="00BD6C5F" w:rsidRDefault="009B03E9" w:rsidP="00CF457A">
            <w:pPr>
              <w:pStyle w:val="Tabletext"/>
            </w:pPr>
            <w:r w:rsidRPr="00BD6C5F">
              <w:rPr>
                <w:shd w:val="clear" w:color="auto" w:fill="FFFF00"/>
              </w:rPr>
              <w:lastRenderedPageBreak/>
              <w:t>[Acid Ratio]</w:t>
            </w:r>
          </w:p>
        </w:tc>
        <w:tc>
          <w:tcPr>
            <w:tcW w:w="1984" w:type="dxa"/>
          </w:tcPr>
          <w:p w14:paraId="493E0E7D" w14:textId="3BC7C404" w:rsidR="00BC7DDA" w:rsidRPr="00F63080" w:rsidRDefault="009B03E9" w:rsidP="00CF457A">
            <w:pPr>
              <w:pStyle w:val="Tabletext"/>
              <w:rPr>
                <w:rFonts w:asciiTheme="minorHAnsi" w:hAnsiTheme="minorHAnsi" w:cstheme="minorHAnsi"/>
                <w:iCs/>
                <w:lang w:val="fr-FR"/>
              </w:rPr>
            </w:pPr>
            <w:r w:rsidRPr="00F63080">
              <w:rPr>
                <w:iCs/>
                <w:shd w:val="clear" w:color="auto" w:fill="FFFF00"/>
                <w:lang w:val="fr-FR"/>
              </w:rPr>
              <w:lastRenderedPageBreak/>
              <w:t>[Acid Ratio =</w:t>
            </w:r>
            <w:r w:rsidRPr="00F63080">
              <w:rPr>
                <w:iCs/>
                <w:lang w:val="fr-FR"/>
              </w:rPr>
              <w:t xml:space="preserve"> </w:t>
            </w:r>
            <w:r w:rsidRPr="00F63080">
              <w:rPr>
                <w:iCs/>
                <w:shd w:val="clear" w:color="auto" w:fill="FFFF00"/>
                <w:lang w:val="fr-FR"/>
              </w:rPr>
              <w:t>(Current Assets</w:t>
            </w:r>
            <w:r w:rsidR="00CF457A" w:rsidRPr="00F63080">
              <w:rPr>
                <w:iCs/>
                <w:shd w:val="clear" w:color="auto" w:fill="FFFF00"/>
                <w:lang w:val="fr-FR"/>
              </w:rPr>
              <w:t xml:space="preserve"> </w:t>
            </w:r>
            <w:r w:rsidRPr="00F63080">
              <w:rPr>
                <w:rFonts w:asciiTheme="minorHAnsi" w:hAnsiTheme="minorHAnsi" w:cstheme="minorHAnsi"/>
                <w:iCs/>
                <w:shd w:val="clear" w:color="auto" w:fill="FFFF00"/>
                <w:lang w:val="fr-FR"/>
              </w:rPr>
              <w:t xml:space="preserve">– </w:t>
            </w:r>
            <w:r w:rsidRPr="00F63080">
              <w:rPr>
                <w:rFonts w:asciiTheme="minorHAnsi" w:hAnsiTheme="minorHAnsi" w:cstheme="minorHAnsi"/>
                <w:iCs/>
                <w:shd w:val="clear" w:color="auto" w:fill="FFFF00"/>
                <w:lang w:val="fr-FR"/>
              </w:rPr>
              <w:lastRenderedPageBreak/>
              <w:t>Inventories) / Current Liabilities]</w:t>
            </w:r>
          </w:p>
        </w:tc>
        <w:tc>
          <w:tcPr>
            <w:tcW w:w="1361" w:type="dxa"/>
          </w:tcPr>
          <w:p w14:paraId="720FFB03"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lastRenderedPageBreak/>
              <w:t>[&gt; [X]]</w:t>
            </w:r>
            <w:r w:rsidRPr="00BD6C5F">
              <w:rPr>
                <w:rFonts w:asciiTheme="minorHAnsi" w:hAnsiTheme="minorHAnsi" w:cstheme="minorHAnsi"/>
                <w:iCs/>
              </w:rPr>
              <w:t xml:space="preserve"> times</w:t>
            </w:r>
          </w:p>
        </w:tc>
        <w:tc>
          <w:tcPr>
            <w:tcW w:w="3742" w:type="dxa"/>
          </w:tcPr>
          <w:p w14:paraId="6A1D9F49"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 xml:space="preserve">Tested and reported </w:t>
            </w:r>
            <w:r w:rsidRPr="00BD6C5F">
              <w:rPr>
                <w:rFonts w:asciiTheme="minorHAnsi" w:hAnsiTheme="minorHAnsi" w:cstheme="minorHAnsi"/>
                <w:iCs/>
                <w:shd w:val="clear" w:color="auto" w:fill="FFFF00"/>
              </w:rPr>
              <w:t>[yearly / half yearly]</w:t>
            </w:r>
            <w:r w:rsidRPr="00BD6C5F">
              <w:rPr>
                <w:rFonts w:asciiTheme="minorHAnsi" w:hAnsiTheme="minorHAnsi" w:cstheme="minorHAnsi"/>
                <w:iCs/>
              </w:rPr>
              <w:t xml:space="preserve"> in arrears within </w:t>
            </w:r>
            <w:r w:rsidRPr="00BD6C5F">
              <w:rPr>
                <w:rFonts w:asciiTheme="minorHAnsi" w:hAnsiTheme="minorHAnsi" w:cstheme="minorHAnsi"/>
                <w:iCs/>
                <w:shd w:val="clear" w:color="auto" w:fill="FFFF00"/>
              </w:rPr>
              <w:t>[120 /90]</w:t>
            </w:r>
            <w:r w:rsidRPr="00BD6C5F">
              <w:rPr>
                <w:rFonts w:asciiTheme="minorHAnsi" w:hAnsiTheme="minorHAnsi" w:cstheme="minorHAnsi"/>
                <w:iCs/>
              </w:rPr>
              <w:t xml:space="preserve"> </w:t>
            </w:r>
            <w:r w:rsidRPr="00BD6C5F">
              <w:rPr>
                <w:rFonts w:asciiTheme="minorHAnsi" w:hAnsiTheme="minorHAnsi" w:cstheme="minorHAnsi"/>
                <w:iCs/>
              </w:rPr>
              <w:lastRenderedPageBreak/>
              <w:t xml:space="preserve">days of each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r w:rsidRPr="00BD6C5F">
              <w:rPr>
                <w:rFonts w:asciiTheme="minorHAnsi" w:hAnsiTheme="minorHAnsi" w:cstheme="minorHAnsi"/>
                <w:iCs/>
              </w:rPr>
              <w:t xml:space="preserve"> based upon figures at the relevant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p>
        </w:tc>
      </w:tr>
      <w:tr w:rsidR="00BC7DDA" w:rsidRPr="00BD6C5F" w14:paraId="5442225D" w14:textId="77777777" w:rsidTr="00CF457A">
        <w:tc>
          <w:tcPr>
            <w:tcW w:w="2438" w:type="dxa"/>
          </w:tcPr>
          <w:p w14:paraId="2311926D"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lastRenderedPageBreak/>
              <w:t>6</w:t>
            </w:r>
          </w:p>
          <w:p w14:paraId="742B1D30"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[Net Asset value]</w:t>
            </w:r>
          </w:p>
        </w:tc>
        <w:tc>
          <w:tcPr>
            <w:tcW w:w="1984" w:type="dxa"/>
          </w:tcPr>
          <w:p w14:paraId="6D2382EA" w14:textId="77777777" w:rsidR="00BC7DDA" w:rsidRPr="00F63080" w:rsidRDefault="009B03E9" w:rsidP="00CF457A">
            <w:pPr>
              <w:pStyle w:val="Tabletext"/>
              <w:rPr>
                <w:rFonts w:asciiTheme="minorHAnsi" w:hAnsiTheme="minorHAnsi" w:cstheme="minorHAnsi"/>
                <w:iCs/>
                <w:lang w:val="nl-NL"/>
              </w:rPr>
            </w:pPr>
            <w:r w:rsidRPr="00F63080">
              <w:rPr>
                <w:rFonts w:asciiTheme="minorHAnsi" w:hAnsiTheme="minorHAnsi" w:cstheme="minorHAnsi"/>
                <w:iCs/>
                <w:shd w:val="clear" w:color="auto" w:fill="FFFF00"/>
                <w:lang w:val="nl-NL"/>
              </w:rPr>
              <w:t>[Net Asset</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Value = Net</w:t>
            </w:r>
            <w:r w:rsidRPr="00F63080">
              <w:rPr>
                <w:rFonts w:asciiTheme="minorHAnsi" w:hAnsiTheme="minorHAnsi" w:cstheme="minorHAnsi"/>
                <w:iCs/>
                <w:lang w:val="nl-NL"/>
              </w:rPr>
              <w:t xml:space="preserve"> </w:t>
            </w:r>
            <w:r w:rsidRPr="00F63080">
              <w:rPr>
                <w:rFonts w:asciiTheme="minorHAnsi" w:hAnsiTheme="minorHAnsi" w:cstheme="minorHAnsi"/>
                <w:iCs/>
                <w:shd w:val="clear" w:color="auto" w:fill="FFFF00"/>
                <w:lang w:val="nl-NL"/>
              </w:rPr>
              <w:t>Assets]</w:t>
            </w:r>
          </w:p>
        </w:tc>
        <w:tc>
          <w:tcPr>
            <w:tcW w:w="1361" w:type="dxa"/>
          </w:tcPr>
          <w:p w14:paraId="1021CE35"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[&gt; £0]</w:t>
            </w:r>
          </w:p>
        </w:tc>
        <w:tc>
          <w:tcPr>
            <w:tcW w:w="3742" w:type="dxa"/>
          </w:tcPr>
          <w:p w14:paraId="7BF07EEC"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 xml:space="preserve">Tested and reported </w:t>
            </w:r>
            <w:r w:rsidRPr="00BD6C5F">
              <w:rPr>
                <w:rFonts w:asciiTheme="minorHAnsi" w:hAnsiTheme="minorHAnsi" w:cstheme="minorHAnsi"/>
                <w:iCs/>
                <w:shd w:val="clear" w:color="auto" w:fill="FFFF00"/>
              </w:rPr>
              <w:t>[yearly / half yearly]</w:t>
            </w:r>
            <w:r w:rsidRPr="00BD6C5F">
              <w:rPr>
                <w:rFonts w:asciiTheme="minorHAnsi" w:hAnsiTheme="minorHAnsi" w:cstheme="minorHAnsi"/>
                <w:iCs/>
              </w:rPr>
              <w:t xml:space="preserve"> in arrears within </w:t>
            </w:r>
            <w:r w:rsidRPr="00BD6C5F">
              <w:rPr>
                <w:rFonts w:asciiTheme="minorHAnsi" w:hAnsiTheme="minorHAnsi" w:cstheme="minorHAnsi"/>
                <w:iCs/>
                <w:shd w:val="clear" w:color="auto" w:fill="FFFF00"/>
              </w:rPr>
              <w:t>[120 /90]</w:t>
            </w:r>
            <w:r w:rsidRPr="00BD6C5F">
              <w:rPr>
                <w:rFonts w:asciiTheme="minorHAnsi" w:hAnsiTheme="minorHAnsi" w:cstheme="minorHAnsi"/>
                <w:iCs/>
              </w:rPr>
              <w:t xml:space="preserve"> days of each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r w:rsidRPr="00BD6C5F">
              <w:rPr>
                <w:rFonts w:asciiTheme="minorHAnsi" w:hAnsiTheme="minorHAnsi" w:cstheme="minorHAnsi"/>
                <w:iCs/>
              </w:rPr>
              <w:t xml:space="preserve"> based upon figures at the relevant </w:t>
            </w:r>
            <w:r w:rsidRPr="00BD6C5F">
              <w:rPr>
                <w:rFonts w:asciiTheme="minorHAnsi" w:hAnsiTheme="minorHAnsi" w:cstheme="minorHAnsi"/>
                <w:iCs/>
                <w:shd w:val="clear" w:color="auto" w:fill="FFFF00"/>
              </w:rPr>
              <w:t>[accounting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reference date / half year</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end]</w:t>
            </w:r>
          </w:p>
        </w:tc>
      </w:tr>
      <w:tr w:rsidR="00BC7DDA" w:rsidRPr="00BD6C5F" w14:paraId="34CF4BAB" w14:textId="77777777" w:rsidTr="00CF457A">
        <w:tc>
          <w:tcPr>
            <w:tcW w:w="2438" w:type="dxa"/>
          </w:tcPr>
          <w:p w14:paraId="469A0459"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w w:val="99"/>
              </w:rPr>
              <w:t>7</w:t>
            </w:r>
          </w:p>
          <w:p w14:paraId="1DA5AED0"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[Group Exposure</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Ratio]</w:t>
            </w:r>
          </w:p>
        </w:tc>
        <w:tc>
          <w:tcPr>
            <w:tcW w:w="1984" w:type="dxa"/>
          </w:tcPr>
          <w:p w14:paraId="6AF9ABE5"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[Group</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Exposure /</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Gross Assets]</w:t>
            </w:r>
          </w:p>
        </w:tc>
        <w:tc>
          <w:tcPr>
            <w:tcW w:w="1361" w:type="dxa"/>
          </w:tcPr>
          <w:p w14:paraId="4D2FA837"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[&lt; [X]]%</w:t>
            </w:r>
          </w:p>
        </w:tc>
        <w:tc>
          <w:tcPr>
            <w:tcW w:w="3742" w:type="dxa"/>
          </w:tcPr>
          <w:p w14:paraId="38552092"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rPr>
              <w:t>Tested and reported yearly in arrears within 120 days of each accounting reference date based upon figures at the relevant accounting reference date</w:t>
            </w:r>
          </w:p>
        </w:tc>
      </w:tr>
      <w:tr w:rsidR="00BC7DDA" w:rsidRPr="00BD6C5F" w14:paraId="4F732808" w14:textId="77777777" w:rsidTr="00CF457A">
        <w:tc>
          <w:tcPr>
            <w:tcW w:w="2438" w:type="dxa"/>
          </w:tcPr>
          <w:p w14:paraId="0F96B5AB"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rPr>
              <w:t>Financial Target 8</w:t>
            </w:r>
          </w:p>
          <w:p w14:paraId="23C40CBB" w14:textId="77777777" w:rsidR="00BC7DDA" w:rsidRPr="00BD6C5F" w:rsidRDefault="009B03E9" w:rsidP="00CF457A">
            <w:pPr>
              <w:pStyle w:val="Tabletext"/>
              <w:rPr>
                <w:rFonts w:asciiTheme="minorHAnsi" w:hAnsiTheme="minorHAnsi" w:cstheme="minorHAnsi"/>
                <w:b/>
              </w:rPr>
            </w:pPr>
            <w:r w:rsidRPr="00BD6C5F">
              <w:rPr>
                <w:rFonts w:asciiTheme="minorHAnsi" w:hAnsiTheme="minorHAnsi" w:cstheme="minorHAnsi"/>
                <w:b/>
                <w:shd w:val="clear" w:color="auto" w:fill="FFFF00"/>
              </w:rPr>
              <w:t>[etc.]</w:t>
            </w:r>
          </w:p>
        </w:tc>
        <w:tc>
          <w:tcPr>
            <w:tcW w:w="1984" w:type="dxa"/>
          </w:tcPr>
          <w:p w14:paraId="4E433F7C"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[etc.]</w:t>
            </w:r>
          </w:p>
        </w:tc>
        <w:tc>
          <w:tcPr>
            <w:tcW w:w="1361" w:type="dxa"/>
          </w:tcPr>
          <w:p w14:paraId="375A58DD"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[etc.]</w:t>
            </w:r>
          </w:p>
        </w:tc>
        <w:tc>
          <w:tcPr>
            <w:tcW w:w="3742" w:type="dxa"/>
          </w:tcPr>
          <w:p w14:paraId="1EAF8AF9" w14:textId="77777777" w:rsidR="00BC7DDA" w:rsidRPr="00BD6C5F" w:rsidRDefault="009B03E9" w:rsidP="00CF457A">
            <w:pPr>
              <w:pStyle w:val="Tabletext"/>
              <w:rPr>
                <w:rFonts w:asciiTheme="minorHAnsi" w:hAnsiTheme="minorHAnsi" w:cstheme="minorHAnsi"/>
                <w:iCs/>
              </w:rPr>
            </w:pPr>
            <w:r w:rsidRPr="00BD6C5F">
              <w:rPr>
                <w:rFonts w:asciiTheme="minorHAnsi" w:hAnsiTheme="minorHAnsi" w:cstheme="minorHAnsi"/>
                <w:iCs/>
                <w:shd w:val="clear" w:color="auto" w:fill="FFFF00"/>
              </w:rPr>
              <w:t>[etc.]</w:t>
            </w:r>
          </w:p>
        </w:tc>
      </w:tr>
    </w:tbl>
    <w:p w14:paraId="0FD38FE1" w14:textId="38455F84" w:rsidR="00BC7DDA" w:rsidRPr="00BD6C5F" w:rsidRDefault="009B03E9" w:rsidP="00CF457A">
      <w:pPr>
        <w:pStyle w:val="BodyText"/>
        <w:spacing w:before="100" w:after="200"/>
        <w:ind w:left="720"/>
        <w:rPr>
          <w:rFonts w:asciiTheme="minorHAnsi" w:hAnsiTheme="minorHAnsi" w:cstheme="minorHAnsi"/>
        </w:rPr>
      </w:pPr>
      <w:r w:rsidRPr="00BD6C5F">
        <w:rPr>
          <w:rFonts w:asciiTheme="minorHAnsi" w:hAnsiTheme="minorHAnsi" w:cstheme="minorHAnsi"/>
        </w:rPr>
        <w:t xml:space="preserve">Key: </w:t>
      </w:r>
      <w:r w:rsidRPr="00BD6C5F">
        <w:rPr>
          <w:vertAlign w:val="superscript"/>
        </w:rPr>
        <w:t>1</w:t>
      </w:r>
      <w:r w:rsidRPr="00BD6C5F">
        <w:t xml:space="preserve"> </w:t>
      </w:r>
      <w:r w:rsidRPr="00BD6C5F">
        <w:rPr>
          <w:rFonts w:asciiTheme="minorHAnsi" w:hAnsiTheme="minorHAnsi" w:cstheme="minorHAnsi"/>
        </w:rPr>
        <w:t xml:space="preserve">– See </w:t>
      </w:r>
      <w:r w:rsidR="00A93D47">
        <w:rPr>
          <w:rFonts w:asciiTheme="minorHAnsi" w:hAnsiTheme="minorHAnsi" w:cstheme="minorHAnsi"/>
        </w:rPr>
        <w:t>Annex </w:t>
      </w:r>
      <w:r w:rsidR="00A93D47">
        <w:rPr>
          <w:rFonts w:asciiTheme="minorHAnsi" w:hAnsiTheme="minorHAnsi" w:cstheme="minorHAnsi"/>
        </w:rPr>
        <w:fldChar w:fldCharType="begin"/>
      </w:r>
      <w:r w:rsidR="00A93D47">
        <w:rPr>
          <w:rFonts w:asciiTheme="minorHAnsi" w:hAnsiTheme="minorHAnsi" w:cstheme="minorHAnsi"/>
        </w:rPr>
        <w:instrText xml:space="preserve"> REF Schedule_18_Annex_3 \h </w:instrText>
      </w:r>
      <w:r w:rsidR="00A93D47">
        <w:rPr>
          <w:rFonts w:asciiTheme="minorHAnsi" w:hAnsiTheme="minorHAnsi" w:cstheme="minorHAnsi"/>
        </w:rPr>
      </w:r>
      <w:r w:rsidR="00A93D47">
        <w:rPr>
          <w:rFonts w:asciiTheme="minorHAnsi" w:hAnsiTheme="minorHAnsi" w:cstheme="minorHAnsi"/>
        </w:rPr>
        <w:fldChar w:fldCharType="separate"/>
      </w:r>
      <w:r w:rsidR="009749A0" w:rsidRPr="00BD6C5F">
        <w:t>3</w:t>
      </w:r>
      <w:r w:rsidR="00A93D47">
        <w:rPr>
          <w:rFonts w:asciiTheme="minorHAnsi" w:hAnsiTheme="minorHAnsi" w:cstheme="minorHAnsi"/>
        </w:rPr>
        <w:fldChar w:fldCharType="end"/>
      </w:r>
      <w:r w:rsidRPr="00BD6C5F">
        <w:rPr>
          <w:rFonts w:asciiTheme="minorHAnsi" w:hAnsiTheme="minorHAnsi" w:cstheme="minorHAnsi"/>
        </w:rPr>
        <w:t xml:space="preserve"> of this Schedule which sets out the calculation methodology to be used in the calculation of each Financial Indicator.</w:t>
      </w:r>
    </w:p>
    <w:p w14:paraId="2890FE27" w14:textId="77777777" w:rsidR="00BC7DDA" w:rsidRPr="00BD6C5F" w:rsidRDefault="009B03E9" w:rsidP="00C70900">
      <w:pPr>
        <w:pStyle w:val="Numbered11"/>
        <w:keepNext/>
      </w:pPr>
      <w:bookmarkStart w:id="889" w:name="_bookmark308"/>
      <w:bookmarkStart w:id="890" w:name="_Ref98414298"/>
      <w:bookmarkEnd w:id="889"/>
      <w:r w:rsidRPr="00BD6C5F">
        <w:t>Monitored Suppliers</w:t>
      </w:r>
      <w:bookmarkEnd w:id="890"/>
    </w:p>
    <w:p w14:paraId="1C53F0EA" w14:textId="4AB56C14" w:rsidR="00BC7DDA" w:rsidRPr="00BD6C5F" w:rsidRDefault="009B03E9" w:rsidP="00CF457A">
      <w:pPr>
        <w:spacing w:before="100" w:after="200"/>
        <w:ind w:left="720"/>
        <w:rPr>
          <w:rFonts w:asciiTheme="minorHAnsi" w:hAnsiTheme="minorHAnsi" w:cstheme="minorHAnsi"/>
          <w:szCs w:val="24"/>
        </w:rPr>
      </w:pPr>
      <w:r w:rsidRPr="00BD6C5F">
        <w:rPr>
          <w:rFonts w:asciiTheme="minorHAnsi" w:hAnsiTheme="minorHAnsi" w:cstheme="minorHAnsi"/>
          <w:shd w:val="clear" w:color="auto" w:fill="FFFF00"/>
        </w:rPr>
        <w:t>[</w:t>
      </w:r>
      <w:r w:rsidRPr="004C60F6">
        <w:rPr>
          <w:rFonts w:asciiTheme="minorHAnsi" w:hAnsiTheme="minorHAnsi" w:cstheme="minorHAnsi"/>
          <w:b/>
          <w:bCs/>
          <w:i/>
          <w:iCs/>
          <w:shd w:val="clear" w:color="auto" w:fill="FFFF00"/>
        </w:rPr>
        <w:t>Guidance:</w:t>
      </w:r>
      <w:r w:rsidR="00CC352A" w:rsidRPr="004C60F6">
        <w:rPr>
          <w:rFonts w:asciiTheme="minorHAnsi" w:hAnsiTheme="minorHAnsi" w:cstheme="minorHAnsi"/>
          <w:b/>
          <w:bCs/>
          <w:i/>
          <w:iCs/>
          <w:shd w:val="clear" w:color="auto" w:fill="FFFF00"/>
        </w:rPr>
        <w:t xml:space="preserv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r w:rsidRPr="00BD6C5F">
        <w:rPr>
          <w:rFonts w:asciiTheme="minorHAnsi" w:hAnsiTheme="minorHAnsi" w:cstheme="minorHAnsi"/>
          <w:szCs w:val="24"/>
          <w:shd w:val="clear" w:color="auto" w:fill="FFFF00"/>
        </w:rPr>
        <w:t>]</w:t>
      </w:r>
    </w:p>
    <w:tbl>
      <w:tblPr>
        <w:tblStyle w:val="MSATable-header"/>
        <w:tblW w:w="9524" w:type="dxa"/>
        <w:tblInd w:w="720" w:type="dxa"/>
        <w:tblLayout w:type="fixed"/>
        <w:tblLook w:val="0620" w:firstRow="1" w:lastRow="0" w:firstColumn="0" w:lastColumn="0" w:noHBand="1" w:noVBand="1"/>
      </w:tblPr>
      <w:tblGrid>
        <w:gridCol w:w="4535"/>
        <w:gridCol w:w="4989"/>
      </w:tblGrid>
      <w:tr w:rsidR="00AB5FF5" w:rsidRPr="00BD6C5F" w14:paraId="16FB00C8" w14:textId="77777777" w:rsidTr="00AB5FF5">
        <w:trPr>
          <w:cnfStyle w:val="100000000000" w:firstRow="1" w:lastRow="0" w:firstColumn="0" w:lastColumn="0" w:oddVBand="0" w:evenVBand="0" w:oddHBand="0" w:evenHBand="0" w:firstRowFirstColumn="0" w:firstRowLastColumn="0" w:lastRowFirstColumn="0" w:lastRowLastColumn="0"/>
          <w:tblHeader/>
        </w:trPr>
        <w:tc>
          <w:tcPr>
            <w:tcW w:w="4535" w:type="dxa"/>
          </w:tcPr>
          <w:p w14:paraId="58B76A12" w14:textId="77777777" w:rsidR="00BC7DDA" w:rsidRPr="00BD6C5F" w:rsidRDefault="009B03E9" w:rsidP="00AB5FF5">
            <w:pPr>
              <w:pStyle w:val="Tabletext"/>
              <w:rPr>
                <w:bCs/>
              </w:rPr>
            </w:pPr>
            <w:r w:rsidRPr="00BD6C5F">
              <w:rPr>
                <w:bCs/>
              </w:rPr>
              <w:t>Monitored Supplier</w:t>
            </w:r>
          </w:p>
        </w:tc>
        <w:tc>
          <w:tcPr>
            <w:tcW w:w="4989" w:type="dxa"/>
          </w:tcPr>
          <w:p w14:paraId="43D49CA6" w14:textId="77777777" w:rsidR="00AB5FF5" w:rsidRPr="00BD6C5F" w:rsidRDefault="009B03E9" w:rsidP="00AB5FF5">
            <w:pPr>
              <w:pStyle w:val="Tabletext"/>
              <w:rPr>
                <w:bCs/>
              </w:rPr>
            </w:pPr>
            <w:r w:rsidRPr="00BD6C5F">
              <w:rPr>
                <w:bCs/>
              </w:rPr>
              <w:t>Applicable Financial Indicators</w:t>
            </w:r>
          </w:p>
          <w:p w14:paraId="68657309" w14:textId="15132B15" w:rsidR="00BC7DDA" w:rsidRPr="00BD6C5F" w:rsidRDefault="009B03E9" w:rsidP="00AB5FF5">
            <w:pPr>
              <w:pStyle w:val="Tabletext"/>
              <w:rPr>
                <w:bCs/>
              </w:rPr>
            </w:pPr>
            <w:r w:rsidRPr="00BD6C5F">
              <w:rPr>
                <w:bCs/>
              </w:rPr>
              <w:t xml:space="preserve">(these are the Financial Indicators from the table in Paragraph </w:t>
            </w:r>
            <w:r w:rsidR="00D27E4D" w:rsidRPr="00BD6C5F">
              <w:rPr>
                <w:bCs/>
              </w:rPr>
              <w:fldChar w:fldCharType="begin"/>
            </w:r>
            <w:r w:rsidR="00D27E4D" w:rsidRPr="00BD6C5F">
              <w:rPr>
                <w:bCs/>
              </w:rPr>
              <w:instrText xml:space="preserve"> REF _Ref98414293 \n \h </w:instrText>
            </w:r>
            <w:r w:rsidR="00AD7DD0" w:rsidRPr="00BD6C5F">
              <w:rPr>
                <w:bCs/>
              </w:rPr>
              <w:instrText xml:space="preserve"> \* MERGEFORMAT </w:instrText>
            </w:r>
            <w:r w:rsidR="00D27E4D" w:rsidRPr="00BD6C5F">
              <w:rPr>
                <w:bCs/>
              </w:rPr>
            </w:r>
            <w:r w:rsidR="00D27E4D" w:rsidRPr="00BD6C5F">
              <w:rPr>
                <w:bCs/>
              </w:rPr>
              <w:fldChar w:fldCharType="separate"/>
            </w:r>
            <w:r w:rsidR="009749A0">
              <w:rPr>
                <w:bCs/>
              </w:rPr>
              <w:t>5.1</w:t>
            </w:r>
            <w:r w:rsidR="00D27E4D" w:rsidRPr="00BD6C5F">
              <w:rPr>
                <w:bCs/>
              </w:rPr>
              <w:fldChar w:fldCharType="end"/>
            </w:r>
            <w:r w:rsidRPr="00BD6C5F">
              <w:rPr>
                <w:bCs/>
              </w:rPr>
              <w:t xml:space="preserve"> which are to apply to the Monitored Suppliers)</w:t>
            </w:r>
          </w:p>
        </w:tc>
      </w:tr>
      <w:tr w:rsidR="00AB5FF5" w:rsidRPr="00BD6C5F" w14:paraId="1D46A366" w14:textId="77777777" w:rsidTr="00AB5FF5">
        <w:tc>
          <w:tcPr>
            <w:tcW w:w="4535" w:type="dxa"/>
          </w:tcPr>
          <w:p w14:paraId="3659AA56" w14:textId="67AC7C7D"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 xml:space="preserve">[Entity 1 </w:t>
            </w:r>
            <w:r w:rsidR="00971138" w:rsidRPr="00BD6C5F">
              <w:rPr>
                <w:rFonts w:asciiTheme="minorHAnsi" w:hAnsiTheme="minorHAnsi" w:cstheme="minorHAnsi"/>
                <w:shd w:val="clear" w:color="auto" w:fill="FFFF00"/>
              </w:rPr>
              <w:t>e.g.</w:t>
            </w:r>
            <w:r w:rsidRPr="00BD6C5F">
              <w:rPr>
                <w:rFonts w:asciiTheme="minorHAnsi" w:hAnsiTheme="minorHAnsi" w:cstheme="minorHAnsi"/>
                <w:shd w:val="clear" w:color="auto" w:fill="FFFF00"/>
              </w:rPr>
              <w:t xml:space="preserve"> Group Member, Sub</w:t>
            </w:r>
            <w:r w:rsidR="00AB5FF5" w:rsidRPr="00BD6C5F">
              <w:rPr>
                <w:rFonts w:asciiTheme="minorHAnsi" w:hAnsiTheme="minorHAnsi" w:cstheme="minorHAnsi"/>
                <w:shd w:val="clear" w:color="auto" w:fill="FFFF00"/>
              </w:rPr>
              <w:noBreakHyphen/>
            </w:r>
            <w:r w:rsidRPr="00BD6C5F">
              <w:rPr>
                <w:rFonts w:asciiTheme="minorHAnsi" w:hAnsiTheme="minorHAnsi" w:cstheme="minorHAnsi"/>
                <w:shd w:val="clear" w:color="auto" w:fill="FFFF00"/>
              </w:rPr>
              <w:t>contractor, Relevant Parent</w:t>
            </w:r>
            <w:r w:rsidRPr="00BD6C5F">
              <w:rPr>
                <w:rFonts w:asciiTheme="minorHAnsi" w:hAnsiTheme="minorHAnsi" w:cstheme="minorHAnsi"/>
              </w:rPr>
              <w:t xml:space="preserve"> </w:t>
            </w:r>
            <w:r w:rsidRPr="00BD6C5F">
              <w:rPr>
                <w:rFonts w:asciiTheme="minorHAnsi" w:hAnsiTheme="minorHAnsi" w:cstheme="minorHAnsi"/>
                <w:shd w:val="clear" w:color="auto" w:fill="FFFF00"/>
              </w:rPr>
              <w:t>Company etc.]</w:t>
            </w:r>
          </w:p>
        </w:tc>
        <w:tc>
          <w:tcPr>
            <w:tcW w:w="4989" w:type="dxa"/>
          </w:tcPr>
          <w:p w14:paraId="717E7CCB" w14:textId="77777777" w:rsidR="00AB5FF5" w:rsidRPr="00BD6C5F" w:rsidRDefault="009B03E9" w:rsidP="00AB5FF5">
            <w:pPr>
              <w:pStyle w:val="Tabletext"/>
              <w:rPr>
                <w:rFonts w:asciiTheme="minorHAnsi" w:hAnsiTheme="minorHAnsi" w:cstheme="minorHAnsi"/>
                <w:shd w:val="clear" w:color="auto" w:fill="FFFF00"/>
              </w:rPr>
            </w:pPr>
            <w:r w:rsidRPr="00BD6C5F">
              <w:rPr>
                <w:rFonts w:asciiTheme="minorHAnsi" w:hAnsiTheme="minorHAnsi" w:cstheme="minorHAnsi"/>
                <w:shd w:val="clear" w:color="auto" w:fill="FFFF00"/>
              </w:rPr>
              <w:t>[1 – Operating Margin]</w:t>
            </w:r>
          </w:p>
          <w:p w14:paraId="28E86921" w14:textId="1C865B8E"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[2 – etc..]</w:t>
            </w:r>
          </w:p>
          <w:p w14:paraId="7715E031" w14:textId="77777777"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[3][4][5][6][7][8][etc..]</w:t>
            </w:r>
          </w:p>
        </w:tc>
      </w:tr>
      <w:tr w:rsidR="00AB5FF5" w:rsidRPr="00BD6C5F" w14:paraId="74F1940A" w14:textId="77777777" w:rsidTr="00AB5FF5">
        <w:tc>
          <w:tcPr>
            <w:tcW w:w="4535" w:type="dxa"/>
          </w:tcPr>
          <w:p w14:paraId="39F7539A" w14:textId="375C2F17"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lastRenderedPageBreak/>
              <w:t xml:space="preserve">[Entity 2 </w:t>
            </w:r>
            <w:r w:rsidR="00971138" w:rsidRPr="00BD6C5F">
              <w:rPr>
                <w:rFonts w:asciiTheme="minorHAnsi" w:hAnsiTheme="minorHAnsi" w:cstheme="minorHAnsi"/>
                <w:shd w:val="clear" w:color="auto" w:fill="FFFF00"/>
              </w:rPr>
              <w:t>e.g.</w:t>
            </w:r>
            <w:r w:rsidRPr="00BD6C5F">
              <w:rPr>
                <w:rFonts w:asciiTheme="minorHAnsi" w:hAnsiTheme="minorHAnsi" w:cstheme="minorHAnsi"/>
                <w:shd w:val="clear" w:color="auto" w:fill="FFFF00"/>
              </w:rPr>
              <w:t xml:space="preserve"> Group Member, Sub</w:t>
            </w:r>
            <w:r w:rsidR="00AB5FF5" w:rsidRPr="00BD6C5F">
              <w:rPr>
                <w:rFonts w:asciiTheme="minorHAnsi" w:hAnsiTheme="minorHAnsi" w:cstheme="minorHAnsi"/>
                <w:shd w:val="clear" w:color="auto" w:fill="FFFF00"/>
              </w:rPr>
              <w:noBreakHyphen/>
            </w:r>
            <w:r w:rsidRPr="00BD6C5F">
              <w:rPr>
                <w:rFonts w:asciiTheme="minorHAnsi" w:hAnsiTheme="minorHAnsi" w:cstheme="minorHAnsi"/>
                <w:shd w:val="clear" w:color="auto" w:fill="FFFF00"/>
              </w:rPr>
              <w:t>contractor, Relevant Parent</w:t>
            </w:r>
            <w:r w:rsidRPr="00BD6C5F">
              <w:rPr>
                <w:rFonts w:asciiTheme="minorHAnsi" w:hAnsiTheme="minorHAnsi" w:cstheme="minorHAnsi"/>
              </w:rPr>
              <w:t xml:space="preserve"> </w:t>
            </w:r>
            <w:r w:rsidRPr="00BD6C5F">
              <w:rPr>
                <w:rFonts w:asciiTheme="minorHAnsi" w:hAnsiTheme="minorHAnsi" w:cstheme="minorHAnsi"/>
                <w:shd w:val="clear" w:color="auto" w:fill="FFFF00"/>
              </w:rPr>
              <w:t>Company etc.]</w:t>
            </w:r>
          </w:p>
        </w:tc>
        <w:tc>
          <w:tcPr>
            <w:tcW w:w="4989" w:type="dxa"/>
          </w:tcPr>
          <w:p w14:paraId="31AE0930" w14:textId="77777777" w:rsidR="00AB5FF5"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[1 – Operating Margin]</w:t>
            </w:r>
          </w:p>
          <w:p w14:paraId="604F02BA" w14:textId="0F7C6151"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[2 – etc.]</w:t>
            </w:r>
          </w:p>
          <w:p w14:paraId="522873DC" w14:textId="77777777"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[3][4][5][6][7][8][etc..]</w:t>
            </w:r>
          </w:p>
        </w:tc>
      </w:tr>
      <w:tr w:rsidR="00AB5FF5" w:rsidRPr="00BD6C5F" w14:paraId="1B31B295" w14:textId="77777777" w:rsidTr="00AB5FF5">
        <w:tc>
          <w:tcPr>
            <w:tcW w:w="4535" w:type="dxa"/>
          </w:tcPr>
          <w:p w14:paraId="72C92AA8" w14:textId="77777777" w:rsidR="00BC7DDA" w:rsidRPr="00BD6C5F" w:rsidRDefault="009B03E9" w:rsidP="00AB5FF5">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4989" w:type="dxa"/>
          </w:tcPr>
          <w:p w14:paraId="2A7665F2" w14:textId="77777777" w:rsidR="00BC7DDA" w:rsidRPr="00BD6C5F" w:rsidRDefault="009B03E9" w:rsidP="00AB5FF5">
            <w:pPr>
              <w:pStyle w:val="Tabletext"/>
            </w:pPr>
            <w:r w:rsidRPr="00BD6C5F">
              <w:rPr>
                <w:shd w:val="clear" w:color="auto" w:fill="FFFF00"/>
              </w:rPr>
              <w:t>[etc.]</w:t>
            </w:r>
          </w:p>
        </w:tc>
      </w:tr>
    </w:tbl>
    <w:p w14:paraId="5C9CC469" w14:textId="77777777" w:rsidR="00BC7DDA" w:rsidRPr="00BD6C5F" w:rsidRDefault="00BC7DDA" w:rsidP="00AB5FF5"/>
    <w:p w14:paraId="64AA4121" w14:textId="268FCC67" w:rsidR="00BC7DDA" w:rsidRPr="00BD6C5F" w:rsidRDefault="000D48A0" w:rsidP="00C5057A">
      <w:pPr>
        <w:pStyle w:val="Numbered1"/>
      </w:pPr>
      <w:bookmarkStart w:id="891" w:name="_bookmark309"/>
      <w:bookmarkStart w:id="892" w:name="_Ref98354902"/>
      <w:bookmarkEnd w:id="891"/>
      <w:r w:rsidRPr="00BD6C5F">
        <w:t>Termination Rights</w:t>
      </w:r>
      <w:bookmarkEnd w:id="892"/>
    </w:p>
    <w:p w14:paraId="72916E85" w14:textId="0A803FE1" w:rsidR="00BC7DDA" w:rsidRPr="00BD6C5F" w:rsidRDefault="009B03E9" w:rsidP="00C70900">
      <w:pPr>
        <w:pStyle w:val="Numbered11"/>
        <w:keepNext/>
      </w:pPr>
      <w:r w:rsidRPr="00BD6C5F">
        <w:t xml:space="preserve">The Authority shall be entitled to terminate this </w:t>
      </w:r>
      <w:r w:rsidR="008C4B42" w:rsidRPr="00BD6C5F">
        <w:t xml:space="preserve">Contract </w:t>
      </w:r>
      <w:r w:rsidRPr="00BD6C5F">
        <w:t xml:space="preserve">under </w:t>
      </w:r>
      <w:r w:rsidR="005E736B" w:rsidRPr="00BD6C5F">
        <w:t>Clause </w:t>
      </w:r>
      <w:r w:rsidR="001F06F8" w:rsidRPr="00BD6C5F">
        <w:t>31</w:t>
      </w:r>
      <w:r w:rsidRPr="00BD6C5F">
        <w:t>.1</w:t>
      </w:r>
      <w:r w:rsidR="00C20F85">
        <w:t>.2</w:t>
      </w:r>
      <w:r w:rsidRPr="00BD6C5F">
        <w:t xml:space="preserve"> (</w:t>
      </w:r>
      <w:r w:rsidRPr="00BD6C5F">
        <w:rPr>
          <w:i/>
        </w:rPr>
        <w:t>Termination by the Authority</w:t>
      </w:r>
      <w:r w:rsidRPr="00BD6C5F">
        <w:t>) if:</w:t>
      </w:r>
    </w:p>
    <w:p w14:paraId="5049D4DC" w14:textId="15FEE581" w:rsidR="00BC7DDA" w:rsidRPr="00BD6C5F" w:rsidRDefault="009B03E9" w:rsidP="000D48A0">
      <w:pPr>
        <w:pStyle w:val="Numbered111"/>
      </w:pPr>
      <w:r w:rsidRPr="00BD6C5F">
        <w:t xml:space="preserve">the Supplier fails to notify the Authority of a Financial Distress Event in accordance with Paragraph </w:t>
      </w:r>
      <w:r w:rsidR="00D27E4D" w:rsidRPr="00BD6C5F">
        <w:fldChar w:fldCharType="begin"/>
      </w:r>
      <w:r w:rsidR="00D27E4D" w:rsidRPr="00BD6C5F">
        <w:instrText xml:space="preserve"> REF _Ref98414847 \w \h </w:instrText>
      </w:r>
      <w:r w:rsidR="00AD7DD0" w:rsidRPr="00BD6C5F">
        <w:instrText xml:space="preserve"> \* MERGEFORMAT </w:instrText>
      </w:r>
      <w:r w:rsidR="00D27E4D" w:rsidRPr="00BD6C5F">
        <w:fldChar w:fldCharType="separate"/>
      </w:r>
      <w:r w:rsidR="009749A0">
        <w:t>2.3.3</w:t>
      </w:r>
      <w:r w:rsidR="00D27E4D" w:rsidRPr="00BD6C5F">
        <w:fldChar w:fldCharType="end"/>
      </w:r>
      <w:r w:rsidRPr="00BD6C5F">
        <w:t>;</w:t>
      </w:r>
    </w:p>
    <w:p w14:paraId="05FCB726" w14:textId="06E5E75C" w:rsidR="008C4B42" w:rsidRPr="00BD6C5F" w:rsidRDefault="008C4B42" w:rsidP="000D48A0">
      <w:pPr>
        <w:pStyle w:val="Numbered111"/>
      </w:pPr>
      <w:r w:rsidRPr="00BD6C5F">
        <w:t xml:space="preserve">The Supplier fails to comply with any part of Paragraph </w:t>
      </w:r>
      <w:r w:rsidR="00F05BAA" w:rsidRPr="00BD6C5F">
        <w:fldChar w:fldCharType="begin"/>
      </w:r>
      <w:r w:rsidR="00F05BAA" w:rsidRPr="00BD6C5F">
        <w:instrText xml:space="preserve"> REF _Ref98414524 \r \h  \* MERGEFORMAT </w:instrText>
      </w:r>
      <w:r w:rsidR="00F05BAA" w:rsidRPr="00BD6C5F">
        <w:fldChar w:fldCharType="separate"/>
      </w:r>
      <w:r w:rsidR="009749A0">
        <w:t>4.3</w:t>
      </w:r>
      <w:r w:rsidR="00F05BAA" w:rsidRPr="00BD6C5F">
        <w:fldChar w:fldCharType="end"/>
      </w:r>
      <w:r w:rsidR="00F05BAA" w:rsidRPr="00BD6C5F">
        <w:t>.</w:t>
      </w:r>
    </w:p>
    <w:p w14:paraId="3B77CF2B" w14:textId="0216474D" w:rsidR="00BC7DDA" w:rsidRPr="00BD6C5F" w:rsidRDefault="009B03E9" w:rsidP="000D48A0">
      <w:pPr>
        <w:pStyle w:val="Numbered111"/>
      </w:pPr>
      <w:r w:rsidRPr="00BD6C5F">
        <w:t xml:space="preserve">the </w:t>
      </w:r>
      <w:r w:rsidR="00B249B0" w:rsidRPr="00BD6C5F">
        <w:t xml:space="preserve">Authority finally rejects </w:t>
      </w:r>
      <w:r w:rsidRPr="00BD6C5F">
        <w:t xml:space="preserve">a Financial Distress Remediation Plan (or any updated Financial Distress Remediation Plan) in accordance with Paragraphs </w:t>
      </w:r>
      <w:r w:rsidR="00D27E4D" w:rsidRPr="00BD6C5F">
        <w:fldChar w:fldCharType="begin"/>
      </w:r>
      <w:r w:rsidR="00D27E4D" w:rsidRPr="00BD6C5F">
        <w:instrText xml:space="preserve"> REF _Ref98414645 \w \h </w:instrText>
      </w:r>
      <w:r w:rsidR="00AD7DD0" w:rsidRPr="00BD6C5F">
        <w:instrText xml:space="preserve"> \* MERGEFORMAT </w:instrText>
      </w:r>
      <w:r w:rsidR="00D27E4D" w:rsidRPr="00BD6C5F">
        <w:fldChar w:fldCharType="separate"/>
      </w:r>
      <w:r w:rsidR="009749A0">
        <w:t>4.4</w:t>
      </w:r>
      <w:r w:rsidR="00D27E4D" w:rsidRPr="00BD6C5F">
        <w:fldChar w:fldCharType="end"/>
      </w:r>
      <w:r w:rsidRPr="00BD6C5F">
        <w:t xml:space="preserve"> to </w:t>
      </w:r>
      <w:r w:rsidR="00D27E4D" w:rsidRPr="00BD6C5F">
        <w:fldChar w:fldCharType="begin"/>
      </w:r>
      <w:r w:rsidR="00D27E4D" w:rsidRPr="00BD6C5F">
        <w:instrText xml:space="preserve"> REF _Ref98414651 \w \h </w:instrText>
      </w:r>
      <w:r w:rsidR="00AD7DD0" w:rsidRPr="00BD6C5F">
        <w:instrText xml:space="preserve"> \* MERGEFORMAT </w:instrText>
      </w:r>
      <w:r w:rsidR="00D27E4D" w:rsidRPr="00BD6C5F">
        <w:fldChar w:fldCharType="separate"/>
      </w:r>
      <w:r w:rsidR="009749A0">
        <w:t>4.5</w:t>
      </w:r>
      <w:r w:rsidR="00D27E4D" w:rsidRPr="00BD6C5F">
        <w:fldChar w:fldCharType="end"/>
      </w:r>
      <w:r w:rsidRPr="00BD6C5F">
        <w:t>; and/or</w:t>
      </w:r>
    </w:p>
    <w:p w14:paraId="7E5376E4" w14:textId="17C99926" w:rsidR="00BC7DDA" w:rsidRPr="00BD6C5F" w:rsidRDefault="009B03E9" w:rsidP="000D48A0">
      <w:pPr>
        <w:pStyle w:val="Numbered111"/>
      </w:pPr>
      <w:r w:rsidRPr="00BD6C5F">
        <w:t xml:space="preserve">the Supplier fails to comply with the terms of the Financial Distress Remediation Plan (or any updated Financial Distress Remediation Plan) in accordance with Paragraph </w:t>
      </w:r>
      <w:r w:rsidR="00D27E4D" w:rsidRPr="00BD6C5F">
        <w:fldChar w:fldCharType="begin"/>
      </w:r>
      <w:r w:rsidR="00D27E4D" w:rsidRPr="00BD6C5F">
        <w:instrText xml:space="preserve"> REF _Ref98414894 \w \h </w:instrText>
      </w:r>
      <w:r w:rsidR="00AD7DD0" w:rsidRPr="00BD6C5F">
        <w:instrText xml:space="preserve"> \* MERGEFORMAT </w:instrText>
      </w:r>
      <w:r w:rsidR="00D27E4D" w:rsidRPr="00BD6C5F">
        <w:fldChar w:fldCharType="separate"/>
      </w:r>
      <w:r w:rsidR="009749A0">
        <w:t>4.5.3</w:t>
      </w:r>
      <w:r w:rsidR="00D27E4D" w:rsidRPr="00BD6C5F">
        <w:fldChar w:fldCharType="end"/>
      </w:r>
      <w:r w:rsidRPr="00BD6C5F">
        <w:t>.</w:t>
      </w:r>
    </w:p>
    <w:p w14:paraId="6304F399" w14:textId="13ED08AB" w:rsidR="00BC7DDA" w:rsidRPr="00BD6C5F" w:rsidRDefault="000D48A0" w:rsidP="00C5057A">
      <w:pPr>
        <w:pStyle w:val="Numbered1"/>
      </w:pPr>
      <w:r w:rsidRPr="00BD6C5F">
        <w:t>Primacy of Credit Ratings</w:t>
      </w:r>
    </w:p>
    <w:p w14:paraId="50022EA4" w14:textId="194E11A5" w:rsidR="00BC7DDA" w:rsidRPr="00BD6C5F" w:rsidRDefault="009B03E9" w:rsidP="00C5057A">
      <w:pPr>
        <w:pStyle w:val="Numbered11"/>
      </w:pPr>
      <w:bookmarkStart w:id="893" w:name="_bookmark310"/>
      <w:bookmarkStart w:id="894" w:name="_Ref98414478"/>
      <w:bookmarkEnd w:id="893"/>
      <w:r w:rsidRPr="00BD6C5F">
        <w:t>Without prejudice to the Supplier</w:t>
      </w:r>
      <w:r w:rsidR="00A4555C" w:rsidRPr="00BD6C5F">
        <w:t>’</w:t>
      </w:r>
      <w:r w:rsidRPr="00BD6C5F">
        <w:t>s obligations and the Authority</w:t>
      </w:r>
      <w:r w:rsidR="00A4555C" w:rsidRPr="00BD6C5F">
        <w:t>’</w:t>
      </w:r>
      <w:r w:rsidRPr="00BD6C5F">
        <w:t xml:space="preserve">s rights and remedies under Paragraph </w:t>
      </w:r>
      <w:r w:rsidR="00D27E4D" w:rsidRPr="00BD6C5F">
        <w:fldChar w:fldCharType="begin"/>
      </w:r>
      <w:r w:rsidR="00D27E4D" w:rsidRPr="00BD6C5F">
        <w:instrText xml:space="preserve"> REF _Ref98414904 \n \h </w:instrText>
      </w:r>
      <w:r w:rsidR="00AD7DD0" w:rsidRPr="00BD6C5F">
        <w:instrText xml:space="preserve"> \* MERGEFORMAT </w:instrText>
      </w:r>
      <w:r w:rsidR="00D27E4D" w:rsidRPr="00BD6C5F">
        <w:fldChar w:fldCharType="separate"/>
      </w:r>
      <w:r w:rsidR="009749A0">
        <w:t>2</w:t>
      </w:r>
      <w:r w:rsidR="00D27E4D" w:rsidRPr="00BD6C5F">
        <w:fldChar w:fldCharType="end"/>
      </w:r>
      <w:r w:rsidRPr="00BD6C5F">
        <w:t xml:space="preserve">, if, following the occurrence of a Financial Distress Event pursuant to any of Paragraphs </w:t>
      </w:r>
      <w:r w:rsidR="00D27E4D" w:rsidRPr="00BD6C5F">
        <w:fldChar w:fldCharType="begin"/>
      </w:r>
      <w:r w:rsidR="00D27E4D" w:rsidRPr="00BD6C5F">
        <w:instrText xml:space="preserve"> REF _Ref98414995 \w \h </w:instrText>
      </w:r>
      <w:r w:rsidR="00AD7DD0" w:rsidRPr="00BD6C5F">
        <w:instrText xml:space="preserve"> \* MERGEFORMAT </w:instrText>
      </w:r>
      <w:r w:rsidR="00D27E4D" w:rsidRPr="00BD6C5F">
        <w:fldChar w:fldCharType="separate"/>
      </w:r>
      <w:r w:rsidR="009749A0">
        <w:t>3.1.2</w:t>
      </w:r>
      <w:r w:rsidR="00D27E4D" w:rsidRPr="00BD6C5F">
        <w:fldChar w:fldCharType="end"/>
      </w:r>
      <w:r w:rsidRPr="00BD6C5F">
        <w:t xml:space="preserve"> to </w:t>
      </w:r>
      <w:r w:rsidR="00D27E4D" w:rsidRPr="00BD6C5F">
        <w:fldChar w:fldCharType="begin"/>
      </w:r>
      <w:r w:rsidR="00D27E4D" w:rsidRPr="00BD6C5F">
        <w:instrText xml:space="preserve"> REF _Ref98415003 \w \h </w:instrText>
      </w:r>
      <w:r w:rsidR="00AD7DD0" w:rsidRPr="00BD6C5F">
        <w:instrText xml:space="preserve"> \* MERGEFORMAT </w:instrText>
      </w:r>
      <w:r w:rsidR="00D27E4D" w:rsidRPr="00BD6C5F">
        <w:fldChar w:fldCharType="separate"/>
      </w:r>
      <w:r w:rsidR="009749A0">
        <w:t>3.1.7</w:t>
      </w:r>
      <w:r w:rsidR="00D27E4D" w:rsidRPr="00BD6C5F">
        <w:fldChar w:fldCharType="end"/>
      </w:r>
      <w:r w:rsidRPr="00BD6C5F">
        <w:t xml:space="preserve">, the Rating Agencies review and report subsequently that the credit ratings for the FDE Group entities do not drop below the relevant Credit Rating Thresholds specified for those entities in </w:t>
      </w:r>
      <w:r w:rsidR="00A93D47">
        <w:t>Annex </w:t>
      </w:r>
      <w:r w:rsidR="00A93D47">
        <w:fldChar w:fldCharType="begin"/>
      </w:r>
      <w:r w:rsidR="00A93D47">
        <w:instrText xml:space="preserve"> REF Schedule_18_Annex_2 \h </w:instrText>
      </w:r>
      <w:r w:rsidR="00A93D47">
        <w:fldChar w:fldCharType="separate"/>
      </w:r>
      <w:r w:rsidR="009749A0" w:rsidRPr="00BD6C5F">
        <w:t>2</w:t>
      </w:r>
      <w:r w:rsidR="00A93D47">
        <w:fldChar w:fldCharType="end"/>
      </w:r>
      <w:r w:rsidRPr="00BD6C5F">
        <w:t xml:space="preserve"> of this Schedule, then:</w:t>
      </w:r>
      <w:bookmarkEnd w:id="894"/>
    </w:p>
    <w:p w14:paraId="7EC41F4B" w14:textId="4E38478A" w:rsidR="00BC7DDA" w:rsidRPr="00BD6C5F" w:rsidRDefault="009B03E9" w:rsidP="000D48A0">
      <w:pPr>
        <w:pStyle w:val="Numbered111"/>
      </w:pPr>
      <w:r w:rsidRPr="00BD6C5F">
        <w:t xml:space="preserve">the Supplier shall be relieved automatically of its obligations under Paragraphs </w:t>
      </w:r>
      <w:r w:rsidR="00D27E4D" w:rsidRPr="00BD6C5F">
        <w:fldChar w:fldCharType="begin"/>
      </w:r>
      <w:r w:rsidR="00D27E4D" w:rsidRPr="00BD6C5F">
        <w:instrText xml:space="preserve"> REF _Ref98414524 \n \h </w:instrText>
      </w:r>
      <w:r w:rsidR="00AD7DD0" w:rsidRPr="00BD6C5F">
        <w:instrText xml:space="preserve"> \* MERGEFORMAT </w:instrText>
      </w:r>
      <w:r w:rsidR="00D27E4D" w:rsidRPr="00BD6C5F">
        <w:fldChar w:fldCharType="separate"/>
      </w:r>
      <w:r w:rsidR="009749A0">
        <w:t>4.3</w:t>
      </w:r>
      <w:r w:rsidR="00D27E4D" w:rsidRPr="00BD6C5F">
        <w:fldChar w:fldCharType="end"/>
      </w:r>
      <w:r w:rsidRPr="00BD6C5F">
        <w:t xml:space="preserve"> to </w:t>
      </w:r>
      <w:r w:rsidR="00D27E4D" w:rsidRPr="00BD6C5F">
        <w:fldChar w:fldCharType="begin"/>
      </w:r>
      <w:r w:rsidR="00D27E4D" w:rsidRPr="00BD6C5F">
        <w:instrText xml:space="preserve"> REF _Ref98414510 \n \h </w:instrText>
      </w:r>
      <w:r w:rsidR="00AD7DD0" w:rsidRPr="00BD6C5F">
        <w:instrText xml:space="preserve"> \* MERGEFORMAT </w:instrText>
      </w:r>
      <w:r w:rsidR="00D27E4D" w:rsidRPr="00BD6C5F">
        <w:fldChar w:fldCharType="separate"/>
      </w:r>
      <w:r w:rsidR="009749A0">
        <w:t>5</w:t>
      </w:r>
      <w:r w:rsidR="00D27E4D" w:rsidRPr="00BD6C5F">
        <w:fldChar w:fldCharType="end"/>
      </w:r>
      <w:r w:rsidRPr="00BD6C5F">
        <w:t>; and</w:t>
      </w:r>
    </w:p>
    <w:p w14:paraId="44F178A8" w14:textId="630A2957" w:rsidR="00BC7DDA" w:rsidRPr="00BD6C5F" w:rsidRDefault="009B03E9" w:rsidP="000D48A0">
      <w:pPr>
        <w:pStyle w:val="Numbered111"/>
      </w:pPr>
      <w:r w:rsidRPr="00BD6C5F">
        <w:t xml:space="preserve">the Authority shall not be entitled to require the Supplier to provide financial information in accordance with Paragraph </w:t>
      </w:r>
      <w:r w:rsidR="00D27E4D" w:rsidRPr="00BD6C5F">
        <w:fldChar w:fldCharType="begin"/>
      </w:r>
      <w:r w:rsidR="00D27E4D" w:rsidRPr="00BD6C5F">
        <w:instrText xml:space="preserve"> REF _Ref98414717 \w \h </w:instrText>
      </w:r>
      <w:r w:rsidR="00AD7DD0" w:rsidRPr="00BD6C5F">
        <w:instrText xml:space="preserve"> \* MERGEFORMAT </w:instrText>
      </w:r>
      <w:r w:rsidR="00D27E4D" w:rsidRPr="00BD6C5F">
        <w:fldChar w:fldCharType="separate"/>
      </w:r>
      <w:r w:rsidR="009749A0">
        <w:t>4.3.2(b)</w:t>
      </w:r>
      <w:r w:rsidR="00D27E4D" w:rsidRPr="00BD6C5F">
        <w:fldChar w:fldCharType="end"/>
      </w:r>
      <w:r w:rsidRPr="00BD6C5F">
        <w:t>.</w:t>
      </w:r>
    </w:p>
    <w:p w14:paraId="0B7C2969" w14:textId="1E6A9682" w:rsidR="00BC7DDA" w:rsidRPr="00BD6C5F" w:rsidRDefault="000D48A0" w:rsidP="00C5057A">
      <w:pPr>
        <w:pStyle w:val="Numbered1"/>
      </w:pPr>
      <w:bookmarkStart w:id="895" w:name="_bookmark311"/>
      <w:bookmarkStart w:id="896" w:name="_Ref98254029"/>
      <w:bookmarkEnd w:id="895"/>
      <w:r w:rsidRPr="00BD6C5F">
        <w:t>Board Confirmation</w:t>
      </w:r>
      <w:bookmarkEnd w:id="896"/>
    </w:p>
    <w:p w14:paraId="354D6ACD" w14:textId="1898189F" w:rsidR="00BC7DDA" w:rsidRPr="00BD6C5F" w:rsidRDefault="009B03E9" w:rsidP="00C5057A">
      <w:pPr>
        <w:pStyle w:val="Numbered11"/>
      </w:pPr>
      <w:bookmarkStart w:id="897" w:name="_bookmark312"/>
      <w:bookmarkStart w:id="898" w:name="_Ref98415126"/>
      <w:bookmarkEnd w:id="897"/>
      <w:r w:rsidRPr="00BD6C5F">
        <w:t xml:space="preserve">If this </w:t>
      </w:r>
      <w:r w:rsidR="00B249B0" w:rsidRPr="00BD6C5F">
        <w:t xml:space="preserve">Contract </w:t>
      </w:r>
      <w:r w:rsidRPr="00BD6C5F">
        <w:t xml:space="preserve">has been specified as a Critical Service Contract under Paragraph </w:t>
      </w:r>
      <w:r w:rsidR="00D27E4D" w:rsidRPr="00BD6C5F">
        <w:fldChar w:fldCharType="begin"/>
      </w:r>
      <w:r w:rsidR="00D27E4D" w:rsidRPr="00BD6C5F">
        <w:instrText xml:space="preserve"> REF _Ref98362077 \n \h </w:instrText>
      </w:r>
      <w:r w:rsidR="00AD7DD0" w:rsidRPr="00BD6C5F">
        <w:instrText xml:space="preserve"> \* MERGEFORMAT </w:instrText>
      </w:r>
      <w:r w:rsidR="00D27E4D" w:rsidRPr="00BD6C5F">
        <w:fldChar w:fldCharType="separate"/>
      </w:r>
      <w:r w:rsidR="009749A0">
        <w:t>1.1</w:t>
      </w:r>
      <w:r w:rsidR="00D27E4D" w:rsidRPr="00BD6C5F">
        <w:fldChar w:fldCharType="end"/>
      </w:r>
      <w:r w:rsidRPr="00BD6C5F">
        <w:t xml:space="preserve"> of </w:t>
      </w:r>
      <w:r w:rsidR="00A66CDD">
        <w:t>Part </w:t>
      </w:r>
      <w:r w:rsidR="00A66CDD">
        <w:fldChar w:fldCharType="begin"/>
      </w:r>
      <w:r w:rsidR="00A66CDD">
        <w:instrText xml:space="preserve"> REF Schedule_26_Part_B \h </w:instrText>
      </w:r>
      <w:r w:rsidR="00A66CDD">
        <w:fldChar w:fldCharType="separate"/>
      </w:r>
      <w:r w:rsidR="009749A0" w:rsidRPr="00BD6C5F">
        <w:t>B</w:t>
      </w:r>
      <w:r w:rsidR="00A66CDD">
        <w:fldChar w:fldCharType="end"/>
      </w:r>
      <w:r w:rsidRPr="00BD6C5F">
        <w:t xml:space="preserve"> to </w:t>
      </w:r>
      <w:r w:rsidR="00BF4352" w:rsidRPr="00BD6C5F">
        <w:t>Schedule </w:t>
      </w:r>
      <w:r w:rsidR="00BF4352">
        <w:fldChar w:fldCharType="begin"/>
      </w:r>
      <w:r w:rsidR="00BF4352">
        <w:instrText xml:space="preserve"> REF Schedule_26 \h </w:instrText>
      </w:r>
      <w:r w:rsidR="00BF4352">
        <w:fldChar w:fldCharType="separate"/>
      </w:r>
      <w:r w:rsidR="009749A0">
        <w:t>26</w:t>
      </w:r>
      <w:r w:rsidR="00BF4352">
        <w:fldChar w:fldCharType="end"/>
      </w:r>
      <w:r w:rsidRPr="00BD6C5F">
        <w:t xml:space="preserve"> (</w:t>
      </w:r>
      <w:r w:rsidRPr="00BD6C5F">
        <w:rPr>
          <w:i/>
        </w:rPr>
        <w:t>Service Continuity Plan and Corporate Resolution Planning</w:t>
      </w:r>
      <w:r w:rsidRPr="00BD6C5F">
        <w:t xml:space="preserve">) then, subject to Paragraph </w:t>
      </w:r>
      <w:r w:rsidR="00FB6C75" w:rsidRPr="00BD6C5F">
        <w:fldChar w:fldCharType="begin"/>
      </w:r>
      <w:r w:rsidR="00FB6C75" w:rsidRPr="00BD6C5F">
        <w:instrText xml:space="preserve"> REF _Ref98260056 \n \h </w:instrText>
      </w:r>
      <w:r w:rsidR="00AD7DD0" w:rsidRPr="00BD6C5F">
        <w:instrText xml:space="preserve"> \* MERGEFORMAT </w:instrText>
      </w:r>
      <w:r w:rsidR="00FB6C75" w:rsidRPr="00BD6C5F">
        <w:fldChar w:fldCharType="separate"/>
      </w:r>
      <w:r w:rsidR="009749A0">
        <w:t>8.4</w:t>
      </w:r>
      <w:r w:rsidR="00FB6C75" w:rsidRPr="00BD6C5F">
        <w:fldChar w:fldCharType="end"/>
      </w:r>
      <w:r w:rsidRPr="00BD6C5F">
        <w:t xml:space="preserve"> of this Schedule, the Supplier shall within 120 days after each Accounting Reference Date or within 15 months of the previous Board Confirmation (whichever is the earlier) provide a Board Confirmation to the Authority in the form set out at </w:t>
      </w:r>
      <w:r w:rsidR="00A93D47">
        <w:t>Annex </w:t>
      </w:r>
      <w:r w:rsidR="00A93D47">
        <w:fldChar w:fldCharType="begin"/>
      </w:r>
      <w:r w:rsidR="00A93D47">
        <w:instrText xml:space="preserve"> REF Schedule_18_Annex_4 \h </w:instrText>
      </w:r>
      <w:r w:rsidR="00A93D47">
        <w:fldChar w:fldCharType="separate"/>
      </w:r>
      <w:r w:rsidR="009749A0" w:rsidRPr="00BD6C5F">
        <w:t>4</w:t>
      </w:r>
      <w:r w:rsidR="00A93D47">
        <w:fldChar w:fldCharType="end"/>
      </w:r>
      <w:r w:rsidRPr="00BD6C5F">
        <w:t xml:space="preserve"> of this Schedule, confirming that to the best of the Board</w:t>
      </w:r>
      <w:r w:rsidR="00A4555C" w:rsidRPr="00BD6C5F">
        <w:t>’</w:t>
      </w:r>
      <w:r w:rsidRPr="00BD6C5F">
        <w:t xml:space="preserve">s knowledge and </w:t>
      </w:r>
      <w:r w:rsidRPr="00BD6C5F">
        <w:lastRenderedPageBreak/>
        <w:t>belief, it is not aware of and has no knowledge:</w:t>
      </w:r>
      <w:bookmarkEnd w:id="898"/>
    </w:p>
    <w:p w14:paraId="76070326" w14:textId="77777777" w:rsidR="00BC7DDA" w:rsidRPr="00BD6C5F" w:rsidRDefault="009B03E9" w:rsidP="000D48A0">
      <w:pPr>
        <w:pStyle w:val="Numbered111"/>
      </w:pPr>
      <w:r w:rsidRPr="00BD6C5F">
        <w:t>that a Financial Distress Event has occurred since the later of the Effective Date or the previous Board Confirmation or is subsisting; or</w:t>
      </w:r>
    </w:p>
    <w:p w14:paraId="0610D05B" w14:textId="77777777" w:rsidR="00BC7DDA" w:rsidRPr="00BD6C5F" w:rsidRDefault="009B03E9" w:rsidP="000D48A0">
      <w:pPr>
        <w:pStyle w:val="Numbered111"/>
      </w:pPr>
      <w:r w:rsidRPr="00BD6C5F">
        <w:t>of any matters which have occurred or are subsisting that could reasonably be expected to cause a Financial Distress Event.</w:t>
      </w:r>
    </w:p>
    <w:p w14:paraId="4E15D6CD" w14:textId="77777777" w:rsidR="00BC7DDA" w:rsidRPr="00BD6C5F" w:rsidRDefault="009B03E9" w:rsidP="00C5057A">
      <w:pPr>
        <w:pStyle w:val="Numbered11"/>
      </w:pPr>
      <w:r w:rsidRPr="00BD6C5F">
        <w:t>The Supplier shall ensure that in its preparation of the Board Confirmation it exercises due care and diligence and has made reasonable enquiry of all relevant Supplier Personnel and other persons as is reasonably necessary to understand and confirm the position.</w:t>
      </w:r>
    </w:p>
    <w:p w14:paraId="07ADD668" w14:textId="638DC415" w:rsidR="00BC7DDA" w:rsidRPr="00BD6C5F" w:rsidRDefault="009B03E9" w:rsidP="00C5057A">
      <w:pPr>
        <w:pStyle w:val="Numbered11"/>
      </w:pPr>
      <w:bookmarkStart w:id="899" w:name="_bookmark313"/>
      <w:bookmarkStart w:id="900" w:name="_Ref98415140"/>
      <w:bookmarkEnd w:id="899"/>
      <w:r w:rsidRPr="00BD6C5F">
        <w:t xml:space="preserve">In respect of the first Board Confirmation to be provided under this </w:t>
      </w:r>
      <w:r w:rsidR="00B249B0" w:rsidRPr="00BD6C5F">
        <w:t xml:space="preserve">Contract, </w:t>
      </w:r>
      <w:r w:rsidRPr="00BD6C5F">
        <w:t>the Supplier shall provide the Board Confirmation within 15 months of the Effective Date if earlier than the timescale for submission set out in Paragraph</w:t>
      </w:r>
      <w:bookmarkEnd w:id="900"/>
      <w:r w:rsidR="002D1243" w:rsidRPr="00BD6C5F">
        <w:t xml:space="preserve"> </w:t>
      </w:r>
      <w:r w:rsidR="00FB6C75" w:rsidRPr="00BD6C5F">
        <w:fldChar w:fldCharType="begin"/>
      </w:r>
      <w:r w:rsidR="00FB6C75" w:rsidRPr="00BD6C5F">
        <w:instrText xml:space="preserve"> REF _Ref98415126 \n \h </w:instrText>
      </w:r>
      <w:r w:rsidR="00AD7DD0" w:rsidRPr="00BD6C5F">
        <w:instrText xml:space="preserve"> \* MERGEFORMAT </w:instrText>
      </w:r>
      <w:r w:rsidR="00FB6C75" w:rsidRPr="00BD6C5F">
        <w:fldChar w:fldCharType="separate"/>
      </w:r>
      <w:r w:rsidR="009749A0">
        <w:t>8.1</w:t>
      </w:r>
      <w:r w:rsidR="00FB6C75" w:rsidRPr="00BD6C5F">
        <w:fldChar w:fldCharType="end"/>
      </w:r>
      <w:r w:rsidRPr="00BD6C5F">
        <w:t xml:space="preserve"> of this Schedule.</w:t>
      </w:r>
    </w:p>
    <w:p w14:paraId="3306F9B2" w14:textId="118D8F9F" w:rsidR="00BC7DDA" w:rsidRPr="00BD6C5F" w:rsidRDefault="009B03E9" w:rsidP="00C5057A">
      <w:pPr>
        <w:pStyle w:val="Numbered11"/>
      </w:pPr>
      <w:bookmarkStart w:id="901" w:name="_bookmark314"/>
      <w:bookmarkStart w:id="902" w:name="_Ref98260056"/>
      <w:bookmarkEnd w:id="901"/>
      <w:r w:rsidRPr="00BD6C5F">
        <w:t xml:space="preserve">Where the Supplier is unable to provide a Board Confirmation in accordance with Paragraphs </w:t>
      </w:r>
      <w:r w:rsidR="00FB6C75" w:rsidRPr="00BD6C5F">
        <w:fldChar w:fldCharType="begin"/>
      </w:r>
      <w:r w:rsidR="00FB6C75" w:rsidRPr="00BD6C5F">
        <w:instrText xml:space="preserve"> REF _Ref98415126 \n \h </w:instrText>
      </w:r>
      <w:r w:rsidR="00AD7DD0" w:rsidRPr="00BD6C5F">
        <w:instrText xml:space="preserve"> \* MERGEFORMAT </w:instrText>
      </w:r>
      <w:r w:rsidR="00FB6C75" w:rsidRPr="00BD6C5F">
        <w:fldChar w:fldCharType="separate"/>
      </w:r>
      <w:r w:rsidR="009749A0">
        <w:t>8.1</w:t>
      </w:r>
      <w:r w:rsidR="00FB6C75" w:rsidRPr="00BD6C5F">
        <w:fldChar w:fldCharType="end"/>
      </w:r>
      <w:r w:rsidRPr="00BD6C5F">
        <w:t xml:space="preserve"> to </w:t>
      </w:r>
      <w:r w:rsidR="00FB6C75" w:rsidRPr="00BD6C5F">
        <w:fldChar w:fldCharType="begin"/>
      </w:r>
      <w:r w:rsidR="00FB6C75" w:rsidRPr="00BD6C5F">
        <w:instrText xml:space="preserve"> REF _Ref98415140 \n \h </w:instrText>
      </w:r>
      <w:r w:rsidR="00AD7DD0" w:rsidRPr="00BD6C5F">
        <w:instrText xml:space="preserve"> \* MERGEFORMAT </w:instrText>
      </w:r>
      <w:r w:rsidR="00FB6C75" w:rsidRPr="00BD6C5F">
        <w:fldChar w:fldCharType="separate"/>
      </w:r>
      <w:r w:rsidR="009749A0">
        <w:t>8.3</w:t>
      </w:r>
      <w:r w:rsidR="00FB6C75" w:rsidRPr="00BD6C5F">
        <w:fldChar w:fldCharType="end"/>
      </w:r>
      <w:r w:rsidRPr="00BD6C5F">
        <w:t xml:space="preserve">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Authority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bookmarkEnd w:id="902"/>
    </w:p>
    <w:p w14:paraId="48FCE896" w14:textId="4F5D806E" w:rsidR="00272B0A" w:rsidRPr="00BD6C5F" w:rsidRDefault="00272B0A" w:rsidP="00AB5FF5">
      <w:r w:rsidRPr="00BD6C5F">
        <w:br w:type="page"/>
      </w:r>
    </w:p>
    <w:p w14:paraId="532A1B7C" w14:textId="6848493A" w:rsidR="00BC7DDA" w:rsidRPr="00BD6C5F" w:rsidRDefault="000D48A0" w:rsidP="00AB5FF5">
      <w:pPr>
        <w:pStyle w:val="Heading2"/>
      </w:pPr>
      <w:bookmarkStart w:id="903" w:name="_bookmark315"/>
      <w:bookmarkStart w:id="904" w:name="_Toc98332752"/>
      <w:bookmarkStart w:id="905" w:name="_Ref98343030"/>
      <w:bookmarkStart w:id="906" w:name="_Toc141721021"/>
      <w:bookmarkEnd w:id="903"/>
      <w:r w:rsidRPr="00BD6C5F">
        <w:lastRenderedPageBreak/>
        <w:t xml:space="preserve">Annex </w:t>
      </w:r>
      <w:bookmarkStart w:id="907" w:name="Schedule_18_Annex_1"/>
      <w:r w:rsidRPr="00BD6C5F">
        <w:t>1</w:t>
      </w:r>
      <w:bookmarkEnd w:id="907"/>
      <w:r w:rsidRPr="00BD6C5F">
        <w:t xml:space="preserve">: </w:t>
      </w:r>
      <w:bookmarkStart w:id="908" w:name="_Toc98852929"/>
      <w:r w:rsidRPr="00BD6C5F">
        <w:t>Rating Agencies and their Standard Rating System</w:t>
      </w:r>
      <w:bookmarkEnd w:id="904"/>
      <w:bookmarkEnd w:id="905"/>
      <w:bookmarkEnd w:id="908"/>
      <w:bookmarkEnd w:id="906"/>
    </w:p>
    <w:p w14:paraId="268483CB" w14:textId="5EBE6C19" w:rsidR="00BC7DDA" w:rsidRPr="004C60F6" w:rsidRDefault="001619C1" w:rsidP="00AB5FF5">
      <w:pPr>
        <w:pStyle w:val="BodyText"/>
        <w:spacing w:before="100" w:after="200"/>
        <w:rPr>
          <w:rFonts w:asciiTheme="minorHAnsi" w:hAnsiTheme="minorHAnsi" w:cstheme="minorHAnsi"/>
          <w:b/>
          <w:bCs/>
          <w:i/>
        </w:rPr>
      </w:pPr>
      <w:r w:rsidRPr="00BD6C5F">
        <w:rPr>
          <w:rFonts w:asciiTheme="minorHAnsi" w:hAnsiTheme="minorHAnsi" w:cstheme="minorHAnsi"/>
          <w:iCs/>
        </w:rPr>
        <w:t>[</w:t>
      </w:r>
      <w:r w:rsidRPr="004C60F6">
        <w:rPr>
          <w:rFonts w:asciiTheme="minorHAnsi" w:hAnsiTheme="minorHAnsi" w:cstheme="minorHAnsi"/>
          <w:b/>
          <w:bCs/>
          <w:i/>
          <w:highlight w:val="yellow"/>
        </w:rPr>
        <w:t xml:space="preserve">Guidance: This Annex sets out the standard rating scales for each of the Rating Agencies selected. The Credit Rating Threshold can be referred to in </w:t>
      </w:r>
      <w:hyperlink w:anchor="_bookmark316" w:history="1">
        <w:r w:rsidRPr="004C60F6">
          <w:rPr>
            <w:rFonts w:asciiTheme="minorHAnsi" w:hAnsiTheme="minorHAnsi" w:cstheme="minorHAnsi"/>
            <w:b/>
            <w:bCs/>
            <w:i/>
            <w:highlight w:val="yellow"/>
          </w:rPr>
          <w:t>Annex 2</w:t>
        </w:r>
      </w:hyperlink>
      <w:r w:rsidRPr="004C60F6">
        <w:rPr>
          <w:rFonts w:asciiTheme="minorHAnsi" w:hAnsiTheme="minorHAnsi" w:cstheme="minorHAnsi"/>
          <w:b/>
          <w:bCs/>
          <w:i/>
          <w:highlight w:val="yellow"/>
        </w:rPr>
        <w:t xml:space="preserve"> either by using </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Credit Rating Level 1</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 xml:space="preserve">, </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Credit Rating Level 2</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 xml:space="preserve"> etc. or by reference to the Rating Agencies</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 xml:space="preserve"> ratings </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AAA</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 xml:space="preserve">, </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AA+</w:t>
      </w:r>
      <w:r w:rsidR="00A4555C" w:rsidRPr="004C60F6">
        <w:rPr>
          <w:rFonts w:asciiTheme="minorHAnsi" w:hAnsiTheme="minorHAnsi" w:cstheme="minorHAnsi"/>
          <w:b/>
          <w:bCs/>
          <w:i/>
          <w:highlight w:val="yellow"/>
        </w:rPr>
        <w:t>”</w:t>
      </w:r>
      <w:r w:rsidRPr="004C60F6">
        <w:rPr>
          <w:rFonts w:asciiTheme="minorHAnsi" w:hAnsiTheme="minorHAnsi" w:cstheme="minorHAnsi"/>
          <w:b/>
          <w:bCs/>
          <w:i/>
          <w:highlight w:val="yellow"/>
        </w:rPr>
        <w:t xml:space="preserve"> etc, or both.</w:t>
      </w:r>
    </w:p>
    <w:p w14:paraId="44C0D70A" w14:textId="77777777" w:rsidR="00BC7DDA" w:rsidRPr="00BD6C5F" w:rsidRDefault="009B03E9" w:rsidP="00AB5FF5">
      <w:pPr>
        <w:pStyle w:val="BodyText"/>
        <w:spacing w:before="100" w:after="200"/>
        <w:rPr>
          <w:rFonts w:asciiTheme="minorHAnsi" w:hAnsiTheme="minorHAnsi" w:cstheme="minorHAnsi"/>
          <w:iCs/>
        </w:rPr>
      </w:pPr>
      <w:r w:rsidRPr="004C60F6">
        <w:rPr>
          <w:rFonts w:asciiTheme="minorHAnsi" w:hAnsiTheme="minorHAnsi" w:cstheme="minorHAnsi"/>
          <w:b/>
          <w:bCs/>
          <w:i/>
          <w:shd w:val="clear" w:color="auto" w:fill="FFFF00"/>
        </w:rPr>
        <w:t>Note that this Schedule is based on long-term credit ratings issued by credit</w:t>
      </w:r>
      <w:r w:rsidRPr="004C60F6">
        <w:rPr>
          <w:rFonts w:asciiTheme="minorHAnsi" w:hAnsiTheme="minorHAnsi" w:cstheme="minorHAnsi"/>
          <w:b/>
          <w:bCs/>
          <w:i/>
        </w:rPr>
        <w:t xml:space="preserve"> </w:t>
      </w:r>
      <w:r w:rsidRPr="004C60F6">
        <w:rPr>
          <w:rFonts w:asciiTheme="minorHAnsi" w:hAnsiTheme="minorHAnsi" w:cstheme="minorHAnsi"/>
          <w:b/>
          <w:bCs/>
          <w:i/>
          <w:shd w:val="clear" w:color="auto" w:fill="FFFF00"/>
        </w:rPr>
        <w:t>ratings agencies such as Standard and Poors, Moodys, etc. These are different</w:t>
      </w:r>
      <w:r w:rsidRPr="004C60F6">
        <w:rPr>
          <w:rFonts w:asciiTheme="minorHAnsi" w:hAnsiTheme="minorHAnsi" w:cstheme="minorHAnsi"/>
          <w:b/>
          <w:bCs/>
          <w:i/>
        </w:rPr>
        <w:t xml:space="preserve"> </w:t>
      </w:r>
      <w:r w:rsidRPr="004C60F6">
        <w:rPr>
          <w:rFonts w:asciiTheme="minorHAnsi" w:hAnsiTheme="minorHAnsi" w:cstheme="minorHAnsi"/>
          <w:b/>
          <w:bCs/>
          <w:i/>
          <w:shd w:val="clear" w:color="auto" w:fill="FFFF00"/>
        </w:rPr>
        <w:t>to and should not be substituted for credit scores issued by credit scoring</w:t>
      </w:r>
      <w:r w:rsidRPr="004C60F6">
        <w:rPr>
          <w:rFonts w:asciiTheme="minorHAnsi" w:hAnsiTheme="minorHAnsi" w:cstheme="minorHAnsi"/>
          <w:b/>
          <w:bCs/>
          <w:i/>
        </w:rPr>
        <w:t xml:space="preserve"> </w:t>
      </w:r>
      <w:r w:rsidRPr="004C60F6">
        <w:rPr>
          <w:rFonts w:asciiTheme="minorHAnsi" w:hAnsiTheme="minorHAnsi" w:cstheme="minorHAnsi"/>
          <w:b/>
          <w:bCs/>
          <w:i/>
          <w:shd w:val="clear" w:color="auto" w:fill="FFFF00"/>
        </w:rPr>
        <w:t>agencies such as Dun and Bradstreet, Company Watch, etc)</w:t>
      </w:r>
      <w:r w:rsidRPr="00BD6C5F">
        <w:rPr>
          <w:rFonts w:asciiTheme="minorHAnsi" w:hAnsiTheme="minorHAnsi" w:cstheme="minorHAnsi"/>
          <w:iCs/>
          <w:shd w:val="clear" w:color="auto" w:fill="FFFF00"/>
        </w:rPr>
        <w:t>]</w:t>
      </w:r>
    </w:p>
    <w:p w14:paraId="6131DF8B" w14:textId="77777777" w:rsidR="00AB5FF5" w:rsidRPr="00B750B0" w:rsidRDefault="00AB5FF5" w:rsidP="00B71FC0">
      <w:pPr>
        <w:pStyle w:val="AppendixText1"/>
        <w:numPr>
          <w:ilvl w:val="0"/>
          <w:numId w:val="157"/>
        </w:numPr>
        <w:rPr>
          <w:highlight w:val="yellow"/>
        </w:rPr>
      </w:pPr>
      <w:r w:rsidRPr="00B750B0">
        <w:rPr>
          <w:highlight w:val="yellow"/>
        </w:rPr>
        <w:t>[Rating Agency 1 (e.g. Standard and Poors)]</w:t>
      </w:r>
    </w:p>
    <w:p w14:paraId="3DD98B87"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1 = </w:t>
      </w:r>
      <w:r w:rsidRPr="00BD6C5F">
        <w:rPr>
          <w:rFonts w:asciiTheme="minorHAnsi" w:hAnsiTheme="minorHAnsi" w:cstheme="minorHAnsi"/>
          <w:szCs w:val="24"/>
          <w:shd w:val="clear" w:color="auto" w:fill="FFFF00"/>
        </w:rPr>
        <w:t>[AAA]</w:t>
      </w:r>
    </w:p>
    <w:p w14:paraId="5DCA7DDA"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2 = </w:t>
      </w:r>
      <w:r w:rsidRPr="00BD6C5F">
        <w:rPr>
          <w:rFonts w:asciiTheme="minorHAnsi" w:hAnsiTheme="minorHAnsi" w:cstheme="minorHAnsi"/>
          <w:szCs w:val="24"/>
          <w:shd w:val="clear" w:color="auto" w:fill="FFFF00"/>
        </w:rPr>
        <w:t>[AA+]</w:t>
      </w:r>
    </w:p>
    <w:p w14:paraId="3C4AFCCC"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3 = </w:t>
      </w:r>
      <w:r w:rsidRPr="00BD6C5F">
        <w:rPr>
          <w:rFonts w:asciiTheme="minorHAnsi" w:hAnsiTheme="minorHAnsi" w:cstheme="minorHAnsi"/>
          <w:szCs w:val="24"/>
          <w:shd w:val="clear" w:color="auto" w:fill="FFFF00"/>
        </w:rPr>
        <w:t>[AA]</w:t>
      </w:r>
    </w:p>
    <w:p w14:paraId="23D0E777"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4 = </w:t>
      </w:r>
      <w:r w:rsidRPr="00BD6C5F">
        <w:rPr>
          <w:rFonts w:asciiTheme="minorHAnsi" w:hAnsiTheme="minorHAnsi" w:cstheme="minorHAnsi"/>
          <w:szCs w:val="24"/>
          <w:shd w:val="clear" w:color="auto" w:fill="FFFF00"/>
        </w:rPr>
        <w:t>[AA-]</w:t>
      </w:r>
    </w:p>
    <w:p w14:paraId="204C9367"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5 = </w:t>
      </w:r>
      <w:r w:rsidRPr="00BD6C5F">
        <w:rPr>
          <w:rFonts w:asciiTheme="minorHAnsi" w:hAnsiTheme="minorHAnsi" w:cstheme="minorHAnsi"/>
          <w:szCs w:val="24"/>
          <w:shd w:val="clear" w:color="auto" w:fill="FFFF00"/>
        </w:rPr>
        <w:t>[A+]</w:t>
      </w:r>
    </w:p>
    <w:p w14:paraId="34BFA1B9"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6 = </w:t>
      </w:r>
      <w:r w:rsidRPr="00BD6C5F">
        <w:rPr>
          <w:rFonts w:asciiTheme="minorHAnsi" w:hAnsiTheme="minorHAnsi" w:cstheme="minorHAnsi"/>
          <w:szCs w:val="24"/>
          <w:shd w:val="clear" w:color="auto" w:fill="FFFF00"/>
        </w:rPr>
        <w:t>[A]</w:t>
      </w:r>
    </w:p>
    <w:p w14:paraId="36ABFEBD"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7 = </w:t>
      </w:r>
      <w:r w:rsidRPr="00BD6C5F">
        <w:rPr>
          <w:rFonts w:asciiTheme="minorHAnsi" w:hAnsiTheme="minorHAnsi" w:cstheme="minorHAnsi"/>
          <w:szCs w:val="24"/>
          <w:shd w:val="clear" w:color="auto" w:fill="FFFF00"/>
        </w:rPr>
        <w:t>[A-]</w:t>
      </w:r>
    </w:p>
    <w:p w14:paraId="7F586BE7"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8 = </w:t>
      </w:r>
      <w:r w:rsidRPr="00BD6C5F">
        <w:rPr>
          <w:rFonts w:asciiTheme="minorHAnsi" w:hAnsiTheme="minorHAnsi" w:cstheme="minorHAnsi"/>
          <w:szCs w:val="24"/>
          <w:shd w:val="clear" w:color="auto" w:fill="FFFF00"/>
        </w:rPr>
        <w:t>[BBB+]</w:t>
      </w:r>
    </w:p>
    <w:p w14:paraId="7E30758D"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9 = </w:t>
      </w:r>
      <w:r w:rsidRPr="00BD6C5F">
        <w:rPr>
          <w:rFonts w:asciiTheme="minorHAnsi" w:hAnsiTheme="minorHAnsi" w:cstheme="minorHAnsi"/>
          <w:szCs w:val="24"/>
          <w:shd w:val="clear" w:color="auto" w:fill="FFFF00"/>
        </w:rPr>
        <w:t>[BBB]</w:t>
      </w:r>
    </w:p>
    <w:p w14:paraId="241A8D26"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10 = </w:t>
      </w:r>
      <w:r w:rsidRPr="00BD6C5F">
        <w:rPr>
          <w:rFonts w:asciiTheme="minorHAnsi" w:hAnsiTheme="minorHAnsi" w:cstheme="minorHAnsi"/>
          <w:szCs w:val="24"/>
          <w:shd w:val="clear" w:color="auto" w:fill="FFFF00"/>
        </w:rPr>
        <w:t>[BBB-]</w:t>
      </w:r>
    </w:p>
    <w:p w14:paraId="29A5A613"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Etc.</w:t>
      </w:r>
    </w:p>
    <w:p w14:paraId="663F982F" w14:textId="12F5DFAE" w:rsidR="00AB5FF5" w:rsidRPr="00BD6C5F" w:rsidRDefault="00AB5FF5" w:rsidP="00B71FC0">
      <w:pPr>
        <w:pStyle w:val="AppendixText1"/>
        <w:numPr>
          <w:ilvl w:val="0"/>
          <w:numId w:val="157"/>
        </w:numPr>
        <w:rPr>
          <w:highlight w:val="yellow"/>
        </w:rPr>
      </w:pPr>
      <w:r w:rsidRPr="00BD6C5F">
        <w:rPr>
          <w:highlight w:val="yellow"/>
        </w:rPr>
        <w:t>[Rating Agency 2 (e.g. Moodys)]</w:t>
      </w:r>
    </w:p>
    <w:p w14:paraId="366A2818"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1 = </w:t>
      </w:r>
      <w:r w:rsidRPr="00BD6C5F">
        <w:rPr>
          <w:rFonts w:asciiTheme="minorHAnsi" w:hAnsiTheme="minorHAnsi" w:cstheme="minorHAnsi"/>
          <w:szCs w:val="24"/>
          <w:shd w:val="clear" w:color="auto" w:fill="FFFF00"/>
        </w:rPr>
        <w:t>[Aaa]</w:t>
      </w:r>
    </w:p>
    <w:p w14:paraId="2190FDDB"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2 = </w:t>
      </w:r>
      <w:r w:rsidRPr="00BD6C5F">
        <w:rPr>
          <w:rFonts w:asciiTheme="minorHAnsi" w:hAnsiTheme="minorHAnsi" w:cstheme="minorHAnsi"/>
          <w:szCs w:val="24"/>
          <w:shd w:val="clear" w:color="auto" w:fill="FFFF00"/>
        </w:rPr>
        <w:t>[Aa1]</w:t>
      </w:r>
    </w:p>
    <w:p w14:paraId="52678BEE"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3 = </w:t>
      </w:r>
      <w:r w:rsidRPr="00BD6C5F">
        <w:rPr>
          <w:rFonts w:asciiTheme="minorHAnsi" w:hAnsiTheme="minorHAnsi" w:cstheme="minorHAnsi"/>
          <w:szCs w:val="24"/>
          <w:shd w:val="clear" w:color="auto" w:fill="FFFF00"/>
        </w:rPr>
        <w:t>[Aa2]</w:t>
      </w:r>
    </w:p>
    <w:p w14:paraId="69700D57"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4 = </w:t>
      </w:r>
      <w:r w:rsidRPr="00BD6C5F">
        <w:rPr>
          <w:rFonts w:asciiTheme="minorHAnsi" w:hAnsiTheme="minorHAnsi" w:cstheme="minorHAnsi"/>
          <w:szCs w:val="24"/>
          <w:shd w:val="clear" w:color="auto" w:fill="FFFF00"/>
        </w:rPr>
        <w:t>[Aa3]</w:t>
      </w:r>
    </w:p>
    <w:p w14:paraId="0ABCA152"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5 = </w:t>
      </w:r>
      <w:r w:rsidRPr="00BD6C5F">
        <w:rPr>
          <w:rFonts w:asciiTheme="minorHAnsi" w:hAnsiTheme="minorHAnsi" w:cstheme="minorHAnsi"/>
          <w:szCs w:val="24"/>
          <w:shd w:val="clear" w:color="auto" w:fill="FFFF00"/>
        </w:rPr>
        <w:t>[A1]</w:t>
      </w:r>
    </w:p>
    <w:p w14:paraId="01856AAF"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6 = </w:t>
      </w:r>
      <w:r w:rsidRPr="00BD6C5F">
        <w:rPr>
          <w:rFonts w:asciiTheme="minorHAnsi" w:hAnsiTheme="minorHAnsi" w:cstheme="minorHAnsi"/>
          <w:szCs w:val="24"/>
          <w:shd w:val="clear" w:color="auto" w:fill="FFFF00"/>
        </w:rPr>
        <w:t>[A2]</w:t>
      </w:r>
    </w:p>
    <w:p w14:paraId="765A6F46"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7 = </w:t>
      </w:r>
      <w:r w:rsidRPr="00BD6C5F">
        <w:rPr>
          <w:rFonts w:asciiTheme="minorHAnsi" w:hAnsiTheme="minorHAnsi" w:cstheme="minorHAnsi"/>
          <w:szCs w:val="24"/>
          <w:shd w:val="clear" w:color="auto" w:fill="FFFF00"/>
        </w:rPr>
        <w:t>[A3]</w:t>
      </w:r>
    </w:p>
    <w:p w14:paraId="066BB703"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8 = </w:t>
      </w:r>
      <w:r w:rsidRPr="00BD6C5F">
        <w:rPr>
          <w:rFonts w:asciiTheme="minorHAnsi" w:hAnsiTheme="minorHAnsi" w:cstheme="minorHAnsi"/>
          <w:szCs w:val="24"/>
          <w:shd w:val="clear" w:color="auto" w:fill="FFFF00"/>
        </w:rPr>
        <w:t>[Baa1]</w:t>
      </w:r>
    </w:p>
    <w:p w14:paraId="6D58A05D"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9 = </w:t>
      </w:r>
      <w:r w:rsidRPr="00BD6C5F">
        <w:rPr>
          <w:rFonts w:asciiTheme="minorHAnsi" w:hAnsiTheme="minorHAnsi" w:cstheme="minorHAnsi"/>
          <w:szCs w:val="24"/>
          <w:shd w:val="clear" w:color="auto" w:fill="FFFF00"/>
        </w:rPr>
        <w:t>[Baa2]</w:t>
      </w:r>
    </w:p>
    <w:p w14:paraId="1B7BD6A0" w14:textId="07CEB1D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lastRenderedPageBreak/>
        <w:t xml:space="preserve">Credit Rating Level 10 = </w:t>
      </w:r>
      <w:r w:rsidRPr="00BD6C5F">
        <w:rPr>
          <w:rFonts w:asciiTheme="minorHAnsi" w:hAnsiTheme="minorHAnsi" w:cstheme="minorHAnsi"/>
          <w:szCs w:val="24"/>
          <w:shd w:val="clear" w:color="auto" w:fill="FFFF00"/>
        </w:rPr>
        <w:t>[Baa3]</w:t>
      </w:r>
    </w:p>
    <w:p w14:paraId="78E56800"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Etc.</w:t>
      </w:r>
    </w:p>
    <w:p w14:paraId="62B2E002" w14:textId="66D8CA5A" w:rsidR="00902F7D" w:rsidRPr="00BD6C5F" w:rsidRDefault="00902F7D" w:rsidP="00B71FC0">
      <w:pPr>
        <w:pStyle w:val="AppendixText1"/>
        <w:numPr>
          <w:ilvl w:val="0"/>
          <w:numId w:val="157"/>
        </w:numPr>
        <w:rPr>
          <w:highlight w:val="yellow"/>
        </w:rPr>
      </w:pPr>
      <w:r w:rsidRPr="00BD6C5F">
        <w:rPr>
          <w:highlight w:val="yellow"/>
        </w:rPr>
        <w:t>[Rating Agency 3 (etc.)]</w:t>
      </w:r>
    </w:p>
    <w:p w14:paraId="385D5B9E"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 xml:space="preserve">Credit Rating Level 1 = </w:t>
      </w:r>
      <w:r w:rsidRPr="00BD6C5F">
        <w:rPr>
          <w:rFonts w:asciiTheme="minorHAnsi" w:hAnsiTheme="minorHAnsi" w:cstheme="minorHAnsi"/>
          <w:szCs w:val="24"/>
          <w:shd w:val="clear" w:color="auto" w:fill="FFFF00"/>
        </w:rPr>
        <w:t>[XXX]</w:t>
      </w:r>
    </w:p>
    <w:p w14:paraId="70908F7E" w14:textId="77777777" w:rsidR="00BC7DDA" w:rsidRPr="00BD6C5F" w:rsidRDefault="009B03E9" w:rsidP="00AA48C6">
      <w:pPr>
        <w:pStyle w:val="ListParagraph"/>
        <w:numPr>
          <w:ilvl w:val="0"/>
          <w:numId w:val="4"/>
        </w:numPr>
        <w:tabs>
          <w:tab w:val="left" w:pos="1740"/>
          <w:tab w:val="left" w:pos="1741"/>
        </w:tabs>
        <w:spacing w:before="100" w:after="200"/>
        <w:ind w:left="1440"/>
        <w:rPr>
          <w:rFonts w:asciiTheme="minorHAnsi" w:hAnsiTheme="minorHAnsi" w:cstheme="minorHAnsi"/>
          <w:szCs w:val="24"/>
        </w:rPr>
      </w:pPr>
      <w:r w:rsidRPr="00BD6C5F">
        <w:rPr>
          <w:rFonts w:asciiTheme="minorHAnsi" w:hAnsiTheme="minorHAnsi" w:cstheme="minorHAnsi"/>
          <w:szCs w:val="24"/>
        </w:rPr>
        <w:t>Etc.</w:t>
      </w:r>
    </w:p>
    <w:p w14:paraId="3A638D87" w14:textId="77777777" w:rsidR="00902F7D" w:rsidRPr="00BD6C5F" w:rsidRDefault="00902F7D" w:rsidP="00902F7D"/>
    <w:p w14:paraId="69615A1E" w14:textId="3BA81612" w:rsidR="00272B0A" w:rsidRPr="00BD6C5F" w:rsidRDefault="00272B0A" w:rsidP="00902F7D">
      <w:r w:rsidRPr="00BD6C5F">
        <w:br w:type="page"/>
      </w:r>
    </w:p>
    <w:p w14:paraId="7A07519B" w14:textId="5599F494" w:rsidR="00BC7DDA" w:rsidRPr="00BD6C5F" w:rsidRDefault="000D48A0" w:rsidP="00902F7D">
      <w:pPr>
        <w:pStyle w:val="Heading2"/>
      </w:pPr>
      <w:bookmarkStart w:id="909" w:name="_bookmark316"/>
      <w:bookmarkStart w:id="910" w:name="_Toc98332753"/>
      <w:bookmarkStart w:id="911" w:name="_Ref98343040"/>
      <w:bookmarkStart w:id="912" w:name="_Ref98343063"/>
      <w:bookmarkStart w:id="913" w:name="_Ref98343077"/>
      <w:bookmarkStart w:id="914" w:name="_Ref98343135"/>
      <w:bookmarkStart w:id="915" w:name="_Toc98852930"/>
      <w:bookmarkStart w:id="916" w:name="_Toc141721022"/>
      <w:bookmarkEnd w:id="909"/>
      <w:r w:rsidRPr="00BD6C5F">
        <w:lastRenderedPageBreak/>
        <w:t xml:space="preserve">Annex </w:t>
      </w:r>
      <w:bookmarkStart w:id="917" w:name="Schedule_18_Annex_2"/>
      <w:r w:rsidRPr="00BD6C5F">
        <w:t>2</w:t>
      </w:r>
      <w:bookmarkEnd w:id="917"/>
      <w:r w:rsidRPr="00BD6C5F">
        <w:t>: Credit Ratings and Credit Rating Thresholds</w:t>
      </w:r>
      <w:bookmarkEnd w:id="910"/>
      <w:bookmarkEnd w:id="911"/>
      <w:bookmarkEnd w:id="912"/>
      <w:bookmarkEnd w:id="913"/>
      <w:bookmarkEnd w:id="914"/>
      <w:bookmarkEnd w:id="915"/>
      <w:bookmarkEnd w:id="916"/>
    </w:p>
    <w:p w14:paraId="79FB708B" w14:textId="3698A605" w:rsidR="00BC7DDA" w:rsidRPr="00BD6C5F" w:rsidRDefault="009B03E9" w:rsidP="00902F7D">
      <w:pPr>
        <w:spacing w:before="100" w:after="200"/>
      </w:pPr>
      <w:r w:rsidRPr="00BD6C5F">
        <w:rPr>
          <w:b/>
          <w:bCs/>
          <w:highlight w:val="yellow"/>
        </w:rPr>
        <w:t>[</w:t>
      </w:r>
      <w:r w:rsidRPr="004C60F6">
        <w:rPr>
          <w:b/>
          <w:bCs/>
          <w:i/>
          <w:iCs/>
          <w:highlight w:val="yellow"/>
        </w:rPr>
        <w:t xml:space="preserve">Guidance: The Key Sub-contractors listed in </w:t>
      </w:r>
      <w:r w:rsidR="00FF2A19" w:rsidRPr="004C60F6">
        <w:rPr>
          <w:b/>
          <w:bCs/>
          <w:i/>
          <w:iCs/>
          <w:highlight w:val="yellow"/>
        </w:rPr>
        <w:t>Schedule</w:t>
      </w:r>
      <w:r w:rsidR="00B11037" w:rsidRPr="004C60F6">
        <w:rPr>
          <w:b/>
          <w:bCs/>
          <w:i/>
          <w:iCs/>
          <w:highlight w:val="yellow"/>
        </w:rPr>
        <w:t> </w:t>
      </w:r>
      <w:r w:rsidR="0019439D" w:rsidRPr="004C60F6">
        <w:rPr>
          <w:b/>
          <w:bCs/>
          <w:i/>
          <w:iCs/>
          <w:highlight w:val="yellow"/>
        </w:rPr>
        <w:fldChar w:fldCharType="begin"/>
      </w:r>
      <w:r w:rsidR="0019439D" w:rsidRPr="004C60F6">
        <w:rPr>
          <w:b/>
          <w:bCs/>
          <w:i/>
          <w:iCs/>
          <w:highlight w:val="yellow"/>
        </w:rPr>
        <w:instrText xml:space="preserve"> REF Schedule_10 \h  \* MERGEFORMAT </w:instrText>
      </w:r>
      <w:r w:rsidR="0019439D" w:rsidRPr="004C60F6">
        <w:rPr>
          <w:b/>
          <w:bCs/>
          <w:i/>
          <w:iCs/>
          <w:highlight w:val="yellow"/>
        </w:rPr>
      </w:r>
      <w:r w:rsidR="0019439D" w:rsidRPr="004C60F6">
        <w:rPr>
          <w:b/>
          <w:bCs/>
          <w:i/>
          <w:iCs/>
          <w:highlight w:val="yellow"/>
        </w:rPr>
        <w:fldChar w:fldCharType="separate"/>
      </w:r>
      <w:r w:rsidR="009749A0" w:rsidRPr="00B664D1">
        <w:rPr>
          <w:b/>
          <w:bCs/>
          <w:i/>
          <w:iCs/>
          <w:highlight w:val="yellow"/>
        </w:rPr>
        <w:t>10</w:t>
      </w:r>
      <w:r w:rsidR="0019439D" w:rsidRPr="004C60F6">
        <w:rPr>
          <w:b/>
          <w:bCs/>
          <w:i/>
          <w:iCs/>
          <w:highlight w:val="yellow"/>
        </w:rPr>
        <w:fldChar w:fldCharType="end"/>
      </w:r>
      <w:r w:rsidR="0019439D" w:rsidRPr="004C60F6">
        <w:rPr>
          <w:b/>
          <w:bCs/>
          <w:i/>
          <w:iCs/>
          <w:highlight w:val="yellow"/>
        </w:rPr>
        <w:t xml:space="preserve"> </w:t>
      </w:r>
      <w:r w:rsidRPr="004C60F6">
        <w:rPr>
          <w:b/>
          <w:bCs/>
          <w:i/>
          <w:iCs/>
          <w:highlight w:val="yellow"/>
        </w:rPr>
        <w:t>(Notified Key Sub-contractors) should be included in this table</w:t>
      </w:r>
      <w:r w:rsidRPr="00BD6C5F">
        <w:rPr>
          <w:highlight w:val="yellow"/>
        </w:rPr>
        <w:t>]</w:t>
      </w:r>
    </w:p>
    <w:tbl>
      <w:tblPr>
        <w:tblStyle w:val="MSATable-header"/>
        <w:tblW w:w="10205" w:type="dxa"/>
        <w:tblLayout w:type="fixed"/>
        <w:tblLook w:val="0620" w:firstRow="1" w:lastRow="0" w:firstColumn="0" w:lastColumn="0" w:noHBand="1" w:noVBand="1"/>
      </w:tblPr>
      <w:tblGrid>
        <w:gridCol w:w="3402"/>
        <w:gridCol w:w="3118"/>
        <w:gridCol w:w="3685"/>
      </w:tblGrid>
      <w:tr w:rsidR="00BC7DDA" w:rsidRPr="00BD6C5F" w14:paraId="42D583E0" w14:textId="77777777" w:rsidTr="00902F7D">
        <w:trPr>
          <w:cnfStyle w:val="100000000000" w:firstRow="1" w:lastRow="0" w:firstColumn="0" w:lastColumn="0" w:oddVBand="0" w:evenVBand="0" w:oddHBand="0" w:evenHBand="0" w:firstRowFirstColumn="0" w:firstRowLastColumn="0" w:lastRowFirstColumn="0" w:lastRowLastColumn="0"/>
          <w:trHeight w:val="20"/>
          <w:tblHeader/>
        </w:trPr>
        <w:tc>
          <w:tcPr>
            <w:tcW w:w="3402" w:type="dxa"/>
          </w:tcPr>
          <w:p w14:paraId="7DAA760C" w14:textId="77777777" w:rsidR="00BC7DDA" w:rsidRPr="00BD6C5F" w:rsidRDefault="009B03E9" w:rsidP="00902F7D">
            <w:pPr>
              <w:pStyle w:val="Tabletext"/>
              <w:rPr>
                <w:rFonts w:asciiTheme="minorHAnsi" w:hAnsiTheme="minorHAnsi" w:cstheme="minorHAnsi"/>
                <w:bCs/>
              </w:rPr>
            </w:pPr>
            <w:r w:rsidRPr="00BD6C5F">
              <w:rPr>
                <w:rFonts w:asciiTheme="minorHAnsi" w:hAnsiTheme="minorHAnsi" w:cstheme="minorHAnsi"/>
                <w:bCs/>
              </w:rPr>
              <w:t>Entity</w:t>
            </w:r>
          </w:p>
        </w:tc>
        <w:tc>
          <w:tcPr>
            <w:tcW w:w="3118" w:type="dxa"/>
          </w:tcPr>
          <w:p w14:paraId="0F7FA34C" w14:textId="77777777" w:rsidR="00BC7DDA" w:rsidRPr="00BD6C5F" w:rsidRDefault="009B03E9" w:rsidP="00902F7D">
            <w:pPr>
              <w:pStyle w:val="Tabletext"/>
              <w:rPr>
                <w:rFonts w:asciiTheme="minorHAnsi" w:hAnsiTheme="minorHAnsi" w:cstheme="minorHAnsi"/>
                <w:bCs/>
              </w:rPr>
            </w:pPr>
            <w:r w:rsidRPr="00BD6C5F">
              <w:rPr>
                <w:rFonts w:asciiTheme="minorHAnsi" w:hAnsiTheme="minorHAnsi" w:cstheme="minorHAnsi"/>
                <w:bCs/>
              </w:rPr>
              <w:t>Credit Rating (long term)</w:t>
            </w:r>
          </w:p>
          <w:p w14:paraId="2EA854AE" w14:textId="77777777" w:rsidR="00BC7DDA" w:rsidRPr="00BD6C5F" w:rsidRDefault="009B03E9" w:rsidP="00902F7D">
            <w:pPr>
              <w:pStyle w:val="Tabletext"/>
              <w:rPr>
                <w:rFonts w:asciiTheme="minorHAnsi" w:hAnsiTheme="minorHAnsi" w:cstheme="minorHAnsi"/>
                <w:bCs/>
                <w:sz w:val="22"/>
                <w:szCs w:val="22"/>
              </w:rPr>
            </w:pPr>
            <w:r w:rsidRPr="00BD6C5F">
              <w:rPr>
                <w:rFonts w:asciiTheme="minorHAnsi" w:hAnsiTheme="minorHAnsi" w:cstheme="minorHAnsi"/>
                <w:bCs/>
                <w:sz w:val="22"/>
                <w:szCs w:val="22"/>
              </w:rPr>
              <w:t>(</w:t>
            </w:r>
            <w:r w:rsidRPr="00012747">
              <w:rPr>
                <w:rFonts w:asciiTheme="minorHAnsi" w:hAnsiTheme="minorHAnsi" w:cstheme="minorHAnsi"/>
                <w:bCs/>
                <w:sz w:val="22"/>
                <w:szCs w:val="22"/>
                <w:highlight w:val="yellow"/>
              </w:rPr>
              <w:t>insert</w:t>
            </w:r>
            <w:r w:rsidRPr="00BD6C5F">
              <w:rPr>
                <w:rFonts w:asciiTheme="minorHAnsi" w:hAnsiTheme="minorHAnsi" w:cstheme="minorHAnsi"/>
                <w:bCs/>
                <w:sz w:val="22"/>
                <w:szCs w:val="22"/>
              </w:rPr>
              <w:t xml:space="preserve"> credit rating issued for the entity at the Effective Date)</w:t>
            </w:r>
          </w:p>
        </w:tc>
        <w:tc>
          <w:tcPr>
            <w:tcW w:w="3685" w:type="dxa"/>
          </w:tcPr>
          <w:p w14:paraId="0AC56849" w14:textId="77777777" w:rsidR="00BC7DDA" w:rsidRPr="00BD6C5F" w:rsidRDefault="009B03E9" w:rsidP="00902F7D">
            <w:pPr>
              <w:pStyle w:val="Tabletext"/>
              <w:rPr>
                <w:rFonts w:asciiTheme="minorHAnsi" w:hAnsiTheme="minorHAnsi" w:cstheme="minorHAnsi"/>
                <w:bCs/>
              </w:rPr>
            </w:pPr>
            <w:r w:rsidRPr="00BD6C5F">
              <w:rPr>
                <w:rFonts w:asciiTheme="minorHAnsi" w:hAnsiTheme="minorHAnsi" w:cstheme="minorHAnsi"/>
                <w:bCs/>
              </w:rPr>
              <w:t>Credit Rating Threshold</w:t>
            </w:r>
          </w:p>
          <w:p w14:paraId="523E8086" w14:textId="1941AC7D" w:rsidR="00BC7DDA" w:rsidRPr="00BD6C5F" w:rsidRDefault="009B03E9" w:rsidP="00902F7D">
            <w:pPr>
              <w:pStyle w:val="Tabletext"/>
              <w:rPr>
                <w:rFonts w:asciiTheme="minorHAnsi" w:hAnsiTheme="minorHAnsi" w:cstheme="minorHAnsi"/>
                <w:bCs/>
                <w:iCs/>
                <w:sz w:val="22"/>
                <w:szCs w:val="22"/>
              </w:rPr>
            </w:pPr>
            <w:r w:rsidRPr="00BD6C5F">
              <w:rPr>
                <w:rFonts w:asciiTheme="minorHAnsi" w:hAnsiTheme="minorHAnsi" w:cstheme="minorHAnsi"/>
                <w:bCs/>
                <w:iCs/>
                <w:sz w:val="22"/>
                <w:szCs w:val="22"/>
              </w:rPr>
              <w:t>(</w:t>
            </w:r>
            <w:r w:rsidRPr="00012747">
              <w:rPr>
                <w:rFonts w:asciiTheme="minorHAnsi" w:hAnsiTheme="minorHAnsi" w:cstheme="minorHAnsi"/>
                <w:bCs/>
                <w:iCs/>
                <w:sz w:val="22"/>
                <w:szCs w:val="22"/>
                <w:highlight w:val="yellow"/>
              </w:rPr>
              <w:t>insert</w:t>
            </w:r>
            <w:r w:rsidRPr="00BD6C5F">
              <w:rPr>
                <w:rFonts w:asciiTheme="minorHAnsi" w:hAnsiTheme="minorHAnsi" w:cstheme="minorHAnsi"/>
                <w:bCs/>
                <w:iCs/>
                <w:sz w:val="22"/>
                <w:szCs w:val="22"/>
              </w:rPr>
              <w:t xml:space="preserve"> the actual rating (</w:t>
            </w:r>
            <w:r w:rsidR="00971138" w:rsidRPr="00BD6C5F">
              <w:rPr>
                <w:rFonts w:asciiTheme="minorHAnsi" w:hAnsiTheme="minorHAnsi" w:cstheme="minorHAnsi"/>
                <w:bCs/>
                <w:iCs/>
                <w:sz w:val="22"/>
                <w:szCs w:val="22"/>
              </w:rPr>
              <w:t>e.g.</w:t>
            </w:r>
            <w:r w:rsidRPr="00BD6C5F">
              <w:rPr>
                <w:rFonts w:asciiTheme="minorHAnsi" w:hAnsiTheme="minorHAnsi" w:cstheme="minorHAnsi"/>
                <w:bCs/>
                <w:iCs/>
                <w:sz w:val="22"/>
                <w:szCs w:val="22"/>
              </w:rPr>
              <w:t xml:space="preserve"> AA-) or the Credit Rating Level (</w:t>
            </w:r>
            <w:r w:rsidR="00971138" w:rsidRPr="00BD6C5F">
              <w:rPr>
                <w:rFonts w:asciiTheme="minorHAnsi" w:hAnsiTheme="minorHAnsi" w:cstheme="minorHAnsi"/>
                <w:bCs/>
                <w:iCs/>
                <w:sz w:val="22"/>
                <w:szCs w:val="22"/>
              </w:rPr>
              <w:t>e.g.</w:t>
            </w:r>
            <w:r w:rsidRPr="00BD6C5F">
              <w:rPr>
                <w:rFonts w:asciiTheme="minorHAnsi" w:hAnsiTheme="minorHAnsi" w:cstheme="minorHAnsi"/>
                <w:bCs/>
                <w:iCs/>
                <w:sz w:val="22"/>
                <w:szCs w:val="22"/>
              </w:rPr>
              <w:t xml:space="preserve"> Credit Rating Level 3)</w:t>
            </w:r>
          </w:p>
        </w:tc>
      </w:tr>
      <w:tr w:rsidR="00BC7DDA" w:rsidRPr="00BD6C5F" w14:paraId="7C3AD071" w14:textId="77777777" w:rsidTr="00902F7D">
        <w:trPr>
          <w:trHeight w:val="20"/>
        </w:trPr>
        <w:tc>
          <w:tcPr>
            <w:tcW w:w="3402" w:type="dxa"/>
            <w:vMerge w:val="restart"/>
          </w:tcPr>
          <w:p w14:paraId="1430F122"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rPr>
              <w:t>Supplier</w:t>
            </w:r>
          </w:p>
        </w:tc>
        <w:tc>
          <w:tcPr>
            <w:tcW w:w="3118" w:type="dxa"/>
          </w:tcPr>
          <w:p w14:paraId="349F6724"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[Rating Agency 1] –</w:t>
            </w:r>
            <w:r w:rsidRPr="00BD6C5F">
              <w:rPr>
                <w:rFonts w:asciiTheme="minorHAnsi" w:hAnsiTheme="minorHAnsi" w:cstheme="minorHAnsi"/>
              </w:rPr>
              <w:t xml:space="preserve"> </w:t>
            </w:r>
            <w:r w:rsidRPr="00BD6C5F">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BD6C5F">
              <w:rPr>
                <w:rFonts w:asciiTheme="minorHAnsi" w:hAnsiTheme="minorHAnsi" w:cstheme="minorHAnsi"/>
                <w:shd w:val="clear" w:color="auto" w:fill="FFFF00"/>
              </w:rPr>
              <w:t xml:space="preserve"> rating for Rating</w:t>
            </w:r>
            <w:r w:rsidRPr="00BD6C5F">
              <w:rPr>
                <w:rFonts w:asciiTheme="minorHAnsi" w:hAnsiTheme="minorHAnsi" w:cstheme="minorHAnsi"/>
              </w:rPr>
              <w:t xml:space="preserve"> </w:t>
            </w:r>
            <w:r w:rsidRPr="00BD6C5F">
              <w:rPr>
                <w:rFonts w:asciiTheme="minorHAnsi" w:hAnsiTheme="minorHAnsi" w:cstheme="minorHAnsi"/>
                <w:shd w:val="clear" w:color="auto" w:fill="FFFF00"/>
              </w:rPr>
              <w:t>Agency 1]</w:t>
            </w:r>
          </w:p>
        </w:tc>
        <w:tc>
          <w:tcPr>
            <w:tcW w:w="3685" w:type="dxa"/>
          </w:tcPr>
          <w:p w14:paraId="624495FC"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rPr>
              <w:t>[</w:t>
            </w:r>
            <w:r w:rsidRPr="00BD6C5F">
              <w:rPr>
                <w:rFonts w:asciiTheme="minorHAnsi" w:hAnsiTheme="minorHAnsi" w:cstheme="minorHAnsi"/>
                <w:highlight w:val="yellow"/>
              </w:rPr>
              <w:t>Rating Agency 1</w:t>
            </w:r>
            <w:r w:rsidRPr="00BD6C5F">
              <w:rPr>
                <w:rFonts w:asciiTheme="minorHAnsi" w:hAnsiTheme="minorHAnsi" w:cstheme="minorHAnsi"/>
              </w:rPr>
              <w:t xml:space="preserve">] – </w:t>
            </w:r>
            <w:r w:rsidRPr="00BD6C5F">
              <w:rPr>
                <w:rFonts w:asciiTheme="minorHAnsi" w:hAnsiTheme="minorHAnsi" w:cstheme="minorHAnsi"/>
                <w:shd w:val="clear" w:color="auto" w:fill="FFFF00"/>
              </w:rPr>
              <w:t>[</w:t>
            </w:r>
            <w:r w:rsidRPr="00012747">
              <w:rPr>
                <w:rFonts w:asciiTheme="minorHAnsi" w:hAnsiTheme="minorHAnsi" w:cstheme="minorHAnsi"/>
                <w:b/>
                <w:bCs/>
                <w:highlight w:val="yellow"/>
                <w:shd w:val="clear" w:color="auto" w:fill="FFFF00"/>
              </w:rPr>
              <w:t>insert</w:t>
            </w:r>
            <w:r w:rsidRPr="00BD6C5F">
              <w:rPr>
                <w:rFonts w:asciiTheme="minorHAnsi" w:hAnsiTheme="minorHAnsi" w:cstheme="minorHAnsi"/>
                <w:highlight w:val="yellow"/>
                <w:shd w:val="clear" w:color="auto" w:fill="FFFF00"/>
              </w:rPr>
              <w:t xml:space="preserve"> threshold for</w:t>
            </w:r>
            <w:r w:rsidRPr="00BD6C5F">
              <w:rPr>
                <w:rFonts w:asciiTheme="minorHAnsi" w:hAnsiTheme="minorHAnsi" w:cstheme="minorHAnsi"/>
                <w:highlight w:val="yellow"/>
              </w:rPr>
              <w:t xml:space="preserve"> Rating Agency 1</w:t>
            </w:r>
            <w:r w:rsidRPr="00BD6C5F">
              <w:rPr>
                <w:rFonts w:asciiTheme="minorHAnsi" w:hAnsiTheme="minorHAnsi" w:cstheme="minorHAnsi"/>
              </w:rPr>
              <w:t>]</w:t>
            </w:r>
          </w:p>
        </w:tc>
      </w:tr>
      <w:tr w:rsidR="00BC7DDA" w:rsidRPr="00BD6C5F" w14:paraId="20779C37" w14:textId="77777777" w:rsidTr="00902F7D">
        <w:trPr>
          <w:trHeight w:val="20"/>
        </w:trPr>
        <w:tc>
          <w:tcPr>
            <w:tcW w:w="3402" w:type="dxa"/>
            <w:vMerge/>
          </w:tcPr>
          <w:p w14:paraId="775B6E77" w14:textId="77777777" w:rsidR="00BC7DDA" w:rsidRPr="00BD6C5F" w:rsidRDefault="00BC7DDA">
            <w:pPr>
              <w:rPr>
                <w:rFonts w:asciiTheme="minorHAnsi" w:hAnsiTheme="minorHAnsi" w:cstheme="minorHAnsi"/>
              </w:rPr>
            </w:pPr>
          </w:p>
        </w:tc>
        <w:tc>
          <w:tcPr>
            <w:tcW w:w="3118" w:type="dxa"/>
          </w:tcPr>
          <w:p w14:paraId="09A9CF55"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[Rating Agency 2] –</w:t>
            </w:r>
            <w:r w:rsidRPr="00BD6C5F">
              <w:rPr>
                <w:rFonts w:asciiTheme="minorHAnsi" w:hAnsiTheme="minorHAnsi" w:cstheme="minorHAnsi"/>
              </w:rPr>
              <w:t xml:space="preserve"> </w:t>
            </w:r>
            <w:r w:rsidRPr="00BD6C5F">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BD6C5F">
              <w:rPr>
                <w:rFonts w:asciiTheme="minorHAnsi" w:hAnsiTheme="minorHAnsi" w:cstheme="minorHAnsi"/>
                <w:shd w:val="clear" w:color="auto" w:fill="FFFF00"/>
              </w:rPr>
              <w:t xml:space="preserve"> rating for Rating</w:t>
            </w:r>
            <w:r w:rsidRPr="00BD6C5F">
              <w:rPr>
                <w:rFonts w:asciiTheme="minorHAnsi" w:hAnsiTheme="minorHAnsi" w:cstheme="minorHAnsi"/>
              </w:rPr>
              <w:t xml:space="preserve"> </w:t>
            </w:r>
            <w:r w:rsidRPr="00BD6C5F">
              <w:rPr>
                <w:rFonts w:asciiTheme="minorHAnsi" w:hAnsiTheme="minorHAnsi" w:cstheme="minorHAnsi"/>
                <w:shd w:val="clear" w:color="auto" w:fill="FFFF00"/>
              </w:rPr>
              <w:t>Agency 2]</w:t>
            </w:r>
          </w:p>
        </w:tc>
        <w:tc>
          <w:tcPr>
            <w:tcW w:w="3685" w:type="dxa"/>
          </w:tcPr>
          <w:p w14:paraId="5283AC58"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rPr>
              <w:t>[</w:t>
            </w:r>
            <w:r w:rsidRPr="00BD6C5F">
              <w:rPr>
                <w:rFonts w:asciiTheme="minorHAnsi" w:hAnsiTheme="minorHAnsi" w:cstheme="minorHAnsi"/>
                <w:highlight w:val="yellow"/>
              </w:rPr>
              <w:t>Rating Agency 2</w:t>
            </w:r>
            <w:r w:rsidRPr="00BD6C5F">
              <w:rPr>
                <w:rFonts w:asciiTheme="minorHAnsi" w:hAnsiTheme="minorHAnsi" w:cstheme="minorHAnsi"/>
              </w:rPr>
              <w:t xml:space="preserve">] – </w:t>
            </w:r>
            <w:r w:rsidRPr="00BD6C5F">
              <w:rPr>
                <w:rFonts w:asciiTheme="minorHAnsi" w:hAnsiTheme="minorHAnsi" w:cstheme="minorHAnsi"/>
                <w:shd w:val="clear" w:color="auto" w:fill="FFFF00"/>
              </w:rPr>
              <w:t>[</w:t>
            </w:r>
            <w:r w:rsidRPr="00012747">
              <w:rPr>
                <w:rFonts w:asciiTheme="minorHAnsi" w:hAnsiTheme="minorHAnsi" w:cstheme="minorHAnsi"/>
                <w:b/>
                <w:bCs/>
                <w:highlight w:val="yellow"/>
                <w:shd w:val="clear" w:color="auto" w:fill="FFFF00"/>
              </w:rPr>
              <w:t>insert</w:t>
            </w:r>
            <w:r w:rsidRPr="00BD6C5F">
              <w:rPr>
                <w:rFonts w:asciiTheme="minorHAnsi" w:hAnsiTheme="minorHAnsi" w:cstheme="minorHAnsi"/>
                <w:highlight w:val="yellow"/>
                <w:shd w:val="clear" w:color="auto" w:fill="FFFF00"/>
              </w:rPr>
              <w:t xml:space="preserve"> threshold for</w:t>
            </w:r>
            <w:r w:rsidRPr="00BD6C5F">
              <w:rPr>
                <w:rFonts w:asciiTheme="minorHAnsi" w:hAnsiTheme="minorHAnsi" w:cstheme="minorHAnsi"/>
                <w:highlight w:val="yellow"/>
              </w:rPr>
              <w:t xml:space="preserve"> Rating Agency 2</w:t>
            </w:r>
            <w:r w:rsidRPr="00BD6C5F">
              <w:rPr>
                <w:rFonts w:asciiTheme="minorHAnsi" w:hAnsiTheme="minorHAnsi" w:cstheme="minorHAnsi"/>
              </w:rPr>
              <w:t>]</w:t>
            </w:r>
          </w:p>
        </w:tc>
      </w:tr>
      <w:tr w:rsidR="00BC7DDA" w:rsidRPr="00BD6C5F" w14:paraId="7FFA6105" w14:textId="77777777" w:rsidTr="00902F7D">
        <w:trPr>
          <w:trHeight w:val="20"/>
        </w:trPr>
        <w:tc>
          <w:tcPr>
            <w:tcW w:w="3402" w:type="dxa"/>
            <w:vMerge/>
          </w:tcPr>
          <w:p w14:paraId="27B0A134" w14:textId="77777777" w:rsidR="00BC7DDA" w:rsidRPr="00BD6C5F" w:rsidRDefault="00BC7DDA">
            <w:pPr>
              <w:rPr>
                <w:rFonts w:asciiTheme="minorHAnsi" w:hAnsiTheme="minorHAnsi" w:cstheme="minorHAnsi"/>
              </w:rPr>
            </w:pPr>
          </w:p>
        </w:tc>
        <w:tc>
          <w:tcPr>
            <w:tcW w:w="3118" w:type="dxa"/>
          </w:tcPr>
          <w:p w14:paraId="3E251CB6"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30CB3D46"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2ADA630D" w14:textId="77777777" w:rsidTr="00902F7D">
        <w:trPr>
          <w:trHeight w:val="20"/>
        </w:trPr>
        <w:tc>
          <w:tcPr>
            <w:tcW w:w="3402" w:type="dxa"/>
            <w:vMerge w:val="restart"/>
          </w:tcPr>
          <w:p w14:paraId="4368FEAB"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shd w:val="clear" w:color="auto" w:fill="FFFF00"/>
              </w:rPr>
              <w:t>[Guarantor]</w:t>
            </w:r>
          </w:p>
        </w:tc>
        <w:tc>
          <w:tcPr>
            <w:tcW w:w="3118" w:type="dxa"/>
          </w:tcPr>
          <w:p w14:paraId="2DFEB7B8"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[Rating Agency 1] –</w:t>
            </w:r>
            <w:r w:rsidRPr="00BD6C5F">
              <w:rPr>
                <w:rFonts w:asciiTheme="minorHAnsi" w:hAnsiTheme="minorHAnsi" w:cstheme="minorHAnsi"/>
              </w:rPr>
              <w:t xml:space="preserve"> </w:t>
            </w:r>
            <w:r w:rsidRPr="00BD6C5F">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BD6C5F">
              <w:rPr>
                <w:rFonts w:asciiTheme="minorHAnsi" w:hAnsiTheme="minorHAnsi" w:cstheme="minorHAnsi"/>
                <w:shd w:val="clear" w:color="auto" w:fill="FFFF00"/>
              </w:rPr>
              <w:t xml:space="preserve"> rating for Rating</w:t>
            </w:r>
            <w:r w:rsidRPr="00BD6C5F">
              <w:rPr>
                <w:rFonts w:asciiTheme="minorHAnsi" w:hAnsiTheme="minorHAnsi" w:cstheme="minorHAnsi"/>
              </w:rPr>
              <w:t xml:space="preserve"> </w:t>
            </w:r>
            <w:r w:rsidRPr="00BD6C5F">
              <w:rPr>
                <w:rFonts w:asciiTheme="minorHAnsi" w:hAnsiTheme="minorHAnsi" w:cstheme="minorHAnsi"/>
                <w:shd w:val="clear" w:color="auto" w:fill="FFFF00"/>
              </w:rPr>
              <w:t>Agency 1]</w:t>
            </w:r>
          </w:p>
        </w:tc>
        <w:tc>
          <w:tcPr>
            <w:tcW w:w="3685" w:type="dxa"/>
          </w:tcPr>
          <w:p w14:paraId="1FDAE044"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rPr>
              <w:t>[</w:t>
            </w:r>
            <w:r w:rsidRPr="00BD6C5F">
              <w:rPr>
                <w:rFonts w:asciiTheme="minorHAnsi" w:hAnsiTheme="minorHAnsi" w:cstheme="minorHAnsi"/>
                <w:highlight w:val="yellow"/>
              </w:rPr>
              <w:t>Rating Agency 1</w:t>
            </w:r>
            <w:r w:rsidRPr="00BD6C5F">
              <w:rPr>
                <w:rFonts w:asciiTheme="minorHAnsi" w:hAnsiTheme="minorHAnsi" w:cstheme="minorHAnsi"/>
              </w:rPr>
              <w:t xml:space="preserve">] – </w:t>
            </w:r>
            <w:r w:rsidRPr="00BD6C5F">
              <w:rPr>
                <w:rFonts w:asciiTheme="minorHAnsi" w:hAnsiTheme="minorHAnsi" w:cstheme="minorHAnsi"/>
                <w:shd w:val="clear" w:color="auto" w:fill="FFFF00"/>
              </w:rPr>
              <w:t>[</w:t>
            </w:r>
            <w:r w:rsidRPr="00012747">
              <w:rPr>
                <w:rFonts w:asciiTheme="minorHAnsi" w:hAnsiTheme="minorHAnsi" w:cstheme="minorHAnsi"/>
                <w:b/>
                <w:bCs/>
                <w:shd w:val="clear" w:color="auto" w:fill="FFFF00"/>
              </w:rPr>
              <w:t>i</w:t>
            </w:r>
            <w:r w:rsidRPr="00012747">
              <w:rPr>
                <w:rFonts w:asciiTheme="minorHAnsi" w:hAnsiTheme="minorHAnsi" w:cstheme="minorHAnsi"/>
                <w:b/>
                <w:bCs/>
                <w:highlight w:val="yellow"/>
                <w:shd w:val="clear" w:color="auto" w:fill="FFFF00"/>
              </w:rPr>
              <w:t>nsert</w:t>
            </w:r>
            <w:r w:rsidRPr="00BD6C5F">
              <w:rPr>
                <w:rFonts w:asciiTheme="minorHAnsi" w:hAnsiTheme="minorHAnsi" w:cstheme="minorHAnsi"/>
                <w:highlight w:val="yellow"/>
                <w:shd w:val="clear" w:color="auto" w:fill="FFFF00"/>
              </w:rPr>
              <w:t xml:space="preserve"> threshold for</w:t>
            </w:r>
            <w:r w:rsidRPr="00BD6C5F">
              <w:rPr>
                <w:rFonts w:asciiTheme="minorHAnsi" w:hAnsiTheme="minorHAnsi" w:cstheme="minorHAnsi"/>
                <w:highlight w:val="yellow"/>
              </w:rPr>
              <w:t xml:space="preserve"> Rating Agency 1</w:t>
            </w:r>
            <w:r w:rsidRPr="00BD6C5F">
              <w:rPr>
                <w:rFonts w:asciiTheme="minorHAnsi" w:hAnsiTheme="minorHAnsi" w:cstheme="minorHAnsi"/>
              </w:rPr>
              <w:t>]</w:t>
            </w:r>
          </w:p>
        </w:tc>
      </w:tr>
      <w:tr w:rsidR="00BC7DDA" w:rsidRPr="00BD6C5F" w14:paraId="058F1648" w14:textId="77777777" w:rsidTr="00902F7D">
        <w:trPr>
          <w:trHeight w:val="20"/>
        </w:trPr>
        <w:tc>
          <w:tcPr>
            <w:tcW w:w="3402" w:type="dxa"/>
            <w:vMerge/>
          </w:tcPr>
          <w:p w14:paraId="1716B51A" w14:textId="77777777" w:rsidR="00BC7DDA" w:rsidRPr="00BD6C5F" w:rsidRDefault="00BC7DDA">
            <w:pPr>
              <w:rPr>
                <w:rFonts w:asciiTheme="minorHAnsi" w:hAnsiTheme="minorHAnsi" w:cstheme="minorHAnsi"/>
              </w:rPr>
            </w:pPr>
          </w:p>
        </w:tc>
        <w:tc>
          <w:tcPr>
            <w:tcW w:w="3118" w:type="dxa"/>
          </w:tcPr>
          <w:p w14:paraId="5D2E75F1"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[Rating Agency 2] –</w:t>
            </w:r>
            <w:r w:rsidRPr="00BD6C5F">
              <w:rPr>
                <w:rFonts w:asciiTheme="minorHAnsi" w:hAnsiTheme="minorHAnsi" w:cstheme="minorHAnsi"/>
              </w:rPr>
              <w:t xml:space="preserve"> </w:t>
            </w:r>
            <w:r w:rsidRPr="00BD6C5F">
              <w:rPr>
                <w:rFonts w:asciiTheme="minorHAnsi" w:hAnsiTheme="minorHAnsi" w:cstheme="minorHAnsi"/>
                <w:shd w:val="clear" w:color="auto" w:fill="FFFF00"/>
              </w:rPr>
              <w:t>[</w:t>
            </w:r>
            <w:r w:rsidRPr="00012747">
              <w:rPr>
                <w:rFonts w:asciiTheme="minorHAnsi" w:hAnsiTheme="minorHAnsi" w:cstheme="minorHAnsi"/>
                <w:b/>
                <w:bCs/>
                <w:shd w:val="clear" w:color="auto" w:fill="FFFF00"/>
              </w:rPr>
              <w:t>insert</w:t>
            </w:r>
            <w:r w:rsidRPr="00BD6C5F">
              <w:rPr>
                <w:rFonts w:asciiTheme="minorHAnsi" w:hAnsiTheme="minorHAnsi" w:cstheme="minorHAnsi"/>
                <w:shd w:val="clear" w:color="auto" w:fill="FFFF00"/>
              </w:rPr>
              <w:t xml:space="preserve"> rating for Rating</w:t>
            </w:r>
            <w:r w:rsidRPr="00BD6C5F">
              <w:rPr>
                <w:rFonts w:asciiTheme="minorHAnsi" w:hAnsiTheme="minorHAnsi" w:cstheme="minorHAnsi"/>
              </w:rPr>
              <w:t xml:space="preserve"> </w:t>
            </w:r>
            <w:r w:rsidRPr="00BD6C5F">
              <w:rPr>
                <w:rFonts w:asciiTheme="minorHAnsi" w:hAnsiTheme="minorHAnsi" w:cstheme="minorHAnsi"/>
                <w:shd w:val="clear" w:color="auto" w:fill="FFFF00"/>
              </w:rPr>
              <w:t>Agency 2]</w:t>
            </w:r>
          </w:p>
        </w:tc>
        <w:tc>
          <w:tcPr>
            <w:tcW w:w="3685" w:type="dxa"/>
          </w:tcPr>
          <w:p w14:paraId="5A6F9409"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rPr>
              <w:t>[</w:t>
            </w:r>
            <w:r w:rsidRPr="00BD6C5F">
              <w:rPr>
                <w:rFonts w:asciiTheme="minorHAnsi" w:hAnsiTheme="minorHAnsi" w:cstheme="minorHAnsi"/>
                <w:highlight w:val="yellow"/>
              </w:rPr>
              <w:t>Rating Agency 2</w:t>
            </w:r>
            <w:r w:rsidRPr="00BD6C5F">
              <w:rPr>
                <w:rFonts w:asciiTheme="minorHAnsi" w:hAnsiTheme="minorHAnsi" w:cstheme="minorHAnsi"/>
              </w:rPr>
              <w:t xml:space="preserve">] – </w:t>
            </w:r>
            <w:r w:rsidRPr="00BD6C5F">
              <w:rPr>
                <w:rFonts w:asciiTheme="minorHAnsi" w:hAnsiTheme="minorHAnsi" w:cstheme="minorHAnsi"/>
                <w:shd w:val="clear" w:color="auto" w:fill="FFFF00"/>
              </w:rPr>
              <w:t>[</w:t>
            </w:r>
            <w:r w:rsidRPr="00012747">
              <w:rPr>
                <w:rFonts w:asciiTheme="minorHAnsi" w:hAnsiTheme="minorHAnsi" w:cstheme="minorHAnsi"/>
                <w:b/>
                <w:bCs/>
                <w:highlight w:val="yellow"/>
                <w:shd w:val="clear" w:color="auto" w:fill="FFFF00"/>
              </w:rPr>
              <w:t>insert</w:t>
            </w:r>
            <w:r w:rsidRPr="00BD6C5F">
              <w:rPr>
                <w:rFonts w:asciiTheme="minorHAnsi" w:hAnsiTheme="minorHAnsi" w:cstheme="minorHAnsi"/>
                <w:highlight w:val="yellow"/>
                <w:shd w:val="clear" w:color="auto" w:fill="FFFF00"/>
              </w:rPr>
              <w:t xml:space="preserve"> threshold for</w:t>
            </w:r>
            <w:r w:rsidRPr="00BD6C5F">
              <w:rPr>
                <w:rFonts w:asciiTheme="minorHAnsi" w:hAnsiTheme="minorHAnsi" w:cstheme="minorHAnsi"/>
                <w:highlight w:val="yellow"/>
              </w:rPr>
              <w:t xml:space="preserve"> Rating Agency 2</w:t>
            </w:r>
            <w:r w:rsidRPr="00BD6C5F">
              <w:rPr>
                <w:rFonts w:asciiTheme="minorHAnsi" w:hAnsiTheme="minorHAnsi" w:cstheme="minorHAnsi"/>
              </w:rPr>
              <w:t>]</w:t>
            </w:r>
          </w:p>
        </w:tc>
      </w:tr>
      <w:tr w:rsidR="00BC7DDA" w:rsidRPr="00BD6C5F" w14:paraId="06564A10" w14:textId="77777777" w:rsidTr="00902F7D">
        <w:trPr>
          <w:trHeight w:val="20"/>
        </w:trPr>
        <w:tc>
          <w:tcPr>
            <w:tcW w:w="3402" w:type="dxa"/>
            <w:vMerge/>
          </w:tcPr>
          <w:p w14:paraId="5D56890B" w14:textId="77777777" w:rsidR="00BC7DDA" w:rsidRPr="00BD6C5F" w:rsidRDefault="00BC7DDA">
            <w:pPr>
              <w:rPr>
                <w:rFonts w:asciiTheme="minorHAnsi" w:hAnsiTheme="minorHAnsi" w:cstheme="minorHAnsi"/>
              </w:rPr>
            </w:pPr>
          </w:p>
        </w:tc>
        <w:tc>
          <w:tcPr>
            <w:tcW w:w="3118" w:type="dxa"/>
          </w:tcPr>
          <w:p w14:paraId="5BD4505F"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7B1C437F"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74718921" w14:textId="77777777" w:rsidTr="00902F7D">
        <w:trPr>
          <w:trHeight w:val="20"/>
        </w:trPr>
        <w:tc>
          <w:tcPr>
            <w:tcW w:w="3402" w:type="dxa"/>
          </w:tcPr>
          <w:p w14:paraId="37640315"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shd w:val="clear" w:color="auto" w:fill="FFFF00"/>
              </w:rPr>
              <w:t>[Key Sub-contractor 1]</w:t>
            </w:r>
          </w:p>
        </w:tc>
        <w:tc>
          <w:tcPr>
            <w:tcW w:w="3118" w:type="dxa"/>
          </w:tcPr>
          <w:p w14:paraId="12D70A1C"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5EAB809A"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2B544A5F" w14:textId="77777777" w:rsidTr="00902F7D">
        <w:trPr>
          <w:trHeight w:val="20"/>
        </w:trPr>
        <w:tc>
          <w:tcPr>
            <w:tcW w:w="3402" w:type="dxa"/>
          </w:tcPr>
          <w:p w14:paraId="42A6BA7D"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shd w:val="clear" w:color="auto" w:fill="FFFF00"/>
              </w:rPr>
              <w:t>[Key Sub-contractor 2]</w:t>
            </w:r>
          </w:p>
        </w:tc>
        <w:tc>
          <w:tcPr>
            <w:tcW w:w="3118" w:type="dxa"/>
          </w:tcPr>
          <w:p w14:paraId="114D1EDC"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56A5A268"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176BCC59" w14:textId="77777777" w:rsidTr="00902F7D">
        <w:trPr>
          <w:trHeight w:val="20"/>
        </w:trPr>
        <w:tc>
          <w:tcPr>
            <w:tcW w:w="3402" w:type="dxa"/>
          </w:tcPr>
          <w:p w14:paraId="5BB5E924" w14:textId="77777777" w:rsidR="00BC7DDA" w:rsidRPr="00BD6C5F" w:rsidRDefault="009B03E9" w:rsidP="00902F7D">
            <w:pPr>
              <w:pStyle w:val="Tabletext"/>
              <w:rPr>
                <w:rFonts w:asciiTheme="minorHAnsi" w:hAnsiTheme="minorHAnsi" w:cstheme="minorHAnsi"/>
                <w:iCs/>
              </w:rPr>
            </w:pPr>
            <w:r w:rsidRPr="00BD6C5F">
              <w:rPr>
                <w:rFonts w:asciiTheme="minorHAnsi" w:hAnsiTheme="minorHAnsi" w:cstheme="minorHAnsi"/>
                <w:iCs/>
                <w:shd w:val="clear" w:color="auto" w:fill="FFFF00"/>
              </w:rPr>
              <w:t>[etc…]</w:t>
            </w:r>
          </w:p>
        </w:tc>
        <w:tc>
          <w:tcPr>
            <w:tcW w:w="3118" w:type="dxa"/>
          </w:tcPr>
          <w:p w14:paraId="6CBDE09E"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4B5F05BC"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2654E224" w14:textId="77777777" w:rsidTr="00902F7D">
        <w:trPr>
          <w:trHeight w:val="20"/>
        </w:trPr>
        <w:tc>
          <w:tcPr>
            <w:tcW w:w="3402" w:type="dxa"/>
          </w:tcPr>
          <w:p w14:paraId="1D8B3E03"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shd w:val="clear" w:color="auto" w:fill="FFFF00"/>
              </w:rPr>
              <w:t>[Monitored Supplier 1]</w:t>
            </w:r>
          </w:p>
        </w:tc>
        <w:tc>
          <w:tcPr>
            <w:tcW w:w="3118" w:type="dxa"/>
          </w:tcPr>
          <w:p w14:paraId="01D6BE1A"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2647AA16"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6ED084CC" w14:textId="77777777" w:rsidTr="00902F7D">
        <w:trPr>
          <w:trHeight w:val="20"/>
        </w:trPr>
        <w:tc>
          <w:tcPr>
            <w:tcW w:w="3402" w:type="dxa"/>
          </w:tcPr>
          <w:p w14:paraId="217448E2" w14:textId="77777777" w:rsidR="00BC7DDA" w:rsidRPr="00BD6C5F" w:rsidRDefault="009B03E9" w:rsidP="00902F7D">
            <w:pPr>
              <w:pStyle w:val="Tabletext"/>
              <w:rPr>
                <w:rFonts w:asciiTheme="minorHAnsi" w:hAnsiTheme="minorHAnsi" w:cstheme="minorHAnsi"/>
                <w:b/>
                <w:iCs/>
              </w:rPr>
            </w:pPr>
            <w:r w:rsidRPr="00BD6C5F">
              <w:rPr>
                <w:rFonts w:asciiTheme="minorHAnsi" w:hAnsiTheme="minorHAnsi" w:cstheme="minorHAnsi"/>
                <w:b/>
                <w:iCs/>
                <w:shd w:val="clear" w:color="auto" w:fill="FFFF00"/>
              </w:rPr>
              <w:t>[Monitored Supplier 2]</w:t>
            </w:r>
          </w:p>
        </w:tc>
        <w:tc>
          <w:tcPr>
            <w:tcW w:w="3118" w:type="dxa"/>
          </w:tcPr>
          <w:p w14:paraId="051CDCB9"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3F4C57C9"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r>
      <w:tr w:rsidR="00BC7DDA" w:rsidRPr="00BD6C5F" w14:paraId="4797DA08" w14:textId="77777777" w:rsidTr="00902F7D">
        <w:trPr>
          <w:trHeight w:val="20"/>
        </w:trPr>
        <w:tc>
          <w:tcPr>
            <w:tcW w:w="3402" w:type="dxa"/>
          </w:tcPr>
          <w:p w14:paraId="50836A96" w14:textId="77777777" w:rsidR="00BC7DDA" w:rsidRPr="00BD6C5F" w:rsidRDefault="009B03E9" w:rsidP="00902F7D">
            <w:pPr>
              <w:pStyle w:val="Tabletext"/>
              <w:rPr>
                <w:rFonts w:asciiTheme="minorHAnsi" w:hAnsiTheme="minorHAnsi" w:cstheme="minorHAnsi"/>
                <w:iCs/>
              </w:rPr>
            </w:pPr>
            <w:r w:rsidRPr="00BD6C5F">
              <w:rPr>
                <w:rFonts w:asciiTheme="minorHAnsi" w:hAnsiTheme="minorHAnsi" w:cstheme="minorHAnsi"/>
                <w:iCs/>
                <w:shd w:val="clear" w:color="auto" w:fill="FFFF00"/>
              </w:rPr>
              <w:t>[etc…]</w:t>
            </w:r>
          </w:p>
        </w:tc>
        <w:tc>
          <w:tcPr>
            <w:tcW w:w="3118" w:type="dxa"/>
          </w:tcPr>
          <w:p w14:paraId="5C9CECA9" w14:textId="77777777" w:rsidR="00BC7DDA" w:rsidRPr="00BD6C5F" w:rsidRDefault="009B03E9" w:rsidP="00902F7D">
            <w:pPr>
              <w:pStyle w:val="Tabletext"/>
              <w:rPr>
                <w:rFonts w:asciiTheme="minorHAnsi" w:hAnsiTheme="minorHAnsi" w:cstheme="minorHAnsi"/>
              </w:rPr>
            </w:pPr>
            <w:r w:rsidRPr="00BD6C5F">
              <w:rPr>
                <w:rFonts w:asciiTheme="minorHAnsi" w:hAnsiTheme="minorHAnsi" w:cstheme="minorHAnsi"/>
                <w:shd w:val="clear" w:color="auto" w:fill="FFFF00"/>
              </w:rPr>
              <w:t>[etc.]</w:t>
            </w:r>
          </w:p>
        </w:tc>
        <w:tc>
          <w:tcPr>
            <w:tcW w:w="3685" w:type="dxa"/>
          </w:tcPr>
          <w:p w14:paraId="0B2FE604" w14:textId="77777777" w:rsidR="00BC7DDA" w:rsidRPr="00BD6C5F" w:rsidRDefault="009B03E9" w:rsidP="00902F7D">
            <w:pPr>
              <w:pStyle w:val="Tabletext"/>
            </w:pPr>
            <w:r w:rsidRPr="00BD6C5F">
              <w:rPr>
                <w:shd w:val="clear" w:color="auto" w:fill="FFFF00"/>
              </w:rPr>
              <w:t>[etc.]</w:t>
            </w:r>
          </w:p>
        </w:tc>
      </w:tr>
    </w:tbl>
    <w:p w14:paraId="54DF27ED" w14:textId="77777777" w:rsidR="00272B0A" w:rsidRPr="00BD6C5F" w:rsidRDefault="00272B0A" w:rsidP="00902F7D"/>
    <w:p w14:paraId="288DCE76" w14:textId="77777777" w:rsidR="00272B0A" w:rsidRPr="00BD6C5F" w:rsidRDefault="00272B0A" w:rsidP="00902F7D">
      <w:r w:rsidRPr="00BD6C5F">
        <w:br w:type="page"/>
      </w:r>
    </w:p>
    <w:p w14:paraId="7AF6310D" w14:textId="0ABC9C3A" w:rsidR="00BC7DDA" w:rsidRPr="00BD6C5F" w:rsidRDefault="000D48A0" w:rsidP="00902F7D">
      <w:pPr>
        <w:pStyle w:val="Heading2"/>
      </w:pPr>
      <w:bookmarkStart w:id="918" w:name="_bookmark317"/>
      <w:bookmarkStart w:id="919" w:name="_Toc98332754"/>
      <w:bookmarkStart w:id="920" w:name="_Ref98343108"/>
      <w:bookmarkStart w:id="921" w:name="_Ref98343121"/>
      <w:bookmarkStart w:id="922" w:name="_Toc98852931"/>
      <w:bookmarkStart w:id="923" w:name="_Toc141721023"/>
      <w:bookmarkEnd w:id="918"/>
      <w:r w:rsidRPr="00BD6C5F">
        <w:lastRenderedPageBreak/>
        <w:t xml:space="preserve">Annex </w:t>
      </w:r>
      <w:bookmarkStart w:id="924" w:name="Schedule_18_Annex_3"/>
      <w:r w:rsidRPr="00BD6C5F">
        <w:t>3</w:t>
      </w:r>
      <w:bookmarkEnd w:id="924"/>
      <w:r w:rsidRPr="00BD6C5F">
        <w:t>: Calculation Methodology for Financial Indicators</w:t>
      </w:r>
      <w:bookmarkEnd w:id="919"/>
      <w:bookmarkEnd w:id="920"/>
      <w:bookmarkEnd w:id="921"/>
      <w:bookmarkEnd w:id="922"/>
      <w:bookmarkEnd w:id="923"/>
    </w:p>
    <w:p w14:paraId="0199B494" w14:textId="27AB7A59" w:rsidR="00BC7DDA" w:rsidRPr="00BD6C5F" w:rsidRDefault="009B03E9" w:rsidP="00902F7D">
      <w:pPr>
        <w:spacing w:before="100" w:after="200"/>
        <w:rPr>
          <w:rFonts w:asciiTheme="minorHAnsi" w:hAnsiTheme="minorHAnsi" w:cstheme="minorHAnsi"/>
          <w:bCs/>
          <w:iCs/>
          <w:szCs w:val="24"/>
        </w:rPr>
      </w:pPr>
      <w:r w:rsidRPr="00BD6C5F">
        <w:rPr>
          <w:rFonts w:asciiTheme="minorHAnsi" w:hAnsiTheme="minorHAnsi" w:cstheme="minorHAnsi"/>
          <w:bCs/>
          <w:iCs/>
          <w:szCs w:val="24"/>
          <w:shd w:val="clear" w:color="auto" w:fill="FFFF00"/>
        </w:rPr>
        <w:t>[</w:t>
      </w:r>
      <w:r w:rsidRPr="004C60F6">
        <w:rPr>
          <w:rFonts w:asciiTheme="minorHAnsi" w:hAnsiTheme="minorHAnsi" w:cstheme="minorHAnsi"/>
          <w:b/>
          <w:i/>
          <w:szCs w:val="24"/>
          <w:shd w:val="clear" w:color="auto" w:fill="FFFF00"/>
        </w:rPr>
        <w:t xml:space="preserve">Guidance: </w:t>
      </w:r>
      <w:r w:rsidRPr="004C60F6">
        <w:rPr>
          <w:rFonts w:asciiTheme="minorHAnsi" w:hAnsiTheme="minorHAnsi" w:cstheme="minorHAnsi"/>
          <w:b/>
          <w:i/>
          <w:szCs w:val="24"/>
          <w:highlight w:val="yellow"/>
          <w:shd w:val="clear" w:color="auto" w:fill="FFFF00"/>
        </w:rPr>
        <w:t>Amend this section as appropriate to reflect the calculation</w:t>
      </w:r>
      <w:r w:rsidRPr="004C60F6">
        <w:rPr>
          <w:rFonts w:asciiTheme="minorHAnsi" w:hAnsiTheme="minorHAnsi" w:cstheme="minorHAnsi"/>
          <w:b/>
          <w:i/>
          <w:szCs w:val="24"/>
          <w:highlight w:val="yellow"/>
        </w:rPr>
        <w:t xml:space="preserve"> </w:t>
      </w:r>
      <w:r w:rsidRPr="004C60F6">
        <w:rPr>
          <w:rFonts w:asciiTheme="minorHAnsi" w:hAnsiTheme="minorHAnsi" w:cstheme="minorHAnsi"/>
          <w:b/>
          <w:i/>
          <w:szCs w:val="24"/>
          <w:highlight w:val="yellow"/>
          <w:shd w:val="clear" w:color="auto" w:fill="FFFF00"/>
        </w:rPr>
        <w:t>methodology for those Financial Indicators that are selected for inclusion in</w:t>
      </w:r>
      <w:r w:rsidRPr="004C60F6">
        <w:rPr>
          <w:rFonts w:asciiTheme="minorHAnsi" w:hAnsiTheme="minorHAnsi" w:cstheme="minorHAnsi"/>
          <w:b/>
          <w:i/>
          <w:szCs w:val="24"/>
          <w:highlight w:val="yellow"/>
        </w:rPr>
        <w:t xml:space="preserve"> </w:t>
      </w:r>
      <w:r w:rsidRPr="004C60F6">
        <w:rPr>
          <w:rFonts w:asciiTheme="minorHAnsi" w:hAnsiTheme="minorHAnsi" w:cstheme="minorHAnsi"/>
          <w:b/>
          <w:i/>
          <w:szCs w:val="24"/>
          <w:highlight w:val="yellow"/>
          <w:shd w:val="clear" w:color="auto" w:fill="FFFF00"/>
        </w:rPr>
        <w:t xml:space="preserve">Paragraph </w:t>
      </w:r>
      <w:r w:rsidR="00927BBF" w:rsidRPr="004C60F6">
        <w:rPr>
          <w:rFonts w:asciiTheme="minorHAnsi" w:hAnsiTheme="minorHAnsi" w:cstheme="minorHAnsi"/>
          <w:b/>
          <w:i/>
          <w:szCs w:val="24"/>
          <w:highlight w:val="yellow"/>
          <w:shd w:val="clear" w:color="auto" w:fill="FFFF00"/>
        </w:rPr>
        <w:fldChar w:fldCharType="begin"/>
      </w:r>
      <w:r w:rsidR="00927BBF" w:rsidRPr="004C60F6">
        <w:rPr>
          <w:rFonts w:asciiTheme="minorHAnsi" w:hAnsiTheme="minorHAnsi" w:cstheme="minorHAnsi"/>
          <w:b/>
          <w:i/>
          <w:szCs w:val="24"/>
          <w:highlight w:val="yellow"/>
          <w:shd w:val="clear" w:color="auto" w:fill="FFFF00"/>
        </w:rPr>
        <w:instrText xml:space="preserve"> REF _Ref98414293 \n \h </w:instrText>
      </w:r>
      <w:r w:rsidR="00AD7DD0" w:rsidRPr="004C60F6">
        <w:rPr>
          <w:rFonts w:asciiTheme="minorHAnsi" w:hAnsiTheme="minorHAnsi" w:cstheme="minorHAnsi"/>
          <w:b/>
          <w:i/>
          <w:szCs w:val="24"/>
          <w:highlight w:val="yellow"/>
          <w:shd w:val="clear" w:color="auto" w:fill="FFFF00"/>
        </w:rPr>
        <w:instrText xml:space="preserve"> \* MERGEFORMAT </w:instrText>
      </w:r>
      <w:r w:rsidR="00927BBF" w:rsidRPr="004C60F6">
        <w:rPr>
          <w:rFonts w:asciiTheme="minorHAnsi" w:hAnsiTheme="minorHAnsi" w:cstheme="minorHAnsi"/>
          <w:b/>
          <w:i/>
          <w:szCs w:val="24"/>
          <w:highlight w:val="yellow"/>
          <w:shd w:val="clear" w:color="auto" w:fill="FFFF00"/>
        </w:rPr>
      </w:r>
      <w:r w:rsidR="00927BBF" w:rsidRPr="004C60F6">
        <w:rPr>
          <w:rFonts w:asciiTheme="minorHAnsi" w:hAnsiTheme="minorHAnsi" w:cstheme="minorHAnsi"/>
          <w:b/>
          <w:i/>
          <w:szCs w:val="24"/>
          <w:highlight w:val="yellow"/>
          <w:shd w:val="clear" w:color="auto" w:fill="FFFF00"/>
        </w:rPr>
        <w:fldChar w:fldCharType="separate"/>
      </w:r>
      <w:r w:rsidR="009749A0">
        <w:rPr>
          <w:rFonts w:asciiTheme="minorHAnsi" w:hAnsiTheme="minorHAnsi" w:cstheme="minorHAnsi"/>
          <w:b/>
          <w:i/>
          <w:szCs w:val="24"/>
          <w:highlight w:val="yellow"/>
          <w:shd w:val="clear" w:color="auto" w:fill="FFFF00"/>
        </w:rPr>
        <w:t>5.1</w:t>
      </w:r>
      <w:r w:rsidR="00927BBF" w:rsidRPr="004C60F6">
        <w:rPr>
          <w:rFonts w:asciiTheme="minorHAnsi" w:hAnsiTheme="minorHAnsi" w:cstheme="minorHAnsi"/>
          <w:b/>
          <w:i/>
          <w:szCs w:val="24"/>
          <w:highlight w:val="yellow"/>
          <w:shd w:val="clear" w:color="auto" w:fill="FFFF00"/>
        </w:rPr>
        <w:fldChar w:fldCharType="end"/>
      </w:r>
      <w:r w:rsidRPr="004C60F6">
        <w:rPr>
          <w:rFonts w:asciiTheme="minorHAnsi" w:hAnsiTheme="minorHAnsi" w:cstheme="minorHAnsi"/>
          <w:b/>
          <w:i/>
          <w:szCs w:val="24"/>
          <w:highlight w:val="yellow"/>
          <w:shd w:val="clear" w:color="auto" w:fill="FFFF00"/>
        </w:rPr>
        <w:t xml:space="preserve"> of this Schedule</w:t>
      </w:r>
      <w:r w:rsidRPr="00C76C8A">
        <w:rPr>
          <w:rFonts w:asciiTheme="minorHAnsi" w:hAnsiTheme="minorHAnsi" w:cstheme="minorHAnsi"/>
          <w:bCs/>
          <w:iCs/>
          <w:szCs w:val="24"/>
          <w:highlight w:val="yellow"/>
          <w:shd w:val="clear" w:color="auto" w:fill="FFFF00"/>
        </w:rPr>
        <w:t>]</w:t>
      </w:r>
    </w:p>
    <w:p w14:paraId="00B14878" w14:textId="77777777" w:rsidR="00BC7DDA" w:rsidRPr="00BD6C5F" w:rsidRDefault="009B03E9" w:rsidP="00902F7D">
      <w:pPr>
        <w:spacing w:before="100" w:after="200"/>
      </w:pPr>
      <w:r w:rsidRPr="00BD6C5F">
        <w:t>The Supplier shall ensure that it uses the following general and specific methodologies for calculating the Financial Indicators against the Financial Target Thresholds:</w:t>
      </w:r>
    </w:p>
    <w:p w14:paraId="2C35C7A3" w14:textId="77777777" w:rsidR="00BC7DDA" w:rsidRPr="00BD6C5F" w:rsidRDefault="009B03E9" w:rsidP="00B71FC0">
      <w:pPr>
        <w:pStyle w:val="AppendixText1"/>
        <w:numPr>
          <w:ilvl w:val="0"/>
          <w:numId w:val="158"/>
        </w:numPr>
      </w:pPr>
      <w:r w:rsidRPr="00BD6C5F">
        <w:t>General methodology</w:t>
      </w:r>
    </w:p>
    <w:p w14:paraId="2638855A" w14:textId="77777777" w:rsidR="00BC7DDA" w:rsidRPr="00BD6C5F" w:rsidRDefault="009B03E9" w:rsidP="00C73AC9">
      <w:pPr>
        <w:pStyle w:val="AppendixText2"/>
      </w:pPr>
      <w:r w:rsidRPr="00BD6C5F">
        <w:t>Terminology: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6160A3AC" w14:textId="77777777" w:rsidR="00BC7DDA" w:rsidRPr="00BD6C5F" w:rsidRDefault="009B03E9" w:rsidP="00C73AC9">
      <w:pPr>
        <w:pStyle w:val="AppendixText2"/>
        <w:rPr>
          <w:bCs/>
        </w:rPr>
      </w:pPr>
      <w:r w:rsidRPr="00BD6C5F">
        <w:t xml:space="preserve">Groups: Where the entity is the holding company of a group and prepares consolidated financial statements, the </w:t>
      </w:r>
      <w:r w:rsidRPr="00BD6C5F">
        <w:rPr>
          <w:bCs/>
        </w:rPr>
        <w:t>consolidated</w:t>
      </w:r>
      <w:r w:rsidRPr="00BD6C5F">
        <w:t xml:space="preserve"> figures should be used.</w:t>
      </w:r>
    </w:p>
    <w:p w14:paraId="5373FB1A" w14:textId="77777777" w:rsidR="00BC7DDA" w:rsidRPr="00BD6C5F" w:rsidRDefault="009B03E9" w:rsidP="00C73AC9">
      <w:pPr>
        <w:pStyle w:val="AppendixText2"/>
        <w:rPr>
          <w:bCs/>
        </w:rPr>
      </w:pPr>
      <w:r w:rsidRPr="00BD6C5F">
        <w:t xml:space="preserve">Foreign currency conversion: Figures denominated in foreign currencies should be converted at the exchange rate in force at the </w:t>
      </w:r>
      <w:r w:rsidRPr="00BD6C5F">
        <w:rPr>
          <w:bCs/>
        </w:rPr>
        <w:t>relevant</w:t>
      </w:r>
      <w:r w:rsidRPr="00BD6C5F">
        <w:t xml:space="preserve"> date for which the Financial Indicator is being calculated.</w:t>
      </w:r>
    </w:p>
    <w:p w14:paraId="2374EF1C" w14:textId="77777777" w:rsidR="00BC7DDA" w:rsidRPr="00BD6C5F" w:rsidRDefault="009B03E9" w:rsidP="00C73AC9">
      <w:pPr>
        <w:pStyle w:val="AppendixText2"/>
        <w:rPr>
          <w:bCs/>
        </w:rPr>
      </w:pPr>
      <w:r w:rsidRPr="00BD6C5F">
        <w:t xml:space="preserve">Treatment of non-underlying items: Financial </w:t>
      </w:r>
      <w:r w:rsidRPr="00BD6C5F">
        <w:rPr>
          <w:bCs/>
        </w:rPr>
        <w:t>Indicators</w:t>
      </w:r>
      <w:r w:rsidRPr="00BD6C5F">
        <w:t xml:space="preserve"> should be based on the figures in the financial statements before adjusting for non-underlying items.</w:t>
      </w:r>
    </w:p>
    <w:p w14:paraId="5805D6C5" w14:textId="77777777" w:rsidR="00BC7DDA" w:rsidRPr="00BD6C5F" w:rsidRDefault="009B03E9" w:rsidP="00C70900">
      <w:pPr>
        <w:keepNext/>
        <w:spacing w:before="100" w:after="200"/>
        <w:rPr>
          <w:b/>
          <w:bCs/>
        </w:rPr>
      </w:pPr>
      <w:r w:rsidRPr="00BD6C5F">
        <w:rPr>
          <w:b/>
          <w:bCs/>
        </w:rPr>
        <w:t>Specific Methodology</w:t>
      </w:r>
    </w:p>
    <w:tbl>
      <w:tblPr>
        <w:tblStyle w:val="MSATable-header"/>
        <w:tblW w:w="10205" w:type="dxa"/>
        <w:tblLayout w:type="fixed"/>
        <w:tblLook w:val="0620" w:firstRow="1" w:lastRow="0" w:firstColumn="0" w:lastColumn="0" w:noHBand="1" w:noVBand="1"/>
      </w:tblPr>
      <w:tblGrid>
        <w:gridCol w:w="3402"/>
        <w:gridCol w:w="6803"/>
      </w:tblGrid>
      <w:tr w:rsidR="00BC7DDA" w:rsidRPr="00BD6C5F" w14:paraId="2A9FEA6E" w14:textId="77777777" w:rsidTr="00FD6BAA">
        <w:trPr>
          <w:cnfStyle w:val="100000000000" w:firstRow="1" w:lastRow="0" w:firstColumn="0" w:lastColumn="0" w:oddVBand="0" w:evenVBand="0" w:oddHBand="0" w:evenHBand="0" w:firstRowFirstColumn="0" w:firstRowLastColumn="0" w:lastRowFirstColumn="0" w:lastRowLastColumn="0"/>
          <w:trHeight w:val="20"/>
          <w:tblHeader/>
        </w:trPr>
        <w:tc>
          <w:tcPr>
            <w:tcW w:w="3402" w:type="dxa"/>
          </w:tcPr>
          <w:p w14:paraId="58115D41" w14:textId="77777777" w:rsidR="00BC7DDA" w:rsidRPr="00BD6C5F" w:rsidRDefault="009B03E9" w:rsidP="00C70900">
            <w:pPr>
              <w:pStyle w:val="Tabletext"/>
              <w:keepNext/>
              <w:rPr>
                <w:bCs/>
              </w:rPr>
            </w:pPr>
            <w:r w:rsidRPr="00BD6C5F">
              <w:rPr>
                <w:bCs/>
              </w:rPr>
              <w:t>Financial Indicator</w:t>
            </w:r>
          </w:p>
        </w:tc>
        <w:tc>
          <w:tcPr>
            <w:tcW w:w="6803" w:type="dxa"/>
          </w:tcPr>
          <w:p w14:paraId="2D33786E" w14:textId="77777777" w:rsidR="00BC7DDA" w:rsidRPr="00BD6C5F" w:rsidRDefault="009B03E9" w:rsidP="00902F7D">
            <w:pPr>
              <w:pStyle w:val="Tabletext"/>
              <w:rPr>
                <w:bCs/>
              </w:rPr>
            </w:pPr>
            <w:r w:rsidRPr="00BD6C5F">
              <w:rPr>
                <w:bCs/>
              </w:rPr>
              <w:t>Specific Methodology</w:t>
            </w:r>
          </w:p>
        </w:tc>
      </w:tr>
      <w:tr w:rsidR="00BC7DDA" w:rsidRPr="00BD6C5F" w14:paraId="06479D04" w14:textId="77777777" w:rsidTr="00FD6BAA">
        <w:trPr>
          <w:trHeight w:val="20"/>
        </w:trPr>
        <w:tc>
          <w:tcPr>
            <w:tcW w:w="3402" w:type="dxa"/>
            <w:tcBorders>
              <w:bottom w:val="single" w:sz="4" w:space="0" w:color="auto"/>
            </w:tcBorders>
          </w:tcPr>
          <w:p w14:paraId="3A69E500" w14:textId="77777777" w:rsidR="00BC7DDA" w:rsidRPr="00BD6C5F" w:rsidRDefault="009B03E9" w:rsidP="00902F7D">
            <w:pPr>
              <w:pStyle w:val="Tabletext"/>
              <w:rPr>
                <w:rFonts w:asciiTheme="minorHAnsi" w:hAnsiTheme="minorHAnsi" w:cstheme="minorHAnsi"/>
                <w:b/>
              </w:rPr>
            </w:pPr>
            <w:r w:rsidRPr="00BD6C5F">
              <w:rPr>
                <w:rFonts w:asciiTheme="minorHAnsi" w:hAnsiTheme="minorHAnsi" w:cstheme="minorHAnsi"/>
                <w:b/>
                <w:w w:val="99"/>
              </w:rPr>
              <w:t>1</w:t>
            </w:r>
          </w:p>
          <w:p w14:paraId="0B830A65" w14:textId="77777777" w:rsidR="00BC7DDA" w:rsidRPr="00BD6C5F" w:rsidRDefault="009B03E9" w:rsidP="00902F7D">
            <w:pPr>
              <w:pStyle w:val="Tabletext"/>
              <w:rPr>
                <w:rFonts w:asciiTheme="minorHAnsi" w:hAnsiTheme="minorHAnsi" w:cstheme="minorHAnsi"/>
                <w:b/>
              </w:rPr>
            </w:pPr>
            <w:r w:rsidRPr="00BD6C5F">
              <w:rPr>
                <w:rFonts w:asciiTheme="minorHAnsi" w:hAnsiTheme="minorHAnsi" w:cstheme="minorHAnsi"/>
                <w:b/>
                <w:shd w:val="clear" w:color="auto" w:fill="FFFF00"/>
              </w:rPr>
              <w:t>[Operating Margin]</w:t>
            </w:r>
          </w:p>
        </w:tc>
        <w:tc>
          <w:tcPr>
            <w:tcW w:w="6803" w:type="dxa"/>
            <w:tcBorders>
              <w:bottom w:val="single" w:sz="4" w:space="0" w:color="auto"/>
            </w:tcBorders>
          </w:tcPr>
          <w:p w14:paraId="3D326C8E" w14:textId="77777777" w:rsidR="00BC7DDA" w:rsidRPr="00C76C8A" w:rsidRDefault="009B03E9" w:rsidP="00902F7D">
            <w:pPr>
              <w:pStyle w:val="Tabletext"/>
              <w:rPr>
                <w:rFonts w:asciiTheme="minorHAnsi" w:hAnsiTheme="minorHAnsi" w:cstheme="minorHAnsi"/>
                <w:highlight w:val="yellow"/>
              </w:rPr>
            </w:pPr>
            <w:r w:rsidRPr="00BD6C5F">
              <w:rPr>
                <w:rFonts w:asciiTheme="minorHAnsi" w:hAnsiTheme="minorHAnsi" w:cstheme="minorHAnsi"/>
                <w:shd w:val="clear" w:color="auto" w:fill="FFFF00"/>
              </w:rPr>
              <w:t>[</w:t>
            </w:r>
            <w:r w:rsidRPr="00C76C8A">
              <w:rPr>
                <w:rFonts w:asciiTheme="minorHAnsi" w:hAnsiTheme="minorHAnsi" w:cstheme="minorHAnsi"/>
                <w:highlight w:val="yellow"/>
                <w:shd w:val="clear" w:color="auto" w:fill="FFFF00"/>
              </w:rPr>
              <w:t>The elements used to calculate the Operating Margin</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should be shown on the face of the Income Statement in a</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standard set of financial statements.</w:t>
            </w:r>
          </w:p>
          <w:p w14:paraId="527B4F56" w14:textId="3409A44C" w:rsidR="00BC7DDA" w:rsidRPr="00C76C8A" w:rsidRDefault="009B03E9" w:rsidP="00902F7D">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Figures for Operating Profit and Revenue should exclude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entity</w:t>
            </w:r>
            <w:r w:rsidR="00A4555C" w:rsidRPr="00C76C8A">
              <w:rPr>
                <w:rFonts w:asciiTheme="minorHAnsi" w:hAnsiTheme="minorHAnsi" w:cstheme="minorHAnsi"/>
                <w:highlight w:val="yellow"/>
                <w:shd w:val="clear" w:color="auto" w:fill="FFFF00"/>
              </w:rPr>
              <w:t>’</w:t>
            </w:r>
            <w:r w:rsidRPr="00C76C8A">
              <w:rPr>
                <w:rFonts w:asciiTheme="minorHAnsi" w:hAnsiTheme="minorHAnsi" w:cstheme="minorHAnsi"/>
                <w:highlight w:val="yellow"/>
                <w:shd w:val="clear" w:color="auto" w:fill="FFFF00"/>
              </w:rPr>
              <w:t>s share of the results of any joint ventures or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Associates.</w:t>
            </w:r>
          </w:p>
          <w:p w14:paraId="5F9F8895" w14:textId="77777777" w:rsidR="00BC7DDA" w:rsidRPr="00BD6C5F" w:rsidRDefault="009B03E9" w:rsidP="00902F7D">
            <w:pPr>
              <w:pStyle w:val="Tabletext"/>
              <w:rPr>
                <w:rFonts w:asciiTheme="minorHAnsi" w:hAnsiTheme="minorHAnsi" w:cstheme="minorHAnsi"/>
              </w:rPr>
            </w:pPr>
            <w:r w:rsidRPr="00C76C8A">
              <w:rPr>
                <w:rFonts w:asciiTheme="minorHAnsi" w:hAnsiTheme="minorHAnsi" w:cstheme="minorHAnsi"/>
                <w:highlight w:val="yellow"/>
                <w:shd w:val="clear" w:color="auto" w:fill="FFFF00"/>
              </w:rPr>
              <w:t>Where an entity has an operating loss (i.e. where the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operating profit is negative), Operating Profit should be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taken to be zero.</w:t>
            </w:r>
            <w:r w:rsidRPr="00BD6C5F">
              <w:rPr>
                <w:rFonts w:asciiTheme="minorHAnsi" w:hAnsiTheme="minorHAnsi" w:cstheme="minorHAnsi"/>
                <w:shd w:val="clear" w:color="auto" w:fill="FFFF00"/>
              </w:rPr>
              <w:t>]</w:t>
            </w:r>
          </w:p>
        </w:tc>
      </w:tr>
      <w:tr w:rsidR="00FD6BAA" w:rsidRPr="00BD6C5F" w14:paraId="3BE07CCE" w14:textId="77777777" w:rsidTr="00FD6BAA">
        <w:trPr>
          <w:trHeight w:val="20"/>
        </w:trPr>
        <w:tc>
          <w:tcPr>
            <w:tcW w:w="3402" w:type="dxa"/>
            <w:tcBorders>
              <w:bottom w:val="nil"/>
            </w:tcBorders>
          </w:tcPr>
          <w:p w14:paraId="045F509D" w14:textId="77777777" w:rsidR="00FD6BAA" w:rsidRPr="00BD6C5F" w:rsidRDefault="00FD6BAA" w:rsidP="00902F7D">
            <w:pPr>
              <w:pStyle w:val="Tabletext"/>
              <w:rPr>
                <w:rFonts w:asciiTheme="minorHAnsi" w:hAnsiTheme="minorHAnsi" w:cstheme="minorHAnsi"/>
                <w:b/>
              </w:rPr>
            </w:pPr>
            <w:r w:rsidRPr="00BD6C5F">
              <w:rPr>
                <w:rFonts w:asciiTheme="minorHAnsi" w:hAnsiTheme="minorHAnsi" w:cstheme="minorHAnsi"/>
                <w:b/>
                <w:w w:val="99"/>
              </w:rPr>
              <w:t>2</w:t>
            </w:r>
          </w:p>
          <w:p w14:paraId="57A44650" w14:textId="77777777" w:rsidR="00FD6BAA" w:rsidRPr="00BD6C5F" w:rsidRDefault="00FD6BAA" w:rsidP="00902F7D">
            <w:pPr>
              <w:pStyle w:val="Tabletext"/>
              <w:rPr>
                <w:rFonts w:asciiTheme="minorHAnsi" w:hAnsiTheme="minorHAnsi" w:cstheme="minorHAnsi"/>
                <w:b/>
              </w:rPr>
            </w:pPr>
            <w:r w:rsidRPr="00BD6C5F">
              <w:rPr>
                <w:rFonts w:asciiTheme="minorHAnsi" w:hAnsiTheme="minorHAnsi" w:cstheme="minorHAnsi"/>
                <w:b/>
                <w:shd w:val="clear" w:color="auto" w:fill="FFFF00"/>
              </w:rPr>
              <w:t>[Free Cash Flow to</w:t>
            </w:r>
            <w:r w:rsidRPr="00BD6C5F">
              <w:rPr>
                <w:rFonts w:asciiTheme="minorHAnsi" w:hAnsiTheme="minorHAnsi" w:cstheme="minorHAnsi"/>
                <w:b/>
              </w:rPr>
              <w:t xml:space="preserve"> </w:t>
            </w:r>
            <w:r w:rsidRPr="00BD6C5F">
              <w:rPr>
                <w:rFonts w:asciiTheme="minorHAnsi" w:hAnsiTheme="minorHAnsi" w:cstheme="minorHAnsi"/>
                <w:b/>
                <w:shd w:val="clear" w:color="auto" w:fill="FFFF00"/>
              </w:rPr>
              <w:t>Net Debt Ratio]</w:t>
            </w:r>
          </w:p>
        </w:tc>
        <w:tc>
          <w:tcPr>
            <w:tcW w:w="6803" w:type="dxa"/>
            <w:tcBorders>
              <w:bottom w:val="nil"/>
            </w:tcBorders>
          </w:tcPr>
          <w:p w14:paraId="542A5C81" w14:textId="546B1A58" w:rsidR="00FD6BAA" w:rsidRPr="00C76C8A" w:rsidRDefault="00FD6BAA" w:rsidP="00902F7D">
            <w:pPr>
              <w:pStyle w:val="Tabletext"/>
              <w:rPr>
                <w:rFonts w:asciiTheme="minorHAnsi" w:hAnsiTheme="minorHAnsi" w:cstheme="minorHAnsi"/>
                <w:iCs/>
                <w:highlight w:val="yellow"/>
              </w:rPr>
            </w:pPr>
            <w:r w:rsidRPr="00BD6C5F">
              <w:rPr>
                <w:rFonts w:asciiTheme="minorHAnsi" w:hAnsiTheme="minorHAnsi" w:cstheme="minorHAnsi"/>
                <w:iCs/>
                <w:shd w:val="clear" w:color="auto" w:fill="FFFF00"/>
              </w:rPr>
              <w:t>[</w:t>
            </w: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Free Cash Flow</w:t>
            </w:r>
            <w:r w:rsidRPr="00C76C8A">
              <w:rPr>
                <w:rFonts w:asciiTheme="minorHAnsi" w:hAnsiTheme="minorHAnsi" w:cstheme="minorHAnsi"/>
                <w:iCs/>
                <w:highlight w:val="yellow"/>
                <w:shd w:val="clear" w:color="auto" w:fill="FFFF00"/>
              </w:rPr>
              <w:t>” = Net Cash Flow from Operating</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Activities – Capital Expenditure</w:t>
            </w:r>
          </w:p>
          <w:p w14:paraId="025FC98A" w14:textId="77777777" w:rsidR="00FD6BAA" w:rsidRPr="00C76C8A" w:rsidRDefault="00FD6BAA" w:rsidP="00902F7D">
            <w:pPr>
              <w:pStyle w:val="Tabletext"/>
              <w:rPr>
                <w:rFonts w:asciiTheme="minorHAnsi" w:hAnsiTheme="minorHAnsi" w:cstheme="minorHAnsi"/>
                <w:iCs/>
                <w:highlight w:val="yellow"/>
              </w:rPr>
            </w:pP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Capital Expenditure</w:t>
            </w:r>
            <w:r w:rsidRPr="00C76C8A">
              <w:rPr>
                <w:rFonts w:asciiTheme="minorHAnsi" w:hAnsiTheme="minorHAnsi" w:cstheme="minorHAnsi"/>
                <w:iCs/>
                <w:highlight w:val="yellow"/>
                <w:shd w:val="clear" w:color="auto" w:fill="FFFF00"/>
              </w:rPr>
              <w:t>” = Purchase of property, plant &amp;</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equipment + purchase of intangible assets</w:t>
            </w:r>
          </w:p>
          <w:p w14:paraId="2FC36124" w14:textId="77777777" w:rsidR="00FD6BAA" w:rsidRPr="00C76C8A" w:rsidRDefault="00FD6BAA" w:rsidP="00FD42A1">
            <w:pPr>
              <w:pStyle w:val="Tabletext"/>
              <w:rPr>
                <w:rFonts w:asciiTheme="minorHAnsi" w:hAnsiTheme="minorHAnsi" w:cstheme="minorHAnsi"/>
                <w:iCs/>
                <w:highlight w:val="yellow"/>
              </w:rPr>
            </w:pP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Net Debt</w:t>
            </w:r>
            <w:r w:rsidRPr="00C76C8A">
              <w:rPr>
                <w:rFonts w:asciiTheme="minorHAnsi" w:hAnsiTheme="minorHAnsi" w:cstheme="minorHAnsi"/>
                <w:iCs/>
                <w:highlight w:val="yellow"/>
                <w:shd w:val="clear" w:color="auto" w:fill="FFFF00"/>
              </w:rPr>
              <w:t>” = Bank overdrafts + Loans and borrowings +</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Finance Leases + Deferred consideration payable – Cash</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and cash equivalents</w:t>
            </w:r>
          </w:p>
          <w:p w14:paraId="757269C9" w14:textId="77777777" w:rsidR="00FD6BAA" w:rsidRPr="00C76C8A" w:rsidRDefault="00FD6BAA" w:rsidP="00FD42A1">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The majority of the elements used to calculate the Free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Cash Flow to Net Debt Ratio should be shown on the face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of the Statement of Cash Flows and the Balance Sheet in a</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standard set of financial statements.</w:t>
            </w:r>
          </w:p>
          <w:p w14:paraId="41512E58" w14:textId="77777777" w:rsidR="00FD6BAA" w:rsidRPr="00BD6C5F" w:rsidRDefault="00FD6BAA" w:rsidP="00FD42A1">
            <w:pPr>
              <w:pStyle w:val="Tabletext"/>
              <w:rPr>
                <w:rFonts w:asciiTheme="minorHAnsi" w:hAnsiTheme="minorHAnsi" w:cstheme="minorHAnsi"/>
              </w:rPr>
            </w:pPr>
            <w:r w:rsidRPr="00C76C8A">
              <w:rPr>
                <w:rFonts w:asciiTheme="minorHAnsi" w:hAnsiTheme="minorHAnsi" w:cstheme="minorHAnsi"/>
                <w:b/>
                <w:bCs/>
                <w:iCs/>
                <w:highlight w:val="yellow"/>
                <w:shd w:val="clear" w:color="auto" w:fill="FFFF00"/>
              </w:rPr>
              <w:lastRenderedPageBreak/>
              <w:t>Net Cash Flow from Operating Activities</w:t>
            </w:r>
            <w:r w:rsidRPr="00C76C8A">
              <w:rPr>
                <w:rFonts w:asciiTheme="minorHAnsi" w:hAnsiTheme="minorHAnsi" w:cstheme="minorHAnsi"/>
                <w:highlight w:val="yellow"/>
                <w:shd w:val="clear" w:color="auto" w:fill="FFFF00"/>
              </w:rPr>
              <w:t>: This should be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stated after deduction of interest and tax paid.</w:t>
            </w:r>
          </w:p>
          <w:p w14:paraId="626BB637" w14:textId="77777777" w:rsidR="00FD6BAA" w:rsidRPr="00BD6C5F" w:rsidRDefault="00FD6BAA" w:rsidP="00FD42A1">
            <w:pPr>
              <w:pStyle w:val="Tabletext"/>
              <w:rPr>
                <w:rFonts w:asciiTheme="minorHAnsi" w:hAnsiTheme="minorHAnsi" w:cstheme="minorHAnsi"/>
              </w:rPr>
            </w:pPr>
            <w:r w:rsidRPr="00BD6C5F">
              <w:rPr>
                <w:rFonts w:asciiTheme="minorHAnsi" w:hAnsiTheme="minorHAnsi" w:cstheme="minorHAnsi"/>
                <w:b/>
                <w:bCs/>
                <w:iCs/>
                <w:shd w:val="clear" w:color="auto" w:fill="FFFF00"/>
              </w:rPr>
              <w:t>Capital expenditure</w:t>
            </w:r>
            <w:r w:rsidRPr="00BD6C5F">
              <w:rPr>
                <w:rFonts w:asciiTheme="minorHAnsi" w:hAnsiTheme="minorHAnsi" w:cstheme="minorHAnsi"/>
                <w:shd w:val="clear" w:color="auto" w:fill="FFFF00"/>
              </w:rPr>
              <w:t xml:space="preserve">: </w:t>
            </w:r>
            <w:r w:rsidRPr="00C76C8A">
              <w:rPr>
                <w:rFonts w:asciiTheme="minorHAnsi" w:hAnsiTheme="minorHAnsi" w:cstheme="minorHAnsi"/>
                <w:highlight w:val="yellow"/>
                <w:shd w:val="clear" w:color="auto" w:fill="FFFF00"/>
              </w:rPr>
              <w:t>The elements of capital expenditure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may be described slightly differently but will be found under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‘Cash flows from investing activities’ in the Statement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Cash Flows; they should be limited to the purchase of fixed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assets (including intangible assets) for the business and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exclude acquisitions. The figure should be shown gross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without any deduction for any proceeds of sale of fixed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assets.</w:t>
            </w:r>
          </w:p>
          <w:p w14:paraId="593A4A6C" w14:textId="77777777" w:rsidR="00FD6BAA" w:rsidRPr="00BD6C5F" w:rsidRDefault="00FD6BAA" w:rsidP="00FD42A1">
            <w:pPr>
              <w:pStyle w:val="Tabletext"/>
              <w:rPr>
                <w:rFonts w:asciiTheme="minorHAnsi" w:hAnsiTheme="minorHAnsi" w:cstheme="minorHAnsi"/>
              </w:rPr>
            </w:pPr>
            <w:r w:rsidRPr="00BD6C5F">
              <w:rPr>
                <w:rFonts w:asciiTheme="minorHAnsi" w:hAnsiTheme="minorHAnsi" w:cstheme="minorHAnsi"/>
                <w:b/>
                <w:bCs/>
                <w:iCs/>
                <w:shd w:val="clear" w:color="auto" w:fill="FFFF00"/>
              </w:rPr>
              <w:t>Net Debt</w:t>
            </w:r>
            <w:r w:rsidRPr="00BD6C5F">
              <w:rPr>
                <w:rFonts w:asciiTheme="minorHAnsi" w:hAnsiTheme="minorHAnsi" w:cstheme="minorHAnsi"/>
                <w:shd w:val="clear" w:color="auto" w:fill="FFFF00"/>
              </w:rPr>
              <w:t xml:space="preserve">: </w:t>
            </w:r>
            <w:r w:rsidRPr="00C76C8A">
              <w:rPr>
                <w:rFonts w:asciiTheme="minorHAnsi" w:hAnsiTheme="minorHAnsi" w:cstheme="minorHAnsi"/>
                <w:highlight w:val="yellow"/>
                <w:shd w:val="clear" w:color="auto" w:fill="FFFF00"/>
              </w:rPr>
              <w:t>The elements of Net Debt may also be described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slightly differently and should be found either on the face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Balance Sheet or in the relevant note to the financial</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statements. All interest bearing liabilities (other than</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retirement benefit obligations) should be treated as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borrowings as should, where disclosed, any liabilities (less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any assets) in respect of any hedges designated as linked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to borrowings (but not non-designated hedges).</w:t>
            </w:r>
          </w:p>
          <w:p w14:paraId="2C460766" w14:textId="77777777" w:rsidR="00FD6BAA" w:rsidRPr="00BD6C5F" w:rsidRDefault="00FD6BAA" w:rsidP="00FD42A1">
            <w:pPr>
              <w:pStyle w:val="Tabletext"/>
              <w:rPr>
                <w:rFonts w:asciiTheme="minorHAnsi" w:hAnsiTheme="minorHAnsi" w:cstheme="minorHAnsi"/>
              </w:rPr>
            </w:pPr>
            <w:r w:rsidRPr="00C76C8A">
              <w:rPr>
                <w:rFonts w:asciiTheme="minorHAnsi" w:hAnsiTheme="minorHAnsi" w:cstheme="minorHAnsi"/>
                <w:highlight w:val="yellow"/>
                <w:shd w:val="clear" w:color="auto" w:fill="FFFF00"/>
              </w:rPr>
              <w:t>Borrowings should also include balances owed to other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group members.</w:t>
            </w:r>
          </w:p>
          <w:p w14:paraId="159698B1" w14:textId="77777777" w:rsidR="00FD6BAA" w:rsidRPr="00BD6C5F" w:rsidRDefault="00FD6BAA" w:rsidP="00FD42A1">
            <w:pPr>
              <w:pStyle w:val="Tabletext"/>
              <w:rPr>
                <w:rFonts w:asciiTheme="minorHAnsi" w:hAnsiTheme="minorHAnsi" w:cstheme="minorHAnsi"/>
              </w:rPr>
            </w:pPr>
            <w:r w:rsidRPr="00C76C8A">
              <w:rPr>
                <w:rFonts w:asciiTheme="minorHAnsi" w:hAnsiTheme="minorHAnsi" w:cstheme="minorHAnsi"/>
                <w:highlight w:val="yellow"/>
                <w:shd w:val="clear" w:color="auto" w:fill="FFFF00"/>
              </w:rPr>
              <w:t>Deferred consideration payable should be included in Net</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Debt despite typically being non-interest bearing.</w:t>
            </w:r>
          </w:p>
          <w:p w14:paraId="4D6C8076" w14:textId="77777777" w:rsidR="00FD6BAA" w:rsidRPr="00BD6C5F" w:rsidRDefault="00FD6BAA" w:rsidP="00FD42A1">
            <w:pPr>
              <w:pStyle w:val="Tabletext"/>
              <w:rPr>
                <w:rFonts w:asciiTheme="minorHAnsi" w:hAnsiTheme="minorHAnsi" w:cstheme="minorHAnsi"/>
              </w:rPr>
            </w:pPr>
            <w:r w:rsidRPr="00C76C8A">
              <w:rPr>
                <w:rFonts w:asciiTheme="minorHAnsi" w:hAnsiTheme="minorHAnsi" w:cstheme="minorHAnsi"/>
                <w:highlight w:val="yellow"/>
                <w:shd w:val="clear" w:color="auto" w:fill="FFFF00"/>
              </w:rPr>
              <w:t>Cash and cash equivalents should include short-term</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financial investments shown in current assets.</w:t>
            </w:r>
          </w:p>
          <w:p w14:paraId="782B9AD9" w14:textId="5689179E" w:rsidR="00FD6BAA" w:rsidRPr="00BD6C5F" w:rsidRDefault="00FD6BAA" w:rsidP="00FD42A1">
            <w:pPr>
              <w:pStyle w:val="Tabletext"/>
              <w:rPr>
                <w:rFonts w:asciiTheme="minorHAnsi" w:hAnsiTheme="minorHAnsi" w:cstheme="minorHAnsi"/>
                <w:i/>
              </w:rPr>
            </w:pPr>
            <w:r w:rsidRPr="00BD6C5F">
              <w:rPr>
                <w:shd w:val="clear" w:color="auto" w:fill="FFFF00"/>
              </w:rPr>
              <w:t>Where Net debt is negative (i.e. an entity has net cash),</w:t>
            </w:r>
            <w:r w:rsidRPr="00BD6C5F">
              <w:t xml:space="preserve"> </w:t>
            </w:r>
            <w:r w:rsidRPr="00BD6C5F">
              <w:rPr>
                <w:shd w:val="clear" w:color="auto" w:fill="FFFF00"/>
              </w:rPr>
              <w:t>the relevant Financial Target Threshold should be treated</w:t>
            </w:r>
            <w:r w:rsidRPr="00BD6C5F">
              <w:t xml:space="preserve"> </w:t>
            </w:r>
            <w:r w:rsidRPr="00BD6C5F">
              <w:rPr>
                <w:shd w:val="clear" w:color="auto" w:fill="FFFF00"/>
              </w:rPr>
              <w:t>as having been met.]</w:t>
            </w:r>
          </w:p>
        </w:tc>
      </w:tr>
      <w:tr w:rsidR="00FD42A1" w:rsidRPr="00BD6C5F" w14:paraId="1B9AAFFC" w14:textId="77777777" w:rsidTr="00FD6BAA">
        <w:trPr>
          <w:trHeight w:val="20"/>
        </w:trPr>
        <w:tc>
          <w:tcPr>
            <w:tcW w:w="3402" w:type="dxa"/>
            <w:tcBorders>
              <w:top w:val="nil"/>
            </w:tcBorders>
          </w:tcPr>
          <w:p w14:paraId="0A364B12" w14:textId="45FD70D1" w:rsidR="00FD42A1" w:rsidRPr="00BD6C5F" w:rsidRDefault="00FD42A1" w:rsidP="00FD42A1">
            <w:pPr>
              <w:pStyle w:val="Tabletext"/>
              <w:rPr>
                <w:b/>
                <w:bCs/>
              </w:rPr>
            </w:pPr>
            <w:r w:rsidRPr="00BD6C5F">
              <w:rPr>
                <w:b/>
                <w:bCs/>
              </w:rPr>
              <w:lastRenderedPageBreak/>
              <w:t>OR</w:t>
            </w:r>
          </w:p>
          <w:p w14:paraId="26DDE283" w14:textId="77777777" w:rsidR="00FD42A1" w:rsidRPr="00BD6C5F" w:rsidRDefault="00FD42A1" w:rsidP="00FD42A1">
            <w:pPr>
              <w:pStyle w:val="Tabletext"/>
              <w:rPr>
                <w:b/>
                <w:bCs/>
              </w:rPr>
            </w:pPr>
          </w:p>
          <w:p w14:paraId="10952B19" w14:textId="5FEA9906" w:rsidR="00FD42A1" w:rsidRPr="00BD6C5F" w:rsidRDefault="00FD42A1" w:rsidP="00FD42A1">
            <w:pPr>
              <w:pStyle w:val="Tabletext"/>
            </w:pPr>
            <w:r w:rsidRPr="00BD6C5F">
              <w:rPr>
                <w:b/>
                <w:bCs/>
              </w:rPr>
              <w:t>[</w:t>
            </w:r>
            <w:r w:rsidRPr="00BD6C5F">
              <w:rPr>
                <w:b/>
                <w:bCs/>
                <w:highlight w:val="yellow"/>
              </w:rPr>
              <w:t>Net Debt to EBITDA Ratio</w:t>
            </w:r>
            <w:r w:rsidRPr="00BD6C5F">
              <w:rPr>
                <w:b/>
                <w:bCs/>
              </w:rPr>
              <w:t>]</w:t>
            </w:r>
          </w:p>
        </w:tc>
        <w:tc>
          <w:tcPr>
            <w:tcW w:w="6803" w:type="dxa"/>
            <w:tcBorders>
              <w:top w:val="nil"/>
            </w:tcBorders>
          </w:tcPr>
          <w:p w14:paraId="67F0DDAA" w14:textId="77777777" w:rsidR="00FD42A1" w:rsidRPr="00BD6C5F" w:rsidRDefault="00FD42A1" w:rsidP="00FD42A1">
            <w:pPr>
              <w:pStyle w:val="Tabletext"/>
              <w:rPr>
                <w:rFonts w:asciiTheme="minorHAnsi" w:hAnsiTheme="minorHAnsi" w:cstheme="minorHAnsi"/>
              </w:rPr>
            </w:pPr>
            <w:r w:rsidRPr="00BD6C5F">
              <w:rPr>
                <w:rFonts w:asciiTheme="minorHAnsi" w:hAnsiTheme="minorHAnsi" w:cstheme="minorHAnsi"/>
              </w:rPr>
              <w:t>OR</w:t>
            </w:r>
          </w:p>
          <w:p w14:paraId="1E74C1B0" w14:textId="77777777" w:rsidR="00FD42A1" w:rsidRPr="00BD6C5F" w:rsidRDefault="00FD42A1" w:rsidP="00FD42A1">
            <w:pPr>
              <w:pStyle w:val="Tabletext"/>
              <w:rPr>
                <w:rFonts w:asciiTheme="minorHAnsi" w:hAnsiTheme="minorHAnsi" w:cstheme="minorHAnsi"/>
              </w:rPr>
            </w:pPr>
          </w:p>
          <w:p w14:paraId="00374B3E" w14:textId="77777777" w:rsidR="00FD42A1" w:rsidRPr="00BD6C5F" w:rsidRDefault="00FD42A1" w:rsidP="00FD42A1">
            <w:pPr>
              <w:pStyle w:val="Tabletext"/>
              <w:rPr>
                <w:rFonts w:asciiTheme="minorHAnsi" w:hAnsiTheme="minorHAnsi" w:cstheme="minorHAnsi"/>
                <w:iCs/>
              </w:rPr>
            </w:pPr>
            <w:r w:rsidRPr="00BD6C5F">
              <w:rPr>
                <w:rFonts w:asciiTheme="minorHAnsi" w:hAnsiTheme="minorHAnsi" w:cstheme="minorHAnsi"/>
                <w:iCs/>
                <w:shd w:val="clear" w:color="auto" w:fill="FFFF00"/>
              </w:rPr>
              <w:t>[“</w:t>
            </w:r>
            <w:r w:rsidRPr="00BD6C5F">
              <w:rPr>
                <w:rFonts w:asciiTheme="minorHAnsi" w:hAnsiTheme="minorHAnsi" w:cstheme="minorHAnsi"/>
                <w:b/>
                <w:iCs/>
                <w:shd w:val="clear" w:color="auto" w:fill="FFFF00"/>
              </w:rPr>
              <w:t>Net Debt</w:t>
            </w:r>
            <w:r w:rsidRPr="00BD6C5F">
              <w:rPr>
                <w:rFonts w:asciiTheme="minorHAnsi" w:hAnsiTheme="minorHAnsi" w:cstheme="minorHAnsi"/>
                <w:iCs/>
                <w:shd w:val="clear" w:color="auto" w:fill="FFFF00"/>
              </w:rPr>
              <w:t>” = Bank overdrafts + Loans and borrowings +</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Finance leases + Deferred consideration payable – Cash</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and cash equivalents</w:t>
            </w:r>
          </w:p>
          <w:p w14:paraId="644E35E1" w14:textId="77777777" w:rsidR="00FD42A1" w:rsidRPr="00BD6C5F" w:rsidRDefault="00FD42A1" w:rsidP="00FD42A1">
            <w:pPr>
              <w:pStyle w:val="Tabletext"/>
              <w:rPr>
                <w:rFonts w:asciiTheme="minorHAnsi" w:hAnsiTheme="minorHAnsi" w:cstheme="minorHAnsi"/>
                <w:iCs/>
              </w:rPr>
            </w:pPr>
            <w:r w:rsidRPr="00BD6C5F">
              <w:rPr>
                <w:rFonts w:asciiTheme="minorHAnsi" w:hAnsiTheme="minorHAnsi" w:cstheme="minorHAnsi"/>
                <w:iCs/>
                <w:shd w:val="clear" w:color="auto" w:fill="FFFF00"/>
              </w:rPr>
              <w:t>“</w:t>
            </w:r>
            <w:r w:rsidRPr="00BD6C5F">
              <w:rPr>
                <w:rFonts w:asciiTheme="minorHAnsi" w:hAnsiTheme="minorHAnsi" w:cstheme="minorHAnsi"/>
                <w:b/>
                <w:iCs/>
                <w:shd w:val="clear" w:color="auto" w:fill="FFFF00"/>
              </w:rPr>
              <w:t>EBITDA</w:t>
            </w:r>
            <w:r w:rsidRPr="00BD6C5F">
              <w:rPr>
                <w:rFonts w:asciiTheme="minorHAnsi" w:hAnsiTheme="minorHAnsi" w:cstheme="minorHAnsi"/>
                <w:iCs/>
                <w:shd w:val="clear" w:color="auto" w:fill="FFFF00"/>
              </w:rPr>
              <w:t>” = Operating profit + Depreciation charge +</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Amortisation charge</w:t>
            </w:r>
          </w:p>
          <w:p w14:paraId="2775E6F6" w14:textId="77777777" w:rsidR="00FD42A1" w:rsidRPr="00BD6C5F" w:rsidRDefault="00FD42A1" w:rsidP="00FD42A1">
            <w:pPr>
              <w:pStyle w:val="Tabletext"/>
              <w:rPr>
                <w:rFonts w:asciiTheme="minorHAnsi" w:hAnsiTheme="minorHAnsi" w:cstheme="minorHAnsi"/>
              </w:rPr>
            </w:pPr>
            <w:r w:rsidRPr="00C76C8A">
              <w:rPr>
                <w:rFonts w:asciiTheme="minorHAnsi" w:hAnsiTheme="minorHAnsi" w:cstheme="minorHAnsi"/>
                <w:highlight w:val="yellow"/>
                <w:shd w:val="clear" w:color="auto" w:fill="FFFF00"/>
              </w:rPr>
              <w:t>The majority of the elements used to calculate the Net</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 xml:space="preserve">Debt to EBITDA Ratio should be shown on the face of the </w:t>
            </w:r>
            <w:r w:rsidRPr="00C76C8A">
              <w:rPr>
                <w:rFonts w:asciiTheme="minorHAnsi" w:hAnsiTheme="minorHAnsi" w:cstheme="minorHAnsi"/>
                <w:highlight w:val="yellow"/>
              </w:rPr>
              <w:t>Balance sheet, Income statement and Statement of Cash Flows in a standard set of financial statements but will otherwise be found in the notes to the financial statements.</w:t>
            </w:r>
          </w:p>
          <w:p w14:paraId="712A34A5" w14:textId="77777777" w:rsidR="00FD42A1" w:rsidRPr="00BD6C5F" w:rsidRDefault="00FD42A1" w:rsidP="00FD42A1">
            <w:pPr>
              <w:pStyle w:val="Tabletext"/>
              <w:rPr>
                <w:rFonts w:asciiTheme="minorHAnsi" w:hAnsiTheme="minorHAnsi" w:cstheme="minorHAnsi"/>
              </w:rPr>
            </w:pPr>
            <w:r w:rsidRPr="00BD6C5F">
              <w:rPr>
                <w:rFonts w:asciiTheme="minorHAnsi" w:hAnsiTheme="minorHAnsi" w:cstheme="minorHAnsi"/>
                <w:b/>
                <w:bCs/>
                <w:iCs/>
                <w:shd w:val="clear" w:color="auto" w:fill="FFFF00"/>
              </w:rPr>
              <w:t>Net Debt</w:t>
            </w:r>
            <w:r w:rsidRPr="00BD6C5F">
              <w:rPr>
                <w:rFonts w:asciiTheme="minorHAnsi" w:hAnsiTheme="minorHAnsi" w:cstheme="minorHAnsi"/>
                <w:iCs/>
                <w:shd w:val="clear" w:color="auto" w:fill="FFFF00"/>
              </w:rPr>
              <w:t xml:space="preserve">: </w:t>
            </w:r>
            <w:r w:rsidRPr="00BD6C5F">
              <w:rPr>
                <w:rFonts w:asciiTheme="minorHAnsi" w:hAnsiTheme="minorHAnsi" w:cstheme="minorHAnsi"/>
                <w:shd w:val="clear" w:color="auto" w:fill="FFFF00"/>
              </w:rPr>
              <w:t xml:space="preserve">The elements of </w:t>
            </w:r>
            <w:r w:rsidRPr="00C76C8A">
              <w:rPr>
                <w:rFonts w:asciiTheme="minorHAnsi" w:hAnsiTheme="minorHAnsi" w:cstheme="minorHAnsi"/>
                <w:highlight w:val="yellow"/>
                <w:shd w:val="clear" w:color="auto" w:fill="FFFF00"/>
              </w:rPr>
              <w:t>Net Debt may be described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slightly differently and should be found either on the face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Balance Sheet or in the relevant note to the financial</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statements. All interest bearing liabilities (other than</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 xml:space="preserve">retirement </w:t>
            </w:r>
            <w:r w:rsidRPr="00C76C8A">
              <w:rPr>
                <w:rFonts w:asciiTheme="minorHAnsi" w:hAnsiTheme="minorHAnsi" w:cstheme="minorHAnsi"/>
                <w:highlight w:val="yellow"/>
                <w:shd w:val="clear" w:color="auto" w:fill="FFFF00"/>
              </w:rPr>
              <w:lastRenderedPageBreak/>
              <w:t>benefit obligations) should be included as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borrowings as should, where disclosed, any liabilities (less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any assets) in respect of any hedges designated as linked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to borrowings (but not non-designated hedges).</w:t>
            </w:r>
          </w:p>
          <w:p w14:paraId="7B329081" w14:textId="77777777" w:rsidR="00FD42A1" w:rsidRPr="00C76C8A" w:rsidRDefault="00FD42A1" w:rsidP="00FD42A1">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Borrowings should also include balances owed to other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group members.</w:t>
            </w:r>
          </w:p>
          <w:p w14:paraId="5DDE9AB9" w14:textId="77777777" w:rsidR="00FD42A1" w:rsidRPr="00C76C8A" w:rsidRDefault="00FD42A1" w:rsidP="00FD42A1">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Deferred consideration payable should be included in Net</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Debt despite typically being non-interest bearing.</w:t>
            </w:r>
          </w:p>
          <w:p w14:paraId="3FE2A0C5" w14:textId="77777777" w:rsidR="00FD42A1" w:rsidRPr="00C76C8A" w:rsidRDefault="00FD42A1" w:rsidP="00FD42A1">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Cash and cash equivalents should include short-term</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financial investments shown in current assets.</w:t>
            </w:r>
          </w:p>
          <w:p w14:paraId="743E7F2E" w14:textId="77777777" w:rsidR="00FD42A1" w:rsidRPr="00C76C8A" w:rsidRDefault="00FD42A1" w:rsidP="00FD42A1">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Where Net debt is negative (i.e. an entity has net cash),</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relevant Financial Target Threshold should be treated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as having been met.</w:t>
            </w:r>
          </w:p>
          <w:p w14:paraId="45A30F9C" w14:textId="1CA1EAD8" w:rsidR="00FD42A1" w:rsidRPr="00BD6C5F" w:rsidRDefault="00FD42A1" w:rsidP="00FD42A1">
            <w:pPr>
              <w:pStyle w:val="Tabletext"/>
              <w:rPr>
                <w:rFonts w:asciiTheme="minorHAnsi" w:hAnsiTheme="minorHAnsi" w:cstheme="minorHAnsi"/>
                <w:i/>
                <w:shd w:val="clear" w:color="auto" w:fill="FFFF00"/>
              </w:rPr>
            </w:pPr>
            <w:r w:rsidRPr="00C76C8A">
              <w:rPr>
                <w:b/>
                <w:bCs/>
                <w:iCs/>
                <w:highlight w:val="yellow"/>
                <w:shd w:val="clear" w:color="auto" w:fill="FFFF00"/>
              </w:rPr>
              <w:t>EBITDA</w:t>
            </w:r>
            <w:r w:rsidRPr="00C76C8A">
              <w:rPr>
                <w:highlight w:val="yellow"/>
                <w:shd w:val="clear" w:color="auto" w:fill="FFFF00"/>
              </w:rPr>
              <w:t>: Operating profit should be shown on the face of</w:t>
            </w:r>
            <w:r w:rsidRPr="00C76C8A">
              <w:rPr>
                <w:highlight w:val="yellow"/>
              </w:rPr>
              <w:t xml:space="preserve"> </w:t>
            </w:r>
            <w:r w:rsidRPr="00C76C8A">
              <w:rPr>
                <w:highlight w:val="yellow"/>
                <w:shd w:val="clear" w:color="auto" w:fill="FFFF00"/>
              </w:rPr>
              <w:t>the Income Statement and, for the purposes of calculating</w:t>
            </w:r>
            <w:r w:rsidRPr="00C76C8A">
              <w:rPr>
                <w:highlight w:val="yellow"/>
              </w:rPr>
              <w:t xml:space="preserve"> </w:t>
            </w:r>
            <w:r w:rsidRPr="00C76C8A">
              <w:rPr>
                <w:highlight w:val="yellow"/>
                <w:shd w:val="clear" w:color="auto" w:fill="FFFF00"/>
              </w:rPr>
              <w:t>this Financial Indicator, should include the entity’s share of</w:t>
            </w:r>
            <w:r w:rsidRPr="00C76C8A">
              <w:rPr>
                <w:highlight w:val="yellow"/>
              </w:rPr>
              <w:t xml:space="preserve"> </w:t>
            </w:r>
            <w:r w:rsidRPr="00C76C8A">
              <w:rPr>
                <w:highlight w:val="yellow"/>
                <w:shd w:val="clear" w:color="auto" w:fill="FFFF00"/>
              </w:rPr>
              <w:t xml:space="preserve">the results of any joint ventures or Associates. </w:t>
            </w:r>
            <w:r w:rsidRPr="00C76C8A">
              <w:rPr>
                <w:iCs/>
                <w:highlight w:val="yellow"/>
                <w:shd w:val="clear" w:color="auto" w:fill="FFFF00"/>
              </w:rPr>
              <w:t>The</w:t>
            </w:r>
            <w:r w:rsidRPr="00C76C8A">
              <w:rPr>
                <w:iCs/>
                <w:highlight w:val="yellow"/>
              </w:rPr>
              <w:t xml:space="preserve"> </w:t>
            </w:r>
            <w:r w:rsidRPr="00C76C8A">
              <w:rPr>
                <w:iCs/>
                <w:highlight w:val="yellow"/>
                <w:shd w:val="clear" w:color="auto" w:fill="FFFF00"/>
              </w:rPr>
              <w:t>depreciation and amortisation charges for the period may</w:t>
            </w:r>
            <w:r w:rsidRPr="00C76C8A">
              <w:rPr>
                <w:iCs/>
                <w:highlight w:val="yellow"/>
              </w:rPr>
              <w:t xml:space="preserve"> </w:t>
            </w:r>
            <w:r w:rsidRPr="00C76C8A">
              <w:rPr>
                <w:iCs/>
                <w:highlight w:val="yellow"/>
                <w:shd w:val="clear" w:color="auto" w:fill="FFFF00"/>
              </w:rPr>
              <w:t>be found on the face of the Statement of Cash Flows or in</w:t>
            </w:r>
            <w:r w:rsidRPr="00C76C8A">
              <w:rPr>
                <w:iCs/>
                <w:highlight w:val="yellow"/>
              </w:rPr>
              <w:t xml:space="preserve"> </w:t>
            </w:r>
            <w:r w:rsidRPr="00C76C8A">
              <w:rPr>
                <w:iCs/>
                <w:highlight w:val="yellow"/>
                <w:shd w:val="clear" w:color="auto" w:fill="FFFF00"/>
              </w:rPr>
              <w:t>a Note to the Accounts. Where EBITDA is negative, the</w:t>
            </w:r>
            <w:r w:rsidRPr="00C76C8A">
              <w:rPr>
                <w:iCs/>
                <w:highlight w:val="yellow"/>
              </w:rPr>
              <w:t xml:space="preserve"> </w:t>
            </w:r>
            <w:r w:rsidRPr="00C76C8A">
              <w:rPr>
                <w:iCs/>
                <w:highlight w:val="yellow"/>
                <w:shd w:val="clear" w:color="auto" w:fill="FFFF00"/>
              </w:rPr>
              <w:t>relevant Financial Target Threshold should be treated as</w:t>
            </w:r>
            <w:r w:rsidRPr="00C76C8A">
              <w:rPr>
                <w:iCs/>
                <w:highlight w:val="yellow"/>
              </w:rPr>
              <w:t xml:space="preserve"> </w:t>
            </w:r>
            <w:r w:rsidRPr="00C76C8A">
              <w:rPr>
                <w:iCs/>
                <w:highlight w:val="yellow"/>
                <w:shd w:val="clear" w:color="auto" w:fill="FFFF00"/>
              </w:rPr>
              <w:t>not having been met (unless Net Debt is also negative, in</w:t>
            </w:r>
            <w:r w:rsidRPr="00C76C8A">
              <w:rPr>
                <w:iCs/>
                <w:highlight w:val="yellow"/>
              </w:rPr>
              <w:t xml:space="preserve"> </w:t>
            </w:r>
            <w:r w:rsidRPr="00C76C8A">
              <w:rPr>
                <w:iCs/>
                <w:highlight w:val="yellow"/>
                <w:shd w:val="clear" w:color="auto" w:fill="FFFF00"/>
              </w:rPr>
              <w:t>which case the relevant Financial Target Threshold should</w:t>
            </w:r>
            <w:r w:rsidRPr="00C76C8A">
              <w:rPr>
                <w:iCs/>
                <w:highlight w:val="yellow"/>
              </w:rPr>
              <w:t xml:space="preserve"> </w:t>
            </w:r>
            <w:r w:rsidRPr="00C76C8A">
              <w:rPr>
                <w:iCs/>
                <w:highlight w:val="yellow"/>
                <w:shd w:val="clear" w:color="auto" w:fill="FFFF00"/>
              </w:rPr>
              <w:t>be treated as having been met).]</w:t>
            </w:r>
          </w:p>
        </w:tc>
      </w:tr>
      <w:tr w:rsidR="00FD42A1" w:rsidRPr="00BD6C5F" w14:paraId="73DC904E" w14:textId="77777777" w:rsidTr="00FD6BAA">
        <w:trPr>
          <w:trHeight w:val="20"/>
        </w:trPr>
        <w:tc>
          <w:tcPr>
            <w:tcW w:w="3402" w:type="dxa"/>
          </w:tcPr>
          <w:p w14:paraId="77BD807D" w14:textId="77777777" w:rsidR="00FD42A1" w:rsidRPr="00BD6C5F" w:rsidRDefault="00FD42A1" w:rsidP="00FD42A1">
            <w:pPr>
              <w:pStyle w:val="Tabletext"/>
              <w:rPr>
                <w:b/>
                <w:bCs/>
              </w:rPr>
            </w:pPr>
            <w:r w:rsidRPr="00BD6C5F">
              <w:rPr>
                <w:b/>
                <w:bCs/>
                <w:w w:val="99"/>
              </w:rPr>
              <w:lastRenderedPageBreak/>
              <w:t>3</w:t>
            </w:r>
          </w:p>
          <w:p w14:paraId="68010E63" w14:textId="3BF74461" w:rsidR="00FD42A1" w:rsidRPr="00BD6C5F" w:rsidRDefault="00FD42A1" w:rsidP="00FD42A1">
            <w:pPr>
              <w:pStyle w:val="Tabletext"/>
              <w:rPr>
                <w:b/>
                <w:bCs/>
              </w:rPr>
            </w:pPr>
            <w:r w:rsidRPr="00BD6C5F">
              <w:rPr>
                <w:b/>
                <w:bCs/>
                <w:shd w:val="clear" w:color="auto" w:fill="FFFF00"/>
              </w:rPr>
              <w:t>[Net Debt + Net</w:t>
            </w:r>
            <w:r w:rsidRPr="00BD6C5F">
              <w:rPr>
                <w:b/>
                <w:bCs/>
              </w:rPr>
              <w:t xml:space="preserve"> </w:t>
            </w:r>
            <w:r w:rsidRPr="00BD6C5F">
              <w:rPr>
                <w:b/>
                <w:bCs/>
                <w:shd w:val="clear" w:color="auto" w:fill="FFFF00"/>
              </w:rPr>
              <w:t>Pension Deficit to</w:t>
            </w:r>
            <w:r w:rsidRPr="00BD6C5F">
              <w:rPr>
                <w:b/>
                <w:bCs/>
              </w:rPr>
              <w:t xml:space="preserve"> </w:t>
            </w:r>
            <w:r w:rsidRPr="00BD6C5F">
              <w:rPr>
                <w:b/>
                <w:bCs/>
                <w:shd w:val="clear" w:color="auto" w:fill="FFFF00"/>
              </w:rPr>
              <w:t>EBITDA ratio]</w:t>
            </w:r>
          </w:p>
        </w:tc>
        <w:tc>
          <w:tcPr>
            <w:tcW w:w="6803" w:type="dxa"/>
          </w:tcPr>
          <w:p w14:paraId="18F86D5B" w14:textId="77777777" w:rsidR="00FD6BAA" w:rsidRPr="00C76C8A" w:rsidRDefault="00FD6BAA" w:rsidP="00FD6BAA">
            <w:pPr>
              <w:pStyle w:val="Tabletext"/>
              <w:rPr>
                <w:rFonts w:asciiTheme="minorHAnsi" w:hAnsiTheme="minorHAnsi" w:cstheme="minorHAnsi"/>
                <w:iCs/>
                <w:highlight w:val="yellow"/>
              </w:rPr>
            </w:pPr>
            <w:r w:rsidRPr="00BD6C5F">
              <w:rPr>
                <w:rFonts w:asciiTheme="minorHAnsi" w:hAnsiTheme="minorHAnsi" w:cstheme="minorHAnsi"/>
                <w:iCs/>
                <w:shd w:val="clear" w:color="auto" w:fill="FFFF00"/>
              </w:rPr>
              <w:t>[</w:t>
            </w: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Net Debt</w:t>
            </w:r>
            <w:r w:rsidRPr="00C76C8A">
              <w:rPr>
                <w:rFonts w:asciiTheme="minorHAnsi" w:hAnsiTheme="minorHAnsi" w:cstheme="minorHAnsi"/>
                <w:iCs/>
                <w:highlight w:val="yellow"/>
                <w:shd w:val="clear" w:color="auto" w:fill="FFFF00"/>
              </w:rPr>
              <w:t>” = Bank overdrafts + Loans and borrowings +</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Finance leases + Deferred consideration payable – Cash</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and cash equivalents</w:t>
            </w:r>
          </w:p>
          <w:p w14:paraId="32FA4C92" w14:textId="52DB9656" w:rsidR="00FD6BAA" w:rsidRPr="00C76C8A" w:rsidRDefault="00FD6BAA" w:rsidP="00FD6BAA">
            <w:pPr>
              <w:pStyle w:val="Tabletext"/>
              <w:rPr>
                <w:rFonts w:asciiTheme="minorHAnsi" w:hAnsiTheme="minorHAnsi" w:cstheme="minorHAnsi"/>
                <w:iCs/>
                <w:highlight w:val="yellow"/>
              </w:rPr>
            </w:pP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Net Pension Deficit</w:t>
            </w:r>
            <w:r w:rsidRPr="00C76C8A">
              <w:rPr>
                <w:rFonts w:asciiTheme="minorHAnsi" w:hAnsiTheme="minorHAnsi" w:cstheme="minorHAnsi"/>
                <w:iCs/>
                <w:highlight w:val="yellow"/>
                <w:shd w:val="clear" w:color="auto" w:fill="FFFF00"/>
              </w:rPr>
              <w:t>” = Retirement Benefit Obligations – Retirement Benefit Assets</w:t>
            </w:r>
          </w:p>
          <w:p w14:paraId="47585A8D" w14:textId="77777777" w:rsidR="00FD6BAA" w:rsidRPr="00C76C8A" w:rsidRDefault="00FD6BAA" w:rsidP="00FD6BAA">
            <w:pPr>
              <w:pStyle w:val="Tabletext"/>
              <w:rPr>
                <w:rFonts w:asciiTheme="minorHAnsi" w:hAnsiTheme="minorHAnsi" w:cstheme="minorHAnsi"/>
                <w:iCs/>
                <w:highlight w:val="yellow"/>
              </w:rPr>
            </w:pPr>
            <w:r w:rsidRPr="00C76C8A">
              <w:rPr>
                <w:rFonts w:asciiTheme="minorHAnsi" w:hAnsiTheme="minorHAnsi" w:cstheme="minorHAnsi"/>
                <w:iCs/>
                <w:highlight w:val="yellow"/>
                <w:shd w:val="clear" w:color="auto" w:fill="FFFF00"/>
              </w:rPr>
              <w:t>“</w:t>
            </w:r>
            <w:r w:rsidRPr="00C76C8A">
              <w:rPr>
                <w:rFonts w:asciiTheme="minorHAnsi" w:hAnsiTheme="minorHAnsi" w:cstheme="minorHAnsi"/>
                <w:b/>
                <w:iCs/>
                <w:highlight w:val="yellow"/>
                <w:shd w:val="clear" w:color="auto" w:fill="FFFF00"/>
              </w:rPr>
              <w:t>EBITDA</w:t>
            </w:r>
            <w:r w:rsidRPr="00C76C8A">
              <w:rPr>
                <w:rFonts w:asciiTheme="minorHAnsi" w:hAnsiTheme="minorHAnsi" w:cstheme="minorHAnsi"/>
                <w:iCs/>
                <w:highlight w:val="yellow"/>
                <w:shd w:val="clear" w:color="auto" w:fill="FFFF00"/>
              </w:rPr>
              <w:t>” = Operating profit + Depreciation charge +</w:t>
            </w:r>
            <w:r w:rsidRPr="00C76C8A">
              <w:rPr>
                <w:rFonts w:asciiTheme="minorHAnsi" w:hAnsiTheme="minorHAnsi" w:cstheme="minorHAnsi"/>
                <w:iCs/>
                <w:highlight w:val="yellow"/>
              </w:rPr>
              <w:t xml:space="preserve"> </w:t>
            </w:r>
            <w:r w:rsidRPr="00C76C8A">
              <w:rPr>
                <w:rFonts w:asciiTheme="minorHAnsi" w:hAnsiTheme="minorHAnsi" w:cstheme="minorHAnsi"/>
                <w:iCs/>
                <w:highlight w:val="yellow"/>
                <w:shd w:val="clear" w:color="auto" w:fill="FFFF00"/>
              </w:rPr>
              <w:t>Amortisation charge</w:t>
            </w:r>
          </w:p>
          <w:p w14:paraId="64AE252D" w14:textId="5A25D73E"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highlight w:val="yellow"/>
              </w:rPr>
              <w:t xml:space="preserve">The majority of the elements used to calculate the Net Debt + Net Pension Deficit to EBITDA Ratio should be shown on the face of the Balance sheet, Income statement and Statement of Cash Flows in a standard set of financial </w:t>
            </w:r>
            <w:r w:rsidRPr="00C76C8A">
              <w:rPr>
                <w:rFonts w:asciiTheme="minorHAnsi" w:hAnsiTheme="minorHAnsi" w:cstheme="minorHAnsi"/>
                <w:highlight w:val="yellow"/>
                <w:shd w:val="clear" w:color="auto" w:fill="FFFF00"/>
              </w:rPr>
              <w:t>statements but will otherwise be found in the notes to the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financial statements.</w:t>
            </w:r>
          </w:p>
          <w:p w14:paraId="07D50FEF"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b/>
                <w:bCs/>
                <w:iCs/>
                <w:highlight w:val="yellow"/>
                <w:shd w:val="clear" w:color="auto" w:fill="FFFF00"/>
              </w:rPr>
              <w:t>Net Debt</w:t>
            </w:r>
            <w:r w:rsidRPr="00C76C8A">
              <w:rPr>
                <w:rFonts w:asciiTheme="minorHAnsi" w:hAnsiTheme="minorHAnsi" w:cstheme="minorHAnsi"/>
                <w:highlight w:val="yellow"/>
                <w:shd w:val="clear" w:color="auto" w:fill="FFFF00"/>
              </w:rPr>
              <w:t>: The elements of Net Debt may be described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slightly differently and should be found either on the face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Balance Sheet or in the relevant note to the financial</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statements. All interest bearing liabilities (other than</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retirement benefit obligations) should be included as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borrowings as should, where disclosed, any liabilities (less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 xml:space="preserve">any assets) in </w:t>
            </w:r>
            <w:r w:rsidRPr="00C76C8A">
              <w:rPr>
                <w:rFonts w:asciiTheme="minorHAnsi" w:hAnsiTheme="minorHAnsi" w:cstheme="minorHAnsi"/>
                <w:highlight w:val="yellow"/>
                <w:shd w:val="clear" w:color="auto" w:fill="FFFF00"/>
              </w:rPr>
              <w:lastRenderedPageBreak/>
              <w:t>respect of any hedges designated as linked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 xml:space="preserve">to borrowings (but </w:t>
            </w:r>
            <w:r w:rsidRPr="00C76C8A">
              <w:rPr>
                <w:rFonts w:asciiTheme="minorHAnsi" w:hAnsiTheme="minorHAnsi" w:cstheme="minorHAnsi"/>
                <w:b/>
                <w:bCs/>
                <w:iCs/>
                <w:highlight w:val="yellow"/>
                <w:shd w:val="clear" w:color="auto" w:fill="FFFF00"/>
              </w:rPr>
              <w:t xml:space="preserve">not </w:t>
            </w:r>
            <w:r w:rsidRPr="00C76C8A">
              <w:rPr>
                <w:rFonts w:asciiTheme="minorHAnsi" w:hAnsiTheme="minorHAnsi" w:cstheme="minorHAnsi"/>
                <w:highlight w:val="yellow"/>
                <w:shd w:val="clear" w:color="auto" w:fill="FFFF00"/>
              </w:rPr>
              <w:t>non-designated hedges).</w:t>
            </w:r>
          </w:p>
          <w:p w14:paraId="13D0FC79" w14:textId="77777777" w:rsidR="00FD6BAA" w:rsidRPr="00BD6C5F" w:rsidRDefault="00FD6BAA" w:rsidP="00FD6BAA">
            <w:pPr>
              <w:pStyle w:val="Tabletext"/>
              <w:rPr>
                <w:rFonts w:asciiTheme="minorHAnsi" w:hAnsiTheme="minorHAnsi" w:cstheme="minorHAnsi"/>
              </w:rPr>
            </w:pPr>
            <w:r w:rsidRPr="00C76C8A">
              <w:rPr>
                <w:rFonts w:asciiTheme="minorHAnsi" w:hAnsiTheme="minorHAnsi" w:cstheme="minorHAnsi"/>
                <w:highlight w:val="yellow"/>
                <w:shd w:val="clear" w:color="auto" w:fill="FFFF00"/>
              </w:rPr>
              <w:t>Borrowings should also include balances owed to other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group members.</w:t>
            </w:r>
          </w:p>
          <w:p w14:paraId="53726DB8"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Deferred consideration payable should be included in Net</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Debt despite typically being non-interest bearing.</w:t>
            </w:r>
          </w:p>
          <w:p w14:paraId="67E81BC9"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Cash and cash equivalents should include short-term</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financial investments shown in current assets.</w:t>
            </w:r>
          </w:p>
          <w:p w14:paraId="4E7ED618"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b/>
                <w:bCs/>
                <w:iCs/>
                <w:highlight w:val="yellow"/>
                <w:shd w:val="clear" w:color="auto" w:fill="FFFF00"/>
              </w:rPr>
              <w:t>Net Pension Deficit</w:t>
            </w:r>
            <w:r w:rsidRPr="00C76C8A">
              <w:rPr>
                <w:rFonts w:asciiTheme="minorHAnsi" w:hAnsiTheme="minorHAnsi" w:cstheme="minorHAnsi"/>
                <w:iCs/>
                <w:highlight w:val="yellow"/>
                <w:shd w:val="clear" w:color="auto" w:fill="FFFF00"/>
              </w:rPr>
              <w:t xml:space="preserve">: </w:t>
            </w:r>
            <w:r w:rsidRPr="00C76C8A">
              <w:rPr>
                <w:rFonts w:asciiTheme="minorHAnsi" w:hAnsiTheme="minorHAnsi" w:cstheme="minorHAnsi"/>
                <w:highlight w:val="yellow"/>
                <w:shd w:val="clear" w:color="auto" w:fill="FFFF00"/>
              </w:rPr>
              <w:t>Retirement Benefit Obligations and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Retirement Benefit Assets may be shown on the face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Balance Sheet or in the notes to the financial</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statements. They may also be described as pension</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benefits / obligations, post-employment obligations or other</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similar terms.</w:t>
            </w:r>
          </w:p>
          <w:p w14:paraId="72E83C05"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Where ‘Net Debt + Net Pension Deficit’ is negative, the</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relevant Financial Target Threshold should be treated as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having been met.</w:t>
            </w:r>
          </w:p>
          <w:p w14:paraId="52537BD5"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b/>
                <w:bCs/>
                <w:iCs/>
                <w:highlight w:val="yellow"/>
                <w:shd w:val="clear" w:color="auto" w:fill="FFFF00"/>
              </w:rPr>
              <w:t>EBITDA</w:t>
            </w:r>
            <w:r w:rsidRPr="00C76C8A">
              <w:rPr>
                <w:rFonts w:asciiTheme="minorHAnsi" w:hAnsiTheme="minorHAnsi" w:cstheme="minorHAnsi"/>
                <w:highlight w:val="yellow"/>
                <w:shd w:val="clear" w:color="auto" w:fill="FFFF00"/>
              </w:rPr>
              <w:t>: Operating profit should be shown on the face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Income Statement and, for the purposes of calculating</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this Financial Indicator, should include the entity’s share of</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the results of any joint ventures or Associates.</w:t>
            </w:r>
          </w:p>
          <w:p w14:paraId="67C2897F" w14:textId="77777777" w:rsidR="00FD6BAA" w:rsidRPr="00C76C8A" w:rsidRDefault="00FD6BAA" w:rsidP="00FD6BAA">
            <w:pPr>
              <w:pStyle w:val="Tabletext"/>
              <w:rPr>
                <w:rFonts w:asciiTheme="minorHAnsi" w:hAnsiTheme="minorHAnsi" w:cstheme="minorHAnsi"/>
                <w:highlight w:val="yellow"/>
              </w:rPr>
            </w:pPr>
            <w:r w:rsidRPr="00C76C8A">
              <w:rPr>
                <w:rFonts w:asciiTheme="minorHAnsi" w:hAnsiTheme="minorHAnsi" w:cstheme="minorHAnsi"/>
                <w:highlight w:val="yellow"/>
                <w:shd w:val="clear" w:color="auto" w:fill="FFFF00"/>
              </w:rPr>
              <w:t>The depreciation and amortisation charges for the period</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may be found on the face of the Statement of Cash Flows</w:t>
            </w:r>
            <w:r w:rsidRPr="00C76C8A">
              <w:rPr>
                <w:rFonts w:asciiTheme="minorHAnsi" w:hAnsiTheme="minorHAnsi" w:cstheme="minorHAnsi"/>
                <w:highlight w:val="yellow"/>
              </w:rPr>
              <w:t xml:space="preserve"> </w:t>
            </w:r>
            <w:r w:rsidRPr="00C76C8A">
              <w:rPr>
                <w:rFonts w:asciiTheme="minorHAnsi" w:hAnsiTheme="minorHAnsi" w:cstheme="minorHAnsi"/>
                <w:highlight w:val="yellow"/>
                <w:shd w:val="clear" w:color="auto" w:fill="FFFF00"/>
              </w:rPr>
              <w:t>or in a Note to the Accounts.</w:t>
            </w:r>
          </w:p>
          <w:p w14:paraId="0B91CFC6" w14:textId="2D21B54A" w:rsidR="00FD42A1" w:rsidRPr="00BD6C5F" w:rsidRDefault="00FD6BAA" w:rsidP="00FD6BAA">
            <w:pPr>
              <w:pStyle w:val="Tabletext"/>
            </w:pPr>
            <w:r w:rsidRPr="00C76C8A">
              <w:rPr>
                <w:highlight w:val="yellow"/>
                <w:shd w:val="clear" w:color="auto" w:fill="FFFF00"/>
              </w:rPr>
              <w:t>Where EBITDA is negative, the relevant Financial Target</w:t>
            </w:r>
            <w:r w:rsidRPr="00C76C8A">
              <w:rPr>
                <w:highlight w:val="yellow"/>
              </w:rPr>
              <w:t xml:space="preserve"> </w:t>
            </w:r>
            <w:r w:rsidRPr="00C76C8A">
              <w:rPr>
                <w:highlight w:val="yellow"/>
                <w:shd w:val="clear" w:color="auto" w:fill="FFFF00"/>
              </w:rPr>
              <w:t>Threshold should be treated as not having been met</w:t>
            </w:r>
            <w:r w:rsidRPr="00C76C8A">
              <w:rPr>
                <w:highlight w:val="yellow"/>
              </w:rPr>
              <w:t xml:space="preserve"> </w:t>
            </w:r>
            <w:r w:rsidRPr="00C76C8A">
              <w:rPr>
                <w:highlight w:val="yellow"/>
                <w:shd w:val="clear" w:color="auto" w:fill="FFFF00"/>
              </w:rPr>
              <w:t>(unless ‘Net Debt + Net Pension Deficit’ is also negative, in</w:t>
            </w:r>
            <w:r w:rsidRPr="00C76C8A">
              <w:rPr>
                <w:highlight w:val="yellow"/>
              </w:rPr>
              <w:t xml:space="preserve"> </w:t>
            </w:r>
            <w:r w:rsidRPr="00C76C8A">
              <w:rPr>
                <w:highlight w:val="yellow"/>
                <w:shd w:val="clear" w:color="auto" w:fill="FFFF00"/>
              </w:rPr>
              <w:t>which case the relevant Financial Target Threshold should</w:t>
            </w:r>
            <w:r w:rsidRPr="00C76C8A">
              <w:rPr>
                <w:highlight w:val="yellow"/>
              </w:rPr>
              <w:t xml:space="preserve"> </w:t>
            </w:r>
            <w:r w:rsidRPr="00C76C8A">
              <w:rPr>
                <w:highlight w:val="yellow"/>
                <w:shd w:val="clear" w:color="auto" w:fill="FFFF00"/>
              </w:rPr>
              <w:t>be regarded as having been met).]</w:t>
            </w:r>
          </w:p>
        </w:tc>
      </w:tr>
      <w:tr w:rsidR="00FD6BAA" w:rsidRPr="00BD6C5F" w14:paraId="3794375B" w14:textId="77777777" w:rsidTr="00FD6BAA">
        <w:trPr>
          <w:trHeight w:val="20"/>
        </w:trPr>
        <w:tc>
          <w:tcPr>
            <w:tcW w:w="3402" w:type="dxa"/>
          </w:tcPr>
          <w:p w14:paraId="1AA5A5D0" w14:textId="77777777" w:rsidR="00FD6BAA" w:rsidRPr="00BD6C5F" w:rsidRDefault="00FD6BAA" w:rsidP="00FD6BAA">
            <w:pPr>
              <w:pStyle w:val="Tabletext"/>
              <w:rPr>
                <w:b/>
                <w:bCs/>
              </w:rPr>
            </w:pPr>
            <w:r w:rsidRPr="00BD6C5F">
              <w:rPr>
                <w:b/>
                <w:bCs/>
                <w:w w:val="99"/>
              </w:rPr>
              <w:lastRenderedPageBreak/>
              <w:t>4</w:t>
            </w:r>
          </w:p>
          <w:p w14:paraId="5E063C1E" w14:textId="5FD6E6BD" w:rsidR="00FD6BAA" w:rsidRPr="00BD6C5F" w:rsidRDefault="00FD6BAA" w:rsidP="00FD6BAA">
            <w:pPr>
              <w:pStyle w:val="Tabletext"/>
              <w:rPr>
                <w:b/>
                <w:bCs/>
                <w:w w:val="99"/>
              </w:rPr>
            </w:pPr>
            <w:r w:rsidRPr="00BD6C5F">
              <w:rPr>
                <w:b/>
                <w:bCs/>
                <w:shd w:val="clear" w:color="auto" w:fill="FFFF00"/>
              </w:rPr>
              <w:t>[Net Interest Paid</w:t>
            </w:r>
            <w:r w:rsidRPr="00BD6C5F">
              <w:rPr>
                <w:b/>
                <w:bCs/>
              </w:rPr>
              <w:t xml:space="preserve"> </w:t>
            </w:r>
            <w:r w:rsidRPr="00BD6C5F">
              <w:rPr>
                <w:b/>
                <w:bCs/>
                <w:shd w:val="clear" w:color="auto" w:fill="FFFF00"/>
              </w:rPr>
              <w:t>Cover]</w:t>
            </w:r>
          </w:p>
        </w:tc>
        <w:tc>
          <w:tcPr>
            <w:tcW w:w="6803" w:type="dxa"/>
          </w:tcPr>
          <w:p w14:paraId="1E513041" w14:textId="77777777" w:rsidR="00FD6BAA" w:rsidRPr="00C76C8A" w:rsidRDefault="00FD6BAA" w:rsidP="00FD6BAA">
            <w:pPr>
              <w:pStyle w:val="Tabletext"/>
              <w:rPr>
                <w:highlight w:val="yellow"/>
              </w:rPr>
            </w:pPr>
            <w:r w:rsidRPr="00C76C8A">
              <w:rPr>
                <w:highlight w:val="yellow"/>
                <w:shd w:val="clear" w:color="auto" w:fill="FFFF00"/>
              </w:rPr>
              <w:t>[“Earnings Before Interest and Tax” = Operating profit</w:t>
            </w:r>
          </w:p>
          <w:p w14:paraId="2BB4E8CF" w14:textId="77777777" w:rsidR="00FD6BAA" w:rsidRPr="00C76C8A" w:rsidRDefault="00FD6BAA" w:rsidP="00FD6BAA">
            <w:pPr>
              <w:pStyle w:val="Tabletext"/>
              <w:rPr>
                <w:highlight w:val="yellow"/>
              </w:rPr>
            </w:pPr>
            <w:r w:rsidRPr="00C76C8A">
              <w:rPr>
                <w:highlight w:val="yellow"/>
                <w:shd w:val="clear" w:color="auto" w:fill="FFFF00"/>
              </w:rPr>
              <w:t>“</w:t>
            </w:r>
            <w:r w:rsidRPr="00C76C8A">
              <w:rPr>
                <w:b/>
                <w:highlight w:val="yellow"/>
                <w:shd w:val="clear" w:color="auto" w:fill="FFFF00"/>
              </w:rPr>
              <w:t>Net Interest Paid</w:t>
            </w:r>
            <w:r w:rsidRPr="00C76C8A">
              <w:rPr>
                <w:highlight w:val="yellow"/>
                <w:shd w:val="clear" w:color="auto" w:fill="FFFF00"/>
              </w:rPr>
              <w:t>” = Interest paid – Interest received</w:t>
            </w:r>
          </w:p>
          <w:p w14:paraId="565413B5" w14:textId="77777777" w:rsidR="00FD6BAA" w:rsidRPr="00C76C8A" w:rsidRDefault="00FD6BAA" w:rsidP="00FD6BAA">
            <w:pPr>
              <w:pStyle w:val="Tabletext"/>
              <w:rPr>
                <w:highlight w:val="yellow"/>
              </w:rPr>
            </w:pPr>
            <w:r w:rsidRPr="00C76C8A">
              <w:rPr>
                <w:highlight w:val="yellow"/>
                <w:shd w:val="clear" w:color="auto" w:fill="FFFF00"/>
              </w:rPr>
              <w:t>Operating profit should be shown on the face of the Income</w:t>
            </w:r>
            <w:r w:rsidRPr="00C76C8A">
              <w:rPr>
                <w:highlight w:val="yellow"/>
              </w:rPr>
              <w:t xml:space="preserve"> </w:t>
            </w:r>
            <w:r w:rsidRPr="00C76C8A">
              <w:rPr>
                <w:highlight w:val="yellow"/>
                <w:shd w:val="clear" w:color="auto" w:fill="FFFF00"/>
              </w:rPr>
              <w:t>Statement in a standard set of financial statements and, for the purposes of calculating this Financial Indicator, should include the entity’s share of the results of any joint ventures</w:t>
            </w:r>
            <w:r w:rsidRPr="00C76C8A">
              <w:rPr>
                <w:highlight w:val="yellow"/>
              </w:rPr>
              <w:t xml:space="preserve"> </w:t>
            </w:r>
            <w:r w:rsidRPr="00C76C8A">
              <w:rPr>
                <w:highlight w:val="yellow"/>
                <w:shd w:val="clear" w:color="auto" w:fill="FFFF00"/>
              </w:rPr>
              <w:t>or Associates.</w:t>
            </w:r>
          </w:p>
          <w:p w14:paraId="7284DDAB" w14:textId="77777777" w:rsidR="00FD6BAA" w:rsidRPr="00C76C8A" w:rsidRDefault="00FD6BAA" w:rsidP="00FD6BAA">
            <w:pPr>
              <w:pStyle w:val="Tabletext"/>
              <w:rPr>
                <w:highlight w:val="yellow"/>
              </w:rPr>
            </w:pPr>
            <w:r w:rsidRPr="00C76C8A">
              <w:rPr>
                <w:highlight w:val="yellow"/>
                <w:shd w:val="clear" w:color="auto" w:fill="FFFF00"/>
              </w:rPr>
              <w:t>Interest received and interest paid should be shown on the</w:t>
            </w:r>
            <w:r w:rsidRPr="00C76C8A">
              <w:rPr>
                <w:highlight w:val="yellow"/>
              </w:rPr>
              <w:t xml:space="preserve"> </w:t>
            </w:r>
            <w:r w:rsidRPr="00C76C8A">
              <w:rPr>
                <w:highlight w:val="yellow"/>
                <w:shd w:val="clear" w:color="auto" w:fill="FFFF00"/>
              </w:rPr>
              <w:t>face of the Cash Flow statement.</w:t>
            </w:r>
          </w:p>
          <w:p w14:paraId="303D37D8" w14:textId="6E38DDEF" w:rsidR="00FD6BAA" w:rsidRPr="00C76C8A" w:rsidRDefault="00FD6BAA" w:rsidP="00CC352A">
            <w:pPr>
              <w:pStyle w:val="Tabletext"/>
              <w:rPr>
                <w:rFonts w:asciiTheme="minorHAnsi" w:hAnsiTheme="minorHAnsi" w:cstheme="minorHAnsi"/>
                <w:i/>
                <w:highlight w:val="yellow"/>
                <w:shd w:val="clear" w:color="auto" w:fill="FFFF00"/>
              </w:rPr>
            </w:pPr>
            <w:r w:rsidRPr="00C76C8A">
              <w:rPr>
                <w:highlight w:val="yellow"/>
                <w:shd w:val="clear" w:color="auto" w:fill="FFFF00"/>
              </w:rPr>
              <w:t>Where Net interest paid is negative (i.e. the entity has net interest received), the relevant Financial Target Threshold should be treated as having been met.]</w:t>
            </w:r>
          </w:p>
        </w:tc>
      </w:tr>
      <w:tr w:rsidR="00FD6BAA" w:rsidRPr="00BD6C5F" w14:paraId="6A0458A3" w14:textId="77777777" w:rsidTr="00FD6BAA">
        <w:trPr>
          <w:trHeight w:val="20"/>
        </w:trPr>
        <w:tc>
          <w:tcPr>
            <w:tcW w:w="3402" w:type="dxa"/>
          </w:tcPr>
          <w:p w14:paraId="354B952C" w14:textId="77777777" w:rsidR="00FD6BAA" w:rsidRPr="00BD6C5F" w:rsidRDefault="00FD6BAA" w:rsidP="00FD6BAA">
            <w:pPr>
              <w:pStyle w:val="Tabletext"/>
              <w:rPr>
                <w:b/>
                <w:bCs/>
              </w:rPr>
            </w:pPr>
            <w:r w:rsidRPr="00BD6C5F">
              <w:rPr>
                <w:b/>
                <w:bCs/>
                <w:w w:val="99"/>
              </w:rPr>
              <w:lastRenderedPageBreak/>
              <w:t>5</w:t>
            </w:r>
          </w:p>
          <w:p w14:paraId="1FF54D2A" w14:textId="2FA68B55" w:rsidR="00FD6BAA" w:rsidRPr="00BD6C5F" w:rsidRDefault="00FD6BAA" w:rsidP="00FD6BAA">
            <w:pPr>
              <w:pStyle w:val="Tabletext"/>
              <w:rPr>
                <w:b/>
                <w:bCs/>
                <w:w w:val="99"/>
              </w:rPr>
            </w:pPr>
            <w:r w:rsidRPr="00BD6C5F">
              <w:rPr>
                <w:b/>
                <w:bCs/>
                <w:shd w:val="clear" w:color="auto" w:fill="FFFF00"/>
              </w:rPr>
              <w:t>[Acid Ratio]</w:t>
            </w:r>
          </w:p>
        </w:tc>
        <w:tc>
          <w:tcPr>
            <w:tcW w:w="6803" w:type="dxa"/>
          </w:tcPr>
          <w:p w14:paraId="209E0A78" w14:textId="4EB139D6" w:rsidR="00FD6BAA" w:rsidRPr="00C76C8A" w:rsidRDefault="00FD6BAA" w:rsidP="00FD6BAA">
            <w:pPr>
              <w:pStyle w:val="Tabletext"/>
              <w:rPr>
                <w:highlight w:val="yellow"/>
                <w:shd w:val="clear" w:color="auto" w:fill="FFFF00"/>
              </w:rPr>
            </w:pPr>
            <w:r w:rsidRPr="00C76C8A">
              <w:rPr>
                <w:highlight w:val="yellow"/>
                <w:shd w:val="clear" w:color="auto" w:fill="FFFF00"/>
              </w:rPr>
              <w:t>[All elements that are used to calculate the Acid Ratio are</w:t>
            </w:r>
            <w:r w:rsidRPr="00C76C8A">
              <w:rPr>
                <w:highlight w:val="yellow"/>
              </w:rPr>
              <w:t xml:space="preserve"> </w:t>
            </w:r>
            <w:r w:rsidRPr="00C76C8A">
              <w:rPr>
                <w:highlight w:val="yellow"/>
                <w:shd w:val="clear" w:color="auto" w:fill="FFFF00"/>
              </w:rPr>
              <w:t>available on the face of the Balance Sheet in a standard</w:t>
            </w:r>
            <w:r w:rsidRPr="00C76C8A">
              <w:rPr>
                <w:highlight w:val="yellow"/>
              </w:rPr>
              <w:t xml:space="preserve"> </w:t>
            </w:r>
            <w:r w:rsidRPr="00C76C8A">
              <w:rPr>
                <w:highlight w:val="yellow"/>
                <w:shd w:val="clear" w:color="auto" w:fill="FFFF00"/>
              </w:rPr>
              <w:t>set of financial statements.]</w:t>
            </w:r>
          </w:p>
        </w:tc>
      </w:tr>
      <w:tr w:rsidR="00FD6BAA" w:rsidRPr="00BD6C5F" w14:paraId="256537DC" w14:textId="77777777" w:rsidTr="00FD6BAA">
        <w:trPr>
          <w:trHeight w:val="20"/>
        </w:trPr>
        <w:tc>
          <w:tcPr>
            <w:tcW w:w="3402" w:type="dxa"/>
          </w:tcPr>
          <w:p w14:paraId="737B970F" w14:textId="77777777" w:rsidR="00FD6BAA" w:rsidRPr="00BD6C5F" w:rsidRDefault="00FD6BAA" w:rsidP="00FD6BAA">
            <w:pPr>
              <w:pStyle w:val="Tabletext"/>
              <w:rPr>
                <w:b/>
                <w:bCs/>
              </w:rPr>
            </w:pPr>
            <w:r w:rsidRPr="00BD6C5F">
              <w:rPr>
                <w:b/>
                <w:bCs/>
                <w:w w:val="99"/>
              </w:rPr>
              <w:t>6</w:t>
            </w:r>
          </w:p>
          <w:p w14:paraId="56B67579" w14:textId="675EFF3A" w:rsidR="00FD6BAA" w:rsidRPr="00BD6C5F" w:rsidRDefault="00FD6BAA" w:rsidP="00FD6BAA">
            <w:pPr>
              <w:pStyle w:val="Tabletext"/>
              <w:rPr>
                <w:b/>
                <w:bCs/>
                <w:w w:val="99"/>
              </w:rPr>
            </w:pPr>
            <w:r w:rsidRPr="00BD6C5F">
              <w:rPr>
                <w:b/>
                <w:bCs/>
                <w:shd w:val="clear" w:color="auto" w:fill="FFFF00"/>
              </w:rPr>
              <w:t>[Net Asset value]</w:t>
            </w:r>
          </w:p>
        </w:tc>
        <w:tc>
          <w:tcPr>
            <w:tcW w:w="6803" w:type="dxa"/>
          </w:tcPr>
          <w:p w14:paraId="30C58AA9" w14:textId="13BEA0D3" w:rsidR="00FD6BAA" w:rsidRPr="00BD6C5F" w:rsidRDefault="00FD6BAA" w:rsidP="00FD6BAA">
            <w:pPr>
              <w:pStyle w:val="Tabletext"/>
              <w:rPr>
                <w:shd w:val="clear" w:color="auto" w:fill="FFFF00"/>
              </w:rPr>
            </w:pPr>
            <w:r w:rsidRPr="00BD6C5F">
              <w:rPr>
                <w:shd w:val="clear" w:color="auto" w:fill="FFFF00"/>
              </w:rPr>
              <w:t>[</w:t>
            </w:r>
            <w:r w:rsidRPr="00C76C8A">
              <w:rPr>
                <w:highlight w:val="yellow"/>
                <w:shd w:val="clear" w:color="auto" w:fill="FFFF00"/>
              </w:rPr>
              <w:t>Net Assets are shown (but sometimes not labelled) on the</w:t>
            </w:r>
            <w:r w:rsidRPr="00C76C8A">
              <w:rPr>
                <w:highlight w:val="yellow"/>
              </w:rPr>
              <w:t xml:space="preserve"> </w:t>
            </w:r>
            <w:r w:rsidRPr="00C76C8A">
              <w:rPr>
                <w:highlight w:val="yellow"/>
                <w:shd w:val="clear" w:color="auto" w:fill="FFFF00"/>
              </w:rPr>
              <w:t>face of the Balance Sheet of a standard set of financial</w:t>
            </w:r>
            <w:r w:rsidRPr="00C76C8A">
              <w:rPr>
                <w:highlight w:val="yellow"/>
              </w:rPr>
              <w:t xml:space="preserve"> </w:t>
            </w:r>
            <w:r w:rsidRPr="00C76C8A">
              <w:rPr>
                <w:highlight w:val="yellow"/>
                <w:shd w:val="clear" w:color="auto" w:fill="FFFF00"/>
              </w:rPr>
              <w:t>statements. Net Assets are sometimes called net worth or</w:t>
            </w:r>
            <w:r w:rsidRPr="00C76C8A">
              <w:rPr>
                <w:highlight w:val="yellow"/>
              </w:rPr>
              <w:t xml:space="preserve"> </w:t>
            </w:r>
            <w:r w:rsidRPr="00C76C8A">
              <w:rPr>
                <w:highlight w:val="yellow"/>
                <w:shd w:val="clear" w:color="auto" w:fill="FFFF00"/>
              </w:rPr>
              <w:t>‘Shareholders’ Funds’. They represent the net assets</w:t>
            </w:r>
            <w:r w:rsidRPr="00C76C8A">
              <w:rPr>
                <w:highlight w:val="yellow"/>
              </w:rPr>
              <w:t xml:space="preserve"> </w:t>
            </w:r>
            <w:r w:rsidRPr="00C76C8A">
              <w:rPr>
                <w:highlight w:val="yellow"/>
                <w:shd w:val="clear" w:color="auto" w:fill="FFFF00"/>
              </w:rPr>
              <w:t>available</w:t>
            </w:r>
            <w:r w:rsidRPr="00BD6C5F">
              <w:rPr>
                <w:shd w:val="clear" w:color="auto" w:fill="FFFF00"/>
              </w:rPr>
              <w:t xml:space="preserve"> </w:t>
            </w:r>
            <w:r w:rsidRPr="00C76C8A">
              <w:rPr>
                <w:highlight w:val="yellow"/>
                <w:shd w:val="clear" w:color="auto" w:fill="FFFF00"/>
              </w:rPr>
              <w:t>to the shareholders. Where an entity has a</w:t>
            </w:r>
            <w:r w:rsidRPr="00C76C8A">
              <w:rPr>
                <w:highlight w:val="yellow"/>
              </w:rPr>
              <w:t xml:space="preserve"> </w:t>
            </w:r>
            <w:r w:rsidRPr="00C76C8A">
              <w:rPr>
                <w:highlight w:val="yellow"/>
                <w:shd w:val="clear" w:color="auto" w:fill="FFFF00"/>
              </w:rPr>
              <w:t>majority interest in another entity in which there are also</w:t>
            </w:r>
            <w:r w:rsidRPr="00C76C8A">
              <w:rPr>
                <w:highlight w:val="yellow"/>
              </w:rPr>
              <w:t xml:space="preserve"> </w:t>
            </w:r>
            <w:r w:rsidRPr="00C76C8A">
              <w:rPr>
                <w:highlight w:val="yellow"/>
                <w:shd w:val="clear" w:color="auto" w:fill="FFFF00"/>
              </w:rPr>
              <w:t>minority or non-controlling interests (i.e. where it has a</w:t>
            </w:r>
            <w:r w:rsidRPr="00C76C8A">
              <w:rPr>
                <w:highlight w:val="yellow"/>
              </w:rPr>
              <w:t xml:space="preserve"> </w:t>
            </w:r>
            <w:r w:rsidRPr="00C76C8A">
              <w:rPr>
                <w:highlight w:val="yellow"/>
                <w:shd w:val="clear" w:color="auto" w:fill="FFFF00"/>
              </w:rPr>
              <w:t>subsidiary partially owned by outside investors), Net</w:t>
            </w:r>
            <w:r w:rsidRPr="00C76C8A">
              <w:rPr>
                <w:highlight w:val="yellow"/>
              </w:rPr>
              <w:t xml:space="preserve"> </w:t>
            </w:r>
            <w:r w:rsidRPr="00C76C8A">
              <w:rPr>
                <w:highlight w:val="yellow"/>
                <w:shd w:val="clear" w:color="auto" w:fill="FFFF00"/>
              </w:rPr>
              <w:t>Assets should be taken inclusive of minority or non-</w:t>
            </w:r>
            <w:r w:rsidRPr="00C76C8A">
              <w:rPr>
                <w:highlight w:val="yellow"/>
              </w:rPr>
              <w:t xml:space="preserve"> </w:t>
            </w:r>
            <w:r w:rsidRPr="00C76C8A">
              <w:rPr>
                <w:highlight w:val="yellow"/>
                <w:shd w:val="clear" w:color="auto" w:fill="FFFF00"/>
              </w:rPr>
              <w:t>controlling interests (as if the entity owned 100% of such</w:t>
            </w:r>
            <w:r w:rsidRPr="00C76C8A">
              <w:rPr>
                <w:highlight w:val="yellow"/>
              </w:rPr>
              <w:t xml:space="preserve"> </w:t>
            </w:r>
            <w:r w:rsidRPr="00C76C8A">
              <w:rPr>
                <w:highlight w:val="yellow"/>
                <w:shd w:val="clear" w:color="auto" w:fill="FFFF00"/>
              </w:rPr>
              <w:t>entity).]</w:t>
            </w:r>
          </w:p>
        </w:tc>
      </w:tr>
      <w:tr w:rsidR="00FD6BAA" w:rsidRPr="00BD6C5F" w14:paraId="7E58C62B" w14:textId="77777777" w:rsidTr="00FD6BAA">
        <w:trPr>
          <w:trHeight w:val="20"/>
        </w:trPr>
        <w:tc>
          <w:tcPr>
            <w:tcW w:w="3402" w:type="dxa"/>
          </w:tcPr>
          <w:p w14:paraId="43BC0E30" w14:textId="77777777" w:rsidR="00FD6BAA" w:rsidRPr="00BD6C5F" w:rsidRDefault="00FD6BAA" w:rsidP="00FD6BAA">
            <w:pPr>
              <w:pStyle w:val="Tabletext"/>
              <w:rPr>
                <w:rFonts w:asciiTheme="minorHAnsi" w:hAnsiTheme="minorHAnsi" w:cstheme="minorHAnsi"/>
                <w:b/>
              </w:rPr>
            </w:pPr>
            <w:r w:rsidRPr="00BD6C5F">
              <w:rPr>
                <w:rFonts w:asciiTheme="minorHAnsi" w:hAnsiTheme="minorHAnsi" w:cstheme="minorHAnsi"/>
                <w:b/>
                <w:w w:val="99"/>
              </w:rPr>
              <w:t>7</w:t>
            </w:r>
          </w:p>
          <w:p w14:paraId="7134FFEF" w14:textId="20791105" w:rsidR="00FD6BAA" w:rsidRPr="00BD6C5F" w:rsidRDefault="00FD6BAA" w:rsidP="00FD6BAA">
            <w:pPr>
              <w:pStyle w:val="Tabletext"/>
              <w:rPr>
                <w:b/>
                <w:bCs/>
                <w:w w:val="99"/>
              </w:rPr>
            </w:pPr>
            <w:r w:rsidRPr="00BD6C5F">
              <w:rPr>
                <w:rFonts w:asciiTheme="minorHAnsi" w:hAnsiTheme="minorHAnsi" w:cstheme="minorHAnsi"/>
                <w:b/>
                <w:shd w:val="clear" w:color="auto" w:fill="FFFF00"/>
              </w:rPr>
              <w:t>[</w:t>
            </w:r>
            <w:r w:rsidRPr="00C76C8A">
              <w:rPr>
                <w:rFonts w:asciiTheme="minorHAnsi" w:hAnsiTheme="minorHAnsi" w:cstheme="minorHAnsi"/>
                <w:b/>
                <w:highlight w:val="yellow"/>
                <w:shd w:val="clear" w:color="auto" w:fill="FFFF00"/>
              </w:rPr>
              <w:t>Group Exposure</w:t>
            </w:r>
            <w:r w:rsidRPr="00C76C8A">
              <w:rPr>
                <w:rFonts w:asciiTheme="minorHAnsi" w:hAnsiTheme="minorHAnsi" w:cstheme="minorHAnsi"/>
                <w:b/>
                <w:highlight w:val="yellow"/>
              </w:rPr>
              <w:t xml:space="preserve"> </w:t>
            </w:r>
            <w:r w:rsidRPr="00C76C8A">
              <w:rPr>
                <w:rFonts w:asciiTheme="minorHAnsi" w:hAnsiTheme="minorHAnsi" w:cstheme="minorHAnsi"/>
                <w:b/>
                <w:highlight w:val="yellow"/>
                <w:shd w:val="clear" w:color="auto" w:fill="FFFF00"/>
              </w:rPr>
              <w:t>Ratio]</w:t>
            </w:r>
          </w:p>
        </w:tc>
        <w:tc>
          <w:tcPr>
            <w:tcW w:w="6803" w:type="dxa"/>
          </w:tcPr>
          <w:p w14:paraId="5CA8AE75" w14:textId="77777777" w:rsidR="00FD6BAA" w:rsidRPr="00C76C8A" w:rsidRDefault="00FD6BAA" w:rsidP="00FD6BAA">
            <w:pPr>
              <w:pStyle w:val="Tabletext"/>
              <w:rPr>
                <w:highlight w:val="yellow"/>
              </w:rPr>
            </w:pPr>
            <w:r w:rsidRPr="00C76C8A">
              <w:rPr>
                <w:highlight w:val="yellow"/>
                <w:shd w:val="clear" w:color="auto" w:fill="FFFF00"/>
              </w:rPr>
              <w:t>[“</w:t>
            </w:r>
            <w:r w:rsidRPr="00C76C8A">
              <w:rPr>
                <w:b/>
                <w:highlight w:val="yellow"/>
                <w:shd w:val="clear" w:color="auto" w:fill="FFFF00"/>
              </w:rPr>
              <w:t>Group Exposure</w:t>
            </w:r>
            <w:r w:rsidRPr="00C76C8A">
              <w:rPr>
                <w:highlight w:val="yellow"/>
                <w:shd w:val="clear" w:color="auto" w:fill="FFFF00"/>
              </w:rPr>
              <w:t>” = Balances owed by Group</w:t>
            </w:r>
            <w:r w:rsidRPr="00C76C8A">
              <w:rPr>
                <w:highlight w:val="yellow"/>
              </w:rPr>
              <w:t xml:space="preserve"> </w:t>
            </w:r>
            <w:r w:rsidRPr="00C76C8A">
              <w:rPr>
                <w:highlight w:val="yellow"/>
                <w:shd w:val="clear" w:color="auto" w:fill="FFFF00"/>
              </w:rPr>
              <w:t>Undertakings + Contingent liabilities assumed in support of</w:t>
            </w:r>
            <w:r w:rsidRPr="00C76C8A">
              <w:rPr>
                <w:highlight w:val="yellow"/>
              </w:rPr>
              <w:t xml:space="preserve"> </w:t>
            </w:r>
            <w:r w:rsidRPr="00C76C8A">
              <w:rPr>
                <w:highlight w:val="yellow"/>
                <w:shd w:val="clear" w:color="auto" w:fill="FFFF00"/>
              </w:rPr>
              <w:t>Group Undertakings</w:t>
            </w:r>
          </w:p>
          <w:p w14:paraId="4E3996D8" w14:textId="77777777" w:rsidR="00FD6BAA" w:rsidRPr="00C76C8A" w:rsidRDefault="00FD6BAA" w:rsidP="00FD6BAA">
            <w:pPr>
              <w:pStyle w:val="Tabletext"/>
              <w:rPr>
                <w:highlight w:val="yellow"/>
              </w:rPr>
            </w:pPr>
            <w:r w:rsidRPr="00C76C8A">
              <w:rPr>
                <w:highlight w:val="yellow"/>
                <w:shd w:val="clear" w:color="auto" w:fill="FFFF00"/>
              </w:rPr>
              <w:t>“</w:t>
            </w:r>
            <w:r w:rsidRPr="00C76C8A">
              <w:rPr>
                <w:b/>
                <w:highlight w:val="yellow"/>
                <w:shd w:val="clear" w:color="auto" w:fill="FFFF00"/>
              </w:rPr>
              <w:t>Gross Assets</w:t>
            </w:r>
            <w:r w:rsidRPr="00C76C8A">
              <w:rPr>
                <w:highlight w:val="yellow"/>
                <w:shd w:val="clear" w:color="auto" w:fill="FFFF00"/>
              </w:rPr>
              <w:t>” = Fixed Assets + Current Assets</w:t>
            </w:r>
          </w:p>
          <w:p w14:paraId="125CBC3B" w14:textId="77777777" w:rsidR="00FD6BAA" w:rsidRPr="00C76C8A" w:rsidRDefault="00FD6BAA" w:rsidP="00FD6BAA">
            <w:pPr>
              <w:pStyle w:val="Tabletext"/>
              <w:rPr>
                <w:highlight w:val="yellow"/>
              </w:rPr>
            </w:pPr>
            <w:r w:rsidRPr="00C76C8A">
              <w:rPr>
                <w:b/>
                <w:bCs/>
                <w:iCs/>
                <w:highlight w:val="yellow"/>
                <w:shd w:val="clear" w:color="auto" w:fill="FFFF00"/>
              </w:rPr>
              <w:t>Group Exposure:</w:t>
            </w:r>
            <w:r w:rsidRPr="00C76C8A">
              <w:rPr>
                <w:highlight w:val="yellow"/>
                <w:shd w:val="clear" w:color="auto" w:fill="FFFF00"/>
              </w:rPr>
              <w:t xml:space="preserve"> Balances owed by (i.e. receivable from)</w:t>
            </w:r>
            <w:r w:rsidRPr="00C76C8A">
              <w:rPr>
                <w:highlight w:val="yellow"/>
              </w:rPr>
              <w:t xml:space="preserve"> </w:t>
            </w:r>
            <w:r w:rsidRPr="00C76C8A">
              <w:rPr>
                <w:highlight w:val="yellow"/>
                <w:shd w:val="clear" w:color="auto" w:fill="FFFF00"/>
              </w:rPr>
              <w:t>Group Undertakings are shown within Fixed assets or</w:t>
            </w:r>
            <w:r w:rsidRPr="00C76C8A">
              <w:rPr>
                <w:highlight w:val="yellow"/>
              </w:rPr>
              <w:t xml:space="preserve"> </w:t>
            </w:r>
            <w:r w:rsidRPr="00C76C8A">
              <w:rPr>
                <w:highlight w:val="yellow"/>
                <w:shd w:val="clear" w:color="auto" w:fill="FFFF00"/>
              </w:rPr>
              <w:t>Current assets either on the face of the Balance Sheet or</w:t>
            </w:r>
            <w:r w:rsidRPr="00C76C8A">
              <w:rPr>
                <w:highlight w:val="yellow"/>
              </w:rPr>
              <w:t xml:space="preserve"> </w:t>
            </w:r>
            <w:r w:rsidRPr="00C76C8A">
              <w:rPr>
                <w:highlight w:val="yellow"/>
                <w:shd w:val="clear" w:color="auto" w:fill="FFFF00"/>
              </w:rPr>
              <w:t>in the relevant notes to the financial statements. In many</w:t>
            </w:r>
            <w:r w:rsidRPr="00C76C8A">
              <w:rPr>
                <w:highlight w:val="yellow"/>
              </w:rPr>
              <w:t xml:space="preserve"> </w:t>
            </w:r>
            <w:r w:rsidRPr="00C76C8A">
              <w:rPr>
                <w:highlight w:val="yellow"/>
                <w:shd w:val="clear" w:color="auto" w:fill="FFFF00"/>
              </w:rPr>
              <w:t>cases there may be no such balances, in particular where</w:t>
            </w:r>
            <w:r w:rsidRPr="00C76C8A">
              <w:rPr>
                <w:highlight w:val="yellow"/>
              </w:rPr>
              <w:t xml:space="preserve"> </w:t>
            </w:r>
            <w:r w:rsidRPr="00C76C8A">
              <w:rPr>
                <w:highlight w:val="yellow"/>
                <w:shd w:val="clear" w:color="auto" w:fill="FFFF00"/>
              </w:rPr>
              <w:t>an entity is not a member of a group or is itself the ultimate</w:t>
            </w:r>
            <w:r w:rsidRPr="00C76C8A">
              <w:rPr>
                <w:highlight w:val="yellow"/>
              </w:rPr>
              <w:t xml:space="preserve"> </w:t>
            </w:r>
            <w:r w:rsidRPr="00C76C8A">
              <w:rPr>
                <w:highlight w:val="yellow"/>
                <w:shd w:val="clear" w:color="auto" w:fill="FFFF00"/>
              </w:rPr>
              <w:t>holding company of the group.</w:t>
            </w:r>
          </w:p>
          <w:p w14:paraId="0AADDC28" w14:textId="77777777" w:rsidR="00FD6BAA" w:rsidRPr="00C76C8A" w:rsidRDefault="00FD6BAA" w:rsidP="00FD6BAA">
            <w:pPr>
              <w:pStyle w:val="Tabletext"/>
              <w:rPr>
                <w:highlight w:val="yellow"/>
                <w:shd w:val="clear" w:color="auto" w:fill="FFFF00"/>
              </w:rPr>
            </w:pPr>
            <w:r w:rsidRPr="00C76C8A">
              <w:rPr>
                <w:highlight w:val="yellow"/>
                <w:shd w:val="clear" w:color="auto" w:fill="FFFF00"/>
              </w:rPr>
              <w:t>Contingent liabilities assumed in support of Group</w:t>
            </w:r>
            <w:r w:rsidRPr="00C76C8A">
              <w:rPr>
                <w:highlight w:val="yellow"/>
              </w:rPr>
              <w:t xml:space="preserve"> </w:t>
            </w:r>
            <w:r w:rsidRPr="00C76C8A">
              <w:rPr>
                <w:highlight w:val="yellow"/>
                <w:shd w:val="clear" w:color="auto" w:fill="FFFF00"/>
              </w:rPr>
              <w:t>Undertakings are shown in the Contingent Liabilities note in a standard set of financial statements. They include</w:t>
            </w:r>
            <w:r w:rsidRPr="00C76C8A">
              <w:rPr>
                <w:highlight w:val="yellow"/>
              </w:rPr>
              <w:t xml:space="preserve"> </w:t>
            </w:r>
            <w:r w:rsidRPr="00C76C8A">
              <w:rPr>
                <w:highlight w:val="yellow"/>
                <w:shd w:val="clear" w:color="auto" w:fill="FFFF00"/>
              </w:rPr>
              <w:t>guarantees and security given in support of the borrowings</w:t>
            </w:r>
            <w:r w:rsidRPr="00C76C8A">
              <w:rPr>
                <w:highlight w:val="yellow"/>
              </w:rPr>
              <w:t xml:space="preserve"> </w:t>
            </w:r>
            <w:r w:rsidRPr="00C76C8A">
              <w:rPr>
                <w:highlight w:val="yellow"/>
                <w:shd w:val="clear" w:color="auto" w:fill="FFFF00"/>
              </w:rPr>
              <w:t>of other group companies, often as part of group borrowing</w:t>
            </w:r>
            <w:r w:rsidRPr="00C76C8A">
              <w:rPr>
                <w:highlight w:val="yellow"/>
              </w:rPr>
              <w:t xml:space="preserve"> </w:t>
            </w:r>
            <w:r w:rsidRPr="00C76C8A">
              <w:rPr>
                <w:highlight w:val="yellow"/>
                <w:shd w:val="clear" w:color="auto" w:fill="FFFF00"/>
              </w:rPr>
              <w:t>arrangements. Where the contingent liabilities are capped,</w:t>
            </w:r>
            <w:r w:rsidRPr="00C76C8A">
              <w:rPr>
                <w:highlight w:val="yellow"/>
              </w:rPr>
              <w:t xml:space="preserve"> </w:t>
            </w:r>
            <w:r w:rsidRPr="00C76C8A">
              <w:rPr>
                <w:highlight w:val="yellow"/>
                <w:shd w:val="clear" w:color="auto" w:fill="FFFF00"/>
              </w:rPr>
              <w:t>the capped figure should be taken as their value. Where no</w:t>
            </w:r>
            <w:r w:rsidRPr="00C76C8A">
              <w:rPr>
                <w:highlight w:val="yellow"/>
              </w:rPr>
              <w:t xml:space="preserve"> </w:t>
            </w:r>
            <w:r w:rsidRPr="00C76C8A">
              <w:rPr>
                <w:highlight w:val="yellow"/>
                <w:shd w:val="clear" w:color="auto" w:fill="FFFF00"/>
              </w:rPr>
              <w:t>cap or maximum is specified, the relevant Financial Target</w:t>
            </w:r>
            <w:r w:rsidRPr="00C76C8A">
              <w:rPr>
                <w:highlight w:val="yellow"/>
              </w:rPr>
              <w:t xml:space="preserve"> </w:t>
            </w:r>
            <w:r w:rsidRPr="00C76C8A">
              <w:rPr>
                <w:highlight w:val="yellow"/>
                <w:shd w:val="clear" w:color="auto" w:fill="FFFF00"/>
              </w:rPr>
              <w:t>Threshold should automatically be regarded as not having</w:t>
            </w:r>
            <w:r w:rsidRPr="00C76C8A">
              <w:rPr>
                <w:highlight w:val="yellow"/>
              </w:rPr>
              <w:t xml:space="preserve"> </w:t>
            </w:r>
            <w:r w:rsidRPr="00C76C8A">
              <w:rPr>
                <w:highlight w:val="yellow"/>
                <w:shd w:val="clear" w:color="auto" w:fill="FFFF00"/>
              </w:rPr>
              <w:t>been met.</w:t>
            </w:r>
          </w:p>
          <w:p w14:paraId="4AE3B143" w14:textId="77777777" w:rsidR="00FD6BAA" w:rsidRPr="00C76C8A" w:rsidRDefault="00FD6BAA" w:rsidP="00FD6BAA">
            <w:pPr>
              <w:pStyle w:val="Tabletext"/>
              <w:rPr>
                <w:highlight w:val="yellow"/>
              </w:rPr>
            </w:pPr>
            <w:r w:rsidRPr="00C76C8A">
              <w:rPr>
                <w:highlight w:val="yellow"/>
                <w:shd w:val="clear" w:color="auto" w:fill="FFFF00"/>
              </w:rPr>
              <w:t>In many cases an entity may not have assumed any</w:t>
            </w:r>
            <w:r w:rsidRPr="00C76C8A">
              <w:rPr>
                <w:highlight w:val="yellow"/>
              </w:rPr>
              <w:t xml:space="preserve"> </w:t>
            </w:r>
            <w:r w:rsidRPr="00C76C8A">
              <w:rPr>
                <w:highlight w:val="yellow"/>
                <w:shd w:val="clear" w:color="auto" w:fill="FFFF00"/>
              </w:rPr>
              <w:t>contingent liabilities in support of Group Undertakings, in</w:t>
            </w:r>
            <w:r w:rsidRPr="00C76C8A">
              <w:rPr>
                <w:highlight w:val="yellow"/>
              </w:rPr>
              <w:t xml:space="preserve"> </w:t>
            </w:r>
            <w:r w:rsidRPr="00C76C8A">
              <w:rPr>
                <w:highlight w:val="yellow"/>
                <w:shd w:val="clear" w:color="auto" w:fill="FFFF00"/>
              </w:rPr>
              <w:t>particular where an entity is not a member of a group or is</w:t>
            </w:r>
            <w:r w:rsidRPr="00C76C8A">
              <w:rPr>
                <w:highlight w:val="yellow"/>
              </w:rPr>
              <w:t xml:space="preserve"> </w:t>
            </w:r>
            <w:r w:rsidRPr="00C76C8A">
              <w:rPr>
                <w:highlight w:val="yellow"/>
                <w:shd w:val="clear" w:color="auto" w:fill="FFFF00"/>
              </w:rPr>
              <w:t>itself the ultimate holding company of the group.</w:t>
            </w:r>
          </w:p>
          <w:p w14:paraId="194B71C8" w14:textId="1C14432A" w:rsidR="00FD6BAA" w:rsidRPr="00BD6C5F" w:rsidRDefault="00FD6BAA" w:rsidP="00FD6BAA">
            <w:pPr>
              <w:pStyle w:val="Tabletext"/>
              <w:rPr>
                <w:shd w:val="clear" w:color="auto" w:fill="FFFF00"/>
              </w:rPr>
            </w:pPr>
            <w:r w:rsidRPr="00C76C8A">
              <w:rPr>
                <w:b/>
                <w:bCs/>
                <w:iCs/>
                <w:highlight w:val="yellow"/>
                <w:shd w:val="clear" w:color="auto" w:fill="FFFF00"/>
              </w:rPr>
              <w:t>Gross Assets:</w:t>
            </w:r>
            <w:r w:rsidRPr="00C76C8A">
              <w:rPr>
                <w:highlight w:val="yellow"/>
                <w:shd w:val="clear" w:color="auto" w:fill="FFFF00"/>
              </w:rPr>
              <w:t xml:space="preserve"> Both Fixed assets and Current assets are</w:t>
            </w:r>
            <w:r w:rsidRPr="00C76C8A">
              <w:rPr>
                <w:highlight w:val="yellow"/>
              </w:rPr>
              <w:t xml:space="preserve"> </w:t>
            </w:r>
            <w:r w:rsidRPr="00C76C8A">
              <w:rPr>
                <w:highlight w:val="yellow"/>
                <w:shd w:val="clear" w:color="auto" w:fill="FFFF00"/>
              </w:rPr>
              <w:t>shown on the face of the Balance Sheet]</w:t>
            </w:r>
          </w:p>
        </w:tc>
      </w:tr>
      <w:tr w:rsidR="00FD6BAA" w:rsidRPr="00BD6C5F" w14:paraId="2B4DFE36" w14:textId="77777777" w:rsidTr="00FD6BAA">
        <w:trPr>
          <w:trHeight w:val="20"/>
        </w:trPr>
        <w:tc>
          <w:tcPr>
            <w:tcW w:w="3402" w:type="dxa"/>
          </w:tcPr>
          <w:p w14:paraId="6B4A2388" w14:textId="77777777" w:rsidR="00FD6BAA" w:rsidRPr="00BD6C5F" w:rsidRDefault="00FD6BAA" w:rsidP="00FD6BAA">
            <w:pPr>
              <w:pStyle w:val="Tabletext"/>
              <w:rPr>
                <w:b/>
                <w:bCs/>
              </w:rPr>
            </w:pPr>
            <w:r w:rsidRPr="00BD6C5F">
              <w:rPr>
                <w:b/>
                <w:bCs/>
                <w:w w:val="99"/>
              </w:rPr>
              <w:t>8</w:t>
            </w:r>
          </w:p>
          <w:p w14:paraId="71735229" w14:textId="164212EB" w:rsidR="00FD6BAA" w:rsidRPr="00BD6C5F" w:rsidRDefault="00FD6BAA" w:rsidP="00FD6BAA">
            <w:pPr>
              <w:pStyle w:val="Tabletext"/>
              <w:rPr>
                <w:rFonts w:asciiTheme="minorHAnsi" w:hAnsiTheme="minorHAnsi" w:cstheme="minorHAnsi"/>
                <w:b/>
                <w:w w:val="99"/>
              </w:rPr>
            </w:pPr>
            <w:r w:rsidRPr="00BD6C5F">
              <w:rPr>
                <w:b/>
                <w:bCs/>
                <w:shd w:val="clear" w:color="auto" w:fill="FFFF00"/>
              </w:rPr>
              <w:t>[</w:t>
            </w:r>
            <w:r w:rsidRPr="00C76C8A">
              <w:rPr>
                <w:b/>
                <w:bCs/>
                <w:highlight w:val="yellow"/>
                <w:shd w:val="clear" w:color="auto" w:fill="FFFF00"/>
              </w:rPr>
              <w:t>Insert additional</w:t>
            </w:r>
            <w:r w:rsidRPr="00C76C8A">
              <w:rPr>
                <w:b/>
                <w:bCs/>
                <w:highlight w:val="yellow"/>
              </w:rPr>
              <w:t xml:space="preserve"> </w:t>
            </w:r>
            <w:r w:rsidRPr="00C76C8A">
              <w:rPr>
                <w:b/>
                <w:bCs/>
                <w:highlight w:val="yellow"/>
                <w:shd w:val="clear" w:color="auto" w:fill="FFFF00"/>
              </w:rPr>
              <w:t>Financial Indicators</w:t>
            </w:r>
            <w:r w:rsidRPr="00C76C8A">
              <w:rPr>
                <w:b/>
                <w:bCs/>
                <w:highlight w:val="yellow"/>
              </w:rPr>
              <w:t xml:space="preserve"> </w:t>
            </w:r>
            <w:r w:rsidRPr="00C76C8A">
              <w:rPr>
                <w:b/>
                <w:bCs/>
                <w:highlight w:val="yellow"/>
                <w:shd w:val="clear" w:color="auto" w:fill="FFFF00"/>
              </w:rPr>
              <w:t>as necessary]</w:t>
            </w:r>
          </w:p>
        </w:tc>
        <w:tc>
          <w:tcPr>
            <w:tcW w:w="6803" w:type="dxa"/>
          </w:tcPr>
          <w:p w14:paraId="7023DFCF" w14:textId="53EE3038" w:rsidR="00FD6BAA" w:rsidRPr="00BD6C5F" w:rsidRDefault="00FD6BAA" w:rsidP="00FD6BAA">
            <w:pPr>
              <w:pStyle w:val="Tabletext"/>
              <w:rPr>
                <w:shd w:val="clear" w:color="auto" w:fill="FFFF00"/>
              </w:rPr>
            </w:pPr>
            <w:r w:rsidRPr="00BD6C5F">
              <w:rPr>
                <w:shd w:val="clear" w:color="auto" w:fill="FFFF00"/>
              </w:rPr>
              <w:t>[Etc..]</w:t>
            </w:r>
          </w:p>
        </w:tc>
      </w:tr>
    </w:tbl>
    <w:p w14:paraId="71C22AA3" w14:textId="6B63A08B" w:rsidR="00BC7DDA" w:rsidRPr="00BD6C5F" w:rsidRDefault="000D48A0" w:rsidP="00E13C2D">
      <w:pPr>
        <w:pStyle w:val="Heading2"/>
      </w:pPr>
      <w:bookmarkStart w:id="925" w:name="_bookmark318"/>
      <w:bookmarkStart w:id="926" w:name="_Toc98332755"/>
      <w:bookmarkStart w:id="927" w:name="_Ref98343151"/>
      <w:bookmarkStart w:id="928" w:name="_Toc141721024"/>
      <w:bookmarkEnd w:id="925"/>
      <w:r w:rsidRPr="00BD6C5F">
        <w:lastRenderedPageBreak/>
        <w:t xml:space="preserve">Annex </w:t>
      </w:r>
      <w:bookmarkStart w:id="929" w:name="Schedule_18_Annex_4"/>
      <w:r w:rsidRPr="00BD6C5F">
        <w:t>4</w:t>
      </w:r>
      <w:bookmarkEnd w:id="929"/>
      <w:r w:rsidRPr="00BD6C5F">
        <w:t xml:space="preserve">: </w:t>
      </w:r>
      <w:bookmarkStart w:id="930" w:name="_Toc98852932"/>
      <w:r w:rsidRPr="00BD6C5F">
        <w:t>Board Confirmation</w:t>
      </w:r>
      <w:bookmarkEnd w:id="926"/>
      <w:bookmarkEnd w:id="927"/>
      <w:bookmarkEnd w:id="930"/>
      <w:bookmarkEnd w:id="928"/>
    </w:p>
    <w:p w14:paraId="5A71567F" w14:textId="77777777" w:rsidR="00BC7DDA" w:rsidRPr="00BD6C5F" w:rsidRDefault="009B03E9" w:rsidP="00E13C2D">
      <w:pPr>
        <w:keepNext/>
        <w:spacing w:before="100" w:after="200"/>
        <w:rPr>
          <w:rFonts w:asciiTheme="minorHAnsi" w:hAnsiTheme="minorHAnsi" w:cstheme="minorHAnsi"/>
          <w:b/>
          <w:szCs w:val="24"/>
        </w:rPr>
      </w:pPr>
      <w:r w:rsidRPr="00BD6C5F">
        <w:rPr>
          <w:rFonts w:asciiTheme="minorHAnsi" w:hAnsiTheme="minorHAnsi" w:cstheme="minorHAnsi"/>
          <w:b/>
          <w:szCs w:val="24"/>
        </w:rPr>
        <w:t>Supplier Name:</w:t>
      </w:r>
    </w:p>
    <w:p w14:paraId="49103627" w14:textId="77777777" w:rsidR="00BC7DDA" w:rsidRPr="00BD6C5F" w:rsidRDefault="009B03E9" w:rsidP="00E13C2D">
      <w:pPr>
        <w:keepNext/>
        <w:spacing w:before="100" w:after="200"/>
        <w:rPr>
          <w:rFonts w:asciiTheme="minorHAnsi" w:hAnsiTheme="minorHAnsi" w:cstheme="minorHAnsi"/>
          <w:b/>
          <w:szCs w:val="24"/>
        </w:rPr>
      </w:pPr>
      <w:r w:rsidRPr="00BD6C5F">
        <w:rPr>
          <w:rFonts w:asciiTheme="minorHAnsi" w:hAnsiTheme="minorHAnsi" w:cstheme="minorHAnsi"/>
          <w:b/>
          <w:szCs w:val="24"/>
        </w:rPr>
        <w:t>Contract Reference Number:</w:t>
      </w:r>
    </w:p>
    <w:p w14:paraId="3FC3E781" w14:textId="13F37A34" w:rsidR="00BC7DDA" w:rsidRPr="00BD6C5F" w:rsidRDefault="009B03E9" w:rsidP="00E13C2D">
      <w:pPr>
        <w:pStyle w:val="BodyText"/>
        <w:spacing w:before="100" w:after="200"/>
        <w:rPr>
          <w:rFonts w:asciiTheme="minorHAnsi" w:hAnsiTheme="minorHAnsi" w:cstheme="minorHAnsi"/>
        </w:rPr>
      </w:pPr>
      <w:r w:rsidRPr="00BD6C5F">
        <w:rPr>
          <w:rFonts w:asciiTheme="minorHAnsi" w:hAnsiTheme="minorHAnsi" w:cstheme="minorHAnsi"/>
        </w:rPr>
        <w:t xml:space="preserve">The Board of Directors acknowledge the requirements set out at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_Ref98254029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8</w:t>
      </w:r>
      <w:r w:rsidR="00927BBF" w:rsidRPr="00BD6C5F">
        <w:rPr>
          <w:rFonts w:asciiTheme="minorHAnsi" w:hAnsiTheme="minorHAnsi" w:cstheme="minorHAnsi"/>
        </w:rPr>
        <w:fldChar w:fldCharType="end"/>
      </w:r>
      <w:r w:rsidRPr="00BD6C5F">
        <w:rPr>
          <w:rFonts w:asciiTheme="minorHAnsi" w:hAnsiTheme="minorHAnsi" w:cstheme="minorHAnsi"/>
        </w:rPr>
        <w:t xml:space="preserve"> of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Schedule_18 \h </w:instrText>
      </w:r>
      <w:r w:rsidR="00346653">
        <w:rPr>
          <w:rFonts w:asciiTheme="minorHAnsi" w:hAnsiTheme="minorHAnsi" w:cstheme="minorHAnsi"/>
        </w:rPr>
      </w:r>
      <w:r w:rsidR="00346653">
        <w:rPr>
          <w:rFonts w:asciiTheme="minorHAnsi" w:hAnsiTheme="minorHAnsi" w:cstheme="minorHAnsi"/>
        </w:rPr>
        <w:fldChar w:fldCharType="separate"/>
      </w:r>
      <w:r w:rsidR="009749A0">
        <w:t>18</w:t>
      </w:r>
      <w:r w:rsidR="00346653">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Financial Distress</w:t>
      </w:r>
      <w:r w:rsidRPr="00BD6C5F">
        <w:rPr>
          <w:rFonts w:asciiTheme="minorHAnsi" w:hAnsiTheme="minorHAnsi" w:cstheme="minorHAnsi"/>
        </w:rPr>
        <w:t>) and confirm that the Supplier has exercised due care and diligence and made reasonable enquiry of all relevant Supplier Personnel and other persons as is reasonably necessary to enable the Board to prepare this statement.</w:t>
      </w:r>
    </w:p>
    <w:p w14:paraId="59950505" w14:textId="77777777" w:rsidR="00BC7DDA" w:rsidRPr="00BD6C5F" w:rsidRDefault="009B03E9" w:rsidP="00C70900">
      <w:pPr>
        <w:pStyle w:val="BodyText"/>
        <w:keepNext/>
        <w:spacing w:before="100" w:after="200"/>
        <w:rPr>
          <w:rFonts w:asciiTheme="minorHAnsi" w:hAnsiTheme="minorHAnsi" w:cstheme="minorHAnsi"/>
        </w:rPr>
      </w:pPr>
      <w:r w:rsidRPr="00BD6C5F">
        <w:rPr>
          <w:rFonts w:asciiTheme="minorHAnsi" w:hAnsiTheme="minorHAnsi" w:cstheme="minorHAnsi"/>
        </w:rPr>
        <w:t>The Board of Directors confirms, to the best of its knowledge and belief, that as at the date of this Board Confirmation it is not aware of and has no knowledge:</w:t>
      </w:r>
    </w:p>
    <w:p w14:paraId="44EE83C2" w14:textId="77777777" w:rsidR="00BC7DDA" w:rsidRPr="00BD6C5F" w:rsidRDefault="009B03E9" w:rsidP="00AA48C6">
      <w:pPr>
        <w:pStyle w:val="ListParagraph"/>
        <w:numPr>
          <w:ilvl w:val="1"/>
          <w:numId w:val="3"/>
        </w:numPr>
        <w:tabs>
          <w:tab w:val="left" w:pos="2106"/>
          <w:tab w:val="left" w:pos="2107"/>
        </w:tabs>
        <w:spacing w:before="100" w:after="200" w:line="242" w:lineRule="auto"/>
        <w:ind w:left="1083" w:right="269" w:hanging="1083"/>
        <w:rPr>
          <w:rFonts w:asciiTheme="minorHAnsi" w:hAnsiTheme="minorHAnsi" w:cstheme="minorHAnsi"/>
          <w:szCs w:val="24"/>
        </w:rPr>
      </w:pPr>
      <w:r w:rsidRPr="00BD6C5F">
        <w:rPr>
          <w:rFonts w:asciiTheme="minorHAnsi" w:hAnsiTheme="minorHAnsi" w:cstheme="minorHAnsi"/>
          <w:szCs w:val="24"/>
        </w:rPr>
        <w:t>that a Financial Distress Event has occurred since the later of the previous Board Confirmation and the Effective Date or is subsisting; or</w:t>
      </w:r>
    </w:p>
    <w:p w14:paraId="0D417562" w14:textId="62FE145B" w:rsidR="00BC7DDA" w:rsidRPr="00BD6C5F" w:rsidRDefault="009B03E9" w:rsidP="00AA48C6">
      <w:pPr>
        <w:pStyle w:val="ListParagraph"/>
        <w:numPr>
          <w:ilvl w:val="1"/>
          <w:numId w:val="3"/>
        </w:numPr>
        <w:tabs>
          <w:tab w:val="left" w:pos="2106"/>
          <w:tab w:val="left" w:pos="2107"/>
        </w:tabs>
        <w:spacing w:before="100" w:after="200"/>
        <w:ind w:left="1083" w:right="737" w:hanging="1083"/>
        <w:rPr>
          <w:rFonts w:asciiTheme="minorHAnsi" w:hAnsiTheme="minorHAnsi" w:cstheme="minorHAnsi"/>
          <w:szCs w:val="24"/>
        </w:rPr>
      </w:pPr>
      <w:r w:rsidRPr="00BD6C5F">
        <w:rPr>
          <w:rFonts w:asciiTheme="minorHAnsi" w:hAnsiTheme="minorHAnsi" w:cstheme="minorHAnsi"/>
          <w:szCs w:val="24"/>
        </w:rPr>
        <w:t>of any matters which have occurred or are subsisting that could reasonably be expected to cause a Financial Distress Event</w:t>
      </w:r>
      <w:r w:rsidR="0086305B" w:rsidRPr="00BD6C5F">
        <w:rPr>
          <w:rFonts w:asciiTheme="minorHAnsi" w:hAnsiTheme="minorHAnsi" w:cstheme="minorHAnsi"/>
          <w:szCs w:val="24"/>
        </w:rPr>
        <w:t>.</w:t>
      </w:r>
    </w:p>
    <w:p w14:paraId="695CCE77" w14:textId="77777777" w:rsidR="00BC7DDA" w:rsidRPr="00BD6C5F" w:rsidRDefault="009B03E9" w:rsidP="00E13C2D">
      <w:pPr>
        <w:pStyle w:val="BodyText"/>
        <w:spacing w:before="100" w:after="200"/>
        <w:rPr>
          <w:rFonts w:asciiTheme="minorHAnsi" w:hAnsiTheme="minorHAnsi" w:cstheme="minorHAnsi"/>
        </w:rPr>
      </w:pPr>
      <w:r w:rsidRPr="00BD6C5F">
        <w:rPr>
          <w:rFonts w:asciiTheme="minorHAnsi" w:hAnsiTheme="minorHAnsi" w:cstheme="minorHAnsi"/>
        </w:rPr>
        <w:t>On behalf of the Board of Directors:</w:t>
      </w:r>
    </w:p>
    <w:p w14:paraId="2869A032" w14:textId="77777777" w:rsidR="00BC7DDA" w:rsidRPr="00BD6C5F" w:rsidRDefault="00BC7DDA">
      <w:pPr>
        <w:pStyle w:val="BodyText"/>
        <w:rPr>
          <w:rFonts w:asciiTheme="minorHAnsi" w:hAnsiTheme="minorHAnsi" w:cstheme="minorHAnsi"/>
        </w:rPr>
      </w:pPr>
    </w:p>
    <w:tbl>
      <w:tblPr>
        <w:tblW w:w="0" w:type="auto"/>
        <w:tblLayout w:type="fixed"/>
        <w:tblCellMar>
          <w:left w:w="0" w:type="dxa"/>
          <w:right w:w="0" w:type="dxa"/>
        </w:tblCellMar>
        <w:tblLook w:val="01E0" w:firstRow="1" w:lastRow="1" w:firstColumn="1" w:lastColumn="1" w:noHBand="0" w:noVBand="0"/>
      </w:tblPr>
      <w:tblGrid>
        <w:gridCol w:w="2441"/>
        <w:gridCol w:w="3646"/>
      </w:tblGrid>
      <w:tr w:rsidR="00BC7DDA" w:rsidRPr="00BD6C5F" w14:paraId="17E264B2" w14:textId="77777777" w:rsidTr="00E13C2D">
        <w:trPr>
          <w:trHeight w:val="371"/>
        </w:trPr>
        <w:tc>
          <w:tcPr>
            <w:tcW w:w="2441" w:type="dxa"/>
          </w:tcPr>
          <w:p w14:paraId="3FF24E6E" w14:textId="77777777" w:rsidR="00BC7DDA" w:rsidRPr="00BD6C5F" w:rsidRDefault="009B03E9">
            <w:pPr>
              <w:pStyle w:val="TableParagraph"/>
              <w:spacing w:line="268" w:lineRule="exact"/>
              <w:ind w:left="50"/>
              <w:rPr>
                <w:rFonts w:asciiTheme="minorHAnsi" w:hAnsiTheme="minorHAnsi" w:cstheme="minorHAnsi"/>
                <w:szCs w:val="24"/>
              </w:rPr>
            </w:pPr>
            <w:r w:rsidRPr="00BD6C5F">
              <w:rPr>
                <w:rFonts w:asciiTheme="minorHAnsi" w:hAnsiTheme="minorHAnsi" w:cstheme="minorHAnsi"/>
                <w:szCs w:val="24"/>
              </w:rPr>
              <w:t>Chair</w:t>
            </w:r>
          </w:p>
        </w:tc>
        <w:tc>
          <w:tcPr>
            <w:tcW w:w="3646" w:type="dxa"/>
          </w:tcPr>
          <w:p w14:paraId="4DB79BD7" w14:textId="77777777" w:rsidR="00BC7DDA" w:rsidRPr="00BD6C5F" w:rsidRDefault="009B03E9">
            <w:pPr>
              <w:pStyle w:val="TableParagraph"/>
              <w:spacing w:line="268" w:lineRule="exact"/>
              <w:ind w:right="48"/>
              <w:jc w:val="right"/>
              <w:rPr>
                <w:rFonts w:asciiTheme="minorHAnsi" w:hAnsiTheme="minorHAnsi" w:cstheme="minorHAnsi"/>
                <w:szCs w:val="24"/>
              </w:rPr>
            </w:pPr>
            <w:r w:rsidRPr="00BD6C5F">
              <w:rPr>
                <w:rFonts w:asciiTheme="minorHAnsi" w:hAnsiTheme="minorHAnsi" w:cstheme="minorHAnsi"/>
                <w:szCs w:val="24"/>
              </w:rPr>
              <w:t>…………………………………</w:t>
            </w:r>
          </w:p>
        </w:tc>
      </w:tr>
      <w:tr w:rsidR="00BC7DDA" w:rsidRPr="00BD6C5F" w14:paraId="0DB3DA78" w14:textId="77777777" w:rsidTr="00E13C2D">
        <w:trPr>
          <w:trHeight w:val="475"/>
        </w:trPr>
        <w:tc>
          <w:tcPr>
            <w:tcW w:w="2441" w:type="dxa"/>
          </w:tcPr>
          <w:p w14:paraId="633DAF1E" w14:textId="77777777" w:rsidR="00BC7DDA" w:rsidRPr="00BD6C5F" w:rsidRDefault="009B03E9">
            <w:pPr>
              <w:pStyle w:val="TableParagraph"/>
              <w:spacing w:before="95"/>
              <w:ind w:left="50"/>
              <w:rPr>
                <w:rFonts w:asciiTheme="minorHAnsi" w:hAnsiTheme="minorHAnsi" w:cstheme="minorHAnsi"/>
                <w:szCs w:val="24"/>
              </w:rPr>
            </w:pPr>
            <w:r w:rsidRPr="00BD6C5F">
              <w:rPr>
                <w:rFonts w:asciiTheme="minorHAnsi" w:hAnsiTheme="minorHAnsi" w:cstheme="minorHAnsi"/>
                <w:szCs w:val="24"/>
              </w:rPr>
              <w:t>Signed</w:t>
            </w:r>
          </w:p>
        </w:tc>
        <w:tc>
          <w:tcPr>
            <w:tcW w:w="3646" w:type="dxa"/>
          </w:tcPr>
          <w:p w14:paraId="5074036A" w14:textId="77777777" w:rsidR="00BC7DDA" w:rsidRPr="00BD6C5F" w:rsidRDefault="009B03E9">
            <w:pPr>
              <w:pStyle w:val="TableParagraph"/>
              <w:spacing w:before="95"/>
              <w:ind w:right="48"/>
              <w:jc w:val="right"/>
              <w:rPr>
                <w:rFonts w:asciiTheme="minorHAnsi" w:hAnsiTheme="minorHAnsi" w:cstheme="minorHAnsi"/>
                <w:szCs w:val="24"/>
              </w:rPr>
            </w:pPr>
            <w:r w:rsidRPr="00BD6C5F">
              <w:rPr>
                <w:rFonts w:asciiTheme="minorHAnsi" w:hAnsiTheme="minorHAnsi" w:cstheme="minorHAnsi"/>
                <w:szCs w:val="24"/>
              </w:rPr>
              <w:t>…………………………………</w:t>
            </w:r>
          </w:p>
        </w:tc>
      </w:tr>
      <w:tr w:rsidR="00BC7DDA" w:rsidRPr="00BD6C5F" w14:paraId="2F7AA79A" w14:textId="77777777" w:rsidTr="00E13C2D">
        <w:trPr>
          <w:trHeight w:val="712"/>
        </w:trPr>
        <w:tc>
          <w:tcPr>
            <w:tcW w:w="2441" w:type="dxa"/>
          </w:tcPr>
          <w:p w14:paraId="47D0E2B8" w14:textId="77777777" w:rsidR="00BC7DDA" w:rsidRPr="00BD6C5F" w:rsidRDefault="009B03E9">
            <w:pPr>
              <w:pStyle w:val="TableParagraph"/>
              <w:spacing w:before="95"/>
              <w:ind w:left="50"/>
              <w:rPr>
                <w:rFonts w:asciiTheme="minorHAnsi" w:hAnsiTheme="minorHAnsi" w:cstheme="minorHAnsi"/>
                <w:szCs w:val="24"/>
              </w:rPr>
            </w:pPr>
            <w:r w:rsidRPr="00BD6C5F">
              <w:rPr>
                <w:rFonts w:asciiTheme="minorHAnsi" w:hAnsiTheme="minorHAnsi" w:cstheme="minorHAnsi"/>
                <w:szCs w:val="24"/>
              </w:rPr>
              <w:t>Date</w:t>
            </w:r>
          </w:p>
        </w:tc>
        <w:tc>
          <w:tcPr>
            <w:tcW w:w="3646" w:type="dxa"/>
          </w:tcPr>
          <w:p w14:paraId="33967E5E" w14:textId="77777777" w:rsidR="00BC7DDA" w:rsidRPr="00BD6C5F" w:rsidRDefault="009B03E9">
            <w:pPr>
              <w:pStyle w:val="TableParagraph"/>
              <w:spacing w:before="95"/>
              <w:ind w:right="48"/>
              <w:jc w:val="right"/>
              <w:rPr>
                <w:rFonts w:asciiTheme="minorHAnsi" w:hAnsiTheme="minorHAnsi" w:cstheme="minorHAnsi"/>
                <w:szCs w:val="24"/>
              </w:rPr>
            </w:pPr>
            <w:r w:rsidRPr="00BD6C5F">
              <w:rPr>
                <w:rFonts w:asciiTheme="minorHAnsi" w:hAnsiTheme="minorHAnsi" w:cstheme="minorHAnsi"/>
                <w:szCs w:val="24"/>
              </w:rPr>
              <w:t>…………………………………</w:t>
            </w:r>
          </w:p>
        </w:tc>
      </w:tr>
      <w:tr w:rsidR="00BC7DDA" w:rsidRPr="00BD6C5F" w14:paraId="11E00E32" w14:textId="77777777" w:rsidTr="00E13C2D">
        <w:trPr>
          <w:trHeight w:val="715"/>
        </w:trPr>
        <w:tc>
          <w:tcPr>
            <w:tcW w:w="2441" w:type="dxa"/>
          </w:tcPr>
          <w:p w14:paraId="0F7C956A" w14:textId="77777777" w:rsidR="00BC7DDA" w:rsidRPr="00BD6C5F" w:rsidRDefault="00BC7DDA">
            <w:pPr>
              <w:pStyle w:val="TableParagraph"/>
              <w:spacing w:before="11"/>
              <w:rPr>
                <w:rFonts w:asciiTheme="minorHAnsi" w:hAnsiTheme="minorHAnsi" w:cstheme="minorHAnsi"/>
                <w:szCs w:val="24"/>
              </w:rPr>
            </w:pPr>
          </w:p>
          <w:p w14:paraId="397CCE83" w14:textId="77777777" w:rsidR="00BC7DDA" w:rsidRPr="00BD6C5F" w:rsidRDefault="009B03E9">
            <w:pPr>
              <w:pStyle w:val="TableParagraph"/>
              <w:ind w:left="50"/>
              <w:rPr>
                <w:rFonts w:asciiTheme="minorHAnsi" w:hAnsiTheme="minorHAnsi" w:cstheme="minorHAnsi"/>
                <w:szCs w:val="24"/>
              </w:rPr>
            </w:pPr>
            <w:r w:rsidRPr="00BD6C5F">
              <w:rPr>
                <w:rFonts w:asciiTheme="minorHAnsi" w:hAnsiTheme="minorHAnsi" w:cstheme="minorHAnsi"/>
                <w:szCs w:val="24"/>
              </w:rPr>
              <w:t>Director</w:t>
            </w:r>
          </w:p>
        </w:tc>
        <w:tc>
          <w:tcPr>
            <w:tcW w:w="3646" w:type="dxa"/>
          </w:tcPr>
          <w:p w14:paraId="040B4A9D" w14:textId="77777777" w:rsidR="00BC7DDA" w:rsidRPr="00BD6C5F" w:rsidRDefault="00BC7DDA">
            <w:pPr>
              <w:pStyle w:val="TableParagraph"/>
              <w:spacing w:before="11"/>
              <w:rPr>
                <w:rFonts w:asciiTheme="minorHAnsi" w:hAnsiTheme="minorHAnsi" w:cstheme="minorHAnsi"/>
                <w:szCs w:val="24"/>
              </w:rPr>
            </w:pPr>
          </w:p>
          <w:p w14:paraId="403A2667" w14:textId="77777777" w:rsidR="00BC7DDA" w:rsidRPr="00BD6C5F" w:rsidRDefault="009B03E9">
            <w:pPr>
              <w:pStyle w:val="TableParagraph"/>
              <w:ind w:right="48"/>
              <w:jc w:val="right"/>
              <w:rPr>
                <w:rFonts w:asciiTheme="minorHAnsi" w:hAnsiTheme="minorHAnsi" w:cstheme="minorHAnsi"/>
                <w:szCs w:val="24"/>
              </w:rPr>
            </w:pPr>
            <w:r w:rsidRPr="00BD6C5F">
              <w:rPr>
                <w:rFonts w:asciiTheme="minorHAnsi" w:hAnsiTheme="minorHAnsi" w:cstheme="minorHAnsi"/>
                <w:szCs w:val="24"/>
              </w:rPr>
              <w:t>…………………………………</w:t>
            </w:r>
          </w:p>
        </w:tc>
      </w:tr>
      <w:tr w:rsidR="00BC7DDA" w:rsidRPr="00BD6C5F" w14:paraId="760D575A" w14:textId="77777777" w:rsidTr="00E13C2D">
        <w:trPr>
          <w:trHeight w:val="477"/>
        </w:trPr>
        <w:tc>
          <w:tcPr>
            <w:tcW w:w="2441" w:type="dxa"/>
          </w:tcPr>
          <w:p w14:paraId="5B8D404C" w14:textId="77777777" w:rsidR="00BC7DDA" w:rsidRPr="00BD6C5F" w:rsidRDefault="009B03E9">
            <w:pPr>
              <w:pStyle w:val="TableParagraph"/>
              <w:spacing w:before="98"/>
              <w:ind w:left="50"/>
              <w:rPr>
                <w:rFonts w:asciiTheme="minorHAnsi" w:hAnsiTheme="minorHAnsi" w:cstheme="minorHAnsi"/>
                <w:szCs w:val="24"/>
              </w:rPr>
            </w:pPr>
            <w:r w:rsidRPr="00BD6C5F">
              <w:rPr>
                <w:rFonts w:asciiTheme="minorHAnsi" w:hAnsiTheme="minorHAnsi" w:cstheme="minorHAnsi"/>
                <w:szCs w:val="24"/>
              </w:rPr>
              <w:t>Signed</w:t>
            </w:r>
          </w:p>
        </w:tc>
        <w:tc>
          <w:tcPr>
            <w:tcW w:w="3646" w:type="dxa"/>
          </w:tcPr>
          <w:p w14:paraId="54E87CEC" w14:textId="77777777" w:rsidR="00BC7DDA" w:rsidRPr="00BD6C5F" w:rsidRDefault="009B03E9">
            <w:pPr>
              <w:pStyle w:val="TableParagraph"/>
              <w:spacing w:before="98"/>
              <w:ind w:right="48"/>
              <w:jc w:val="right"/>
              <w:rPr>
                <w:rFonts w:asciiTheme="minorHAnsi" w:hAnsiTheme="minorHAnsi" w:cstheme="minorHAnsi"/>
                <w:szCs w:val="24"/>
              </w:rPr>
            </w:pPr>
            <w:r w:rsidRPr="00BD6C5F">
              <w:rPr>
                <w:rFonts w:asciiTheme="minorHAnsi" w:hAnsiTheme="minorHAnsi" w:cstheme="minorHAnsi"/>
                <w:szCs w:val="24"/>
              </w:rPr>
              <w:t>…………………………………</w:t>
            </w:r>
          </w:p>
        </w:tc>
      </w:tr>
      <w:tr w:rsidR="00BC7DDA" w:rsidRPr="00BD6C5F" w14:paraId="7E1BDAD0" w14:textId="77777777" w:rsidTr="00E13C2D">
        <w:trPr>
          <w:trHeight w:val="371"/>
        </w:trPr>
        <w:tc>
          <w:tcPr>
            <w:tcW w:w="2441" w:type="dxa"/>
          </w:tcPr>
          <w:p w14:paraId="78DD0DEE" w14:textId="77777777" w:rsidR="00BC7DDA" w:rsidRPr="00BD6C5F" w:rsidRDefault="009B03E9">
            <w:pPr>
              <w:pStyle w:val="TableParagraph"/>
              <w:spacing w:before="96" w:line="256" w:lineRule="exact"/>
              <w:ind w:left="50"/>
              <w:rPr>
                <w:rFonts w:asciiTheme="minorHAnsi" w:hAnsiTheme="minorHAnsi" w:cstheme="minorHAnsi"/>
                <w:szCs w:val="24"/>
              </w:rPr>
            </w:pPr>
            <w:r w:rsidRPr="00BD6C5F">
              <w:rPr>
                <w:rFonts w:asciiTheme="minorHAnsi" w:hAnsiTheme="minorHAnsi" w:cstheme="minorHAnsi"/>
                <w:szCs w:val="24"/>
              </w:rPr>
              <w:t>Date</w:t>
            </w:r>
          </w:p>
        </w:tc>
        <w:tc>
          <w:tcPr>
            <w:tcW w:w="3646" w:type="dxa"/>
          </w:tcPr>
          <w:p w14:paraId="536C5593" w14:textId="77777777" w:rsidR="00BC7DDA" w:rsidRPr="00BD6C5F" w:rsidRDefault="009B03E9">
            <w:pPr>
              <w:pStyle w:val="TableParagraph"/>
              <w:spacing w:before="96" w:line="256" w:lineRule="exact"/>
              <w:ind w:right="48"/>
              <w:jc w:val="right"/>
              <w:rPr>
                <w:rFonts w:asciiTheme="minorHAnsi" w:hAnsiTheme="minorHAnsi" w:cstheme="minorHAnsi"/>
                <w:szCs w:val="24"/>
              </w:rPr>
            </w:pPr>
            <w:r w:rsidRPr="00BD6C5F">
              <w:rPr>
                <w:rFonts w:asciiTheme="minorHAnsi" w:hAnsiTheme="minorHAnsi" w:cstheme="minorHAnsi"/>
                <w:szCs w:val="24"/>
              </w:rPr>
              <w:t>…………………………………</w:t>
            </w:r>
          </w:p>
        </w:tc>
      </w:tr>
    </w:tbl>
    <w:p w14:paraId="11CACB3A" w14:textId="77777777" w:rsidR="00272B0A" w:rsidRPr="00BD6C5F" w:rsidRDefault="00272B0A" w:rsidP="00E13C2D"/>
    <w:p w14:paraId="675AC0DF" w14:textId="77777777" w:rsidR="00F751C6" w:rsidRPr="00BD6C5F" w:rsidRDefault="00F751C6" w:rsidP="00E13C2D"/>
    <w:p w14:paraId="4298A863" w14:textId="77777777" w:rsidR="00F751C6" w:rsidRPr="00BD6C5F" w:rsidRDefault="00F751C6" w:rsidP="00E13C2D"/>
    <w:p w14:paraId="7CB641E7" w14:textId="1FA61C4E" w:rsidR="00F751C6" w:rsidRPr="00BD6C5F" w:rsidRDefault="00F751C6" w:rsidP="00E13C2D">
      <w:pPr>
        <w:sectPr w:rsidR="00F751C6" w:rsidRPr="00BD6C5F" w:rsidSect="00EA65BF">
          <w:headerReference w:type="default" r:id="rId89"/>
          <w:footerReference w:type="default" r:id="rId90"/>
          <w:pgSz w:w="11910" w:h="16840"/>
          <w:pgMar w:top="1701" w:right="851" w:bottom="1134" w:left="851" w:header="567" w:footer="567" w:gutter="0"/>
          <w:cols w:space="720"/>
        </w:sectPr>
      </w:pPr>
    </w:p>
    <w:p w14:paraId="3E7E301C" w14:textId="28838BB8" w:rsidR="004F122B" w:rsidRDefault="004F122B" w:rsidP="004F122B">
      <w:pPr>
        <w:pStyle w:val="Dividername"/>
      </w:pPr>
      <w:bookmarkStart w:id="931" w:name="_bookmark319"/>
      <w:bookmarkStart w:id="932" w:name="_bookmark320"/>
      <w:bookmarkEnd w:id="931"/>
      <w:bookmarkEnd w:id="932"/>
      <w:r>
        <w:lastRenderedPageBreak/>
        <w:t xml:space="preserve">Schedule </w:t>
      </w:r>
      <w:bookmarkStart w:id="933" w:name="Schedule_19"/>
      <w:r>
        <w:t>19</w:t>
      </w:r>
      <w:bookmarkEnd w:id="933"/>
    </w:p>
    <w:p w14:paraId="0A086709" w14:textId="1F62739E" w:rsidR="004F122B" w:rsidRDefault="004F122B" w:rsidP="004F122B">
      <w:pPr>
        <w:pStyle w:val="Dividername"/>
      </w:pPr>
      <w:r w:rsidRPr="004F122B">
        <w:t>Financial Reports and Audit Rights</w:t>
      </w:r>
    </w:p>
    <w:p w14:paraId="7F6574F8" w14:textId="77777777" w:rsidR="004F122B" w:rsidRDefault="004F122B" w:rsidP="004F122B"/>
    <w:p w14:paraId="60222B69" w14:textId="1BAF0481" w:rsidR="00BC7DDA" w:rsidRPr="00BD6C5F" w:rsidRDefault="00E13C2D" w:rsidP="004F122B">
      <w:pPr>
        <w:pStyle w:val="Heading1"/>
        <w:pageBreakBefore/>
      </w:pPr>
      <w:bookmarkStart w:id="934" w:name="_Toc141721025"/>
      <w:r w:rsidRPr="00BD6C5F">
        <w:lastRenderedPageBreak/>
        <w:t>Schedule 19</w:t>
      </w:r>
      <w:r w:rsidR="0058158C" w:rsidRPr="00BD6C5F">
        <w:t xml:space="preserve">: </w:t>
      </w:r>
      <w:bookmarkStart w:id="935" w:name="_Ref98252820"/>
      <w:bookmarkStart w:id="936" w:name="_Ref98253030"/>
      <w:bookmarkStart w:id="937" w:name="_Toc98332756"/>
      <w:bookmarkStart w:id="938" w:name="_Toc98852933"/>
      <w:r w:rsidRPr="00BD6C5F">
        <w:t>Financial Reports and Audit Rights</w:t>
      </w:r>
      <w:bookmarkEnd w:id="935"/>
      <w:bookmarkEnd w:id="936"/>
      <w:bookmarkEnd w:id="937"/>
      <w:bookmarkEnd w:id="938"/>
      <w:bookmarkEnd w:id="934"/>
    </w:p>
    <w:p w14:paraId="43259FFF" w14:textId="460BBB77" w:rsidR="00E2131D" w:rsidRPr="00BD6C5F" w:rsidRDefault="00E2131D" w:rsidP="00E13C2D">
      <w:pPr>
        <w:jc w:val="center"/>
      </w:pPr>
      <w:bookmarkStart w:id="939" w:name="_Ref98415289"/>
      <w:r w:rsidRPr="00BD6C5F">
        <w:t>This is the schedule referred to in the foregoing agreement betwe</w:t>
      </w:r>
      <w:r w:rsidR="000D48A0" w:rsidRPr="00BD6C5F">
        <w:t>en [</w:t>
      </w:r>
      <w:r w:rsidR="000D48A0" w:rsidRPr="00BD6C5F">
        <w:rPr>
          <w:highlight w:val="yellow"/>
        </w:rPr>
        <w:t>name of party</w:t>
      </w:r>
      <w:r w:rsidR="000D48A0" w:rsidRPr="00BD6C5F">
        <w:t>] and [</w:t>
      </w:r>
      <w:r w:rsidR="000D48A0" w:rsidRPr="00BD6C5F">
        <w:rPr>
          <w:highlight w:val="yellow"/>
        </w:rPr>
        <w:t>name of party</w:t>
      </w:r>
      <w:r w:rsidR="000D48A0" w:rsidRPr="00BD6C5F">
        <w:t>] dated [</w:t>
      </w:r>
      <w:r w:rsidR="000D48A0" w:rsidRPr="00BD6C5F">
        <w:rPr>
          <w:highlight w:val="yellow"/>
        </w:rPr>
        <w:t>date</w:t>
      </w:r>
      <w:r w:rsidR="000D48A0" w:rsidRPr="00BD6C5F">
        <w:t>]</w:t>
      </w:r>
    </w:p>
    <w:p w14:paraId="58990E45" w14:textId="77777777" w:rsidR="00E13C2D" w:rsidRPr="00BD6C5F" w:rsidRDefault="00E13C2D" w:rsidP="00E13C2D"/>
    <w:p w14:paraId="137A6954" w14:textId="5F8685D8" w:rsidR="00BC7DDA" w:rsidRPr="00BD6C5F" w:rsidRDefault="000D48A0" w:rsidP="00B71FC0">
      <w:pPr>
        <w:pStyle w:val="Numbered1"/>
        <w:numPr>
          <w:ilvl w:val="0"/>
          <w:numId w:val="102"/>
        </w:numPr>
      </w:pPr>
      <w:r w:rsidRPr="00BD6C5F">
        <w:t>Definitions</w:t>
      </w:r>
      <w:bookmarkEnd w:id="939"/>
    </w:p>
    <w:p w14:paraId="3926FD6D" w14:textId="77777777" w:rsidR="00BC7DDA" w:rsidRPr="00BD6C5F" w:rsidRDefault="009B03E9" w:rsidP="00C70900">
      <w:pPr>
        <w:pStyle w:val="Numbered11"/>
        <w:keepNext/>
      </w:pPr>
      <w:bookmarkStart w:id="940" w:name="_bookmark321"/>
      <w:bookmarkStart w:id="941" w:name="_Ref98252700"/>
      <w:bookmarkEnd w:id="940"/>
      <w:r w:rsidRPr="00BD6C5F">
        <w:t>In this Schedule, the following definitions shall apply:</w:t>
      </w:r>
      <w:bookmarkEnd w:id="941"/>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15400FB0" w14:textId="77777777" w:rsidTr="00771E5A">
        <w:tc>
          <w:tcPr>
            <w:tcW w:w="3572" w:type="dxa"/>
          </w:tcPr>
          <w:p w14:paraId="33DE0075" w14:textId="5952D60A"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Annual Contract Report</w:t>
            </w:r>
            <w:r w:rsidRPr="00BD6C5F">
              <w:rPr>
                <w:rFonts w:asciiTheme="minorHAnsi" w:hAnsiTheme="minorHAnsi" w:cstheme="minorHAnsi"/>
                <w:b/>
              </w:rPr>
              <w:t>”</w:t>
            </w:r>
          </w:p>
        </w:tc>
        <w:tc>
          <w:tcPr>
            <w:tcW w:w="5953" w:type="dxa"/>
          </w:tcPr>
          <w:p w14:paraId="66C456BA" w14:textId="3D02999A" w:rsidR="00BC7DDA" w:rsidRPr="00BD6C5F" w:rsidRDefault="009B03E9" w:rsidP="00E13C2D">
            <w:pPr>
              <w:pStyle w:val="Tabletext"/>
            </w:pPr>
            <w:r w:rsidRPr="00BD6C5F">
              <w:t xml:space="preserve">the annual contract report to be provided by the Supplier to the Authority pursuant to Paragraph </w:t>
            </w:r>
            <w:r w:rsidR="00927BBF" w:rsidRPr="00BD6C5F">
              <w:fldChar w:fldCharType="begin"/>
            </w:r>
            <w:r w:rsidR="00927BBF" w:rsidRPr="00BD6C5F">
              <w:instrText xml:space="preserve"> REF _Ref98415304 \n \h </w:instrText>
            </w:r>
            <w:r w:rsidR="00AD7DD0" w:rsidRPr="00BD6C5F">
              <w:instrText xml:space="preserve"> \* MERGEFORMAT </w:instrText>
            </w:r>
            <w:r w:rsidR="00927BBF" w:rsidRPr="00BD6C5F">
              <w:fldChar w:fldCharType="separate"/>
            </w:r>
            <w:r w:rsidR="009749A0">
              <w:t>1</w:t>
            </w:r>
            <w:r w:rsidR="00927BBF" w:rsidRPr="00BD6C5F">
              <w:fldChar w:fldCharType="end"/>
            </w:r>
            <w:r w:rsidRPr="00BD6C5F">
              <w:t xml:space="preserve"> of </w:t>
            </w:r>
            <w:r w:rsidR="00DF7441">
              <w:t>Part </w:t>
            </w:r>
            <w:r w:rsidR="00DF7441">
              <w:fldChar w:fldCharType="begin"/>
            </w:r>
            <w:r w:rsidR="00DF7441">
              <w:instrText xml:space="preserve"> REF Schedule_19_Part_B \h </w:instrText>
            </w:r>
            <w:r w:rsidR="00DF7441">
              <w:fldChar w:fldCharType="separate"/>
            </w:r>
            <w:r w:rsidR="009749A0" w:rsidRPr="00BD6C5F">
              <w:t>B</w:t>
            </w:r>
            <w:r w:rsidR="00DF7441">
              <w:fldChar w:fldCharType="end"/>
            </w:r>
            <w:r w:rsidRPr="00BD6C5F">
              <w:t>;</w:t>
            </w:r>
          </w:p>
        </w:tc>
      </w:tr>
      <w:tr w:rsidR="00BC7DDA" w:rsidRPr="00BD6C5F" w14:paraId="541CABD3" w14:textId="77777777" w:rsidTr="00771E5A">
        <w:tc>
          <w:tcPr>
            <w:tcW w:w="3572" w:type="dxa"/>
          </w:tcPr>
          <w:p w14:paraId="55A69EEA" w14:textId="0BD7411D"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Audit Agents</w:t>
            </w:r>
            <w:r w:rsidRPr="00BD6C5F">
              <w:rPr>
                <w:rFonts w:asciiTheme="minorHAnsi" w:hAnsiTheme="minorHAnsi" w:cstheme="minorHAnsi"/>
                <w:b/>
              </w:rPr>
              <w:t>”</w:t>
            </w:r>
          </w:p>
        </w:tc>
        <w:tc>
          <w:tcPr>
            <w:tcW w:w="5953" w:type="dxa"/>
          </w:tcPr>
          <w:p w14:paraId="742B57E3" w14:textId="02E36C3A" w:rsidR="00BC7DDA" w:rsidRPr="00BD6C5F" w:rsidRDefault="009B03E9" w:rsidP="00771E5A">
            <w:pPr>
              <w:pStyle w:val="Tablea"/>
            </w:pPr>
            <w:r w:rsidRPr="00BD6C5F">
              <w:t>the Authority</w:t>
            </w:r>
            <w:r w:rsidR="00A4555C" w:rsidRPr="00BD6C5F">
              <w:t>’</w:t>
            </w:r>
            <w:r w:rsidRPr="00BD6C5F">
              <w:t>s internal and external auditors;</w:t>
            </w:r>
          </w:p>
          <w:p w14:paraId="3DD79A59" w14:textId="5B870980" w:rsidR="00BC7DDA" w:rsidRPr="00BD6C5F" w:rsidRDefault="009B03E9" w:rsidP="003A5D4B">
            <w:pPr>
              <w:pStyle w:val="Tablea"/>
            </w:pPr>
            <w:r w:rsidRPr="00BD6C5F">
              <w:t>the Authority</w:t>
            </w:r>
            <w:r w:rsidR="00A4555C" w:rsidRPr="00BD6C5F">
              <w:t>’</w:t>
            </w:r>
            <w:r w:rsidRPr="00BD6C5F">
              <w:t>s statutory or regulatory auditors;</w:t>
            </w:r>
          </w:p>
          <w:p w14:paraId="13491DFA" w14:textId="77777777" w:rsidR="00BC7DDA" w:rsidRPr="00BD6C5F" w:rsidRDefault="009B03E9" w:rsidP="003A5D4B">
            <w:pPr>
              <w:pStyle w:val="Tablea"/>
            </w:pPr>
            <w:r w:rsidRPr="00BD6C5F">
              <w:t>the Comptroller and Auditor General, their staff and/or any appointed representatives of the National Audit Office;</w:t>
            </w:r>
          </w:p>
          <w:p w14:paraId="770FCAE5" w14:textId="77777777" w:rsidR="00BC7DDA" w:rsidRPr="00BD6C5F" w:rsidRDefault="009B03E9" w:rsidP="003A5D4B">
            <w:pPr>
              <w:pStyle w:val="Tablea"/>
            </w:pPr>
            <w:r w:rsidRPr="00BD6C5F">
              <w:t>HM Treasury or the Cabinet Office;</w:t>
            </w:r>
          </w:p>
          <w:p w14:paraId="33E7B38B" w14:textId="77777777" w:rsidR="00BC7DDA" w:rsidRPr="00BD6C5F" w:rsidRDefault="009B03E9" w:rsidP="003A5D4B">
            <w:pPr>
              <w:pStyle w:val="Tablea"/>
            </w:pPr>
            <w:r w:rsidRPr="00BD6C5F">
              <w:t>any party formally appointed by the Authority to carry out audit or similar review functions; and</w:t>
            </w:r>
          </w:p>
          <w:p w14:paraId="5ADFBB2E" w14:textId="77777777" w:rsidR="00BC7DDA" w:rsidRPr="00BD6C5F" w:rsidRDefault="009B03E9" w:rsidP="003A5D4B">
            <w:pPr>
              <w:pStyle w:val="Tablea"/>
            </w:pPr>
            <w:r w:rsidRPr="00BD6C5F">
              <w:t>successors or assigns of any of the above;</w:t>
            </w:r>
          </w:p>
        </w:tc>
      </w:tr>
      <w:tr w:rsidR="00BC7DDA" w:rsidRPr="00BD6C5F" w14:paraId="3DAE92D7" w14:textId="77777777" w:rsidTr="00771E5A">
        <w:tc>
          <w:tcPr>
            <w:tcW w:w="3572" w:type="dxa"/>
          </w:tcPr>
          <w:p w14:paraId="6AF8AEDE" w14:textId="299AD083"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Contract Amendment Report</w:t>
            </w:r>
            <w:r w:rsidRPr="00BD6C5F">
              <w:rPr>
                <w:rFonts w:asciiTheme="minorHAnsi" w:hAnsiTheme="minorHAnsi" w:cstheme="minorHAnsi"/>
                <w:b/>
              </w:rPr>
              <w:t>”</w:t>
            </w:r>
          </w:p>
        </w:tc>
        <w:tc>
          <w:tcPr>
            <w:tcW w:w="5953" w:type="dxa"/>
          </w:tcPr>
          <w:p w14:paraId="61596618" w14:textId="175F3FE0"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 xml:space="preserve">the contract amendment report to be provided by the Supplier to the Authority pursuant to </w:t>
            </w:r>
            <w:r w:rsidR="00927BBF" w:rsidRPr="00BD6C5F">
              <w:rPr>
                <w:rFonts w:asciiTheme="minorHAnsi" w:hAnsiTheme="minorHAnsi" w:cstheme="minorHAnsi"/>
              </w:rPr>
              <w:t xml:space="preserve">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_Ref98415304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1</w:t>
            </w:r>
            <w:r w:rsidR="00927BBF" w:rsidRPr="00BD6C5F">
              <w:rPr>
                <w:rFonts w:asciiTheme="minorHAnsi" w:hAnsiTheme="minorHAnsi" w:cstheme="minorHAnsi"/>
              </w:rPr>
              <w:fldChar w:fldCharType="end"/>
            </w:r>
            <w:r w:rsidR="00927BBF" w:rsidRPr="00BD6C5F">
              <w:rPr>
                <w:rFonts w:asciiTheme="minorHAnsi" w:hAnsiTheme="minorHAnsi" w:cstheme="minorHAnsi"/>
              </w:rPr>
              <w:t xml:space="preserve"> of </w:t>
            </w:r>
            <w:r w:rsidR="00DF7441">
              <w:t>Part </w:t>
            </w:r>
            <w:r w:rsidR="00DF7441">
              <w:fldChar w:fldCharType="begin"/>
            </w:r>
            <w:r w:rsidR="00DF7441">
              <w:instrText xml:space="preserve"> REF Schedule_19_Part_B \h </w:instrText>
            </w:r>
            <w:r w:rsidR="00DF7441">
              <w:fldChar w:fldCharType="separate"/>
            </w:r>
            <w:r w:rsidR="009749A0" w:rsidRPr="00BD6C5F">
              <w:t>B</w:t>
            </w:r>
            <w:r w:rsidR="00DF7441">
              <w:fldChar w:fldCharType="end"/>
            </w:r>
            <w:r w:rsidRPr="00BD6C5F">
              <w:rPr>
                <w:rFonts w:asciiTheme="minorHAnsi" w:hAnsiTheme="minorHAnsi" w:cstheme="minorHAnsi"/>
              </w:rPr>
              <w:t>;</w:t>
            </w:r>
          </w:p>
        </w:tc>
      </w:tr>
      <w:tr w:rsidR="00BC7DDA" w:rsidRPr="00BD6C5F" w14:paraId="2D9EE7F2" w14:textId="77777777" w:rsidTr="00771E5A">
        <w:tc>
          <w:tcPr>
            <w:tcW w:w="3572" w:type="dxa"/>
          </w:tcPr>
          <w:p w14:paraId="6D442010" w14:textId="2E366195"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Final Reconciliation Report</w:t>
            </w:r>
            <w:r w:rsidRPr="00BD6C5F">
              <w:rPr>
                <w:rFonts w:asciiTheme="minorHAnsi" w:hAnsiTheme="minorHAnsi" w:cstheme="minorHAnsi"/>
                <w:b/>
              </w:rPr>
              <w:t>”</w:t>
            </w:r>
          </w:p>
        </w:tc>
        <w:tc>
          <w:tcPr>
            <w:tcW w:w="5953" w:type="dxa"/>
          </w:tcPr>
          <w:p w14:paraId="698EFD79" w14:textId="760A3AA8"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 xml:space="preserve">the final reconciliation report to be provided by the Supplier to the Authority pursuant to </w:t>
            </w:r>
            <w:r w:rsidR="00927BBF" w:rsidRPr="00BD6C5F">
              <w:rPr>
                <w:rFonts w:asciiTheme="minorHAnsi" w:hAnsiTheme="minorHAnsi" w:cstheme="minorHAnsi"/>
              </w:rPr>
              <w:t xml:space="preserve">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_Ref98415304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1</w:t>
            </w:r>
            <w:r w:rsidR="00927BBF" w:rsidRPr="00BD6C5F">
              <w:rPr>
                <w:rFonts w:asciiTheme="minorHAnsi" w:hAnsiTheme="minorHAnsi" w:cstheme="minorHAnsi"/>
              </w:rPr>
              <w:fldChar w:fldCharType="end"/>
            </w:r>
            <w:r w:rsidR="00927BBF" w:rsidRPr="00BD6C5F">
              <w:rPr>
                <w:rFonts w:asciiTheme="minorHAnsi" w:hAnsiTheme="minorHAnsi" w:cstheme="minorHAnsi"/>
              </w:rPr>
              <w:t xml:space="preserve"> of </w:t>
            </w:r>
            <w:r w:rsidR="00DF7441">
              <w:t>Part </w:t>
            </w:r>
            <w:r w:rsidR="00DF7441">
              <w:fldChar w:fldCharType="begin"/>
            </w:r>
            <w:r w:rsidR="00DF7441">
              <w:instrText xml:space="preserve"> REF Schedule_19_Part_B \h </w:instrText>
            </w:r>
            <w:r w:rsidR="00DF7441">
              <w:fldChar w:fldCharType="separate"/>
            </w:r>
            <w:r w:rsidR="009749A0" w:rsidRPr="00BD6C5F">
              <w:t>B</w:t>
            </w:r>
            <w:r w:rsidR="00DF7441">
              <w:fldChar w:fldCharType="end"/>
            </w:r>
            <w:r w:rsidRPr="00BD6C5F">
              <w:rPr>
                <w:rFonts w:asciiTheme="minorHAnsi" w:hAnsiTheme="minorHAnsi" w:cstheme="minorHAnsi"/>
              </w:rPr>
              <w:t>;</w:t>
            </w:r>
          </w:p>
        </w:tc>
      </w:tr>
      <w:tr w:rsidR="00BC7DDA" w:rsidRPr="00BD6C5F" w14:paraId="0BB03C1B" w14:textId="77777777" w:rsidTr="00771E5A">
        <w:tc>
          <w:tcPr>
            <w:tcW w:w="3572" w:type="dxa"/>
          </w:tcPr>
          <w:p w14:paraId="4434F259" w14:textId="5E36F7F9"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Financial Model</w:t>
            </w:r>
            <w:r w:rsidRPr="00BD6C5F">
              <w:rPr>
                <w:rFonts w:asciiTheme="minorHAnsi" w:hAnsiTheme="minorHAnsi" w:cstheme="minorHAnsi"/>
                <w:b/>
              </w:rPr>
              <w:t>”</w:t>
            </w:r>
          </w:p>
        </w:tc>
        <w:tc>
          <w:tcPr>
            <w:tcW w:w="5953" w:type="dxa"/>
          </w:tcPr>
          <w:p w14:paraId="3E422C74" w14:textId="6836ABDF"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 xml:space="preserve">the Contract Inception Report, the latest Annual Contract Report or the latest Contract Amendment Report, whichever has been most recently approved by the Authority in accordance with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_Ref98412823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2</w:t>
            </w:r>
            <w:r w:rsidR="00927BBF" w:rsidRPr="00BD6C5F">
              <w:rPr>
                <w:rFonts w:asciiTheme="minorHAnsi" w:hAnsiTheme="minorHAnsi" w:cstheme="minorHAnsi"/>
              </w:rPr>
              <w:fldChar w:fldCharType="end"/>
            </w:r>
            <w:r w:rsidRPr="00BD6C5F">
              <w:rPr>
                <w:rFonts w:asciiTheme="minorHAnsi" w:hAnsiTheme="minorHAnsi" w:cstheme="minorHAnsi"/>
              </w:rPr>
              <w:t xml:space="preserve"> of </w:t>
            </w:r>
            <w:r w:rsidR="00DF7441">
              <w:t>Part </w:t>
            </w:r>
            <w:r w:rsidR="00DF7441">
              <w:fldChar w:fldCharType="begin"/>
            </w:r>
            <w:r w:rsidR="00DF7441">
              <w:instrText xml:space="preserve"> REF Schedule_19_Part_B \h </w:instrText>
            </w:r>
            <w:r w:rsidR="00DF7441">
              <w:fldChar w:fldCharType="separate"/>
            </w:r>
            <w:r w:rsidR="009749A0" w:rsidRPr="00BD6C5F">
              <w:t>B</w:t>
            </w:r>
            <w:r w:rsidR="00DF7441">
              <w:fldChar w:fldCharType="end"/>
            </w:r>
            <w:r w:rsidRPr="00BD6C5F">
              <w:rPr>
                <w:rFonts w:asciiTheme="minorHAnsi" w:hAnsiTheme="minorHAnsi" w:cstheme="minorHAnsi"/>
              </w:rPr>
              <w:t>;</w:t>
            </w:r>
          </w:p>
        </w:tc>
      </w:tr>
      <w:tr w:rsidR="00BC7DDA" w:rsidRPr="00BD6C5F" w14:paraId="59A0A6A8" w14:textId="77777777" w:rsidTr="00771E5A">
        <w:tc>
          <w:tcPr>
            <w:tcW w:w="3572" w:type="dxa"/>
          </w:tcPr>
          <w:p w14:paraId="02FE82BF" w14:textId="366DFA20"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Financial Reports</w:t>
            </w:r>
            <w:r w:rsidRPr="00BD6C5F">
              <w:rPr>
                <w:rFonts w:asciiTheme="minorHAnsi" w:hAnsiTheme="minorHAnsi" w:cstheme="minorHAnsi"/>
                <w:b/>
              </w:rPr>
              <w:t>”</w:t>
            </w:r>
          </w:p>
        </w:tc>
        <w:tc>
          <w:tcPr>
            <w:tcW w:w="5953" w:type="dxa"/>
          </w:tcPr>
          <w:p w14:paraId="78EA8FEE" w14:textId="0A3FC2E2"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 xml:space="preserve">the Contract Inception Report and the reports listed in the table in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_Ref98415372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1.1</w:t>
            </w:r>
            <w:r w:rsidR="00927BBF" w:rsidRPr="00BD6C5F">
              <w:rPr>
                <w:rFonts w:asciiTheme="minorHAnsi" w:hAnsiTheme="minorHAnsi" w:cstheme="minorHAnsi"/>
              </w:rPr>
              <w:fldChar w:fldCharType="end"/>
            </w:r>
            <w:r w:rsidRPr="00BD6C5F">
              <w:rPr>
                <w:rFonts w:asciiTheme="minorHAnsi" w:hAnsiTheme="minorHAnsi" w:cstheme="minorHAnsi"/>
              </w:rPr>
              <w:t xml:space="preserve"> of </w:t>
            </w:r>
            <w:r w:rsidR="00DF7441">
              <w:t>Part </w:t>
            </w:r>
            <w:r w:rsidR="00DF7441">
              <w:fldChar w:fldCharType="begin"/>
            </w:r>
            <w:r w:rsidR="00DF7441">
              <w:instrText xml:space="preserve"> REF Schedule_19_Part_B \h </w:instrText>
            </w:r>
            <w:r w:rsidR="00DF7441">
              <w:fldChar w:fldCharType="separate"/>
            </w:r>
            <w:r w:rsidR="009749A0" w:rsidRPr="00BD6C5F">
              <w:t>B</w:t>
            </w:r>
            <w:r w:rsidR="00DF7441">
              <w:fldChar w:fldCharType="end"/>
            </w:r>
            <w:r w:rsidRPr="00BD6C5F">
              <w:rPr>
                <w:rFonts w:asciiTheme="minorHAnsi" w:hAnsiTheme="minorHAnsi" w:cstheme="minorHAnsi"/>
              </w:rPr>
              <w:t>;</w:t>
            </w:r>
          </w:p>
        </w:tc>
      </w:tr>
      <w:tr w:rsidR="00BC7DDA" w:rsidRPr="00BD6C5F" w14:paraId="760DA604" w14:textId="77777777" w:rsidTr="00771E5A">
        <w:tc>
          <w:tcPr>
            <w:tcW w:w="3572" w:type="dxa"/>
          </w:tcPr>
          <w:p w14:paraId="03265BEB" w14:textId="7F78F097"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Financial Representative</w:t>
            </w:r>
            <w:r w:rsidRPr="00BD6C5F">
              <w:rPr>
                <w:rFonts w:asciiTheme="minorHAnsi" w:hAnsiTheme="minorHAnsi" w:cstheme="minorHAnsi"/>
                <w:b/>
              </w:rPr>
              <w:t>”</w:t>
            </w:r>
          </w:p>
        </w:tc>
        <w:tc>
          <w:tcPr>
            <w:tcW w:w="5953" w:type="dxa"/>
          </w:tcPr>
          <w:p w14:paraId="71A0F486" w14:textId="00550937"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a reasonably skilled and experienced member of the Supplier</w:t>
            </w:r>
            <w:r w:rsidR="00A4555C" w:rsidRPr="00BD6C5F">
              <w:rPr>
                <w:rFonts w:asciiTheme="minorHAnsi" w:hAnsiTheme="minorHAnsi" w:cstheme="minorHAnsi"/>
              </w:rPr>
              <w:t>’</w:t>
            </w:r>
            <w:r w:rsidRPr="00BD6C5F">
              <w:rPr>
                <w:rFonts w:asciiTheme="minorHAnsi" w:hAnsiTheme="minorHAnsi" w:cstheme="minorHAnsi"/>
              </w:rPr>
              <w:t>s staff who has specific responsibility for preparing, maintaining, facilitating access to, discussing and explaining the Open Book Data and</w:t>
            </w:r>
          </w:p>
          <w:p w14:paraId="46D1B4B0" w14:textId="77777777"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Financial Reports;</w:t>
            </w:r>
          </w:p>
        </w:tc>
      </w:tr>
      <w:tr w:rsidR="00BC7DDA" w:rsidRPr="00BD6C5F" w14:paraId="1969B9C1" w14:textId="77777777" w:rsidTr="00771E5A">
        <w:tc>
          <w:tcPr>
            <w:tcW w:w="3572" w:type="dxa"/>
          </w:tcPr>
          <w:p w14:paraId="10BBD919" w14:textId="084F936C"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 xml:space="preserve">Financial Transparency </w:t>
            </w:r>
            <w:r w:rsidR="009B03E9" w:rsidRPr="00BD6C5F">
              <w:rPr>
                <w:rFonts w:asciiTheme="minorHAnsi" w:hAnsiTheme="minorHAnsi" w:cstheme="minorHAnsi"/>
                <w:b/>
              </w:rPr>
              <w:lastRenderedPageBreak/>
              <w:t>Objectives</w:t>
            </w:r>
            <w:r w:rsidRPr="00BD6C5F">
              <w:rPr>
                <w:rFonts w:asciiTheme="minorHAnsi" w:hAnsiTheme="minorHAnsi" w:cstheme="minorHAnsi"/>
                <w:b/>
              </w:rPr>
              <w:t>”</w:t>
            </w:r>
          </w:p>
        </w:tc>
        <w:tc>
          <w:tcPr>
            <w:tcW w:w="5953" w:type="dxa"/>
          </w:tcPr>
          <w:p w14:paraId="11843ECB" w14:textId="7B284B3A"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lastRenderedPageBreak/>
              <w:t xml:space="preserve">has the meaning given in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_Ref98415395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1</w:t>
            </w:r>
            <w:r w:rsidR="00927BBF" w:rsidRPr="00BD6C5F">
              <w:rPr>
                <w:rFonts w:asciiTheme="minorHAnsi" w:hAnsiTheme="minorHAnsi" w:cstheme="minorHAnsi"/>
              </w:rPr>
              <w:fldChar w:fldCharType="end"/>
            </w:r>
            <w:r w:rsidRPr="00BD6C5F">
              <w:rPr>
                <w:rFonts w:asciiTheme="minorHAnsi" w:hAnsiTheme="minorHAnsi" w:cstheme="minorHAnsi"/>
              </w:rPr>
              <w:t xml:space="preserve"> of </w:t>
            </w:r>
            <w:r w:rsidR="00DF7441">
              <w:rPr>
                <w:rFonts w:asciiTheme="minorHAnsi" w:hAnsiTheme="minorHAnsi" w:cstheme="minorHAnsi"/>
              </w:rPr>
              <w:t>Part </w:t>
            </w:r>
            <w:r w:rsidR="00DF7441">
              <w:rPr>
                <w:rFonts w:asciiTheme="minorHAnsi" w:hAnsiTheme="minorHAnsi" w:cstheme="minorHAnsi"/>
              </w:rPr>
              <w:fldChar w:fldCharType="begin"/>
            </w:r>
            <w:r w:rsidR="00DF7441">
              <w:rPr>
                <w:rFonts w:asciiTheme="minorHAnsi" w:hAnsiTheme="minorHAnsi" w:cstheme="minorHAnsi"/>
              </w:rPr>
              <w:instrText xml:space="preserve"> REF Schedule_19_Part_A \h </w:instrText>
            </w:r>
            <w:r w:rsidR="00DF7441">
              <w:rPr>
                <w:rFonts w:asciiTheme="minorHAnsi" w:hAnsiTheme="minorHAnsi" w:cstheme="minorHAnsi"/>
              </w:rPr>
            </w:r>
            <w:r w:rsidR="00DF7441">
              <w:rPr>
                <w:rFonts w:asciiTheme="minorHAnsi" w:hAnsiTheme="minorHAnsi" w:cstheme="minorHAnsi"/>
              </w:rPr>
              <w:fldChar w:fldCharType="separate"/>
            </w:r>
            <w:r w:rsidR="009749A0" w:rsidRPr="00BD6C5F">
              <w:t>A</w:t>
            </w:r>
            <w:r w:rsidR="00DF7441">
              <w:rPr>
                <w:rFonts w:asciiTheme="minorHAnsi" w:hAnsiTheme="minorHAnsi" w:cstheme="minorHAnsi"/>
              </w:rPr>
              <w:fldChar w:fldCharType="end"/>
            </w:r>
            <w:r w:rsidRPr="00BD6C5F">
              <w:rPr>
                <w:rFonts w:asciiTheme="minorHAnsi" w:hAnsiTheme="minorHAnsi" w:cstheme="minorHAnsi"/>
              </w:rPr>
              <w:t>;</w:t>
            </w:r>
          </w:p>
        </w:tc>
      </w:tr>
      <w:tr w:rsidR="00BC7DDA" w:rsidRPr="00BD6C5F" w14:paraId="1DDE6704" w14:textId="77777777" w:rsidTr="00771E5A">
        <w:tc>
          <w:tcPr>
            <w:tcW w:w="3572" w:type="dxa"/>
          </w:tcPr>
          <w:p w14:paraId="0807E9F3" w14:textId="3BFA9795"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Material Change</w:t>
            </w:r>
            <w:r w:rsidRPr="00BD6C5F">
              <w:rPr>
                <w:rFonts w:asciiTheme="minorHAnsi" w:hAnsiTheme="minorHAnsi" w:cstheme="minorHAnsi"/>
                <w:b/>
              </w:rPr>
              <w:t>”</w:t>
            </w:r>
          </w:p>
        </w:tc>
        <w:tc>
          <w:tcPr>
            <w:tcW w:w="5953" w:type="dxa"/>
          </w:tcPr>
          <w:p w14:paraId="32A6B1AC" w14:textId="77777777" w:rsidR="00BC7DDA" w:rsidRPr="00BD6C5F" w:rsidRDefault="009B03E9" w:rsidP="00E13C2D">
            <w:pPr>
              <w:pStyle w:val="Tabletext"/>
              <w:keepNext/>
              <w:keepLines/>
              <w:rPr>
                <w:rFonts w:asciiTheme="minorHAnsi" w:hAnsiTheme="minorHAnsi" w:cstheme="minorHAnsi"/>
              </w:rPr>
            </w:pPr>
            <w:r w:rsidRPr="00BD6C5F">
              <w:rPr>
                <w:rFonts w:asciiTheme="minorHAnsi" w:hAnsiTheme="minorHAnsi" w:cstheme="minorHAnsi"/>
              </w:rPr>
              <w:t>a Change which:</w:t>
            </w:r>
          </w:p>
          <w:p w14:paraId="3FFAD546" w14:textId="77777777" w:rsidR="00BC7DDA" w:rsidRPr="00BD6C5F" w:rsidRDefault="009B03E9" w:rsidP="00771E5A">
            <w:pPr>
              <w:pStyle w:val="Tablea"/>
            </w:pPr>
            <w:r w:rsidRPr="00BD6C5F">
              <w:t>materially changes the profile of the Charges; or</w:t>
            </w:r>
          </w:p>
          <w:p w14:paraId="14D4A457" w14:textId="77777777" w:rsidR="00BC7DDA" w:rsidRPr="00BD6C5F" w:rsidRDefault="009B03E9" w:rsidP="00771E5A">
            <w:pPr>
              <w:pStyle w:val="Tablea"/>
            </w:pPr>
            <w:r w:rsidRPr="00BD6C5F">
              <w:t>varies the total Charges payable during the Term (as forecast in the latest Financial Model) by:</w:t>
            </w:r>
          </w:p>
          <w:p w14:paraId="3CB16324" w14:textId="77777777" w:rsidR="00BC7DDA" w:rsidRPr="00BD6C5F" w:rsidRDefault="009B03E9" w:rsidP="000D48A0">
            <w:pPr>
              <w:pStyle w:val="Tableai"/>
            </w:pPr>
            <w:r w:rsidRPr="00BD6C5F">
              <w:t>5% or more; or</w:t>
            </w:r>
          </w:p>
          <w:p w14:paraId="7C352521" w14:textId="77777777" w:rsidR="00BC7DDA" w:rsidRPr="00BD6C5F" w:rsidRDefault="009B03E9" w:rsidP="000D48A0">
            <w:pPr>
              <w:pStyle w:val="Tableai"/>
            </w:pPr>
            <w:r w:rsidRPr="00BD6C5F">
              <w:t>£1m or more;</w:t>
            </w:r>
          </w:p>
        </w:tc>
      </w:tr>
      <w:tr w:rsidR="00BC7DDA" w:rsidRPr="00BD6C5F" w14:paraId="3B2741D4" w14:textId="77777777" w:rsidTr="00771E5A">
        <w:tc>
          <w:tcPr>
            <w:tcW w:w="3572" w:type="dxa"/>
          </w:tcPr>
          <w:p w14:paraId="7822BA06" w14:textId="763C26EE"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Onerous Contract</w:t>
            </w:r>
            <w:r w:rsidRPr="00BD6C5F">
              <w:rPr>
                <w:rFonts w:asciiTheme="minorHAnsi" w:hAnsiTheme="minorHAnsi" w:cstheme="minorHAnsi"/>
                <w:b/>
              </w:rPr>
              <w:t>”</w:t>
            </w:r>
          </w:p>
        </w:tc>
        <w:tc>
          <w:tcPr>
            <w:tcW w:w="5953" w:type="dxa"/>
          </w:tcPr>
          <w:p w14:paraId="67477382" w14:textId="77777777"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a contract in which the unavoidable costs of meeting the obligations under the contract exceed the economic benefits expected to be received under it, as defined under International Accounting Standard 37;</w:t>
            </w:r>
          </w:p>
        </w:tc>
      </w:tr>
      <w:tr w:rsidR="00BC7DDA" w:rsidRPr="00BD6C5F" w14:paraId="781EF633" w14:textId="77777777" w:rsidTr="00771E5A">
        <w:tc>
          <w:tcPr>
            <w:tcW w:w="3572" w:type="dxa"/>
          </w:tcPr>
          <w:p w14:paraId="6C1548AA" w14:textId="28634F3D"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Onerous Contract Report</w:t>
            </w:r>
            <w:r w:rsidRPr="00BD6C5F">
              <w:rPr>
                <w:rFonts w:asciiTheme="minorHAnsi" w:hAnsiTheme="minorHAnsi" w:cstheme="minorHAnsi"/>
                <w:b/>
              </w:rPr>
              <w:t>”</w:t>
            </w:r>
          </w:p>
        </w:tc>
        <w:tc>
          <w:tcPr>
            <w:tcW w:w="5953" w:type="dxa"/>
          </w:tcPr>
          <w:p w14:paraId="07919C1F" w14:textId="08699917"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 xml:space="preserve">means a report provided by the Supplier pursuant to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_Ref98415432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3</w:t>
            </w:r>
            <w:r w:rsidR="00927BBF" w:rsidRPr="00BD6C5F">
              <w:rPr>
                <w:rFonts w:asciiTheme="minorHAnsi" w:hAnsiTheme="minorHAnsi" w:cstheme="minorHAnsi"/>
              </w:rPr>
              <w:fldChar w:fldCharType="end"/>
            </w:r>
            <w:r w:rsidRPr="00BD6C5F">
              <w:rPr>
                <w:rFonts w:asciiTheme="minorHAnsi" w:hAnsiTheme="minorHAnsi" w:cstheme="minorHAnsi"/>
              </w:rPr>
              <w:t xml:space="preserve"> of </w:t>
            </w:r>
            <w:r w:rsidR="00A93D47">
              <w:rPr>
                <w:rFonts w:asciiTheme="minorHAnsi" w:hAnsiTheme="minorHAnsi" w:cstheme="minorHAnsi"/>
              </w:rPr>
              <w:t>Part </w:t>
            </w:r>
            <w:r w:rsidR="00A93D47">
              <w:rPr>
                <w:rFonts w:asciiTheme="minorHAnsi" w:hAnsiTheme="minorHAnsi" w:cstheme="minorHAnsi"/>
              </w:rPr>
              <w:fldChar w:fldCharType="begin"/>
            </w:r>
            <w:r w:rsidR="00A93D47">
              <w:rPr>
                <w:rFonts w:asciiTheme="minorHAnsi" w:hAnsiTheme="minorHAnsi" w:cstheme="minorHAnsi"/>
              </w:rPr>
              <w:instrText xml:space="preserve"> REF Schedule_19_Part_A \h </w:instrText>
            </w:r>
            <w:r w:rsidR="00A93D47">
              <w:rPr>
                <w:rFonts w:asciiTheme="minorHAnsi" w:hAnsiTheme="minorHAnsi" w:cstheme="minorHAnsi"/>
              </w:rPr>
            </w:r>
            <w:r w:rsidR="00A93D47">
              <w:rPr>
                <w:rFonts w:asciiTheme="minorHAnsi" w:hAnsiTheme="minorHAnsi" w:cstheme="minorHAnsi"/>
              </w:rPr>
              <w:fldChar w:fldCharType="separate"/>
            </w:r>
            <w:r w:rsidR="009749A0" w:rsidRPr="00BD6C5F">
              <w:t>A</w:t>
            </w:r>
            <w:r w:rsidR="00A93D47">
              <w:rPr>
                <w:rFonts w:asciiTheme="minorHAnsi" w:hAnsiTheme="minorHAnsi" w:cstheme="minorHAnsi"/>
              </w:rPr>
              <w:fldChar w:fldCharType="end"/>
            </w:r>
            <w:r w:rsidRPr="00BD6C5F">
              <w:rPr>
                <w:rFonts w:asciiTheme="minorHAnsi" w:hAnsiTheme="minorHAnsi" w:cstheme="minorHAnsi"/>
              </w:rPr>
              <w:t xml:space="preserve"> to this Schedule;</w:t>
            </w:r>
          </w:p>
        </w:tc>
      </w:tr>
      <w:tr w:rsidR="00BC7DDA" w:rsidRPr="00BD6C5F" w14:paraId="37DB1282" w14:textId="77777777" w:rsidTr="00771E5A">
        <w:tc>
          <w:tcPr>
            <w:tcW w:w="3572" w:type="dxa"/>
          </w:tcPr>
          <w:p w14:paraId="56D7F16C" w14:textId="7774D5CB" w:rsidR="00BC7DDA" w:rsidRPr="00BD6C5F" w:rsidRDefault="00A4555C" w:rsidP="00E13C2D">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Open Book Data</w:t>
            </w:r>
            <w:r w:rsidRPr="00BD6C5F">
              <w:rPr>
                <w:rFonts w:asciiTheme="minorHAnsi" w:hAnsiTheme="minorHAnsi" w:cstheme="minorHAnsi"/>
                <w:b/>
              </w:rPr>
              <w:t>”</w:t>
            </w:r>
          </w:p>
        </w:tc>
        <w:tc>
          <w:tcPr>
            <w:tcW w:w="5953" w:type="dxa"/>
          </w:tcPr>
          <w:p w14:paraId="35558F7B" w14:textId="77777777" w:rsidR="00BC7DDA" w:rsidRPr="00BD6C5F" w:rsidRDefault="009B03E9" w:rsidP="00E13C2D">
            <w:pPr>
              <w:pStyle w:val="Tabletext"/>
              <w:rPr>
                <w:rFonts w:asciiTheme="minorHAnsi" w:hAnsiTheme="minorHAnsi" w:cstheme="minorHAnsi"/>
              </w:rPr>
            </w:pPr>
            <w:r w:rsidRPr="00BD6C5F">
              <w:rPr>
                <w:rFonts w:asciiTheme="minorHAnsi" w:hAnsiTheme="minorHAnsi" w:cstheme="minorHAnsi"/>
              </w:rPr>
              <w:t>complete and accurate financial and non-financial information which is sufficient to enable the Authority to verify the Charges already paid or payable and Charges forecast to be paid during the remainder of the Term, including details and all assumptions relating to:</w:t>
            </w:r>
          </w:p>
          <w:p w14:paraId="2E6E33F5" w14:textId="502809D2" w:rsidR="00BC7DDA" w:rsidRPr="00BD6C5F" w:rsidRDefault="009B03E9" w:rsidP="00771E5A">
            <w:pPr>
              <w:pStyle w:val="Tablea"/>
            </w:pPr>
            <w:r w:rsidRPr="00BD6C5F">
              <w:t>the Supplier</w:t>
            </w:r>
            <w:r w:rsidR="00A4555C" w:rsidRPr="00BD6C5F">
              <w:t>’</w:t>
            </w:r>
            <w:r w:rsidRPr="00BD6C5F">
              <w:t>s Costs broken down against each Service and/or Deliverable, including actual capital expenditure (including capital replacement costs) and the unit cost and total actual costs of all hardware and software;</w:t>
            </w:r>
          </w:p>
          <w:p w14:paraId="54CC026A" w14:textId="77777777" w:rsidR="00BC7DDA" w:rsidRPr="00BD6C5F" w:rsidRDefault="009B03E9" w:rsidP="003A5D4B">
            <w:pPr>
              <w:pStyle w:val="Tablea"/>
            </w:pPr>
            <w:r w:rsidRPr="00BD6C5F">
              <w:t>operating expenditure relating to the provision of the Services including an analysis showing:</w:t>
            </w:r>
          </w:p>
          <w:p w14:paraId="31857021" w14:textId="77777777" w:rsidR="00BC7DDA" w:rsidRPr="00BD6C5F" w:rsidRDefault="009B03E9" w:rsidP="000D48A0">
            <w:pPr>
              <w:pStyle w:val="Tableai"/>
            </w:pPr>
            <w:r w:rsidRPr="00BD6C5F">
              <w:t>the unit costs and quantity of consumables and bought-in services;</w:t>
            </w:r>
          </w:p>
          <w:p w14:paraId="672B70BC" w14:textId="77777777" w:rsidR="00BC7DDA" w:rsidRPr="00BD6C5F" w:rsidRDefault="009B03E9" w:rsidP="000D48A0">
            <w:pPr>
              <w:pStyle w:val="Tableai"/>
            </w:pPr>
            <w:r w:rsidRPr="00BD6C5F">
              <w:t>manpower resources broken down into the number and grade/role of all</w:t>
            </w:r>
          </w:p>
          <w:p w14:paraId="2152B2AD" w14:textId="77777777" w:rsidR="00056065" w:rsidRPr="00BD6C5F" w:rsidRDefault="009B03E9" w:rsidP="000D48A0">
            <w:pPr>
              <w:pStyle w:val="Tableai"/>
            </w:pPr>
            <w:r w:rsidRPr="00BD6C5F">
              <w:t>Supplier Personnel (free of any contingency) together with a list of</w:t>
            </w:r>
            <w:r w:rsidR="00056065" w:rsidRPr="00BD6C5F">
              <w:t xml:space="preserve"> agreed rates against each manpower grade;</w:t>
            </w:r>
          </w:p>
          <w:p w14:paraId="7C9D47FF" w14:textId="45F26190" w:rsidR="00056065" w:rsidRPr="00BD6C5F" w:rsidRDefault="00056065" w:rsidP="000D48A0">
            <w:pPr>
              <w:pStyle w:val="Tableai"/>
            </w:pPr>
            <w:r w:rsidRPr="00BD6C5F">
              <w:t>a list of Costs underpinning those rates for each manpower grade, being the agreed rate less the Supplier</w:t>
            </w:r>
            <w:r w:rsidR="00A4555C" w:rsidRPr="00BD6C5F">
              <w:t>’</w:t>
            </w:r>
            <w:r w:rsidRPr="00BD6C5F">
              <w:t>s Profit Margin; and</w:t>
            </w:r>
          </w:p>
          <w:p w14:paraId="38E007D6" w14:textId="77777777" w:rsidR="00056065" w:rsidRPr="00BD6C5F" w:rsidRDefault="00056065" w:rsidP="000D48A0">
            <w:pPr>
              <w:pStyle w:val="Tableai"/>
            </w:pPr>
            <w:r w:rsidRPr="00BD6C5F">
              <w:t>Reimbursable Expenses;</w:t>
            </w:r>
          </w:p>
          <w:p w14:paraId="05995C83" w14:textId="77777777" w:rsidR="00056065" w:rsidRPr="00BD6C5F" w:rsidRDefault="00056065" w:rsidP="003A5D4B">
            <w:pPr>
              <w:pStyle w:val="Tablea"/>
            </w:pPr>
            <w:r w:rsidRPr="00BD6C5F">
              <w:t>Overheads;</w:t>
            </w:r>
          </w:p>
          <w:p w14:paraId="677EB0CE" w14:textId="77777777" w:rsidR="00056065" w:rsidRPr="00BD6C5F" w:rsidRDefault="00056065" w:rsidP="003A5D4B">
            <w:pPr>
              <w:pStyle w:val="Tablea"/>
            </w:pPr>
            <w:r w:rsidRPr="00BD6C5F">
              <w:lastRenderedPageBreak/>
              <w:t>all interest, expenses and any other third party financing costs incurred in relation to the provision of the Services;</w:t>
            </w:r>
          </w:p>
          <w:p w14:paraId="0251B6EA" w14:textId="77777777" w:rsidR="00056065" w:rsidRPr="00BD6C5F" w:rsidRDefault="00056065" w:rsidP="003A5D4B">
            <w:pPr>
              <w:pStyle w:val="Tablea"/>
            </w:pPr>
            <w:r w:rsidRPr="00BD6C5F">
              <w:t>the Supplier Profit achieved over the Term and on an annual basis;</w:t>
            </w:r>
          </w:p>
          <w:p w14:paraId="13E2EDF3" w14:textId="77777777" w:rsidR="00056065" w:rsidRPr="00BD6C5F" w:rsidRDefault="00056065" w:rsidP="003A5D4B">
            <w:pPr>
              <w:pStyle w:val="Tablea"/>
            </w:pPr>
            <w:r w:rsidRPr="00BD6C5F">
              <w:t>confirmation that all methods of Cost apportionment and Overhead allocation are consistent with and not more onerous than such methods applied generally by the Supplier;</w:t>
            </w:r>
          </w:p>
          <w:p w14:paraId="03CF4CF0" w14:textId="77777777" w:rsidR="00056065" w:rsidRPr="00BD6C5F" w:rsidRDefault="00056065" w:rsidP="003A5D4B">
            <w:pPr>
              <w:pStyle w:val="Tablea"/>
            </w:pPr>
            <w:r w:rsidRPr="00BD6C5F">
              <w:t>an explanation of the type and value of risk and contingencies associated with the provision of the Services, including the amount of money attributed to each risk and/or contingency; and</w:t>
            </w:r>
          </w:p>
          <w:p w14:paraId="0890D8D5" w14:textId="42C74C82" w:rsidR="00BC7DDA" w:rsidRPr="00BD6C5F" w:rsidRDefault="00056065" w:rsidP="003A5D4B">
            <w:pPr>
              <w:pStyle w:val="Tablea"/>
            </w:pPr>
            <w:r w:rsidRPr="00BD6C5F">
              <w:t>the actual Costs profile for each Service Period.</w:t>
            </w:r>
          </w:p>
        </w:tc>
      </w:tr>
    </w:tbl>
    <w:p w14:paraId="59743804" w14:textId="5A95D40F" w:rsidR="00F751C6" w:rsidRPr="00BD6C5F" w:rsidRDefault="00F751C6" w:rsidP="00E13C2D"/>
    <w:p w14:paraId="025DCB11" w14:textId="6E747DA7" w:rsidR="00BC7DDA" w:rsidRPr="00BD6C5F" w:rsidRDefault="000D48A0" w:rsidP="00E13C2D">
      <w:pPr>
        <w:pStyle w:val="Heading2"/>
        <w:pageBreakBefore/>
      </w:pPr>
      <w:bookmarkStart w:id="942" w:name="_bookmark322"/>
      <w:bookmarkStart w:id="943" w:name="_Toc98332757"/>
      <w:bookmarkStart w:id="944" w:name="_Ref98415402"/>
      <w:bookmarkStart w:id="945" w:name="_Toc98852934"/>
      <w:bookmarkStart w:id="946" w:name="_Toc141721026"/>
      <w:bookmarkEnd w:id="942"/>
      <w:r w:rsidRPr="00BD6C5F">
        <w:lastRenderedPageBreak/>
        <w:t xml:space="preserve">Part </w:t>
      </w:r>
      <w:bookmarkStart w:id="947" w:name="Schedule_19_Part_A"/>
      <w:r w:rsidRPr="00BD6C5F">
        <w:t>A</w:t>
      </w:r>
      <w:bookmarkEnd w:id="947"/>
      <w:r w:rsidRPr="00BD6C5F">
        <w:t>: Financial Transparency Objectives and Open Book Data</w:t>
      </w:r>
      <w:bookmarkEnd w:id="943"/>
      <w:bookmarkEnd w:id="944"/>
      <w:bookmarkEnd w:id="945"/>
      <w:bookmarkEnd w:id="946"/>
    </w:p>
    <w:p w14:paraId="63440D09" w14:textId="7B9EF2B2" w:rsidR="00BC7DDA" w:rsidRPr="00BD6C5F" w:rsidRDefault="000D48A0" w:rsidP="00B71FC0">
      <w:pPr>
        <w:pStyle w:val="Numbered1"/>
        <w:numPr>
          <w:ilvl w:val="0"/>
          <w:numId w:val="103"/>
        </w:numPr>
      </w:pPr>
      <w:bookmarkStart w:id="948" w:name="_bookmark323"/>
      <w:bookmarkStart w:id="949" w:name="_Ref98415395"/>
      <w:bookmarkEnd w:id="948"/>
      <w:r w:rsidRPr="00BD6C5F">
        <w:t>Financial Transparency Objectives</w:t>
      </w:r>
      <w:bookmarkEnd w:id="949"/>
    </w:p>
    <w:p w14:paraId="44B50583" w14:textId="77777777" w:rsidR="00BC7DDA" w:rsidRPr="00BD6C5F" w:rsidRDefault="009B03E9" w:rsidP="00C70900">
      <w:pPr>
        <w:pStyle w:val="Numbered11"/>
        <w:keepNext/>
      </w:pPr>
      <w:r w:rsidRPr="00BD6C5F">
        <w:t>The Supplier acknowledges that the provisions of this Schedule are designed (inter alia) to facilitate, and the Supplier shall co-operate with the Authority in order to achieve, the following objectives:</w:t>
      </w:r>
    </w:p>
    <w:p w14:paraId="6FA14B01" w14:textId="77777777" w:rsidR="00BC7DDA" w:rsidRPr="00BD6C5F" w:rsidRDefault="009B03E9" w:rsidP="00C70900">
      <w:pPr>
        <w:pStyle w:val="Numbered111"/>
        <w:keepNext/>
      </w:pPr>
      <w:r w:rsidRPr="00BD6C5F">
        <w:t>Understanding the Charges</w:t>
      </w:r>
    </w:p>
    <w:p w14:paraId="19C74C18" w14:textId="77777777" w:rsidR="00BC7DDA" w:rsidRPr="00BD6C5F" w:rsidRDefault="009B03E9" w:rsidP="00B750B0">
      <w:pPr>
        <w:pStyle w:val="Numbered111a"/>
      </w:pPr>
      <w:r w:rsidRPr="00BD6C5F">
        <w:t>for the Authority to understand any payment sought from it by the Supplier including an analysis of the Costs, Overhead recoveries (where relevant), time spent by Supplier Personnel in providing the Services and the Supplier Profit Margin;</w:t>
      </w:r>
    </w:p>
    <w:p w14:paraId="0DBEE966" w14:textId="77777777" w:rsidR="00BC7DDA" w:rsidRPr="00BD6C5F" w:rsidRDefault="009B03E9" w:rsidP="000D48A0">
      <w:pPr>
        <w:pStyle w:val="Numbered111a"/>
        <w:rPr>
          <w:lang w:val="en-GB"/>
        </w:rPr>
      </w:pPr>
      <w:r w:rsidRPr="00BD6C5F">
        <w:rPr>
          <w:lang w:val="en-GB"/>
        </w:rPr>
        <w:t>for both Parties to be able to understand the Financial Model and Cost forecasts and to have confidence that these are based on justifiable numbers and appropriate forecasting techniques;</w:t>
      </w:r>
    </w:p>
    <w:p w14:paraId="700C95C4" w14:textId="6C3B7E6C" w:rsidR="00BC7DDA" w:rsidRPr="00BD6C5F" w:rsidRDefault="009B03E9" w:rsidP="000D48A0">
      <w:pPr>
        <w:pStyle w:val="Numbered111a"/>
        <w:rPr>
          <w:lang w:val="en-GB"/>
        </w:rPr>
      </w:pPr>
      <w:r w:rsidRPr="00BD6C5F">
        <w:rPr>
          <w:lang w:val="en-GB"/>
        </w:rPr>
        <w:t xml:space="preserve">to facilitate the use of Guaranteed Maximum Price with Target Cost pricing mechanisms (where relevant as referred to in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Schedule_15 \h </w:instrText>
      </w:r>
      <w:r w:rsidR="00346653">
        <w:rPr>
          <w:rFonts w:asciiTheme="minorHAnsi" w:hAnsiTheme="minorHAnsi" w:cstheme="minorHAnsi"/>
        </w:rPr>
      </w:r>
      <w:r w:rsidR="00346653">
        <w:rPr>
          <w:rFonts w:asciiTheme="minorHAnsi" w:hAnsiTheme="minorHAnsi" w:cstheme="minorHAnsi"/>
        </w:rPr>
        <w:fldChar w:fldCharType="separate"/>
      </w:r>
      <w:r w:rsidR="009749A0">
        <w:t>15</w:t>
      </w:r>
      <w:r w:rsidR="00346653">
        <w:rPr>
          <w:rFonts w:asciiTheme="minorHAnsi" w:hAnsiTheme="minorHAnsi" w:cstheme="minorHAnsi"/>
        </w:rPr>
        <w:fldChar w:fldCharType="end"/>
      </w:r>
      <w:r w:rsidRPr="00BD6C5F">
        <w:rPr>
          <w:lang w:val="en-GB"/>
        </w:rPr>
        <w:t xml:space="preserve"> (</w:t>
      </w:r>
      <w:r w:rsidRPr="00BD6C5F">
        <w:rPr>
          <w:i/>
          <w:lang w:val="en-GB"/>
        </w:rPr>
        <w:t>Charges and Invoicing</w:t>
      </w:r>
      <w:r w:rsidRPr="00BD6C5F">
        <w:rPr>
          <w:lang w:val="en-GB"/>
        </w:rPr>
        <w:t>));</w:t>
      </w:r>
    </w:p>
    <w:p w14:paraId="2DDA6462" w14:textId="77777777" w:rsidR="00BC7DDA" w:rsidRPr="00BD6C5F" w:rsidRDefault="009B03E9" w:rsidP="00C70900">
      <w:pPr>
        <w:pStyle w:val="Numbered111"/>
        <w:keepNext/>
      </w:pPr>
      <w:r w:rsidRPr="00BD6C5F">
        <w:t>Agreeing the impact of Change</w:t>
      </w:r>
    </w:p>
    <w:p w14:paraId="2E49D7E6" w14:textId="4DC874DE" w:rsidR="00BC7DDA" w:rsidRPr="00BD6C5F" w:rsidRDefault="009B03E9" w:rsidP="00B750B0">
      <w:pPr>
        <w:pStyle w:val="Numbered111a"/>
      </w:pPr>
      <w:r w:rsidRPr="00BD6C5F">
        <w:t>for both Parties to agree the quantitative impact of any Changes that affect ongoing costs and to identify how these could be mitigated and/or reflected in the Supplier</w:t>
      </w:r>
      <w:r w:rsidR="00A4555C" w:rsidRPr="00BD6C5F">
        <w:t>’</w:t>
      </w:r>
      <w:r w:rsidRPr="00BD6C5F">
        <w:t>s Charges;</w:t>
      </w:r>
    </w:p>
    <w:p w14:paraId="61EC534A" w14:textId="77777777" w:rsidR="00BC7DDA" w:rsidRPr="00BD6C5F" w:rsidRDefault="009B03E9" w:rsidP="000D48A0">
      <w:pPr>
        <w:pStyle w:val="Numbered111a"/>
        <w:rPr>
          <w:lang w:val="en-GB"/>
        </w:rPr>
      </w:pPr>
      <w:r w:rsidRPr="00BD6C5F">
        <w:rPr>
          <w:lang w:val="en-GB"/>
        </w:rPr>
        <w:t>for both Parties to be able to review, address issues with and re-forecast progress in relation to the provision of the Services;</w:t>
      </w:r>
    </w:p>
    <w:p w14:paraId="42443BB0" w14:textId="77777777" w:rsidR="00BC7DDA" w:rsidRPr="00BD6C5F" w:rsidRDefault="009B03E9" w:rsidP="00C70900">
      <w:pPr>
        <w:pStyle w:val="Numbered111"/>
        <w:keepNext/>
      </w:pPr>
      <w:r w:rsidRPr="00BD6C5F">
        <w:t>Continuous improvement</w:t>
      </w:r>
    </w:p>
    <w:p w14:paraId="4EB2A7CD" w14:textId="77777777" w:rsidR="00BC7DDA" w:rsidRPr="00BD6C5F" w:rsidRDefault="009B03E9" w:rsidP="00B750B0">
      <w:pPr>
        <w:pStyle w:val="Numbered111a"/>
      </w:pPr>
      <w:r w:rsidRPr="00BD6C5F">
        <w:t>for the Parties to challenge each other with ideas for efficiency and improvements; and</w:t>
      </w:r>
    </w:p>
    <w:p w14:paraId="36DC4DA6" w14:textId="77777777" w:rsidR="00BC7DDA" w:rsidRPr="00BD6C5F" w:rsidRDefault="009B03E9" w:rsidP="000D48A0">
      <w:pPr>
        <w:pStyle w:val="Numbered111a"/>
        <w:rPr>
          <w:lang w:val="en-GB"/>
        </w:rPr>
      </w:pPr>
      <w:r w:rsidRPr="00BD6C5F">
        <w:rPr>
          <w:lang w:val="en-GB"/>
        </w:rPr>
        <w:t>to enable the Authority to demonstrate that it is achieving value for money for the tax payer relative to current market prices,</w:t>
      </w:r>
    </w:p>
    <w:p w14:paraId="3C9B9B8B" w14:textId="6AC13898" w:rsidR="00BC7DDA" w:rsidRPr="00BD6C5F" w:rsidRDefault="009B03E9" w:rsidP="00E13C2D">
      <w:pPr>
        <w:spacing w:before="100" w:after="200"/>
        <w:ind w:left="720"/>
        <w:rPr>
          <w:rFonts w:asciiTheme="minorHAnsi" w:hAnsiTheme="minorHAnsi" w:cstheme="minorHAnsi"/>
          <w:szCs w:val="24"/>
        </w:rPr>
      </w:pPr>
      <w:r w:rsidRPr="00BD6C5F">
        <w:rPr>
          <w:rFonts w:asciiTheme="minorHAnsi" w:hAnsiTheme="minorHAnsi" w:cstheme="minorHAnsi"/>
          <w:szCs w:val="24"/>
        </w:rPr>
        <w:t xml:space="preserve">(together the </w:t>
      </w:r>
      <w:r w:rsidR="00A4555C" w:rsidRPr="00BD6C5F">
        <w:rPr>
          <w:rFonts w:asciiTheme="minorHAnsi" w:hAnsiTheme="minorHAnsi" w:cstheme="minorHAnsi"/>
          <w:szCs w:val="24"/>
        </w:rPr>
        <w:t>“</w:t>
      </w:r>
      <w:r w:rsidRPr="00BD6C5F">
        <w:rPr>
          <w:rFonts w:asciiTheme="minorHAnsi" w:hAnsiTheme="minorHAnsi" w:cstheme="minorHAnsi"/>
          <w:b/>
          <w:szCs w:val="24"/>
        </w:rPr>
        <w:t>Financial Transparency Objectives</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38AAECDA" w14:textId="32E932DA" w:rsidR="00BC7DDA" w:rsidRPr="00BD6C5F" w:rsidRDefault="000D48A0" w:rsidP="000D48A0">
      <w:pPr>
        <w:pStyle w:val="Numbered1"/>
      </w:pPr>
      <w:r w:rsidRPr="00BD6C5F">
        <w:t>Open Book Data</w:t>
      </w:r>
    </w:p>
    <w:p w14:paraId="104D3A5E" w14:textId="6F3EC85F" w:rsidR="00BC7DDA" w:rsidRPr="00BD6C5F" w:rsidRDefault="009B03E9" w:rsidP="00C5057A">
      <w:pPr>
        <w:pStyle w:val="Numbered11"/>
      </w:pPr>
      <w:r w:rsidRPr="00BD6C5F">
        <w:t>The Supplier acknowledges the importance to the Authority of the Financial Transparency Objectives and the Authority</w:t>
      </w:r>
      <w:r w:rsidR="00A4555C" w:rsidRPr="00BD6C5F">
        <w:t>’</w:t>
      </w:r>
      <w:r w:rsidRPr="00BD6C5F">
        <w:t>s need for complete transparency in the way in which the Charges are calculated.</w:t>
      </w:r>
    </w:p>
    <w:p w14:paraId="7DC4F373" w14:textId="77777777" w:rsidR="00BC7DDA" w:rsidRPr="00BD6C5F" w:rsidRDefault="009B03E9" w:rsidP="00C70900">
      <w:pPr>
        <w:pStyle w:val="Numbered11"/>
        <w:keepNext/>
      </w:pPr>
      <w:r w:rsidRPr="00BD6C5F">
        <w:t>During the Term, and for a period of 7 years following the end of the Term, the Supplier shall:</w:t>
      </w:r>
    </w:p>
    <w:p w14:paraId="6361A6BA" w14:textId="3775C390" w:rsidR="00BC7DDA" w:rsidRPr="00BD6C5F" w:rsidRDefault="009B03E9" w:rsidP="000D48A0">
      <w:pPr>
        <w:pStyle w:val="Numbered111"/>
      </w:pPr>
      <w:r w:rsidRPr="00BD6C5F">
        <w:t>maintain and retain the Open Book Data; and</w:t>
      </w:r>
    </w:p>
    <w:p w14:paraId="34462635" w14:textId="77777777" w:rsidR="00BC7DDA" w:rsidRPr="00BD6C5F" w:rsidRDefault="009B03E9" w:rsidP="000D48A0">
      <w:pPr>
        <w:pStyle w:val="Numbered111"/>
      </w:pPr>
      <w:r w:rsidRPr="00BD6C5F">
        <w:t>disclose and allow the Authority and/or the Audit Agents access to the Open Book Data.</w:t>
      </w:r>
    </w:p>
    <w:p w14:paraId="023483AB" w14:textId="3C96A2F2" w:rsidR="00BC7DDA" w:rsidRPr="00BD6C5F" w:rsidRDefault="000D48A0" w:rsidP="000D48A0">
      <w:pPr>
        <w:pStyle w:val="Numbered1"/>
      </w:pPr>
      <w:bookmarkStart w:id="950" w:name="_bookmark324"/>
      <w:bookmarkStart w:id="951" w:name="_Ref98415432"/>
      <w:bookmarkEnd w:id="950"/>
      <w:r w:rsidRPr="00BD6C5F">
        <w:lastRenderedPageBreak/>
        <w:t>Onerous Contracts</w:t>
      </w:r>
      <w:bookmarkEnd w:id="951"/>
    </w:p>
    <w:p w14:paraId="33ABE461" w14:textId="37D6B893" w:rsidR="00BC7DDA" w:rsidRPr="00BD6C5F" w:rsidRDefault="009B03E9" w:rsidP="00C5057A">
      <w:pPr>
        <w:pStyle w:val="Numbered11"/>
      </w:pPr>
      <w:r w:rsidRPr="00BD6C5F">
        <w:t xml:space="preserve">If the Supplier publicly designates the </w:t>
      </w:r>
      <w:r w:rsidR="00B249B0" w:rsidRPr="00BD6C5F">
        <w:t xml:space="preserve">Contract </w:t>
      </w:r>
      <w:r w:rsidRPr="00BD6C5F">
        <w:t xml:space="preserve">as an Onerous Contract (including where the Supplier has identified the </w:t>
      </w:r>
      <w:r w:rsidR="00B249B0" w:rsidRPr="00BD6C5F">
        <w:t xml:space="preserve">Contract </w:t>
      </w:r>
      <w:r w:rsidRPr="00BD6C5F">
        <w:t>as such in any published accounts or public reports and announcements), the Supplier shall promptly notify the Authority of the designation and shall prepare and deliver to the Authority within the timescales agreed by the Parties (an in any event, no later than 2 months following the publication of the designation) a draft Onerous Contract Report which includes the following:</w:t>
      </w:r>
    </w:p>
    <w:p w14:paraId="64652BFD" w14:textId="4373BE7D" w:rsidR="00BC7DDA" w:rsidRPr="00BD6C5F" w:rsidRDefault="009B03E9" w:rsidP="000D48A0">
      <w:pPr>
        <w:pStyle w:val="Numbered111"/>
      </w:pPr>
      <w:r w:rsidRPr="00BD6C5F">
        <w:t xml:space="preserve">An initial root cause analysis of the issues and circumstances which may have contributed to the </w:t>
      </w:r>
      <w:r w:rsidR="008F728E" w:rsidRPr="00BD6C5F">
        <w:t xml:space="preserve">Contract </w:t>
      </w:r>
      <w:r w:rsidRPr="00BD6C5F">
        <w:t>being designated as an Onerous Contract;</w:t>
      </w:r>
    </w:p>
    <w:p w14:paraId="18557615" w14:textId="69440E16" w:rsidR="00BC7DDA" w:rsidRPr="00BD6C5F" w:rsidRDefault="009B03E9" w:rsidP="000D48A0">
      <w:pPr>
        <w:pStyle w:val="Numbered111"/>
      </w:pPr>
      <w:r w:rsidRPr="00BD6C5F">
        <w:t>An initial risk analysis and impact assessment on the provision of the Services as a result of the Supplier</w:t>
      </w:r>
      <w:r w:rsidR="00A4555C" w:rsidRPr="00BD6C5F">
        <w:t>’</w:t>
      </w:r>
      <w:r w:rsidRPr="00BD6C5F">
        <w:t xml:space="preserve">s designation of the </w:t>
      </w:r>
      <w:r w:rsidR="001644B1" w:rsidRPr="00BD6C5F">
        <w:t xml:space="preserve">Contract </w:t>
      </w:r>
      <w:r w:rsidRPr="00BD6C5F">
        <w:t>as an Onerous Contract;</w:t>
      </w:r>
    </w:p>
    <w:p w14:paraId="219FD00F" w14:textId="77777777" w:rsidR="00BC7DDA" w:rsidRPr="00BD6C5F" w:rsidRDefault="009B03E9" w:rsidP="000D48A0">
      <w:pPr>
        <w:pStyle w:val="Numbered111"/>
      </w:pPr>
      <w:r w:rsidRPr="00BD6C5F">
        <w:t>the measures which the Supplier intends to put in place to minimise and mitigate any adverse impact on the provision on the Services;</w:t>
      </w:r>
    </w:p>
    <w:p w14:paraId="0AFD8D6B" w14:textId="4DF6B8E6" w:rsidR="00BC7DDA" w:rsidRPr="00BD6C5F" w:rsidRDefault="009B03E9" w:rsidP="000D48A0">
      <w:pPr>
        <w:pStyle w:val="Numbered111"/>
      </w:pPr>
      <w:r w:rsidRPr="00BD6C5F">
        <w:t xml:space="preserve">details of any other options which could be put in place to remove the designation of the </w:t>
      </w:r>
      <w:r w:rsidR="001644B1" w:rsidRPr="00BD6C5F">
        <w:t xml:space="preserve">Contract </w:t>
      </w:r>
      <w:r w:rsidRPr="00BD6C5F">
        <w:t>as an Onerous Contract and/or which could minimise and mitigate any adverse impact on the provision of the Services.</w:t>
      </w:r>
    </w:p>
    <w:p w14:paraId="3C26FDAA" w14:textId="30831B8E" w:rsidR="00BC7DDA" w:rsidRPr="00BD6C5F" w:rsidRDefault="009B03E9" w:rsidP="00C5057A">
      <w:pPr>
        <w:pStyle w:val="Numbered11"/>
      </w:pPr>
      <w:r w:rsidRPr="00BD6C5F">
        <w:t>Following receipt of the Onerous Contract Report, the Authority shall review and comment on the report as soon as reasonably practicable and the Parties shall cooperate in good faith to agree the final form of the report, which shall be submitted to the Programme Board, such final form report to be agreed no later than 1 month following the Authority</w:t>
      </w:r>
      <w:r w:rsidR="00A4555C" w:rsidRPr="00BD6C5F">
        <w:t>’</w:t>
      </w:r>
      <w:r w:rsidRPr="00BD6C5F">
        <w:t>s receipt of the draft Onerous Contract Report.</w:t>
      </w:r>
    </w:p>
    <w:p w14:paraId="3EDE3AA6" w14:textId="0C992AAC" w:rsidR="00BC7DDA" w:rsidRPr="00BD6C5F" w:rsidRDefault="009B03E9" w:rsidP="00C5057A">
      <w:pPr>
        <w:pStyle w:val="Numbered11"/>
      </w:pPr>
      <w:r w:rsidRPr="00BD6C5F">
        <w:t>The Programme Board shall meet within 14 Working Days of the final Onerous Contract Report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w:t>
      </w:r>
      <w:r w:rsidR="00A4555C" w:rsidRPr="00BD6C5F">
        <w:t>’</w:t>
      </w:r>
      <w:r w:rsidRPr="00BD6C5F">
        <w:t>s senior responsible officers (or equivalent) for each Party).</w:t>
      </w:r>
    </w:p>
    <w:p w14:paraId="6E7CCE9D" w14:textId="7CFB1750" w:rsidR="007F3BCB" w:rsidRPr="00BD6C5F" w:rsidRDefault="009B03E9" w:rsidP="00C5057A">
      <w:pPr>
        <w:pStyle w:val="Numbered11"/>
      </w:pPr>
      <w:r w:rsidRPr="00BD6C5F">
        <w:t>The Supplier acknowledges and agrees that the report is submitted to the Authority and Programme Board on an information only basis and the Authority and Programme Board</w:t>
      </w:r>
      <w:r w:rsidR="00A4555C" w:rsidRPr="00BD6C5F">
        <w:t>’</w:t>
      </w:r>
      <w:r w:rsidRPr="00BD6C5F">
        <w:t xml:space="preserve">s receipt of and comments in relation to the report shall not be deemed to be an acceptance or rejection of the report nor shall it relieve the Supplier of any liability under this </w:t>
      </w:r>
      <w:r w:rsidR="001644B1" w:rsidRPr="00BD6C5F">
        <w:t>Contract</w:t>
      </w:r>
      <w:r w:rsidRPr="00BD6C5F">
        <w:t>. Any Changes to be agreed by the Parties pursuant to the report shall be subject to the Change Control Procedure.</w:t>
      </w:r>
    </w:p>
    <w:p w14:paraId="7D98CD73" w14:textId="77777777" w:rsidR="00E13C2D" w:rsidRPr="00BD6C5F" w:rsidRDefault="00E13C2D" w:rsidP="00E13C2D"/>
    <w:p w14:paraId="7DFAD27F" w14:textId="29640822" w:rsidR="007F3BCB" w:rsidRPr="00BD6C5F" w:rsidRDefault="007F3BCB" w:rsidP="00E13C2D">
      <w:r w:rsidRPr="00BD6C5F">
        <w:br w:type="page"/>
      </w:r>
    </w:p>
    <w:p w14:paraId="7836CD63" w14:textId="6681538E" w:rsidR="00BC7DDA" w:rsidRPr="00BD6C5F" w:rsidRDefault="000D48A0" w:rsidP="00E13C2D">
      <w:pPr>
        <w:pStyle w:val="Heading2"/>
      </w:pPr>
      <w:bookmarkStart w:id="952" w:name="_bookmark325"/>
      <w:bookmarkStart w:id="953" w:name="_Toc98332758"/>
      <w:bookmarkStart w:id="954" w:name="_Ref98412833"/>
      <w:bookmarkStart w:id="955" w:name="_Ref98415312"/>
      <w:bookmarkStart w:id="956" w:name="_Toc98852935"/>
      <w:bookmarkStart w:id="957" w:name="_Toc141721027"/>
      <w:bookmarkEnd w:id="952"/>
      <w:r w:rsidRPr="00BD6C5F">
        <w:lastRenderedPageBreak/>
        <w:t xml:space="preserve">Part </w:t>
      </w:r>
      <w:bookmarkStart w:id="958" w:name="Schedule_19_Part_B"/>
      <w:r w:rsidRPr="00BD6C5F">
        <w:t>B</w:t>
      </w:r>
      <w:bookmarkEnd w:id="958"/>
      <w:r w:rsidRPr="00BD6C5F">
        <w:t>: Financial Reports</w:t>
      </w:r>
      <w:bookmarkEnd w:id="953"/>
      <w:bookmarkEnd w:id="954"/>
      <w:bookmarkEnd w:id="955"/>
      <w:bookmarkEnd w:id="956"/>
      <w:bookmarkEnd w:id="957"/>
    </w:p>
    <w:p w14:paraId="697256E2" w14:textId="36DC943D" w:rsidR="00BC7DDA" w:rsidRPr="00BD6C5F" w:rsidRDefault="000D48A0" w:rsidP="00B71FC0">
      <w:pPr>
        <w:pStyle w:val="Numbered1"/>
        <w:numPr>
          <w:ilvl w:val="0"/>
          <w:numId w:val="104"/>
        </w:numPr>
      </w:pPr>
      <w:bookmarkStart w:id="959" w:name="_bookmark326"/>
      <w:bookmarkStart w:id="960" w:name="_Ref98415304"/>
      <w:bookmarkEnd w:id="959"/>
      <w:r w:rsidRPr="00BD6C5F">
        <w:t>Provision of the Financial Reports</w:t>
      </w:r>
      <w:bookmarkEnd w:id="960"/>
    </w:p>
    <w:p w14:paraId="627C091F" w14:textId="77777777" w:rsidR="00BC7DDA" w:rsidRPr="00BD6C5F" w:rsidRDefault="009B03E9" w:rsidP="00C70900">
      <w:pPr>
        <w:pStyle w:val="Numbered11"/>
        <w:keepNext/>
      </w:pPr>
      <w:bookmarkStart w:id="961" w:name="_bookmark327"/>
      <w:bookmarkStart w:id="962" w:name="_Ref98415372"/>
      <w:bookmarkEnd w:id="961"/>
      <w:r w:rsidRPr="00BD6C5F">
        <w:t>The Supplier shall provide</w:t>
      </w:r>
      <w:bookmarkEnd w:id="962"/>
    </w:p>
    <w:p w14:paraId="4B76CF1D" w14:textId="77777777" w:rsidR="00BC7DDA" w:rsidRPr="00BD6C5F" w:rsidRDefault="009B03E9" w:rsidP="000D48A0">
      <w:pPr>
        <w:pStyle w:val="Numbered111"/>
      </w:pPr>
      <w:r w:rsidRPr="00BD6C5F">
        <w:t>the Contract Inception Report on or before the Effective Date; and</w:t>
      </w:r>
    </w:p>
    <w:p w14:paraId="27F4781C" w14:textId="77777777" w:rsidR="00BC7DDA" w:rsidRPr="00BD6C5F" w:rsidRDefault="009B03E9" w:rsidP="00C70900">
      <w:pPr>
        <w:pStyle w:val="Numbered111"/>
        <w:keepNext/>
      </w:pPr>
      <w:r w:rsidRPr="00BD6C5F">
        <w:t>during the Term the following financial reports to the Authority, in the frequency specified below:</w:t>
      </w:r>
    </w:p>
    <w:tbl>
      <w:tblPr>
        <w:tblStyle w:val="MSATable-header"/>
        <w:tblW w:w="9525" w:type="dxa"/>
        <w:tblInd w:w="720" w:type="dxa"/>
        <w:tblLayout w:type="fixed"/>
        <w:tblLook w:val="0620" w:firstRow="1" w:lastRow="0" w:firstColumn="0" w:lastColumn="0" w:noHBand="1" w:noVBand="1"/>
      </w:tblPr>
      <w:tblGrid>
        <w:gridCol w:w="3572"/>
        <w:gridCol w:w="5953"/>
      </w:tblGrid>
      <w:tr w:rsidR="00BC7DDA" w:rsidRPr="00BD6C5F" w14:paraId="68B70452" w14:textId="77777777" w:rsidTr="00D94FCB">
        <w:trPr>
          <w:cnfStyle w:val="100000000000" w:firstRow="1" w:lastRow="0" w:firstColumn="0" w:lastColumn="0" w:oddVBand="0" w:evenVBand="0" w:oddHBand="0" w:evenHBand="0" w:firstRowFirstColumn="0" w:firstRowLastColumn="0" w:lastRowFirstColumn="0" w:lastRowLastColumn="0"/>
          <w:tblHeader/>
        </w:trPr>
        <w:tc>
          <w:tcPr>
            <w:tcW w:w="3572" w:type="dxa"/>
          </w:tcPr>
          <w:p w14:paraId="56F36DEA" w14:textId="77777777" w:rsidR="00BC7DDA" w:rsidRPr="00BD6C5F" w:rsidRDefault="009B03E9" w:rsidP="00D94FCB">
            <w:pPr>
              <w:pStyle w:val="Tabletext"/>
            </w:pPr>
            <w:r w:rsidRPr="00BD6C5F">
              <w:t>Financial Report</w:t>
            </w:r>
          </w:p>
        </w:tc>
        <w:tc>
          <w:tcPr>
            <w:tcW w:w="5953" w:type="dxa"/>
          </w:tcPr>
          <w:p w14:paraId="53CC892A" w14:textId="77777777" w:rsidR="00BC7DDA" w:rsidRPr="00BD6C5F" w:rsidRDefault="009B03E9" w:rsidP="00D94FCB">
            <w:pPr>
              <w:pStyle w:val="Tabletext"/>
            </w:pPr>
            <w:r w:rsidRPr="00BD6C5F">
              <w:t>When to be provided</w:t>
            </w:r>
          </w:p>
        </w:tc>
      </w:tr>
      <w:tr w:rsidR="00BC7DDA" w:rsidRPr="00BD6C5F" w14:paraId="6993FD0E" w14:textId="77777777" w:rsidTr="00D94FCB">
        <w:tc>
          <w:tcPr>
            <w:tcW w:w="3572" w:type="dxa"/>
          </w:tcPr>
          <w:p w14:paraId="502DA57D" w14:textId="77777777" w:rsidR="00BC7DDA" w:rsidRPr="00BD6C5F" w:rsidRDefault="009B03E9" w:rsidP="00D94FCB">
            <w:pPr>
              <w:pStyle w:val="Tabletext"/>
            </w:pPr>
            <w:r w:rsidRPr="00BD6C5F">
              <w:t>Contract Amendment Report</w:t>
            </w:r>
          </w:p>
        </w:tc>
        <w:tc>
          <w:tcPr>
            <w:tcW w:w="5953" w:type="dxa"/>
          </w:tcPr>
          <w:p w14:paraId="0232953D" w14:textId="77777777" w:rsidR="00BC7DDA" w:rsidRPr="00BD6C5F" w:rsidRDefault="009B03E9" w:rsidP="00D94FCB">
            <w:pPr>
              <w:pStyle w:val="Tabletext"/>
            </w:pPr>
            <w:r w:rsidRPr="00BD6C5F">
              <w:t>Within 1 month of a Material Change being agreed between the Supplier and the Authority</w:t>
            </w:r>
          </w:p>
        </w:tc>
      </w:tr>
      <w:tr w:rsidR="00BC7DDA" w:rsidRPr="00BD6C5F" w14:paraId="58B2631E" w14:textId="77777777" w:rsidTr="00D94FCB">
        <w:tc>
          <w:tcPr>
            <w:tcW w:w="3572" w:type="dxa"/>
          </w:tcPr>
          <w:p w14:paraId="6D5FEF42" w14:textId="77777777" w:rsidR="00BC7DDA" w:rsidRPr="00BD6C5F" w:rsidRDefault="009B03E9" w:rsidP="00D94FCB">
            <w:pPr>
              <w:pStyle w:val="Tabletext"/>
            </w:pPr>
            <w:r w:rsidRPr="00BD6C5F">
              <w:t>Quarterly Contract Report</w:t>
            </w:r>
          </w:p>
        </w:tc>
        <w:tc>
          <w:tcPr>
            <w:tcW w:w="5953" w:type="dxa"/>
          </w:tcPr>
          <w:p w14:paraId="146A9A69" w14:textId="77777777" w:rsidR="00BC7DDA" w:rsidRPr="00BD6C5F" w:rsidRDefault="009B03E9" w:rsidP="00D94FCB">
            <w:pPr>
              <w:pStyle w:val="Tabletext"/>
            </w:pPr>
            <w:r w:rsidRPr="00BD6C5F">
              <w:t>Within 1 month of the end of each Quarter</w:t>
            </w:r>
          </w:p>
        </w:tc>
      </w:tr>
      <w:tr w:rsidR="00BC7DDA" w:rsidRPr="00BD6C5F" w14:paraId="19F09FC3" w14:textId="77777777" w:rsidTr="00D94FCB">
        <w:tc>
          <w:tcPr>
            <w:tcW w:w="3572" w:type="dxa"/>
          </w:tcPr>
          <w:p w14:paraId="4E915FD9" w14:textId="77777777" w:rsidR="00BC7DDA" w:rsidRPr="00BD6C5F" w:rsidRDefault="009B03E9" w:rsidP="00D94FCB">
            <w:pPr>
              <w:pStyle w:val="Tabletext"/>
            </w:pPr>
            <w:r w:rsidRPr="00BD6C5F">
              <w:t>Annual Contract Report</w:t>
            </w:r>
          </w:p>
        </w:tc>
        <w:tc>
          <w:tcPr>
            <w:tcW w:w="5953" w:type="dxa"/>
          </w:tcPr>
          <w:p w14:paraId="3A16DB87" w14:textId="77777777" w:rsidR="00BC7DDA" w:rsidRPr="00BD6C5F" w:rsidRDefault="009B03E9" w:rsidP="00D94FCB">
            <w:pPr>
              <w:pStyle w:val="Tabletext"/>
            </w:pPr>
            <w:r w:rsidRPr="00BD6C5F">
              <w:t>Within 1 month of the end of the Contract Year to which that report relates</w:t>
            </w:r>
          </w:p>
        </w:tc>
      </w:tr>
      <w:tr w:rsidR="00BC7DDA" w:rsidRPr="00BD6C5F" w14:paraId="4DC9C3DD" w14:textId="77777777" w:rsidTr="00D94FCB">
        <w:tc>
          <w:tcPr>
            <w:tcW w:w="3572" w:type="dxa"/>
          </w:tcPr>
          <w:p w14:paraId="3F2DCDE3" w14:textId="77777777" w:rsidR="00BC7DDA" w:rsidRPr="00BD6C5F" w:rsidRDefault="009B03E9" w:rsidP="00D94FCB">
            <w:pPr>
              <w:pStyle w:val="Tabletext"/>
            </w:pPr>
            <w:r w:rsidRPr="00BD6C5F">
              <w:t>Final Reconciliation Report</w:t>
            </w:r>
          </w:p>
        </w:tc>
        <w:tc>
          <w:tcPr>
            <w:tcW w:w="5953" w:type="dxa"/>
          </w:tcPr>
          <w:p w14:paraId="5B405355" w14:textId="77777777" w:rsidR="00BC7DDA" w:rsidRPr="00BD6C5F" w:rsidRDefault="009B03E9" w:rsidP="00D94FCB">
            <w:pPr>
              <w:pStyle w:val="Tabletext"/>
            </w:pPr>
            <w:r w:rsidRPr="00BD6C5F">
              <w:t>Within 6 months after the end of the Term</w:t>
            </w:r>
          </w:p>
        </w:tc>
      </w:tr>
    </w:tbl>
    <w:p w14:paraId="5BE5BC49" w14:textId="77777777" w:rsidR="00D94FCB" w:rsidRPr="00BD6C5F" w:rsidRDefault="00D94FCB" w:rsidP="00D94FCB">
      <w:bookmarkStart w:id="963" w:name="_bookmark328"/>
      <w:bookmarkEnd w:id="963"/>
    </w:p>
    <w:p w14:paraId="506BC2E9" w14:textId="48255975" w:rsidR="00BC7DDA" w:rsidRPr="00BD6C5F" w:rsidRDefault="009B03E9" w:rsidP="00C5057A">
      <w:pPr>
        <w:pStyle w:val="Numbered11"/>
      </w:pPr>
      <w:bookmarkStart w:id="964" w:name="_Ref141216013"/>
      <w:r w:rsidRPr="00BD6C5F">
        <w:t xml:space="preserve">The Supplier shall provide to the Authority the Financial Reports in the same software package (Microsoft Excel or Microsoft Word), layout and format as the blank templates which have been issued by the Authority to the Supplier on or before the Effective Date for the purposes of this </w:t>
      </w:r>
      <w:r w:rsidR="001644B1" w:rsidRPr="00BD6C5F">
        <w:t>Contract</w:t>
      </w:r>
      <w:r w:rsidRPr="00BD6C5F">
        <w:t>. The Authority shall be entitled to modify the template for any Financial Report by giving written notice to the Supplier, including a copy of the updated template.</w:t>
      </w:r>
      <w:bookmarkEnd w:id="964"/>
    </w:p>
    <w:p w14:paraId="51214560" w14:textId="4F6F21C4" w:rsidR="00BC7DDA" w:rsidRPr="00BD6C5F" w:rsidRDefault="009B03E9" w:rsidP="00C5057A">
      <w:pPr>
        <w:pStyle w:val="Numbered11"/>
      </w:pPr>
      <w:r w:rsidRPr="00BD6C5F">
        <w:t>A copy of each Financial Report shall be held by both the Authority and the Supplier. If there is a Dispute regarding a Financial Report, the Authority</w:t>
      </w:r>
      <w:r w:rsidR="00A4555C" w:rsidRPr="00BD6C5F">
        <w:t>’</w:t>
      </w:r>
      <w:r w:rsidRPr="00BD6C5F">
        <w:t>s copy of the relevant Financial Report shall be authoritative.</w:t>
      </w:r>
    </w:p>
    <w:p w14:paraId="046F60D3" w14:textId="77777777" w:rsidR="00BC7DDA" w:rsidRPr="00BD6C5F" w:rsidRDefault="009B03E9" w:rsidP="00C70900">
      <w:pPr>
        <w:pStyle w:val="Numbered11"/>
        <w:keepNext/>
      </w:pPr>
      <w:r w:rsidRPr="00BD6C5F">
        <w:t>Each Financial Report shall:</w:t>
      </w:r>
    </w:p>
    <w:p w14:paraId="3FE2362D" w14:textId="77777777" w:rsidR="00BC7DDA" w:rsidRPr="00BD6C5F" w:rsidRDefault="009B03E9" w:rsidP="000D48A0">
      <w:pPr>
        <w:pStyle w:val="Numbered111"/>
      </w:pPr>
      <w:r w:rsidRPr="00BD6C5F">
        <w:t>be completed by the Supplier using reasonable skill and care;</w:t>
      </w:r>
    </w:p>
    <w:p w14:paraId="644526AD" w14:textId="15850A1D" w:rsidR="00BC7DDA" w:rsidRPr="00BD6C5F" w:rsidRDefault="009B03E9" w:rsidP="000D48A0">
      <w:pPr>
        <w:pStyle w:val="Numbered111"/>
      </w:pPr>
      <w:r w:rsidRPr="00BD6C5F">
        <w:t xml:space="preserve">incorporate and use the same defined terms as are used in this </w:t>
      </w:r>
      <w:r w:rsidR="001644B1" w:rsidRPr="00BD6C5F">
        <w:t>Contract</w:t>
      </w:r>
      <w:r w:rsidRPr="00BD6C5F">
        <w:t>;</w:t>
      </w:r>
    </w:p>
    <w:p w14:paraId="4BE99BE1" w14:textId="77777777" w:rsidR="00BC7DDA" w:rsidRPr="00BD6C5F" w:rsidRDefault="009B03E9" w:rsidP="000D48A0">
      <w:pPr>
        <w:pStyle w:val="Numbered111"/>
      </w:pPr>
      <w:r w:rsidRPr="00BD6C5F">
        <w:t>quote all monetary values in pounds sterling;</w:t>
      </w:r>
    </w:p>
    <w:p w14:paraId="5C0DE931" w14:textId="77777777" w:rsidR="00BC7DDA" w:rsidRPr="00BD6C5F" w:rsidRDefault="009B03E9" w:rsidP="000D48A0">
      <w:pPr>
        <w:pStyle w:val="Numbered111"/>
      </w:pPr>
      <w:r w:rsidRPr="00BD6C5F">
        <w:t>quote all Costs as exclusive of any VAT; and</w:t>
      </w:r>
    </w:p>
    <w:p w14:paraId="1CB7F091" w14:textId="77777777" w:rsidR="00BC7DDA" w:rsidRPr="00BD6C5F" w:rsidRDefault="009B03E9" w:rsidP="000D48A0">
      <w:pPr>
        <w:pStyle w:val="Numbered111"/>
      </w:pPr>
      <w:r w:rsidRPr="00BD6C5F">
        <w:t>quote all Costs and Charges based on current prices.</w:t>
      </w:r>
    </w:p>
    <w:p w14:paraId="7F2A45CE" w14:textId="4579412E" w:rsidR="00BC7DDA" w:rsidRPr="00BD6C5F" w:rsidRDefault="009B03E9" w:rsidP="00C5057A">
      <w:pPr>
        <w:pStyle w:val="Numbered11"/>
      </w:pPr>
      <w:r w:rsidRPr="00BD6C5F">
        <w:t>Each Annual Contract Report and the Final Reconciliation Report shall be certified by the Supplier</w:t>
      </w:r>
      <w:r w:rsidR="00A4555C" w:rsidRPr="00BD6C5F">
        <w:t>’</w:t>
      </w:r>
      <w:r w:rsidRPr="00BD6C5F">
        <w:t>s Chief Financial Officer or Director of Finance (or equivalent as agreed in writing by the Authority in advance of issue of the relevant Financial Report), acting with express authority, as:</w:t>
      </w:r>
    </w:p>
    <w:p w14:paraId="13C4F2F7" w14:textId="77777777" w:rsidR="00BC7DDA" w:rsidRPr="00BD6C5F" w:rsidRDefault="009B03E9" w:rsidP="000D48A0">
      <w:pPr>
        <w:pStyle w:val="Numbered111"/>
      </w:pPr>
      <w:r w:rsidRPr="00BD6C5F">
        <w:t>being accurate and not misleading;</w:t>
      </w:r>
    </w:p>
    <w:p w14:paraId="05A99C6A" w14:textId="77777777" w:rsidR="00BC7DDA" w:rsidRPr="00BD6C5F" w:rsidRDefault="009B03E9" w:rsidP="000D48A0">
      <w:pPr>
        <w:pStyle w:val="Numbered111"/>
      </w:pPr>
      <w:r w:rsidRPr="00BD6C5F">
        <w:lastRenderedPageBreak/>
        <w:t>having been prepared in conformity with generally accepted accounting principles within the United Kingdom;</w:t>
      </w:r>
    </w:p>
    <w:p w14:paraId="56E24834" w14:textId="6D1DDFA3" w:rsidR="00BC7DDA" w:rsidRPr="00BD6C5F" w:rsidRDefault="009B03E9" w:rsidP="000D48A0">
      <w:pPr>
        <w:pStyle w:val="Numbered111"/>
      </w:pPr>
      <w:r w:rsidRPr="00BD6C5F">
        <w:t>being a true and fair reflection of the information included within the Supplier</w:t>
      </w:r>
      <w:r w:rsidR="00A4555C" w:rsidRPr="00BD6C5F">
        <w:t>’</w:t>
      </w:r>
      <w:r w:rsidRPr="00BD6C5F">
        <w:t>s management and statutory accounts; and</w:t>
      </w:r>
    </w:p>
    <w:p w14:paraId="41F8C77C" w14:textId="2FAD5B32" w:rsidR="00BC7DDA" w:rsidRPr="00BD6C5F" w:rsidRDefault="009B03E9" w:rsidP="000D48A0">
      <w:pPr>
        <w:pStyle w:val="Numbered111"/>
      </w:pPr>
      <w:r w:rsidRPr="00BD6C5F">
        <w:t xml:space="preserve">compliant with the requirements of Paragraph </w:t>
      </w:r>
      <w:r w:rsidR="00927BBF" w:rsidRPr="00BD6C5F">
        <w:fldChar w:fldCharType="begin"/>
      </w:r>
      <w:r w:rsidR="00927BBF" w:rsidRPr="00BD6C5F">
        <w:instrText xml:space="preserve"> REF _Ref98415457 \n \h </w:instrText>
      </w:r>
      <w:r w:rsidR="00AD7DD0" w:rsidRPr="00BD6C5F">
        <w:instrText xml:space="preserve"> \* MERGEFORMAT </w:instrText>
      </w:r>
      <w:r w:rsidR="00927BBF" w:rsidRPr="00BD6C5F">
        <w:fldChar w:fldCharType="separate"/>
      </w:r>
      <w:r w:rsidR="009749A0">
        <w:t>1.6</w:t>
      </w:r>
      <w:r w:rsidR="00927BBF" w:rsidRPr="00BD6C5F">
        <w:fldChar w:fldCharType="end"/>
      </w:r>
      <w:r w:rsidRPr="00BD6C5F">
        <w:t>.</w:t>
      </w:r>
    </w:p>
    <w:p w14:paraId="0009BCAA" w14:textId="77777777" w:rsidR="00BC7DDA" w:rsidRPr="00BD6C5F" w:rsidRDefault="009B03E9" w:rsidP="00C70900">
      <w:pPr>
        <w:pStyle w:val="Numbered11"/>
        <w:keepNext/>
      </w:pPr>
      <w:bookmarkStart w:id="965" w:name="_bookmark329"/>
      <w:bookmarkStart w:id="966" w:name="_Ref98415457"/>
      <w:bookmarkEnd w:id="965"/>
      <w:r w:rsidRPr="00BD6C5F">
        <w:t>The Supplier shall:</w:t>
      </w:r>
      <w:bookmarkEnd w:id="966"/>
    </w:p>
    <w:p w14:paraId="1097665B" w14:textId="77777777" w:rsidR="00BC7DDA" w:rsidRPr="00BD6C5F" w:rsidRDefault="009B03E9" w:rsidP="000D48A0">
      <w:pPr>
        <w:pStyle w:val="Numbered111"/>
      </w:pPr>
      <w:r w:rsidRPr="00BD6C5F">
        <w:t>prepare each Financial Report using the same methodology as that used for the Contract Inception Report;</w:t>
      </w:r>
    </w:p>
    <w:p w14:paraId="1B3E6510" w14:textId="70CFD187" w:rsidR="00BC7DDA" w:rsidRPr="00BD6C5F" w:rsidRDefault="001644B1" w:rsidP="000D48A0">
      <w:pPr>
        <w:pStyle w:val="Numbered111"/>
      </w:pPr>
      <w:r w:rsidRPr="00BD6C5F">
        <w:t xml:space="preserve">to the extent permitted by Law, </w:t>
      </w:r>
      <w:r w:rsidR="009B03E9" w:rsidRPr="00BD6C5F">
        <w:t>ensure that each Annual Contract Report and each Contract Amendment Report (if any) is a true and fair reflection of the Costs and Supplier Profit Margin forecast by the Supplier;</w:t>
      </w:r>
    </w:p>
    <w:p w14:paraId="43B7DA31" w14:textId="319FB7E8" w:rsidR="00BC7DDA" w:rsidRPr="00BD6C5F" w:rsidRDefault="009B7291" w:rsidP="000D48A0">
      <w:pPr>
        <w:pStyle w:val="Numbered111"/>
      </w:pPr>
      <w:r w:rsidRPr="00BD6C5F">
        <w:t xml:space="preserve">to the extent permitted by Law, ensure that </w:t>
      </w:r>
      <w:r w:rsidR="009B03E9" w:rsidRPr="00BD6C5F">
        <w:t>the Final Reconciliation Report is a true and fair reflection of the Costs; and</w:t>
      </w:r>
    </w:p>
    <w:p w14:paraId="7F3A6715" w14:textId="77777777" w:rsidR="00BC7DDA" w:rsidRPr="00BD6C5F" w:rsidRDefault="009B03E9" w:rsidP="000D48A0">
      <w:pPr>
        <w:pStyle w:val="Numbered111"/>
      </w:pPr>
      <w:r w:rsidRPr="00BD6C5F">
        <w:t>not have any other internal financial model in relation to the Services inconsistent with the Financial Model.</w:t>
      </w:r>
    </w:p>
    <w:p w14:paraId="7E91964C" w14:textId="77777777" w:rsidR="00BC7DDA" w:rsidRPr="00BD6C5F" w:rsidRDefault="009B03E9" w:rsidP="00C5057A">
      <w:pPr>
        <w:pStyle w:val="Numbered11"/>
      </w:pPr>
      <w:r w:rsidRPr="00BD6C5F">
        <w:t>During the Term, and for a period of 18 months following the end of the Term, the Supplier shall make available the Financial Representative at reasonable times and on reasonable notice to answer any queries that the Authority may have on any of the Financial Reports and/or Open Book Data.</w:t>
      </w:r>
    </w:p>
    <w:p w14:paraId="323FE39C" w14:textId="77777777" w:rsidR="00BC7DDA" w:rsidRPr="00BD6C5F" w:rsidRDefault="009B03E9" w:rsidP="00C70900">
      <w:pPr>
        <w:pStyle w:val="Numbered11"/>
        <w:keepNext/>
      </w:pPr>
      <w:bookmarkStart w:id="967" w:name="_bookmark330"/>
      <w:bookmarkStart w:id="968" w:name="_Ref98415468"/>
      <w:bookmarkEnd w:id="967"/>
      <w:r w:rsidRPr="00BD6C5F">
        <w:t>If the Supplier becomes aware of the occurrence, or the likelihood of the future occurrence, of an event which will or may have a material effect on the following:</w:t>
      </w:r>
      <w:bookmarkEnd w:id="968"/>
    </w:p>
    <w:p w14:paraId="580BB734" w14:textId="77777777" w:rsidR="00BC7DDA" w:rsidRPr="00BD6C5F" w:rsidRDefault="009B03E9" w:rsidP="000D48A0">
      <w:pPr>
        <w:pStyle w:val="Numbered111"/>
      </w:pPr>
      <w:r w:rsidRPr="00BD6C5F">
        <w:t>the Costs incurred (or those forecast to be incurred) by the Supplier; and/or</w:t>
      </w:r>
    </w:p>
    <w:p w14:paraId="5480366F" w14:textId="77777777" w:rsidR="00BC7DDA" w:rsidRPr="00BD6C5F" w:rsidRDefault="009B03E9" w:rsidP="000D48A0">
      <w:pPr>
        <w:pStyle w:val="Numbered111"/>
      </w:pPr>
      <w:r w:rsidRPr="00BD6C5F">
        <w:t>the forecast Charges for the remainder of the Term,</w:t>
      </w:r>
    </w:p>
    <w:p w14:paraId="55B5136B" w14:textId="44E698E4" w:rsidR="00BC7DDA" w:rsidRPr="00BD6C5F" w:rsidRDefault="009B03E9" w:rsidP="00D94FCB">
      <w:pPr>
        <w:pStyle w:val="BodyText"/>
        <w:spacing w:before="100" w:after="200"/>
        <w:ind w:left="720"/>
        <w:rPr>
          <w:rFonts w:asciiTheme="minorHAnsi" w:hAnsiTheme="minorHAnsi" w:cstheme="minorHAnsi"/>
        </w:rPr>
      </w:pPr>
      <w:r w:rsidRPr="00BD6C5F">
        <w:rPr>
          <w:rFonts w:asciiTheme="minorHAnsi" w:hAnsiTheme="minorHAnsi" w:cstheme="minorHAnsi"/>
        </w:rPr>
        <w:t xml:space="preserve">the Supplier shall, as soon as practicable, notify the Authority in writing of the event in question detailing the actual or anticipated effect. For the avoidance of doubt, notifications provided in accordance with this Paragraph </w:t>
      </w:r>
      <w:r w:rsidR="00927BBF" w:rsidRPr="00BD6C5F">
        <w:rPr>
          <w:rFonts w:asciiTheme="minorHAnsi" w:hAnsiTheme="minorHAnsi" w:cstheme="minorHAnsi"/>
        </w:rPr>
        <w:fldChar w:fldCharType="begin"/>
      </w:r>
      <w:r w:rsidR="00927BBF" w:rsidRPr="00BD6C5F">
        <w:rPr>
          <w:rFonts w:asciiTheme="minorHAnsi" w:hAnsiTheme="minorHAnsi" w:cstheme="minorHAnsi"/>
        </w:rPr>
        <w:instrText xml:space="preserve"> REF _Ref98415468 \n \h </w:instrText>
      </w:r>
      <w:r w:rsidR="00AD7DD0" w:rsidRPr="00BD6C5F">
        <w:rPr>
          <w:rFonts w:asciiTheme="minorHAnsi" w:hAnsiTheme="minorHAnsi" w:cstheme="minorHAnsi"/>
        </w:rPr>
        <w:instrText xml:space="preserve"> \* MERGEFORMAT </w:instrText>
      </w:r>
      <w:r w:rsidR="00927BBF" w:rsidRPr="00BD6C5F">
        <w:rPr>
          <w:rFonts w:asciiTheme="minorHAnsi" w:hAnsiTheme="minorHAnsi" w:cstheme="minorHAnsi"/>
        </w:rPr>
      </w:r>
      <w:r w:rsidR="00927BBF" w:rsidRPr="00BD6C5F">
        <w:rPr>
          <w:rFonts w:asciiTheme="minorHAnsi" w:hAnsiTheme="minorHAnsi" w:cstheme="minorHAnsi"/>
        </w:rPr>
        <w:fldChar w:fldCharType="separate"/>
      </w:r>
      <w:r w:rsidR="009749A0">
        <w:rPr>
          <w:rFonts w:asciiTheme="minorHAnsi" w:hAnsiTheme="minorHAnsi" w:cstheme="minorHAnsi"/>
        </w:rPr>
        <w:t>1.8</w:t>
      </w:r>
      <w:r w:rsidR="00927BBF" w:rsidRPr="00BD6C5F">
        <w:rPr>
          <w:rFonts w:asciiTheme="minorHAnsi" w:hAnsiTheme="minorHAnsi" w:cstheme="minorHAnsi"/>
        </w:rPr>
        <w:fldChar w:fldCharType="end"/>
      </w:r>
      <w:r w:rsidRPr="00BD6C5F">
        <w:rPr>
          <w:rFonts w:asciiTheme="minorHAnsi" w:hAnsiTheme="minorHAnsi" w:cstheme="minorHAnsi"/>
        </w:rPr>
        <w:t xml:space="preserve"> shall not have the effect of amending any provisions of this </w:t>
      </w:r>
      <w:r w:rsidR="009B7291" w:rsidRPr="00BD6C5F">
        <w:rPr>
          <w:rFonts w:asciiTheme="minorHAnsi" w:hAnsiTheme="minorHAnsi" w:cstheme="minorHAnsi"/>
        </w:rPr>
        <w:t>Contract</w:t>
      </w:r>
      <w:r w:rsidRPr="00BD6C5F">
        <w:rPr>
          <w:rFonts w:asciiTheme="minorHAnsi" w:hAnsiTheme="minorHAnsi" w:cstheme="minorHAnsi"/>
        </w:rPr>
        <w:t>.</w:t>
      </w:r>
    </w:p>
    <w:p w14:paraId="1EB6DA92" w14:textId="194ADF8A" w:rsidR="00BC7DDA" w:rsidRPr="00BD6C5F" w:rsidRDefault="000D48A0" w:rsidP="000D48A0">
      <w:pPr>
        <w:pStyle w:val="Numbered1"/>
      </w:pPr>
      <w:bookmarkStart w:id="969" w:name="_bookmark331"/>
      <w:bookmarkStart w:id="970" w:name="_Ref98412823"/>
      <w:bookmarkEnd w:id="969"/>
      <w:r w:rsidRPr="00BD6C5F">
        <w:t>Financial Model</w:t>
      </w:r>
      <w:bookmarkEnd w:id="970"/>
    </w:p>
    <w:p w14:paraId="67EBDFB0" w14:textId="77777777" w:rsidR="00BC7DDA" w:rsidRPr="00BD6C5F" w:rsidRDefault="009B03E9" w:rsidP="00C70900">
      <w:pPr>
        <w:pStyle w:val="Numbered11"/>
        <w:keepNext/>
      </w:pPr>
      <w:r w:rsidRPr="00BD6C5F">
        <w:t>Following the delivery by the Supplier of each Annual Contract Report and any Contract Amendment Report:</w:t>
      </w:r>
    </w:p>
    <w:p w14:paraId="6C69D9C6" w14:textId="5D4DD7FA" w:rsidR="00BC7DDA" w:rsidRPr="00BD6C5F" w:rsidRDefault="009B03E9" w:rsidP="000D48A0">
      <w:pPr>
        <w:pStyle w:val="Numbered111"/>
      </w:pPr>
      <w:bookmarkStart w:id="971" w:name="_bookmark332"/>
      <w:bookmarkStart w:id="972" w:name="_Ref98415481"/>
      <w:bookmarkEnd w:id="971"/>
      <w:r w:rsidRPr="00BD6C5F">
        <w:t>the Parties shall meet to discuss its contents within 10 Working Days of receipt (or such other period as the Parties shall agree). The Financial Representative shall attend the meeting;</w:t>
      </w:r>
      <w:bookmarkEnd w:id="972"/>
    </w:p>
    <w:p w14:paraId="33D4804F" w14:textId="77777777" w:rsidR="00BC7DDA" w:rsidRPr="00BD6C5F" w:rsidRDefault="009B03E9" w:rsidP="000D48A0">
      <w:pPr>
        <w:pStyle w:val="Numbered111"/>
      </w:pPr>
      <w:r w:rsidRPr="00BD6C5F">
        <w:t>the Supplier shall make appropriate Supplier Personnel and advisers available to discuss any variations between the relevant Financial Report and the Contract Inception Report or immediately preceding Annual Contract Report or Contract Amendment Report (as the case may be) and to explain such variations (with reference to supporting evidence) to the satisfaction of the Authority; and</w:t>
      </w:r>
    </w:p>
    <w:p w14:paraId="7A4B2871" w14:textId="35EA145A" w:rsidR="00BC7DDA" w:rsidRPr="00BD6C5F" w:rsidRDefault="009B03E9" w:rsidP="00C70900">
      <w:pPr>
        <w:pStyle w:val="Numbered111"/>
        <w:keepNext/>
      </w:pPr>
      <w:bookmarkStart w:id="973" w:name="_bookmark333"/>
      <w:bookmarkStart w:id="974" w:name="_Ref98415490"/>
      <w:bookmarkEnd w:id="973"/>
      <w:r w:rsidRPr="00BD6C5F">
        <w:lastRenderedPageBreak/>
        <w:t xml:space="preserve">the Authority shall either within 10 Working Days of the meeting referred to in Paragraph </w:t>
      </w:r>
      <w:r w:rsidR="00927BBF" w:rsidRPr="00BD6C5F">
        <w:fldChar w:fldCharType="begin"/>
      </w:r>
      <w:r w:rsidR="00927BBF" w:rsidRPr="00BD6C5F">
        <w:instrText xml:space="preserve"> REF _Ref98415481 \w \h </w:instrText>
      </w:r>
      <w:r w:rsidR="00AD7DD0" w:rsidRPr="00BD6C5F">
        <w:instrText xml:space="preserve"> \* MERGEFORMAT </w:instrText>
      </w:r>
      <w:r w:rsidR="00927BBF" w:rsidRPr="00BD6C5F">
        <w:fldChar w:fldCharType="separate"/>
      </w:r>
      <w:r w:rsidR="009749A0">
        <w:t>2.1.1</w:t>
      </w:r>
      <w:r w:rsidR="00927BBF" w:rsidRPr="00BD6C5F">
        <w:fldChar w:fldCharType="end"/>
      </w:r>
      <w:r w:rsidRPr="00BD6C5F">
        <w:t xml:space="preserve"> notify the Supplier that:</w:t>
      </w:r>
      <w:bookmarkEnd w:id="974"/>
    </w:p>
    <w:p w14:paraId="305B7DC6" w14:textId="1F3A1ECC" w:rsidR="00BC7DDA" w:rsidRPr="00BD6C5F" w:rsidRDefault="009B03E9" w:rsidP="00771E5A">
      <w:pPr>
        <w:pStyle w:val="Numbered111a"/>
      </w:pPr>
      <w:r w:rsidRPr="00BD6C5F">
        <w:t>the relevant Financial Report contains errors or omissions or that further explanations or supporting information is required, in which event the Supplier shall make any necessary modifications to the Financial Report and/or supply the Authority with such supporting evidence as is required to address the Authority</w:t>
      </w:r>
      <w:r w:rsidR="00A4555C" w:rsidRPr="00BD6C5F">
        <w:t>’</w:t>
      </w:r>
      <w:r w:rsidRPr="00BD6C5F">
        <w:t>s concerns within 10 Working Days of such notification and the Authority shall following receipt of such amended Financial Report and/or supporting information, approve or reject such Financial Report; or</w:t>
      </w:r>
    </w:p>
    <w:p w14:paraId="40F4DF2F" w14:textId="77777777" w:rsidR="00BC7DDA" w:rsidRPr="00BD6C5F" w:rsidRDefault="009B03E9" w:rsidP="000D48A0">
      <w:pPr>
        <w:pStyle w:val="Numbered111a"/>
        <w:rPr>
          <w:lang w:val="en-GB"/>
        </w:rPr>
      </w:pPr>
      <w:r w:rsidRPr="00BD6C5F">
        <w:rPr>
          <w:lang w:val="en-GB"/>
        </w:rPr>
        <w:t>the Authority has approved the relevant Financial Report.</w:t>
      </w:r>
    </w:p>
    <w:p w14:paraId="0D22E824" w14:textId="6EDBE1BD" w:rsidR="00BC7DDA" w:rsidRPr="00BD6C5F" w:rsidRDefault="009B03E9" w:rsidP="00C5057A">
      <w:pPr>
        <w:pStyle w:val="Numbered11"/>
      </w:pPr>
      <w:r w:rsidRPr="00BD6C5F">
        <w:t xml:space="preserve">Following approval by the Authority of the relevant Financial Report in accordance with Paragraph </w:t>
      </w:r>
      <w:r w:rsidR="00927BBF" w:rsidRPr="00BD6C5F">
        <w:fldChar w:fldCharType="begin"/>
      </w:r>
      <w:r w:rsidR="00927BBF" w:rsidRPr="00BD6C5F">
        <w:instrText xml:space="preserve"> REF _Ref98415490 \w \h </w:instrText>
      </w:r>
      <w:r w:rsidR="00AD7DD0" w:rsidRPr="00BD6C5F">
        <w:instrText xml:space="preserve"> \* MERGEFORMAT </w:instrText>
      </w:r>
      <w:r w:rsidR="00927BBF" w:rsidRPr="00BD6C5F">
        <w:fldChar w:fldCharType="separate"/>
      </w:r>
      <w:r w:rsidR="009749A0">
        <w:t>2.1.3</w:t>
      </w:r>
      <w:r w:rsidR="00927BBF" w:rsidRPr="00BD6C5F">
        <w:fldChar w:fldCharType="end"/>
      </w:r>
      <w:r w:rsidRPr="00BD6C5F">
        <w:t xml:space="preserve">, that version shall become, with effect from the date of such approval, the current approved version of the Financial Model for the purposes of this </w:t>
      </w:r>
      <w:r w:rsidR="009B7291" w:rsidRPr="00BD6C5F">
        <w:t xml:space="preserve">Contract, </w:t>
      </w:r>
      <w:r w:rsidRPr="00BD6C5F">
        <w:t>a version of which shall be held by both the Authority and the Supplier. If there is a Dispute regarding a Financial Report, the Authority</w:t>
      </w:r>
      <w:r w:rsidR="00A4555C" w:rsidRPr="00BD6C5F">
        <w:t>’</w:t>
      </w:r>
      <w:r w:rsidRPr="00BD6C5F">
        <w:t>s copy of the relevant Financial Report shall be authoritative.</w:t>
      </w:r>
    </w:p>
    <w:p w14:paraId="0F306D4C" w14:textId="660CF5E9" w:rsidR="00BC7DDA" w:rsidRPr="00BD6C5F" w:rsidRDefault="009B03E9" w:rsidP="00C5057A">
      <w:pPr>
        <w:pStyle w:val="Numbered11"/>
      </w:pPr>
      <w:r w:rsidRPr="00BD6C5F">
        <w:t xml:space="preserve">If the Parties are unable to reach agreement on any Financial Report within 30 Working Days of its receipt by the Authority, the matter shall be referred for determination in accordance with </w:t>
      </w:r>
      <w:r w:rsidR="00BF4352" w:rsidRPr="00BD6C5F">
        <w:t>Schedule </w:t>
      </w:r>
      <w:r w:rsidR="00BF4352">
        <w:fldChar w:fldCharType="begin"/>
      </w:r>
      <w:r w:rsidR="00BF4352">
        <w:instrText xml:space="preserve"> REF Schedule_23 \h </w:instrText>
      </w:r>
      <w:r w:rsidR="00BF4352">
        <w:fldChar w:fldCharType="separate"/>
      </w:r>
      <w:r w:rsidR="009749A0">
        <w:t>23</w:t>
      </w:r>
      <w:r w:rsidR="00BF4352">
        <w:fldChar w:fldCharType="end"/>
      </w:r>
      <w:r w:rsidRPr="00BD6C5F">
        <w:t xml:space="preserve"> (</w:t>
      </w:r>
      <w:r w:rsidRPr="00BD6C5F">
        <w:rPr>
          <w:i/>
        </w:rPr>
        <w:t>Dispute Resolution Procedure</w:t>
      </w:r>
      <w:r w:rsidRPr="00BD6C5F">
        <w:t>).</w:t>
      </w:r>
    </w:p>
    <w:p w14:paraId="4FDDA346" w14:textId="63A7AB8A" w:rsidR="00BC7DDA" w:rsidRPr="00BD6C5F" w:rsidRDefault="000D48A0" w:rsidP="000D48A0">
      <w:pPr>
        <w:pStyle w:val="Numbered1"/>
      </w:pPr>
      <w:r w:rsidRPr="00BD6C5F">
        <w:t>Discussion of Quarterly Contract Reports and Final Reconciliation Report</w:t>
      </w:r>
    </w:p>
    <w:p w14:paraId="04CD83C8" w14:textId="77777777" w:rsidR="00BC7DDA" w:rsidRPr="00BD6C5F" w:rsidRDefault="009B03E9" w:rsidP="00C5057A">
      <w:pPr>
        <w:pStyle w:val="Numbered11"/>
      </w:pPr>
      <w:r w:rsidRPr="00BD6C5F">
        <w:t>Following the delivery by the Supplier of each Quarterly Contract Report, the Parties shall meet to discuss its contents within 10 Working Days of receipt (or such other period as the Parties shall agree). The Financial Representative shall attend the meeting.</w:t>
      </w:r>
    </w:p>
    <w:p w14:paraId="5B4550D8" w14:textId="77777777" w:rsidR="00BC7DDA" w:rsidRPr="00BD6C5F" w:rsidRDefault="009B03E9" w:rsidP="00C5057A">
      <w:pPr>
        <w:pStyle w:val="Numbered11"/>
      </w:pPr>
      <w:r w:rsidRPr="00BD6C5F">
        <w:t>Following the delivery by the Supplier of the Final Reconciliation Report, the Parties shall meet to discuss its contents within 10 Working Days of receipt (or such other period as the Parties shall agree). The Financial Representative shall attend the meeting.</w:t>
      </w:r>
    </w:p>
    <w:p w14:paraId="367A0E90" w14:textId="017D98A7" w:rsidR="00BC7DDA" w:rsidRPr="00BD6C5F" w:rsidRDefault="000D48A0" w:rsidP="000D48A0">
      <w:pPr>
        <w:pStyle w:val="Numbered1"/>
      </w:pPr>
      <w:r w:rsidRPr="00BD6C5F">
        <w:t>Key Sub Contractors</w:t>
      </w:r>
    </w:p>
    <w:p w14:paraId="038D7060" w14:textId="77777777" w:rsidR="00BC7DDA" w:rsidRPr="00BD6C5F" w:rsidRDefault="009B03E9" w:rsidP="00C5057A">
      <w:pPr>
        <w:pStyle w:val="Numbered11"/>
      </w:pPr>
      <w:r w:rsidRPr="00BD6C5F">
        <w:t>The Supplier shall, if requested by the Authority, provide (or procure the provision of) a report or reports including the level of information set out in the Financial Reports in relation to the costs and expenses to be incurred by any of its Key Sub-contractors.</w:t>
      </w:r>
    </w:p>
    <w:p w14:paraId="641CBFFB" w14:textId="00AEE918" w:rsidR="00BC7DDA" w:rsidRPr="00BD6C5F" w:rsidRDefault="009B03E9" w:rsidP="00C70900">
      <w:pPr>
        <w:pStyle w:val="Numbered11"/>
        <w:keepNext/>
      </w:pPr>
      <w:r w:rsidRPr="00BD6C5F">
        <w:t xml:space="preserve">Without prejudice to Paragraph </w:t>
      </w:r>
      <w:r w:rsidR="00927BBF" w:rsidRPr="00BD6C5F">
        <w:fldChar w:fldCharType="begin"/>
      </w:r>
      <w:r w:rsidR="00927BBF" w:rsidRPr="00BD6C5F">
        <w:instrText xml:space="preserve"> REF _Ref98415505 \n \h </w:instrText>
      </w:r>
      <w:r w:rsidR="00AD7DD0" w:rsidRPr="00BD6C5F">
        <w:instrText xml:space="preserve"> \* MERGEFORMAT </w:instrText>
      </w:r>
      <w:r w:rsidR="00927BBF" w:rsidRPr="00BD6C5F">
        <w:fldChar w:fldCharType="separate"/>
      </w:r>
      <w:r w:rsidR="009749A0">
        <w:t>1.1</w:t>
      </w:r>
      <w:r w:rsidR="00927BBF" w:rsidRPr="00BD6C5F">
        <w:fldChar w:fldCharType="end"/>
      </w:r>
      <w:r w:rsidRPr="00BD6C5F">
        <w:t xml:space="preserve"> of </w:t>
      </w:r>
      <w:r w:rsidR="00DF7441">
        <w:t>Part </w:t>
      </w:r>
      <w:r w:rsidR="00DF7441">
        <w:fldChar w:fldCharType="begin"/>
      </w:r>
      <w:r w:rsidR="00DF7441">
        <w:instrText xml:space="preserve"> REF Schedule_19_Part_C \h </w:instrText>
      </w:r>
      <w:r w:rsidR="00DF7441">
        <w:fldChar w:fldCharType="separate"/>
      </w:r>
      <w:r w:rsidR="009749A0" w:rsidRPr="00BD6C5F">
        <w:t>C</w:t>
      </w:r>
      <w:r w:rsidR="00DF7441">
        <w:fldChar w:fldCharType="end"/>
      </w:r>
      <w:r w:rsidRPr="00BD6C5F">
        <w:t>, the Supplier shall:</w:t>
      </w:r>
    </w:p>
    <w:p w14:paraId="3DFDE75C" w14:textId="77777777" w:rsidR="00BC7DDA" w:rsidRPr="00BD6C5F" w:rsidRDefault="009B03E9" w:rsidP="000D48A0">
      <w:pPr>
        <w:pStyle w:val="Numbered111"/>
      </w:pPr>
      <w:r w:rsidRPr="00BD6C5F">
        <w:t>be responsible for auditing the financial models/reports of its Key Sub-contractors and for any associated costs and expenses incurred or forecast to be incurred; and</w:t>
      </w:r>
    </w:p>
    <w:p w14:paraId="50A192D5" w14:textId="77777777" w:rsidR="00BC7DDA" w:rsidRPr="00BD6C5F" w:rsidRDefault="009B03E9" w:rsidP="00C70900">
      <w:pPr>
        <w:pStyle w:val="Numbered111"/>
        <w:keepNext/>
      </w:pPr>
      <w:r w:rsidRPr="00BD6C5F">
        <w:t>on written request by the Authority, provide the Authority or procure that the Authority is provided with:</w:t>
      </w:r>
    </w:p>
    <w:p w14:paraId="618ACA1F" w14:textId="77777777" w:rsidR="00BC7DDA" w:rsidRPr="00BD6C5F" w:rsidRDefault="009B03E9" w:rsidP="00771E5A">
      <w:pPr>
        <w:pStyle w:val="Numbered111a"/>
      </w:pPr>
      <w:r w:rsidRPr="00BD6C5F">
        <w:t>full copies of audit reports for the Key Sub-contractors. The Authority shall be entitled to rely on such audit reports; and</w:t>
      </w:r>
    </w:p>
    <w:p w14:paraId="2478F1D0" w14:textId="48C9078C" w:rsidR="00BC7DDA" w:rsidRPr="00BD6C5F" w:rsidRDefault="009B03E9" w:rsidP="000D48A0">
      <w:pPr>
        <w:pStyle w:val="Numbered111a"/>
        <w:rPr>
          <w:lang w:val="en-GB"/>
        </w:rPr>
      </w:pPr>
      <w:r w:rsidRPr="00BD6C5F">
        <w:rPr>
          <w:lang w:val="en-GB"/>
        </w:rPr>
        <w:t xml:space="preserve">further explanation of, and supporting information in relation to, any </w:t>
      </w:r>
      <w:r w:rsidRPr="00BD6C5F">
        <w:rPr>
          <w:lang w:val="en-GB"/>
        </w:rPr>
        <w:lastRenderedPageBreak/>
        <w:t>audit reports provided.</w:t>
      </w:r>
    </w:p>
    <w:p w14:paraId="3AA9B9E8" w14:textId="52BF64F4" w:rsidR="00BC7DDA" w:rsidRPr="00BD6C5F" w:rsidRDefault="000D48A0" w:rsidP="00D94FCB">
      <w:pPr>
        <w:pStyle w:val="Heading2"/>
      </w:pPr>
      <w:bookmarkStart w:id="975" w:name="_Toc141721028"/>
      <w:r w:rsidRPr="00BD6C5F">
        <w:t xml:space="preserve">Part </w:t>
      </w:r>
      <w:bookmarkStart w:id="976" w:name="Schedule_19_Part_C"/>
      <w:r w:rsidRPr="00BD6C5F">
        <w:t>C</w:t>
      </w:r>
      <w:bookmarkEnd w:id="976"/>
      <w:r w:rsidRPr="00BD6C5F">
        <w:t>:</w:t>
      </w:r>
      <w:bookmarkStart w:id="977" w:name="_bookmark334"/>
      <w:bookmarkStart w:id="978" w:name="_Toc98332759"/>
      <w:bookmarkStart w:id="979" w:name="_Ref98415512"/>
      <w:bookmarkStart w:id="980" w:name="_Toc98852936"/>
      <w:bookmarkEnd w:id="977"/>
      <w:r w:rsidRPr="00BD6C5F">
        <w:t xml:space="preserve"> Audit Rights</w:t>
      </w:r>
      <w:bookmarkEnd w:id="978"/>
      <w:bookmarkEnd w:id="979"/>
      <w:bookmarkEnd w:id="980"/>
      <w:bookmarkEnd w:id="975"/>
    </w:p>
    <w:p w14:paraId="1C4DCE54" w14:textId="4D4B5E34" w:rsidR="00BC7DDA" w:rsidRPr="00BD6C5F" w:rsidRDefault="000D48A0" w:rsidP="00B71FC0">
      <w:pPr>
        <w:pStyle w:val="Numbered1"/>
        <w:numPr>
          <w:ilvl w:val="0"/>
          <w:numId w:val="105"/>
        </w:numPr>
      </w:pPr>
      <w:bookmarkStart w:id="981" w:name="_bookmark335"/>
      <w:bookmarkStart w:id="982" w:name="_Ref98416006"/>
      <w:bookmarkEnd w:id="981"/>
      <w:r w:rsidRPr="00BD6C5F">
        <w:t>Audit Rights</w:t>
      </w:r>
      <w:bookmarkEnd w:id="982"/>
    </w:p>
    <w:p w14:paraId="1153BA37" w14:textId="3581AE07" w:rsidR="00BC7DDA" w:rsidRPr="00BD6C5F" w:rsidRDefault="009B03E9" w:rsidP="00C5057A">
      <w:pPr>
        <w:pStyle w:val="Numbered11"/>
      </w:pPr>
      <w:bookmarkStart w:id="983" w:name="_bookmark336"/>
      <w:bookmarkStart w:id="984" w:name="_Ref98415505"/>
      <w:bookmarkEnd w:id="983"/>
      <w:r w:rsidRPr="00BD6C5F">
        <w:t>The Authority, acting by itself or through its Audit Agents, shall have the right during the Term and for a period of 18 months thereafter, to assess compliance by the Supplier and/or its Key Sub-contractors of the Supplier</w:t>
      </w:r>
      <w:r w:rsidR="00A4555C" w:rsidRPr="00BD6C5F">
        <w:t>’</w:t>
      </w:r>
      <w:r w:rsidRPr="00BD6C5F">
        <w:t xml:space="preserve">s obligations under this </w:t>
      </w:r>
      <w:r w:rsidR="00934BCD" w:rsidRPr="00BD6C5F">
        <w:t>Contract</w:t>
      </w:r>
      <w:r w:rsidRPr="00BD6C5F">
        <w:t>, including for the following purposes:</w:t>
      </w:r>
      <w:bookmarkEnd w:id="984"/>
    </w:p>
    <w:p w14:paraId="541B864D" w14:textId="77777777" w:rsidR="00BC7DDA" w:rsidRPr="00BD6C5F" w:rsidRDefault="009B03E9" w:rsidP="000D48A0">
      <w:pPr>
        <w:pStyle w:val="Numbered111"/>
      </w:pPr>
      <w:r w:rsidRPr="00BD6C5F">
        <w:t>to verify the integrity and content of any Financial Report;</w:t>
      </w:r>
    </w:p>
    <w:p w14:paraId="3EFC2C43" w14:textId="00120F86" w:rsidR="00BC7DDA" w:rsidRPr="00BD6C5F" w:rsidRDefault="009B03E9" w:rsidP="000D48A0">
      <w:pPr>
        <w:pStyle w:val="Numbered111"/>
      </w:pPr>
      <w:r w:rsidRPr="00BD6C5F">
        <w:t xml:space="preserve">to verify the accuracy of the Charges and any other amounts payable by the Authority under this </w:t>
      </w:r>
      <w:r w:rsidR="00934BCD" w:rsidRPr="00BD6C5F">
        <w:t xml:space="preserve">Contract </w:t>
      </w:r>
      <w:r w:rsidRPr="00BD6C5F">
        <w:t>(and proposed or actual variations to such Charges and payments);</w:t>
      </w:r>
    </w:p>
    <w:p w14:paraId="6B3ADC94" w14:textId="77777777" w:rsidR="00BC7DDA" w:rsidRPr="00BD6C5F" w:rsidRDefault="009B03E9" w:rsidP="000D48A0">
      <w:pPr>
        <w:pStyle w:val="Numbered111"/>
      </w:pPr>
      <w:r w:rsidRPr="00BD6C5F">
        <w:t>to verify the Costs (including the amounts paid to all Sub-contractors and any third party suppliers);</w:t>
      </w:r>
    </w:p>
    <w:p w14:paraId="4C2D1C97" w14:textId="77777777" w:rsidR="00BC7DDA" w:rsidRPr="00BD6C5F" w:rsidRDefault="009B03E9" w:rsidP="000D48A0">
      <w:pPr>
        <w:pStyle w:val="Numbered111"/>
      </w:pPr>
      <w:r w:rsidRPr="00BD6C5F">
        <w:t>to verify the Certificate of Costs and/or the Open Book Data;</w:t>
      </w:r>
    </w:p>
    <w:p w14:paraId="79AEAC63" w14:textId="6283A49C" w:rsidR="00BC7DDA" w:rsidRPr="00BD6C5F" w:rsidRDefault="009B03E9" w:rsidP="000D48A0">
      <w:pPr>
        <w:pStyle w:val="Numbered111"/>
      </w:pPr>
      <w:r w:rsidRPr="00BD6C5F">
        <w:t>to verify the Supplier</w:t>
      </w:r>
      <w:r w:rsidR="00A4555C" w:rsidRPr="00BD6C5F">
        <w:t>’</w:t>
      </w:r>
      <w:r w:rsidRPr="00BD6C5F">
        <w:t>s and each Key Sub-contractor</w:t>
      </w:r>
      <w:r w:rsidR="00A4555C" w:rsidRPr="00BD6C5F">
        <w:t>’</w:t>
      </w:r>
      <w:r w:rsidRPr="00BD6C5F">
        <w:t xml:space="preserve">s compliance with this </w:t>
      </w:r>
      <w:r w:rsidR="00934BCD" w:rsidRPr="00BD6C5F">
        <w:t xml:space="preserve">Contract </w:t>
      </w:r>
      <w:r w:rsidRPr="00BD6C5F">
        <w:t>and applicable Law;</w:t>
      </w:r>
    </w:p>
    <w:p w14:paraId="3D184282" w14:textId="77777777" w:rsidR="00BC7DDA" w:rsidRPr="00BD6C5F" w:rsidRDefault="009B03E9" w:rsidP="000D48A0">
      <w:pPr>
        <w:pStyle w:val="Numbered111"/>
      </w:pPr>
      <w:r w:rsidRPr="00BD6C5F">
        <w:t>to identify or investigate actual or suspected fraud, impropriety or accounting mistakes or any breach or threatened breach of security and in these circumstances the Authority shall have no obligation to inform the Supplier of the purpose or objective of its investigations;</w:t>
      </w:r>
    </w:p>
    <w:p w14:paraId="66BC4878" w14:textId="77777777" w:rsidR="00BC7DDA" w:rsidRPr="00BD6C5F" w:rsidRDefault="009B03E9" w:rsidP="000D48A0">
      <w:pPr>
        <w:pStyle w:val="Numbered111"/>
      </w:pPr>
      <w:r w:rsidRPr="00BD6C5F">
        <w:t>to identify or investigate any circumstances which may impact upon the financial stability of the Supplier, the Guarantor and/or any Key Sub-contractors or their ability to perform the Services;</w:t>
      </w:r>
    </w:p>
    <w:p w14:paraId="60351C3A" w14:textId="3DCE03D5" w:rsidR="00BC7DDA" w:rsidRPr="00BD6C5F" w:rsidRDefault="009B03E9" w:rsidP="000D48A0">
      <w:pPr>
        <w:pStyle w:val="Numbered111"/>
      </w:pPr>
      <w:r w:rsidRPr="00BD6C5F">
        <w:t>to obtain such information as is necessary to fulfil the Authority</w:t>
      </w:r>
      <w:r w:rsidR="00A4555C" w:rsidRPr="00BD6C5F">
        <w:t>’</w:t>
      </w:r>
      <w:r w:rsidRPr="00BD6C5F">
        <w:t>s obligations to supply information for parliamentary, ministerial, judicial or administrative purposes including the supply of information to the Comptroller and Auditor General;</w:t>
      </w:r>
    </w:p>
    <w:p w14:paraId="7088C7D7" w14:textId="089CBC75" w:rsidR="00BC7DDA" w:rsidRPr="00BD6C5F" w:rsidRDefault="009B03E9" w:rsidP="000D48A0">
      <w:pPr>
        <w:pStyle w:val="Numbered111"/>
      </w:pPr>
      <w:r w:rsidRPr="00BD6C5F">
        <w:t>to review any books of account and the internal contract management accounts kept by the Supplier in connection with this</w:t>
      </w:r>
      <w:r w:rsidR="00BF505C" w:rsidRPr="00BD6C5F">
        <w:t xml:space="preserve"> </w:t>
      </w:r>
      <w:r w:rsidR="00934BCD" w:rsidRPr="00BD6C5F">
        <w:t>Contract</w:t>
      </w:r>
      <w:r w:rsidRPr="00BD6C5F">
        <w:t>;</w:t>
      </w:r>
    </w:p>
    <w:p w14:paraId="4A677D17" w14:textId="49CA526D" w:rsidR="00BC7DDA" w:rsidRPr="00BD6C5F" w:rsidRDefault="009B03E9" w:rsidP="000D48A0">
      <w:pPr>
        <w:pStyle w:val="Numbered111"/>
      </w:pPr>
      <w:r w:rsidRPr="00BD6C5F">
        <w:t>to carry out the Authority</w:t>
      </w:r>
      <w:r w:rsidR="00A4555C" w:rsidRPr="00BD6C5F">
        <w:t>’</w:t>
      </w:r>
      <w:r w:rsidRPr="00BD6C5F">
        <w:t>s internal and statutory audits and to prepare, examine and/or certify the Authority</w:t>
      </w:r>
      <w:r w:rsidR="00A4555C" w:rsidRPr="00BD6C5F">
        <w:t>’</w:t>
      </w:r>
      <w:r w:rsidRPr="00BD6C5F">
        <w:t>s annual and interim reports and accounts;</w:t>
      </w:r>
    </w:p>
    <w:p w14:paraId="7F36AA1A" w14:textId="77777777" w:rsidR="00BC7DDA" w:rsidRPr="00BD6C5F" w:rsidRDefault="009B03E9" w:rsidP="000D48A0">
      <w:pPr>
        <w:pStyle w:val="Numbered111"/>
      </w:pPr>
      <w:r w:rsidRPr="00BD6C5F">
        <w:t>to enable the National Audit Office to carry out an examination pursuant to Section 6(1) of the National Audit Act 1983 of the economy, efficiency and effectiveness with which the Authority has used its resources;</w:t>
      </w:r>
    </w:p>
    <w:p w14:paraId="6F28A3F9" w14:textId="2F0AE286" w:rsidR="00BC7DDA" w:rsidRPr="00BD6C5F" w:rsidRDefault="009B03E9" w:rsidP="000D48A0">
      <w:pPr>
        <w:pStyle w:val="Numbered111"/>
      </w:pPr>
      <w:r w:rsidRPr="00BD6C5F">
        <w:t>to verify the accuracy and completeness of any Management Information delivered or required by this</w:t>
      </w:r>
      <w:r w:rsidR="00BF505C" w:rsidRPr="00BD6C5F">
        <w:t xml:space="preserve"> </w:t>
      </w:r>
      <w:r w:rsidR="00BC409D" w:rsidRPr="00BD6C5F">
        <w:t>Contract</w:t>
      </w:r>
      <w:r w:rsidRPr="00BD6C5F">
        <w:t>;</w:t>
      </w:r>
    </w:p>
    <w:p w14:paraId="57EB3762" w14:textId="27CB35D9" w:rsidR="00BC7DDA" w:rsidRPr="00BD6C5F" w:rsidRDefault="009B03E9" w:rsidP="000D48A0">
      <w:pPr>
        <w:pStyle w:val="Numbered111"/>
      </w:pPr>
      <w:r w:rsidRPr="00BD6C5F">
        <w:t>to review any Performance Monitoring Reports and/or other records relating to the Supplier</w:t>
      </w:r>
      <w:r w:rsidR="00A4555C" w:rsidRPr="00BD6C5F">
        <w:t>’</w:t>
      </w:r>
      <w:r w:rsidRPr="00BD6C5F">
        <w:t xml:space="preserve">s performance of the Services and to verify that these reflect the </w:t>
      </w:r>
      <w:r w:rsidRPr="00BD6C5F">
        <w:lastRenderedPageBreak/>
        <w:t>Supplier</w:t>
      </w:r>
      <w:r w:rsidR="00A4555C" w:rsidRPr="00BD6C5F">
        <w:t>’</w:t>
      </w:r>
      <w:r w:rsidRPr="00BD6C5F">
        <w:t>s own internal reports and records;</w:t>
      </w:r>
    </w:p>
    <w:p w14:paraId="75B88B8E" w14:textId="77777777" w:rsidR="00BC7DDA" w:rsidRPr="00BD6C5F" w:rsidRDefault="009B03E9" w:rsidP="000D48A0">
      <w:pPr>
        <w:pStyle w:val="Numbered111"/>
      </w:pPr>
      <w:r w:rsidRPr="00BD6C5F">
        <w:t>to inspect the IT Environment (or any part of it) and the wider service delivery environment (or any part of it);</w:t>
      </w:r>
    </w:p>
    <w:p w14:paraId="43CEC870" w14:textId="77777777" w:rsidR="00BC7DDA" w:rsidRPr="00BD6C5F" w:rsidRDefault="009B03E9" w:rsidP="000D48A0">
      <w:pPr>
        <w:pStyle w:val="Numbered111"/>
      </w:pPr>
      <w:r w:rsidRPr="00BD6C5F">
        <w:t>to review the accuracy and completeness of the Registers;</w:t>
      </w:r>
    </w:p>
    <w:p w14:paraId="6EEC4248" w14:textId="77777777" w:rsidR="00BC7DDA" w:rsidRPr="00BD6C5F" w:rsidRDefault="009B03E9" w:rsidP="000D48A0">
      <w:pPr>
        <w:pStyle w:val="Numbered111"/>
      </w:pPr>
      <w:r w:rsidRPr="00BD6C5F">
        <w:t>to review any records created during the design and development of the Supplier System and pre-operational environment such as information relating to Testing;</w:t>
      </w:r>
    </w:p>
    <w:p w14:paraId="78B7BCF0" w14:textId="061B1CF8" w:rsidR="00BC7DDA" w:rsidRPr="00BD6C5F" w:rsidRDefault="009B03E9" w:rsidP="000D48A0">
      <w:pPr>
        <w:pStyle w:val="Numbered111"/>
      </w:pPr>
      <w:r w:rsidRPr="00BD6C5F">
        <w:t>to review the Supplier</w:t>
      </w:r>
      <w:r w:rsidR="00A4555C" w:rsidRPr="00BD6C5F">
        <w:t>’</w:t>
      </w:r>
      <w:r w:rsidRPr="00BD6C5F">
        <w:t>s quality management systems (including all relevant Quality Plans and any quality manuals and procedures);</w:t>
      </w:r>
    </w:p>
    <w:p w14:paraId="3BD83BE6" w14:textId="18D75720" w:rsidR="00BC7DDA" w:rsidRPr="00BD6C5F" w:rsidRDefault="009B03E9" w:rsidP="000D48A0">
      <w:pPr>
        <w:pStyle w:val="Numbered111"/>
      </w:pPr>
      <w:r w:rsidRPr="00BD6C5F">
        <w:t>to review the Supplier</w:t>
      </w:r>
      <w:r w:rsidR="00A4555C" w:rsidRPr="00BD6C5F">
        <w:t>’</w:t>
      </w:r>
      <w:r w:rsidRPr="00BD6C5F">
        <w:t>s compliance with the Standards;</w:t>
      </w:r>
    </w:p>
    <w:p w14:paraId="717EB201" w14:textId="6E1B6E8C" w:rsidR="00BC7DDA" w:rsidRPr="00BD6C5F" w:rsidRDefault="009B03E9" w:rsidP="000D48A0">
      <w:pPr>
        <w:pStyle w:val="Numbered111"/>
      </w:pPr>
      <w:r w:rsidRPr="00BD6C5F">
        <w:t>to inspect the Authority Assets, including the Authority</w:t>
      </w:r>
      <w:r w:rsidR="00A4555C" w:rsidRPr="00BD6C5F">
        <w:t>’</w:t>
      </w:r>
      <w:r w:rsidRPr="00BD6C5F">
        <w:t>s IPRs, equipment and facilities, for the purposes of ensuring that the Authority Assets are secure and that any register of assets is up to date; and/or</w:t>
      </w:r>
    </w:p>
    <w:p w14:paraId="247FCD32" w14:textId="77777777" w:rsidR="00BC7DDA" w:rsidRPr="00BD6C5F" w:rsidRDefault="009B03E9" w:rsidP="000D48A0">
      <w:pPr>
        <w:pStyle w:val="Numbered111"/>
      </w:pPr>
      <w:r w:rsidRPr="00BD6C5F">
        <w:t>to review the integrity, confidentiality and security of the Authority Data.</w:t>
      </w:r>
    </w:p>
    <w:p w14:paraId="55EFC251" w14:textId="4FA0E959" w:rsidR="00BC7DDA" w:rsidRPr="00BD6C5F" w:rsidRDefault="009B03E9" w:rsidP="00C5057A">
      <w:pPr>
        <w:pStyle w:val="Numbered11"/>
      </w:pPr>
      <w:r w:rsidRPr="00BD6C5F">
        <w:t xml:space="preserve">Except where an audit is imposed on the Authority by a regulatory body or where the Authority has reasonable grounds for believing that the Supplier has not complied with its obligations under this </w:t>
      </w:r>
      <w:r w:rsidR="00BC409D" w:rsidRPr="00BD6C5F">
        <w:t>Contract</w:t>
      </w:r>
      <w:r w:rsidRPr="00BD6C5F">
        <w:t>, the Authority may not conduct an audit of the Supplier or of the same Key Sub-contractor more than twice in any Contract Year.</w:t>
      </w:r>
    </w:p>
    <w:p w14:paraId="69FE7E61" w14:textId="5FD59763" w:rsidR="00BC7DDA" w:rsidRPr="00BD6C5F" w:rsidRDefault="009B03E9" w:rsidP="00C5057A">
      <w:pPr>
        <w:pStyle w:val="Numbered11"/>
      </w:pPr>
      <w:r w:rsidRPr="00BD6C5F">
        <w:t xml:space="preserve">Nothing in this </w:t>
      </w:r>
      <w:r w:rsidR="00BC409D" w:rsidRPr="00BD6C5F">
        <w:t>Contract</w:t>
      </w:r>
      <w:r w:rsidR="00BF505C" w:rsidRPr="00BD6C5F">
        <w:t xml:space="preserve"> </w:t>
      </w:r>
      <w:r w:rsidRPr="00BD6C5F">
        <w:t>shall prevent or restrict the rights of the Comptroller and/or Auditor General and/or their representatives from carrying out an audit, examination or investigation of the Supplier and/or any of the Key Sub-contractors for the purposes of and pursuant to applicable Law.</w:t>
      </w:r>
    </w:p>
    <w:p w14:paraId="63435116" w14:textId="67660871" w:rsidR="00BC7DDA" w:rsidRPr="00BD6C5F" w:rsidRDefault="000D48A0" w:rsidP="000D48A0">
      <w:pPr>
        <w:pStyle w:val="Numbered1"/>
      </w:pPr>
      <w:bookmarkStart w:id="985" w:name="_bookmark337"/>
      <w:bookmarkStart w:id="986" w:name="_Ref98415948"/>
      <w:bookmarkEnd w:id="985"/>
      <w:r w:rsidRPr="00BD6C5F">
        <w:t>Conduct of Audits</w:t>
      </w:r>
      <w:bookmarkEnd w:id="986"/>
    </w:p>
    <w:p w14:paraId="288AB0E1" w14:textId="77777777" w:rsidR="00BC7DDA" w:rsidRPr="00BD6C5F" w:rsidRDefault="009B03E9" w:rsidP="00C5057A">
      <w:pPr>
        <w:pStyle w:val="Numbered11"/>
      </w:pPr>
      <w:r w:rsidRPr="00BD6C5F">
        <w:t>The 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p>
    <w:p w14:paraId="6BB07330" w14:textId="4488E5AB" w:rsidR="00BC7DDA" w:rsidRPr="00BD6C5F" w:rsidRDefault="009B03E9" w:rsidP="00C5057A">
      <w:pPr>
        <w:pStyle w:val="Numbered11"/>
      </w:pPr>
      <w:r w:rsidRPr="00BD6C5F">
        <w:t>Subject to the Authority</w:t>
      </w:r>
      <w:r w:rsidR="00A4555C" w:rsidRPr="00BD6C5F">
        <w:t>’</w:t>
      </w:r>
      <w:r w:rsidRPr="00BD6C5F">
        <w:t xml:space="preserve">s obligations of confidentiality, the Supplier shall on demand provide the Authority and the Audit Agents with all reasonable </w:t>
      </w:r>
      <w:r w:rsidR="00971138" w:rsidRPr="00BD6C5F">
        <w:t>co-operation</w:t>
      </w:r>
      <w:r w:rsidRPr="00BD6C5F">
        <w:t xml:space="preserve"> and assistance (and shall procure such co-operation and assistance from its Sub-contractors) in relation to each audit, including:</w:t>
      </w:r>
    </w:p>
    <w:p w14:paraId="6B3FF544" w14:textId="77777777" w:rsidR="00BC7DDA" w:rsidRPr="00BD6C5F" w:rsidRDefault="009B03E9" w:rsidP="000D48A0">
      <w:pPr>
        <w:pStyle w:val="Numbered111"/>
      </w:pPr>
      <w:r w:rsidRPr="00BD6C5F">
        <w:t>all information requested by the Authority within the permitted scope of the audit;</w:t>
      </w:r>
    </w:p>
    <w:p w14:paraId="19A0FC61" w14:textId="23B80AC3" w:rsidR="00BC7DDA" w:rsidRPr="00BD6C5F" w:rsidRDefault="009B03E9" w:rsidP="000D48A0">
      <w:pPr>
        <w:pStyle w:val="Numbered111"/>
      </w:pPr>
      <w:r w:rsidRPr="00BD6C5F">
        <w:t>reasonable access to any Sites and to any equipment used (whether exclusively or non-exclusively) in the performance of the Services;</w:t>
      </w:r>
    </w:p>
    <w:p w14:paraId="4FFED155" w14:textId="77777777" w:rsidR="00BC7DDA" w:rsidRPr="00BD6C5F" w:rsidRDefault="009B03E9" w:rsidP="000D48A0">
      <w:pPr>
        <w:pStyle w:val="Numbered111"/>
      </w:pPr>
      <w:r w:rsidRPr="00BD6C5F">
        <w:t>access to the Supplier System; and</w:t>
      </w:r>
    </w:p>
    <w:p w14:paraId="7DB17747" w14:textId="77777777" w:rsidR="00BC7DDA" w:rsidRPr="00BD6C5F" w:rsidRDefault="009B03E9" w:rsidP="000D48A0">
      <w:pPr>
        <w:pStyle w:val="Numbered111"/>
      </w:pPr>
      <w:r w:rsidRPr="00BD6C5F">
        <w:t>access to Supplier Personnel.</w:t>
      </w:r>
    </w:p>
    <w:p w14:paraId="1C39D0FC" w14:textId="67C8A6E5" w:rsidR="00BC7DDA" w:rsidRPr="00BD6C5F" w:rsidRDefault="009B03E9" w:rsidP="00C70900">
      <w:pPr>
        <w:pStyle w:val="Numbered11"/>
        <w:widowControl/>
      </w:pPr>
      <w:r w:rsidRPr="00BD6C5F">
        <w:lastRenderedPageBreak/>
        <w:t>The Supplier shall implement all measurement and monitoring tools and procedures necessary to measure and report on the Supplier</w:t>
      </w:r>
      <w:r w:rsidR="00A4555C" w:rsidRPr="00BD6C5F">
        <w:t>’</w:t>
      </w:r>
      <w:r w:rsidRPr="00BD6C5F">
        <w:t>s performance of the Services against the applicable Performance Indicators at a level of detail sufficient to verify compliance with the Performance Indicators.</w:t>
      </w:r>
    </w:p>
    <w:p w14:paraId="7113267D" w14:textId="757CD022" w:rsidR="00BC7DDA" w:rsidRPr="00BD6C5F" w:rsidRDefault="009B03E9" w:rsidP="00C5057A">
      <w:pPr>
        <w:pStyle w:val="Numbered11"/>
      </w:pPr>
      <w:r w:rsidRPr="00BD6C5F">
        <w:t>The Authority shall endeavour to (but is not obliged to) provide at least 15 Working Days</w:t>
      </w:r>
      <w:r w:rsidR="00A4555C" w:rsidRPr="00BD6C5F">
        <w:t>’</w:t>
      </w:r>
      <w:r w:rsidRPr="00BD6C5F">
        <w:t xml:space="preserve"> notice of its intention to conduct an audit.</w:t>
      </w:r>
    </w:p>
    <w:p w14:paraId="06B88C8A" w14:textId="5E9911B7" w:rsidR="00BC7DDA" w:rsidRPr="00BD6C5F" w:rsidRDefault="009B03E9" w:rsidP="00C5057A">
      <w:pPr>
        <w:pStyle w:val="Numbered11"/>
      </w:pPr>
      <w:r w:rsidRPr="00BD6C5F">
        <w:t xml:space="preserve">The Parties agree that they shall bear their own respective costs and expenses incurred in respect of compliance with their obligations under this Paragraph </w:t>
      </w:r>
      <w:r w:rsidR="007561EA" w:rsidRPr="00BD6C5F">
        <w:fldChar w:fldCharType="begin"/>
      </w:r>
      <w:r w:rsidR="007561EA" w:rsidRPr="00BD6C5F">
        <w:instrText xml:space="preserve"> REF _Ref98415948 \n \h </w:instrText>
      </w:r>
      <w:r w:rsidR="00AD7DD0" w:rsidRPr="00BD6C5F">
        <w:instrText xml:space="preserve"> \* MERGEFORMAT </w:instrText>
      </w:r>
      <w:r w:rsidR="007561EA" w:rsidRPr="00BD6C5F">
        <w:fldChar w:fldCharType="separate"/>
      </w:r>
      <w:r w:rsidR="009749A0">
        <w:t>2</w:t>
      </w:r>
      <w:r w:rsidR="007561EA" w:rsidRPr="00BD6C5F">
        <w:fldChar w:fldCharType="end"/>
      </w:r>
      <w:r w:rsidRPr="00BD6C5F">
        <w:t>, unless the audit identifies a material Default by the Supplier in which case the Supplier shall reimburse the Authority for all the Authority</w:t>
      </w:r>
      <w:r w:rsidR="00A4555C" w:rsidRPr="00BD6C5F">
        <w:t>’</w:t>
      </w:r>
      <w:r w:rsidRPr="00BD6C5F">
        <w:t>s reasonable costs incurred in connection with the audit.</w:t>
      </w:r>
    </w:p>
    <w:p w14:paraId="70F438CF" w14:textId="280A3FCF" w:rsidR="00BC7DDA" w:rsidRPr="00BD6C5F" w:rsidRDefault="000D48A0" w:rsidP="000D48A0">
      <w:pPr>
        <w:pStyle w:val="Numbered1"/>
      </w:pPr>
      <w:bookmarkStart w:id="987" w:name="_bookmark338"/>
      <w:bookmarkStart w:id="988" w:name="_Ref98416015"/>
      <w:bookmarkEnd w:id="987"/>
      <w:r w:rsidRPr="00BD6C5F">
        <w:t>Use of Supplier’s Internal Audit Team</w:t>
      </w:r>
      <w:bookmarkEnd w:id="988"/>
    </w:p>
    <w:p w14:paraId="6434639E" w14:textId="65BE6145" w:rsidR="00BC7DDA" w:rsidRPr="00BD6C5F" w:rsidRDefault="009B03E9" w:rsidP="00C5057A">
      <w:pPr>
        <w:pStyle w:val="Numbered11"/>
      </w:pPr>
      <w:bookmarkStart w:id="989" w:name="_bookmark339"/>
      <w:bookmarkStart w:id="990" w:name="_Ref98415997"/>
      <w:bookmarkEnd w:id="989"/>
      <w:r w:rsidRPr="00BD6C5F">
        <w:t>As an alternative to the Authority</w:t>
      </w:r>
      <w:r w:rsidR="00A4555C" w:rsidRPr="00BD6C5F">
        <w:t>’</w:t>
      </w:r>
      <w:r w:rsidRPr="00BD6C5F">
        <w:t xml:space="preserve">s right pursuant to Paragraph </w:t>
      </w:r>
      <w:r w:rsidR="007561EA" w:rsidRPr="00BD6C5F">
        <w:fldChar w:fldCharType="begin"/>
      </w:r>
      <w:r w:rsidR="007561EA" w:rsidRPr="00BD6C5F">
        <w:instrText xml:space="preserve"> REF _Ref98415505 \n \h </w:instrText>
      </w:r>
      <w:r w:rsidR="00AD7DD0" w:rsidRPr="00BD6C5F">
        <w:instrText xml:space="preserve"> \* MERGEFORMAT </w:instrText>
      </w:r>
      <w:r w:rsidR="007561EA" w:rsidRPr="00BD6C5F">
        <w:fldChar w:fldCharType="separate"/>
      </w:r>
      <w:r w:rsidR="009749A0">
        <w:t>1.1</w:t>
      </w:r>
      <w:r w:rsidR="007561EA" w:rsidRPr="00BD6C5F">
        <w:fldChar w:fldCharType="end"/>
      </w:r>
      <w:r w:rsidRPr="00BD6C5F">
        <w:t xml:space="preserve"> to exercise an audit either itself or through its Audit Agents, the Authority may require in writing that an audit is undertaken by the Supplier</w:t>
      </w:r>
      <w:r w:rsidR="00A4555C" w:rsidRPr="00BD6C5F">
        <w:t>’</w:t>
      </w:r>
      <w:r w:rsidRPr="00BD6C5F">
        <w:t xml:space="preserve">s own internal audit function for any of the purposes set out in Paragraph </w:t>
      </w:r>
      <w:r w:rsidR="007561EA" w:rsidRPr="00BD6C5F">
        <w:fldChar w:fldCharType="begin"/>
      </w:r>
      <w:r w:rsidR="007561EA" w:rsidRPr="00BD6C5F">
        <w:instrText xml:space="preserve"> REF _Ref98415505 \n \h </w:instrText>
      </w:r>
      <w:r w:rsidR="00AD7DD0" w:rsidRPr="00BD6C5F">
        <w:instrText xml:space="preserve"> \* MERGEFORMAT </w:instrText>
      </w:r>
      <w:r w:rsidR="007561EA" w:rsidRPr="00BD6C5F">
        <w:fldChar w:fldCharType="separate"/>
      </w:r>
      <w:r w:rsidR="009749A0">
        <w:t>1.1</w:t>
      </w:r>
      <w:r w:rsidR="007561EA" w:rsidRPr="00BD6C5F">
        <w:fldChar w:fldCharType="end"/>
      </w:r>
      <w:r w:rsidRPr="00BD6C5F">
        <w:t>.</w:t>
      </w:r>
      <w:bookmarkEnd w:id="990"/>
    </w:p>
    <w:p w14:paraId="48DE9F81" w14:textId="34C47895" w:rsidR="00BC7DDA" w:rsidRPr="00BD6C5F" w:rsidRDefault="009B03E9" w:rsidP="00C70900">
      <w:pPr>
        <w:pStyle w:val="Numbered11"/>
        <w:keepNext/>
      </w:pPr>
      <w:r w:rsidRPr="00BD6C5F">
        <w:t xml:space="preserve">Following the receipt of a request from the Authority under Paragraph </w:t>
      </w:r>
      <w:r w:rsidR="007561EA" w:rsidRPr="00BD6C5F">
        <w:fldChar w:fldCharType="begin"/>
      </w:r>
      <w:r w:rsidR="007561EA" w:rsidRPr="00BD6C5F">
        <w:instrText xml:space="preserve"> REF _Ref98415997 \n \h </w:instrText>
      </w:r>
      <w:r w:rsidR="00AD7DD0" w:rsidRPr="00BD6C5F">
        <w:instrText xml:space="preserve"> \* MERGEFORMAT </w:instrText>
      </w:r>
      <w:r w:rsidR="007561EA" w:rsidRPr="00BD6C5F">
        <w:fldChar w:fldCharType="separate"/>
      </w:r>
      <w:r w:rsidR="009749A0">
        <w:t>3.1</w:t>
      </w:r>
      <w:r w:rsidR="007561EA" w:rsidRPr="00BD6C5F">
        <w:fldChar w:fldCharType="end"/>
      </w:r>
      <w:r w:rsidRPr="00BD6C5F">
        <w:t xml:space="preserve"> above, the Supplier shall procure that the relevant audit is undertaken as soon as reasonably practicable and that the Authority has unfettered access to:</w:t>
      </w:r>
    </w:p>
    <w:p w14:paraId="1F9A026A" w14:textId="77777777" w:rsidR="00BC7DDA" w:rsidRPr="00BD6C5F" w:rsidRDefault="009B03E9" w:rsidP="000D48A0">
      <w:pPr>
        <w:pStyle w:val="Numbered111"/>
      </w:pPr>
      <w:r w:rsidRPr="00BD6C5F">
        <w:t>the resultant audit reports; and</w:t>
      </w:r>
    </w:p>
    <w:p w14:paraId="725B5B38" w14:textId="2B5064FC" w:rsidR="00BC7DDA" w:rsidRPr="00BD6C5F" w:rsidRDefault="009B03E9" w:rsidP="000D48A0">
      <w:pPr>
        <w:pStyle w:val="Numbered111"/>
      </w:pPr>
      <w:r w:rsidRPr="00BD6C5F">
        <w:t>all relevant members of the Supplier</w:t>
      </w:r>
      <w:r w:rsidR="00A4555C" w:rsidRPr="00BD6C5F">
        <w:t>’</w:t>
      </w:r>
      <w:r w:rsidRPr="00BD6C5F">
        <w:t>s internal audit team for the purpose of understanding such audit reports.</w:t>
      </w:r>
    </w:p>
    <w:p w14:paraId="35C774D2" w14:textId="7D0E9DAA" w:rsidR="00BC7DDA" w:rsidRPr="00BD6C5F" w:rsidRDefault="000D48A0" w:rsidP="000D48A0">
      <w:pPr>
        <w:pStyle w:val="Numbered1"/>
      </w:pPr>
      <w:r w:rsidRPr="00BD6C5F">
        <w:t>Response to Audits</w:t>
      </w:r>
    </w:p>
    <w:p w14:paraId="3FD97155" w14:textId="0FF42B79" w:rsidR="00BC7DDA" w:rsidRPr="00BD6C5F" w:rsidRDefault="009B03E9" w:rsidP="00C70900">
      <w:pPr>
        <w:pStyle w:val="Numbered11"/>
        <w:keepNext/>
      </w:pPr>
      <w:r w:rsidRPr="00BD6C5F">
        <w:t xml:space="preserve">If an audit undertaken pursuant to Paragraphs </w:t>
      </w:r>
      <w:r w:rsidR="007561EA" w:rsidRPr="00BD6C5F">
        <w:fldChar w:fldCharType="begin"/>
      </w:r>
      <w:r w:rsidR="007561EA" w:rsidRPr="00BD6C5F">
        <w:instrText xml:space="preserve"> REF _Ref98416006 \n \h </w:instrText>
      </w:r>
      <w:r w:rsidR="00AD7DD0" w:rsidRPr="00BD6C5F">
        <w:instrText xml:space="preserve"> \* MERGEFORMAT </w:instrText>
      </w:r>
      <w:r w:rsidR="007561EA" w:rsidRPr="00BD6C5F">
        <w:fldChar w:fldCharType="separate"/>
      </w:r>
      <w:r w:rsidR="009749A0">
        <w:t>1</w:t>
      </w:r>
      <w:r w:rsidR="007561EA" w:rsidRPr="00BD6C5F">
        <w:fldChar w:fldCharType="end"/>
      </w:r>
      <w:r w:rsidRPr="00BD6C5F">
        <w:t xml:space="preserve"> or </w:t>
      </w:r>
      <w:r w:rsidR="007561EA" w:rsidRPr="00BD6C5F">
        <w:fldChar w:fldCharType="begin"/>
      </w:r>
      <w:r w:rsidR="007561EA" w:rsidRPr="00BD6C5F">
        <w:instrText xml:space="preserve"> REF _Ref98416015 \n \h </w:instrText>
      </w:r>
      <w:r w:rsidR="00AD7DD0" w:rsidRPr="00BD6C5F">
        <w:instrText xml:space="preserve"> \* MERGEFORMAT </w:instrText>
      </w:r>
      <w:r w:rsidR="007561EA" w:rsidRPr="00BD6C5F">
        <w:fldChar w:fldCharType="separate"/>
      </w:r>
      <w:r w:rsidR="009749A0">
        <w:t>3</w:t>
      </w:r>
      <w:r w:rsidR="007561EA" w:rsidRPr="00BD6C5F">
        <w:fldChar w:fldCharType="end"/>
      </w:r>
      <w:r w:rsidRPr="00BD6C5F">
        <w:t xml:space="preserve"> identifies that:</w:t>
      </w:r>
    </w:p>
    <w:p w14:paraId="13DDA9F1" w14:textId="77777777" w:rsidR="00BC7DDA" w:rsidRPr="00BD6C5F" w:rsidRDefault="009B03E9" w:rsidP="000D48A0">
      <w:pPr>
        <w:pStyle w:val="Numbered111"/>
      </w:pPr>
      <w:r w:rsidRPr="00BD6C5F">
        <w:t>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w:t>
      </w:r>
    </w:p>
    <w:p w14:paraId="39CD30C8" w14:textId="77777777" w:rsidR="00BC7DDA" w:rsidRPr="00BD6C5F" w:rsidRDefault="009B03E9" w:rsidP="000D48A0">
      <w:pPr>
        <w:pStyle w:val="Numbered111"/>
      </w:pPr>
      <w:r w:rsidRPr="00BD6C5F">
        <w:t>there is an error in a Financial Report, the Supplier shall promptly rectify the error;</w:t>
      </w:r>
    </w:p>
    <w:p w14:paraId="0FD54545" w14:textId="77777777" w:rsidR="00BC7DDA" w:rsidRPr="00BD6C5F" w:rsidRDefault="009B03E9" w:rsidP="00C70900">
      <w:pPr>
        <w:pStyle w:val="Numbered111"/>
        <w:keepNext/>
      </w:pPr>
      <w:r w:rsidRPr="00BD6C5F">
        <w:t>the Authority has overpaid any Charges, the Supplier shall pay to the Authority:</w:t>
      </w:r>
    </w:p>
    <w:p w14:paraId="03CF2F07" w14:textId="77777777" w:rsidR="00BC7DDA" w:rsidRPr="00BD6C5F" w:rsidRDefault="009B03E9" w:rsidP="009C1CCA">
      <w:pPr>
        <w:pStyle w:val="Numbered111a"/>
        <w:rPr>
          <w:lang w:val="en-GB"/>
        </w:rPr>
      </w:pPr>
      <w:r w:rsidRPr="00BD6C5F">
        <w:rPr>
          <w:lang w:val="en-GB"/>
        </w:rPr>
        <w:t>the amount overpaid;</w:t>
      </w:r>
    </w:p>
    <w:p w14:paraId="7DFF5794" w14:textId="27BB01A6" w:rsidR="00BC7DDA" w:rsidRPr="00BD6C5F" w:rsidRDefault="009B03E9" w:rsidP="000D48A0">
      <w:pPr>
        <w:pStyle w:val="Numbered111a"/>
        <w:rPr>
          <w:lang w:val="en-GB"/>
        </w:rPr>
      </w:pPr>
      <w:r w:rsidRPr="00BD6C5F">
        <w:rPr>
          <w:lang w:val="en-GB"/>
        </w:rPr>
        <w:t>interest on the amount overpaid at the applicable rate under the Late Payment of Commercial Debts (Interest) Act 1998, accruing on a daily basis from the date of overpayment by the Authority up to the date of repayment by the Supplier; and</w:t>
      </w:r>
    </w:p>
    <w:p w14:paraId="47CFD209" w14:textId="77777777" w:rsidR="00BC7DDA" w:rsidRPr="00BD6C5F" w:rsidRDefault="009B03E9" w:rsidP="000D48A0">
      <w:pPr>
        <w:pStyle w:val="Numbered111a"/>
        <w:rPr>
          <w:lang w:val="en-GB"/>
        </w:rPr>
      </w:pPr>
      <w:r w:rsidRPr="00BD6C5F">
        <w:rPr>
          <w:lang w:val="en-GB"/>
        </w:rPr>
        <w:t>the reasonable costs incurred by the Authority in undertaking the audit,</w:t>
      </w:r>
    </w:p>
    <w:p w14:paraId="0AB9741F" w14:textId="77777777" w:rsidR="00BC7DDA" w:rsidRPr="00BD6C5F" w:rsidRDefault="009B03E9" w:rsidP="00D94FCB">
      <w:pPr>
        <w:pStyle w:val="BodyText"/>
        <w:spacing w:before="100" w:after="200"/>
        <w:ind w:left="1803"/>
        <w:rPr>
          <w:rFonts w:asciiTheme="minorHAnsi" w:hAnsiTheme="minorHAnsi" w:cstheme="minorHAnsi"/>
        </w:rPr>
      </w:pPr>
      <w:r w:rsidRPr="00BD6C5F">
        <w:rPr>
          <w:rFonts w:asciiTheme="minorHAnsi" w:hAnsiTheme="minorHAnsi" w:cstheme="minorHAnsi"/>
        </w:rPr>
        <w:t>the Authority may exercise its right to deduct such amount from the Charges if it prefers; and</w:t>
      </w:r>
    </w:p>
    <w:p w14:paraId="39FBE382" w14:textId="43FDAA58" w:rsidR="00F751C6" w:rsidRPr="00BD6C5F" w:rsidRDefault="009B03E9" w:rsidP="0095651E">
      <w:pPr>
        <w:pStyle w:val="Numbered111"/>
      </w:pPr>
      <w:r w:rsidRPr="00BD6C5F">
        <w:lastRenderedPageBreak/>
        <w:t>the Authority has underpaid any Charges, the Supplier shall not be entitled to increase the Charges paid or payable by the Authority.</w:t>
      </w:r>
    </w:p>
    <w:p w14:paraId="2AA45762" w14:textId="77777777" w:rsidR="007F3BCB" w:rsidRPr="00BD6C5F" w:rsidRDefault="007F3BCB" w:rsidP="00D94FCB">
      <w:pPr>
        <w:sectPr w:rsidR="007F3BCB" w:rsidRPr="00BD6C5F" w:rsidSect="00EA65BF">
          <w:headerReference w:type="default" r:id="rId91"/>
          <w:footerReference w:type="default" r:id="rId92"/>
          <w:pgSz w:w="11910" w:h="16840"/>
          <w:pgMar w:top="1701" w:right="851" w:bottom="1134" w:left="851" w:header="567" w:footer="567" w:gutter="0"/>
          <w:cols w:space="720"/>
        </w:sectPr>
      </w:pPr>
    </w:p>
    <w:p w14:paraId="3C458A6C" w14:textId="2A82188D" w:rsidR="004F122B" w:rsidRDefault="004F122B" w:rsidP="004F122B">
      <w:pPr>
        <w:pStyle w:val="Dividername"/>
      </w:pPr>
      <w:bookmarkStart w:id="991" w:name="_bookmark340"/>
      <w:bookmarkStart w:id="992" w:name="_Toc98332760"/>
      <w:bookmarkStart w:id="993" w:name="_Toc98852937"/>
      <w:bookmarkEnd w:id="991"/>
      <w:r>
        <w:lastRenderedPageBreak/>
        <w:t xml:space="preserve">Schedule </w:t>
      </w:r>
      <w:bookmarkStart w:id="994" w:name="Schedule_20"/>
      <w:r>
        <w:t>20</w:t>
      </w:r>
      <w:bookmarkEnd w:id="994"/>
    </w:p>
    <w:p w14:paraId="52DC351D" w14:textId="62813427" w:rsidR="004F122B" w:rsidRDefault="004F122B" w:rsidP="004F122B">
      <w:pPr>
        <w:pStyle w:val="Dividername"/>
      </w:pPr>
      <w:r w:rsidRPr="004F122B">
        <w:t>Anticipated Savings</w:t>
      </w:r>
    </w:p>
    <w:p w14:paraId="64EE783E" w14:textId="77777777" w:rsidR="004F122B" w:rsidRDefault="004F122B" w:rsidP="004F122B"/>
    <w:p w14:paraId="2F25324D" w14:textId="6A4BADE6" w:rsidR="00BC7DDA" w:rsidRPr="00BD6C5F" w:rsidRDefault="00A05098" w:rsidP="004F122B">
      <w:pPr>
        <w:pStyle w:val="Heading1"/>
        <w:pageBreakBefore/>
      </w:pPr>
      <w:bookmarkStart w:id="995" w:name="_Toc141721029"/>
      <w:r w:rsidRPr="00BD6C5F">
        <w:lastRenderedPageBreak/>
        <w:t>Schedule 20</w:t>
      </w:r>
      <w:r w:rsidR="0058158C" w:rsidRPr="00BD6C5F">
        <w:t>:</w:t>
      </w:r>
      <w:r w:rsidRPr="00BD6C5F">
        <w:t xml:space="preserve"> Anticipated Savings</w:t>
      </w:r>
      <w:bookmarkEnd w:id="992"/>
      <w:bookmarkEnd w:id="993"/>
      <w:bookmarkEnd w:id="995"/>
    </w:p>
    <w:p w14:paraId="71E0A27F" w14:textId="20C9B643" w:rsidR="00785C5B" w:rsidRPr="00BD6C5F" w:rsidRDefault="00785C5B" w:rsidP="00A05098">
      <w:pPr>
        <w:jc w:val="center"/>
      </w:pPr>
      <w:r w:rsidRPr="00BD6C5F">
        <w:t>This is the schedule referred to in the foregoing agreement betwe</w:t>
      </w:r>
      <w:r w:rsidR="000D48A0" w:rsidRPr="00BD6C5F">
        <w:t>en [</w:t>
      </w:r>
      <w:r w:rsidR="000D48A0" w:rsidRPr="00BD6C5F">
        <w:rPr>
          <w:highlight w:val="yellow"/>
        </w:rPr>
        <w:t>name of party</w:t>
      </w:r>
      <w:r w:rsidR="000D48A0" w:rsidRPr="00BD6C5F">
        <w:t>] and [</w:t>
      </w:r>
      <w:r w:rsidR="000D48A0" w:rsidRPr="00BD6C5F">
        <w:rPr>
          <w:highlight w:val="yellow"/>
        </w:rPr>
        <w:t>name of party</w:t>
      </w:r>
      <w:r w:rsidR="000D48A0" w:rsidRPr="00BD6C5F">
        <w:t>] dated [</w:t>
      </w:r>
      <w:r w:rsidR="000D48A0" w:rsidRPr="00BD6C5F">
        <w:rPr>
          <w:highlight w:val="yellow"/>
        </w:rPr>
        <w:t>date</w:t>
      </w:r>
      <w:r w:rsidR="000D48A0" w:rsidRPr="00BD6C5F">
        <w:t>]</w:t>
      </w:r>
    </w:p>
    <w:p w14:paraId="4D613B15" w14:textId="51BC8A49" w:rsidR="00BC7DDA" w:rsidRPr="00BD6C5F" w:rsidRDefault="009B03E9" w:rsidP="00A05098">
      <w:pPr>
        <w:spacing w:before="100" w:after="200"/>
      </w:pPr>
      <w:r w:rsidRPr="00BD6C5F">
        <w:t>This Schedule defines the key benefit categories in which savings are anticipated.</w:t>
      </w:r>
    </w:p>
    <w:tbl>
      <w:tblPr>
        <w:tblStyle w:val="MSATable-header"/>
        <w:tblW w:w="10262" w:type="dxa"/>
        <w:tblLayout w:type="fixed"/>
        <w:tblLook w:val="0620" w:firstRow="1" w:lastRow="0" w:firstColumn="0" w:lastColumn="0" w:noHBand="1" w:noVBand="1"/>
      </w:tblPr>
      <w:tblGrid>
        <w:gridCol w:w="680"/>
        <w:gridCol w:w="4082"/>
        <w:gridCol w:w="2665"/>
        <w:gridCol w:w="2835"/>
      </w:tblGrid>
      <w:tr w:rsidR="00BC7DDA" w:rsidRPr="00BD6C5F" w14:paraId="30442EE9" w14:textId="77777777" w:rsidTr="006F5515">
        <w:trPr>
          <w:cnfStyle w:val="100000000000" w:firstRow="1" w:lastRow="0" w:firstColumn="0" w:lastColumn="0" w:oddVBand="0" w:evenVBand="0" w:oddHBand="0" w:evenHBand="0" w:firstRowFirstColumn="0" w:firstRowLastColumn="0" w:lastRowFirstColumn="0" w:lastRowLastColumn="0"/>
          <w:tblHeader/>
        </w:trPr>
        <w:tc>
          <w:tcPr>
            <w:tcW w:w="680" w:type="dxa"/>
          </w:tcPr>
          <w:p w14:paraId="5CC8F91F" w14:textId="77777777" w:rsidR="00BC7DDA" w:rsidRPr="00BD6C5F" w:rsidRDefault="009B03E9" w:rsidP="00A05098">
            <w:pPr>
              <w:pStyle w:val="Tabletext"/>
            </w:pPr>
            <w:r w:rsidRPr="00BD6C5F">
              <w:t>Ref.</w:t>
            </w:r>
          </w:p>
        </w:tc>
        <w:tc>
          <w:tcPr>
            <w:tcW w:w="4082" w:type="dxa"/>
          </w:tcPr>
          <w:p w14:paraId="2509F993" w14:textId="77777777" w:rsidR="00BC7DDA" w:rsidRPr="00BD6C5F" w:rsidRDefault="009B03E9" w:rsidP="00A05098">
            <w:pPr>
              <w:pStyle w:val="Tabletext"/>
            </w:pPr>
            <w:r w:rsidRPr="00BD6C5F">
              <w:t>Benefit Category</w:t>
            </w:r>
          </w:p>
        </w:tc>
        <w:tc>
          <w:tcPr>
            <w:tcW w:w="2665" w:type="dxa"/>
          </w:tcPr>
          <w:p w14:paraId="0AB831AE" w14:textId="77777777" w:rsidR="00BC7DDA" w:rsidRPr="00BD6C5F" w:rsidRDefault="009B03E9" w:rsidP="00A05098">
            <w:pPr>
              <w:pStyle w:val="Tabletext"/>
            </w:pPr>
            <w:r w:rsidRPr="00BD6C5F">
              <w:t>Indicative amount (£k)</w:t>
            </w:r>
          </w:p>
        </w:tc>
        <w:tc>
          <w:tcPr>
            <w:tcW w:w="2835" w:type="dxa"/>
          </w:tcPr>
          <w:p w14:paraId="5756994E" w14:textId="77777777" w:rsidR="00BC7DDA" w:rsidRPr="00BD6C5F" w:rsidRDefault="009B03E9" w:rsidP="00A05098">
            <w:pPr>
              <w:pStyle w:val="Tabletext"/>
            </w:pPr>
            <w:r w:rsidRPr="00BD6C5F">
              <w:t>Timescale</w:t>
            </w:r>
          </w:p>
        </w:tc>
      </w:tr>
      <w:tr w:rsidR="00BC7DDA" w:rsidRPr="00BD6C5F" w14:paraId="41355B14" w14:textId="77777777" w:rsidTr="006F5515">
        <w:tc>
          <w:tcPr>
            <w:tcW w:w="680" w:type="dxa"/>
          </w:tcPr>
          <w:p w14:paraId="42C877DC" w14:textId="77777777" w:rsidR="00BC7DDA" w:rsidRPr="00BD6C5F" w:rsidRDefault="009B03E9" w:rsidP="00A05098">
            <w:pPr>
              <w:pStyle w:val="Tabletext"/>
            </w:pPr>
            <w:r w:rsidRPr="00BD6C5F">
              <w:rPr>
                <w:w w:val="99"/>
              </w:rPr>
              <w:t>1</w:t>
            </w:r>
          </w:p>
        </w:tc>
        <w:tc>
          <w:tcPr>
            <w:tcW w:w="4082" w:type="dxa"/>
          </w:tcPr>
          <w:p w14:paraId="1FAB1D3F" w14:textId="77777777" w:rsidR="00BC7DDA" w:rsidRPr="00C76C8A" w:rsidRDefault="009B03E9" w:rsidP="00A05098">
            <w:pPr>
              <w:pStyle w:val="Tabletext"/>
              <w:rPr>
                <w:highlight w:val="yellow"/>
              </w:rPr>
            </w:pPr>
            <w:r w:rsidRPr="00C76C8A">
              <w:rPr>
                <w:highlight w:val="yellow"/>
                <w:shd w:val="clear" w:color="auto" w:fill="FFFF00"/>
              </w:rPr>
              <w:t>[E.g. - Reduction in Service</w:t>
            </w:r>
            <w:r w:rsidRPr="00C76C8A">
              <w:rPr>
                <w:highlight w:val="yellow"/>
              </w:rPr>
              <w:t xml:space="preserve"> </w:t>
            </w:r>
            <w:r w:rsidRPr="00C76C8A">
              <w:rPr>
                <w:highlight w:val="yellow"/>
                <w:shd w:val="clear" w:color="auto" w:fill="FFFF00"/>
              </w:rPr>
              <w:t>Charges as Service delivery</w:t>
            </w:r>
            <w:r w:rsidRPr="00C76C8A">
              <w:rPr>
                <w:highlight w:val="yellow"/>
              </w:rPr>
              <w:t xml:space="preserve"> </w:t>
            </w:r>
            <w:r w:rsidRPr="00C76C8A">
              <w:rPr>
                <w:highlight w:val="yellow"/>
                <w:shd w:val="clear" w:color="auto" w:fill="FFFF00"/>
              </w:rPr>
              <w:t>becomes more efficient and</w:t>
            </w:r>
            <w:r w:rsidRPr="00C76C8A">
              <w:rPr>
                <w:highlight w:val="yellow"/>
              </w:rPr>
              <w:t xml:space="preserve"> </w:t>
            </w:r>
            <w:r w:rsidRPr="00C76C8A">
              <w:rPr>
                <w:highlight w:val="yellow"/>
                <w:shd w:val="clear" w:color="auto" w:fill="FFFF00"/>
              </w:rPr>
              <w:t>effective.</w:t>
            </w:r>
          </w:p>
          <w:p w14:paraId="028DCA10" w14:textId="1B5D144F" w:rsidR="00BC7DDA" w:rsidRPr="00C76C8A" w:rsidRDefault="009B03E9" w:rsidP="00A05098">
            <w:pPr>
              <w:pStyle w:val="Tabletext"/>
              <w:rPr>
                <w:highlight w:val="yellow"/>
              </w:rPr>
            </w:pPr>
            <w:r w:rsidRPr="00C76C8A">
              <w:rPr>
                <w:highlight w:val="yellow"/>
                <w:shd w:val="clear" w:color="auto" w:fill="FFFF00"/>
              </w:rPr>
              <w:t>Benefit realisation is measured</w:t>
            </w:r>
            <w:r w:rsidRPr="00C76C8A">
              <w:rPr>
                <w:highlight w:val="yellow"/>
              </w:rPr>
              <w:t xml:space="preserve"> </w:t>
            </w:r>
            <w:r w:rsidRPr="00C76C8A">
              <w:rPr>
                <w:highlight w:val="yellow"/>
                <w:shd w:val="clear" w:color="auto" w:fill="FFFF00"/>
              </w:rPr>
              <w:t>against [a 2012/13 baseline.]</w:t>
            </w:r>
          </w:p>
        </w:tc>
        <w:tc>
          <w:tcPr>
            <w:tcW w:w="2665" w:type="dxa"/>
          </w:tcPr>
          <w:p w14:paraId="148D88EE" w14:textId="77777777" w:rsidR="00BC7DDA" w:rsidRPr="00BD6C5F" w:rsidRDefault="009B03E9" w:rsidP="00A05098">
            <w:pPr>
              <w:pStyle w:val="Tabletext"/>
            </w:pPr>
            <w:r w:rsidRPr="00BD6C5F">
              <w:rPr>
                <w:shd w:val="clear" w:color="auto" w:fill="FFFF00"/>
              </w:rPr>
              <w:t>£[amount]</w:t>
            </w:r>
            <w:r w:rsidRPr="00BD6C5F">
              <w:t xml:space="preserve"> per annum</w:t>
            </w:r>
          </w:p>
        </w:tc>
        <w:tc>
          <w:tcPr>
            <w:tcW w:w="2835" w:type="dxa"/>
          </w:tcPr>
          <w:p w14:paraId="14CAC006" w14:textId="77777777" w:rsidR="00BC7DDA" w:rsidRPr="00BD6C5F" w:rsidRDefault="009B03E9" w:rsidP="00A05098">
            <w:pPr>
              <w:pStyle w:val="Tabletext"/>
            </w:pPr>
            <w:r w:rsidRPr="00BD6C5F">
              <w:t xml:space="preserve">Contract Years </w:t>
            </w:r>
            <w:r w:rsidRPr="00BD6C5F">
              <w:rPr>
                <w:shd w:val="clear" w:color="auto" w:fill="FFFF00"/>
              </w:rPr>
              <w:t>[x]</w:t>
            </w:r>
            <w:r w:rsidRPr="00BD6C5F">
              <w:t xml:space="preserve"> to </w:t>
            </w:r>
            <w:r w:rsidRPr="00BD6C5F">
              <w:rPr>
                <w:shd w:val="clear" w:color="auto" w:fill="FFFF00"/>
              </w:rPr>
              <w:t>[y]</w:t>
            </w:r>
          </w:p>
        </w:tc>
      </w:tr>
      <w:tr w:rsidR="00BC7DDA" w:rsidRPr="00BD6C5F" w14:paraId="782535B9" w14:textId="77777777" w:rsidTr="006F5515">
        <w:tc>
          <w:tcPr>
            <w:tcW w:w="680" w:type="dxa"/>
          </w:tcPr>
          <w:p w14:paraId="36F3F13F" w14:textId="77777777" w:rsidR="00BC7DDA" w:rsidRPr="00BD6C5F" w:rsidRDefault="009B03E9" w:rsidP="00A05098">
            <w:pPr>
              <w:pStyle w:val="Tabletext"/>
            </w:pPr>
            <w:r w:rsidRPr="00BD6C5F">
              <w:rPr>
                <w:w w:val="99"/>
              </w:rPr>
              <w:t>2</w:t>
            </w:r>
          </w:p>
        </w:tc>
        <w:tc>
          <w:tcPr>
            <w:tcW w:w="4082" w:type="dxa"/>
          </w:tcPr>
          <w:p w14:paraId="477AD5B4" w14:textId="77777777" w:rsidR="00BC7DDA" w:rsidRPr="00C76C8A" w:rsidRDefault="009B03E9" w:rsidP="00A05098">
            <w:pPr>
              <w:pStyle w:val="Tabletext"/>
              <w:rPr>
                <w:highlight w:val="yellow"/>
              </w:rPr>
            </w:pPr>
            <w:r w:rsidRPr="00C76C8A">
              <w:rPr>
                <w:highlight w:val="yellow"/>
              </w:rPr>
              <w:t>[E.g. - Improvements in Authority staff productivity from using more flexible and agile services that match the needs of the business.</w:t>
            </w:r>
          </w:p>
          <w:p w14:paraId="4E652FBC" w14:textId="77777777" w:rsidR="00BC7DDA" w:rsidRPr="00C76C8A" w:rsidRDefault="009B03E9" w:rsidP="00A05098">
            <w:pPr>
              <w:pStyle w:val="Tabletext"/>
              <w:rPr>
                <w:highlight w:val="yellow"/>
              </w:rPr>
            </w:pPr>
            <w:r w:rsidRPr="00C76C8A">
              <w:rPr>
                <w:highlight w:val="yellow"/>
                <w:shd w:val="clear" w:color="auto" w:fill="FFFF00"/>
              </w:rPr>
              <w:t>Benefits realisation is measured</w:t>
            </w:r>
            <w:r w:rsidRPr="00C76C8A">
              <w:rPr>
                <w:highlight w:val="yellow"/>
              </w:rPr>
              <w:t xml:space="preserve"> </w:t>
            </w:r>
            <w:r w:rsidRPr="00C76C8A">
              <w:rPr>
                <w:highlight w:val="yellow"/>
                <w:shd w:val="clear" w:color="auto" w:fill="FFFF00"/>
              </w:rPr>
              <w:t>against a baseline of 4,000</w:t>
            </w:r>
            <w:r w:rsidRPr="00C76C8A">
              <w:rPr>
                <w:highlight w:val="yellow"/>
              </w:rPr>
              <w:t xml:space="preserve"> </w:t>
            </w:r>
            <w:r w:rsidRPr="00C76C8A">
              <w:rPr>
                <w:highlight w:val="yellow"/>
                <w:shd w:val="clear" w:color="auto" w:fill="FFFF00"/>
              </w:rPr>
              <w:t>directly employed staff in</w:t>
            </w:r>
            <w:r w:rsidRPr="00C76C8A">
              <w:rPr>
                <w:highlight w:val="yellow"/>
              </w:rPr>
              <w:t xml:space="preserve"> </w:t>
            </w:r>
            <w:r w:rsidRPr="00C76C8A">
              <w:rPr>
                <w:highlight w:val="yellow"/>
                <w:shd w:val="clear" w:color="auto" w:fill="FFFF00"/>
              </w:rPr>
              <w:t>2013/14.]</w:t>
            </w:r>
          </w:p>
        </w:tc>
        <w:tc>
          <w:tcPr>
            <w:tcW w:w="2665" w:type="dxa"/>
          </w:tcPr>
          <w:p w14:paraId="615E4CC2" w14:textId="636AD907" w:rsidR="00BC7DDA" w:rsidRPr="00BD6C5F" w:rsidRDefault="009B03E9" w:rsidP="00A05098">
            <w:pPr>
              <w:pStyle w:val="Tabletext"/>
            </w:pPr>
            <w:r w:rsidRPr="00BD6C5F">
              <w:rPr>
                <w:shd w:val="clear" w:color="auto" w:fill="FFFF00"/>
              </w:rPr>
              <w:t>£[amount]</w:t>
            </w:r>
            <w:r w:rsidRPr="00BD6C5F">
              <w:t xml:space="preserve"> year on year improvement (</w:t>
            </w:r>
            <w:r w:rsidRPr="00BD6C5F">
              <w:rPr>
                <w:shd w:val="clear" w:color="auto" w:fill="FFFF00"/>
              </w:rPr>
              <w:t>[x]</w:t>
            </w:r>
            <w:r w:rsidRPr="00BD6C5F">
              <w:t>%</w:t>
            </w:r>
            <w:r w:rsidR="00A05098" w:rsidRPr="00BD6C5F">
              <w:t xml:space="preserve"> </w:t>
            </w:r>
            <w:r w:rsidRPr="00BD6C5F">
              <w:t>productivity increase)</w:t>
            </w:r>
          </w:p>
        </w:tc>
        <w:tc>
          <w:tcPr>
            <w:tcW w:w="2835" w:type="dxa"/>
          </w:tcPr>
          <w:p w14:paraId="79B38C95" w14:textId="77777777" w:rsidR="00BC7DDA" w:rsidRPr="00BD6C5F" w:rsidRDefault="009B03E9" w:rsidP="00A05098">
            <w:pPr>
              <w:pStyle w:val="Tabletext"/>
            </w:pPr>
            <w:r w:rsidRPr="00BD6C5F">
              <w:t xml:space="preserve">Contract Years </w:t>
            </w:r>
            <w:r w:rsidRPr="00BD6C5F">
              <w:rPr>
                <w:shd w:val="clear" w:color="auto" w:fill="FFFF00"/>
              </w:rPr>
              <w:t>[x]</w:t>
            </w:r>
            <w:r w:rsidRPr="00BD6C5F">
              <w:t xml:space="preserve"> to </w:t>
            </w:r>
            <w:r w:rsidRPr="00BD6C5F">
              <w:rPr>
                <w:shd w:val="clear" w:color="auto" w:fill="FFFF00"/>
              </w:rPr>
              <w:t>[y]</w:t>
            </w:r>
          </w:p>
        </w:tc>
      </w:tr>
      <w:tr w:rsidR="00BC7DDA" w:rsidRPr="00BD6C5F" w14:paraId="63BFF5F1" w14:textId="77777777" w:rsidTr="006F5515">
        <w:tc>
          <w:tcPr>
            <w:tcW w:w="680" w:type="dxa"/>
          </w:tcPr>
          <w:p w14:paraId="468AF550" w14:textId="77777777" w:rsidR="00BC7DDA" w:rsidRPr="00BD6C5F" w:rsidRDefault="009B03E9" w:rsidP="00A05098">
            <w:pPr>
              <w:pStyle w:val="Tabletext"/>
            </w:pPr>
            <w:r w:rsidRPr="00BD6C5F">
              <w:rPr>
                <w:w w:val="99"/>
              </w:rPr>
              <w:t>3</w:t>
            </w:r>
          </w:p>
        </w:tc>
        <w:tc>
          <w:tcPr>
            <w:tcW w:w="4082" w:type="dxa"/>
          </w:tcPr>
          <w:p w14:paraId="5BF1E8AF" w14:textId="77777777" w:rsidR="00BC7DDA" w:rsidRPr="00C76C8A" w:rsidRDefault="009B03E9" w:rsidP="00A05098">
            <w:pPr>
              <w:pStyle w:val="Tabletext"/>
              <w:rPr>
                <w:highlight w:val="yellow"/>
              </w:rPr>
            </w:pPr>
            <w:r w:rsidRPr="00C76C8A">
              <w:rPr>
                <w:highlight w:val="yellow"/>
                <w:shd w:val="clear" w:color="auto" w:fill="FFFF00"/>
              </w:rPr>
              <w:t>[E.g. - Reduced electrical power</w:t>
            </w:r>
            <w:r w:rsidRPr="00C76C8A">
              <w:rPr>
                <w:highlight w:val="yellow"/>
              </w:rPr>
              <w:t xml:space="preserve"> </w:t>
            </w:r>
            <w:r w:rsidRPr="00C76C8A">
              <w:rPr>
                <w:highlight w:val="yellow"/>
                <w:shd w:val="clear" w:color="auto" w:fill="FFFF00"/>
              </w:rPr>
              <w:t>consumption arising from</w:t>
            </w:r>
            <w:r w:rsidRPr="00C76C8A">
              <w:rPr>
                <w:highlight w:val="yellow"/>
              </w:rPr>
              <w:t xml:space="preserve"> </w:t>
            </w:r>
            <w:r w:rsidRPr="00C76C8A">
              <w:rPr>
                <w:highlight w:val="yellow"/>
                <w:shd w:val="clear" w:color="auto" w:fill="FFFF00"/>
              </w:rPr>
              <w:t>adoption of new low energy</w:t>
            </w:r>
            <w:r w:rsidRPr="00C76C8A">
              <w:rPr>
                <w:highlight w:val="yellow"/>
              </w:rPr>
              <w:t xml:space="preserve"> </w:t>
            </w:r>
            <w:r w:rsidRPr="00C76C8A">
              <w:rPr>
                <w:highlight w:val="yellow"/>
                <w:shd w:val="clear" w:color="auto" w:fill="FFFF00"/>
              </w:rPr>
              <w:t>technology.</w:t>
            </w:r>
          </w:p>
          <w:p w14:paraId="6A786D9E" w14:textId="5CE0C9D4" w:rsidR="00BC7DDA" w:rsidRPr="00C76C8A" w:rsidRDefault="009B03E9" w:rsidP="00A05098">
            <w:pPr>
              <w:pStyle w:val="Tabletext"/>
              <w:rPr>
                <w:highlight w:val="yellow"/>
              </w:rPr>
            </w:pPr>
            <w:r w:rsidRPr="00C76C8A">
              <w:rPr>
                <w:highlight w:val="yellow"/>
                <w:shd w:val="clear" w:color="auto" w:fill="FFFF00"/>
              </w:rPr>
              <w:t>Benefit realisation is measured</w:t>
            </w:r>
            <w:r w:rsidRPr="00C76C8A">
              <w:rPr>
                <w:highlight w:val="yellow"/>
              </w:rPr>
              <w:t xml:space="preserve"> </w:t>
            </w:r>
            <w:r w:rsidRPr="00C76C8A">
              <w:rPr>
                <w:highlight w:val="yellow"/>
                <w:shd w:val="clear" w:color="auto" w:fill="FFFF00"/>
              </w:rPr>
              <w:t>against a 2012/13 baseline.]</w:t>
            </w:r>
          </w:p>
        </w:tc>
        <w:tc>
          <w:tcPr>
            <w:tcW w:w="2665" w:type="dxa"/>
          </w:tcPr>
          <w:p w14:paraId="291243C1" w14:textId="77777777" w:rsidR="00BC7DDA" w:rsidRPr="00BD6C5F" w:rsidRDefault="009B03E9" w:rsidP="00A05098">
            <w:pPr>
              <w:pStyle w:val="Tabletext"/>
            </w:pPr>
            <w:r w:rsidRPr="00BD6C5F">
              <w:rPr>
                <w:shd w:val="clear" w:color="auto" w:fill="FFFF00"/>
              </w:rPr>
              <w:t>£[amount]</w:t>
            </w:r>
            <w:r w:rsidRPr="00BD6C5F">
              <w:t xml:space="preserve"> per annum</w:t>
            </w:r>
          </w:p>
        </w:tc>
        <w:tc>
          <w:tcPr>
            <w:tcW w:w="2835" w:type="dxa"/>
          </w:tcPr>
          <w:p w14:paraId="3CBE1888" w14:textId="77777777" w:rsidR="00BC7DDA" w:rsidRPr="00BD6C5F" w:rsidRDefault="009B03E9" w:rsidP="00A05098">
            <w:pPr>
              <w:pStyle w:val="Tabletext"/>
            </w:pPr>
            <w:r w:rsidRPr="00BD6C5F">
              <w:t xml:space="preserve">Contract Years </w:t>
            </w:r>
            <w:r w:rsidRPr="00BD6C5F">
              <w:rPr>
                <w:shd w:val="clear" w:color="auto" w:fill="FFFF00"/>
              </w:rPr>
              <w:t>[x]</w:t>
            </w:r>
            <w:r w:rsidRPr="00BD6C5F">
              <w:t xml:space="preserve"> to </w:t>
            </w:r>
            <w:r w:rsidRPr="00BD6C5F">
              <w:rPr>
                <w:shd w:val="clear" w:color="auto" w:fill="FFFF00"/>
              </w:rPr>
              <w:t>[y]</w:t>
            </w:r>
          </w:p>
        </w:tc>
      </w:tr>
    </w:tbl>
    <w:p w14:paraId="7C0E5B7C" w14:textId="77777777" w:rsidR="007F3BCB" w:rsidRPr="00BD6C5F" w:rsidRDefault="007F3BCB" w:rsidP="00A05098"/>
    <w:p w14:paraId="09E8AB2C" w14:textId="77777777" w:rsidR="00F751C6" w:rsidRPr="00BD6C5F" w:rsidRDefault="00F751C6" w:rsidP="00A05098"/>
    <w:p w14:paraId="71891E87" w14:textId="77777777" w:rsidR="00F751C6" w:rsidRPr="00BD6C5F" w:rsidRDefault="00F751C6" w:rsidP="00A05098"/>
    <w:p w14:paraId="467B6E5E" w14:textId="3DFB6CC9" w:rsidR="00F751C6" w:rsidRPr="00BD6C5F" w:rsidRDefault="00F751C6" w:rsidP="00A05098">
      <w:pPr>
        <w:sectPr w:rsidR="00F751C6" w:rsidRPr="00BD6C5F" w:rsidSect="00EA65BF">
          <w:headerReference w:type="default" r:id="rId93"/>
          <w:footerReference w:type="default" r:id="rId94"/>
          <w:pgSz w:w="11910" w:h="16840"/>
          <w:pgMar w:top="1701" w:right="851" w:bottom="1134" w:left="851" w:header="567" w:footer="567" w:gutter="0"/>
          <w:cols w:space="720"/>
        </w:sectPr>
      </w:pPr>
    </w:p>
    <w:p w14:paraId="58331B78" w14:textId="169403B6" w:rsidR="004F122B" w:rsidRDefault="004F122B" w:rsidP="004F122B">
      <w:pPr>
        <w:pStyle w:val="Dividername"/>
      </w:pPr>
      <w:bookmarkStart w:id="996" w:name="_bookmark341"/>
      <w:bookmarkStart w:id="997" w:name="_bookmark342"/>
      <w:bookmarkStart w:id="998" w:name="_Ref98260607"/>
      <w:bookmarkStart w:id="999" w:name="_Toc98332761"/>
      <w:bookmarkStart w:id="1000" w:name="_Toc98852938"/>
      <w:bookmarkEnd w:id="996"/>
      <w:bookmarkEnd w:id="997"/>
      <w:r>
        <w:lastRenderedPageBreak/>
        <w:t xml:space="preserve">Schedule </w:t>
      </w:r>
      <w:bookmarkStart w:id="1001" w:name="Schedule_21"/>
      <w:r>
        <w:t>21</w:t>
      </w:r>
      <w:bookmarkEnd w:id="1001"/>
    </w:p>
    <w:p w14:paraId="3BB1C2A1" w14:textId="71350D45" w:rsidR="004F122B" w:rsidRDefault="004F122B" w:rsidP="004F122B">
      <w:pPr>
        <w:pStyle w:val="Dividername"/>
      </w:pPr>
      <w:r w:rsidRPr="004F122B">
        <w:t>Governance</w:t>
      </w:r>
    </w:p>
    <w:p w14:paraId="2D8473E1" w14:textId="77777777" w:rsidR="004F122B" w:rsidRDefault="004F122B" w:rsidP="004F122B"/>
    <w:p w14:paraId="3DF737C5" w14:textId="178453C5" w:rsidR="00BC7DDA" w:rsidRPr="00BD6C5F" w:rsidRDefault="006F5515" w:rsidP="004F122B">
      <w:pPr>
        <w:pStyle w:val="Heading1"/>
        <w:pageBreakBefore/>
      </w:pPr>
      <w:bookmarkStart w:id="1002" w:name="_Toc141721030"/>
      <w:r w:rsidRPr="00BD6C5F">
        <w:lastRenderedPageBreak/>
        <w:t>Schedule 21</w:t>
      </w:r>
      <w:r w:rsidR="0058158C" w:rsidRPr="00BD6C5F">
        <w:t>:</w:t>
      </w:r>
      <w:r w:rsidRPr="00BD6C5F">
        <w:t xml:space="preserve"> Governance</w:t>
      </w:r>
      <w:bookmarkEnd w:id="998"/>
      <w:bookmarkEnd w:id="999"/>
      <w:bookmarkEnd w:id="1000"/>
      <w:bookmarkEnd w:id="1002"/>
    </w:p>
    <w:p w14:paraId="51AD27BA" w14:textId="2B465A56" w:rsidR="00785C5B" w:rsidRPr="00BD6C5F" w:rsidRDefault="00785C5B" w:rsidP="006F5515">
      <w:pPr>
        <w:jc w:val="center"/>
      </w:pPr>
      <w:r w:rsidRPr="00BD6C5F">
        <w:t>This is the schedule referred to in the foregoing agreement betw</w:t>
      </w:r>
      <w:r w:rsidR="000D48A0" w:rsidRPr="00BD6C5F">
        <w:t>een [</w:t>
      </w:r>
      <w:r w:rsidR="000D48A0" w:rsidRPr="00BD6C5F">
        <w:rPr>
          <w:highlight w:val="yellow"/>
        </w:rPr>
        <w:t>name of party</w:t>
      </w:r>
      <w:r w:rsidR="000D48A0" w:rsidRPr="00BD6C5F">
        <w:t>] and [</w:t>
      </w:r>
      <w:r w:rsidR="000D48A0" w:rsidRPr="00BD6C5F">
        <w:rPr>
          <w:highlight w:val="yellow"/>
        </w:rPr>
        <w:t>name of party</w:t>
      </w:r>
      <w:r w:rsidR="000D48A0" w:rsidRPr="00BD6C5F">
        <w:t>] dated [</w:t>
      </w:r>
      <w:r w:rsidR="000D48A0" w:rsidRPr="00BD6C5F">
        <w:rPr>
          <w:highlight w:val="yellow"/>
        </w:rPr>
        <w:t>date</w:t>
      </w:r>
      <w:r w:rsidR="000D48A0" w:rsidRPr="00BD6C5F">
        <w:t>]</w:t>
      </w:r>
    </w:p>
    <w:p w14:paraId="1D1AFE44" w14:textId="77777777" w:rsidR="006F5515" w:rsidRPr="00BD6C5F" w:rsidRDefault="006F5515" w:rsidP="006F5515"/>
    <w:p w14:paraId="750927E0" w14:textId="76C4DC3D" w:rsidR="00BC7DDA" w:rsidRPr="00BD6C5F" w:rsidRDefault="0012518B" w:rsidP="00B71FC0">
      <w:pPr>
        <w:pStyle w:val="Numbered1"/>
        <w:numPr>
          <w:ilvl w:val="0"/>
          <w:numId w:val="106"/>
        </w:numPr>
      </w:pPr>
      <w:r w:rsidRPr="00BD6C5F">
        <w:t>Definitions</w:t>
      </w:r>
    </w:p>
    <w:p w14:paraId="21F05E23" w14:textId="77777777" w:rsidR="00BC7DDA" w:rsidRPr="00BD6C5F" w:rsidRDefault="009B03E9" w:rsidP="00C70900">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31F5BF11" w14:textId="77777777" w:rsidTr="00A93D47">
        <w:tc>
          <w:tcPr>
            <w:tcW w:w="3572" w:type="dxa"/>
          </w:tcPr>
          <w:p w14:paraId="5B53B70D" w14:textId="1A334ACD"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Board Member</w:t>
            </w:r>
            <w:r w:rsidRPr="00BD6C5F">
              <w:rPr>
                <w:rFonts w:asciiTheme="minorHAnsi" w:hAnsiTheme="minorHAnsi" w:cstheme="minorHAnsi"/>
                <w:b/>
              </w:rPr>
              <w:t>”</w:t>
            </w:r>
          </w:p>
        </w:tc>
        <w:tc>
          <w:tcPr>
            <w:tcW w:w="5953" w:type="dxa"/>
          </w:tcPr>
          <w:p w14:paraId="35A2647C" w14:textId="6033B895" w:rsidR="00BC7DDA" w:rsidRPr="00BD6C5F" w:rsidRDefault="009B03E9" w:rsidP="006F5515">
            <w:pPr>
              <w:pStyle w:val="Tabletext"/>
            </w:pPr>
            <w:r w:rsidRPr="00BD6C5F">
              <w:t xml:space="preserve">the initial persons appointed by the Authority and Supplier to the Boards as set out in </w:t>
            </w:r>
            <w:r w:rsidR="00A93D47">
              <w:t>Annex </w:t>
            </w:r>
            <w:r w:rsidR="00A93D47">
              <w:fldChar w:fldCharType="begin"/>
            </w:r>
            <w:r w:rsidR="00A93D47">
              <w:instrText xml:space="preserve"> REF Schedule_21_Annex_1 \h </w:instrText>
            </w:r>
            <w:r w:rsidR="00A93D47">
              <w:fldChar w:fldCharType="separate"/>
            </w:r>
            <w:r w:rsidR="009749A0" w:rsidRPr="00BD6C5F">
              <w:t>1</w:t>
            </w:r>
            <w:r w:rsidR="00A93D47">
              <w:fldChar w:fldCharType="end"/>
            </w:r>
            <w:r w:rsidRPr="00BD6C5F">
              <w:t xml:space="preserve"> and any replacements from time to time agreed by the Parties in accordance with Paragraph </w:t>
            </w:r>
            <w:r w:rsidR="007561EA" w:rsidRPr="00BD6C5F">
              <w:fldChar w:fldCharType="begin"/>
            </w:r>
            <w:r w:rsidR="007561EA" w:rsidRPr="00BD6C5F">
              <w:instrText xml:space="preserve"> REF _Ref98416046 \n \h </w:instrText>
            </w:r>
            <w:r w:rsidR="00AD7DD0" w:rsidRPr="00BD6C5F">
              <w:instrText xml:space="preserve"> \* MERGEFORMAT </w:instrText>
            </w:r>
            <w:r w:rsidR="007561EA" w:rsidRPr="00BD6C5F">
              <w:fldChar w:fldCharType="separate"/>
            </w:r>
            <w:r w:rsidR="009749A0">
              <w:t>3.3</w:t>
            </w:r>
            <w:r w:rsidR="007561EA" w:rsidRPr="00BD6C5F">
              <w:fldChar w:fldCharType="end"/>
            </w:r>
            <w:r w:rsidRPr="00BD6C5F">
              <w:t>;</w:t>
            </w:r>
          </w:p>
        </w:tc>
      </w:tr>
      <w:tr w:rsidR="00BC7DDA" w:rsidRPr="00BD6C5F" w14:paraId="6D2067B1" w14:textId="77777777" w:rsidTr="00A93D47">
        <w:tc>
          <w:tcPr>
            <w:tcW w:w="3572" w:type="dxa"/>
          </w:tcPr>
          <w:p w14:paraId="3BAFB6BC" w14:textId="36830C7B"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Boards</w:t>
            </w:r>
            <w:r w:rsidRPr="00BD6C5F">
              <w:rPr>
                <w:rFonts w:asciiTheme="minorHAnsi" w:hAnsiTheme="minorHAnsi" w:cstheme="minorHAnsi"/>
                <w:b/>
              </w:rPr>
              <w:t>”</w:t>
            </w:r>
          </w:p>
        </w:tc>
        <w:tc>
          <w:tcPr>
            <w:tcW w:w="5953" w:type="dxa"/>
          </w:tcPr>
          <w:p w14:paraId="5F020FAE" w14:textId="111C81D1"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Service Management Board, Programme Board, Change Management Board, Technical Board and Risk Management Board and </w:t>
            </w:r>
            <w:r w:rsidR="00A4555C" w:rsidRPr="00BD6C5F">
              <w:rPr>
                <w:rFonts w:asciiTheme="minorHAnsi" w:hAnsiTheme="minorHAnsi" w:cstheme="minorHAnsi"/>
              </w:rPr>
              <w:t>“</w:t>
            </w:r>
            <w:r w:rsidRPr="00BD6C5F">
              <w:rPr>
                <w:rFonts w:asciiTheme="minorHAnsi" w:hAnsiTheme="minorHAnsi" w:cstheme="minorHAnsi"/>
                <w:b/>
              </w:rPr>
              <w:t>Board</w:t>
            </w:r>
            <w:r w:rsidR="00A4555C" w:rsidRPr="00BD6C5F">
              <w:rPr>
                <w:rFonts w:asciiTheme="minorHAnsi" w:hAnsiTheme="minorHAnsi" w:cstheme="minorHAnsi"/>
              </w:rPr>
              <w:t>”</w:t>
            </w:r>
            <w:r w:rsidRPr="00BD6C5F">
              <w:rPr>
                <w:rFonts w:asciiTheme="minorHAnsi" w:hAnsiTheme="minorHAnsi" w:cstheme="minorHAnsi"/>
              </w:rPr>
              <w:t xml:space="preserve"> shall mean any of them;</w:t>
            </w:r>
          </w:p>
        </w:tc>
      </w:tr>
      <w:tr w:rsidR="00BC7DDA" w:rsidRPr="00BD6C5F" w14:paraId="59F83889" w14:textId="77777777" w:rsidTr="00A93D47">
        <w:tc>
          <w:tcPr>
            <w:tcW w:w="3572" w:type="dxa"/>
          </w:tcPr>
          <w:p w14:paraId="0F36D735" w14:textId="6AE64CF4"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Change Management Board</w:t>
            </w:r>
            <w:r w:rsidRPr="00BD6C5F">
              <w:rPr>
                <w:rFonts w:asciiTheme="minorHAnsi" w:hAnsiTheme="minorHAnsi" w:cstheme="minorHAnsi"/>
                <w:b/>
              </w:rPr>
              <w:t>”</w:t>
            </w:r>
          </w:p>
        </w:tc>
        <w:tc>
          <w:tcPr>
            <w:tcW w:w="5953" w:type="dxa"/>
          </w:tcPr>
          <w:p w14:paraId="45EAC0EE" w14:textId="30B5DA46"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body described in Paragraph </w:t>
            </w:r>
            <w:r w:rsidR="00F31904">
              <w:rPr>
                <w:rFonts w:asciiTheme="minorHAnsi" w:hAnsiTheme="minorHAnsi" w:cstheme="minorHAnsi"/>
              </w:rPr>
              <w:fldChar w:fldCharType="begin"/>
            </w:r>
            <w:r w:rsidR="00F31904">
              <w:rPr>
                <w:rFonts w:asciiTheme="minorHAnsi" w:hAnsiTheme="minorHAnsi" w:cstheme="minorHAnsi"/>
              </w:rPr>
              <w:instrText xml:space="preserve"> REF _Ref141214694 \w \h </w:instrText>
            </w:r>
            <w:r w:rsidR="00F31904">
              <w:rPr>
                <w:rFonts w:asciiTheme="minorHAnsi" w:hAnsiTheme="minorHAnsi" w:cstheme="minorHAnsi"/>
              </w:rPr>
            </w:r>
            <w:r w:rsidR="00F31904">
              <w:rPr>
                <w:rFonts w:asciiTheme="minorHAnsi" w:hAnsiTheme="minorHAnsi" w:cstheme="minorHAnsi"/>
              </w:rPr>
              <w:fldChar w:fldCharType="separate"/>
            </w:r>
            <w:r w:rsidR="009749A0">
              <w:rPr>
                <w:rFonts w:asciiTheme="minorHAnsi" w:hAnsiTheme="minorHAnsi" w:cstheme="minorHAnsi"/>
              </w:rPr>
              <w:t>6</w:t>
            </w:r>
            <w:r w:rsidR="00F31904">
              <w:rPr>
                <w:rFonts w:asciiTheme="minorHAnsi" w:hAnsiTheme="minorHAnsi" w:cstheme="minorHAnsi"/>
              </w:rPr>
              <w:fldChar w:fldCharType="end"/>
            </w:r>
            <w:r w:rsidRPr="00BD6C5F">
              <w:rPr>
                <w:rFonts w:asciiTheme="minorHAnsi" w:hAnsiTheme="minorHAnsi" w:cstheme="minorHAnsi"/>
              </w:rPr>
              <w:t>;</w:t>
            </w:r>
          </w:p>
        </w:tc>
      </w:tr>
      <w:tr w:rsidR="00BC7DDA" w:rsidRPr="00BD6C5F" w14:paraId="6F0C8944" w14:textId="77777777" w:rsidTr="00A93D47">
        <w:tc>
          <w:tcPr>
            <w:tcW w:w="3572" w:type="dxa"/>
          </w:tcPr>
          <w:p w14:paraId="229DC3F3" w14:textId="4A4B605D"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Project Managers</w:t>
            </w:r>
            <w:r w:rsidRPr="00BD6C5F">
              <w:rPr>
                <w:rFonts w:asciiTheme="minorHAnsi" w:hAnsiTheme="minorHAnsi" w:cstheme="minorHAnsi"/>
                <w:b/>
              </w:rPr>
              <w:t>”</w:t>
            </w:r>
          </w:p>
        </w:tc>
        <w:tc>
          <w:tcPr>
            <w:tcW w:w="5953" w:type="dxa"/>
          </w:tcPr>
          <w:p w14:paraId="19731580" w14:textId="0E10E671"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individuals appointed as such by the Authority and the Supplier in </w:t>
            </w:r>
            <w:r w:rsidRPr="00BD6C5F">
              <w:t>accordance</w:t>
            </w:r>
            <w:r w:rsidRPr="00BD6C5F">
              <w:rPr>
                <w:rFonts w:asciiTheme="minorHAnsi" w:hAnsiTheme="minorHAnsi" w:cstheme="minorHAnsi"/>
              </w:rPr>
              <w:t xml:space="preserve"> with Paragraph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_Ref98416056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2</w:t>
            </w:r>
            <w:r w:rsidR="007561EA"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08DD2B43" w14:textId="77777777" w:rsidTr="00A93D47">
        <w:tc>
          <w:tcPr>
            <w:tcW w:w="3572" w:type="dxa"/>
          </w:tcPr>
          <w:p w14:paraId="4EFAF7A1" w14:textId="2F3386E6"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Risk Management Board</w:t>
            </w:r>
            <w:r w:rsidRPr="00BD6C5F">
              <w:rPr>
                <w:rFonts w:asciiTheme="minorHAnsi" w:hAnsiTheme="minorHAnsi" w:cstheme="minorHAnsi"/>
                <w:b/>
              </w:rPr>
              <w:t>”</w:t>
            </w:r>
          </w:p>
        </w:tc>
        <w:tc>
          <w:tcPr>
            <w:tcW w:w="5953" w:type="dxa"/>
          </w:tcPr>
          <w:p w14:paraId="0CFAB422" w14:textId="7CEBFB37"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body described in Paragraph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_Ref98416066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8</w:t>
            </w:r>
            <w:r w:rsidR="007561EA"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269AE5F" w14:textId="77777777" w:rsidTr="00A93D47">
        <w:tc>
          <w:tcPr>
            <w:tcW w:w="3572" w:type="dxa"/>
          </w:tcPr>
          <w:p w14:paraId="27D15194" w14:textId="43F6FB3A"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Service Management Board</w:t>
            </w:r>
            <w:r w:rsidRPr="00BD6C5F">
              <w:rPr>
                <w:rFonts w:asciiTheme="minorHAnsi" w:hAnsiTheme="minorHAnsi" w:cstheme="minorHAnsi"/>
                <w:b/>
              </w:rPr>
              <w:t>”</w:t>
            </w:r>
          </w:p>
        </w:tc>
        <w:tc>
          <w:tcPr>
            <w:tcW w:w="5953" w:type="dxa"/>
          </w:tcPr>
          <w:p w14:paraId="24336300" w14:textId="2C8ACAC1"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body described in Paragraph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_Ref98416075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4</w:t>
            </w:r>
            <w:r w:rsidR="007561EA" w:rsidRPr="00BD6C5F">
              <w:rPr>
                <w:rFonts w:asciiTheme="minorHAnsi" w:hAnsiTheme="minorHAnsi" w:cstheme="minorHAnsi"/>
              </w:rPr>
              <w:fldChar w:fldCharType="end"/>
            </w:r>
            <w:r w:rsidRPr="00BD6C5F">
              <w:rPr>
                <w:rFonts w:asciiTheme="minorHAnsi" w:hAnsiTheme="minorHAnsi" w:cstheme="minorHAnsi"/>
              </w:rPr>
              <w:t xml:space="preserve">; </w:t>
            </w:r>
            <w:r w:rsidRPr="00BD6C5F">
              <w:t>and</w:t>
            </w:r>
          </w:p>
        </w:tc>
      </w:tr>
      <w:tr w:rsidR="00BC7DDA" w:rsidRPr="00BD6C5F" w14:paraId="357B2A87" w14:textId="77777777" w:rsidTr="00A93D47">
        <w:tc>
          <w:tcPr>
            <w:tcW w:w="3572" w:type="dxa"/>
          </w:tcPr>
          <w:p w14:paraId="0B535545" w14:textId="05F647FE" w:rsidR="00BC7DDA" w:rsidRPr="00BD6C5F" w:rsidRDefault="00A4555C" w:rsidP="006F5515">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Technical Board</w:t>
            </w:r>
            <w:r w:rsidRPr="00BD6C5F">
              <w:rPr>
                <w:rFonts w:asciiTheme="minorHAnsi" w:hAnsiTheme="minorHAnsi" w:cstheme="minorHAnsi"/>
                <w:b/>
              </w:rPr>
              <w:t>”</w:t>
            </w:r>
          </w:p>
        </w:tc>
        <w:tc>
          <w:tcPr>
            <w:tcW w:w="5953" w:type="dxa"/>
          </w:tcPr>
          <w:p w14:paraId="16FAFAFB" w14:textId="51E4B6C1" w:rsidR="00BC7DDA" w:rsidRPr="00BD6C5F" w:rsidRDefault="009B03E9" w:rsidP="006F5515">
            <w:pPr>
              <w:pStyle w:val="Tabletext"/>
              <w:rPr>
                <w:rFonts w:asciiTheme="minorHAnsi" w:hAnsiTheme="minorHAnsi" w:cstheme="minorHAnsi"/>
              </w:rPr>
            </w:pPr>
            <w:r w:rsidRPr="00BD6C5F">
              <w:rPr>
                <w:rFonts w:asciiTheme="minorHAnsi" w:hAnsiTheme="minorHAnsi" w:cstheme="minorHAnsi"/>
              </w:rPr>
              <w:t xml:space="preserve">the body described in Paragraph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_Ref98416082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7</w:t>
            </w:r>
            <w:r w:rsidR="007561EA" w:rsidRPr="00BD6C5F">
              <w:rPr>
                <w:rFonts w:asciiTheme="minorHAnsi" w:hAnsiTheme="minorHAnsi" w:cstheme="minorHAnsi"/>
              </w:rPr>
              <w:fldChar w:fldCharType="end"/>
            </w:r>
            <w:r w:rsidRPr="00BD6C5F">
              <w:rPr>
                <w:rFonts w:asciiTheme="minorHAnsi" w:hAnsiTheme="minorHAnsi" w:cstheme="minorHAnsi"/>
              </w:rPr>
              <w:t>.</w:t>
            </w:r>
          </w:p>
        </w:tc>
      </w:tr>
    </w:tbl>
    <w:p w14:paraId="2011F716" w14:textId="38FBFDE6" w:rsidR="00BC7DDA" w:rsidRPr="00BD6C5F" w:rsidRDefault="0012518B" w:rsidP="00C5057A">
      <w:pPr>
        <w:pStyle w:val="Numbered1"/>
      </w:pPr>
      <w:bookmarkStart w:id="1003" w:name="_bookmark343"/>
      <w:bookmarkStart w:id="1004" w:name="_Ref98416056"/>
      <w:bookmarkEnd w:id="1003"/>
      <w:r w:rsidRPr="00BD6C5F">
        <w:t>Management of the Services</w:t>
      </w:r>
      <w:bookmarkEnd w:id="1004"/>
    </w:p>
    <w:p w14:paraId="6C40D630" w14:textId="0289DDBC" w:rsidR="00BC7DDA" w:rsidRPr="00BD6C5F" w:rsidRDefault="009B03E9" w:rsidP="00C5057A">
      <w:pPr>
        <w:pStyle w:val="Numbered11"/>
      </w:pPr>
      <w:r w:rsidRPr="00BD6C5F">
        <w:t xml:space="preserve">The Supplier and the Authority shall each appoint a project manager for the purposes of this </w:t>
      </w:r>
      <w:r w:rsidR="00BC409D" w:rsidRPr="00BD6C5F">
        <w:t xml:space="preserve">Contract </w:t>
      </w:r>
      <w:r w:rsidRPr="00BD6C5F">
        <w:t>through whom the Services shall be managed at a day-to-day.</w:t>
      </w:r>
    </w:p>
    <w:p w14:paraId="0E65EF6B" w14:textId="7E0C30B6" w:rsidR="00BC7DDA" w:rsidRPr="00BD6C5F" w:rsidRDefault="009B03E9" w:rsidP="00C5057A">
      <w:pPr>
        <w:pStyle w:val="Numbered11"/>
      </w:pPr>
      <w:r w:rsidRPr="00BD6C5F">
        <w:t xml:space="preserve">Both Parties shall ensure that appropriate resource is made available on a regular basis such that the aims, objectives and specific provisions of this </w:t>
      </w:r>
      <w:r w:rsidR="00BC409D" w:rsidRPr="00BD6C5F">
        <w:t xml:space="preserve">Contract </w:t>
      </w:r>
      <w:r w:rsidRPr="00BD6C5F">
        <w:t>can be fully realised.</w:t>
      </w:r>
    </w:p>
    <w:p w14:paraId="779E98A3" w14:textId="09AAA0C0" w:rsidR="00BC7DDA" w:rsidRPr="00BD6C5F" w:rsidRDefault="0012518B" w:rsidP="00C5057A">
      <w:pPr>
        <w:pStyle w:val="Numbered1"/>
      </w:pPr>
      <w:r w:rsidRPr="00BD6C5F">
        <w:t>Boards</w:t>
      </w:r>
    </w:p>
    <w:p w14:paraId="1A528AF8" w14:textId="77777777" w:rsidR="00BC7DDA" w:rsidRPr="00BD6C5F" w:rsidRDefault="009B03E9" w:rsidP="006F5515">
      <w:pPr>
        <w:keepNext/>
        <w:keepLines/>
        <w:widowControl/>
        <w:spacing w:before="100" w:after="200"/>
        <w:ind w:left="720"/>
        <w:rPr>
          <w:b/>
          <w:bCs/>
        </w:rPr>
      </w:pPr>
      <w:r w:rsidRPr="00BD6C5F">
        <w:rPr>
          <w:b/>
          <w:bCs/>
        </w:rPr>
        <w:t>Establishment and structure of the Boards</w:t>
      </w:r>
    </w:p>
    <w:p w14:paraId="6BAA1958" w14:textId="34B5B7E5" w:rsidR="00BC7DDA" w:rsidRPr="00BD6C5F" w:rsidRDefault="009B03E9" w:rsidP="00C5057A">
      <w:pPr>
        <w:pStyle w:val="Numbered11"/>
      </w:pPr>
      <w:r w:rsidRPr="00BD6C5F">
        <w:t xml:space="preserve">The Boards shall be established by the Authority for the purposes of this </w:t>
      </w:r>
      <w:r w:rsidR="00BC409D" w:rsidRPr="00BD6C5F">
        <w:t xml:space="preserve">Contract </w:t>
      </w:r>
      <w:r w:rsidRPr="00BD6C5F">
        <w:t>on which both the Supplier and the Authority shall be represented.</w:t>
      </w:r>
    </w:p>
    <w:p w14:paraId="779B2938" w14:textId="77777777" w:rsidR="00BC7DDA" w:rsidRPr="00BD6C5F" w:rsidRDefault="009B03E9" w:rsidP="00C70900">
      <w:pPr>
        <w:pStyle w:val="Numbered11"/>
        <w:keepNext/>
      </w:pPr>
      <w:r w:rsidRPr="00BD6C5F">
        <w:t>In relation to each Board, the:</w:t>
      </w:r>
    </w:p>
    <w:p w14:paraId="16894B0C" w14:textId="77777777" w:rsidR="00BC7DDA" w:rsidRPr="00BD6C5F" w:rsidRDefault="009B03E9" w:rsidP="0012518B">
      <w:pPr>
        <w:pStyle w:val="Numbered111"/>
      </w:pPr>
      <w:r w:rsidRPr="00BD6C5F">
        <w:t>Authority Board Members;</w:t>
      </w:r>
    </w:p>
    <w:p w14:paraId="2C10CF05" w14:textId="77777777" w:rsidR="00BC7DDA" w:rsidRPr="00BD6C5F" w:rsidRDefault="009B03E9" w:rsidP="0012518B">
      <w:pPr>
        <w:pStyle w:val="Numbered111"/>
      </w:pPr>
      <w:r w:rsidRPr="00BD6C5F">
        <w:t>Supplier Board Members;</w:t>
      </w:r>
    </w:p>
    <w:p w14:paraId="66F1B947" w14:textId="468DBFD5" w:rsidR="00BC7DDA" w:rsidRPr="00BD6C5F" w:rsidRDefault="009B03E9" w:rsidP="0012518B">
      <w:pPr>
        <w:pStyle w:val="Numbered111"/>
      </w:pPr>
      <w:r w:rsidRPr="00BD6C5F">
        <w:lastRenderedPageBreak/>
        <w:t>frequency that the Board shall meet (unless otherwise agreed between the Parties);</w:t>
      </w:r>
    </w:p>
    <w:p w14:paraId="625DD193" w14:textId="33730EA1" w:rsidR="00BC7DDA" w:rsidRPr="00BD6C5F" w:rsidRDefault="009B03E9" w:rsidP="0012518B">
      <w:pPr>
        <w:pStyle w:val="Numbered111"/>
      </w:pPr>
      <w:r w:rsidRPr="00BD6C5F">
        <w:t>location of the Board</w:t>
      </w:r>
      <w:r w:rsidR="00A4555C" w:rsidRPr="00BD6C5F">
        <w:t>’</w:t>
      </w:r>
      <w:r w:rsidRPr="00BD6C5F">
        <w:t>s meetings; and</w:t>
      </w:r>
    </w:p>
    <w:p w14:paraId="443DED1D" w14:textId="1AC40DBA" w:rsidR="00BC7DDA" w:rsidRPr="00BD6C5F" w:rsidRDefault="009B03E9" w:rsidP="0012518B">
      <w:pPr>
        <w:pStyle w:val="Numbered111"/>
      </w:pPr>
      <w:r w:rsidRPr="00BD6C5F">
        <w:t xml:space="preserve">planned start date by which the Board shall be established, shall be as set out in </w:t>
      </w:r>
      <w:r w:rsidR="00DF7441">
        <w:t>Annex </w:t>
      </w:r>
      <w:r w:rsidR="00DF7441">
        <w:fldChar w:fldCharType="begin"/>
      </w:r>
      <w:r w:rsidR="00DF7441">
        <w:instrText xml:space="preserve"> REF Schedule_21_Annex_1 \h </w:instrText>
      </w:r>
      <w:r w:rsidR="00DF7441">
        <w:fldChar w:fldCharType="separate"/>
      </w:r>
      <w:r w:rsidR="009749A0" w:rsidRPr="00BD6C5F">
        <w:t>1</w:t>
      </w:r>
      <w:r w:rsidR="00DF7441">
        <w:fldChar w:fldCharType="end"/>
      </w:r>
      <w:r w:rsidRPr="00BD6C5F">
        <w:t>.</w:t>
      </w:r>
    </w:p>
    <w:p w14:paraId="16BE3CEA" w14:textId="77777777" w:rsidR="00BC7DDA" w:rsidRPr="00BD6C5F" w:rsidRDefault="009B03E9" w:rsidP="00C5057A">
      <w:pPr>
        <w:pStyle w:val="Numbered11"/>
      </w:pPr>
      <w:bookmarkStart w:id="1005" w:name="_bookmark344"/>
      <w:bookmarkStart w:id="1006" w:name="_Ref98416046"/>
      <w:bookmarkEnd w:id="1005"/>
      <w:r w:rsidRPr="00BD6C5F">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Authority Board Member has at all times a counterpart Supplier Board Member of equivalent seniority and expertise.</w:t>
      </w:r>
      <w:bookmarkEnd w:id="1006"/>
    </w:p>
    <w:p w14:paraId="1B33AC82" w14:textId="77777777" w:rsidR="00BC7DDA" w:rsidRPr="00BD6C5F" w:rsidRDefault="009B03E9" w:rsidP="006F5515">
      <w:pPr>
        <w:keepNext/>
        <w:keepLines/>
        <w:widowControl/>
        <w:spacing w:before="100" w:after="200"/>
        <w:ind w:left="720"/>
        <w:rPr>
          <w:b/>
          <w:bCs/>
        </w:rPr>
      </w:pPr>
      <w:r w:rsidRPr="00BD6C5F">
        <w:rPr>
          <w:b/>
          <w:bCs/>
        </w:rPr>
        <w:t>Board meetings</w:t>
      </w:r>
    </w:p>
    <w:p w14:paraId="286DC65A" w14:textId="3A567A76" w:rsidR="00BC7DDA" w:rsidRPr="00BD6C5F" w:rsidRDefault="009B03E9" w:rsidP="00C5057A">
      <w:pPr>
        <w:pStyle w:val="Numbered11"/>
      </w:pPr>
      <w:r w:rsidRPr="00BD6C5F">
        <w:t>Each Party shall ensure that its Board Members shall make all reasonable efforts to attend Board meetings at which that Board Member</w:t>
      </w:r>
      <w:r w:rsidR="00A4555C" w:rsidRPr="00BD6C5F">
        <w:t>’</w:t>
      </w:r>
      <w:r w:rsidRPr="00BD6C5F">
        <w:t>s attendance is required. If any Board Member is not able to attend a Board meeting, that person shall use all reasonable endeavours to ensure that:</w:t>
      </w:r>
    </w:p>
    <w:p w14:paraId="165F3D58" w14:textId="77777777" w:rsidR="00BC7DDA" w:rsidRPr="00BD6C5F" w:rsidRDefault="009B03E9" w:rsidP="0012518B">
      <w:pPr>
        <w:pStyle w:val="Numbered111"/>
      </w:pPr>
      <w:r w:rsidRPr="00BD6C5F">
        <w:t>a delegate attends the relevant Board meeting in his/her place who (wherever possible) is properly briefed and prepared; and</w:t>
      </w:r>
    </w:p>
    <w:p w14:paraId="5EC119DB" w14:textId="3DE001FA" w:rsidR="00BC7DDA" w:rsidRPr="00BD6C5F" w:rsidRDefault="009B03E9" w:rsidP="0012518B">
      <w:pPr>
        <w:pStyle w:val="Numbered111"/>
      </w:pPr>
      <w:r w:rsidRPr="00BD6C5F">
        <w:t xml:space="preserve">that </w:t>
      </w:r>
      <w:r w:rsidR="006609CD">
        <w:t>they are</w:t>
      </w:r>
      <w:r w:rsidRPr="00BD6C5F">
        <w:t xml:space="preserve"> debriefed by such delegate after the Board Meeting.</w:t>
      </w:r>
    </w:p>
    <w:p w14:paraId="3109CBF0" w14:textId="4489480F" w:rsidR="00BC7DDA" w:rsidRPr="00BD6C5F" w:rsidRDefault="009B03E9" w:rsidP="00C70900">
      <w:pPr>
        <w:pStyle w:val="Numbered11"/>
        <w:keepNext/>
      </w:pPr>
      <w:r w:rsidRPr="00BD6C5F">
        <w:t xml:space="preserve">A chairperson shall be appointed by the Authority for each Board as identified in </w:t>
      </w:r>
      <w:r w:rsidR="00DF7441">
        <w:t>Annex </w:t>
      </w:r>
      <w:r w:rsidR="00DF7441">
        <w:fldChar w:fldCharType="begin"/>
      </w:r>
      <w:r w:rsidR="00DF7441">
        <w:instrText xml:space="preserve"> REF Schedule_21_Annex_1 \h </w:instrText>
      </w:r>
      <w:r w:rsidR="00DF7441">
        <w:fldChar w:fldCharType="separate"/>
      </w:r>
      <w:r w:rsidR="009749A0" w:rsidRPr="00BD6C5F">
        <w:t>1</w:t>
      </w:r>
      <w:r w:rsidR="00DF7441">
        <w:fldChar w:fldCharType="end"/>
      </w:r>
      <w:r w:rsidRPr="00BD6C5F">
        <w:t>. The chairperson shall be responsible for:</w:t>
      </w:r>
    </w:p>
    <w:p w14:paraId="5FE186CF" w14:textId="77777777" w:rsidR="00BC7DDA" w:rsidRPr="00BD6C5F" w:rsidRDefault="009B03E9" w:rsidP="0012518B">
      <w:pPr>
        <w:pStyle w:val="Numbered111"/>
      </w:pPr>
      <w:r w:rsidRPr="00BD6C5F">
        <w:t>scheduling Board meetings;</w:t>
      </w:r>
    </w:p>
    <w:p w14:paraId="69FD9E1F" w14:textId="77777777" w:rsidR="00BC7DDA" w:rsidRPr="00BD6C5F" w:rsidRDefault="009B03E9" w:rsidP="0012518B">
      <w:pPr>
        <w:pStyle w:val="Numbered111"/>
      </w:pPr>
      <w:r w:rsidRPr="00BD6C5F">
        <w:t>setting the agenda for Board meetings and circulating to all attendees in advance of such meeting;</w:t>
      </w:r>
    </w:p>
    <w:p w14:paraId="41A7ECD2" w14:textId="77777777" w:rsidR="00BC7DDA" w:rsidRPr="00BD6C5F" w:rsidRDefault="009B03E9" w:rsidP="0012518B">
      <w:pPr>
        <w:pStyle w:val="Numbered111"/>
      </w:pPr>
      <w:r w:rsidRPr="00BD6C5F">
        <w:t>chairing the Board meetings;</w:t>
      </w:r>
    </w:p>
    <w:p w14:paraId="6234FACB" w14:textId="77777777" w:rsidR="00BC7DDA" w:rsidRPr="00BD6C5F" w:rsidRDefault="009B03E9" w:rsidP="0012518B">
      <w:pPr>
        <w:pStyle w:val="Numbered111"/>
      </w:pPr>
      <w:r w:rsidRPr="00BD6C5F">
        <w:t>monitoring the progress of any follow up tasks and activities agreed to be carried out following Board meetings;</w:t>
      </w:r>
    </w:p>
    <w:p w14:paraId="25863B07" w14:textId="77777777" w:rsidR="00BC7DDA" w:rsidRPr="00BD6C5F" w:rsidRDefault="009B03E9" w:rsidP="0012518B">
      <w:pPr>
        <w:pStyle w:val="Numbered111"/>
      </w:pPr>
      <w:bookmarkStart w:id="1007" w:name="_bookmark345"/>
      <w:bookmarkStart w:id="1008" w:name="_Ref141216143"/>
      <w:bookmarkEnd w:id="1007"/>
      <w:r w:rsidRPr="00BD6C5F">
        <w:t>ensuring that minutes for Board meetings are recorded and disseminated electronically to the appropriate persons and to all Board meeting participants within seven Working Days after the Board meeting; and</w:t>
      </w:r>
      <w:bookmarkEnd w:id="1008"/>
    </w:p>
    <w:p w14:paraId="299349FF" w14:textId="77777777" w:rsidR="00BC7DDA" w:rsidRPr="00BD6C5F" w:rsidRDefault="009B03E9" w:rsidP="0012518B">
      <w:pPr>
        <w:pStyle w:val="Numbered111"/>
      </w:pPr>
      <w:r w:rsidRPr="00BD6C5F">
        <w:t>facilitating the process or procedure by which any decision agreed at any Board meeting is given effect in the appropriate manner.</w:t>
      </w:r>
    </w:p>
    <w:p w14:paraId="128A75EF" w14:textId="77777777" w:rsidR="00BC7DDA" w:rsidRPr="00BD6C5F" w:rsidRDefault="009B03E9" w:rsidP="00C5057A">
      <w:pPr>
        <w:pStyle w:val="Numbered11"/>
      </w:pPr>
      <w:r w:rsidRPr="00BD6C5F">
        <w:t>Board meetings shall be quorate as long as at least two representatives from each Party are present.</w:t>
      </w:r>
    </w:p>
    <w:p w14:paraId="76B7919E" w14:textId="27F9ACCC" w:rsidR="00BC7DDA" w:rsidRPr="00BD6C5F" w:rsidRDefault="009B03E9" w:rsidP="00C5057A">
      <w:pPr>
        <w:pStyle w:val="Numbered11"/>
      </w:pPr>
      <w:r w:rsidRPr="00BD6C5F">
        <w:t>The Parties shall ensure, as far as reasonably practicable, that all Boards shall as soon as reasonably practicable resolve the issues and achieve the objectives placed before them. Each Party shall endeavour to ensure that</w:t>
      </w:r>
      <w:r w:rsidR="00DB2677" w:rsidRPr="00BD6C5F">
        <w:t xml:space="preserve"> </w:t>
      </w:r>
      <w:r w:rsidRPr="00BD6C5F">
        <w:t>Board Members are empowered to make relevant decisions or have access to empowered individuals for decisions to be made to achieve this.</w:t>
      </w:r>
    </w:p>
    <w:p w14:paraId="7B5A3EF3" w14:textId="20D29730" w:rsidR="00BC7DDA" w:rsidRPr="00BD6C5F" w:rsidRDefault="0012518B" w:rsidP="00C5057A">
      <w:pPr>
        <w:pStyle w:val="Numbered1"/>
      </w:pPr>
      <w:bookmarkStart w:id="1009" w:name="_bookmark346"/>
      <w:bookmarkStart w:id="1010" w:name="_Ref98416075"/>
      <w:bookmarkEnd w:id="1009"/>
      <w:r w:rsidRPr="00BD6C5F">
        <w:lastRenderedPageBreak/>
        <w:t>Role of the Service Management Board</w:t>
      </w:r>
      <w:bookmarkEnd w:id="1010"/>
    </w:p>
    <w:p w14:paraId="502DE77D" w14:textId="77777777" w:rsidR="00BC7DDA" w:rsidRPr="00BD6C5F" w:rsidRDefault="009B03E9" w:rsidP="00C70900">
      <w:pPr>
        <w:pStyle w:val="Numbered11"/>
        <w:keepNext/>
      </w:pPr>
      <w:r w:rsidRPr="00BD6C5F">
        <w:t>The Service Management Board shall be responsible for the executive management of the Services and shall:</w:t>
      </w:r>
    </w:p>
    <w:p w14:paraId="0C167FF4" w14:textId="77777777" w:rsidR="00BC7DDA" w:rsidRPr="00BD6C5F" w:rsidRDefault="009B03E9" w:rsidP="0012518B">
      <w:pPr>
        <w:pStyle w:val="Numbered111"/>
      </w:pPr>
      <w:r w:rsidRPr="00BD6C5F">
        <w:t>be accountable to the Programme Board for comprehensive oversight of the Services and for the senior management of the operational relationship between the Parties;</w:t>
      </w:r>
    </w:p>
    <w:p w14:paraId="56376970" w14:textId="77777777" w:rsidR="00BC7DDA" w:rsidRPr="00BD6C5F" w:rsidRDefault="009B03E9" w:rsidP="0012518B">
      <w:pPr>
        <w:pStyle w:val="Numbered111"/>
      </w:pPr>
      <w:r w:rsidRPr="00BD6C5F">
        <w:t>report to the Programme Board on significant issues requiring decision and resolution by the Programme Board and on progress against the high level Implementation Plan;</w:t>
      </w:r>
    </w:p>
    <w:p w14:paraId="26D4D790" w14:textId="77777777" w:rsidR="00BC7DDA" w:rsidRPr="00BD6C5F" w:rsidRDefault="009B03E9" w:rsidP="0012518B">
      <w:pPr>
        <w:pStyle w:val="Numbered111"/>
      </w:pPr>
      <w:r w:rsidRPr="00BD6C5F">
        <w:t>receive reports from the Project Managers on matters such as issues relating to delivery of existing Services and performance against Performance Indicators, progress against the Implementation Plan and possible future developments;</w:t>
      </w:r>
    </w:p>
    <w:p w14:paraId="4E5E7C0A" w14:textId="77777777" w:rsidR="00BC7DDA" w:rsidRPr="00BD6C5F" w:rsidRDefault="009B03E9" w:rsidP="0012518B">
      <w:pPr>
        <w:pStyle w:val="Numbered111"/>
      </w:pPr>
      <w:r w:rsidRPr="00BD6C5F">
        <w:t>review and report to the Programme Board on service management, co-ordination of individual projects and any integration issues;</w:t>
      </w:r>
    </w:p>
    <w:p w14:paraId="19C96579" w14:textId="77777777" w:rsidR="00BC7DDA" w:rsidRPr="00BD6C5F" w:rsidRDefault="009B03E9" w:rsidP="0012518B">
      <w:pPr>
        <w:pStyle w:val="Numbered111"/>
      </w:pPr>
      <w:r w:rsidRPr="00BD6C5F">
        <w:t>deal with the prioritisation of resources and the appointment of Project Managers on behalf of the Parties;</w:t>
      </w:r>
    </w:p>
    <w:p w14:paraId="5E46A4A1" w14:textId="77777777" w:rsidR="00BC7DDA" w:rsidRPr="00BD6C5F" w:rsidRDefault="009B03E9" w:rsidP="0012518B">
      <w:pPr>
        <w:pStyle w:val="Numbered111"/>
      </w:pPr>
      <w:r w:rsidRPr="00BD6C5F">
        <w:t>consider and resolve Disputes (including Disputes as to the cause of a Delay or the performance of the Services) in the first instance and if necessary escalate the Dispute to the Programme Board; and</w:t>
      </w:r>
    </w:p>
    <w:p w14:paraId="57268DE0" w14:textId="77777777" w:rsidR="00BC7DDA" w:rsidRPr="00BD6C5F" w:rsidRDefault="009B03E9" w:rsidP="0012518B">
      <w:pPr>
        <w:pStyle w:val="Numbered111"/>
      </w:pPr>
      <w:r w:rsidRPr="00BD6C5F">
        <w:t>develop operational/supplier relationship and develop and propose the relationship development strategy and ensure the implementation of the same.</w:t>
      </w:r>
    </w:p>
    <w:p w14:paraId="7D1DBEF6" w14:textId="4153CDB4" w:rsidR="00BC7DDA" w:rsidRPr="00BD6C5F" w:rsidRDefault="0012518B" w:rsidP="00C5057A">
      <w:pPr>
        <w:pStyle w:val="Numbered1"/>
      </w:pPr>
      <w:bookmarkStart w:id="1011" w:name="_bookmark347"/>
      <w:bookmarkStart w:id="1012" w:name="_Ref98354654"/>
      <w:bookmarkEnd w:id="1011"/>
      <w:r w:rsidRPr="00BD6C5F">
        <w:t>Role of the Programme Board</w:t>
      </w:r>
      <w:bookmarkEnd w:id="1012"/>
    </w:p>
    <w:p w14:paraId="7933D57B" w14:textId="77777777" w:rsidR="00BC7DDA" w:rsidRPr="00BD6C5F" w:rsidRDefault="009B03E9" w:rsidP="00C70900">
      <w:pPr>
        <w:pStyle w:val="Numbered11"/>
        <w:keepNext/>
      </w:pPr>
      <w:r w:rsidRPr="00BD6C5F">
        <w:t>The Programme Board shall:</w:t>
      </w:r>
    </w:p>
    <w:p w14:paraId="5491C219" w14:textId="77777777" w:rsidR="00BC7DDA" w:rsidRPr="00BD6C5F" w:rsidRDefault="009B03E9" w:rsidP="0012518B">
      <w:pPr>
        <w:pStyle w:val="Numbered111"/>
      </w:pPr>
      <w:r w:rsidRPr="00BD6C5F">
        <w:t>provide senior level guidance, leadership and strategy for the overall delivery of the Services;</w:t>
      </w:r>
    </w:p>
    <w:p w14:paraId="76D02101" w14:textId="77777777" w:rsidR="00BC7DDA" w:rsidRPr="00BD6C5F" w:rsidRDefault="009B03E9" w:rsidP="0012518B">
      <w:pPr>
        <w:pStyle w:val="Numbered111"/>
      </w:pPr>
      <w:r w:rsidRPr="00BD6C5F">
        <w:t>be the point of escalation from the Change Management Board, the Technical Board and the Service Management Board; and</w:t>
      </w:r>
    </w:p>
    <w:p w14:paraId="298F2118" w14:textId="0CF9BF8D" w:rsidR="00BC7DDA" w:rsidRPr="00BD6C5F" w:rsidRDefault="009B03E9" w:rsidP="0012518B">
      <w:pPr>
        <w:pStyle w:val="Numbered111"/>
      </w:pPr>
      <w:r w:rsidRPr="00BD6C5F">
        <w:t xml:space="preserve">carry out the specific obligations attributed to it in Paragraph </w:t>
      </w:r>
      <w:r w:rsidR="007561EA" w:rsidRPr="00BD6C5F">
        <w:fldChar w:fldCharType="begin"/>
      </w:r>
      <w:r w:rsidR="007561EA" w:rsidRPr="00BD6C5F">
        <w:instrText xml:space="preserve"> REF _Ref98416102 \n \h </w:instrText>
      </w:r>
      <w:r w:rsidR="00AD7DD0" w:rsidRPr="00BD6C5F">
        <w:instrText xml:space="preserve"> \* MERGEFORMAT </w:instrText>
      </w:r>
      <w:r w:rsidR="007561EA" w:rsidRPr="00BD6C5F">
        <w:fldChar w:fldCharType="separate"/>
      </w:r>
      <w:r w:rsidR="009749A0">
        <w:t>5.2</w:t>
      </w:r>
      <w:r w:rsidR="007561EA" w:rsidRPr="00BD6C5F">
        <w:fldChar w:fldCharType="end"/>
      </w:r>
      <w:r w:rsidRPr="00BD6C5F">
        <w:t>.</w:t>
      </w:r>
    </w:p>
    <w:p w14:paraId="72F567C3" w14:textId="77777777" w:rsidR="00BC7DDA" w:rsidRPr="00BD6C5F" w:rsidRDefault="009B03E9" w:rsidP="00C70900">
      <w:pPr>
        <w:pStyle w:val="Numbered11"/>
        <w:keepNext/>
      </w:pPr>
      <w:bookmarkStart w:id="1013" w:name="_bookmark348"/>
      <w:bookmarkStart w:id="1014" w:name="_Ref98416102"/>
      <w:bookmarkEnd w:id="1013"/>
      <w:r w:rsidRPr="00BD6C5F">
        <w:t>The Programme Board shall:</w:t>
      </w:r>
      <w:bookmarkEnd w:id="1014"/>
    </w:p>
    <w:p w14:paraId="4B9AA012" w14:textId="3A5CADD3" w:rsidR="00BC7DDA" w:rsidRPr="00BD6C5F" w:rsidRDefault="009B03E9" w:rsidP="0012518B">
      <w:pPr>
        <w:pStyle w:val="Numbered111"/>
      </w:pPr>
      <w:r w:rsidRPr="00BD6C5F">
        <w:t xml:space="preserve">ensure that this </w:t>
      </w:r>
      <w:r w:rsidR="002941B1" w:rsidRPr="00BD6C5F">
        <w:t xml:space="preserve">Contract </w:t>
      </w:r>
      <w:r w:rsidRPr="00BD6C5F">
        <w:t>is operated throughout the Term in a manner which optimises the value for money and operational benefit derived by the Authority and the commercial benefit derived by the Supplier;</w:t>
      </w:r>
    </w:p>
    <w:p w14:paraId="24024C0C" w14:textId="006F3AA0" w:rsidR="00BC7DDA" w:rsidRPr="00BD6C5F" w:rsidRDefault="009B03E9" w:rsidP="0012518B">
      <w:pPr>
        <w:pStyle w:val="Numbered111"/>
      </w:pPr>
      <w:r w:rsidRPr="00BD6C5F">
        <w:t>receive and review reports from the Service Management Board and review reports on technology, service and other developments that offer potential for improving the benefit that either Party is receiving, in particular value for money;</w:t>
      </w:r>
    </w:p>
    <w:p w14:paraId="072C40DA" w14:textId="77777777" w:rsidR="00BC7DDA" w:rsidRPr="00BD6C5F" w:rsidRDefault="009B03E9" w:rsidP="0012518B">
      <w:pPr>
        <w:pStyle w:val="Numbered111"/>
      </w:pPr>
      <w:r w:rsidRPr="00BD6C5F">
        <w:t xml:space="preserve">determine business strategy and provide guidance on policy matters which </w:t>
      </w:r>
      <w:r w:rsidRPr="00BD6C5F">
        <w:lastRenderedPageBreak/>
        <w:t>may impact on the implementation of the Services or on any Optional Services;</w:t>
      </w:r>
    </w:p>
    <w:p w14:paraId="47C0B287" w14:textId="77777777" w:rsidR="00BC7DDA" w:rsidRPr="00BD6C5F" w:rsidRDefault="009B03E9" w:rsidP="0012518B">
      <w:pPr>
        <w:pStyle w:val="Numbered111"/>
      </w:pPr>
      <w:r w:rsidRPr="00BD6C5F">
        <w:t>authorise the commissioning and initiation of, and assess opportunities for, Optional Services; and</w:t>
      </w:r>
    </w:p>
    <w:p w14:paraId="468DBBE3" w14:textId="77777777" w:rsidR="00BC7DDA" w:rsidRPr="00BD6C5F" w:rsidRDefault="009B03E9" w:rsidP="0012518B">
      <w:pPr>
        <w:pStyle w:val="Numbered111"/>
      </w:pPr>
      <w:r w:rsidRPr="00BD6C5F">
        <w:t>provide guidance and authorisation to the Change Management Board on relevant Changes.</w:t>
      </w:r>
    </w:p>
    <w:p w14:paraId="466DBAF2" w14:textId="59E9F6C6" w:rsidR="00BC7DDA" w:rsidRPr="00BD6C5F" w:rsidRDefault="0012518B" w:rsidP="00C5057A">
      <w:pPr>
        <w:pStyle w:val="Numbered1"/>
      </w:pPr>
      <w:bookmarkStart w:id="1015" w:name="_bookmark349"/>
      <w:bookmarkStart w:id="1016" w:name="_Ref141214694"/>
      <w:bookmarkEnd w:id="1015"/>
      <w:r w:rsidRPr="00BD6C5F">
        <w:t>Role of the Change Management Board</w:t>
      </w:r>
      <w:bookmarkEnd w:id="1016"/>
    </w:p>
    <w:p w14:paraId="7AA9BAB0" w14:textId="77777777" w:rsidR="00BC7DDA" w:rsidRPr="00BD6C5F" w:rsidRDefault="009B03E9" w:rsidP="00C5057A">
      <w:pPr>
        <w:pStyle w:val="Numbered11"/>
      </w:pPr>
      <w:r w:rsidRPr="00BD6C5F">
        <w:t>The Change Management Board shall assess the impact and approve or reject all Change Requests. Changes which will have a significant impact on the Services shall be escalated to the Programme Board.</w:t>
      </w:r>
    </w:p>
    <w:p w14:paraId="5C6BFDE7" w14:textId="77777777" w:rsidR="00BC7DDA" w:rsidRPr="00BD6C5F" w:rsidRDefault="009B03E9" w:rsidP="00C70900">
      <w:pPr>
        <w:pStyle w:val="Numbered11"/>
        <w:keepNext/>
      </w:pPr>
      <w:r w:rsidRPr="00BD6C5F">
        <w:t>The Change Management Board shall:</w:t>
      </w:r>
    </w:p>
    <w:p w14:paraId="35F86C72" w14:textId="77777777" w:rsidR="00BC7DDA" w:rsidRPr="00BD6C5F" w:rsidRDefault="009B03E9" w:rsidP="00C70900">
      <w:pPr>
        <w:pStyle w:val="Numbered111"/>
        <w:keepNext/>
      </w:pPr>
      <w:r w:rsidRPr="00BD6C5F">
        <w:t>analyse and record the impact of all Changes, specifically whether the proposed Change:</w:t>
      </w:r>
    </w:p>
    <w:p w14:paraId="16652FFA" w14:textId="10854522" w:rsidR="00BC7DDA" w:rsidRPr="00BD6C5F" w:rsidRDefault="009B03E9" w:rsidP="00771E5A">
      <w:pPr>
        <w:pStyle w:val="Numbered111a"/>
      </w:pPr>
      <w:r w:rsidRPr="00BD6C5F">
        <w:t xml:space="preserve">has an impact on other areas or aspects of this </w:t>
      </w:r>
      <w:r w:rsidR="002941B1" w:rsidRPr="00BD6C5F">
        <w:t xml:space="preserve">Contract </w:t>
      </w:r>
      <w:r w:rsidRPr="00BD6C5F">
        <w:t>and/or other documentation relating to the Services;</w:t>
      </w:r>
    </w:p>
    <w:p w14:paraId="42EE4623" w14:textId="77777777" w:rsidR="00BC7DDA" w:rsidRPr="00BD6C5F" w:rsidRDefault="009B03E9" w:rsidP="0012518B">
      <w:pPr>
        <w:pStyle w:val="Numbered111a"/>
        <w:rPr>
          <w:lang w:val="en-GB"/>
        </w:rPr>
      </w:pPr>
      <w:r w:rsidRPr="00BD6C5F">
        <w:rPr>
          <w:lang w:val="en-GB"/>
        </w:rPr>
        <w:t>has an impact on the ability of the Authority to meet its agreed business needs within agreed time-scales;</w:t>
      </w:r>
    </w:p>
    <w:p w14:paraId="4A058F05" w14:textId="77777777" w:rsidR="00BC7DDA" w:rsidRPr="00BD6C5F" w:rsidRDefault="009B03E9" w:rsidP="0012518B">
      <w:pPr>
        <w:pStyle w:val="Numbered111a"/>
        <w:rPr>
          <w:lang w:val="en-GB"/>
        </w:rPr>
      </w:pPr>
      <w:r w:rsidRPr="00BD6C5F">
        <w:rPr>
          <w:lang w:val="en-GB"/>
        </w:rPr>
        <w:t>will raise any risks or issues relating to the proposed Change; and</w:t>
      </w:r>
    </w:p>
    <w:p w14:paraId="524C98A5" w14:textId="77777777" w:rsidR="00BC7DDA" w:rsidRPr="00BD6C5F" w:rsidRDefault="009B03E9" w:rsidP="0012518B">
      <w:pPr>
        <w:pStyle w:val="Numbered111a"/>
        <w:rPr>
          <w:lang w:val="en-GB"/>
        </w:rPr>
      </w:pPr>
      <w:r w:rsidRPr="00BD6C5F">
        <w:rPr>
          <w:lang w:val="en-GB"/>
        </w:rPr>
        <w:t>will provide value for money in consideration of any changes to the Financial Model, future Charges and/or Performance Indicators and Target Performance Levels;</w:t>
      </w:r>
    </w:p>
    <w:p w14:paraId="5F88C602" w14:textId="77777777" w:rsidR="00BC7DDA" w:rsidRPr="00BD6C5F" w:rsidRDefault="009B03E9" w:rsidP="0012518B">
      <w:pPr>
        <w:pStyle w:val="Numbered111"/>
      </w:pPr>
      <w:r w:rsidRPr="00BD6C5F">
        <w:t>provide recommendations, seek guidance and authorisation from the Programme Board as required; and</w:t>
      </w:r>
    </w:p>
    <w:p w14:paraId="1D21334A" w14:textId="77777777" w:rsidR="00BC7DDA" w:rsidRPr="00BD6C5F" w:rsidRDefault="009B03E9" w:rsidP="0012518B">
      <w:pPr>
        <w:pStyle w:val="Numbered111"/>
      </w:pPr>
      <w:r w:rsidRPr="00BD6C5F">
        <w:t>approve or reject (close) all proposed Changes.</w:t>
      </w:r>
    </w:p>
    <w:p w14:paraId="1DB95B54" w14:textId="2779C4EE" w:rsidR="00BC7DDA" w:rsidRPr="00BD6C5F" w:rsidRDefault="0012518B" w:rsidP="00C5057A">
      <w:pPr>
        <w:pStyle w:val="Numbered1"/>
      </w:pPr>
      <w:bookmarkStart w:id="1017" w:name="_bookmark350"/>
      <w:bookmarkStart w:id="1018" w:name="_Ref98416082"/>
      <w:bookmarkEnd w:id="1017"/>
      <w:r w:rsidRPr="00BD6C5F">
        <w:t>Role of the Technical Board</w:t>
      </w:r>
      <w:bookmarkEnd w:id="1018"/>
    </w:p>
    <w:p w14:paraId="6AF156E4" w14:textId="77777777" w:rsidR="00BC7DDA" w:rsidRPr="00BD6C5F" w:rsidRDefault="009B03E9" w:rsidP="00C5057A">
      <w:pPr>
        <w:pStyle w:val="Numbered11"/>
      </w:pPr>
      <w:r w:rsidRPr="00BD6C5F">
        <w:t>The Technical Board shall be accountable to the Programme Board for oversight of the technology used in the Supplier Solution and ensuring that technological choices are made to maximise the long term value of the Supplier Solution as a business asset of the Authority.</w:t>
      </w:r>
    </w:p>
    <w:p w14:paraId="479F5D91" w14:textId="77777777" w:rsidR="00BC7DDA" w:rsidRPr="00BD6C5F" w:rsidRDefault="009B03E9" w:rsidP="00C70900">
      <w:pPr>
        <w:pStyle w:val="Numbered11"/>
        <w:keepNext/>
      </w:pPr>
      <w:r w:rsidRPr="00BD6C5F">
        <w:t>The Technical Board shall:</w:t>
      </w:r>
    </w:p>
    <w:p w14:paraId="47D55D84" w14:textId="77777777" w:rsidR="00BC7DDA" w:rsidRPr="00BD6C5F" w:rsidRDefault="009B03E9" w:rsidP="0012518B">
      <w:pPr>
        <w:pStyle w:val="Numbered111"/>
      </w:pPr>
      <w:r w:rsidRPr="00BD6C5F">
        <w:t>ensure compliance with the Standards;</w:t>
      </w:r>
    </w:p>
    <w:p w14:paraId="1BE16D84" w14:textId="35F50AA6" w:rsidR="00BC7DDA" w:rsidRPr="00BD6C5F" w:rsidRDefault="009B03E9" w:rsidP="0012518B">
      <w:pPr>
        <w:pStyle w:val="Numbered111"/>
      </w:pPr>
      <w:r w:rsidRPr="00BD6C5F">
        <w:t>grant dispensations for variations from such compliance where appropriate;</w:t>
      </w:r>
    </w:p>
    <w:p w14:paraId="32332F2E" w14:textId="77777777" w:rsidR="00BC7DDA" w:rsidRPr="00BD6C5F" w:rsidRDefault="009B03E9" w:rsidP="0012518B">
      <w:pPr>
        <w:pStyle w:val="Numbered111"/>
      </w:pPr>
      <w:r w:rsidRPr="00BD6C5F">
        <w:t>assure the coherence and consistency of the systems architecture for the Supplier Solution;</w:t>
      </w:r>
    </w:p>
    <w:p w14:paraId="70A5C376" w14:textId="77777777" w:rsidR="00BC7DDA" w:rsidRPr="00BD6C5F" w:rsidRDefault="009B03E9" w:rsidP="0012518B">
      <w:pPr>
        <w:pStyle w:val="Numbered111"/>
      </w:pPr>
      <w:r w:rsidRPr="00BD6C5F">
        <w:t>monitor developments in new technology and reporting on their potential benefit to the Services;</w:t>
      </w:r>
    </w:p>
    <w:p w14:paraId="22487836" w14:textId="77777777" w:rsidR="00BC7DDA" w:rsidRPr="00BD6C5F" w:rsidRDefault="009B03E9" w:rsidP="0012518B">
      <w:pPr>
        <w:pStyle w:val="Numbered111"/>
      </w:pPr>
      <w:r w:rsidRPr="00BD6C5F">
        <w:t>provide advice, guidance and information on technical issues; and</w:t>
      </w:r>
    </w:p>
    <w:p w14:paraId="51386A49" w14:textId="77777777" w:rsidR="00BC7DDA" w:rsidRPr="00BD6C5F" w:rsidRDefault="009B03E9" w:rsidP="0012518B">
      <w:pPr>
        <w:pStyle w:val="Numbered111"/>
      </w:pPr>
      <w:r w:rsidRPr="00BD6C5F">
        <w:lastRenderedPageBreak/>
        <w:t>assure that the technical architecture of the Supplier Solution is aligned to the Service Requirements and has sufficient flexibility to cope with future requirements of the Authority.</w:t>
      </w:r>
    </w:p>
    <w:p w14:paraId="7C5254F9" w14:textId="0B8B1390" w:rsidR="00BC7DDA" w:rsidRPr="00BD6C5F" w:rsidRDefault="0012518B" w:rsidP="00C5057A">
      <w:pPr>
        <w:pStyle w:val="Numbered1"/>
      </w:pPr>
      <w:bookmarkStart w:id="1019" w:name="_bookmark351"/>
      <w:bookmarkStart w:id="1020" w:name="_Ref98416066"/>
      <w:bookmarkEnd w:id="1019"/>
      <w:r w:rsidRPr="00BD6C5F">
        <w:t>Role of the Risk Management Board</w:t>
      </w:r>
      <w:bookmarkEnd w:id="1020"/>
    </w:p>
    <w:p w14:paraId="7D92C838" w14:textId="77777777" w:rsidR="00BC7DDA" w:rsidRPr="00BD6C5F" w:rsidRDefault="009B03E9" w:rsidP="00C5057A">
      <w:pPr>
        <w:pStyle w:val="Numbered11"/>
      </w:pPr>
      <w:r w:rsidRPr="00BD6C5F">
        <w:t>The Risk Management Board shall identify and manage risks relating to the performance of the Services.</w:t>
      </w:r>
    </w:p>
    <w:p w14:paraId="0317FE9D" w14:textId="77777777" w:rsidR="00BC7DDA" w:rsidRPr="00BD6C5F" w:rsidRDefault="009B03E9" w:rsidP="00C70900">
      <w:pPr>
        <w:pStyle w:val="Numbered11"/>
        <w:keepNext/>
      </w:pPr>
      <w:r w:rsidRPr="00BD6C5F">
        <w:t>The Risk Management Board shall:</w:t>
      </w:r>
    </w:p>
    <w:p w14:paraId="4A8F80A9" w14:textId="7546808F" w:rsidR="00BC7DDA" w:rsidRPr="00BD6C5F" w:rsidRDefault="009B03E9" w:rsidP="0012518B">
      <w:pPr>
        <w:pStyle w:val="Numbered111"/>
      </w:pPr>
      <w:r w:rsidRPr="00BD6C5F">
        <w:t xml:space="preserve">provide assurance to the Programme Board that risks are being effectively managed across the Services, including reporting the </w:t>
      </w:r>
      <w:r w:rsidR="00A4555C" w:rsidRPr="00BD6C5F">
        <w:t>‘</w:t>
      </w:r>
      <w:r w:rsidRPr="00BD6C5F">
        <w:t>top 5</w:t>
      </w:r>
      <w:r w:rsidR="00A4555C" w:rsidRPr="00BD6C5F">
        <w:t>’</w:t>
      </w:r>
      <w:r w:rsidRPr="00BD6C5F">
        <w:t xml:space="preserve"> risks to the Programme Board on a monthly basis;</w:t>
      </w:r>
    </w:p>
    <w:p w14:paraId="7E47B300" w14:textId="77777777" w:rsidR="00BC7DDA" w:rsidRPr="00BD6C5F" w:rsidRDefault="009B03E9" w:rsidP="0012518B">
      <w:pPr>
        <w:pStyle w:val="Numbered111"/>
      </w:pPr>
      <w:r w:rsidRPr="00BD6C5F">
        <w:t>identify the risks to be reported to the Programme Board via the regular risk reports;</w:t>
      </w:r>
    </w:p>
    <w:p w14:paraId="1FAB1584" w14:textId="77777777" w:rsidR="00BC7DDA" w:rsidRPr="00BD6C5F" w:rsidRDefault="009B03E9" w:rsidP="0012518B">
      <w:pPr>
        <w:pStyle w:val="Numbered111"/>
      </w:pPr>
      <w:r w:rsidRPr="00BD6C5F">
        <w:t>subject to the Change Control Procedure, accept or reject new risks proposed for inclusion in the Risk Register;</w:t>
      </w:r>
    </w:p>
    <w:p w14:paraId="01652F04" w14:textId="77777777" w:rsidR="00BC7DDA" w:rsidRPr="00BD6C5F" w:rsidRDefault="009B03E9" w:rsidP="0012518B">
      <w:pPr>
        <w:pStyle w:val="Numbered111"/>
      </w:pPr>
      <w:r w:rsidRPr="00BD6C5F">
        <w:t>ratify or refuse requests to close risks on the Risk Register; and</w:t>
      </w:r>
    </w:p>
    <w:p w14:paraId="21C95990" w14:textId="77777777" w:rsidR="00BC7DDA" w:rsidRPr="00BD6C5F" w:rsidRDefault="009B03E9" w:rsidP="0012518B">
      <w:pPr>
        <w:pStyle w:val="Numbered111"/>
      </w:pPr>
      <w:r w:rsidRPr="00BD6C5F">
        <w:t>identify risks relating to or arising out of the performance of the Services and provisional owners of these risks.</w:t>
      </w:r>
    </w:p>
    <w:p w14:paraId="447DAA20" w14:textId="7068571A" w:rsidR="00BC7DDA" w:rsidRPr="00BD6C5F" w:rsidRDefault="0012518B" w:rsidP="00C5057A">
      <w:pPr>
        <w:pStyle w:val="Numbered1"/>
      </w:pPr>
      <w:r w:rsidRPr="00BD6C5F">
        <w:t>Contract Management Mechanisms</w:t>
      </w:r>
    </w:p>
    <w:p w14:paraId="23F4778A" w14:textId="6B4B4ED7" w:rsidR="00BC7DDA" w:rsidRPr="00BD6C5F" w:rsidRDefault="009B03E9" w:rsidP="00C70900">
      <w:pPr>
        <w:pStyle w:val="Numbered11"/>
      </w:pPr>
      <w:r w:rsidRPr="00BD6C5F">
        <w:t xml:space="preserve">Both Parties shall pro-actively manage risks attributed to them under the terms of this </w:t>
      </w:r>
      <w:r w:rsidR="002941B1" w:rsidRPr="00BD6C5F">
        <w:t>Contract</w:t>
      </w:r>
      <w:r w:rsidRPr="00BD6C5F">
        <w:t>.</w:t>
      </w:r>
    </w:p>
    <w:p w14:paraId="749AA61F" w14:textId="77777777" w:rsidR="00BC7DDA" w:rsidRPr="00BD6C5F" w:rsidRDefault="009B03E9" w:rsidP="00C70900">
      <w:pPr>
        <w:pStyle w:val="Numbered11"/>
        <w:keepNext/>
      </w:pPr>
      <w:r w:rsidRPr="00BD6C5F">
        <w:t>The Supplier shall develop, operate, maintain and amend, as agreed with the Authority, processes for:</w:t>
      </w:r>
    </w:p>
    <w:p w14:paraId="6BE3EDEB" w14:textId="77777777" w:rsidR="00BC7DDA" w:rsidRPr="00BD6C5F" w:rsidRDefault="009B03E9" w:rsidP="0012518B">
      <w:pPr>
        <w:pStyle w:val="Numbered111"/>
      </w:pPr>
      <w:r w:rsidRPr="00BD6C5F">
        <w:t>the identification and management of risks;</w:t>
      </w:r>
    </w:p>
    <w:p w14:paraId="222B378D" w14:textId="77777777" w:rsidR="00BC7DDA" w:rsidRPr="00BD6C5F" w:rsidRDefault="009B03E9" w:rsidP="0012518B">
      <w:pPr>
        <w:pStyle w:val="Numbered111"/>
      </w:pPr>
      <w:r w:rsidRPr="00BD6C5F">
        <w:t>the identification and management of issues; and</w:t>
      </w:r>
    </w:p>
    <w:p w14:paraId="6EFED457" w14:textId="77777777" w:rsidR="00BC7DDA" w:rsidRPr="00BD6C5F" w:rsidRDefault="009B03E9" w:rsidP="0012518B">
      <w:pPr>
        <w:pStyle w:val="Numbered111"/>
      </w:pPr>
      <w:r w:rsidRPr="00BD6C5F">
        <w:t>monitoring and controlling project plans.</w:t>
      </w:r>
    </w:p>
    <w:p w14:paraId="41250FAE" w14:textId="77777777" w:rsidR="00BC7DDA" w:rsidRPr="00BD6C5F" w:rsidRDefault="009B03E9" w:rsidP="00C5057A">
      <w:pPr>
        <w:pStyle w:val="Numbered11"/>
      </w:pPr>
      <w:r w:rsidRPr="00BD6C5F">
        <w:t>The Risk Register shall be updated by the Supplier and submitted for review by the Risk Management Board.</w:t>
      </w:r>
    </w:p>
    <w:p w14:paraId="746F8EAA" w14:textId="7AAEE708" w:rsidR="00BC7DDA" w:rsidRPr="00BD6C5F" w:rsidRDefault="0012518B" w:rsidP="00C5057A">
      <w:pPr>
        <w:pStyle w:val="Numbered1"/>
      </w:pPr>
      <w:r w:rsidRPr="00BD6C5F">
        <w:t>Annual Review</w:t>
      </w:r>
    </w:p>
    <w:p w14:paraId="76C10DB6" w14:textId="77777777" w:rsidR="00BC7DDA" w:rsidRPr="00BD6C5F" w:rsidRDefault="009B03E9" w:rsidP="00C5057A">
      <w:pPr>
        <w:pStyle w:val="Numbered11"/>
      </w:pPr>
      <w:r w:rsidRPr="00BD6C5F">
        <w:t>An annual review meeting shall be held throughout the Term on a date to be agreed between the Parties.</w:t>
      </w:r>
    </w:p>
    <w:p w14:paraId="6737E5FE" w14:textId="14A65BFF" w:rsidR="00BC7DDA" w:rsidRPr="00BD6C5F" w:rsidRDefault="009B03E9" w:rsidP="00C5057A">
      <w:pPr>
        <w:pStyle w:val="Numbered11"/>
      </w:pPr>
      <w:r w:rsidRPr="00BD6C5F">
        <w:t>The meetings shall be attended by t</w:t>
      </w:r>
      <w:r w:rsidRPr="00C76C8A">
        <w:t xml:space="preserve">he </w:t>
      </w:r>
      <w:r w:rsidRPr="00C76C8A">
        <w:rPr>
          <w:shd w:val="clear" w:color="auto" w:fill="FFFF00"/>
        </w:rPr>
        <w:t>[</w:t>
      </w:r>
      <w:r w:rsidRPr="00012747">
        <w:rPr>
          <w:b/>
          <w:bCs/>
          <w:shd w:val="clear" w:color="auto" w:fill="FFFF00"/>
        </w:rPr>
        <w:t>insert</w:t>
      </w:r>
      <w:r w:rsidRPr="00C76C8A">
        <w:rPr>
          <w:shd w:val="clear" w:color="auto" w:fill="FFFF00"/>
        </w:rPr>
        <w:t xml:space="preserve"> role]</w:t>
      </w:r>
      <w:r w:rsidRPr="00C76C8A">
        <w:t xml:space="preserve"> of the Supplier and the</w:t>
      </w:r>
      <w:r w:rsidRPr="00C76C8A">
        <w:rPr>
          <w:shd w:val="clear" w:color="auto" w:fill="FFFF00"/>
        </w:rPr>
        <w:t xml:space="preserve"> [</w:t>
      </w:r>
      <w:r w:rsidRPr="00012747">
        <w:rPr>
          <w:b/>
          <w:bCs/>
          <w:shd w:val="clear" w:color="auto" w:fill="FFFF00"/>
        </w:rPr>
        <w:t>insert</w:t>
      </w:r>
      <w:r w:rsidRPr="00C76C8A">
        <w:rPr>
          <w:shd w:val="clear" w:color="auto" w:fill="FFFF00"/>
        </w:rPr>
        <w:t xml:space="preserve"> role]</w:t>
      </w:r>
      <w:r w:rsidRPr="00C76C8A">
        <w:t xml:space="preserve"> of the Authority and any other perso</w:t>
      </w:r>
      <w:r w:rsidRPr="00BD6C5F">
        <w:t>ns considered by the Authority necessary for the review.</w:t>
      </w:r>
    </w:p>
    <w:p w14:paraId="4D24095F" w14:textId="7A886324" w:rsidR="00F751C6" w:rsidRPr="00BD6C5F" w:rsidRDefault="00F751C6" w:rsidP="006F5515"/>
    <w:p w14:paraId="37849F16" w14:textId="4081E2AC" w:rsidR="00BC7DDA" w:rsidRPr="00BD6C5F" w:rsidRDefault="0012518B" w:rsidP="004A6CBB">
      <w:pPr>
        <w:pStyle w:val="Heading2"/>
        <w:pageBreakBefore/>
      </w:pPr>
      <w:bookmarkStart w:id="1021" w:name="_Toc98332762"/>
      <w:bookmarkStart w:id="1022" w:name="_Ref98343236"/>
      <w:bookmarkStart w:id="1023" w:name="_Ref98343256"/>
      <w:bookmarkStart w:id="1024" w:name="_Ref98343268"/>
      <w:bookmarkStart w:id="1025" w:name="_Toc98852939"/>
      <w:bookmarkStart w:id="1026" w:name="_Toc141721031"/>
      <w:r w:rsidRPr="00BD6C5F">
        <w:lastRenderedPageBreak/>
        <w:t xml:space="preserve">Annex </w:t>
      </w:r>
      <w:bookmarkStart w:id="1027" w:name="Schedule_21_Annex_1"/>
      <w:r w:rsidRPr="00BD6C5F">
        <w:t>1</w:t>
      </w:r>
      <w:bookmarkEnd w:id="1027"/>
      <w:r w:rsidRPr="00BD6C5F">
        <w:t>: Representation and Structure of Boards</w:t>
      </w:r>
      <w:bookmarkEnd w:id="1021"/>
      <w:bookmarkEnd w:id="1022"/>
      <w:bookmarkEnd w:id="1023"/>
      <w:bookmarkEnd w:id="1024"/>
      <w:bookmarkEnd w:id="1025"/>
      <w:bookmarkEnd w:id="1026"/>
    </w:p>
    <w:p w14:paraId="72F5B41F" w14:textId="30F5BC29" w:rsidR="00BC7DDA" w:rsidRPr="00BD6C5F" w:rsidRDefault="009B03E9" w:rsidP="00CF5FF6">
      <w:pPr>
        <w:keepNext/>
        <w:keepLines/>
        <w:spacing w:before="200" w:after="200"/>
        <w:jc w:val="center"/>
        <w:rPr>
          <w:rFonts w:asciiTheme="minorHAnsi" w:hAnsiTheme="minorHAnsi" w:cstheme="minorHAnsi"/>
          <w:b/>
          <w:szCs w:val="24"/>
        </w:rPr>
      </w:pPr>
      <w:r w:rsidRPr="00BD6C5F">
        <w:rPr>
          <w:rFonts w:asciiTheme="minorHAnsi" w:hAnsiTheme="minorHAnsi" w:cstheme="minorHAnsi"/>
          <w:b/>
          <w:szCs w:val="24"/>
        </w:rPr>
        <w:t>Service Management Board</w:t>
      </w:r>
    </w:p>
    <w:tbl>
      <w:tblPr>
        <w:tblStyle w:val="MSATable-header"/>
        <w:tblW w:w="10204" w:type="dxa"/>
        <w:tblLayout w:type="fixed"/>
        <w:tblLook w:val="0700" w:firstRow="0" w:lastRow="0" w:firstColumn="0" w:lastColumn="1" w:noHBand="1" w:noVBand="1"/>
      </w:tblPr>
      <w:tblGrid>
        <w:gridCol w:w="5102"/>
        <w:gridCol w:w="5102"/>
      </w:tblGrid>
      <w:tr w:rsidR="00BC7DDA" w:rsidRPr="00BD6C5F" w14:paraId="5E78D68C" w14:textId="77777777" w:rsidTr="006D19D8">
        <w:tc>
          <w:tcPr>
            <w:tcW w:w="5102" w:type="dxa"/>
          </w:tcPr>
          <w:p w14:paraId="045DE5C6"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Authority Members of Service Management Board</w:t>
            </w:r>
          </w:p>
        </w:tc>
        <w:tc>
          <w:tcPr>
            <w:tcW w:w="5102" w:type="dxa"/>
          </w:tcPr>
          <w:p w14:paraId="214490EF"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t>] [Chairperson]</w:t>
            </w:r>
          </w:p>
        </w:tc>
      </w:tr>
      <w:tr w:rsidR="00BC7DDA" w:rsidRPr="00BD6C5F" w14:paraId="0ECDEF31" w14:textId="77777777" w:rsidTr="006D19D8">
        <w:tc>
          <w:tcPr>
            <w:tcW w:w="5102" w:type="dxa"/>
          </w:tcPr>
          <w:p w14:paraId="5CCB9BC3" w14:textId="77777777" w:rsidR="00BC7DDA" w:rsidRPr="00BD6C5F" w:rsidRDefault="009B03E9" w:rsidP="006D19D8">
            <w:pPr>
              <w:pStyle w:val="Tabletext"/>
            </w:pPr>
            <w:r w:rsidRPr="00BD6C5F">
              <w:t>Supplier Members of Service Management Board</w:t>
            </w:r>
          </w:p>
        </w:tc>
        <w:tc>
          <w:tcPr>
            <w:tcW w:w="5102" w:type="dxa"/>
          </w:tcPr>
          <w:p w14:paraId="0A237F0E" w14:textId="77777777" w:rsidR="00BC7DDA" w:rsidRPr="00BD6C5F" w:rsidRDefault="00BC7DDA" w:rsidP="006D19D8">
            <w:pPr>
              <w:pStyle w:val="Tabletext"/>
            </w:pPr>
          </w:p>
        </w:tc>
      </w:tr>
      <w:tr w:rsidR="00BC7DDA" w:rsidRPr="00BD6C5F" w14:paraId="268DD867" w14:textId="77777777" w:rsidTr="006D19D8">
        <w:tc>
          <w:tcPr>
            <w:tcW w:w="5102" w:type="dxa"/>
          </w:tcPr>
          <w:p w14:paraId="0D5DD9A2" w14:textId="77777777" w:rsidR="00BC7DDA" w:rsidRPr="00BD6C5F" w:rsidRDefault="009B03E9" w:rsidP="006D19D8">
            <w:pPr>
              <w:pStyle w:val="Tabletext"/>
            </w:pPr>
            <w:r w:rsidRPr="00BD6C5F">
              <w:t>Start Date for Service Management Board meetings</w:t>
            </w:r>
          </w:p>
        </w:tc>
        <w:tc>
          <w:tcPr>
            <w:tcW w:w="5102" w:type="dxa"/>
          </w:tcPr>
          <w:p w14:paraId="6472E37B" w14:textId="77777777" w:rsidR="00BC7DDA" w:rsidRPr="00BD6C5F" w:rsidRDefault="00BC7DDA" w:rsidP="006D19D8">
            <w:pPr>
              <w:pStyle w:val="Tabletext"/>
            </w:pPr>
          </w:p>
        </w:tc>
      </w:tr>
      <w:tr w:rsidR="00BC7DDA" w:rsidRPr="00BD6C5F" w14:paraId="3EFCAC89" w14:textId="77777777" w:rsidTr="006D19D8">
        <w:tc>
          <w:tcPr>
            <w:tcW w:w="5102" w:type="dxa"/>
          </w:tcPr>
          <w:p w14:paraId="2AB39E6B" w14:textId="77777777" w:rsidR="00BC7DDA" w:rsidRPr="00BD6C5F" w:rsidRDefault="009B03E9" w:rsidP="006D19D8">
            <w:pPr>
              <w:pStyle w:val="Tabletext"/>
            </w:pPr>
            <w:r w:rsidRPr="00BD6C5F">
              <w:t>Frequency of Service Management Board meetings</w:t>
            </w:r>
          </w:p>
        </w:tc>
        <w:tc>
          <w:tcPr>
            <w:tcW w:w="5102" w:type="dxa"/>
          </w:tcPr>
          <w:p w14:paraId="47D12EC9" w14:textId="77777777" w:rsidR="00BC7DDA" w:rsidRPr="00BD6C5F" w:rsidRDefault="00BC7DDA" w:rsidP="006D19D8">
            <w:pPr>
              <w:pStyle w:val="Tabletext"/>
            </w:pPr>
          </w:p>
        </w:tc>
      </w:tr>
      <w:tr w:rsidR="00BC7DDA" w:rsidRPr="00BD6C5F" w14:paraId="02CECFC4" w14:textId="77777777" w:rsidTr="006D19D8">
        <w:tc>
          <w:tcPr>
            <w:tcW w:w="5102" w:type="dxa"/>
          </w:tcPr>
          <w:p w14:paraId="7E73E399" w14:textId="77777777" w:rsidR="00BC7DDA" w:rsidRPr="00BD6C5F" w:rsidRDefault="009B03E9" w:rsidP="006D19D8">
            <w:pPr>
              <w:pStyle w:val="Tabletext"/>
            </w:pPr>
            <w:r w:rsidRPr="00BD6C5F">
              <w:t>Location of Service Management Board meetings</w:t>
            </w:r>
          </w:p>
        </w:tc>
        <w:tc>
          <w:tcPr>
            <w:tcW w:w="5102" w:type="dxa"/>
          </w:tcPr>
          <w:p w14:paraId="3EEF7100" w14:textId="77777777" w:rsidR="00BC7DDA" w:rsidRPr="00BD6C5F" w:rsidRDefault="00BC7DDA" w:rsidP="006D19D8">
            <w:pPr>
              <w:pStyle w:val="Tabletext"/>
            </w:pPr>
          </w:p>
        </w:tc>
      </w:tr>
    </w:tbl>
    <w:p w14:paraId="67F44E59" w14:textId="350017D4" w:rsidR="00BC7DDA" w:rsidRPr="00BD6C5F" w:rsidRDefault="009B03E9" w:rsidP="00CF5FF6">
      <w:pPr>
        <w:keepNext/>
        <w:keepLines/>
        <w:spacing w:before="200" w:after="200"/>
        <w:jc w:val="center"/>
        <w:rPr>
          <w:rFonts w:asciiTheme="minorHAnsi" w:hAnsiTheme="minorHAnsi" w:cstheme="minorHAnsi"/>
          <w:b/>
          <w:szCs w:val="24"/>
        </w:rPr>
      </w:pPr>
      <w:r w:rsidRPr="00BD6C5F">
        <w:rPr>
          <w:rFonts w:asciiTheme="minorHAnsi" w:hAnsiTheme="minorHAnsi" w:cstheme="minorHAnsi"/>
          <w:b/>
          <w:szCs w:val="24"/>
        </w:rPr>
        <w:t>Programme Board</w:t>
      </w:r>
    </w:p>
    <w:tbl>
      <w:tblPr>
        <w:tblStyle w:val="MSATable-header"/>
        <w:tblW w:w="10204" w:type="dxa"/>
        <w:tblLayout w:type="fixed"/>
        <w:tblLook w:val="0600" w:firstRow="0" w:lastRow="0" w:firstColumn="0" w:lastColumn="0" w:noHBand="1" w:noVBand="1"/>
      </w:tblPr>
      <w:tblGrid>
        <w:gridCol w:w="5102"/>
        <w:gridCol w:w="5102"/>
      </w:tblGrid>
      <w:tr w:rsidR="00BC7DDA" w:rsidRPr="00BD6C5F" w14:paraId="6CABB002" w14:textId="77777777" w:rsidTr="006D19D8">
        <w:tc>
          <w:tcPr>
            <w:tcW w:w="5102" w:type="dxa"/>
          </w:tcPr>
          <w:p w14:paraId="08F80B4D"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Authority members of Programme Board</w:t>
            </w:r>
          </w:p>
        </w:tc>
        <w:tc>
          <w:tcPr>
            <w:tcW w:w="5102" w:type="dxa"/>
          </w:tcPr>
          <w:p w14:paraId="2ED641EB"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t>] [Chairperson]</w:t>
            </w:r>
          </w:p>
        </w:tc>
      </w:tr>
      <w:tr w:rsidR="00BC7DDA" w:rsidRPr="00BD6C5F" w14:paraId="03511744" w14:textId="77777777" w:rsidTr="006D19D8">
        <w:tc>
          <w:tcPr>
            <w:tcW w:w="5102" w:type="dxa"/>
          </w:tcPr>
          <w:p w14:paraId="118C1C30" w14:textId="77777777" w:rsidR="00BC7DDA" w:rsidRPr="00BD6C5F" w:rsidRDefault="009B03E9" w:rsidP="006D19D8">
            <w:pPr>
              <w:pStyle w:val="Tabletext"/>
            </w:pPr>
            <w:r w:rsidRPr="00BD6C5F">
              <w:t>Supplier members of Programme Board</w:t>
            </w:r>
          </w:p>
        </w:tc>
        <w:tc>
          <w:tcPr>
            <w:tcW w:w="5102" w:type="dxa"/>
          </w:tcPr>
          <w:p w14:paraId="472220CC" w14:textId="77777777" w:rsidR="00BC7DDA" w:rsidRPr="00BD6C5F" w:rsidRDefault="00BC7DDA" w:rsidP="006D19D8">
            <w:pPr>
              <w:pStyle w:val="Tabletext"/>
            </w:pPr>
          </w:p>
        </w:tc>
      </w:tr>
      <w:tr w:rsidR="00BC7DDA" w:rsidRPr="00BD6C5F" w14:paraId="6764B4F7" w14:textId="77777777" w:rsidTr="006D19D8">
        <w:tc>
          <w:tcPr>
            <w:tcW w:w="5102" w:type="dxa"/>
          </w:tcPr>
          <w:p w14:paraId="58F6476B" w14:textId="77777777" w:rsidR="00BC7DDA" w:rsidRPr="00BD6C5F" w:rsidRDefault="009B03E9" w:rsidP="006D19D8">
            <w:pPr>
              <w:pStyle w:val="Tabletext"/>
            </w:pPr>
            <w:r w:rsidRPr="00BD6C5F">
              <w:t>Start date for Programme Board meetings</w:t>
            </w:r>
          </w:p>
        </w:tc>
        <w:tc>
          <w:tcPr>
            <w:tcW w:w="5102" w:type="dxa"/>
          </w:tcPr>
          <w:p w14:paraId="7B1ECB28" w14:textId="77777777" w:rsidR="00BC7DDA" w:rsidRPr="00BD6C5F" w:rsidRDefault="00BC7DDA" w:rsidP="006D19D8">
            <w:pPr>
              <w:pStyle w:val="Tabletext"/>
            </w:pPr>
          </w:p>
        </w:tc>
      </w:tr>
      <w:tr w:rsidR="00BC7DDA" w:rsidRPr="00BD6C5F" w14:paraId="1BFFFC55" w14:textId="77777777" w:rsidTr="006D19D8">
        <w:tc>
          <w:tcPr>
            <w:tcW w:w="5102" w:type="dxa"/>
          </w:tcPr>
          <w:p w14:paraId="1D7F5641" w14:textId="77777777" w:rsidR="00BC7DDA" w:rsidRPr="00BD6C5F" w:rsidRDefault="009B03E9" w:rsidP="006D19D8">
            <w:pPr>
              <w:pStyle w:val="Tabletext"/>
            </w:pPr>
            <w:r w:rsidRPr="00BD6C5F">
              <w:t>Frequency of Programme Board meetings</w:t>
            </w:r>
          </w:p>
        </w:tc>
        <w:tc>
          <w:tcPr>
            <w:tcW w:w="5102" w:type="dxa"/>
          </w:tcPr>
          <w:p w14:paraId="391CAC05" w14:textId="77777777" w:rsidR="00BC7DDA" w:rsidRPr="00BD6C5F" w:rsidRDefault="00BC7DDA" w:rsidP="006D19D8">
            <w:pPr>
              <w:pStyle w:val="Tabletext"/>
            </w:pPr>
          </w:p>
        </w:tc>
      </w:tr>
      <w:tr w:rsidR="00BC7DDA" w:rsidRPr="00BD6C5F" w14:paraId="51CF0358" w14:textId="77777777" w:rsidTr="006D19D8">
        <w:tc>
          <w:tcPr>
            <w:tcW w:w="5102" w:type="dxa"/>
          </w:tcPr>
          <w:p w14:paraId="46800B6A" w14:textId="77777777" w:rsidR="00BC7DDA" w:rsidRPr="00BD6C5F" w:rsidRDefault="009B03E9" w:rsidP="006D19D8">
            <w:pPr>
              <w:pStyle w:val="Tabletext"/>
            </w:pPr>
            <w:r w:rsidRPr="00BD6C5F">
              <w:t>Location of Programme Board meetings</w:t>
            </w:r>
          </w:p>
        </w:tc>
        <w:tc>
          <w:tcPr>
            <w:tcW w:w="5102" w:type="dxa"/>
          </w:tcPr>
          <w:p w14:paraId="3942C6BD" w14:textId="77777777" w:rsidR="00BC7DDA" w:rsidRPr="00BD6C5F" w:rsidRDefault="00BC7DDA" w:rsidP="006D19D8">
            <w:pPr>
              <w:pStyle w:val="Tabletext"/>
            </w:pPr>
          </w:p>
        </w:tc>
      </w:tr>
    </w:tbl>
    <w:p w14:paraId="184FF173" w14:textId="061D8190" w:rsidR="00BC7DDA" w:rsidRPr="00BD6C5F" w:rsidRDefault="009B03E9" w:rsidP="00CF5FF6">
      <w:pPr>
        <w:keepNext/>
        <w:keepLines/>
        <w:spacing w:before="200" w:after="200"/>
        <w:jc w:val="center"/>
        <w:rPr>
          <w:rFonts w:asciiTheme="minorHAnsi" w:hAnsiTheme="minorHAnsi" w:cstheme="minorHAnsi"/>
          <w:b/>
          <w:szCs w:val="24"/>
        </w:rPr>
      </w:pPr>
      <w:r w:rsidRPr="00BD6C5F">
        <w:rPr>
          <w:rFonts w:asciiTheme="minorHAnsi" w:hAnsiTheme="minorHAnsi" w:cstheme="minorHAnsi"/>
          <w:b/>
          <w:szCs w:val="24"/>
        </w:rPr>
        <w:t>Change Management Board</w:t>
      </w:r>
    </w:p>
    <w:tbl>
      <w:tblPr>
        <w:tblStyle w:val="MSATable-header"/>
        <w:tblW w:w="10204" w:type="dxa"/>
        <w:tblLayout w:type="fixed"/>
        <w:tblLook w:val="0600" w:firstRow="0" w:lastRow="0" w:firstColumn="0" w:lastColumn="0" w:noHBand="1" w:noVBand="1"/>
      </w:tblPr>
      <w:tblGrid>
        <w:gridCol w:w="5102"/>
        <w:gridCol w:w="5102"/>
      </w:tblGrid>
      <w:tr w:rsidR="00BC7DDA" w:rsidRPr="00BD6C5F" w14:paraId="1F2F20AB" w14:textId="77777777" w:rsidTr="006D19D8">
        <w:tc>
          <w:tcPr>
            <w:tcW w:w="5102" w:type="dxa"/>
          </w:tcPr>
          <w:p w14:paraId="511EBB6A"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Authority Members of Change Management Board</w:t>
            </w:r>
          </w:p>
        </w:tc>
        <w:tc>
          <w:tcPr>
            <w:tcW w:w="5102" w:type="dxa"/>
          </w:tcPr>
          <w:p w14:paraId="2308AF05"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t>] [Chairperson]</w:t>
            </w:r>
          </w:p>
        </w:tc>
      </w:tr>
      <w:tr w:rsidR="00BC7DDA" w:rsidRPr="00BD6C5F" w14:paraId="6BC23A83" w14:textId="77777777" w:rsidTr="006D19D8">
        <w:tc>
          <w:tcPr>
            <w:tcW w:w="5102" w:type="dxa"/>
          </w:tcPr>
          <w:p w14:paraId="6E050F65" w14:textId="77777777" w:rsidR="00BC7DDA" w:rsidRPr="00BD6C5F" w:rsidRDefault="009B03E9" w:rsidP="006D19D8">
            <w:pPr>
              <w:pStyle w:val="Tabletext"/>
            </w:pPr>
            <w:r w:rsidRPr="00BD6C5F">
              <w:t>Supplier Members of Change Management Board</w:t>
            </w:r>
          </w:p>
        </w:tc>
        <w:tc>
          <w:tcPr>
            <w:tcW w:w="5102" w:type="dxa"/>
          </w:tcPr>
          <w:p w14:paraId="532C7646" w14:textId="77777777" w:rsidR="00BC7DDA" w:rsidRPr="00BD6C5F" w:rsidRDefault="00BC7DDA" w:rsidP="006D19D8">
            <w:pPr>
              <w:pStyle w:val="Tabletext"/>
            </w:pPr>
          </w:p>
        </w:tc>
      </w:tr>
      <w:tr w:rsidR="00BC7DDA" w:rsidRPr="00BD6C5F" w14:paraId="35531C24" w14:textId="77777777" w:rsidTr="006D19D8">
        <w:tc>
          <w:tcPr>
            <w:tcW w:w="5102" w:type="dxa"/>
          </w:tcPr>
          <w:p w14:paraId="154BA0B0" w14:textId="77777777" w:rsidR="00BC7DDA" w:rsidRPr="00BD6C5F" w:rsidRDefault="009B03E9" w:rsidP="006D19D8">
            <w:pPr>
              <w:pStyle w:val="Tabletext"/>
            </w:pPr>
            <w:r w:rsidRPr="00BD6C5F">
              <w:t>Start Date for Change Management Board meetings</w:t>
            </w:r>
          </w:p>
        </w:tc>
        <w:tc>
          <w:tcPr>
            <w:tcW w:w="5102" w:type="dxa"/>
          </w:tcPr>
          <w:p w14:paraId="11604566" w14:textId="77777777" w:rsidR="00BC7DDA" w:rsidRPr="00BD6C5F" w:rsidRDefault="00BC7DDA" w:rsidP="006D19D8">
            <w:pPr>
              <w:pStyle w:val="Tabletext"/>
            </w:pPr>
          </w:p>
        </w:tc>
      </w:tr>
      <w:tr w:rsidR="006D19D8" w:rsidRPr="00BD6C5F" w14:paraId="77EFB9C7" w14:textId="77777777" w:rsidTr="006D19D8">
        <w:tc>
          <w:tcPr>
            <w:tcW w:w="5102" w:type="dxa"/>
          </w:tcPr>
          <w:p w14:paraId="323FE3CF" w14:textId="27B32BB1" w:rsidR="006D19D8" w:rsidRPr="00BD6C5F" w:rsidRDefault="006D19D8" w:rsidP="006D19D8">
            <w:pPr>
              <w:pStyle w:val="Tabletext"/>
            </w:pPr>
            <w:r w:rsidRPr="00BD6C5F">
              <w:t>Frequency of Change Management Board meetings</w:t>
            </w:r>
          </w:p>
        </w:tc>
        <w:tc>
          <w:tcPr>
            <w:tcW w:w="5102" w:type="dxa"/>
          </w:tcPr>
          <w:p w14:paraId="58134FF8" w14:textId="77777777" w:rsidR="006D19D8" w:rsidRPr="00BD6C5F" w:rsidRDefault="006D19D8" w:rsidP="006D19D8">
            <w:pPr>
              <w:pStyle w:val="Tabletext"/>
            </w:pPr>
          </w:p>
        </w:tc>
      </w:tr>
      <w:tr w:rsidR="006D19D8" w:rsidRPr="00BD6C5F" w14:paraId="353FCE53" w14:textId="77777777" w:rsidTr="006D19D8">
        <w:tc>
          <w:tcPr>
            <w:tcW w:w="5102" w:type="dxa"/>
          </w:tcPr>
          <w:p w14:paraId="6D176DF9" w14:textId="4A3811F6" w:rsidR="006D19D8" w:rsidRPr="00BD6C5F" w:rsidRDefault="006D19D8" w:rsidP="006D19D8">
            <w:pPr>
              <w:pStyle w:val="Tabletext"/>
            </w:pPr>
            <w:r w:rsidRPr="00BD6C5F">
              <w:t>Location of Change Management Board meetings</w:t>
            </w:r>
          </w:p>
        </w:tc>
        <w:tc>
          <w:tcPr>
            <w:tcW w:w="5102" w:type="dxa"/>
          </w:tcPr>
          <w:p w14:paraId="36E2C8D8" w14:textId="77777777" w:rsidR="006D19D8" w:rsidRPr="00BD6C5F" w:rsidRDefault="006D19D8" w:rsidP="006D19D8">
            <w:pPr>
              <w:pStyle w:val="Tabletext"/>
            </w:pPr>
          </w:p>
        </w:tc>
      </w:tr>
    </w:tbl>
    <w:p w14:paraId="2E68BBD1" w14:textId="1DF61F5A" w:rsidR="00BC7DDA" w:rsidRPr="00BD6C5F" w:rsidRDefault="009B03E9" w:rsidP="00CF5FF6">
      <w:pPr>
        <w:keepNext/>
        <w:keepLines/>
        <w:spacing w:before="200" w:after="200"/>
        <w:jc w:val="center"/>
        <w:rPr>
          <w:rFonts w:asciiTheme="minorHAnsi" w:hAnsiTheme="minorHAnsi" w:cstheme="minorHAnsi"/>
          <w:b/>
          <w:szCs w:val="24"/>
        </w:rPr>
      </w:pPr>
      <w:r w:rsidRPr="00BD6C5F">
        <w:rPr>
          <w:rFonts w:asciiTheme="minorHAnsi" w:hAnsiTheme="minorHAnsi" w:cstheme="minorHAnsi"/>
          <w:b/>
          <w:szCs w:val="24"/>
        </w:rPr>
        <w:lastRenderedPageBreak/>
        <w:t>Technical Board</w:t>
      </w:r>
    </w:p>
    <w:tbl>
      <w:tblPr>
        <w:tblStyle w:val="MSATable-header"/>
        <w:tblW w:w="10204" w:type="dxa"/>
        <w:tblLayout w:type="fixed"/>
        <w:tblLook w:val="0600" w:firstRow="0" w:lastRow="0" w:firstColumn="0" w:lastColumn="0" w:noHBand="1" w:noVBand="1"/>
      </w:tblPr>
      <w:tblGrid>
        <w:gridCol w:w="5102"/>
        <w:gridCol w:w="5102"/>
      </w:tblGrid>
      <w:tr w:rsidR="00BC7DDA" w:rsidRPr="00BD6C5F" w14:paraId="562B9DAA" w14:textId="77777777" w:rsidTr="006D19D8">
        <w:tc>
          <w:tcPr>
            <w:tcW w:w="5102" w:type="dxa"/>
          </w:tcPr>
          <w:p w14:paraId="4E6633F2"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Authority Members of Technical Board</w:t>
            </w:r>
          </w:p>
        </w:tc>
        <w:tc>
          <w:tcPr>
            <w:tcW w:w="5102" w:type="dxa"/>
          </w:tcPr>
          <w:p w14:paraId="41E3AB33"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t>] [Chairperson]</w:t>
            </w:r>
          </w:p>
        </w:tc>
      </w:tr>
      <w:tr w:rsidR="00BC7DDA" w:rsidRPr="00BD6C5F" w14:paraId="41A3FF3F" w14:textId="77777777" w:rsidTr="006D19D8">
        <w:tc>
          <w:tcPr>
            <w:tcW w:w="5102" w:type="dxa"/>
          </w:tcPr>
          <w:p w14:paraId="624C704D" w14:textId="77777777" w:rsidR="00BC7DDA" w:rsidRPr="00BD6C5F" w:rsidRDefault="009B03E9" w:rsidP="006D19D8">
            <w:pPr>
              <w:pStyle w:val="Tabletext"/>
            </w:pPr>
            <w:r w:rsidRPr="00BD6C5F">
              <w:t>Supplier Members of Technical Board</w:t>
            </w:r>
          </w:p>
        </w:tc>
        <w:tc>
          <w:tcPr>
            <w:tcW w:w="5102" w:type="dxa"/>
          </w:tcPr>
          <w:p w14:paraId="297D293E" w14:textId="77777777" w:rsidR="00BC7DDA" w:rsidRPr="00BD6C5F" w:rsidRDefault="00BC7DDA" w:rsidP="006D19D8">
            <w:pPr>
              <w:pStyle w:val="Tabletext"/>
            </w:pPr>
          </w:p>
        </w:tc>
      </w:tr>
      <w:tr w:rsidR="00BC7DDA" w:rsidRPr="00BD6C5F" w14:paraId="1C1AC70C" w14:textId="77777777" w:rsidTr="006D19D8">
        <w:tc>
          <w:tcPr>
            <w:tcW w:w="5102" w:type="dxa"/>
          </w:tcPr>
          <w:p w14:paraId="4B83F7EA" w14:textId="77777777" w:rsidR="00BC7DDA" w:rsidRPr="00BD6C5F" w:rsidRDefault="009B03E9" w:rsidP="006D19D8">
            <w:pPr>
              <w:pStyle w:val="Tabletext"/>
            </w:pPr>
            <w:r w:rsidRPr="00BD6C5F">
              <w:t>Start Date for Technical Board meetings</w:t>
            </w:r>
          </w:p>
        </w:tc>
        <w:tc>
          <w:tcPr>
            <w:tcW w:w="5102" w:type="dxa"/>
          </w:tcPr>
          <w:p w14:paraId="20CAB8A8" w14:textId="77777777" w:rsidR="00BC7DDA" w:rsidRPr="00BD6C5F" w:rsidRDefault="00BC7DDA" w:rsidP="006D19D8">
            <w:pPr>
              <w:pStyle w:val="Tabletext"/>
            </w:pPr>
          </w:p>
        </w:tc>
      </w:tr>
      <w:tr w:rsidR="00BC7DDA" w:rsidRPr="00BD6C5F" w14:paraId="6DD32D79" w14:textId="77777777" w:rsidTr="006D19D8">
        <w:tc>
          <w:tcPr>
            <w:tcW w:w="5102" w:type="dxa"/>
          </w:tcPr>
          <w:p w14:paraId="4A52CBCF" w14:textId="77777777" w:rsidR="00BC7DDA" w:rsidRPr="00BD6C5F" w:rsidRDefault="009B03E9" w:rsidP="006D19D8">
            <w:pPr>
              <w:pStyle w:val="Tabletext"/>
            </w:pPr>
            <w:r w:rsidRPr="00BD6C5F">
              <w:t>Frequency of Technical Board meetings</w:t>
            </w:r>
          </w:p>
        </w:tc>
        <w:tc>
          <w:tcPr>
            <w:tcW w:w="5102" w:type="dxa"/>
          </w:tcPr>
          <w:p w14:paraId="6561A3BB" w14:textId="77777777" w:rsidR="00BC7DDA" w:rsidRPr="00BD6C5F" w:rsidRDefault="00BC7DDA" w:rsidP="006D19D8">
            <w:pPr>
              <w:pStyle w:val="Tabletext"/>
            </w:pPr>
          </w:p>
        </w:tc>
      </w:tr>
      <w:tr w:rsidR="00BC7DDA" w:rsidRPr="00BD6C5F" w14:paraId="599F2AC6" w14:textId="77777777" w:rsidTr="006D19D8">
        <w:tc>
          <w:tcPr>
            <w:tcW w:w="5102" w:type="dxa"/>
          </w:tcPr>
          <w:p w14:paraId="5984746A" w14:textId="77777777" w:rsidR="00BC7DDA" w:rsidRPr="00BD6C5F" w:rsidRDefault="009B03E9" w:rsidP="006D19D8">
            <w:pPr>
              <w:pStyle w:val="Tabletext"/>
            </w:pPr>
            <w:r w:rsidRPr="00BD6C5F">
              <w:t>Location of Technical Board meetings</w:t>
            </w:r>
          </w:p>
        </w:tc>
        <w:tc>
          <w:tcPr>
            <w:tcW w:w="5102" w:type="dxa"/>
          </w:tcPr>
          <w:p w14:paraId="4972F148" w14:textId="77777777" w:rsidR="00BC7DDA" w:rsidRPr="00BD6C5F" w:rsidRDefault="00BC7DDA" w:rsidP="006D19D8">
            <w:pPr>
              <w:pStyle w:val="Tabletext"/>
            </w:pPr>
          </w:p>
        </w:tc>
      </w:tr>
    </w:tbl>
    <w:p w14:paraId="38FF67C0" w14:textId="3FD30867" w:rsidR="00BC7DDA" w:rsidRPr="00BD6C5F" w:rsidRDefault="009B03E9" w:rsidP="00CF5FF6">
      <w:pPr>
        <w:keepNext/>
        <w:keepLines/>
        <w:spacing w:before="200" w:after="200"/>
        <w:jc w:val="center"/>
        <w:rPr>
          <w:rFonts w:asciiTheme="minorHAnsi" w:hAnsiTheme="minorHAnsi" w:cstheme="minorHAnsi"/>
          <w:b/>
          <w:szCs w:val="24"/>
        </w:rPr>
      </w:pPr>
      <w:r w:rsidRPr="00BD6C5F">
        <w:rPr>
          <w:rFonts w:asciiTheme="minorHAnsi" w:hAnsiTheme="minorHAnsi" w:cstheme="minorHAnsi"/>
          <w:b/>
          <w:szCs w:val="24"/>
        </w:rPr>
        <w:t>Risk Management Board</w:t>
      </w:r>
    </w:p>
    <w:tbl>
      <w:tblPr>
        <w:tblStyle w:val="MSATable-header"/>
        <w:tblW w:w="10204" w:type="dxa"/>
        <w:tblLayout w:type="fixed"/>
        <w:tblLook w:val="0600" w:firstRow="0" w:lastRow="0" w:firstColumn="0" w:lastColumn="0" w:noHBand="1" w:noVBand="1"/>
      </w:tblPr>
      <w:tblGrid>
        <w:gridCol w:w="5102"/>
        <w:gridCol w:w="5102"/>
      </w:tblGrid>
      <w:tr w:rsidR="00BC7DDA" w:rsidRPr="00BD6C5F" w14:paraId="5488D2B5" w14:textId="77777777" w:rsidTr="006D19D8">
        <w:tc>
          <w:tcPr>
            <w:tcW w:w="5102" w:type="dxa"/>
          </w:tcPr>
          <w:p w14:paraId="50E1E3D8" w14:textId="77777777" w:rsidR="00BC7DDA" w:rsidRPr="00BD6C5F" w:rsidRDefault="009B03E9" w:rsidP="006D19D8">
            <w:pPr>
              <w:pStyle w:val="Tabletext"/>
            </w:pPr>
            <w:r w:rsidRPr="00BD6C5F">
              <w:t>Authority Members for Risk Management Board</w:t>
            </w:r>
          </w:p>
        </w:tc>
        <w:tc>
          <w:tcPr>
            <w:tcW w:w="5102" w:type="dxa"/>
          </w:tcPr>
          <w:p w14:paraId="04EEB455"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t>] [Chairperson]</w:t>
            </w:r>
          </w:p>
        </w:tc>
      </w:tr>
      <w:tr w:rsidR="00BC7DDA" w:rsidRPr="00BD6C5F" w14:paraId="653294EA" w14:textId="77777777" w:rsidTr="006D19D8">
        <w:tc>
          <w:tcPr>
            <w:tcW w:w="5102" w:type="dxa"/>
          </w:tcPr>
          <w:p w14:paraId="20083B94" w14:textId="77777777" w:rsidR="00BC7DDA" w:rsidRPr="00BD6C5F" w:rsidRDefault="009B03E9" w:rsidP="006D19D8">
            <w:pPr>
              <w:pStyle w:val="Tabletext"/>
            </w:pPr>
            <w:r w:rsidRPr="00BD6C5F">
              <w:t>Supplier Members for Risk Management Board</w:t>
            </w:r>
          </w:p>
        </w:tc>
        <w:tc>
          <w:tcPr>
            <w:tcW w:w="5102" w:type="dxa"/>
          </w:tcPr>
          <w:p w14:paraId="76E25DBA" w14:textId="77777777" w:rsidR="00BC7DDA" w:rsidRPr="00BD6C5F" w:rsidRDefault="00BC7DDA" w:rsidP="006D19D8">
            <w:pPr>
              <w:pStyle w:val="Tabletext"/>
            </w:pPr>
          </w:p>
        </w:tc>
      </w:tr>
      <w:tr w:rsidR="00BC7DDA" w:rsidRPr="00BD6C5F" w14:paraId="39C50584" w14:textId="77777777" w:rsidTr="006D19D8">
        <w:tc>
          <w:tcPr>
            <w:tcW w:w="5102" w:type="dxa"/>
          </w:tcPr>
          <w:p w14:paraId="6087C805" w14:textId="77777777" w:rsidR="00BC7DDA" w:rsidRPr="00BD6C5F" w:rsidRDefault="009B03E9" w:rsidP="006D19D8">
            <w:pPr>
              <w:pStyle w:val="Tabletext"/>
            </w:pPr>
            <w:r w:rsidRPr="00BD6C5F">
              <w:t>Start Date for Risk Management Board meetings</w:t>
            </w:r>
          </w:p>
        </w:tc>
        <w:tc>
          <w:tcPr>
            <w:tcW w:w="5102" w:type="dxa"/>
          </w:tcPr>
          <w:p w14:paraId="5411610D" w14:textId="77777777" w:rsidR="00BC7DDA" w:rsidRPr="00BD6C5F" w:rsidRDefault="00BC7DDA" w:rsidP="006D19D8">
            <w:pPr>
              <w:pStyle w:val="Tabletext"/>
            </w:pPr>
          </w:p>
        </w:tc>
      </w:tr>
      <w:tr w:rsidR="00BC7DDA" w:rsidRPr="00BD6C5F" w14:paraId="56160076" w14:textId="77777777" w:rsidTr="006D19D8">
        <w:tc>
          <w:tcPr>
            <w:tcW w:w="5102" w:type="dxa"/>
          </w:tcPr>
          <w:p w14:paraId="567171F8" w14:textId="77777777" w:rsidR="00BC7DDA" w:rsidRPr="00BD6C5F" w:rsidRDefault="009B03E9" w:rsidP="006D19D8">
            <w:pPr>
              <w:pStyle w:val="Tabletext"/>
            </w:pPr>
            <w:r w:rsidRPr="00BD6C5F">
              <w:t>Frequency of Risk Management Board meetings</w:t>
            </w:r>
          </w:p>
        </w:tc>
        <w:tc>
          <w:tcPr>
            <w:tcW w:w="5102" w:type="dxa"/>
          </w:tcPr>
          <w:p w14:paraId="592E08D7" w14:textId="77777777" w:rsidR="00BC7DDA" w:rsidRPr="00BD6C5F" w:rsidRDefault="00BC7DDA" w:rsidP="006D19D8">
            <w:pPr>
              <w:pStyle w:val="Tabletext"/>
            </w:pPr>
          </w:p>
        </w:tc>
      </w:tr>
      <w:tr w:rsidR="00BC7DDA" w:rsidRPr="00BD6C5F" w14:paraId="29456EF8" w14:textId="77777777" w:rsidTr="006D19D8">
        <w:tc>
          <w:tcPr>
            <w:tcW w:w="5102" w:type="dxa"/>
          </w:tcPr>
          <w:p w14:paraId="251C9F56" w14:textId="77777777" w:rsidR="00BC7DDA" w:rsidRPr="00BD6C5F" w:rsidRDefault="009B03E9" w:rsidP="006D19D8">
            <w:pPr>
              <w:pStyle w:val="Tabletext"/>
            </w:pPr>
            <w:r w:rsidRPr="00BD6C5F">
              <w:t>Location of Risk Management Board meetings</w:t>
            </w:r>
          </w:p>
        </w:tc>
        <w:tc>
          <w:tcPr>
            <w:tcW w:w="5102" w:type="dxa"/>
          </w:tcPr>
          <w:p w14:paraId="5619725E" w14:textId="77777777" w:rsidR="00BC7DDA" w:rsidRPr="00BD6C5F" w:rsidRDefault="00BC7DDA" w:rsidP="006D19D8">
            <w:pPr>
              <w:pStyle w:val="Tabletext"/>
            </w:pPr>
          </w:p>
        </w:tc>
      </w:tr>
    </w:tbl>
    <w:p w14:paraId="4EED2068" w14:textId="77777777" w:rsidR="007F3BCB" w:rsidRPr="00BD6C5F" w:rsidRDefault="007F3BCB" w:rsidP="00F751C6"/>
    <w:p w14:paraId="628281F6" w14:textId="77777777" w:rsidR="00F751C6" w:rsidRPr="00BD6C5F" w:rsidRDefault="00F751C6" w:rsidP="00F751C6"/>
    <w:p w14:paraId="50009EAB" w14:textId="00A55A36" w:rsidR="00F751C6" w:rsidRPr="00BD6C5F" w:rsidRDefault="00F751C6" w:rsidP="00F751C6">
      <w:pPr>
        <w:sectPr w:rsidR="00F751C6" w:rsidRPr="00BD6C5F" w:rsidSect="00EA65BF">
          <w:headerReference w:type="default" r:id="rId95"/>
          <w:footerReference w:type="default" r:id="rId96"/>
          <w:pgSz w:w="11910" w:h="16840"/>
          <w:pgMar w:top="1701" w:right="851" w:bottom="1134" w:left="851" w:header="567" w:footer="567" w:gutter="0"/>
          <w:cols w:space="720"/>
        </w:sectPr>
      </w:pPr>
    </w:p>
    <w:p w14:paraId="6121B206" w14:textId="64A7BBF8" w:rsidR="004F122B" w:rsidRDefault="004F122B" w:rsidP="004F122B">
      <w:pPr>
        <w:pStyle w:val="Dividername"/>
      </w:pPr>
      <w:bookmarkStart w:id="1028" w:name="_bookmark354"/>
      <w:bookmarkStart w:id="1029" w:name="_Ref98254079"/>
      <w:bookmarkStart w:id="1030" w:name="_Ref98257803"/>
      <w:bookmarkStart w:id="1031" w:name="_Toc98332763"/>
      <w:bookmarkStart w:id="1032" w:name="_Toc98852940"/>
      <w:bookmarkEnd w:id="1028"/>
      <w:r>
        <w:lastRenderedPageBreak/>
        <w:t xml:space="preserve">Schedule </w:t>
      </w:r>
      <w:bookmarkStart w:id="1033" w:name="Schedule_22"/>
      <w:r>
        <w:t>22</w:t>
      </w:r>
      <w:bookmarkEnd w:id="1033"/>
    </w:p>
    <w:p w14:paraId="64B78D15" w14:textId="403B099F" w:rsidR="004F122B" w:rsidRDefault="004F122B" w:rsidP="004F122B">
      <w:pPr>
        <w:pStyle w:val="Dividername"/>
      </w:pPr>
      <w:r w:rsidRPr="004F122B">
        <w:t>Change Control Procedure</w:t>
      </w:r>
    </w:p>
    <w:p w14:paraId="70AC56F6" w14:textId="77777777" w:rsidR="004F122B" w:rsidRDefault="004F122B" w:rsidP="004F122B"/>
    <w:p w14:paraId="69B8E605" w14:textId="68EE09B9" w:rsidR="00BC7DDA" w:rsidRPr="00BD6C5F" w:rsidRDefault="006D19D8" w:rsidP="004F122B">
      <w:pPr>
        <w:pStyle w:val="Heading1"/>
        <w:pageBreakBefore/>
      </w:pPr>
      <w:bookmarkStart w:id="1034" w:name="_Toc141721032"/>
      <w:r w:rsidRPr="00BD6C5F">
        <w:lastRenderedPageBreak/>
        <w:t>Schedule 22</w:t>
      </w:r>
      <w:r w:rsidR="0058158C" w:rsidRPr="00BD6C5F">
        <w:t>:</w:t>
      </w:r>
      <w:r w:rsidRPr="00BD6C5F">
        <w:t xml:space="preserve"> Change Control Procedure</w:t>
      </w:r>
      <w:bookmarkEnd w:id="1029"/>
      <w:bookmarkEnd w:id="1030"/>
      <w:bookmarkEnd w:id="1031"/>
      <w:bookmarkEnd w:id="1032"/>
      <w:bookmarkEnd w:id="1034"/>
    </w:p>
    <w:p w14:paraId="07B3B059" w14:textId="659384EC" w:rsidR="00785C5B" w:rsidRPr="00BD6C5F" w:rsidRDefault="00785C5B" w:rsidP="006D19D8">
      <w:pPr>
        <w:jc w:val="center"/>
      </w:pPr>
      <w:r w:rsidRPr="00BD6C5F">
        <w:t>This is the schedule referred to in the foregoing agreement betwee</w:t>
      </w:r>
      <w:r w:rsidR="0012518B" w:rsidRPr="00BD6C5F">
        <w:t>n [</w:t>
      </w:r>
      <w:r w:rsidR="0012518B" w:rsidRPr="00BD6C5F">
        <w:rPr>
          <w:highlight w:val="yellow"/>
        </w:rPr>
        <w:t>name of party</w:t>
      </w:r>
      <w:r w:rsidR="0012518B" w:rsidRPr="00BD6C5F">
        <w:t>] and [</w:t>
      </w:r>
      <w:r w:rsidR="0012518B" w:rsidRPr="00BD6C5F">
        <w:rPr>
          <w:highlight w:val="yellow"/>
        </w:rPr>
        <w:t>name of party</w:t>
      </w:r>
      <w:r w:rsidR="0012518B" w:rsidRPr="00BD6C5F">
        <w:t>] dated [</w:t>
      </w:r>
      <w:r w:rsidR="0012518B" w:rsidRPr="00BD6C5F">
        <w:rPr>
          <w:highlight w:val="yellow"/>
        </w:rPr>
        <w:t>date</w:t>
      </w:r>
      <w:r w:rsidR="0012518B" w:rsidRPr="00BD6C5F">
        <w:t>]</w:t>
      </w:r>
    </w:p>
    <w:p w14:paraId="7C4ABFE2" w14:textId="4D0C41BF" w:rsidR="00BC7DDA" w:rsidRPr="00BD6C5F" w:rsidRDefault="0012518B" w:rsidP="00B71FC0">
      <w:pPr>
        <w:pStyle w:val="Numbered1"/>
        <w:numPr>
          <w:ilvl w:val="0"/>
          <w:numId w:val="107"/>
        </w:numPr>
      </w:pPr>
      <w:r w:rsidRPr="00BD6C5F">
        <w:t>Definitions</w:t>
      </w:r>
    </w:p>
    <w:p w14:paraId="38BD2887" w14:textId="77777777" w:rsidR="00BC7DDA" w:rsidRPr="00BD6C5F" w:rsidRDefault="009B03E9" w:rsidP="00C70900">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7EAB1D94" w14:textId="77777777" w:rsidTr="009C1CCA">
        <w:tc>
          <w:tcPr>
            <w:tcW w:w="3572" w:type="dxa"/>
          </w:tcPr>
          <w:p w14:paraId="67A51963" w14:textId="0A2CDE5E" w:rsidR="00BC7DDA" w:rsidRPr="00BD6C5F" w:rsidRDefault="00A4555C" w:rsidP="006D19D8">
            <w:pPr>
              <w:pStyle w:val="Tabletext"/>
              <w:rPr>
                <w:b/>
                <w:bCs/>
              </w:rPr>
            </w:pPr>
            <w:r w:rsidRPr="00BD6C5F">
              <w:rPr>
                <w:b/>
                <w:bCs/>
              </w:rPr>
              <w:t>“</w:t>
            </w:r>
            <w:r w:rsidR="009B03E9" w:rsidRPr="00BD6C5F">
              <w:rPr>
                <w:b/>
                <w:bCs/>
              </w:rPr>
              <w:t>Authority Change Manager</w:t>
            </w:r>
            <w:r w:rsidRPr="00BD6C5F">
              <w:rPr>
                <w:b/>
                <w:bCs/>
              </w:rPr>
              <w:t>”</w:t>
            </w:r>
          </w:p>
        </w:tc>
        <w:tc>
          <w:tcPr>
            <w:tcW w:w="5953" w:type="dxa"/>
          </w:tcPr>
          <w:p w14:paraId="43CBDB5B" w14:textId="77777777" w:rsidR="00BC7DDA" w:rsidRPr="00BD6C5F" w:rsidRDefault="009B03E9" w:rsidP="006D19D8">
            <w:pPr>
              <w:pStyle w:val="Tabletext"/>
            </w:pPr>
            <w:r w:rsidRPr="00BD6C5F">
              <w:t>the person appointed to that position by the Authority from time to time and notified in writing to the Supplier or, if no person is notified, the Authority Representative;</w:t>
            </w:r>
          </w:p>
        </w:tc>
      </w:tr>
      <w:tr w:rsidR="00BC7DDA" w:rsidRPr="00BD6C5F" w14:paraId="11C1D6B1" w14:textId="77777777" w:rsidTr="009C1CCA">
        <w:tc>
          <w:tcPr>
            <w:tcW w:w="3572" w:type="dxa"/>
          </w:tcPr>
          <w:p w14:paraId="059AA9B6" w14:textId="54E3761C" w:rsidR="00BC7DDA" w:rsidRPr="00BD6C5F" w:rsidRDefault="00A4555C" w:rsidP="006D19D8">
            <w:pPr>
              <w:pStyle w:val="Tabletext"/>
              <w:rPr>
                <w:b/>
                <w:bCs/>
              </w:rPr>
            </w:pPr>
            <w:r w:rsidRPr="00BD6C5F">
              <w:rPr>
                <w:b/>
                <w:bCs/>
              </w:rPr>
              <w:t>“</w:t>
            </w:r>
            <w:r w:rsidR="009B03E9" w:rsidRPr="00BD6C5F">
              <w:rPr>
                <w:b/>
                <w:bCs/>
              </w:rPr>
              <w:t>Change Request</w:t>
            </w:r>
            <w:r w:rsidRPr="00BD6C5F">
              <w:rPr>
                <w:b/>
                <w:bCs/>
              </w:rPr>
              <w:t>”</w:t>
            </w:r>
          </w:p>
        </w:tc>
        <w:tc>
          <w:tcPr>
            <w:tcW w:w="5953" w:type="dxa"/>
          </w:tcPr>
          <w:p w14:paraId="196D50CF" w14:textId="46D23651"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 xml:space="preserve">a written request for a Contract Change which shall be substantially in the form of </w:t>
            </w:r>
            <w:r w:rsidR="00DF7441">
              <w:rPr>
                <w:rFonts w:asciiTheme="minorHAnsi" w:hAnsiTheme="minorHAnsi" w:cstheme="minorHAnsi"/>
              </w:rPr>
              <w:t>Annex </w:t>
            </w:r>
            <w:r w:rsidR="00DF7441">
              <w:rPr>
                <w:rFonts w:asciiTheme="minorHAnsi" w:hAnsiTheme="minorHAnsi" w:cstheme="minorHAnsi"/>
              </w:rPr>
              <w:fldChar w:fldCharType="begin"/>
            </w:r>
            <w:r w:rsidR="00DF7441">
              <w:rPr>
                <w:rFonts w:asciiTheme="minorHAnsi" w:hAnsiTheme="minorHAnsi" w:cstheme="minorHAnsi"/>
              </w:rPr>
              <w:instrText xml:space="preserve"> REF Schedule_22_Annex_1 \h </w:instrText>
            </w:r>
            <w:r w:rsidR="00DF7441">
              <w:rPr>
                <w:rFonts w:asciiTheme="minorHAnsi" w:hAnsiTheme="minorHAnsi" w:cstheme="minorHAnsi"/>
              </w:rPr>
            </w:r>
            <w:r w:rsidR="00DF7441">
              <w:rPr>
                <w:rFonts w:asciiTheme="minorHAnsi" w:hAnsiTheme="minorHAnsi" w:cstheme="minorHAnsi"/>
              </w:rPr>
              <w:fldChar w:fldCharType="separate"/>
            </w:r>
            <w:r w:rsidR="009749A0" w:rsidRPr="00BD6C5F">
              <w:t>1</w:t>
            </w:r>
            <w:r w:rsidR="00DF7441">
              <w:rPr>
                <w:rFonts w:asciiTheme="minorHAnsi" w:hAnsiTheme="minorHAnsi" w:cstheme="minorHAnsi"/>
              </w:rPr>
              <w:fldChar w:fldCharType="end"/>
            </w:r>
            <w:r w:rsidRPr="00BD6C5F">
              <w:rPr>
                <w:rFonts w:asciiTheme="minorHAnsi" w:hAnsiTheme="minorHAnsi" w:cstheme="minorHAnsi"/>
              </w:rPr>
              <w:t>;</w:t>
            </w:r>
          </w:p>
        </w:tc>
      </w:tr>
      <w:tr w:rsidR="00BC7DDA" w:rsidRPr="00BD6C5F" w14:paraId="7F12E4E5" w14:textId="77777777" w:rsidTr="009C1CCA">
        <w:tc>
          <w:tcPr>
            <w:tcW w:w="3572" w:type="dxa"/>
          </w:tcPr>
          <w:p w14:paraId="5455EE56" w14:textId="2F91C2E5" w:rsidR="00BC7DDA" w:rsidRPr="00BD6C5F" w:rsidRDefault="00A4555C" w:rsidP="006D19D8">
            <w:pPr>
              <w:pStyle w:val="Tabletext"/>
              <w:rPr>
                <w:b/>
                <w:bCs/>
              </w:rPr>
            </w:pPr>
            <w:r w:rsidRPr="00BD6C5F">
              <w:rPr>
                <w:b/>
                <w:bCs/>
              </w:rPr>
              <w:t>“</w:t>
            </w:r>
            <w:r w:rsidR="009B03E9" w:rsidRPr="00BD6C5F">
              <w:rPr>
                <w:b/>
                <w:bCs/>
              </w:rPr>
              <w:t>Change Communication</w:t>
            </w:r>
            <w:r w:rsidRPr="00BD6C5F">
              <w:rPr>
                <w:b/>
                <w:bCs/>
              </w:rPr>
              <w:t>”</w:t>
            </w:r>
          </w:p>
        </w:tc>
        <w:tc>
          <w:tcPr>
            <w:tcW w:w="5953" w:type="dxa"/>
          </w:tcPr>
          <w:p w14:paraId="7FA52F42" w14:textId="77777777" w:rsidR="00BC7DDA" w:rsidRPr="00BD6C5F" w:rsidRDefault="009B03E9" w:rsidP="006D19D8">
            <w:pPr>
              <w:pStyle w:val="Tabletext"/>
              <w:rPr>
                <w:rFonts w:asciiTheme="minorHAnsi" w:hAnsiTheme="minorHAnsi" w:cstheme="minorHAnsi"/>
              </w:rPr>
            </w:pPr>
            <w:r w:rsidRPr="00BD6C5F">
              <w:rPr>
                <w:rFonts w:asciiTheme="minorHAnsi" w:hAnsiTheme="minorHAnsi" w:cstheme="minorHAnsi"/>
              </w:rPr>
              <w:t xml:space="preserve">any Change Request, Impact Assessment, Change Authorisation Note or other communication sent or </w:t>
            </w:r>
            <w:r w:rsidRPr="00BD6C5F">
              <w:t>required</w:t>
            </w:r>
            <w:r w:rsidRPr="00BD6C5F">
              <w:rPr>
                <w:rFonts w:asciiTheme="minorHAnsi" w:hAnsiTheme="minorHAnsi" w:cstheme="minorHAnsi"/>
              </w:rPr>
              <w:t xml:space="preserve"> to be sent pursuant to this Schedule;</w:t>
            </w:r>
          </w:p>
        </w:tc>
      </w:tr>
      <w:tr w:rsidR="00DF67F3" w:rsidRPr="00BD6C5F" w14:paraId="3FB00131" w14:textId="77777777" w:rsidTr="009C1CCA">
        <w:tc>
          <w:tcPr>
            <w:tcW w:w="3572" w:type="dxa"/>
          </w:tcPr>
          <w:p w14:paraId="1BCA14C8" w14:textId="6E360615" w:rsidR="00DF67F3" w:rsidRPr="00BD6C5F" w:rsidRDefault="00DF67F3" w:rsidP="00DF67F3">
            <w:pPr>
              <w:pStyle w:val="Tabletext"/>
              <w:rPr>
                <w:b/>
                <w:bCs/>
              </w:rPr>
            </w:pPr>
            <w:r w:rsidRPr="00BD6C5F">
              <w:rPr>
                <w:b/>
                <w:bCs/>
              </w:rPr>
              <w:t>“</w:t>
            </w:r>
            <w:r>
              <w:rPr>
                <w:b/>
                <w:bCs/>
              </w:rPr>
              <w:t>Drafting Party</w:t>
            </w:r>
            <w:r w:rsidRPr="00BD6C5F">
              <w:rPr>
                <w:b/>
                <w:bCs/>
              </w:rPr>
              <w:t>”</w:t>
            </w:r>
          </w:p>
        </w:tc>
        <w:tc>
          <w:tcPr>
            <w:tcW w:w="5953" w:type="dxa"/>
          </w:tcPr>
          <w:p w14:paraId="328BFE85" w14:textId="396F15DA" w:rsidR="00DF67F3" w:rsidRPr="00BD6C5F" w:rsidRDefault="00877A09" w:rsidP="00DF67F3">
            <w:pPr>
              <w:pStyle w:val="Tabletext"/>
              <w:rPr>
                <w:rFonts w:asciiTheme="minorHAnsi" w:hAnsiTheme="minorHAnsi" w:cstheme="minorHAnsi"/>
              </w:rPr>
            </w:pPr>
            <w:r w:rsidRPr="00877A09">
              <w:rPr>
                <w:rFonts w:asciiTheme="minorHAnsi" w:hAnsiTheme="minorHAnsi" w:cstheme="minorHAnsi"/>
              </w:rPr>
              <w:t>the Party that will prepare two copies of a Change Authorisation Note which it shall sign and deliver to the Receiving Party for its signature</w:t>
            </w:r>
            <w:r w:rsidR="00DF67F3" w:rsidRPr="00BD6C5F">
              <w:rPr>
                <w:rFonts w:asciiTheme="minorHAnsi" w:hAnsiTheme="minorHAnsi" w:cstheme="minorHAnsi"/>
              </w:rPr>
              <w:t>;</w:t>
            </w:r>
          </w:p>
        </w:tc>
      </w:tr>
      <w:tr w:rsidR="00DF67F3" w:rsidRPr="00BD6C5F" w14:paraId="4F1ED7C9" w14:textId="77777777" w:rsidTr="009C1CCA">
        <w:tc>
          <w:tcPr>
            <w:tcW w:w="3572" w:type="dxa"/>
          </w:tcPr>
          <w:p w14:paraId="12E41104" w14:textId="32A64B6E" w:rsidR="00DF67F3" w:rsidRPr="00BD6C5F" w:rsidRDefault="00DF67F3" w:rsidP="00DF67F3">
            <w:pPr>
              <w:pStyle w:val="Tabletext"/>
              <w:rPr>
                <w:b/>
                <w:bCs/>
              </w:rPr>
            </w:pPr>
            <w:r w:rsidRPr="00BD6C5F">
              <w:rPr>
                <w:b/>
                <w:bCs/>
              </w:rPr>
              <w:t>“Fast-track Change”</w:t>
            </w:r>
          </w:p>
        </w:tc>
        <w:tc>
          <w:tcPr>
            <w:tcW w:w="5953" w:type="dxa"/>
          </w:tcPr>
          <w:p w14:paraId="526D889D" w14:textId="41C298EF" w:rsidR="00DF67F3" w:rsidRPr="00BD6C5F" w:rsidRDefault="00DF67F3" w:rsidP="00DF67F3">
            <w:pPr>
              <w:pStyle w:val="Tabletext"/>
              <w:rPr>
                <w:rFonts w:asciiTheme="minorHAnsi" w:hAnsiTheme="minorHAnsi" w:cstheme="minorHAnsi"/>
              </w:rPr>
            </w:pPr>
            <w:r w:rsidRPr="00BD6C5F">
              <w:rPr>
                <w:rFonts w:asciiTheme="minorHAnsi" w:hAnsiTheme="minorHAnsi" w:cstheme="minorHAnsi"/>
              </w:rPr>
              <w:t xml:space="preserve">any Contract Change which the Parties agree to expedite in accordance with </w:t>
            </w:r>
            <w:r w:rsidRPr="00BD6C5F">
              <w:t>Paragraph</w:t>
            </w:r>
            <w:r w:rsidRPr="00BD6C5F">
              <w:rPr>
                <w:rFonts w:asciiTheme="minorHAnsi" w:hAnsiTheme="minorHAnsi" w:cstheme="minorHAnsi"/>
              </w:rPr>
              <w:t xml:space="preserve"> </w:t>
            </w:r>
            <w:r w:rsidRPr="00BD6C5F">
              <w:rPr>
                <w:rFonts w:asciiTheme="minorHAnsi" w:hAnsiTheme="minorHAnsi" w:cstheme="minorHAnsi"/>
              </w:rPr>
              <w:fldChar w:fldCharType="begin"/>
            </w:r>
            <w:r w:rsidRPr="00BD6C5F">
              <w:rPr>
                <w:rFonts w:asciiTheme="minorHAnsi" w:hAnsiTheme="minorHAnsi" w:cstheme="minorHAnsi"/>
              </w:rPr>
              <w:instrText xml:space="preserve"> REF _Ref98416135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8</w:t>
            </w:r>
            <w:r w:rsidRPr="00BD6C5F">
              <w:rPr>
                <w:rFonts w:asciiTheme="minorHAnsi" w:hAnsiTheme="minorHAnsi" w:cstheme="minorHAnsi"/>
              </w:rPr>
              <w:fldChar w:fldCharType="end"/>
            </w:r>
            <w:r w:rsidRPr="00BD6C5F">
              <w:rPr>
                <w:rFonts w:asciiTheme="minorHAnsi" w:hAnsiTheme="minorHAnsi" w:cstheme="minorHAnsi"/>
              </w:rPr>
              <w:t>;</w:t>
            </w:r>
          </w:p>
        </w:tc>
      </w:tr>
      <w:tr w:rsidR="00DF67F3" w:rsidRPr="00BD6C5F" w14:paraId="0FA88054" w14:textId="77777777" w:rsidTr="009C1CCA">
        <w:tc>
          <w:tcPr>
            <w:tcW w:w="3572" w:type="dxa"/>
          </w:tcPr>
          <w:p w14:paraId="6D49114F" w14:textId="4AA01C99" w:rsidR="00DF67F3" w:rsidRPr="00BD6C5F" w:rsidRDefault="00DF67F3" w:rsidP="00DF67F3">
            <w:pPr>
              <w:pStyle w:val="Tabletext"/>
              <w:rPr>
                <w:b/>
                <w:bCs/>
              </w:rPr>
            </w:pPr>
            <w:r w:rsidRPr="00BD6C5F">
              <w:rPr>
                <w:b/>
                <w:bCs/>
              </w:rPr>
              <w:t>“Impact Assessment”</w:t>
            </w:r>
          </w:p>
        </w:tc>
        <w:tc>
          <w:tcPr>
            <w:tcW w:w="5953" w:type="dxa"/>
          </w:tcPr>
          <w:p w14:paraId="2729F4FE" w14:textId="67429A40" w:rsidR="00DF67F3" w:rsidRPr="00BD6C5F" w:rsidRDefault="00DF67F3" w:rsidP="00DF67F3">
            <w:pPr>
              <w:pStyle w:val="Tabletext"/>
              <w:rPr>
                <w:rFonts w:asciiTheme="minorHAnsi" w:hAnsiTheme="minorHAnsi" w:cstheme="minorHAnsi"/>
              </w:rPr>
            </w:pPr>
            <w:r w:rsidRPr="00BD6C5F">
              <w:rPr>
                <w:rFonts w:asciiTheme="minorHAnsi" w:hAnsiTheme="minorHAnsi" w:cstheme="minorHAnsi"/>
              </w:rPr>
              <w:t xml:space="preserve">an assessment of a Change Request in accordance with </w:t>
            </w:r>
            <w:r w:rsidRPr="00BD6C5F">
              <w:t>Paragraph</w:t>
            </w:r>
            <w:r w:rsidRPr="00BD6C5F">
              <w:rPr>
                <w:rFonts w:asciiTheme="minorHAnsi" w:hAnsiTheme="minorHAnsi" w:cstheme="minorHAnsi"/>
              </w:rPr>
              <w:t xml:space="preserve"> </w:t>
            </w:r>
            <w:r w:rsidRPr="00BD6C5F">
              <w:rPr>
                <w:rFonts w:asciiTheme="minorHAnsi" w:hAnsiTheme="minorHAnsi" w:cstheme="minorHAnsi"/>
              </w:rPr>
              <w:fldChar w:fldCharType="begin"/>
            </w:r>
            <w:r w:rsidRPr="00BD6C5F">
              <w:rPr>
                <w:rFonts w:asciiTheme="minorHAnsi" w:hAnsiTheme="minorHAnsi" w:cstheme="minorHAnsi"/>
              </w:rPr>
              <w:instrText xml:space="preserve"> REF _Ref98416145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5</w:t>
            </w:r>
            <w:r w:rsidRPr="00BD6C5F">
              <w:rPr>
                <w:rFonts w:asciiTheme="minorHAnsi" w:hAnsiTheme="minorHAnsi" w:cstheme="minorHAnsi"/>
              </w:rPr>
              <w:fldChar w:fldCharType="end"/>
            </w:r>
            <w:r w:rsidRPr="00BD6C5F">
              <w:rPr>
                <w:rFonts w:asciiTheme="minorHAnsi" w:hAnsiTheme="minorHAnsi" w:cstheme="minorHAnsi"/>
              </w:rPr>
              <w:t>;</w:t>
            </w:r>
          </w:p>
        </w:tc>
      </w:tr>
      <w:tr w:rsidR="00DF67F3" w:rsidRPr="00BD6C5F" w14:paraId="728C04DB" w14:textId="77777777" w:rsidTr="009C1CCA">
        <w:tc>
          <w:tcPr>
            <w:tcW w:w="3572" w:type="dxa"/>
          </w:tcPr>
          <w:p w14:paraId="4E4FD801" w14:textId="66A7A8FC" w:rsidR="00DF67F3" w:rsidRPr="00BD6C5F" w:rsidRDefault="00DF67F3" w:rsidP="00DF67F3">
            <w:pPr>
              <w:pStyle w:val="Tabletext"/>
              <w:rPr>
                <w:b/>
                <w:bCs/>
              </w:rPr>
            </w:pPr>
            <w:r w:rsidRPr="00BD6C5F">
              <w:rPr>
                <w:b/>
                <w:bCs/>
              </w:rPr>
              <w:t>“Impact Assessment Estimate”</w:t>
            </w:r>
          </w:p>
        </w:tc>
        <w:tc>
          <w:tcPr>
            <w:tcW w:w="5953" w:type="dxa"/>
          </w:tcPr>
          <w:p w14:paraId="681E6EC2" w14:textId="6D9B0846" w:rsidR="00DF67F3" w:rsidRPr="00BD6C5F" w:rsidRDefault="00DF67F3" w:rsidP="00DF67F3">
            <w:pPr>
              <w:pStyle w:val="Tabletext"/>
              <w:rPr>
                <w:rFonts w:asciiTheme="minorHAnsi" w:hAnsiTheme="minorHAnsi" w:cstheme="minorHAnsi"/>
              </w:rPr>
            </w:pPr>
            <w:r w:rsidRPr="00BD6C5F">
              <w:rPr>
                <w:rFonts w:asciiTheme="minorHAnsi" w:hAnsiTheme="minorHAnsi" w:cstheme="minorHAnsi"/>
              </w:rPr>
              <w:t xml:space="preserve">has the meaning given in </w:t>
            </w:r>
            <w:r w:rsidRPr="00BD6C5F">
              <w:t>Paragraph</w:t>
            </w:r>
            <w:r w:rsidRPr="00BD6C5F">
              <w:rPr>
                <w:rFonts w:asciiTheme="minorHAnsi" w:hAnsiTheme="minorHAnsi" w:cstheme="minorHAnsi"/>
              </w:rPr>
              <w:t xml:space="preserve"> </w:t>
            </w:r>
            <w:r w:rsidRPr="00BD6C5F">
              <w:rPr>
                <w:rFonts w:asciiTheme="minorHAnsi" w:hAnsiTheme="minorHAnsi" w:cstheme="minorHAnsi"/>
              </w:rPr>
              <w:fldChar w:fldCharType="begin"/>
            </w:r>
            <w:r w:rsidRPr="00BD6C5F">
              <w:rPr>
                <w:rFonts w:asciiTheme="minorHAnsi" w:hAnsiTheme="minorHAnsi" w:cstheme="minorHAnsi"/>
              </w:rPr>
              <w:instrText xml:space="preserve"> REF _Ref98416153 \n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4.3</w:t>
            </w:r>
            <w:r w:rsidRPr="00BD6C5F">
              <w:rPr>
                <w:rFonts w:asciiTheme="minorHAnsi" w:hAnsiTheme="minorHAnsi" w:cstheme="minorHAnsi"/>
              </w:rPr>
              <w:fldChar w:fldCharType="end"/>
            </w:r>
            <w:r w:rsidRPr="00BD6C5F">
              <w:rPr>
                <w:rFonts w:asciiTheme="minorHAnsi" w:hAnsiTheme="minorHAnsi" w:cstheme="minorHAnsi"/>
              </w:rPr>
              <w:t>;</w:t>
            </w:r>
          </w:p>
        </w:tc>
      </w:tr>
      <w:tr w:rsidR="00DF67F3" w:rsidRPr="00BD6C5F" w14:paraId="20EA3C88" w14:textId="77777777" w:rsidTr="009C1CCA">
        <w:tc>
          <w:tcPr>
            <w:tcW w:w="3572" w:type="dxa"/>
          </w:tcPr>
          <w:p w14:paraId="00A3337C" w14:textId="5801E213" w:rsidR="00DF67F3" w:rsidRPr="00BD6C5F" w:rsidRDefault="00DF67F3" w:rsidP="00DF67F3">
            <w:pPr>
              <w:pStyle w:val="Tabletext"/>
              <w:rPr>
                <w:b/>
                <w:bCs/>
              </w:rPr>
            </w:pPr>
            <w:r w:rsidRPr="00BD6C5F">
              <w:rPr>
                <w:b/>
                <w:bCs/>
              </w:rPr>
              <w:t>“Receiving Party”</w:t>
            </w:r>
          </w:p>
        </w:tc>
        <w:tc>
          <w:tcPr>
            <w:tcW w:w="5953" w:type="dxa"/>
          </w:tcPr>
          <w:p w14:paraId="0FFABB25" w14:textId="2C560A9C" w:rsidR="00DF67F3" w:rsidRPr="00BD6C5F" w:rsidRDefault="00DF67F3" w:rsidP="00DF67F3">
            <w:pPr>
              <w:pStyle w:val="Tabletext"/>
              <w:rPr>
                <w:rFonts w:asciiTheme="minorHAnsi" w:hAnsiTheme="minorHAnsi" w:cstheme="minorHAnsi"/>
              </w:rPr>
            </w:pPr>
            <w:r w:rsidRPr="00BD6C5F">
              <w:rPr>
                <w:rFonts w:asciiTheme="minorHAnsi" w:hAnsiTheme="minorHAnsi" w:cstheme="minorHAnsi"/>
              </w:rPr>
              <w:t>the Party which receives a proposed Change</w:t>
            </w:r>
            <w:r w:rsidR="00C77214">
              <w:rPr>
                <w:rFonts w:asciiTheme="minorHAnsi" w:hAnsiTheme="minorHAnsi" w:cstheme="minorHAnsi"/>
              </w:rPr>
              <w:t xml:space="preserve"> Authorisation Note </w:t>
            </w:r>
            <w:r w:rsidR="00D14F52">
              <w:rPr>
                <w:rFonts w:asciiTheme="minorHAnsi" w:hAnsiTheme="minorHAnsi" w:cstheme="minorHAnsi"/>
              </w:rPr>
              <w:t xml:space="preserve">for signature pursuant to Paragraph </w:t>
            </w:r>
            <w:r w:rsidR="001C7C36" w:rsidRPr="00BD6C5F">
              <w:fldChar w:fldCharType="begin"/>
            </w:r>
            <w:r w:rsidR="001C7C36" w:rsidRPr="00BD6C5F">
              <w:instrText xml:space="preserve"> REF _Ref98416259 \n \h  \* MERGEFORMAT </w:instrText>
            </w:r>
            <w:r w:rsidR="001C7C36" w:rsidRPr="00BD6C5F">
              <w:fldChar w:fldCharType="separate"/>
            </w:r>
            <w:r w:rsidR="009749A0">
              <w:t>6.2</w:t>
            </w:r>
            <w:r w:rsidR="001C7C36" w:rsidRPr="00BD6C5F">
              <w:fldChar w:fldCharType="end"/>
            </w:r>
            <w:r w:rsidRPr="00BD6C5F">
              <w:rPr>
                <w:rFonts w:asciiTheme="minorHAnsi" w:hAnsiTheme="minorHAnsi" w:cstheme="minorHAnsi"/>
              </w:rPr>
              <w:t>; and</w:t>
            </w:r>
          </w:p>
        </w:tc>
      </w:tr>
      <w:tr w:rsidR="00DF67F3" w:rsidRPr="00BD6C5F" w14:paraId="39A20CB3" w14:textId="77777777" w:rsidTr="009C1CCA">
        <w:tc>
          <w:tcPr>
            <w:tcW w:w="3572" w:type="dxa"/>
          </w:tcPr>
          <w:p w14:paraId="5520F453" w14:textId="7A9397D8" w:rsidR="00DF67F3" w:rsidRPr="00BD6C5F" w:rsidRDefault="00DF67F3" w:rsidP="00DF67F3">
            <w:pPr>
              <w:pStyle w:val="Tabletext"/>
              <w:rPr>
                <w:b/>
                <w:bCs/>
              </w:rPr>
            </w:pPr>
            <w:r w:rsidRPr="00BD6C5F">
              <w:rPr>
                <w:b/>
                <w:bCs/>
              </w:rPr>
              <w:t>“Supplier Change Manager”</w:t>
            </w:r>
          </w:p>
        </w:tc>
        <w:tc>
          <w:tcPr>
            <w:tcW w:w="5953" w:type="dxa"/>
          </w:tcPr>
          <w:p w14:paraId="6DAA4EE8" w14:textId="77B5E296" w:rsidR="00DF67F3" w:rsidRPr="00BD6C5F" w:rsidRDefault="00DF67F3" w:rsidP="00DF67F3">
            <w:pPr>
              <w:pStyle w:val="Tabletext"/>
              <w:rPr>
                <w:rFonts w:asciiTheme="minorHAnsi" w:hAnsiTheme="minorHAnsi" w:cstheme="minorHAnsi"/>
              </w:rPr>
            </w:pPr>
            <w:r w:rsidRPr="00BD6C5F">
              <w:rPr>
                <w:rFonts w:asciiTheme="minorHAnsi" w:hAnsiTheme="minorHAnsi" w:cstheme="minorHAnsi"/>
              </w:rPr>
              <w:t xml:space="preserve">the person appointed to that position by the Supplier from time to time </w:t>
            </w:r>
            <w:r w:rsidRPr="00BD6C5F">
              <w:t>and</w:t>
            </w:r>
            <w:r w:rsidRPr="00BD6C5F">
              <w:rPr>
                <w:rFonts w:asciiTheme="minorHAnsi" w:hAnsiTheme="minorHAnsi" w:cstheme="minorHAnsi"/>
              </w:rPr>
              <w:t xml:space="preserve"> notified in writing to the Authority or, if no person is notified, the Supplier Representative.</w:t>
            </w:r>
          </w:p>
        </w:tc>
      </w:tr>
    </w:tbl>
    <w:p w14:paraId="2F93A839" w14:textId="271DE464" w:rsidR="00BC7DDA" w:rsidRPr="00BD6C5F" w:rsidRDefault="0012518B" w:rsidP="00C5057A">
      <w:pPr>
        <w:pStyle w:val="Numbered1"/>
      </w:pPr>
      <w:r w:rsidRPr="00BD6C5F">
        <w:t xml:space="preserve">General Principles </w:t>
      </w:r>
      <w:r w:rsidR="00C76C8A">
        <w:t>o</w:t>
      </w:r>
      <w:r w:rsidRPr="00BD6C5F">
        <w:t>f Change Control Procedure</w:t>
      </w:r>
    </w:p>
    <w:p w14:paraId="4EA9649A" w14:textId="77777777" w:rsidR="00BC7DDA" w:rsidRPr="00BD6C5F" w:rsidRDefault="009B03E9" w:rsidP="00C5057A">
      <w:pPr>
        <w:pStyle w:val="Numbered11"/>
      </w:pPr>
      <w:r w:rsidRPr="00BD6C5F">
        <w:t>This Schedule sets out the procedure for dealing with Changes.</w:t>
      </w:r>
    </w:p>
    <w:p w14:paraId="5385563D" w14:textId="219EED3B" w:rsidR="00BC7DDA" w:rsidRPr="00BD6C5F" w:rsidRDefault="009B03E9" w:rsidP="00C5057A">
      <w:pPr>
        <w:pStyle w:val="Numbered11"/>
      </w:pPr>
      <w:r w:rsidRPr="00BD6C5F">
        <w:t xml:space="preserve">Operational Changes shall be processed in accordance with Paragraph </w:t>
      </w:r>
      <w:r w:rsidR="007561EA" w:rsidRPr="00BD6C5F">
        <w:fldChar w:fldCharType="begin"/>
      </w:r>
      <w:r w:rsidR="007561EA" w:rsidRPr="00BD6C5F">
        <w:instrText xml:space="preserve"> REF _Ref98416176 \n \h </w:instrText>
      </w:r>
      <w:r w:rsidR="00AD7DD0" w:rsidRPr="00BD6C5F">
        <w:instrText xml:space="preserve"> \* MERGEFORMAT </w:instrText>
      </w:r>
      <w:r w:rsidR="007561EA" w:rsidRPr="00BD6C5F">
        <w:fldChar w:fldCharType="separate"/>
      </w:r>
      <w:r w:rsidR="009749A0">
        <w:t>9</w:t>
      </w:r>
      <w:r w:rsidR="007561EA" w:rsidRPr="00BD6C5F">
        <w:fldChar w:fldCharType="end"/>
      </w:r>
      <w:r w:rsidRPr="00BD6C5F">
        <w:t>. If either Party is in doubt about whether a change falls within the definition of an Operational Change, then it must be processed as a Contract Change.</w:t>
      </w:r>
    </w:p>
    <w:p w14:paraId="3D4A4A63" w14:textId="77777777" w:rsidR="00BC7DDA" w:rsidRPr="00BD6C5F" w:rsidRDefault="009B03E9" w:rsidP="00C70900">
      <w:pPr>
        <w:pStyle w:val="Numbered11"/>
        <w:keepNext/>
      </w:pPr>
      <w:r w:rsidRPr="00BD6C5F">
        <w:lastRenderedPageBreak/>
        <w:t>The Parties shall deal with Contract Change as follows:</w:t>
      </w:r>
    </w:p>
    <w:p w14:paraId="661484D7" w14:textId="35A9CC01" w:rsidR="00BC7DDA" w:rsidRPr="00BD6C5F" w:rsidRDefault="009B03E9" w:rsidP="0012518B">
      <w:pPr>
        <w:pStyle w:val="Numbered111"/>
      </w:pPr>
      <w:r w:rsidRPr="00BD6C5F">
        <w:t xml:space="preserve">either Party may request a Contract Change which they shall initiate by issuing a Change Request in accordance with Paragraph </w:t>
      </w:r>
      <w:r w:rsidR="007561EA" w:rsidRPr="00BD6C5F">
        <w:fldChar w:fldCharType="begin"/>
      </w:r>
      <w:r w:rsidR="007561EA" w:rsidRPr="00BD6C5F">
        <w:instrText xml:space="preserve"> REF _Ref98416187 \n \h </w:instrText>
      </w:r>
      <w:r w:rsidR="00AD7DD0" w:rsidRPr="00BD6C5F">
        <w:instrText xml:space="preserve"> \* MERGEFORMAT </w:instrText>
      </w:r>
      <w:r w:rsidR="007561EA" w:rsidRPr="00BD6C5F">
        <w:fldChar w:fldCharType="separate"/>
      </w:r>
      <w:r w:rsidR="009749A0">
        <w:t>4</w:t>
      </w:r>
      <w:r w:rsidR="007561EA" w:rsidRPr="00BD6C5F">
        <w:fldChar w:fldCharType="end"/>
      </w:r>
      <w:r w:rsidRPr="00BD6C5F">
        <w:t>;</w:t>
      </w:r>
    </w:p>
    <w:p w14:paraId="00B4D18D" w14:textId="0AE3B4CC" w:rsidR="00BC7DDA" w:rsidRPr="00BD6C5F" w:rsidRDefault="009B03E9" w:rsidP="0012518B">
      <w:pPr>
        <w:pStyle w:val="Numbered111"/>
      </w:pPr>
      <w:r w:rsidRPr="00BD6C5F">
        <w:t xml:space="preserve">unless this </w:t>
      </w:r>
      <w:r w:rsidR="001547E7" w:rsidRPr="00BD6C5F">
        <w:t xml:space="preserve">Contract </w:t>
      </w:r>
      <w:r w:rsidRPr="00BD6C5F">
        <w:t>otherwise requires, the Supplier shall assess and document the potential impact of a proposed Contract Change</w:t>
      </w:r>
      <w:r w:rsidR="00AC5BF1" w:rsidRPr="00BD6C5F">
        <w:t xml:space="preserve"> </w:t>
      </w:r>
      <w:r w:rsidRPr="00BD6C5F">
        <w:t xml:space="preserve">in accordance with Paragraph </w:t>
      </w:r>
      <w:r w:rsidR="007561EA" w:rsidRPr="00BD6C5F">
        <w:fldChar w:fldCharType="begin"/>
      </w:r>
      <w:r w:rsidR="007561EA" w:rsidRPr="00BD6C5F">
        <w:instrText xml:space="preserve"> REF _Ref98416145 \n \h </w:instrText>
      </w:r>
      <w:r w:rsidR="00AC5BF1" w:rsidRPr="00BD6C5F">
        <w:instrText xml:space="preserve"> \* MERGEFORMAT </w:instrText>
      </w:r>
      <w:r w:rsidR="007561EA" w:rsidRPr="00BD6C5F">
        <w:fldChar w:fldCharType="separate"/>
      </w:r>
      <w:r w:rsidR="009749A0">
        <w:t>5</w:t>
      </w:r>
      <w:r w:rsidR="007561EA" w:rsidRPr="00BD6C5F">
        <w:fldChar w:fldCharType="end"/>
      </w:r>
      <w:r w:rsidRPr="00BD6C5F">
        <w:t xml:space="preserve"> before the Contract Change can be either approved or implemented;</w:t>
      </w:r>
    </w:p>
    <w:p w14:paraId="33D7AF1E" w14:textId="59334345" w:rsidR="00BC7DDA" w:rsidRPr="00BD6C5F" w:rsidRDefault="009B03E9" w:rsidP="0012518B">
      <w:pPr>
        <w:pStyle w:val="Numbered111"/>
      </w:pPr>
      <w:r w:rsidRPr="00BD6C5F">
        <w:t xml:space="preserve">the Authority shall have the right to request amendments to a Change Request, approve it or reject it in the manner set out in Paragraph </w:t>
      </w:r>
      <w:r w:rsidR="007561EA" w:rsidRPr="00BD6C5F">
        <w:fldChar w:fldCharType="begin"/>
      </w:r>
      <w:r w:rsidR="007561EA" w:rsidRPr="00BD6C5F">
        <w:instrText xml:space="preserve"> REF _Ref98416227 \n \h </w:instrText>
      </w:r>
      <w:r w:rsidR="00AD7DD0" w:rsidRPr="00BD6C5F">
        <w:instrText xml:space="preserve"> \* MERGEFORMAT </w:instrText>
      </w:r>
      <w:r w:rsidR="007561EA" w:rsidRPr="00BD6C5F">
        <w:fldChar w:fldCharType="separate"/>
      </w:r>
      <w:r w:rsidR="009749A0">
        <w:t>6</w:t>
      </w:r>
      <w:r w:rsidR="007561EA" w:rsidRPr="00BD6C5F">
        <w:fldChar w:fldCharType="end"/>
      </w:r>
      <w:r w:rsidRPr="00BD6C5F">
        <w:t>;</w:t>
      </w:r>
    </w:p>
    <w:p w14:paraId="7465E1C5" w14:textId="429ADF25" w:rsidR="00BC7DDA" w:rsidRPr="00BD6C5F" w:rsidRDefault="009B03E9" w:rsidP="0012518B">
      <w:pPr>
        <w:pStyle w:val="Numbered111"/>
      </w:pPr>
      <w:r w:rsidRPr="00BD6C5F">
        <w:t xml:space="preserve">the Supplier shall have the right to reject a Change Request solely in the manner set out in Paragraph </w:t>
      </w:r>
      <w:r w:rsidR="007561EA" w:rsidRPr="00BD6C5F">
        <w:fldChar w:fldCharType="begin"/>
      </w:r>
      <w:r w:rsidR="007561EA" w:rsidRPr="00BD6C5F">
        <w:instrText xml:space="preserve"> REF _Ref98416249 \n \h </w:instrText>
      </w:r>
      <w:r w:rsidR="00AD7DD0" w:rsidRPr="00BD6C5F">
        <w:instrText xml:space="preserve"> \* MERGEFORMAT </w:instrText>
      </w:r>
      <w:r w:rsidR="007561EA" w:rsidRPr="00BD6C5F">
        <w:fldChar w:fldCharType="separate"/>
      </w:r>
      <w:r w:rsidR="009749A0">
        <w:t>7</w:t>
      </w:r>
      <w:r w:rsidR="007561EA" w:rsidRPr="00BD6C5F">
        <w:fldChar w:fldCharType="end"/>
      </w:r>
      <w:r w:rsidRPr="00BD6C5F">
        <w:t>;</w:t>
      </w:r>
    </w:p>
    <w:p w14:paraId="0393400A" w14:textId="4077CF7A" w:rsidR="00BC7DDA" w:rsidRPr="00BD6C5F" w:rsidRDefault="009B03E9" w:rsidP="0012518B">
      <w:pPr>
        <w:pStyle w:val="Numbered111"/>
      </w:pPr>
      <w:r w:rsidRPr="00BD6C5F">
        <w:t xml:space="preserve">save as otherwise provided in this </w:t>
      </w:r>
      <w:r w:rsidR="001547E7" w:rsidRPr="00BD6C5F">
        <w:t>Contract</w:t>
      </w:r>
      <w:r w:rsidRPr="00BD6C5F">
        <w:t xml:space="preserve">, no proposed Contract Change shall be implemented by the Supplier until a Change Authorisation Note has been signed and issued by the Authority in accordance with Paragraph </w:t>
      </w:r>
      <w:r w:rsidR="007561EA" w:rsidRPr="00BD6C5F">
        <w:fldChar w:fldCharType="begin"/>
      </w:r>
      <w:r w:rsidR="007561EA" w:rsidRPr="00BD6C5F">
        <w:instrText xml:space="preserve"> REF _Ref98416259 \n \h </w:instrText>
      </w:r>
      <w:r w:rsidR="00AD7DD0" w:rsidRPr="00BD6C5F">
        <w:instrText xml:space="preserve"> \* MERGEFORMAT </w:instrText>
      </w:r>
      <w:r w:rsidR="007561EA" w:rsidRPr="00BD6C5F">
        <w:fldChar w:fldCharType="separate"/>
      </w:r>
      <w:r w:rsidR="009749A0">
        <w:t>6.2</w:t>
      </w:r>
      <w:r w:rsidR="007561EA" w:rsidRPr="00BD6C5F">
        <w:fldChar w:fldCharType="end"/>
      </w:r>
      <w:r w:rsidRPr="00BD6C5F">
        <w:t>; and</w:t>
      </w:r>
    </w:p>
    <w:p w14:paraId="430C6612" w14:textId="168F605D" w:rsidR="00BC7DDA" w:rsidRPr="00BD6C5F" w:rsidRDefault="009B03E9" w:rsidP="0012518B">
      <w:pPr>
        <w:pStyle w:val="Numbered111"/>
      </w:pPr>
      <w:r w:rsidRPr="00BD6C5F">
        <w:t xml:space="preserve">if a proposed Contract Change is a Fast-track Change, it shall be processed in accordance with Paragraph </w:t>
      </w:r>
      <w:r w:rsidR="00AC5BF1" w:rsidRPr="00BD6C5F">
        <w:fldChar w:fldCharType="begin"/>
      </w:r>
      <w:r w:rsidR="00AC5BF1" w:rsidRPr="00BD6C5F">
        <w:instrText xml:space="preserve"> REF _Ref98416135 \w \h </w:instrText>
      </w:r>
      <w:r w:rsidR="00AD7DD0" w:rsidRPr="00BD6C5F">
        <w:instrText xml:space="preserve"> \* MERGEFORMAT </w:instrText>
      </w:r>
      <w:r w:rsidR="00AC5BF1" w:rsidRPr="00BD6C5F">
        <w:fldChar w:fldCharType="separate"/>
      </w:r>
      <w:r w:rsidR="009749A0">
        <w:t>8</w:t>
      </w:r>
      <w:r w:rsidR="00AC5BF1" w:rsidRPr="00BD6C5F">
        <w:fldChar w:fldCharType="end"/>
      </w:r>
      <w:r w:rsidRPr="00BD6C5F">
        <w:t>.</w:t>
      </w:r>
    </w:p>
    <w:p w14:paraId="4DB4A159" w14:textId="6ADC2252" w:rsidR="00BC7DDA" w:rsidRPr="00BD6C5F" w:rsidRDefault="009B03E9" w:rsidP="00C5057A">
      <w:pPr>
        <w:pStyle w:val="Numbered11"/>
      </w:pPr>
      <w:r w:rsidRPr="00BD6C5F">
        <w:t xml:space="preserve">To the extent that any Contract Change requires testing and/or a programme for implementation, then the Parties shall follow the procedures set out in </w:t>
      </w:r>
      <w:r w:rsidR="0019439D" w:rsidRPr="00BD6C5F">
        <w:t>Schedule </w:t>
      </w:r>
      <w:r w:rsidR="0019439D">
        <w:fldChar w:fldCharType="begin"/>
      </w:r>
      <w:r w:rsidR="0019439D">
        <w:instrText xml:space="preserve"> REF Schedule_14 \h </w:instrText>
      </w:r>
      <w:r w:rsidR="0019439D">
        <w:fldChar w:fldCharType="separate"/>
      </w:r>
      <w:r w:rsidR="009749A0">
        <w:t>14</w:t>
      </w:r>
      <w:r w:rsidR="0019439D">
        <w:fldChar w:fldCharType="end"/>
      </w:r>
      <w:r w:rsidRPr="00BD6C5F">
        <w:t xml:space="preserve"> (</w:t>
      </w:r>
      <w:r w:rsidRPr="00BD6C5F">
        <w:rPr>
          <w:i/>
        </w:rPr>
        <w:t>Testing Procedures</w:t>
      </w:r>
      <w:r w:rsidRPr="00BD6C5F">
        <w:t>), and, where appropriate, the Change Authorisation Note relating to such a Contract Change shall specify Milestones and/or a Key Milestone and Milestone Date(s) in respect of such Contract Change for the purposes of such procedures.</w:t>
      </w:r>
    </w:p>
    <w:p w14:paraId="259EA0E2" w14:textId="7D5FE212" w:rsidR="00BC7DDA" w:rsidRPr="00BD6C5F" w:rsidRDefault="009B03E9" w:rsidP="00C70900">
      <w:pPr>
        <w:pStyle w:val="Numbered11"/>
        <w:keepNext/>
      </w:pPr>
      <w:r w:rsidRPr="00BD6C5F">
        <w:t xml:space="preserve">Until a Change Authorisation Note has been signed and issued in accordance with Paragraph </w:t>
      </w:r>
      <w:r w:rsidR="007561EA" w:rsidRPr="00BD6C5F">
        <w:fldChar w:fldCharType="begin"/>
      </w:r>
      <w:r w:rsidR="007561EA" w:rsidRPr="00BD6C5F">
        <w:instrText xml:space="preserve"> REF _Ref98416259 \n \h </w:instrText>
      </w:r>
      <w:r w:rsidR="00AD7DD0" w:rsidRPr="00BD6C5F">
        <w:instrText xml:space="preserve"> \* MERGEFORMAT </w:instrText>
      </w:r>
      <w:r w:rsidR="007561EA" w:rsidRPr="00BD6C5F">
        <w:fldChar w:fldCharType="separate"/>
      </w:r>
      <w:r w:rsidR="009749A0">
        <w:t>6.2</w:t>
      </w:r>
      <w:r w:rsidR="007561EA" w:rsidRPr="00BD6C5F">
        <w:fldChar w:fldCharType="end"/>
      </w:r>
      <w:r w:rsidRPr="00BD6C5F">
        <w:t>, then:</w:t>
      </w:r>
    </w:p>
    <w:p w14:paraId="518ED7DD" w14:textId="38340F65" w:rsidR="00BC7DDA" w:rsidRPr="00BD6C5F" w:rsidRDefault="009B03E9" w:rsidP="0012518B">
      <w:pPr>
        <w:pStyle w:val="Numbered111"/>
      </w:pPr>
      <w:r w:rsidRPr="00BD6C5F">
        <w:t xml:space="preserve">unless the Authority expressly agrees (or requires) otherwise in writing, the Supplier shall continue to supply the Services in accordance with the existing terms of this </w:t>
      </w:r>
      <w:r w:rsidR="001547E7" w:rsidRPr="00BD6C5F">
        <w:t xml:space="preserve">Contract </w:t>
      </w:r>
      <w:r w:rsidRPr="00BD6C5F">
        <w:t>as if the proposed Contract Change did not apply; and</w:t>
      </w:r>
    </w:p>
    <w:p w14:paraId="6FFC2A59" w14:textId="1A5E83B6" w:rsidR="00BC7DDA" w:rsidRPr="00BD6C5F" w:rsidRDefault="009B03E9" w:rsidP="0012518B">
      <w:pPr>
        <w:pStyle w:val="Numbered111"/>
      </w:pPr>
      <w:r w:rsidRPr="00BD6C5F">
        <w:t>any discussions, negotiations or other communications which may take place between the Authority and the Supplier in connection with any proposed Contract Change, including the submission of any Change Communications, shall be without prejudice to each Party</w:t>
      </w:r>
      <w:r w:rsidR="00A4555C" w:rsidRPr="00BD6C5F">
        <w:t>’</w:t>
      </w:r>
      <w:r w:rsidRPr="00BD6C5F">
        <w:t xml:space="preserve">s other rights under this </w:t>
      </w:r>
      <w:r w:rsidR="001547E7" w:rsidRPr="00BD6C5F">
        <w:t>Contract</w:t>
      </w:r>
      <w:r w:rsidRPr="00BD6C5F">
        <w:t>.</w:t>
      </w:r>
    </w:p>
    <w:p w14:paraId="37F19C35" w14:textId="706D52E6" w:rsidR="00BC7DDA" w:rsidRPr="00BD6C5F" w:rsidRDefault="00C20E34" w:rsidP="00C70900">
      <w:pPr>
        <w:pStyle w:val="Numbered11"/>
        <w:keepNext/>
      </w:pPr>
      <w:bookmarkStart w:id="1035" w:name="_bookmark355"/>
      <w:bookmarkStart w:id="1036" w:name="_Ref141216184"/>
      <w:bookmarkEnd w:id="1035"/>
      <w:r>
        <w:t>Unless the Authority directs otherwise, t</w:t>
      </w:r>
      <w:r w:rsidR="009B03E9" w:rsidRPr="00BD6C5F">
        <w:t>he Supplier shall:</w:t>
      </w:r>
      <w:bookmarkEnd w:id="1036"/>
    </w:p>
    <w:p w14:paraId="4B026B1B" w14:textId="1F7F6C16" w:rsidR="00BC7DDA" w:rsidRPr="00BD6C5F" w:rsidRDefault="009B03E9" w:rsidP="0012518B">
      <w:pPr>
        <w:pStyle w:val="Numbered111"/>
      </w:pPr>
      <w:r w:rsidRPr="00BD6C5F">
        <w:t xml:space="preserve">within 10 Working Days of the </w:t>
      </w:r>
      <w:r w:rsidR="00C20E34">
        <w:t>final</w:t>
      </w:r>
      <w:r w:rsidRPr="00BD6C5F">
        <w:t xml:space="preserve"> signature and issue of a Change Authorisation Note, deliver to the Authority a copy of this </w:t>
      </w:r>
      <w:r w:rsidR="001547E7" w:rsidRPr="00BD6C5F">
        <w:t xml:space="preserve">Contract </w:t>
      </w:r>
      <w:r w:rsidRPr="00BD6C5F">
        <w:t>updated to reflect all Contract Changes agreed in the relevant Change Authorisation Note and annotated with a reference to the Change Authorisation Note pursuant to which the relevant Contract Changes were agreed; and</w:t>
      </w:r>
    </w:p>
    <w:p w14:paraId="36D3BA15" w14:textId="40911823" w:rsidR="00BC7DDA" w:rsidRPr="00BD6C5F" w:rsidRDefault="009B03E9" w:rsidP="0012518B">
      <w:pPr>
        <w:pStyle w:val="Numbered111"/>
      </w:pPr>
      <w:r w:rsidRPr="00BD6C5F">
        <w:t xml:space="preserve">thereafter provide to the Authority such further copies of the updated </w:t>
      </w:r>
      <w:r w:rsidR="001547E7" w:rsidRPr="00BD6C5F">
        <w:t xml:space="preserve">Contract </w:t>
      </w:r>
      <w:r w:rsidRPr="00BD6C5F">
        <w:t>as the Authority may from time to time request.</w:t>
      </w:r>
    </w:p>
    <w:p w14:paraId="735A2EA0" w14:textId="59D0A9C6" w:rsidR="00BC7DDA" w:rsidRPr="00BD6C5F" w:rsidRDefault="0012518B" w:rsidP="00C5057A">
      <w:pPr>
        <w:pStyle w:val="Numbered1"/>
      </w:pPr>
      <w:r w:rsidRPr="00BD6C5F">
        <w:lastRenderedPageBreak/>
        <w:t>Costs</w:t>
      </w:r>
    </w:p>
    <w:p w14:paraId="65BB9640" w14:textId="1AA25B43" w:rsidR="00BC7DDA" w:rsidRPr="00BD6C5F" w:rsidRDefault="009B03E9" w:rsidP="00C70900">
      <w:pPr>
        <w:pStyle w:val="Numbered11"/>
        <w:keepNext/>
      </w:pPr>
      <w:r w:rsidRPr="00BD6C5F">
        <w:t xml:space="preserve">Subject to Paragraph </w:t>
      </w:r>
      <w:r w:rsidR="007561EA" w:rsidRPr="00BD6C5F">
        <w:fldChar w:fldCharType="begin"/>
      </w:r>
      <w:r w:rsidR="007561EA" w:rsidRPr="00BD6C5F">
        <w:instrText xml:space="preserve"> REF _Ref98416332 \n \h </w:instrText>
      </w:r>
      <w:r w:rsidR="00AD7DD0" w:rsidRPr="00BD6C5F">
        <w:instrText xml:space="preserve"> \* MERGEFORMAT </w:instrText>
      </w:r>
      <w:r w:rsidR="007561EA" w:rsidRPr="00BD6C5F">
        <w:fldChar w:fldCharType="separate"/>
      </w:r>
      <w:r w:rsidR="009749A0">
        <w:t>3.3</w:t>
      </w:r>
      <w:r w:rsidR="007561EA" w:rsidRPr="00BD6C5F">
        <w:fldChar w:fldCharType="end"/>
      </w:r>
      <w:r w:rsidRPr="00BD6C5F">
        <w:t>:</w:t>
      </w:r>
    </w:p>
    <w:p w14:paraId="1256F0C0" w14:textId="2CDC5F06" w:rsidR="00BC7DDA" w:rsidRPr="00BD6C5F" w:rsidRDefault="009B03E9" w:rsidP="0012518B">
      <w:pPr>
        <w:pStyle w:val="Numbered111"/>
      </w:pPr>
      <w:r w:rsidRPr="00BD6C5F">
        <w:t>the costs of preparing each Change Request shall be borne by the Party making the Change Request; and</w:t>
      </w:r>
    </w:p>
    <w:p w14:paraId="2C5EB092" w14:textId="77777777" w:rsidR="00BC7DDA" w:rsidRPr="00BD6C5F" w:rsidRDefault="009B03E9" w:rsidP="00C70900">
      <w:pPr>
        <w:pStyle w:val="Numbered111"/>
        <w:keepNext/>
      </w:pPr>
      <w:r w:rsidRPr="00BD6C5F">
        <w:t>the costs incurred by the Supplier in undertaking an Impact Assessment shall be borne by the Party making the Change Request provided that the Authority shall not be required to pay any such costs if:</w:t>
      </w:r>
    </w:p>
    <w:p w14:paraId="47A89B11" w14:textId="77777777" w:rsidR="00BC7DDA" w:rsidRPr="00BD6C5F" w:rsidRDefault="009B03E9" w:rsidP="00771E5A">
      <w:pPr>
        <w:pStyle w:val="Numbered111a"/>
      </w:pPr>
      <w:r w:rsidRPr="00BD6C5F">
        <w:t xml:space="preserve">such costs are below </w:t>
      </w:r>
      <w:r w:rsidRPr="00BD6C5F">
        <w:rPr>
          <w:shd w:val="clear" w:color="auto" w:fill="FFFF00"/>
        </w:rPr>
        <w:t>£</w:t>
      </w:r>
      <w:r w:rsidRPr="003C3280">
        <w:rPr>
          <w:shd w:val="clear" w:color="auto" w:fill="FFFF00"/>
        </w:rPr>
        <w:t>[</w:t>
      </w:r>
      <w:r w:rsidRPr="008B62D0">
        <w:rPr>
          <w:b/>
          <w:bCs/>
          <w:shd w:val="clear" w:color="auto" w:fill="FFFF00"/>
        </w:rPr>
        <w:t>insert</w:t>
      </w:r>
      <w:r w:rsidRPr="003C3280">
        <w:rPr>
          <w:shd w:val="clear" w:color="auto" w:fill="FFFF00"/>
        </w:rPr>
        <w:t xml:space="preserve"> figure]</w:t>
      </w:r>
      <w:r w:rsidRPr="003C3280">
        <w:t>;</w:t>
      </w:r>
    </w:p>
    <w:p w14:paraId="2A51C6B3" w14:textId="77777777" w:rsidR="00BC7DDA" w:rsidRPr="00BD6C5F" w:rsidRDefault="009B03E9" w:rsidP="0012518B">
      <w:pPr>
        <w:pStyle w:val="Numbered111a"/>
        <w:rPr>
          <w:lang w:val="en-GB"/>
        </w:rPr>
      </w:pPr>
      <w:r w:rsidRPr="00BD6C5F">
        <w:rPr>
          <w:lang w:val="en-GB"/>
        </w:rPr>
        <w:t>the Supplier is able to undertake the Impact Assessment by using resources already deployed in the provision of the Services; or</w:t>
      </w:r>
    </w:p>
    <w:p w14:paraId="1E408D9B" w14:textId="77777777" w:rsidR="00BC7DDA" w:rsidRPr="00BD6C5F" w:rsidRDefault="009B03E9" w:rsidP="0012518B">
      <w:pPr>
        <w:pStyle w:val="Numbered111a"/>
        <w:rPr>
          <w:lang w:val="en-GB"/>
        </w:rPr>
      </w:pPr>
      <w:r w:rsidRPr="00BD6C5F">
        <w:rPr>
          <w:lang w:val="en-GB"/>
        </w:rPr>
        <w:t>such costs exceed those in the accepted Impact Assessment Estimate.</w:t>
      </w:r>
    </w:p>
    <w:p w14:paraId="2D853F36" w14:textId="45C57AC7" w:rsidR="00BC7DDA" w:rsidRPr="00BD6C5F" w:rsidRDefault="009B03E9" w:rsidP="00C5057A">
      <w:pPr>
        <w:pStyle w:val="Numbered11"/>
      </w:pPr>
      <w:r w:rsidRPr="00BD6C5F">
        <w:t xml:space="preserve">The cost of any Contract Change shall be calculated and charged in accordance with the principles and day rates or day costs (as applicable) set out in </w:t>
      </w:r>
      <w:r w:rsidR="00346653" w:rsidRPr="00BD6C5F">
        <w:t>Schedule </w:t>
      </w:r>
      <w:r w:rsidR="00346653">
        <w:fldChar w:fldCharType="begin"/>
      </w:r>
      <w:r w:rsidR="00346653">
        <w:instrText xml:space="preserve"> REF Schedule_15 \h </w:instrText>
      </w:r>
      <w:r w:rsidR="00346653">
        <w:fldChar w:fldCharType="separate"/>
      </w:r>
      <w:r w:rsidR="009749A0">
        <w:t>15</w:t>
      </w:r>
      <w:r w:rsidR="00346653">
        <w:fldChar w:fldCharType="end"/>
      </w:r>
      <w:r w:rsidRPr="00BD6C5F">
        <w:t xml:space="preserve"> (</w:t>
      </w:r>
      <w:r w:rsidRPr="00BD6C5F">
        <w:rPr>
          <w:i/>
        </w:rPr>
        <w:t>Charges and Invoicing</w:t>
      </w:r>
      <w:r w:rsidRPr="00BD6C5F">
        <w:t>).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6BD6D487" w14:textId="6A3F2EFE" w:rsidR="00BC7DDA" w:rsidRPr="00BD6C5F" w:rsidRDefault="009B03E9" w:rsidP="00C5057A">
      <w:pPr>
        <w:pStyle w:val="Numbered11"/>
      </w:pPr>
      <w:bookmarkStart w:id="1037" w:name="_bookmark356"/>
      <w:bookmarkStart w:id="1038" w:name="_Ref98416332"/>
      <w:bookmarkEnd w:id="1037"/>
      <w:r w:rsidRPr="00BD6C5F">
        <w:t>Both Parties</w:t>
      </w:r>
      <w:r w:rsidR="00A4555C" w:rsidRPr="00BD6C5F">
        <w:t>’</w:t>
      </w:r>
      <w:r w:rsidRPr="00BD6C5F">
        <w:t xml:space="preserve"> costs incurred in respect of any use of this Change Control Procedure as a result of any error or Default by the Supplier shall be paid for by the Supplier.</w:t>
      </w:r>
      <w:bookmarkEnd w:id="1038"/>
    </w:p>
    <w:p w14:paraId="2BA43E0C" w14:textId="0C9E7950" w:rsidR="00BC7DDA" w:rsidRPr="00BD6C5F" w:rsidRDefault="0012518B" w:rsidP="00C5057A">
      <w:pPr>
        <w:pStyle w:val="Numbered1"/>
      </w:pPr>
      <w:bookmarkStart w:id="1039" w:name="_bookmark357"/>
      <w:bookmarkStart w:id="1040" w:name="_Ref98416187"/>
      <w:bookmarkEnd w:id="1039"/>
      <w:r w:rsidRPr="00BD6C5F">
        <w:t>Change Request</w:t>
      </w:r>
      <w:bookmarkEnd w:id="1040"/>
    </w:p>
    <w:p w14:paraId="56ED27B4" w14:textId="1BE91DDD" w:rsidR="00BC7DDA" w:rsidRPr="00BD6C5F" w:rsidRDefault="009B03E9" w:rsidP="00C5057A">
      <w:pPr>
        <w:pStyle w:val="Numbered11"/>
      </w:pPr>
      <w:r w:rsidRPr="00BD6C5F">
        <w:t xml:space="preserve">Either Party may issue a Change Request to the other Party at any time during the Term. A Change Request shall be substantially in the form of </w:t>
      </w:r>
      <w:r w:rsidR="00F5677F">
        <w:t>Annex </w:t>
      </w:r>
      <w:r w:rsidR="00F5677F">
        <w:fldChar w:fldCharType="begin"/>
      </w:r>
      <w:r w:rsidR="00F5677F">
        <w:instrText xml:space="preserve"> REF Schedule_22_Annex_1 \h </w:instrText>
      </w:r>
      <w:r w:rsidR="00F5677F">
        <w:fldChar w:fldCharType="separate"/>
      </w:r>
      <w:r w:rsidR="009749A0" w:rsidRPr="00BD6C5F">
        <w:t>1</w:t>
      </w:r>
      <w:r w:rsidR="00F5677F">
        <w:fldChar w:fldCharType="end"/>
      </w:r>
      <w:r w:rsidRPr="00BD6C5F">
        <w:t xml:space="preserve"> and state whether the Party issuing the Change Request considers the proposed Contract Change to be a Fast-track Change.</w:t>
      </w:r>
    </w:p>
    <w:p w14:paraId="6318F9F5" w14:textId="77777777" w:rsidR="00BC7DDA" w:rsidRPr="00BD6C5F" w:rsidRDefault="009B03E9" w:rsidP="00C5057A">
      <w:pPr>
        <w:pStyle w:val="Numbered11"/>
      </w:pPr>
      <w:r w:rsidRPr="00BD6C5F">
        <w:t>If the Supplier issues the Change Request, then it shall also provide an Impact Assessment to the Authority as soon as is reasonably practicable but in any event within 10 Working Days of the date of issuing the Change Request.</w:t>
      </w:r>
    </w:p>
    <w:p w14:paraId="503A167A" w14:textId="01A72C45" w:rsidR="00BC7DDA" w:rsidRPr="00BD6C5F" w:rsidRDefault="009B03E9" w:rsidP="00C5057A">
      <w:pPr>
        <w:pStyle w:val="Numbered11"/>
      </w:pPr>
      <w:bookmarkStart w:id="1041" w:name="_bookmark358"/>
      <w:bookmarkStart w:id="1042" w:name="_Ref98416153"/>
      <w:bookmarkEnd w:id="1041"/>
      <w:r w:rsidRPr="00BD6C5F">
        <w:t>If the Authority issues the Change Request, then the Supplier shall provide as soon as reasonably practical and in any event within 10 Working Days of the date of receiving the Change Request an estimate (</w:t>
      </w:r>
      <w:r w:rsidR="00A4555C" w:rsidRPr="00BD6C5F">
        <w:t>“</w:t>
      </w:r>
      <w:r w:rsidRPr="00BD6C5F">
        <w:rPr>
          <w:b/>
        </w:rPr>
        <w:t>Impact Assessment Estimate</w:t>
      </w:r>
      <w:r w:rsidR="00A4555C" w:rsidRPr="00BD6C5F">
        <w:t>”</w:t>
      </w:r>
      <w:r w:rsidRPr="00BD6C5F">
        <w:t>) of the cost of preparing an Impact Assessment and the timetable for preparing it. The timetable shall provide for the completed Impact Assessment to be received by the Authority within 10 Working Days of acceptance of the Impact Assessment Estimate or within any longer time period agreed by the Authority.</w:t>
      </w:r>
      <w:bookmarkEnd w:id="1042"/>
    </w:p>
    <w:p w14:paraId="0915A5D6" w14:textId="38B601F0" w:rsidR="00BC7DDA" w:rsidRPr="00BD6C5F" w:rsidRDefault="009B03E9" w:rsidP="00C5057A">
      <w:pPr>
        <w:pStyle w:val="Numbered11"/>
      </w:pPr>
      <w:r w:rsidRPr="00BD6C5F">
        <w:t>If the Authority accepts an Impact Assessment Estimate then following receipt of notice of such acceptance the Supplier shall provide the completed Impact</w:t>
      </w:r>
      <w:r w:rsidR="006D19D8" w:rsidRPr="00BD6C5F">
        <w:t xml:space="preserve"> </w:t>
      </w:r>
      <w:r w:rsidRPr="00BD6C5F">
        <w:t xml:space="preserve">Assessment to the Authority as soon as is reasonably practicable and in any event within the period agreed in the Impact Assessment Estimate. If the Supplier requires any clarification in relation to the Change Request before it can deliver the Impact Assessment, then it shall promptly </w:t>
      </w:r>
      <w:r w:rsidRPr="00BD6C5F">
        <w:lastRenderedPageBreak/>
        <w:t>make a request for clarification to the Authority and provided that sufficient information is received by the Authority to fully understand:</w:t>
      </w:r>
    </w:p>
    <w:p w14:paraId="1E87BFF6" w14:textId="77777777" w:rsidR="00BC7DDA" w:rsidRPr="00BD6C5F" w:rsidRDefault="009B03E9" w:rsidP="0012518B">
      <w:pPr>
        <w:pStyle w:val="Numbered111"/>
      </w:pPr>
      <w:r w:rsidRPr="00BD6C5F">
        <w:t>The nature of the request for clarification; and</w:t>
      </w:r>
    </w:p>
    <w:p w14:paraId="58DC0334" w14:textId="77777777" w:rsidR="00BC7DDA" w:rsidRPr="00BD6C5F" w:rsidRDefault="009B03E9" w:rsidP="0012518B">
      <w:pPr>
        <w:pStyle w:val="Numbered111"/>
      </w:pPr>
      <w:r w:rsidRPr="00BD6C5F">
        <w:t>The reasonable justification for the request;</w:t>
      </w:r>
    </w:p>
    <w:p w14:paraId="0B73BCA2" w14:textId="77777777" w:rsidR="00BC7DDA" w:rsidRPr="00BD6C5F" w:rsidRDefault="009B03E9" w:rsidP="006D19D8">
      <w:pPr>
        <w:pStyle w:val="BodyText"/>
        <w:spacing w:before="100" w:after="200"/>
        <w:ind w:left="720"/>
        <w:rPr>
          <w:rFonts w:asciiTheme="minorHAnsi" w:hAnsiTheme="minorHAnsi" w:cstheme="minorHAnsi"/>
        </w:rPr>
      </w:pPr>
      <w:r w:rsidRPr="00BD6C5F">
        <w:rPr>
          <w:rFonts w:asciiTheme="minorHAnsi" w:hAnsiTheme="minorHAnsi" w:cstheme="minorHAnsi"/>
        </w:rPr>
        <w:t>the time period to complete the Impact Assessment shall be extended by the time taken by the Authority to provide that clarification. The Authority shall respond to the request for clarification as soon as is reasonably practicable.</w:t>
      </w:r>
    </w:p>
    <w:p w14:paraId="7218450D" w14:textId="1A04E85A" w:rsidR="00BC7DDA" w:rsidRPr="00BD6C5F" w:rsidRDefault="0012518B" w:rsidP="00C5057A">
      <w:pPr>
        <w:pStyle w:val="Numbered1"/>
      </w:pPr>
      <w:bookmarkStart w:id="1043" w:name="_bookmark359"/>
      <w:bookmarkStart w:id="1044" w:name="_Ref98416145"/>
      <w:bookmarkEnd w:id="1043"/>
      <w:r w:rsidRPr="00BD6C5F">
        <w:t>Impact Assessment</w:t>
      </w:r>
      <w:bookmarkEnd w:id="1044"/>
    </w:p>
    <w:p w14:paraId="281DF863" w14:textId="77777777" w:rsidR="00BC7DDA" w:rsidRPr="00BD6C5F" w:rsidRDefault="009B03E9" w:rsidP="00C70900">
      <w:pPr>
        <w:pStyle w:val="Numbered11"/>
        <w:keepNext/>
      </w:pPr>
      <w:r w:rsidRPr="00BD6C5F">
        <w:t>Each Impact Assessment shall be completed in good faith and shall include:</w:t>
      </w:r>
    </w:p>
    <w:p w14:paraId="20CEC0C3" w14:textId="77777777" w:rsidR="00BC7DDA" w:rsidRPr="00BD6C5F" w:rsidRDefault="009B03E9" w:rsidP="0012518B">
      <w:pPr>
        <w:pStyle w:val="Numbered111"/>
      </w:pPr>
      <w:r w:rsidRPr="00BD6C5F">
        <w:t>details of the proposed Contract Change including the reason for the Contract Change; and</w:t>
      </w:r>
    </w:p>
    <w:p w14:paraId="36C5C7AA" w14:textId="0AC6C75B" w:rsidR="00BC7DDA" w:rsidRPr="00BD6C5F" w:rsidRDefault="009B03E9" w:rsidP="0012518B">
      <w:pPr>
        <w:pStyle w:val="Numbered111"/>
      </w:pPr>
      <w:r w:rsidRPr="00BD6C5F">
        <w:t>details of the impact of the proposed Contract Change on the Services, the Optional Services (if any) and the Supplier</w:t>
      </w:r>
      <w:r w:rsidR="00A4555C" w:rsidRPr="00BD6C5F">
        <w:t>’</w:t>
      </w:r>
      <w:r w:rsidRPr="00BD6C5F">
        <w:t xml:space="preserve">s ability to meet its other obligations under this </w:t>
      </w:r>
      <w:r w:rsidR="00693D11" w:rsidRPr="00BD6C5F">
        <w:t>Contract</w:t>
      </w:r>
      <w:r w:rsidRPr="00BD6C5F">
        <w:t>;</w:t>
      </w:r>
    </w:p>
    <w:p w14:paraId="5C89A1E4" w14:textId="5705BEFC" w:rsidR="00BC7DDA" w:rsidRPr="00BD6C5F" w:rsidRDefault="009B03E9" w:rsidP="00C70900">
      <w:pPr>
        <w:pStyle w:val="Numbered111"/>
        <w:keepNext/>
      </w:pPr>
      <w:r w:rsidRPr="00BD6C5F">
        <w:t xml:space="preserve">any variation to the terms of this </w:t>
      </w:r>
      <w:r w:rsidR="00693D11" w:rsidRPr="00BD6C5F">
        <w:t xml:space="preserve">Contract </w:t>
      </w:r>
      <w:r w:rsidRPr="00BD6C5F">
        <w:t>that will be required as a result of that impact, including changes to:</w:t>
      </w:r>
    </w:p>
    <w:p w14:paraId="27149F91" w14:textId="77777777" w:rsidR="00BC7DDA" w:rsidRPr="00BD6C5F" w:rsidRDefault="009B03E9" w:rsidP="00771E5A">
      <w:pPr>
        <w:pStyle w:val="Numbered111a"/>
      </w:pPr>
      <w:r w:rsidRPr="00BD6C5F">
        <w:t>the Services Description, the Performance Indicators and/or the Target Performance Levels;</w:t>
      </w:r>
    </w:p>
    <w:p w14:paraId="5D3A3B31" w14:textId="77777777" w:rsidR="00BC7DDA" w:rsidRPr="00BD6C5F" w:rsidRDefault="009B03E9" w:rsidP="0012518B">
      <w:pPr>
        <w:pStyle w:val="Numbered111a"/>
        <w:rPr>
          <w:lang w:val="en-GB"/>
        </w:rPr>
      </w:pPr>
      <w:r w:rsidRPr="00BD6C5F">
        <w:rPr>
          <w:lang w:val="en-GB"/>
        </w:rPr>
        <w:t>the format of Authority Data, as set out in the Services Description;</w:t>
      </w:r>
    </w:p>
    <w:p w14:paraId="1DFDA583" w14:textId="77777777" w:rsidR="00BC7DDA" w:rsidRPr="00BD6C5F" w:rsidRDefault="009B03E9" w:rsidP="0012518B">
      <w:pPr>
        <w:pStyle w:val="Numbered111a"/>
        <w:rPr>
          <w:lang w:val="en-GB"/>
        </w:rPr>
      </w:pPr>
      <w:r w:rsidRPr="00BD6C5F">
        <w:rPr>
          <w:lang w:val="en-GB"/>
        </w:rPr>
        <w:t>the Milestones, Implementation Plan and any other timetable previously agreed by the Parties;</w:t>
      </w:r>
    </w:p>
    <w:p w14:paraId="26C35CD8" w14:textId="0A0F91FE" w:rsidR="00BC7DDA" w:rsidRPr="00BD6C5F" w:rsidRDefault="009B03E9" w:rsidP="0012518B">
      <w:pPr>
        <w:pStyle w:val="Numbered111a"/>
        <w:rPr>
          <w:lang w:val="en-GB"/>
        </w:rPr>
      </w:pPr>
      <w:r w:rsidRPr="00BD6C5F">
        <w:rPr>
          <w:lang w:val="en-GB"/>
        </w:rPr>
        <w:t>other services provided by third party contractors to the Authority, including any changes required by the proposed Contract Change to the Authority</w:t>
      </w:r>
      <w:r w:rsidR="00A4555C" w:rsidRPr="00BD6C5F">
        <w:rPr>
          <w:lang w:val="en-GB"/>
        </w:rPr>
        <w:t>’</w:t>
      </w:r>
      <w:r w:rsidRPr="00BD6C5F">
        <w:rPr>
          <w:lang w:val="en-GB"/>
        </w:rPr>
        <w:t>s IT infrastructure;</w:t>
      </w:r>
    </w:p>
    <w:p w14:paraId="2FCDA489" w14:textId="77777777" w:rsidR="00BC7DDA" w:rsidRPr="00BD6C5F" w:rsidRDefault="009B03E9" w:rsidP="0012518B">
      <w:pPr>
        <w:pStyle w:val="Numbered111"/>
      </w:pPr>
      <w:bookmarkStart w:id="1045" w:name="_bookmark360"/>
      <w:bookmarkStart w:id="1046" w:name="_Ref98416383"/>
      <w:bookmarkEnd w:id="1045"/>
      <w:r w:rsidRPr="00BD6C5F">
        <w:t>details of the cost of implementing the proposed Contract Change;</w:t>
      </w:r>
      <w:bookmarkEnd w:id="1046"/>
    </w:p>
    <w:p w14:paraId="7F2DDBFB" w14:textId="77777777" w:rsidR="00BC7DDA" w:rsidRPr="00BD6C5F" w:rsidRDefault="009B03E9" w:rsidP="0012518B">
      <w:pPr>
        <w:pStyle w:val="Numbered111"/>
      </w:pPr>
      <w:bookmarkStart w:id="1047" w:name="_bookmark361"/>
      <w:bookmarkStart w:id="1048" w:name="_Ref98416393"/>
      <w:bookmarkEnd w:id="1047"/>
      <w:r w:rsidRPr="00BD6C5F">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1048"/>
    </w:p>
    <w:p w14:paraId="1D5D1F93" w14:textId="77777777" w:rsidR="00BC7DDA" w:rsidRPr="00BD6C5F" w:rsidRDefault="009B03E9" w:rsidP="0012518B">
      <w:pPr>
        <w:pStyle w:val="Numbered111"/>
      </w:pPr>
      <w:r w:rsidRPr="00BD6C5F">
        <w:t>a timetable for the implementation, together with any proposals for the testing of the Contract Change;</w:t>
      </w:r>
    </w:p>
    <w:p w14:paraId="189119C1" w14:textId="77777777" w:rsidR="00BC7DDA" w:rsidRPr="00BD6C5F" w:rsidRDefault="009B03E9" w:rsidP="0012518B">
      <w:pPr>
        <w:pStyle w:val="Numbered111"/>
      </w:pPr>
      <w:r w:rsidRPr="00BD6C5F">
        <w:t>details of how the proposed Contract Change will ensure compliance with any applicable Change in Law; and</w:t>
      </w:r>
    </w:p>
    <w:p w14:paraId="394BDEDD" w14:textId="22BDC262" w:rsidR="00BC7DDA" w:rsidRPr="00BD6C5F" w:rsidRDefault="009B03E9" w:rsidP="0012518B">
      <w:pPr>
        <w:pStyle w:val="Numbered111"/>
      </w:pPr>
      <w:r w:rsidRPr="00BD6C5F">
        <w:t>such other information as the Authority may reasonably request in (or in response to) the Change Request.</w:t>
      </w:r>
    </w:p>
    <w:p w14:paraId="2EB1846D" w14:textId="6C625505" w:rsidR="00BC7DDA" w:rsidRPr="00BD6C5F" w:rsidRDefault="009B03E9" w:rsidP="00C5057A">
      <w:pPr>
        <w:pStyle w:val="Numbered11"/>
      </w:pPr>
      <w:r w:rsidRPr="00BD6C5F">
        <w:t xml:space="preserve">If the Contract Change involves the processing or transfer of any Personal Data outside the </w:t>
      </w:r>
      <w:r w:rsidR="00FC27CB" w:rsidRPr="00FC27CB">
        <w:t xml:space="preserve">UK, in the event of the Personal Data being subject to UK GDPR, or the EU, in the </w:t>
      </w:r>
      <w:r w:rsidR="00FC27CB" w:rsidRPr="00FC27CB">
        <w:lastRenderedPageBreak/>
        <w:t>event of the Personal Data being subject to EU GDPR</w:t>
      </w:r>
      <w:r w:rsidRPr="00BD6C5F">
        <w:t xml:space="preserve">, the preparation of the Impact Assessment shall also be subject to </w:t>
      </w:r>
      <w:r w:rsidR="005E736B" w:rsidRPr="00BD6C5F">
        <w:t>Clause </w:t>
      </w:r>
      <w:r w:rsidRPr="00BD6C5F">
        <w:t>2</w:t>
      </w:r>
      <w:r w:rsidR="00970226" w:rsidRPr="00BD6C5F">
        <w:t>1</w:t>
      </w:r>
      <w:r w:rsidRPr="00BD6C5F">
        <w:t xml:space="preserve"> (</w:t>
      </w:r>
      <w:r w:rsidRPr="00BD6C5F">
        <w:rPr>
          <w:i/>
        </w:rPr>
        <w:t>Protection of Personal Data</w:t>
      </w:r>
      <w:r w:rsidRPr="00BD6C5F">
        <w:t>).</w:t>
      </w:r>
    </w:p>
    <w:p w14:paraId="6B320FA7" w14:textId="36DABEAA" w:rsidR="00BC7DDA" w:rsidRPr="00BD6C5F" w:rsidRDefault="009B03E9" w:rsidP="00C5057A">
      <w:pPr>
        <w:pStyle w:val="Numbered11"/>
      </w:pPr>
      <w:r w:rsidRPr="00BD6C5F">
        <w:t xml:space="preserve">Subject to the provisions of Paragraph </w:t>
      </w:r>
      <w:r w:rsidR="007561EA" w:rsidRPr="00BD6C5F">
        <w:fldChar w:fldCharType="begin"/>
      </w:r>
      <w:r w:rsidR="007561EA" w:rsidRPr="00BD6C5F">
        <w:instrText xml:space="preserve"> REF _Ref98416349 \n \h </w:instrText>
      </w:r>
      <w:r w:rsidR="00AD7DD0" w:rsidRPr="00BD6C5F">
        <w:instrText xml:space="preserve"> \* MERGEFORMAT </w:instrText>
      </w:r>
      <w:r w:rsidR="007561EA" w:rsidRPr="00BD6C5F">
        <w:fldChar w:fldCharType="separate"/>
      </w:r>
      <w:r w:rsidR="009749A0">
        <w:t>5.4</w:t>
      </w:r>
      <w:r w:rsidR="007561EA" w:rsidRPr="00BD6C5F">
        <w:fldChar w:fldCharType="end"/>
      </w:r>
      <w:r w:rsidRPr="00BD6C5F">
        <w:t xml:space="preserve">, the Authority shall review the Impact Assessment and respond to the Supplier in accordance with Paragraph </w:t>
      </w:r>
      <w:r w:rsidR="007561EA" w:rsidRPr="00BD6C5F">
        <w:fldChar w:fldCharType="begin"/>
      </w:r>
      <w:r w:rsidR="007561EA" w:rsidRPr="00BD6C5F">
        <w:instrText xml:space="preserve"> REF _Ref98416227 \n \h </w:instrText>
      </w:r>
      <w:r w:rsidR="00AD7DD0" w:rsidRPr="00BD6C5F">
        <w:instrText xml:space="preserve"> \* MERGEFORMAT </w:instrText>
      </w:r>
      <w:r w:rsidR="007561EA" w:rsidRPr="00BD6C5F">
        <w:fldChar w:fldCharType="separate"/>
      </w:r>
      <w:r w:rsidR="009749A0">
        <w:t>6</w:t>
      </w:r>
      <w:r w:rsidR="007561EA" w:rsidRPr="00BD6C5F">
        <w:fldChar w:fldCharType="end"/>
      </w:r>
      <w:r w:rsidRPr="00BD6C5F">
        <w:t xml:space="preserve"> within 15 Working Days of receiving the Impact Assessment</w:t>
      </w:r>
      <w:r w:rsidR="009B40F6" w:rsidRPr="00BD6C5F">
        <w:t>.</w:t>
      </w:r>
    </w:p>
    <w:p w14:paraId="7A8F7380" w14:textId="677B9BFD" w:rsidR="00BC7DDA" w:rsidRPr="00BD6C5F" w:rsidRDefault="009B03E9" w:rsidP="00C5057A">
      <w:pPr>
        <w:pStyle w:val="Numbered11"/>
      </w:pPr>
      <w:bookmarkStart w:id="1049" w:name="_bookmark362"/>
      <w:bookmarkStart w:id="1050" w:name="_Ref98416349"/>
      <w:bookmarkEnd w:id="1049"/>
      <w:r w:rsidRPr="00BD6C5F">
        <w:t xml:space="preserve">If the Authority </w:t>
      </w:r>
      <w:r w:rsidR="00C5041D" w:rsidRPr="00C5041D">
        <w:t>receives a proposed Contract Change from the Supplier</w:t>
      </w:r>
      <w:r w:rsidRPr="00BD6C5F">
        <w:t xml:space="preserve"> and the Authority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 The Supplier shall then re-issue the relevant Impact Assessment to the Authority within 10 Working Days of receiving such notification. At the Authority</w:t>
      </w:r>
      <w:r w:rsidR="00A4555C" w:rsidRPr="00BD6C5F">
        <w:t>’</w:t>
      </w:r>
      <w:r w:rsidRPr="00BD6C5F">
        <w:t xml:space="preserve">s discretion, the Parties may repeat the process described in this Paragraph </w:t>
      </w:r>
      <w:r w:rsidR="007561EA" w:rsidRPr="00BD6C5F">
        <w:fldChar w:fldCharType="begin"/>
      </w:r>
      <w:r w:rsidR="007561EA" w:rsidRPr="00BD6C5F">
        <w:instrText xml:space="preserve"> REF _Ref98416349 \n \h </w:instrText>
      </w:r>
      <w:r w:rsidR="00AD7DD0" w:rsidRPr="00BD6C5F">
        <w:instrText xml:space="preserve"> \* MERGEFORMAT </w:instrText>
      </w:r>
      <w:r w:rsidR="007561EA" w:rsidRPr="00BD6C5F">
        <w:fldChar w:fldCharType="separate"/>
      </w:r>
      <w:r w:rsidR="009749A0">
        <w:t>5.4</w:t>
      </w:r>
      <w:r w:rsidR="007561EA" w:rsidRPr="00BD6C5F">
        <w:fldChar w:fldCharType="end"/>
      </w:r>
      <w:r w:rsidRPr="00BD6C5F">
        <w:t xml:space="preserve"> until the Authority is satisfied that it has sufficient information to properly evaluate the Change Request and Impact Assessment.</w:t>
      </w:r>
      <w:bookmarkEnd w:id="1050"/>
    </w:p>
    <w:p w14:paraId="6C4EDCD3" w14:textId="1DC20B05" w:rsidR="00BC7DDA" w:rsidRPr="00BD6C5F" w:rsidRDefault="009B03E9" w:rsidP="00C70900">
      <w:pPr>
        <w:pStyle w:val="Numbered11"/>
        <w:keepNext/>
      </w:pPr>
      <w:r w:rsidRPr="00BD6C5F">
        <w:t xml:space="preserve">The calculation of costs for the purposes of Paragraphs </w:t>
      </w:r>
      <w:r w:rsidR="007561EA" w:rsidRPr="00BD6C5F">
        <w:fldChar w:fldCharType="begin"/>
      </w:r>
      <w:r w:rsidR="007561EA" w:rsidRPr="00BD6C5F">
        <w:instrText xml:space="preserve"> REF _Ref98416383 \w \h </w:instrText>
      </w:r>
      <w:r w:rsidR="00AD7DD0" w:rsidRPr="00BD6C5F">
        <w:instrText xml:space="preserve"> \* MERGEFORMAT </w:instrText>
      </w:r>
      <w:r w:rsidR="007561EA" w:rsidRPr="00BD6C5F">
        <w:fldChar w:fldCharType="separate"/>
      </w:r>
      <w:r w:rsidR="009749A0">
        <w:t>5.1.4</w:t>
      </w:r>
      <w:r w:rsidR="007561EA" w:rsidRPr="00BD6C5F">
        <w:fldChar w:fldCharType="end"/>
      </w:r>
      <w:r w:rsidRPr="00BD6C5F">
        <w:t xml:space="preserve"> and </w:t>
      </w:r>
      <w:r w:rsidR="007561EA" w:rsidRPr="00BD6C5F">
        <w:fldChar w:fldCharType="begin"/>
      </w:r>
      <w:r w:rsidR="007561EA" w:rsidRPr="00BD6C5F">
        <w:instrText xml:space="preserve"> REF _Ref98416393 \n \h </w:instrText>
      </w:r>
      <w:r w:rsidR="00AD7DD0" w:rsidRPr="00BD6C5F">
        <w:instrText xml:space="preserve"> \* MERGEFORMAT </w:instrText>
      </w:r>
      <w:r w:rsidR="007561EA" w:rsidRPr="00BD6C5F">
        <w:fldChar w:fldCharType="separate"/>
      </w:r>
      <w:r w:rsidR="009749A0">
        <w:t>5.1.5</w:t>
      </w:r>
      <w:r w:rsidR="007561EA" w:rsidRPr="00BD6C5F">
        <w:fldChar w:fldCharType="end"/>
      </w:r>
      <w:r w:rsidRPr="00BD6C5F">
        <w:t xml:space="preserve"> shall:</w:t>
      </w:r>
    </w:p>
    <w:p w14:paraId="287A7713" w14:textId="77777777" w:rsidR="00BC7DDA" w:rsidRPr="00BD6C5F" w:rsidRDefault="009B03E9" w:rsidP="0012518B">
      <w:pPr>
        <w:pStyle w:val="Numbered111"/>
      </w:pPr>
      <w:r w:rsidRPr="00BD6C5F">
        <w:t>be based on the Financial Model;</w:t>
      </w:r>
    </w:p>
    <w:p w14:paraId="7D36E772" w14:textId="77777777" w:rsidR="00BC7DDA" w:rsidRPr="00BD6C5F" w:rsidRDefault="009B03E9" w:rsidP="0012518B">
      <w:pPr>
        <w:pStyle w:val="Numbered111"/>
      </w:pPr>
      <w:r w:rsidRPr="00BD6C5F">
        <w:t>facilitate the Financial Transparency Objectives;</w:t>
      </w:r>
    </w:p>
    <w:p w14:paraId="3E59EE8F" w14:textId="77777777" w:rsidR="00BC7DDA" w:rsidRPr="00BD6C5F" w:rsidRDefault="009B03E9" w:rsidP="0012518B">
      <w:pPr>
        <w:pStyle w:val="Numbered111"/>
      </w:pPr>
      <w:r w:rsidRPr="00BD6C5F">
        <w:t>include estimated volumes of each type of resource to be employed and the applicable rate card;</w:t>
      </w:r>
    </w:p>
    <w:p w14:paraId="1B21BE64" w14:textId="77777777" w:rsidR="00BC7DDA" w:rsidRPr="00BD6C5F" w:rsidRDefault="009B03E9" w:rsidP="0012518B">
      <w:pPr>
        <w:pStyle w:val="Numbered111"/>
      </w:pPr>
      <w:r w:rsidRPr="00BD6C5F">
        <w:t>include full disclosure of any assumptions underlying such Impact Assessment;</w:t>
      </w:r>
    </w:p>
    <w:p w14:paraId="7891BF04" w14:textId="77777777" w:rsidR="00BC7DDA" w:rsidRPr="00BD6C5F" w:rsidRDefault="009B03E9" w:rsidP="0012518B">
      <w:pPr>
        <w:pStyle w:val="Numbered111"/>
      </w:pPr>
      <w:r w:rsidRPr="00BD6C5F">
        <w:t>include evidence of the cost of any assets required for the Change; and</w:t>
      </w:r>
    </w:p>
    <w:p w14:paraId="0A5A019B" w14:textId="77777777" w:rsidR="00BC7DDA" w:rsidRPr="00BD6C5F" w:rsidRDefault="009B03E9" w:rsidP="0012518B">
      <w:pPr>
        <w:pStyle w:val="Numbered111"/>
      </w:pPr>
      <w:r w:rsidRPr="00BD6C5F">
        <w:t>include details of any new Sub-contracts necessary to accomplish the Change.</w:t>
      </w:r>
    </w:p>
    <w:p w14:paraId="39FC423E" w14:textId="634593FD" w:rsidR="00BC7DDA" w:rsidRPr="00BD6C5F" w:rsidRDefault="0012518B" w:rsidP="00C5057A">
      <w:pPr>
        <w:pStyle w:val="Numbered1"/>
      </w:pPr>
      <w:bookmarkStart w:id="1051" w:name="_bookmark363"/>
      <w:bookmarkStart w:id="1052" w:name="_Ref98416227"/>
      <w:bookmarkEnd w:id="1051"/>
      <w:r w:rsidRPr="00BD6C5F">
        <w:t>Authority’s Right of Approval</w:t>
      </w:r>
      <w:bookmarkEnd w:id="1052"/>
    </w:p>
    <w:p w14:paraId="1D862170" w14:textId="2DBD0DC4" w:rsidR="00BC7DDA" w:rsidRPr="00BD6C5F" w:rsidRDefault="009B03E9" w:rsidP="00C5057A">
      <w:pPr>
        <w:pStyle w:val="Numbered11"/>
      </w:pPr>
      <w:bookmarkStart w:id="1053" w:name="_bookmark364"/>
      <w:bookmarkStart w:id="1054" w:name="_Ref98416451"/>
      <w:bookmarkEnd w:id="1053"/>
      <w:r w:rsidRPr="00BD6C5F">
        <w:t xml:space="preserve">Within 15 Working Days of receiving the Impact Assessment from the Supplier or within 10 Working Days of receiving the further information that it may request pursuant to Paragraph </w:t>
      </w:r>
      <w:r w:rsidR="007561EA" w:rsidRPr="00BD6C5F">
        <w:fldChar w:fldCharType="begin"/>
      </w:r>
      <w:r w:rsidR="007561EA" w:rsidRPr="00BD6C5F">
        <w:instrText xml:space="preserve"> REF _Ref98416349 \n \h </w:instrText>
      </w:r>
      <w:r w:rsidR="00AD7DD0" w:rsidRPr="00BD6C5F">
        <w:instrText xml:space="preserve"> \* MERGEFORMAT </w:instrText>
      </w:r>
      <w:r w:rsidR="007561EA" w:rsidRPr="00BD6C5F">
        <w:fldChar w:fldCharType="separate"/>
      </w:r>
      <w:r w:rsidR="009749A0">
        <w:t>5.4</w:t>
      </w:r>
      <w:r w:rsidR="007561EA" w:rsidRPr="00BD6C5F">
        <w:fldChar w:fldCharType="end"/>
      </w:r>
      <w:r w:rsidRPr="00BD6C5F">
        <w:t>, the Authority shall evaluate the Change Request and the Impact Assessment and shall do one of the following:</w:t>
      </w:r>
      <w:bookmarkEnd w:id="1054"/>
    </w:p>
    <w:p w14:paraId="3DBD8228" w14:textId="43A8CBDB" w:rsidR="00BC7DDA" w:rsidRPr="00BD6C5F" w:rsidRDefault="009B03E9" w:rsidP="0012518B">
      <w:pPr>
        <w:pStyle w:val="Numbered111"/>
      </w:pPr>
      <w:r w:rsidRPr="00BD6C5F">
        <w:t xml:space="preserve">approve the proposed Contract Change, in which case the Parties shall follow the procedure set out in Paragraph </w:t>
      </w:r>
      <w:r w:rsidR="007561EA" w:rsidRPr="00BD6C5F">
        <w:fldChar w:fldCharType="begin"/>
      </w:r>
      <w:r w:rsidR="007561EA" w:rsidRPr="00BD6C5F">
        <w:instrText xml:space="preserve"> REF _Ref98416259 \n \h </w:instrText>
      </w:r>
      <w:r w:rsidR="00AD7DD0" w:rsidRPr="00BD6C5F">
        <w:instrText xml:space="preserve"> \* MERGEFORMAT </w:instrText>
      </w:r>
      <w:r w:rsidR="007561EA" w:rsidRPr="00BD6C5F">
        <w:fldChar w:fldCharType="separate"/>
      </w:r>
      <w:r w:rsidR="009749A0">
        <w:t>6.2</w:t>
      </w:r>
      <w:r w:rsidR="007561EA" w:rsidRPr="00BD6C5F">
        <w:fldChar w:fldCharType="end"/>
      </w:r>
      <w:r w:rsidRPr="00BD6C5F">
        <w:t>;</w:t>
      </w:r>
    </w:p>
    <w:p w14:paraId="2A37026A" w14:textId="77777777" w:rsidR="00BC7DDA" w:rsidRPr="00BD6C5F" w:rsidRDefault="009B03E9" w:rsidP="0012518B">
      <w:pPr>
        <w:pStyle w:val="Numbered111"/>
      </w:pPr>
      <w:r w:rsidRPr="00BD6C5F">
        <w:t>in its absolute discretion reject the Contract Change, in which case it shall notify the Supplier of the rejection. The Authority shall not reject any proposed Contract Change to the extent that the Contract Change is necessary for the Supplier or the Services to comply with</w:t>
      </w:r>
    </w:p>
    <w:p w14:paraId="72ED01C0" w14:textId="58BC8517" w:rsidR="00BC7DDA" w:rsidRPr="00BD6C5F" w:rsidRDefault="00DB2677" w:rsidP="0012518B">
      <w:pPr>
        <w:pStyle w:val="Numbered111"/>
      </w:pPr>
      <w:r w:rsidRPr="00BD6C5F">
        <w:t xml:space="preserve"> </w:t>
      </w:r>
      <w:r w:rsidR="009B03E9" w:rsidRPr="00BD6C5F">
        <w:t>any Changes in Law. If the Authority does reject a Contract Change, then it shall explain its reasons in writing to the Supplier as soon as is reasonably practicable following such rejection; or</w:t>
      </w:r>
    </w:p>
    <w:p w14:paraId="09691445" w14:textId="7547B38B" w:rsidR="00BC7DDA" w:rsidRPr="00BD6C5F" w:rsidRDefault="009B03E9" w:rsidP="0012518B">
      <w:pPr>
        <w:pStyle w:val="Numbered111"/>
      </w:pPr>
      <w:r w:rsidRPr="00BD6C5F">
        <w:t xml:space="preserve">in the event that it reasonably believes that a Change Request or Impact Assessment contains errors or omissions, require the Supplier to modify the </w:t>
      </w:r>
      <w:r w:rsidRPr="00BD6C5F">
        <w:lastRenderedPageBreak/>
        <w:t xml:space="preserve">relevant document accordingly, in which event the Supplier shall make such modifications within 5 Working Days of such request. Subject to Paragraph </w:t>
      </w:r>
      <w:r w:rsidR="007561EA" w:rsidRPr="00BD6C5F">
        <w:fldChar w:fldCharType="begin"/>
      </w:r>
      <w:r w:rsidR="007561EA" w:rsidRPr="00BD6C5F">
        <w:instrText xml:space="preserve"> REF _Ref98416349 \n \h </w:instrText>
      </w:r>
      <w:r w:rsidR="00AD7DD0" w:rsidRPr="00BD6C5F">
        <w:instrText xml:space="preserve"> \* MERGEFORMAT </w:instrText>
      </w:r>
      <w:r w:rsidR="007561EA" w:rsidRPr="00BD6C5F">
        <w:fldChar w:fldCharType="separate"/>
      </w:r>
      <w:r w:rsidR="009749A0">
        <w:t>5.4</w:t>
      </w:r>
      <w:r w:rsidR="007561EA" w:rsidRPr="00BD6C5F">
        <w:fldChar w:fldCharType="end"/>
      </w:r>
      <w:r w:rsidRPr="00BD6C5F">
        <w:t>, on receiving the modified Change Request and/or Impact Assessment, the Authority shall approve or reject the proposed Contract Change within 10 Working Days.</w:t>
      </w:r>
    </w:p>
    <w:p w14:paraId="1F3B55BD" w14:textId="2C0985F9" w:rsidR="00BC7DDA" w:rsidRPr="00BD6C5F" w:rsidRDefault="009B03E9" w:rsidP="00C5057A">
      <w:pPr>
        <w:pStyle w:val="Numbered11"/>
      </w:pPr>
      <w:bookmarkStart w:id="1055" w:name="_bookmark365"/>
      <w:bookmarkStart w:id="1056" w:name="_Ref98416259"/>
      <w:bookmarkEnd w:id="1055"/>
      <w:r w:rsidRPr="00BD6C5F">
        <w:t xml:space="preserve">If the Authority approves the proposed Contract Change pursuant to Paragraph </w:t>
      </w:r>
      <w:r w:rsidR="007561EA" w:rsidRPr="00BD6C5F">
        <w:fldChar w:fldCharType="begin"/>
      </w:r>
      <w:r w:rsidR="007561EA" w:rsidRPr="00BD6C5F">
        <w:instrText xml:space="preserve"> REF _Ref98416451 \n \h </w:instrText>
      </w:r>
      <w:r w:rsidR="00AD7DD0" w:rsidRPr="00BD6C5F">
        <w:instrText xml:space="preserve"> \* MERGEFORMAT </w:instrText>
      </w:r>
      <w:r w:rsidR="007561EA" w:rsidRPr="00BD6C5F">
        <w:fldChar w:fldCharType="separate"/>
      </w:r>
      <w:r w:rsidR="009749A0">
        <w:t>6.1</w:t>
      </w:r>
      <w:r w:rsidR="007561EA" w:rsidRPr="00BD6C5F">
        <w:fldChar w:fldCharType="end"/>
      </w:r>
      <w:r w:rsidRPr="00BD6C5F">
        <w:t xml:space="preserve"> and it has not been rejected by the Supplier in accordance with Paragraph </w:t>
      </w:r>
      <w:r w:rsidR="007561EA" w:rsidRPr="00BD6C5F">
        <w:fldChar w:fldCharType="begin"/>
      </w:r>
      <w:r w:rsidR="007561EA" w:rsidRPr="00BD6C5F">
        <w:instrText xml:space="preserve"> REF _Ref98416249 \n \h </w:instrText>
      </w:r>
      <w:r w:rsidR="00AD7DD0" w:rsidRPr="00BD6C5F">
        <w:instrText xml:space="preserve"> \* MERGEFORMAT </w:instrText>
      </w:r>
      <w:r w:rsidR="007561EA" w:rsidRPr="00BD6C5F">
        <w:fldChar w:fldCharType="separate"/>
      </w:r>
      <w:r w:rsidR="009749A0">
        <w:t>7</w:t>
      </w:r>
      <w:r w:rsidR="007561EA" w:rsidRPr="00BD6C5F">
        <w:fldChar w:fldCharType="end"/>
      </w:r>
      <w:r w:rsidRPr="00BD6C5F">
        <w:t>, then it shall inform the Supplier and</w:t>
      </w:r>
      <w:r w:rsidR="00492569">
        <w:t>, unless otherwise directed by the Authority</w:t>
      </w:r>
      <w:r w:rsidR="00AD2381">
        <w:t>,</w:t>
      </w:r>
      <w:r w:rsidRPr="00BD6C5F">
        <w:t xml:space="preserve"> the Supplier shall</w:t>
      </w:r>
      <w:r w:rsidR="00AD2381">
        <w:t xml:space="preserve"> bed the Drafting Party</w:t>
      </w:r>
      <w:r w:rsidR="005A433B">
        <w:t>.</w:t>
      </w:r>
      <w:r w:rsidRPr="00BD6C5F">
        <w:t xml:space="preserve"> Following receipt by the </w:t>
      </w:r>
      <w:r w:rsidR="005A433B">
        <w:t xml:space="preserve">Receiving Party </w:t>
      </w:r>
      <w:r w:rsidRPr="00BD6C5F">
        <w:t xml:space="preserve">Authority of the Change Authorisation Note, it shall sign both copies and return one copy to the </w:t>
      </w:r>
      <w:r w:rsidR="00FA2714">
        <w:t>Drafting Party</w:t>
      </w:r>
      <w:r w:rsidRPr="00BD6C5F">
        <w:t xml:space="preserve">. </w:t>
      </w:r>
      <w:r w:rsidR="00C42541">
        <w:t xml:space="preserve">Unless otherwise specified on the Recceiving Party’s </w:t>
      </w:r>
      <w:r w:rsidRPr="00BD6C5F">
        <w:t xml:space="preserve">signature the Change Authorisation Note shall constitute (or, where the Authority has agreed to or required the implementation of a Change prior to signature of a Change Authorisation Note, shall constitute confirmation of) a binding variation to this </w:t>
      </w:r>
      <w:r w:rsidR="00693D11" w:rsidRPr="00BD6C5F">
        <w:t>Contract</w:t>
      </w:r>
      <w:r w:rsidRPr="00BD6C5F">
        <w:t>.</w:t>
      </w:r>
      <w:bookmarkEnd w:id="1056"/>
    </w:p>
    <w:p w14:paraId="4254EFC1" w14:textId="68CF9099" w:rsidR="00BC7DDA" w:rsidRPr="00BD6C5F" w:rsidRDefault="009B03E9" w:rsidP="00C5057A">
      <w:pPr>
        <w:pStyle w:val="Numbered11"/>
      </w:pPr>
      <w:r w:rsidRPr="00BD6C5F">
        <w:t xml:space="preserve">If the </w:t>
      </w:r>
      <w:r w:rsidR="002731EE">
        <w:t>Receiving Party</w:t>
      </w:r>
      <w:r w:rsidRPr="00BD6C5F">
        <w:t xml:space="preserve"> does not sign the Change Authorisation Note within 10 Working Days</w:t>
      </w:r>
      <w:r w:rsidR="002731EE">
        <w:t xml:space="preserve"> of receipt</w:t>
      </w:r>
      <w:r w:rsidRPr="00BD6C5F">
        <w:t xml:space="preserve">, then the </w:t>
      </w:r>
      <w:r w:rsidR="002731EE">
        <w:t>Drafting Party</w:t>
      </w:r>
      <w:r w:rsidRPr="00BD6C5F">
        <w:t xml:space="preserve"> shall have the right to notify the </w:t>
      </w:r>
      <w:r w:rsidR="00EA6B7C">
        <w:t xml:space="preserve">Receiving Party </w:t>
      </w:r>
      <w:r w:rsidRPr="00BD6C5F">
        <w:t xml:space="preserve"> and if the </w:t>
      </w:r>
      <w:r w:rsidR="00EA6B7C">
        <w:t>Receiving Party</w:t>
      </w:r>
      <w:r w:rsidR="00EA6B7C" w:rsidRPr="00BD6C5F">
        <w:t xml:space="preserve"> </w:t>
      </w:r>
      <w:r w:rsidRPr="00BD6C5F">
        <w:t xml:space="preserve">does not sign the Change Authorisation Note within 5 Working Days of such notification, then the </w:t>
      </w:r>
      <w:r w:rsidR="00EA6B7C">
        <w:t>Drafting Party</w:t>
      </w:r>
      <w:r w:rsidRPr="00BD6C5F">
        <w:t xml:space="preserve"> may refer the matter to the Expedited Dispute Timetable pursuant to the Dispute Resolution Procedure.</w:t>
      </w:r>
    </w:p>
    <w:p w14:paraId="4F7E8C83" w14:textId="2C0EDC6C" w:rsidR="00BC7DDA" w:rsidRPr="00BD6C5F" w:rsidRDefault="0012518B" w:rsidP="00C5057A">
      <w:pPr>
        <w:pStyle w:val="Numbered1"/>
      </w:pPr>
      <w:bookmarkStart w:id="1057" w:name="_bookmark366"/>
      <w:bookmarkStart w:id="1058" w:name="_Ref98416249"/>
      <w:bookmarkEnd w:id="1057"/>
      <w:r w:rsidRPr="00BD6C5F">
        <w:t>Supplier’s Right of Approval</w:t>
      </w:r>
      <w:bookmarkEnd w:id="1058"/>
    </w:p>
    <w:p w14:paraId="44E16FC8" w14:textId="77777777" w:rsidR="00BC7DDA" w:rsidRPr="00BD6C5F" w:rsidRDefault="009B03E9" w:rsidP="00C70900">
      <w:pPr>
        <w:pStyle w:val="Numbered11"/>
        <w:keepNext/>
      </w:pPr>
      <w:r w:rsidRPr="00BD6C5F">
        <w:t>Following an Impact Assessment, if:</w:t>
      </w:r>
    </w:p>
    <w:p w14:paraId="178A1E9B" w14:textId="77777777" w:rsidR="00BC7DDA" w:rsidRPr="00BD6C5F" w:rsidRDefault="009B03E9" w:rsidP="00C70900">
      <w:pPr>
        <w:pStyle w:val="Numbered111"/>
        <w:keepNext/>
      </w:pPr>
      <w:r w:rsidRPr="00BD6C5F">
        <w:t>the Supplier reasonably believes that any proposed Contract Change which is requested by the Authority would:</w:t>
      </w:r>
    </w:p>
    <w:p w14:paraId="28C4D6B5" w14:textId="77777777" w:rsidR="00BC7DDA" w:rsidRPr="00BD6C5F" w:rsidRDefault="009B03E9" w:rsidP="00771E5A">
      <w:pPr>
        <w:pStyle w:val="Numbered111a"/>
      </w:pPr>
      <w:r w:rsidRPr="00BD6C5F">
        <w:t>materially and adversely affect the risks to the health and safety of any person; and/or</w:t>
      </w:r>
    </w:p>
    <w:p w14:paraId="226DB2A6" w14:textId="77777777" w:rsidR="00BC7DDA" w:rsidRPr="00BD6C5F" w:rsidRDefault="009B03E9" w:rsidP="0012518B">
      <w:pPr>
        <w:pStyle w:val="Numbered111a"/>
        <w:rPr>
          <w:lang w:val="en-GB"/>
        </w:rPr>
      </w:pPr>
      <w:r w:rsidRPr="00BD6C5F">
        <w:rPr>
          <w:lang w:val="en-GB"/>
        </w:rPr>
        <w:t>require the Services to be performed in a way that infringes any Law; and/or</w:t>
      </w:r>
    </w:p>
    <w:p w14:paraId="656B5C6D" w14:textId="32694D6F" w:rsidR="00BC7DDA" w:rsidRPr="00BD6C5F" w:rsidRDefault="009B03E9" w:rsidP="0012518B">
      <w:pPr>
        <w:pStyle w:val="Numbered111"/>
      </w:pPr>
      <w:r w:rsidRPr="00BD6C5F">
        <w:t>the Supplier demonstrates to the Authority</w:t>
      </w:r>
      <w:r w:rsidR="00A4555C" w:rsidRPr="00BD6C5F">
        <w:t>’</w:t>
      </w:r>
      <w:r w:rsidRPr="00BD6C5F">
        <w:t>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62C59E6F" w14:textId="09B03DFE" w:rsidR="00BC7DDA" w:rsidRPr="00BD6C5F" w:rsidRDefault="009B03E9" w:rsidP="003F634A">
      <w:pPr>
        <w:pStyle w:val="BodyText"/>
        <w:spacing w:before="100" w:after="200"/>
        <w:ind w:left="720"/>
        <w:rPr>
          <w:rFonts w:asciiTheme="minorHAnsi" w:hAnsiTheme="minorHAnsi" w:cstheme="minorHAnsi"/>
        </w:rPr>
      </w:pPr>
      <w:r w:rsidRPr="00BD6C5F">
        <w:rPr>
          <w:rFonts w:asciiTheme="minorHAnsi" w:hAnsiTheme="minorHAnsi" w:cstheme="minorHAnsi"/>
        </w:rPr>
        <w:t xml:space="preserve">then the Supplier shall be entitled to reject the proposed Contract Change and shall notify the Authority of its reasons for doing so within 5 Working Days after the date on which it is obliged to deliver the Impact Assessment pursuant to Paragraph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_Ref98416153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4.3</w:t>
      </w:r>
      <w:r w:rsidR="007561EA" w:rsidRPr="00BD6C5F">
        <w:rPr>
          <w:rFonts w:asciiTheme="minorHAnsi" w:hAnsiTheme="minorHAnsi" w:cstheme="minorHAnsi"/>
        </w:rPr>
        <w:fldChar w:fldCharType="end"/>
      </w:r>
      <w:r w:rsidRPr="00BD6C5F">
        <w:rPr>
          <w:rFonts w:asciiTheme="minorHAnsi" w:hAnsiTheme="minorHAnsi" w:cstheme="minorHAnsi"/>
        </w:rPr>
        <w:t>.</w:t>
      </w:r>
    </w:p>
    <w:p w14:paraId="2A4DD371" w14:textId="72A23690" w:rsidR="00BC7DDA" w:rsidRPr="00BD6C5F" w:rsidRDefault="0012518B" w:rsidP="00C5057A">
      <w:pPr>
        <w:pStyle w:val="Numbered1"/>
      </w:pPr>
      <w:bookmarkStart w:id="1059" w:name="_bookmark367"/>
      <w:bookmarkStart w:id="1060" w:name="_Ref98416135"/>
      <w:bookmarkEnd w:id="1059"/>
      <w:r w:rsidRPr="00BD6C5F">
        <w:t>Fast-Track Changes</w:t>
      </w:r>
      <w:bookmarkEnd w:id="1060"/>
    </w:p>
    <w:p w14:paraId="06B54CE7" w14:textId="77777777" w:rsidR="00BC7DDA" w:rsidRPr="00BD6C5F" w:rsidRDefault="009B03E9" w:rsidP="00C5057A">
      <w:pPr>
        <w:pStyle w:val="Numbered11"/>
      </w:pPr>
      <w:r w:rsidRPr="00BD6C5F">
        <w:t>The Parties acknowledge that to ensure operational efficiency there may be circumstances where it is desirable to expedite the processes set out above.</w:t>
      </w:r>
    </w:p>
    <w:p w14:paraId="7453EBE4" w14:textId="77777777" w:rsidR="00BC7DDA" w:rsidRPr="00BD6C5F" w:rsidRDefault="009B03E9" w:rsidP="00C70900">
      <w:pPr>
        <w:pStyle w:val="Numbered11"/>
        <w:keepNext/>
      </w:pPr>
      <w:bookmarkStart w:id="1061" w:name="_bookmark368"/>
      <w:bookmarkStart w:id="1062" w:name="_Ref98416517"/>
      <w:bookmarkEnd w:id="1061"/>
      <w:r w:rsidRPr="00BD6C5F">
        <w:t>If:</w:t>
      </w:r>
      <w:bookmarkEnd w:id="1062"/>
    </w:p>
    <w:p w14:paraId="528D8FF3" w14:textId="77777777" w:rsidR="00BC7DDA" w:rsidRPr="00BD6C5F" w:rsidRDefault="009B03E9" w:rsidP="0012518B">
      <w:pPr>
        <w:pStyle w:val="Numbered111"/>
      </w:pPr>
      <w:r w:rsidRPr="00BD6C5F">
        <w:t xml:space="preserve">the total number of Contract Changes in relation to which this Fast- track Change procedure has been applied does not exceed 4 in any 12 month </w:t>
      </w:r>
      <w:r w:rsidRPr="00BD6C5F">
        <w:lastRenderedPageBreak/>
        <w:t>period; and</w:t>
      </w:r>
    </w:p>
    <w:p w14:paraId="1BD83C84" w14:textId="77777777" w:rsidR="00BC7DDA" w:rsidRPr="00BD6C5F" w:rsidRDefault="009B03E9" w:rsidP="0012518B">
      <w:pPr>
        <w:pStyle w:val="Numbered111"/>
      </w:pPr>
      <w:r w:rsidRPr="00BD6C5F">
        <w:t xml:space="preserve">both Parties agree the value of the proposed Contract Change over the remaining Term and any period for which Termination Services may be required does not exceed </w:t>
      </w:r>
      <w:r w:rsidRPr="00BD6C5F">
        <w:rPr>
          <w:shd w:val="clear" w:color="auto" w:fill="FFFF00"/>
        </w:rPr>
        <w:t>£</w:t>
      </w:r>
      <w:r w:rsidRPr="003C3280">
        <w:rPr>
          <w:shd w:val="clear" w:color="auto" w:fill="FFFF00"/>
        </w:rPr>
        <w:t>[</w:t>
      </w:r>
      <w:r w:rsidRPr="008B62D0">
        <w:rPr>
          <w:b/>
          <w:bCs/>
          <w:shd w:val="clear" w:color="auto" w:fill="FFFF00"/>
        </w:rPr>
        <w:t>insert</w:t>
      </w:r>
      <w:r w:rsidRPr="003C3280">
        <w:rPr>
          <w:shd w:val="clear" w:color="auto" w:fill="FFFF00"/>
        </w:rPr>
        <w:t xml:space="preserve"> figure]</w:t>
      </w:r>
      <w:r w:rsidRPr="003C3280">
        <w:t xml:space="preserve"> </w:t>
      </w:r>
      <w:r w:rsidRPr="00BD6C5F">
        <w:t>and the proposed Contract Change is not significant (as determined by the Authority acting reasonably),</w:t>
      </w:r>
    </w:p>
    <w:p w14:paraId="51964242" w14:textId="2C70937E" w:rsidR="00BC7DDA" w:rsidRPr="00BD6C5F" w:rsidRDefault="009B03E9" w:rsidP="003F634A">
      <w:pPr>
        <w:pStyle w:val="BodyText"/>
        <w:spacing w:before="100" w:after="200"/>
        <w:ind w:left="720"/>
        <w:rPr>
          <w:rFonts w:asciiTheme="minorHAnsi" w:hAnsiTheme="minorHAnsi" w:cstheme="minorHAnsi"/>
        </w:rPr>
      </w:pPr>
      <w:r w:rsidRPr="00BD6C5F">
        <w:rPr>
          <w:rFonts w:asciiTheme="minorHAnsi" w:hAnsiTheme="minorHAnsi" w:cstheme="minorHAnsi"/>
        </w:rPr>
        <w:t>then the Parties shall confirm to each other in writing that they shall use the process set out in Paragraphs</w:t>
      </w:r>
      <w:r w:rsidR="00EF4F7A" w:rsidRPr="00BD6C5F">
        <w:rPr>
          <w:rFonts w:asciiTheme="minorHAnsi" w:hAnsiTheme="minorHAnsi" w:cstheme="minorHAnsi"/>
        </w:rPr>
        <w:t>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_Ref98416187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4</w:t>
      </w:r>
      <w:r w:rsidR="007561EA" w:rsidRPr="00BD6C5F">
        <w:rPr>
          <w:rFonts w:asciiTheme="minorHAnsi" w:hAnsiTheme="minorHAnsi" w:cstheme="minorHAnsi"/>
        </w:rPr>
        <w:fldChar w:fldCharType="end"/>
      </w:r>
      <w:r w:rsidRPr="00BD6C5F">
        <w:rPr>
          <w:rFonts w:asciiTheme="minorHAnsi" w:hAnsiTheme="minorHAnsi" w:cstheme="minorHAnsi"/>
        </w:rPr>
        <w:t xml:space="preserve">,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_Ref98416145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5</w:t>
      </w:r>
      <w:r w:rsidR="007561EA" w:rsidRPr="00BD6C5F">
        <w:rPr>
          <w:rFonts w:asciiTheme="minorHAnsi" w:hAnsiTheme="minorHAnsi" w:cstheme="minorHAnsi"/>
        </w:rPr>
        <w:fldChar w:fldCharType="end"/>
      </w:r>
      <w:r w:rsidRPr="00BD6C5F">
        <w:rPr>
          <w:rFonts w:asciiTheme="minorHAnsi" w:hAnsiTheme="minorHAnsi" w:cstheme="minorHAnsi"/>
        </w:rPr>
        <w:t xml:space="preserve">,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_Ref98416227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6</w:t>
      </w:r>
      <w:r w:rsidR="007561EA" w:rsidRPr="00BD6C5F">
        <w:rPr>
          <w:rFonts w:asciiTheme="minorHAnsi" w:hAnsiTheme="minorHAnsi" w:cstheme="minorHAnsi"/>
        </w:rPr>
        <w:fldChar w:fldCharType="end"/>
      </w:r>
      <w:r w:rsidRPr="00BD6C5F">
        <w:rPr>
          <w:rFonts w:asciiTheme="minorHAnsi" w:hAnsiTheme="minorHAnsi" w:cstheme="minorHAnsi"/>
        </w:rPr>
        <w:t xml:space="preserve"> and </w:t>
      </w:r>
      <w:r w:rsidR="007561EA" w:rsidRPr="00BD6C5F">
        <w:rPr>
          <w:rFonts w:asciiTheme="minorHAnsi" w:hAnsiTheme="minorHAnsi" w:cstheme="minorHAnsi"/>
        </w:rPr>
        <w:fldChar w:fldCharType="begin"/>
      </w:r>
      <w:r w:rsidR="007561EA" w:rsidRPr="00BD6C5F">
        <w:rPr>
          <w:rFonts w:asciiTheme="minorHAnsi" w:hAnsiTheme="minorHAnsi" w:cstheme="minorHAnsi"/>
        </w:rPr>
        <w:instrText xml:space="preserve"> REF _Ref98416249 \n \h </w:instrText>
      </w:r>
      <w:r w:rsidR="00AD7DD0" w:rsidRPr="00BD6C5F">
        <w:rPr>
          <w:rFonts w:asciiTheme="minorHAnsi" w:hAnsiTheme="minorHAnsi" w:cstheme="minorHAnsi"/>
        </w:rPr>
        <w:instrText xml:space="preserve"> \* MERGEFORMAT </w:instrText>
      </w:r>
      <w:r w:rsidR="007561EA" w:rsidRPr="00BD6C5F">
        <w:rPr>
          <w:rFonts w:asciiTheme="minorHAnsi" w:hAnsiTheme="minorHAnsi" w:cstheme="minorHAnsi"/>
        </w:rPr>
      </w:r>
      <w:r w:rsidR="007561EA" w:rsidRPr="00BD6C5F">
        <w:rPr>
          <w:rFonts w:asciiTheme="minorHAnsi" w:hAnsiTheme="minorHAnsi" w:cstheme="minorHAnsi"/>
        </w:rPr>
        <w:fldChar w:fldCharType="separate"/>
      </w:r>
      <w:r w:rsidR="009749A0">
        <w:rPr>
          <w:rFonts w:asciiTheme="minorHAnsi" w:hAnsiTheme="minorHAnsi" w:cstheme="minorHAnsi"/>
        </w:rPr>
        <w:t>7</w:t>
      </w:r>
      <w:r w:rsidR="007561EA" w:rsidRPr="00BD6C5F">
        <w:rPr>
          <w:rFonts w:asciiTheme="minorHAnsi" w:hAnsiTheme="minorHAnsi" w:cstheme="minorHAnsi"/>
        </w:rPr>
        <w:fldChar w:fldCharType="end"/>
      </w:r>
      <w:r w:rsidRPr="00BD6C5F">
        <w:rPr>
          <w:rFonts w:asciiTheme="minorHAnsi" w:hAnsiTheme="minorHAnsi" w:cstheme="minorHAnsi"/>
        </w:rPr>
        <w:t xml:space="preserve"> but with reduced timescales, such that any period of 15 Working Days is reduced to 5 Working Days, any period of 10 Working Days is reduced to 2 Working Days and any period of 5 Working Days is reduced to 1 Working Day.</w:t>
      </w:r>
    </w:p>
    <w:p w14:paraId="0FA64DCA" w14:textId="55865EAD" w:rsidR="00BC7DDA" w:rsidRPr="00BD6C5F" w:rsidRDefault="009B03E9" w:rsidP="00C5057A">
      <w:pPr>
        <w:pStyle w:val="Numbered11"/>
      </w:pPr>
      <w:r w:rsidRPr="00BD6C5F">
        <w:t>The Parties may agree in writing to revise the parameters set out in Paragraph</w:t>
      </w:r>
      <w:r w:rsidR="00EF4F7A" w:rsidRPr="00BD6C5F">
        <w:t> </w:t>
      </w:r>
      <w:r w:rsidR="007561EA" w:rsidRPr="00BD6C5F">
        <w:fldChar w:fldCharType="begin"/>
      </w:r>
      <w:r w:rsidR="007561EA" w:rsidRPr="00BD6C5F">
        <w:instrText xml:space="preserve"> REF _Ref98416517 \n \h </w:instrText>
      </w:r>
      <w:r w:rsidR="00E16B17" w:rsidRPr="00BD6C5F">
        <w:instrText xml:space="preserve"> \* MERGEFORMAT </w:instrText>
      </w:r>
      <w:r w:rsidR="007561EA" w:rsidRPr="00BD6C5F">
        <w:fldChar w:fldCharType="separate"/>
      </w:r>
      <w:r w:rsidR="009749A0">
        <w:t>8.2</w:t>
      </w:r>
      <w:r w:rsidR="007561EA" w:rsidRPr="00BD6C5F">
        <w:fldChar w:fldCharType="end"/>
      </w:r>
      <w:r w:rsidRPr="00BD6C5F">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7A02F2C1" w14:textId="1E9D868B" w:rsidR="00BC7DDA" w:rsidRPr="00BD6C5F" w:rsidRDefault="0012518B" w:rsidP="00C5057A">
      <w:pPr>
        <w:pStyle w:val="Numbered1"/>
      </w:pPr>
      <w:bookmarkStart w:id="1063" w:name="_bookmark369"/>
      <w:bookmarkStart w:id="1064" w:name="_Ref98416176"/>
      <w:bookmarkEnd w:id="1063"/>
      <w:r w:rsidRPr="00BD6C5F">
        <w:t>Operational Change Procedure</w:t>
      </w:r>
      <w:bookmarkEnd w:id="1064"/>
    </w:p>
    <w:p w14:paraId="5E27D50A" w14:textId="77777777" w:rsidR="00BC7DDA" w:rsidRPr="00BD6C5F" w:rsidRDefault="009B03E9" w:rsidP="00C70900">
      <w:pPr>
        <w:pStyle w:val="Numbered11"/>
        <w:keepNext/>
      </w:pPr>
      <w:r w:rsidRPr="00BD6C5F">
        <w:t>Any Operational Changes identified by the Supplier to improve operational efficiency of the Services may be implemented by the Supplier without following the Change Control Procedure for proposed Contract Changes provided they do not:</w:t>
      </w:r>
    </w:p>
    <w:p w14:paraId="3924D572" w14:textId="77777777" w:rsidR="00BC7DDA" w:rsidRPr="00BD6C5F" w:rsidRDefault="009B03E9" w:rsidP="0012518B">
      <w:pPr>
        <w:pStyle w:val="Numbered111"/>
      </w:pPr>
      <w:r w:rsidRPr="00BD6C5F">
        <w:t>have an impact on the business of the Authority;</w:t>
      </w:r>
    </w:p>
    <w:p w14:paraId="551D5712" w14:textId="252645FC" w:rsidR="00BC7DDA" w:rsidRPr="00BD6C5F" w:rsidRDefault="009B03E9" w:rsidP="0012518B">
      <w:pPr>
        <w:pStyle w:val="Numbered111"/>
      </w:pPr>
      <w:r w:rsidRPr="00BD6C5F">
        <w:t xml:space="preserve">require a </w:t>
      </w:r>
      <w:r w:rsidR="00E16B17" w:rsidRPr="00BD6C5F">
        <w:t>C</w:t>
      </w:r>
      <w:r w:rsidRPr="00BD6C5F">
        <w:t xml:space="preserve">hange to this </w:t>
      </w:r>
      <w:r w:rsidR="00693D11" w:rsidRPr="00BD6C5F">
        <w:t>Contract</w:t>
      </w:r>
      <w:r w:rsidRPr="00BD6C5F">
        <w:t>;</w:t>
      </w:r>
    </w:p>
    <w:p w14:paraId="61A23384" w14:textId="77777777" w:rsidR="00BC7DDA" w:rsidRPr="00BD6C5F" w:rsidRDefault="009B03E9" w:rsidP="0012518B">
      <w:pPr>
        <w:pStyle w:val="Numbered111"/>
      </w:pPr>
      <w:r w:rsidRPr="00BD6C5F">
        <w:t>have a direct impact on use of the Services; or</w:t>
      </w:r>
    </w:p>
    <w:p w14:paraId="269F30F6" w14:textId="77777777" w:rsidR="00BC7DDA" w:rsidRPr="00BD6C5F" w:rsidRDefault="009B03E9" w:rsidP="0012518B">
      <w:pPr>
        <w:pStyle w:val="Numbered111"/>
      </w:pPr>
      <w:r w:rsidRPr="00BD6C5F">
        <w:t>involve the Authority in paying any additional Charges or other costs.</w:t>
      </w:r>
    </w:p>
    <w:p w14:paraId="44261752" w14:textId="2203BBD2" w:rsidR="00BC7DDA" w:rsidRPr="00BD6C5F" w:rsidRDefault="009B03E9" w:rsidP="00C5057A">
      <w:pPr>
        <w:pStyle w:val="Numbered11"/>
      </w:pPr>
      <w:r w:rsidRPr="00BD6C5F">
        <w:t>The Authority may request an Operational Change by submitting a written request for Operational Change (</w:t>
      </w:r>
      <w:r w:rsidR="00A4555C" w:rsidRPr="00BD6C5F">
        <w:t>“</w:t>
      </w:r>
      <w:r w:rsidRPr="00BD6C5F">
        <w:rPr>
          <w:b/>
        </w:rPr>
        <w:t>RFOC</w:t>
      </w:r>
      <w:r w:rsidR="00A4555C" w:rsidRPr="00BD6C5F">
        <w:t>”</w:t>
      </w:r>
      <w:r w:rsidRPr="00BD6C5F">
        <w:t>) to the Supplier Representative.</w:t>
      </w:r>
    </w:p>
    <w:p w14:paraId="04598959" w14:textId="77777777" w:rsidR="00BC7DDA" w:rsidRPr="00BD6C5F" w:rsidRDefault="009B03E9" w:rsidP="00C70900">
      <w:pPr>
        <w:pStyle w:val="Numbered11"/>
        <w:keepNext/>
      </w:pPr>
      <w:r w:rsidRPr="00BD6C5F">
        <w:t>The RFOC shall include the following details:</w:t>
      </w:r>
    </w:p>
    <w:p w14:paraId="79F6C5AA" w14:textId="77777777" w:rsidR="00BC7DDA" w:rsidRPr="00BD6C5F" w:rsidRDefault="009B03E9" w:rsidP="0012518B">
      <w:pPr>
        <w:pStyle w:val="Numbered111"/>
      </w:pPr>
      <w:r w:rsidRPr="00BD6C5F">
        <w:t>the proposed Operational Change; and</w:t>
      </w:r>
    </w:p>
    <w:p w14:paraId="0B09FCA7" w14:textId="77777777" w:rsidR="00BC7DDA" w:rsidRPr="00BD6C5F" w:rsidRDefault="009B03E9" w:rsidP="0012518B">
      <w:pPr>
        <w:pStyle w:val="Numbered111"/>
      </w:pPr>
      <w:r w:rsidRPr="00BD6C5F">
        <w:t>the time-scale for completion of the Operational Change.</w:t>
      </w:r>
    </w:p>
    <w:p w14:paraId="1FCFC4E8" w14:textId="22CE778F" w:rsidR="00BC7DDA" w:rsidRPr="00BD6C5F" w:rsidRDefault="009B03E9" w:rsidP="00C5057A">
      <w:pPr>
        <w:pStyle w:val="Numbered11"/>
      </w:pPr>
      <w:r w:rsidRPr="00BD6C5F">
        <w:t>The Supplier shall inform the Authority of any impact on the Services that may arise from the proposed Operational Change.</w:t>
      </w:r>
    </w:p>
    <w:p w14:paraId="00C1CBAE" w14:textId="77777777" w:rsidR="00BC7DDA" w:rsidRPr="00BD6C5F" w:rsidRDefault="009B03E9" w:rsidP="00C5057A">
      <w:pPr>
        <w:pStyle w:val="Numbered11"/>
      </w:pPr>
      <w:r w:rsidRPr="00BD6C5F">
        <w:t>The Supplier shall complete the Operational Change by the timescale specified for completion of the Operational Change in the RFOC, and shall promptly notify the Authority when the Operational Change is completed.</w:t>
      </w:r>
    </w:p>
    <w:p w14:paraId="25AF8C0F" w14:textId="69EA0C3D" w:rsidR="00BC7DDA" w:rsidRPr="00BD6C5F" w:rsidRDefault="0012518B" w:rsidP="00C5057A">
      <w:pPr>
        <w:pStyle w:val="Numbered1"/>
      </w:pPr>
      <w:r w:rsidRPr="00BD6C5F">
        <w:t>Communications</w:t>
      </w:r>
    </w:p>
    <w:p w14:paraId="5A9CD79E" w14:textId="62D8EB07" w:rsidR="00BC7DDA" w:rsidRPr="00BD6C5F" w:rsidRDefault="009B03E9" w:rsidP="00C5057A">
      <w:pPr>
        <w:pStyle w:val="Numbered11"/>
      </w:pPr>
      <w:r w:rsidRPr="00BD6C5F">
        <w:t xml:space="preserve">For any Change Communication to be valid under this Schedule, it must be sent to either the Authority Change Manager or the Supplier Change Manager, as applicable. The provisions of </w:t>
      </w:r>
      <w:r w:rsidR="005E736B" w:rsidRPr="00BD6C5F">
        <w:t>Clause </w:t>
      </w:r>
      <w:r w:rsidRPr="00BD6C5F">
        <w:t>4</w:t>
      </w:r>
      <w:r w:rsidR="009B40F6" w:rsidRPr="00BD6C5F">
        <w:t>2</w:t>
      </w:r>
      <w:r w:rsidRPr="00BD6C5F">
        <w:t xml:space="preserve"> (</w:t>
      </w:r>
      <w:r w:rsidRPr="00BD6C5F">
        <w:rPr>
          <w:i/>
        </w:rPr>
        <w:t>Notices</w:t>
      </w:r>
      <w:r w:rsidRPr="00BD6C5F">
        <w:t>) shall apply to a Change Communication as if it were a notice.</w:t>
      </w:r>
    </w:p>
    <w:p w14:paraId="2524384E" w14:textId="77777777" w:rsidR="006D19D8" w:rsidRPr="00BD6C5F" w:rsidRDefault="006D19D8" w:rsidP="006D19D8"/>
    <w:p w14:paraId="7BC138CF" w14:textId="6591CAF6" w:rsidR="007F3BCB" w:rsidRPr="00BD6C5F" w:rsidRDefault="007F3BCB" w:rsidP="006D19D8">
      <w:r w:rsidRPr="00BD6C5F">
        <w:lastRenderedPageBreak/>
        <w:br w:type="page"/>
      </w:r>
    </w:p>
    <w:p w14:paraId="3D2C3562" w14:textId="59FEA760" w:rsidR="00BC7DDA" w:rsidRPr="00BD6C5F" w:rsidRDefault="0012518B" w:rsidP="00145C8B">
      <w:pPr>
        <w:pStyle w:val="Heading2"/>
      </w:pPr>
      <w:bookmarkStart w:id="1065" w:name="_bookmark370"/>
      <w:bookmarkStart w:id="1066" w:name="_Toc98332764"/>
      <w:bookmarkStart w:id="1067" w:name="_Ref98333222"/>
      <w:bookmarkStart w:id="1068" w:name="_Ref98343380"/>
      <w:bookmarkStart w:id="1069" w:name="_Ref98343433"/>
      <w:bookmarkStart w:id="1070" w:name="_Toc141721033"/>
      <w:bookmarkEnd w:id="1065"/>
      <w:r w:rsidRPr="00BD6C5F">
        <w:lastRenderedPageBreak/>
        <w:t xml:space="preserve">Annex </w:t>
      </w:r>
      <w:bookmarkStart w:id="1071" w:name="Schedule_22_Annex_1"/>
      <w:r w:rsidRPr="00BD6C5F">
        <w:t>1</w:t>
      </w:r>
      <w:bookmarkEnd w:id="1071"/>
      <w:r w:rsidRPr="00BD6C5F">
        <w:t>: Change Request Form</w:t>
      </w:r>
      <w:bookmarkEnd w:id="1066"/>
      <w:bookmarkEnd w:id="1067"/>
      <w:bookmarkEnd w:id="1068"/>
      <w:bookmarkEnd w:id="1069"/>
      <w:bookmarkEnd w:id="1070"/>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550"/>
        <w:gridCol w:w="850"/>
        <w:gridCol w:w="906"/>
        <w:gridCol w:w="1436"/>
        <w:gridCol w:w="478"/>
        <w:gridCol w:w="3986"/>
      </w:tblGrid>
      <w:tr w:rsidR="00BC7DDA" w:rsidRPr="00BD6C5F" w14:paraId="4400BB2F" w14:textId="77777777" w:rsidTr="00145C8B">
        <w:trPr>
          <w:cantSplit/>
        </w:trPr>
        <w:tc>
          <w:tcPr>
            <w:tcW w:w="2550" w:type="dxa"/>
          </w:tcPr>
          <w:p w14:paraId="41BB122B" w14:textId="43843BE4" w:rsidR="00BC7DDA" w:rsidRPr="00BD6C5F" w:rsidRDefault="0012518B" w:rsidP="00145C8B">
            <w:pPr>
              <w:pStyle w:val="Tabletext"/>
            </w:pPr>
            <w:r w:rsidRPr="00BD6C5F">
              <w:t>CR No.:</w:t>
            </w:r>
          </w:p>
        </w:tc>
        <w:tc>
          <w:tcPr>
            <w:tcW w:w="3192" w:type="dxa"/>
            <w:gridSpan w:val="3"/>
          </w:tcPr>
          <w:p w14:paraId="40B4DE9A" w14:textId="12FD92C9" w:rsidR="00BC7DDA" w:rsidRPr="00BD6C5F" w:rsidRDefault="0012518B" w:rsidP="00145C8B">
            <w:pPr>
              <w:pStyle w:val="Tabletext"/>
            </w:pPr>
            <w:r w:rsidRPr="00BD6C5F">
              <w:t>Title:</w:t>
            </w:r>
          </w:p>
        </w:tc>
        <w:tc>
          <w:tcPr>
            <w:tcW w:w="4464" w:type="dxa"/>
            <w:gridSpan w:val="2"/>
          </w:tcPr>
          <w:p w14:paraId="75CC91C2" w14:textId="1FDD7A25" w:rsidR="00BC7DDA" w:rsidRPr="00BD6C5F" w:rsidRDefault="0012518B" w:rsidP="00145C8B">
            <w:pPr>
              <w:pStyle w:val="Tabletext"/>
            </w:pPr>
            <w:r w:rsidRPr="00BD6C5F">
              <w:t>Type of Change:</w:t>
            </w:r>
          </w:p>
        </w:tc>
      </w:tr>
      <w:tr w:rsidR="00BC7DDA" w:rsidRPr="00BD6C5F" w14:paraId="0CBE87E0" w14:textId="77777777" w:rsidTr="00145C8B">
        <w:trPr>
          <w:cantSplit/>
        </w:trPr>
        <w:tc>
          <w:tcPr>
            <w:tcW w:w="4306" w:type="dxa"/>
            <w:gridSpan w:val="3"/>
          </w:tcPr>
          <w:p w14:paraId="6B19CFB7" w14:textId="6E4E4E05" w:rsidR="00BC7DDA" w:rsidRPr="00BD6C5F" w:rsidRDefault="0012518B" w:rsidP="00145C8B">
            <w:pPr>
              <w:pStyle w:val="Tabletext"/>
            </w:pPr>
            <w:r w:rsidRPr="00BD6C5F">
              <w:t>Contract:</w:t>
            </w:r>
          </w:p>
        </w:tc>
        <w:tc>
          <w:tcPr>
            <w:tcW w:w="5900" w:type="dxa"/>
            <w:gridSpan w:val="3"/>
          </w:tcPr>
          <w:p w14:paraId="584290EC" w14:textId="370655FF" w:rsidR="00BC7DDA" w:rsidRPr="00BD6C5F" w:rsidRDefault="0012518B" w:rsidP="00145C8B">
            <w:pPr>
              <w:pStyle w:val="Tabletext"/>
            </w:pPr>
            <w:r w:rsidRPr="00BD6C5F">
              <w:t>Required by Date:</w:t>
            </w:r>
          </w:p>
        </w:tc>
      </w:tr>
      <w:tr w:rsidR="00BC7DDA" w:rsidRPr="00BD6C5F" w14:paraId="4ED0802F" w14:textId="77777777" w:rsidTr="00145C8B">
        <w:trPr>
          <w:cantSplit/>
        </w:trPr>
        <w:tc>
          <w:tcPr>
            <w:tcW w:w="3400" w:type="dxa"/>
            <w:gridSpan w:val="2"/>
          </w:tcPr>
          <w:p w14:paraId="046F6390" w14:textId="695EC605" w:rsidR="00BC7DDA" w:rsidRPr="00BD6C5F" w:rsidRDefault="0012518B" w:rsidP="00145C8B">
            <w:pPr>
              <w:pStyle w:val="Tabletext"/>
            </w:pPr>
            <w:r w:rsidRPr="00BD6C5F">
              <w:t>Action:</w:t>
            </w:r>
          </w:p>
        </w:tc>
        <w:tc>
          <w:tcPr>
            <w:tcW w:w="2820" w:type="dxa"/>
            <w:gridSpan w:val="3"/>
          </w:tcPr>
          <w:p w14:paraId="404B2DDB" w14:textId="6397705A" w:rsidR="00BC7DDA" w:rsidRPr="00BD6C5F" w:rsidRDefault="0012518B" w:rsidP="00145C8B">
            <w:pPr>
              <w:pStyle w:val="Tabletext"/>
            </w:pPr>
            <w:r w:rsidRPr="00BD6C5F">
              <w:t>Name:</w:t>
            </w:r>
          </w:p>
        </w:tc>
        <w:tc>
          <w:tcPr>
            <w:tcW w:w="3986" w:type="dxa"/>
          </w:tcPr>
          <w:p w14:paraId="1F2AFA49" w14:textId="7171495D" w:rsidR="00BC7DDA" w:rsidRPr="00BD6C5F" w:rsidRDefault="0012518B" w:rsidP="00145C8B">
            <w:pPr>
              <w:pStyle w:val="Tabletext"/>
            </w:pPr>
            <w:r w:rsidRPr="00BD6C5F">
              <w:t>Date:</w:t>
            </w:r>
          </w:p>
        </w:tc>
      </w:tr>
      <w:tr w:rsidR="00BC7DDA" w:rsidRPr="00BD6C5F" w14:paraId="3847B638" w14:textId="77777777" w:rsidTr="00145C8B">
        <w:trPr>
          <w:cantSplit/>
        </w:trPr>
        <w:tc>
          <w:tcPr>
            <w:tcW w:w="10206" w:type="dxa"/>
            <w:gridSpan w:val="6"/>
          </w:tcPr>
          <w:p w14:paraId="2FD277B9" w14:textId="1BFFC5AE" w:rsidR="00BC7DDA" w:rsidRPr="00BD6C5F" w:rsidRDefault="0012518B" w:rsidP="00145C8B">
            <w:pPr>
              <w:pStyle w:val="Tabletext"/>
              <w:rPr>
                <w:rFonts w:asciiTheme="minorHAnsi" w:hAnsiTheme="minorHAnsi" w:cstheme="minorHAnsi"/>
              </w:rPr>
            </w:pPr>
            <w:r w:rsidRPr="00BD6C5F">
              <w:rPr>
                <w:rFonts w:asciiTheme="minorHAnsi" w:hAnsiTheme="minorHAnsi" w:cstheme="minorHAnsi"/>
              </w:rPr>
              <w:t>Raised By:</w:t>
            </w:r>
          </w:p>
        </w:tc>
      </w:tr>
      <w:tr w:rsidR="00BC7DDA" w:rsidRPr="00BD6C5F" w14:paraId="04D0A712" w14:textId="77777777" w:rsidTr="00145C8B">
        <w:trPr>
          <w:cantSplit/>
        </w:trPr>
        <w:tc>
          <w:tcPr>
            <w:tcW w:w="10206" w:type="dxa"/>
            <w:gridSpan w:val="6"/>
          </w:tcPr>
          <w:p w14:paraId="32265D28" w14:textId="5C108F23" w:rsidR="00BC7DDA" w:rsidRPr="00BD6C5F" w:rsidRDefault="0012518B" w:rsidP="00145C8B">
            <w:pPr>
              <w:pStyle w:val="Tabletext"/>
              <w:rPr>
                <w:rFonts w:asciiTheme="minorHAnsi" w:hAnsiTheme="minorHAnsi" w:cstheme="minorHAnsi"/>
              </w:rPr>
            </w:pPr>
            <w:r w:rsidRPr="00BD6C5F">
              <w:rPr>
                <w:rFonts w:asciiTheme="minorHAnsi" w:hAnsiTheme="minorHAnsi" w:cstheme="minorHAnsi"/>
              </w:rPr>
              <w:t xml:space="preserve">Area(s) </w:t>
            </w:r>
            <w:r w:rsidRPr="00BD6C5F">
              <w:t>Impacted</w:t>
            </w:r>
            <w:r w:rsidRPr="00BD6C5F">
              <w:rPr>
                <w:rFonts w:asciiTheme="minorHAnsi" w:hAnsiTheme="minorHAnsi" w:cstheme="minorHAnsi"/>
              </w:rPr>
              <w:t xml:space="preserve"> (</w:t>
            </w:r>
            <w:r w:rsidRPr="00BD6C5F">
              <w:rPr>
                <w:rFonts w:asciiTheme="minorHAnsi" w:hAnsiTheme="minorHAnsi" w:cstheme="minorHAnsi"/>
                <w:i/>
              </w:rPr>
              <w:t>Optional Field</w:t>
            </w:r>
            <w:r w:rsidRPr="00BD6C5F">
              <w:rPr>
                <w:rFonts w:asciiTheme="minorHAnsi" w:hAnsiTheme="minorHAnsi" w:cstheme="minorHAnsi"/>
              </w:rPr>
              <w:t>):</w:t>
            </w:r>
          </w:p>
        </w:tc>
      </w:tr>
      <w:tr w:rsidR="00BC7DDA" w:rsidRPr="00BD6C5F" w14:paraId="228ED328" w14:textId="77777777" w:rsidTr="00145C8B">
        <w:trPr>
          <w:cantSplit/>
        </w:trPr>
        <w:tc>
          <w:tcPr>
            <w:tcW w:w="10206" w:type="dxa"/>
            <w:gridSpan w:val="6"/>
          </w:tcPr>
          <w:p w14:paraId="53A6015B" w14:textId="0FD2BABC" w:rsidR="00BC7DDA" w:rsidRPr="00BD6C5F" w:rsidRDefault="0012518B" w:rsidP="00145C8B">
            <w:pPr>
              <w:pStyle w:val="Tabletext"/>
            </w:pPr>
            <w:r w:rsidRPr="00BD6C5F">
              <w:t>Assigned for Impact Assessment by:</w:t>
            </w:r>
          </w:p>
        </w:tc>
      </w:tr>
      <w:tr w:rsidR="00BC7DDA" w:rsidRPr="00BD6C5F" w14:paraId="3AB5364D" w14:textId="77777777" w:rsidTr="00145C8B">
        <w:trPr>
          <w:cantSplit/>
        </w:trPr>
        <w:tc>
          <w:tcPr>
            <w:tcW w:w="10206" w:type="dxa"/>
            <w:gridSpan w:val="6"/>
          </w:tcPr>
          <w:p w14:paraId="5C4769DD" w14:textId="5347A38B" w:rsidR="00BC7DDA" w:rsidRPr="00BD6C5F" w:rsidRDefault="0012518B" w:rsidP="00145C8B">
            <w:pPr>
              <w:pStyle w:val="Tabletext"/>
            </w:pPr>
            <w:r w:rsidRPr="00BD6C5F">
              <w:t>Assigned for Impact Assessment to:</w:t>
            </w:r>
          </w:p>
        </w:tc>
      </w:tr>
      <w:tr w:rsidR="00BC7DDA" w:rsidRPr="00BD6C5F" w14:paraId="3BD40643" w14:textId="77777777" w:rsidTr="00145C8B">
        <w:trPr>
          <w:cantSplit/>
        </w:trPr>
        <w:tc>
          <w:tcPr>
            <w:tcW w:w="10206" w:type="dxa"/>
            <w:gridSpan w:val="6"/>
          </w:tcPr>
          <w:p w14:paraId="54F0FAD8" w14:textId="6F3E48AD" w:rsidR="00BC7DDA" w:rsidRPr="00BD6C5F" w:rsidRDefault="0012518B" w:rsidP="00145C8B">
            <w:pPr>
              <w:pStyle w:val="Tabletext"/>
            </w:pPr>
            <w:r w:rsidRPr="00BD6C5F">
              <w:t>Supplier Reference No.:</w:t>
            </w:r>
          </w:p>
        </w:tc>
      </w:tr>
      <w:tr w:rsidR="00BC7DDA" w:rsidRPr="00BD6C5F" w14:paraId="5403A1CE" w14:textId="77777777" w:rsidTr="00145C8B">
        <w:trPr>
          <w:cantSplit/>
        </w:trPr>
        <w:tc>
          <w:tcPr>
            <w:tcW w:w="10206" w:type="dxa"/>
            <w:gridSpan w:val="6"/>
          </w:tcPr>
          <w:p w14:paraId="5001115B" w14:textId="6AACE426" w:rsidR="00BC7DDA" w:rsidRPr="00BD6C5F" w:rsidRDefault="0012518B" w:rsidP="00145C8B">
            <w:pPr>
              <w:pStyle w:val="Tabletext"/>
            </w:pPr>
            <w:r w:rsidRPr="00BD6C5F">
              <w:t>Full Description of Requested Contract Change (Including Proposed Changes to the Wording of the Contract):</w:t>
            </w:r>
          </w:p>
        </w:tc>
      </w:tr>
      <w:tr w:rsidR="00BC7DDA" w:rsidRPr="00BD6C5F" w14:paraId="3C091445" w14:textId="77777777" w:rsidTr="00145C8B">
        <w:trPr>
          <w:cantSplit/>
        </w:trPr>
        <w:tc>
          <w:tcPr>
            <w:tcW w:w="10206" w:type="dxa"/>
            <w:gridSpan w:val="6"/>
          </w:tcPr>
          <w:p w14:paraId="2A633C32" w14:textId="47E63BD5" w:rsidR="00BC7DDA" w:rsidRPr="00BD6C5F" w:rsidRDefault="0012518B" w:rsidP="00145C8B">
            <w:pPr>
              <w:pStyle w:val="Tabletext"/>
            </w:pPr>
            <w:r w:rsidRPr="00BD6C5F">
              <w:t>Details of any Proposed Alternative Scenarios:</w:t>
            </w:r>
          </w:p>
        </w:tc>
      </w:tr>
      <w:tr w:rsidR="00BC7DDA" w:rsidRPr="00BD6C5F" w14:paraId="2492B19F" w14:textId="77777777" w:rsidTr="00145C8B">
        <w:trPr>
          <w:cantSplit/>
        </w:trPr>
        <w:tc>
          <w:tcPr>
            <w:tcW w:w="10206" w:type="dxa"/>
            <w:gridSpan w:val="6"/>
          </w:tcPr>
          <w:p w14:paraId="435B6732" w14:textId="64038491" w:rsidR="00BC7DDA" w:rsidRPr="00BD6C5F" w:rsidRDefault="0012518B" w:rsidP="00145C8B">
            <w:pPr>
              <w:pStyle w:val="Tabletext"/>
            </w:pPr>
            <w:r w:rsidRPr="00BD6C5F">
              <w:t>Reasons for and Benefits and Disadvantages of Requested Contract Change:</w:t>
            </w:r>
          </w:p>
        </w:tc>
      </w:tr>
      <w:tr w:rsidR="00BC7DDA" w:rsidRPr="00BD6C5F" w14:paraId="79F66F06" w14:textId="77777777" w:rsidTr="00145C8B">
        <w:trPr>
          <w:cantSplit/>
        </w:trPr>
        <w:tc>
          <w:tcPr>
            <w:tcW w:w="10206" w:type="dxa"/>
            <w:gridSpan w:val="6"/>
          </w:tcPr>
          <w:p w14:paraId="2AB4ED0A" w14:textId="7C456AA9" w:rsidR="00BC7DDA" w:rsidRPr="00BD6C5F" w:rsidRDefault="0012518B" w:rsidP="00145C8B">
            <w:pPr>
              <w:pStyle w:val="Tabletext"/>
            </w:pPr>
            <w:r w:rsidRPr="00BD6C5F">
              <w:t>Signature of Requesting Change Owner:</w:t>
            </w:r>
          </w:p>
        </w:tc>
      </w:tr>
      <w:tr w:rsidR="00BC7DDA" w:rsidRPr="00BD6C5F" w14:paraId="7F77BBE7" w14:textId="77777777" w:rsidTr="00145C8B">
        <w:trPr>
          <w:cantSplit/>
        </w:trPr>
        <w:tc>
          <w:tcPr>
            <w:tcW w:w="10206" w:type="dxa"/>
            <w:gridSpan w:val="6"/>
          </w:tcPr>
          <w:p w14:paraId="7E0E2393" w14:textId="11FB8B1F" w:rsidR="00BC7DDA" w:rsidRPr="00BD6C5F" w:rsidRDefault="0012518B" w:rsidP="00145C8B">
            <w:pPr>
              <w:pStyle w:val="Tabletext"/>
            </w:pPr>
            <w:r w:rsidRPr="00BD6C5F">
              <w:t>Date of Request:</w:t>
            </w:r>
          </w:p>
        </w:tc>
      </w:tr>
    </w:tbl>
    <w:p w14:paraId="1C552533" w14:textId="77777777" w:rsidR="007F3BCB" w:rsidRPr="00BD6C5F" w:rsidRDefault="007F3BCB" w:rsidP="00145C8B"/>
    <w:p w14:paraId="2D9A924D" w14:textId="77777777" w:rsidR="007F3BCB" w:rsidRPr="00BD6C5F" w:rsidRDefault="007F3BCB">
      <w:r w:rsidRPr="00BD6C5F">
        <w:br w:type="page"/>
      </w:r>
    </w:p>
    <w:p w14:paraId="0D529F75" w14:textId="544F62F8" w:rsidR="00BC7DDA" w:rsidRPr="00BD6C5F" w:rsidRDefault="0012518B" w:rsidP="00145C8B">
      <w:pPr>
        <w:pStyle w:val="Heading2"/>
      </w:pPr>
      <w:bookmarkStart w:id="1072" w:name="_bookmark372"/>
      <w:bookmarkStart w:id="1073" w:name="_bookmark371"/>
      <w:bookmarkStart w:id="1074" w:name="_Toc98332765"/>
      <w:bookmarkStart w:id="1075" w:name="_Ref98333202"/>
      <w:bookmarkStart w:id="1076" w:name="_Toc141721034"/>
      <w:bookmarkEnd w:id="1072"/>
      <w:bookmarkEnd w:id="1073"/>
      <w:r w:rsidRPr="00BD6C5F">
        <w:lastRenderedPageBreak/>
        <w:t xml:space="preserve">Annex </w:t>
      </w:r>
      <w:bookmarkStart w:id="1077" w:name="Schedule_22_Annex_2"/>
      <w:r w:rsidRPr="00BD6C5F">
        <w:t>2</w:t>
      </w:r>
      <w:bookmarkEnd w:id="1077"/>
      <w:r w:rsidRPr="00BD6C5F">
        <w:t xml:space="preserve">: </w:t>
      </w:r>
      <w:bookmarkStart w:id="1078" w:name="_Toc98852941"/>
      <w:r w:rsidRPr="00BD6C5F">
        <w:t>Change Authorisation Note</w:t>
      </w:r>
      <w:bookmarkEnd w:id="1074"/>
      <w:bookmarkEnd w:id="1075"/>
      <w:bookmarkEnd w:id="1078"/>
      <w:bookmarkEnd w:id="1076"/>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1E0" w:firstRow="1" w:lastRow="1" w:firstColumn="1" w:lastColumn="1" w:noHBand="0" w:noVBand="0"/>
      </w:tblPr>
      <w:tblGrid>
        <w:gridCol w:w="1947"/>
        <w:gridCol w:w="923"/>
        <w:gridCol w:w="1947"/>
        <w:gridCol w:w="1719"/>
        <w:gridCol w:w="1151"/>
        <w:gridCol w:w="2519"/>
      </w:tblGrid>
      <w:tr w:rsidR="001451BE" w:rsidRPr="00BD6C5F" w14:paraId="185B56F4" w14:textId="77777777" w:rsidTr="00145C8B">
        <w:tc>
          <w:tcPr>
            <w:tcW w:w="954" w:type="pct"/>
          </w:tcPr>
          <w:p w14:paraId="0A9BB90E" w14:textId="7FBB4998" w:rsidR="001451BE" w:rsidRPr="00BD6C5F" w:rsidRDefault="0012518B" w:rsidP="00145C8B">
            <w:pPr>
              <w:pStyle w:val="Tabletext"/>
            </w:pPr>
            <w:r w:rsidRPr="00BD6C5F">
              <w:t>CR No.:</w:t>
            </w:r>
          </w:p>
        </w:tc>
        <w:tc>
          <w:tcPr>
            <w:tcW w:w="1406" w:type="pct"/>
            <w:gridSpan w:val="2"/>
          </w:tcPr>
          <w:p w14:paraId="3B2FB8A0" w14:textId="77777777" w:rsidR="001451BE" w:rsidRPr="00BD6C5F" w:rsidRDefault="001451BE" w:rsidP="00145C8B">
            <w:pPr>
              <w:pStyle w:val="Tabletext"/>
            </w:pPr>
          </w:p>
        </w:tc>
        <w:tc>
          <w:tcPr>
            <w:tcW w:w="1406" w:type="pct"/>
            <w:gridSpan w:val="2"/>
          </w:tcPr>
          <w:p w14:paraId="1316FD72" w14:textId="4C0B2130" w:rsidR="001451BE" w:rsidRPr="00BD6C5F" w:rsidRDefault="0012518B" w:rsidP="00145C8B">
            <w:pPr>
              <w:pStyle w:val="Tabletext"/>
            </w:pPr>
            <w:r w:rsidRPr="00BD6C5F">
              <w:t>Title:</w:t>
            </w:r>
          </w:p>
        </w:tc>
        <w:tc>
          <w:tcPr>
            <w:tcW w:w="1234" w:type="pct"/>
          </w:tcPr>
          <w:p w14:paraId="7405AA18" w14:textId="75DF002D" w:rsidR="001451BE" w:rsidRPr="00BD6C5F" w:rsidRDefault="0012518B" w:rsidP="00145C8B">
            <w:pPr>
              <w:pStyle w:val="Tabletext"/>
            </w:pPr>
            <w:r w:rsidRPr="00BD6C5F">
              <w:t>Date Raised:</w:t>
            </w:r>
          </w:p>
        </w:tc>
      </w:tr>
      <w:tr w:rsidR="001451BE" w:rsidRPr="00BD6C5F" w14:paraId="5F4A9E36" w14:textId="77777777" w:rsidTr="00145C8B">
        <w:tc>
          <w:tcPr>
            <w:tcW w:w="954" w:type="pct"/>
          </w:tcPr>
          <w:p w14:paraId="0323886A" w14:textId="100048BB" w:rsidR="001451BE" w:rsidRPr="00BD6C5F" w:rsidRDefault="0012518B" w:rsidP="00145C8B">
            <w:pPr>
              <w:pStyle w:val="Tabletext"/>
            </w:pPr>
            <w:r w:rsidRPr="00BD6C5F">
              <w:t>Contract:</w:t>
            </w:r>
          </w:p>
        </w:tc>
        <w:tc>
          <w:tcPr>
            <w:tcW w:w="1406" w:type="pct"/>
            <w:gridSpan w:val="2"/>
          </w:tcPr>
          <w:p w14:paraId="0C1348F5" w14:textId="77777777" w:rsidR="001451BE" w:rsidRPr="00BD6C5F" w:rsidRDefault="001451BE" w:rsidP="00145C8B">
            <w:pPr>
              <w:pStyle w:val="Tabletext"/>
            </w:pPr>
          </w:p>
        </w:tc>
        <w:tc>
          <w:tcPr>
            <w:tcW w:w="1406" w:type="pct"/>
            <w:gridSpan w:val="2"/>
          </w:tcPr>
          <w:p w14:paraId="0534FFB6" w14:textId="4C7DBE38" w:rsidR="001451BE" w:rsidRPr="00BD6C5F" w:rsidRDefault="0012518B" w:rsidP="00145C8B">
            <w:pPr>
              <w:pStyle w:val="Tabletext"/>
            </w:pPr>
            <w:r w:rsidRPr="00BD6C5F">
              <w:t>Type of Change:</w:t>
            </w:r>
          </w:p>
        </w:tc>
        <w:tc>
          <w:tcPr>
            <w:tcW w:w="1234" w:type="pct"/>
          </w:tcPr>
          <w:p w14:paraId="5D429B3F" w14:textId="40D41BAB" w:rsidR="001451BE" w:rsidRPr="00BD6C5F" w:rsidRDefault="0012518B" w:rsidP="00145C8B">
            <w:pPr>
              <w:pStyle w:val="Tabletext"/>
            </w:pPr>
            <w:r w:rsidRPr="00BD6C5F">
              <w:t>Required by Date:</w:t>
            </w:r>
          </w:p>
        </w:tc>
      </w:tr>
      <w:tr w:rsidR="001451BE" w:rsidRPr="00BD6C5F" w14:paraId="5962822A" w14:textId="77777777" w:rsidTr="00145C8B">
        <w:tc>
          <w:tcPr>
            <w:tcW w:w="1406" w:type="pct"/>
            <w:gridSpan w:val="2"/>
          </w:tcPr>
          <w:p w14:paraId="3802410E" w14:textId="77777777" w:rsidR="001451BE" w:rsidRPr="00BD6C5F" w:rsidRDefault="001451BE" w:rsidP="00145C8B">
            <w:pPr>
              <w:pStyle w:val="Tabletext"/>
              <w:rPr>
                <w:shd w:val="clear" w:color="auto" w:fill="FFFF00"/>
              </w:rPr>
            </w:pPr>
          </w:p>
        </w:tc>
        <w:tc>
          <w:tcPr>
            <w:tcW w:w="3594" w:type="pct"/>
            <w:gridSpan w:val="4"/>
          </w:tcPr>
          <w:p w14:paraId="4CA46278" w14:textId="2E673245" w:rsidR="001451BE" w:rsidRPr="00BD6C5F" w:rsidRDefault="0012518B" w:rsidP="00145C8B">
            <w:pPr>
              <w:pStyle w:val="Tabletext"/>
              <w:rPr>
                <w:rFonts w:asciiTheme="minorHAnsi" w:hAnsiTheme="minorHAnsi" w:cstheme="minorHAnsi"/>
              </w:rPr>
            </w:pPr>
            <w:r w:rsidRPr="00BD6C5F">
              <w:rPr>
                <w:rFonts w:asciiTheme="minorHAnsi" w:hAnsiTheme="minorHAnsi" w:cstheme="minorHAnsi"/>
                <w:shd w:val="clear" w:color="auto" w:fill="FFFF00"/>
              </w:rPr>
              <w:t xml:space="preserve">[Key Milestone Date: </w:t>
            </w:r>
            <w:r w:rsidRPr="003C3280">
              <w:rPr>
                <w:rFonts w:asciiTheme="minorHAnsi" w:hAnsiTheme="minorHAnsi" w:cstheme="minorHAnsi"/>
                <w:shd w:val="clear" w:color="auto" w:fill="FFFF00"/>
              </w:rPr>
              <w:t>[if any] ]</w:t>
            </w:r>
          </w:p>
        </w:tc>
      </w:tr>
      <w:tr w:rsidR="001451BE" w:rsidRPr="00BD6C5F" w14:paraId="2FF766B1" w14:textId="77777777" w:rsidTr="00145C8B">
        <w:tc>
          <w:tcPr>
            <w:tcW w:w="1406" w:type="pct"/>
            <w:gridSpan w:val="2"/>
          </w:tcPr>
          <w:p w14:paraId="753540F5" w14:textId="77777777" w:rsidR="001451BE" w:rsidRPr="00BD6C5F" w:rsidRDefault="001451BE" w:rsidP="00145C8B">
            <w:pPr>
              <w:pStyle w:val="Tabletext"/>
            </w:pPr>
          </w:p>
        </w:tc>
        <w:tc>
          <w:tcPr>
            <w:tcW w:w="3594" w:type="pct"/>
            <w:gridSpan w:val="4"/>
          </w:tcPr>
          <w:p w14:paraId="332866AA" w14:textId="549805BE" w:rsidR="001451BE" w:rsidRPr="00BD6C5F" w:rsidRDefault="0012518B" w:rsidP="00145C8B">
            <w:pPr>
              <w:pStyle w:val="Tabletext"/>
            </w:pPr>
            <w:r w:rsidRPr="00BD6C5F">
              <w:t>Detailed description of Contract Change for which Impact Assessment is being prepared and wording of related changes to the Contract:</w:t>
            </w:r>
          </w:p>
        </w:tc>
      </w:tr>
      <w:tr w:rsidR="001451BE" w:rsidRPr="00BD6C5F" w14:paraId="3AF94392" w14:textId="77777777" w:rsidTr="00145C8B">
        <w:tc>
          <w:tcPr>
            <w:tcW w:w="1406" w:type="pct"/>
            <w:gridSpan w:val="2"/>
          </w:tcPr>
          <w:p w14:paraId="2317CAC7" w14:textId="77777777" w:rsidR="001451BE" w:rsidRPr="00BD6C5F" w:rsidRDefault="001451BE" w:rsidP="00145C8B">
            <w:pPr>
              <w:pStyle w:val="Tabletext"/>
            </w:pPr>
          </w:p>
        </w:tc>
        <w:tc>
          <w:tcPr>
            <w:tcW w:w="3594" w:type="pct"/>
            <w:gridSpan w:val="4"/>
          </w:tcPr>
          <w:p w14:paraId="412B7376" w14:textId="6F5DF3AA" w:rsidR="001451BE" w:rsidRPr="00BD6C5F" w:rsidRDefault="0012518B" w:rsidP="00145C8B">
            <w:pPr>
              <w:pStyle w:val="Tabletext"/>
              <w:rPr>
                <w:rFonts w:asciiTheme="minorHAnsi" w:hAnsiTheme="minorHAnsi" w:cstheme="minorHAnsi"/>
              </w:rPr>
            </w:pPr>
            <w:r w:rsidRPr="00BD6C5F">
              <w:rPr>
                <w:rFonts w:asciiTheme="minorHAnsi" w:hAnsiTheme="minorHAnsi" w:cstheme="minorHAnsi"/>
              </w:rPr>
              <w:t>Proposed Adjustment to the Charges Resulting from The Contract Change:</w:t>
            </w:r>
          </w:p>
        </w:tc>
      </w:tr>
      <w:tr w:rsidR="001451BE" w:rsidRPr="00BD6C5F" w14:paraId="6BE8C0B3" w14:textId="77777777" w:rsidTr="00145C8B">
        <w:tc>
          <w:tcPr>
            <w:tcW w:w="1406" w:type="pct"/>
            <w:gridSpan w:val="2"/>
          </w:tcPr>
          <w:p w14:paraId="698DA808" w14:textId="77777777" w:rsidR="001451BE" w:rsidRPr="00BD6C5F" w:rsidRDefault="001451BE" w:rsidP="00145C8B">
            <w:pPr>
              <w:pStyle w:val="Tabletext"/>
            </w:pPr>
          </w:p>
        </w:tc>
        <w:tc>
          <w:tcPr>
            <w:tcW w:w="3594" w:type="pct"/>
            <w:gridSpan w:val="4"/>
          </w:tcPr>
          <w:p w14:paraId="07A1F961" w14:textId="22646001" w:rsidR="001451BE" w:rsidRPr="00BD6C5F" w:rsidRDefault="0012518B" w:rsidP="00145C8B">
            <w:pPr>
              <w:pStyle w:val="Tabletext"/>
              <w:rPr>
                <w:rFonts w:asciiTheme="minorHAnsi" w:hAnsiTheme="minorHAnsi" w:cstheme="minorHAnsi"/>
              </w:rPr>
            </w:pPr>
            <w:r w:rsidRPr="00BD6C5F">
              <w:rPr>
                <w:rFonts w:asciiTheme="minorHAnsi" w:hAnsiTheme="minorHAnsi" w:cstheme="minorHAnsi"/>
              </w:rPr>
              <w:t>Details of Proposed One-Off Additional Charges and Means for Determining These (e.g. Fixed Price Basis):</w:t>
            </w:r>
          </w:p>
        </w:tc>
      </w:tr>
      <w:tr w:rsidR="001451BE" w:rsidRPr="00BD6C5F" w14:paraId="5E091478" w14:textId="77777777" w:rsidTr="00145C8B">
        <w:tc>
          <w:tcPr>
            <w:tcW w:w="1406" w:type="pct"/>
            <w:gridSpan w:val="2"/>
          </w:tcPr>
          <w:p w14:paraId="26B81D49" w14:textId="77777777" w:rsidR="001451BE" w:rsidRPr="00BD6C5F" w:rsidRDefault="001451BE" w:rsidP="00145C8B">
            <w:pPr>
              <w:pStyle w:val="Tabletext"/>
            </w:pPr>
          </w:p>
        </w:tc>
        <w:tc>
          <w:tcPr>
            <w:tcW w:w="1796" w:type="pct"/>
            <w:gridSpan w:val="2"/>
          </w:tcPr>
          <w:p w14:paraId="5B357149" w14:textId="13193AA4" w:rsidR="001451BE" w:rsidRPr="00BD6C5F" w:rsidRDefault="0012518B" w:rsidP="00145C8B">
            <w:pPr>
              <w:pStyle w:val="Tabletext"/>
            </w:pPr>
            <w:r w:rsidRPr="00BD6C5F">
              <w:t>Signed on Behalf of the Authority:</w:t>
            </w:r>
          </w:p>
        </w:tc>
        <w:tc>
          <w:tcPr>
            <w:tcW w:w="1798" w:type="pct"/>
            <w:gridSpan w:val="2"/>
          </w:tcPr>
          <w:p w14:paraId="2C47EAD7" w14:textId="67F49B07" w:rsidR="001451BE" w:rsidRPr="00BD6C5F" w:rsidRDefault="0012518B" w:rsidP="00145C8B">
            <w:pPr>
              <w:pStyle w:val="Tabletext"/>
            </w:pPr>
            <w:r w:rsidRPr="00BD6C5F">
              <w:t>Signed on Behalf of the Supplier:</w:t>
            </w:r>
          </w:p>
        </w:tc>
      </w:tr>
      <w:tr w:rsidR="003C3280" w:rsidRPr="00BD6C5F" w14:paraId="4DBA33A1" w14:textId="77777777" w:rsidTr="00145C8B">
        <w:tc>
          <w:tcPr>
            <w:tcW w:w="1406" w:type="pct"/>
            <w:gridSpan w:val="2"/>
          </w:tcPr>
          <w:p w14:paraId="00C68391" w14:textId="77777777" w:rsidR="003C3280" w:rsidRPr="00BD6C5F" w:rsidRDefault="003C3280" w:rsidP="00145C8B">
            <w:pPr>
              <w:pStyle w:val="Tabletext"/>
            </w:pPr>
          </w:p>
        </w:tc>
        <w:tc>
          <w:tcPr>
            <w:tcW w:w="1796" w:type="pct"/>
            <w:gridSpan w:val="2"/>
          </w:tcPr>
          <w:p w14:paraId="33A9D067" w14:textId="77777777" w:rsidR="003C3280" w:rsidRPr="00BD6C5F" w:rsidRDefault="003C3280" w:rsidP="003C3280">
            <w:pPr>
              <w:pStyle w:val="Tabletext"/>
              <w:rPr>
                <w:rFonts w:asciiTheme="minorHAnsi" w:hAnsiTheme="minorHAnsi" w:cstheme="minorHAnsi"/>
              </w:rPr>
            </w:pPr>
            <w:r w:rsidRPr="00BD6C5F">
              <w:rPr>
                <w:rFonts w:asciiTheme="minorHAnsi" w:hAnsiTheme="minorHAnsi" w:cstheme="minorHAnsi"/>
              </w:rPr>
              <w:t>Signature:</w:t>
            </w:r>
          </w:p>
          <w:p w14:paraId="5AB20094" w14:textId="0C5BC01B" w:rsidR="003C3280" w:rsidRPr="00BD6C5F" w:rsidRDefault="003C3280" w:rsidP="003C3280">
            <w:pPr>
              <w:pStyle w:val="Tabletext"/>
              <w:tabs>
                <w:tab w:val="right" w:leader="underscore" w:pos="3402"/>
              </w:tabs>
            </w:pPr>
            <w:r w:rsidRPr="003C3280">
              <w:tab/>
            </w:r>
          </w:p>
        </w:tc>
        <w:tc>
          <w:tcPr>
            <w:tcW w:w="1798" w:type="pct"/>
            <w:gridSpan w:val="2"/>
          </w:tcPr>
          <w:p w14:paraId="1737362E" w14:textId="77777777" w:rsidR="003C3280" w:rsidRPr="00BD6C5F" w:rsidRDefault="003C3280" w:rsidP="003C3280">
            <w:pPr>
              <w:pStyle w:val="Tabletext"/>
              <w:rPr>
                <w:rFonts w:asciiTheme="minorHAnsi" w:hAnsiTheme="minorHAnsi" w:cstheme="minorHAnsi"/>
              </w:rPr>
            </w:pPr>
            <w:r w:rsidRPr="00BD6C5F">
              <w:rPr>
                <w:rFonts w:asciiTheme="minorHAnsi" w:hAnsiTheme="minorHAnsi" w:cstheme="minorHAnsi"/>
              </w:rPr>
              <w:t>Signature:</w:t>
            </w:r>
          </w:p>
          <w:p w14:paraId="79CD22BA" w14:textId="3C26318B" w:rsidR="003C3280" w:rsidRPr="00BD6C5F" w:rsidRDefault="003C3280" w:rsidP="003C3280">
            <w:pPr>
              <w:pStyle w:val="Tabletext"/>
              <w:tabs>
                <w:tab w:val="right" w:leader="underscore" w:pos="3402"/>
              </w:tabs>
            </w:pPr>
            <w:r w:rsidRPr="003C3280">
              <w:tab/>
            </w:r>
          </w:p>
        </w:tc>
      </w:tr>
      <w:tr w:rsidR="003C3280" w:rsidRPr="00BD6C5F" w14:paraId="60560FE6" w14:textId="77777777" w:rsidTr="00145C8B">
        <w:tc>
          <w:tcPr>
            <w:tcW w:w="1406" w:type="pct"/>
            <w:gridSpan w:val="2"/>
          </w:tcPr>
          <w:p w14:paraId="7A8DABA3" w14:textId="77777777" w:rsidR="003C3280" w:rsidRPr="00BD6C5F" w:rsidRDefault="003C3280" w:rsidP="00145C8B">
            <w:pPr>
              <w:pStyle w:val="Tabletext"/>
            </w:pPr>
          </w:p>
        </w:tc>
        <w:tc>
          <w:tcPr>
            <w:tcW w:w="1796" w:type="pct"/>
            <w:gridSpan w:val="2"/>
          </w:tcPr>
          <w:p w14:paraId="1C46639E" w14:textId="77777777" w:rsidR="003C3280" w:rsidRPr="00BD6C5F" w:rsidRDefault="003C3280" w:rsidP="003C3280">
            <w:pPr>
              <w:pStyle w:val="Tabletext"/>
              <w:rPr>
                <w:rFonts w:asciiTheme="minorHAnsi" w:hAnsiTheme="minorHAnsi" w:cstheme="minorHAnsi"/>
              </w:rPr>
            </w:pPr>
            <w:r w:rsidRPr="00BD6C5F">
              <w:rPr>
                <w:rFonts w:asciiTheme="minorHAnsi" w:hAnsiTheme="minorHAnsi" w:cstheme="minorHAnsi"/>
              </w:rPr>
              <w:t>Name:</w:t>
            </w:r>
          </w:p>
          <w:p w14:paraId="27FE7664" w14:textId="67F3C71E" w:rsidR="003C3280" w:rsidRPr="00BD6C5F" w:rsidRDefault="001E2720" w:rsidP="003C3280">
            <w:pPr>
              <w:pStyle w:val="Tabletext"/>
              <w:tabs>
                <w:tab w:val="right" w:leader="underscore" w:pos="3402"/>
              </w:tabs>
              <w:rPr>
                <w:rFonts w:asciiTheme="minorHAnsi" w:hAnsiTheme="minorHAnsi" w:cstheme="minorHAnsi"/>
              </w:rPr>
            </w:pPr>
            <w:r w:rsidRPr="003C3280">
              <w:tab/>
            </w:r>
          </w:p>
        </w:tc>
        <w:tc>
          <w:tcPr>
            <w:tcW w:w="1798" w:type="pct"/>
            <w:gridSpan w:val="2"/>
          </w:tcPr>
          <w:p w14:paraId="4C9E350C" w14:textId="77777777" w:rsidR="003C3280" w:rsidRPr="00BD6C5F" w:rsidRDefault="003C3280" w:rsidP="003C3280">
            <w:pPr>
              <w:pStyle w:val="Tabletext"/>
              <w:rPr>
                <w:rFonts w:asciiTheme="minorHAnsi" w:hAnsiTheme="minorHAnsi" w:cstheme="minorHAnsi"/>
              </w:rPr>
            </w:pPr>
            <w:r w:rsidRPr="00BD6C5F">
              <w:rPr>
                <w:rFonts w:asciiTheme="minorHAnsi" w:hAnsiTheme="minorHAnsi" w:cstheme="minorHAnsi"/>
              </w:rPr>
              <w:t>Name:</w:t>
            </w:r>
          </w:p>
          <w:p w14:paraId="68109CA3" w14:textId="6C65FDD3" w:rsidR="003C3280" w:rsidRPr="00BD6C5F" w:rsidRDefault="003C3280" w:rsidP="001E2720">
            <w:pPr>
              <w:pStyle w:val="Tabletext"/>
              <w:tabs>
                <w:tab w:val="right" w:leader="underscore" w:pos="3402"/>
              </w:tabs>
              <w:rPr>
                <w:rFonts w:asciiTheme="minorHAnsi" w:hAnsiTheme="minorHAnsi" w:cstheme="minorHAnsi"/>
              </w:rPr>
            </w:pPr>
            <w:r w:rsidRPr="003C3280">
              <w:tab/>
            </w:r>
          </w:p>
        </w:tc>
      </w:tr>
      <w:tr w:rsidR="001E2720" w:rsidRPr="00BD6C5F" w14:paraId="2155BDD3" w14:textId="77777777" w:rsidTr="00145C8B">
        <w:tc>
          <w:tcPr>
            <w:tcW w:w="1406" w:type="pct"/>
            <w:gridSpan w:val="2"/>
          </w:tcPr>
          <w:p w14:paraId="4F6A2A21" w14:textId="77777777" w:rsidR="001E2720" w:rsidRPr="00BD6C5F" w:rsidRDefault="001E2720" w:rsidP="00145C8B">
            <w:pPr>
              <w:pStyle w:val="Tabletext"/>
            </w:pPr>
          </w:p>
        </w:tc>
        <w:tc>
          <w:tcPr>
            <w:tcW w:w="1796" w:type="pct"/>
            <w:gridSpan w:val="2"/>
          </w:tcPr>
          <w:p w14:paraId="7231A150" w14:textId="77777777" w:rsidR="001E2720" w:rsidRPr="00BD6C5F" w:rsidRDefault="001E2720" w:rsidP="001E2720">
            <w:pPr>
              <w:pStyle w:val="Tabletext"/>
              <w:rPr>
                <w:rFonts w:asciiTheme="minorHAnsi" w:hAnsiTheme="minorHAnsi" w:cstheme="minorHAnsi"/>
              </w:rPr>
            </w:pPr>
            <w:r w:rsidRPr="00BD6C5F">
              <w:rPr>
                <w:rFonts w:asciiTheme="minorHAnsi" w:hAnsiTheme="minorHAnsi" w:cstheme="minorHAnsi"/>
              </w:rPr>
              <w:t>Position:</w:t>
            </w:r>
          </w:p>
          <w:p w14:paraId="36DF01D7" w14:textId="0E2AB426" w:rsidR="001E2720" w:rsidRPr="00BD6C5F" w:rsidRDefault="001E2720" w:rsidP="001E2720">
            <w:pPr>
              <w:pStyle w:val="Tabletext"/>
              <w:tabs>
                <w:tab w:val="right" w:leader="underscore" w:pos="3402"/>
              </w:tabs>
              <w:rPr>
                <w:rFonts w:asciiTheme="minorHAnsi" w:hAnsiTheme="minorHAnsi" w:cstheme="minorHAnsi"/>
              </w:rPr>
            </w:pPr>
            <w:r w:rsidRPr="003C3280">
              <w:tab/>
            </w:r>
          </w:p>
        </w:tc>
        <w:tc>
          <w:tcPr>
            <w:tcW w:w="1798" w:type="pct"/>
            <w:gridSpan w:val="2"/>
          </w:tcPr>
          <w:p w14:paraId="6A4F29BD" w14:textId="77777777" w:rsidR="001E2720" w:rsidRPr="00BD6C5F" w:rsidRDefault="001E2720" w:rsidP="001E2720">
            <w:pPr>
              <w:pStyle w:val="Tabletext"/>
              <w:rPr>
                <w:rFonts w:asciiTheme="minorHAnsi" w:hAnsiTheme="minorHAnsi" w:cstheme="minorHAnsi"/>
              </w:rPr>
            </w:pPr>
            <w:r w:rsidRPr="00BD6C5F">
              <w:rPr>
                <w:rFonts w:asciiTheme="minorHAnsi" w:hAnsiTheme="minorHAnsi" w:cstheme="minorHAnsi"/>
              </w:rPr>
              <w:t>Position:</w:t>
            </w:r>
          </w:p>
          <w:p w14:paraId="24566462" w14:textId="7A011D1C" w:rsidR="001E2720" w:rsidRPr="00BD6C5F" w:rsidRDefault="001E2720" w:rsidP="001E2720">
            <w:pPr>
              <w:pStyle w:val="Tabletext"/>
              <w:tabs>
                <w:tab w:val="right" w:leader="underscore" w:pos="3402"/>
              </w:tabs>
              <w:rPr>
                <w:rFonts w:asciiTheme="minorHAnsi" w:hAnsiTheme="minorHAnsi" w:cstheme="minorHAnsi"/>
              </w:rPr>
            </w:pPr>
            <w:r w:rsidRPr="003C3280">
              <w:tab/>
            </w:r>
          </w:p>
        </w:tc>
      </w:tr>
      <w:tr w:rsidR="001E2720" w:rsidRPr="00BD6C5F" w14:paraId="7EA8F2A8" w14:textId="77777777" w:rsidTr="00145C8B">
        <w:tc>
          <w:tcPr>
            <w:tcW w:w="1406" w:type="pct"/>
            <w:gridSpan w:val="2"/>
          </w:tcPr>
          <w:p w14:paraId="25A59540" w14:textId="77777777" w:rsidR="001E2720" w:rsidRPr="00BD6C5F" w:rsidRDefault="001E2720" w:rsidP="00145C8B">
            <w:pPr>
              <w:pStyle w:val="Tabletext"/>
            </w:pPr>
          </w:p>
        </w:tc>
        <w:tc>
          <w:tcPr>
            <w:tcW w:w="1796" w:type="pct"/>
            <w:gridSpan w:val="2"/>
          </w:tcPr>
          <w:p w14:paraId="1698AC9E" w14:textId="77777777" w:rsidR="001E2720" w:rsidRPr="00BD6C5F" w:rsidRDefault="001E2720" w:rsidP="001E2720">
            <w:pPr>
              <w:pStyle w:val="Tabletext"/>
              <w:rPr>
                <w:rFonts w:asciiTheme="minorHAnsi" w:hAnsiTheme="minorHAnsi" w:cstheme="minorHAnsi"/>
              </w:rPr>
            </w:pPr>
            <w:r w:rsidRPr="00BD6C5F">
              <w:rPr>
                <w:rFonts w:asciiTheme="minorHAnsi" w:hAnsiTheme="minorHAnsi" w:cstheme="minorHAnsi"/>
              </w:rPr>
              <w:t>Date:</w:t>
            </w:r>
          </w:p>
          <w:p w14:paraId="5C5B86A0" w14:textId="7A22EA5C" w:rsidR="001E2720" w:rsidRPr="00BD6C5F" w:rsidRDefault="001E2720" w:rsidP="001E2720">
            <w:pPr>
              <w:pStyle w:val="Tabletext"/>
              <w:tabs>
                <w:tab w:val="right" w:leader="underscore" w:pos="3402"/>
              </w:tabs>
              <w:rPr>
                <w:rFonts w:asciiTheme="minorHAnsi" w:hAnsiTheme="minorHAnsi" w:cstheme="minorHAnsi"/>
              </w:rPr>
            </w:pPr>
            <w:r w:rsidRPr="003C3280">
              <w:tab/>
            </w:r>
          </w:p>
        </w:tc>
        <w:tc>
          <w:tcPr>
            <w:tcW w:w="1798" w:type="pct"/>
            <w:gridSpan w:val="2"/>
          </w:tcPr>
          <w:p w14:paraId="2885B7C5" w14:textId="77777777" w:rsidR="001E2720" w:rsidRPr="00BD6C5F" w:rsidRDefault="001E2720" w:rsidP="001E2720">
            <w:pPr>
              <w:pStyle w:val="Tabletext"/>
              <w:rPr>
                <w:rFonts w:asciiTheme="minorHAnsi" w:hAnsiTheme="minorHAnsi" w:cstheme="minorHAnsi"/>
              </w:rPr>
            </w:pPr>
            <w:r w:rsidRPr="00BD6C5F">
              <w:rPr>
                <w:rFonts w:asciiTheme="minorHAnsi" w:hAnsiTheme="minorHAnsi" w:cstheme="minorHAnsi"/>
              </w:rPr>
              <w:t>Date:</w:t>
            </w:r>
          </w:p>
          <w:p w14:paraId="3E4881D1" w14:textId="2CE7CD38" w:rsidR="001E2720" w:rsidRPr="00BD6C5F" w:rsidRDefault="001E2720" w:rsidP="001E2720">
            <w:pPr>
              <w:pStyle w:val="Tabletext"/>
              <w:tabs>
                <w:tab w:val="right" w:leader="underscore" w:pos="3402"/>
              </w:tabs>
              <w:rPr>
                <w:rFonts w:asciiTheme="minorHAnsi" w:hAnsiTheme="minorHAnsi" w:cstheme="minorHAnsi"/>
              </w:rPr>
            </w:pPr>
            <w:r w:rsidRPr="003C3280">
              <w:tab/>
            </w:r>
          </w:p>
        </w:tc>
      </w:tr>
    </w:tbl>
    <w:p w14:paraId="5FECDC5D" w14:textId="77777777" w:rsidR="007F3BCB" w:rsidRPr="00BD6C5F" w:rsidRDefault="007F3BCB" w:rsidP="00145C8B"/>
    <w:p w14:paraId="0B0AF6BC" w14:textId="77777777" w:rsidR="00F751C6" w:rsidRPr="00BD6C5F" w:rsidRDefault="00F751C6" w:rsidP="00145C8B"/>
    <w:p w14:paraId="6C4AF172" w14:textId="12F2E369" w:rsidR="00F751C6" w:rsidRPr="00BD6C5F" w:rsidRDefault="00F751C6" w:rsidP="00145C8B">
      <w:pPr>
        <w:sectPr w:rsidR="00F751C6" w:rsidRPr="00BD6C5F" w:rsidSect="00EA65BF">
          <w:headerReference w:type="default" r:id="rId97"/>
          <w:footerReference w:type="default" r:id="rId98"/>
          <w:pgSz w:w="11910" w:h="16840"/>
          <w:pgMar w:top="1701" w:right="851" w:bottom="1134" w:left="851" w:header="567" w:footer="567" w:gutter="0"/>
          <w:cols w:space="720"/>
        </w:sectPr>
      </w:pPr>
    </w:p>
    <w:p w14:paraId="64EB04D0" w14:textId="498F2F39" w:rsidR="00713E2F" w:rsidRDefault="00713E2F" w:rsidP="00713E2F">
      <w:pPr>
        <w:pStyle w:val="Dividername"/>
      </w:pPr>
      <w:bookmarkStart w:id="1079" w:name="_bookmark373"/>
      <w:bookmarkStart w:id="1080" w:name="_bookmark374"/>
      <w:bookmarkEnd w:id="1079"/>
      <w:bookmarkEnd w:id="1080"/>
      <w:r>
        <w:lastRenderedPageBreak/>
        <w:t xml:space="preserve">Schedule </w:t>
      </w:r>
      <w:bookmarkStart w:id="1081" w:name="Schedule_23"/>
      <w:r>
        <w:t>23</w:t>
      </w:r>
      <w:bookmarkEnd w:id="1081"/>
    </w:p>
    <w:p w14:paraId="272495A7" w14:textId="4F755EDD" w:rsidR="00713E2F" w:rsidRDefault="00713E2F" w:rsidP="00713E2F">
      <w:pPr>
        <w:pStyle w:val="Dividername"/>
      </w:pPr>
      <w:r w:rsidRPr="00713E2F">
        <w:t>Dispute Resolution Procedure</w:t>
      </w:r>
    </w:p>
    <w:p w14:paraId="418DE556" w14:textId="77777777" w:rsidR="00713E2F" w:rsidRDefault="00713E2F" w:rsidP="00713E2F"/>
    <w:p w14:paraId="549DCBBD" w14:textId="2EFAC21B" w:rsidR="00BC7DDA" w:rsidRPr="00BD6C5F" w:rsidRDefault="00145C8B" w:rsidP="00713E2F">
      <w:pPr>
        <w:pStyle w:val="Heading1"/>
        <w:pageBreakBefore/>
      </w:pPr>
      <w:bookmarkStart w:id="1082" w:name="_Toc141721035"/>
      <w:r w:rsidRPr="00BD6C5F">
        <w:lastRenderedPageBreak/>
        <w:t>Schedule 23</w:t>
      </w:r>
      <w:r w:rsidR="0058158C" w:rsidRPr="00BD6C5F">
        <w:t>:</w:t>
      </w:r>
      <w:r w:rsidRPr="00BD6C5F">
        <w:t xml:space="preserve"> </w:t>
      </w:r>
      <w:bookmarkStart w:id="1083" w:name="_Ref98253038"/>
      <w:bookmarkStart w:id="1084" w:name="_Toc98332766"/>
      <w:bookmarkStart w:id="1085" w:name="_Toc98852942"/>
      <w:r w:rsidRPr="00BD6C5F">
        <w:t>Dispute Resolution Procedure</w:t>
      </w:r>
      <w:bookmarkEnd w:id="1083"/>
      <w:bookmarkEnd w:id="1084"/>
      <w:bookmarkEnd w:id="1085"/>
      <w:bookmarkEnd w:id="1082"/>
    </w:p>
    <w:p w14:paraId="4ED0BB97" w14:textId="5FD7598C" w:rsidR="00785C5B" w:rsidRPr="00BD6C5F" w:rsidRDefault="00785C5B" w:rsidP="00145C8B">
      <w:pPr>
        <w:jc w:val="center"/>
      </w:pPr>
      <w:r w:rsidRPr="00BD6C5F">
        <w:t>This is the schedule referred to in the foregoing agreement betwee</w:t>
      </w:r>
      <w:r w:rsidR="0012518B" w:rsidRPr="00BD6C5F">
        <w:t>n [</w:t>
      </w:r>
      <w:r w:rsidR="0012518B" w:rsidRPr="00BD6C5F">
        <w:rPr>
          <w:highlight w:val="yellow"/>
        </w:rPr>
        <w:t>name of party</w:t>
      </w:r>
      <w:r w:rsidR="0012518B" w:rsidRPr="00BD6C5F">
        <w:t>] and [</w:t>
      </w:r>
      <w:r w:rsidR="0012518B" w:rsidRPr="00BD6C5F">
        <w:rPr>
          <w:highlight w:val="yellow"/>
        </w:rPr>
        <w:t>name of party</w:t>
      </w:r>
      <w:r w:rsidR="0012518B" w:rsidRPr="00BD6C5F">
        <w:t>] dated [</w:t>
      </w:r>
      <w:r w:rsidR="0012518B" w:rsidRPr="00BD6C5F">
        <w:rPr>
          <w:highlight w:val="yellow"/>
        </w:rPr>
        <w:t>date</w:t>
      </w:r>
      <w:r w:rsidR="0012518B" w:rsidRPr="00BD6C5F">
        <w:t>]</w:t>
      </w:r>
    </w:p>
    <w:p w14:paraId="74CDB322" w14:textId="245C7408" w:rsidR="00BC7DDA" w:rsidRPr="00BD6C5F" w:rsidRDefault="0012518B" w:rsidP="00B71FC0">
      <w:pPr>
        <w:pStyle w:val="Numbered1"/>
        <w:numPr>
          <w:ilvl w:val="0"/>
          <w:numId w:val="108"/>
        </w:numPr>
      </w:pPr>
      <w:r w:rsidRPr="00BD6C5F">
        <w:t>Definitions</w:t>
      </w:r>
    </w:p>
    <w:p w14:paraId="3E04B252" w14:textId="77777777" w:rsidR="00BC7DDA" w:rsidRPr="00BD6C5F" w:rsidRDefault="009B03E9" w:rsidP="00C70900">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70E7DCBD" w14:textId="77777777" w:rsidTr="009C1CCA">
        <w:tc>
          <w:tcPr>
            <w:tcW w:w="3572" w:type="dxa"/>
          </w:tcPr>
          <w:p w14:paraId="224DF0CC" w14:textId="01D6A3F1"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CEDR</w:t>
            </w:r>
            <w:r w:rsidRPr="00BD6C5F">
              <w:rPr>
                <w:rFonts w:asciiTheme="minorHAnsi" w:hAnsiTheme="minorHAnsi" w:cstheme="minorHAnsi"/>
                <w:b/>
              </w:rPr>
              <w:t>”</w:t>
            </w:r>
          </w:p>
        </w:tc>
        <w:tc>
          <w:tcPr>
            <w:tcW w:w="5953" w:type="dxa"/>
          </w:tcPr>
          <w:p w14:paraId="231B7F1A" w14:textId="1944CE9E" w:rsidR="00BC7DDA" w:rsidRPr="00BD6C5F" w:rsidRDefault="009B03E9" w:rsidP="00145C8B">
            <w:pPr>
              <w:pStyle w:val="Tabletext"/>
            </w:pPr>
            <w:r w:rsidRPr="00BD6C5F">
              <w:t xml:space="preserve">the Centre for Effective Dispute Resolution of International Dispute Resolution Centre, </w:t>
            </w:r>
            <w:r w:rsidR="00693D11" w:rsidRPr="00BD6C5F">
              <w:t>1 Paternoster Lane, St Paul</w:t>
            </w:r>
            <w:r w:rsidR="00A4555C" w:rsidRPr="00BD6C5F">
              <w:t>’</w:t>
            </w:r>
            <w:r w:rsidR="00693D11" w:rsidRPr="00BD6C5F">
              <w:t>s, London, EC4M 7BQ</w:t>
            </w:r>
            <w:r w:rsidRPr="00BD6C5F">
              <w:t>;</w:t>
            </w:r>
          </w:p>
        </w:tc>
      </w:tr>
      <w:tr w:rsidR="00BC7DDA" w:rsidRPr="00BD6C5F" w14:paraId="2D998006" w14:textId="77777777" w:rsidTr="009C1CCA">
        <w:tc>
          <w:tcPr>
            <w:tcW w:w="3572" w:type="dxa"/>
          </w:tcPr>
          <w:p w14:paraId="0A0C25C4" w14:textId="38B9E28F"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Counter Notice</w:t>
            </w:r>
            <w:r w:rsidRPr="00BD6C5F">
              <w:rPr>
                <w:rFonts w:asciiTheme="minorHAnsi" w:hAnsiTheme="minorHAnsi" w:cstheme="minorHAnsi"/>
                <w:b/>
              </w:rPr>
              <w:t>”</w:t>
            </w:r>
          </w:p>
        </w:tc>
        <w:tc>
          <w:tcPr>
            <w:tcW w:w="5953" w:type="dxa"/>
          </w:tcPr>
          <w:p w14:paraId="0F118149" w14:textId="1D974420"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 xml:space="preserve">has the meaning given in </w:t>
            </w:r>
            <w:r w:rsidRPr="00BD6C5F">
              <w:t>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_Ref98416550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7.2</w:t>
            </w:r>
            <w:r w:rsidR="00E20ACD"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4240E5F2" w14:textId="77777777" w:rsidTr="009C1CCA">
        <w:tc>
          <w:tcPr>
            <w:tcW w:w="3572" w:type="dxa"/>
          </w:tcPr>
          <w:p w14:paraId="74D129FD" w14:textId="7C286A04"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Expert</w:t>
            </w:r>
            <w:r w:rsidRPr="00BD6C5F">
              <w:rPr>
                <w:rFonts w:asciiTheme="minorHAnsi" w:hAnsiTheme="minorHAnsi" w:cstheme="minorHAnsi"/>
                <w:b/>
              </w:rPr>
              <w:t>”</w:t>
            </w:r>
          </w:p>
        </w:tc>
        <w:tc>
          <w:tcPr>
            <w:tcW w:w="5953" w:type="dxa"/>
          </w:tcPr>
          <w:p w14:paraId="1744B783" w14:textId="31E8CABD"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in relation to a Dispute, a person appointed in accordance with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_Ref98416561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6.2</w:t>
            </w:r>
            <w:r w:rsidR="00E20ACD" w:rsidRPr="00BD6C5F">
              <w:rPr>
                <w:rFonts w:asciiTheme="minorHAnsi" w:hAnsiTheme="minorHAnsi" w:cstheme="minorHAnsi"/>
              </w:rPr>
              <w:fldChar w:fldCharType="end"/>
            </w:r>
            <w:r w:rsidRPr="00BD6C5F">
              <w:rPr>
                <w:rFonts w:asciiTheme="minorHAnsi" w:hAnsiTheme="minorHAnsi" w:cstheme="minorHAnsi"/>
              </w:rPr>
              <w:t xml:space="preserve"> to act as an expert in relation to that Dispute;</w:t>
            </w:r>
          </w:p>
        </w:tc>
      </w:tr>
      <w:tr w:rsidR="00BC7DDA" w:rsidRPr="00BD6C5F" w14:paraId="510D0F24" w14:textId="77777777" w:rsidTr="009C1CCA">
        <w:tc>
          <w:tcPr>
            <w:tcW w:w="3572" w:type="dxa"/>
          </w:tcPr>
          <w:p w14:paraId="4EC24815" w14:textId="43B299AE"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Expert Determination</w:t>
            </w:r>
            <w:r w:rsidRPr="00BD6C5F">
              <w:rPr>
                <w:rFonts w:asciiTheme="minorHAnsi" w:hAnsiTheme="minorHAnsi" w:cstheme="minorHAnsi"/>
                <w:b/>
              </w:rPr>
              <w:t>”</w:t>
            </w:r>
          </w:p>
        </w:tc>
        <w:tc>
          <w:tcPr>
            <w:tcW w:w="5953" w:type="dxa"/>
          </w:tcPr>
          <w:p w14:paraId="0E543F4C" w14:textId="59828ACA"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determination by an Expert in accordance with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_Ref98353430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6</w:t>
            </w:r>
            <w:r w:rsidR="00E20ACD"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55B55728" w14:textId="77777777" w:rsidTr="009C1CCA">
        <w:tc>
          <w:tcPr>
            <w:tcW w:w="3572" w:type="dxa"/>
          </w:tcPr>
          <w:p w14:paraId="7D0AAB52" w14:textId="2C9F77B3"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Mediation Notice</w:t>
            </w:r>
            <w:r w:rsidRPr="00BD6C5F">
              <w:rPr>
                <w:rFonts w:asciiTheme="minorHAnsi" w:hAnsiTheme="minorHAnsi" w:cstheme="minorHAnsi"/>
                <w:b/>
              </w:rPr>
              <w:t>”</w:t>
            </w:r>
          </w:p>
        </w:tc>
        <w:tc>
          <w:tcPr>
            <w:tcW w:w="5953" w:type="dxa"/>
          </w:tcPr>
          <w:p w14:paraId="1D5B616D" w14:textId="00CD95F3"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in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_Ref98416582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4.2</w:t>
            </w:r>
            <w:r w:rsidR="00E20ACD"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3716E034" w14:textId="77777777" w:rsidTr="009C1CCA">
        <w:tc>
          <w:tcPr>
            <w:tcW w:w="3572" w:type="dxa"/>
          </w:tcPr>
          <w:p w14:paraId="28DD7B17" w14:textId="1573B8E0"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Mediator</w:t>
            </w:r>
            <w:r w:rsidRPr="00BD6C5F">
              <w:rPr>
                <w:rFonts w:asciiTheme="minorHAnsi" w:hAnsiTheme="minorHAnsi" w:cstheme="minorHAnsi"/>
                <w:b/>
              </w:rPr>
              <w:t>”</w:t>
            </w:r>
          </w:p>
        </w:tc>
        <w:tc>
          <w:tcPr>
            <w:tcW w:w="5953" w:type="dxa"/>
          </w:tcPr>
          <w:p w14:paraId="53C7E7DD" w14:textId="572AEEED"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 xml:space="preserve">the independent third party appointed in accordance with </w:t>
            </w:r>
            <w:r w:rsidRPr="00BD6C5F">
              <w:t>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_Ref98416591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5.2</w:t>
            </w:r>
            <w:r w:rsidR="00E20ACD" w:rsidRPr="00BD6C5F">
              <w:rPr>
                <w:rFonts w:asciiTheme="minorHAnsi" w:hAnsiTheme="minorHAnsi" w:cstheme="minorHAnsi"/>
              </w:rPr>
              <w:fldChar w:fldCharType="end"/>
            </w:r>
            <w:r w:rsidRPr="00BD6C5F">
              <w:rPr>
                <w:rFonts w:asciiTheme="minorHAnsi" w:hAnsiTheme="minorHAnsi" w:cstheme="minorHAnsi"/>
              </w:rPr>
              <w:t xml:space="preserve"> to mediate a Dispute;</w:t>
            </w:r>
          </w:p>
        </w:tc>
      </w:tr>
      <w:tr w:rsidR="00BC7DDA" w:rsidRPr="00BD6C5F" w14:paraId="7DD07350" w14:textId="77777777" w:rsidTr="009C1CCA">
        <w:tc>
          <w:tcPr>
            <w:tcW w:w="3572" w:type="dxa"/>
          </w:tcPr>
          <w:p w14:paraId="03A3F958" w14:textId="35A1DE4B"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Multi-Party Dispute</w:t>
            </w:r>
            <w:r w:rsidRPr="00BD6C5F">
              <w:rPr>
                <w:rFonts w:asciiTheme="minorHAnsi" w:hAnsiTheme="minorHAnsi" w:cstheme="minorHAnsi"/>
                <w:b/>
              </w:rPr>
              <w:t>”</w:t>
            </w:r>
          </w:p>
        </w:tc>
        <w:tc>
          <w:tcPr>
            <w:tcW w:w="5953" w:type="dxa"/>
          </w:tcPr>
          <w:p w14:paraId="44A15F43" w14:textId="77777777"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 xml:space="preserve">a Dispute which involves the Parties and one or more Related </w:t>
            </w:r>
            <w:r w:rsidRPr="00BD6C5F">
              <w:t>Third</w:t>
            </w:r>
            <w:r w:rsidRPr="00BD6C5F">
              <w:rPr>
                <w:rFonts w:asciiTheme="minorHAnsi" w:hAnsiTheme="minorHAnsi" w:cstheme="minorHAnsi"/>
              </w:rPr>
              <w:t xml:space="preserve"> Parties;</w:t>
            </w:r>
          </w:p>
        </w:tc>
      </w:tr>
      <w:tr w:rsidR="00BC7DDA" w:rsidRPr="00BD6C5F" w14:paraId="650FF058" w14:textId="77777777" w:rsidTr="009C1CCA">
        <w:tc>
          <w:tcPr>
            <w:tcW w:w="3572" w:type="dxa"/>
          </w:tcPr>
          <w:p w14:paraId="40E4CC6F" w14:textId="50BDEC5D"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Multi-Party Dispute Representatives</w:t>
            </w:r>
            <w:r w:rsidRPr="00BD6C5F">
              <w:rPr>
                <w:rFonts w:asciiTheme="minorHAnsi" w:hAnsiTheme="minorHAnsi" w:cstheme="minorHAnsi"/>
                <w:b/>
              </w:rPr>
              <w:t>”</w:t>
            </w:r>
          </w:p>
        </w:tc>
        <w:tc>
          <w:tcPr>
            <w:tcW w:w="5953" w:type="dxa"/>
          </w:tcPr>
          <w:p w14:paraId="24838848" w14:textId="5F0C8392"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has the meaning given in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_Ref98416602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9.6</w:t>
            </w:r>
            <w:r w:rsidR="00E20ACD"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F0A14C2" w14:textId="77777777" w:rsidTr="009C1CCA">
        <w:tc>
          <w:tcPr>
            <w:tcW w:w="3572" w:type="dxa"/>
          </w:tcPr>
          <w:p w14:paraId="2F845708" w14:textId="30745CAB"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Multi-Party Dispute Resolution Board</w:t>
            </w:r>
            <w:r w:rsidRPr="00BD6C5F">
              <w:rPr>
                <w:rFonts w:asciiTheme="minorHAnsi" w:hAnsiTheme="minorHAnsi" w:cstheme="minorHAnsi"/>
                <w:b/>
              </w:rPr>
              <w:t>”</w:t>
            </w:r>
          </w:p>
        </w:tc>
        <w:tc>
          <w:tcPr>
            <w:tcW w:w="5953" w:type="dxa"/>
          </w:tcPr>
          <w:p w14:paraId="030B9970" w14:textId="3D72A28D"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has the meaning given in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_Ref98416602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9.6</w:t>
            </w:r>
            <w:r w:rsidR="00E20ACD"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5C1824BD" w14:textId="77777777" w:rsidTr="009C1CCA">
        <w:tc>
          <w:tcPr>
            <w:tcW w:w="3572" w:type="dxa"/>
          </w:tcPr>
          <w:p w14:paraId="70CB43B9" w14:textId="0AC3ED22"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Related Third Party</w:t>
            </w:r>
            <w:r w:rsidRPr="00BD6C5F">
              <w:rPr>
                <w:rFonts w:asciiTheme="minorHAnsi" w:hAnsiTheme="minorHAnsi" w:cstheme="minorHAnsi"/>
                <w:b/>
              </w:rPr>
              <w:t>”</w:t>
            </w:r>
          </w:p>
        </w:tc>
        <w:tc>
          <w:tcPr>
            <w:tcW w:w="5953" w:type="dxa"/>
          </w:tcPr>
          <w:p w14:paraId="40F1FAAE" w14:textId="77777777"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a party to:</w:t>
            </w:r>
          </w:p>
          <w:p w14:paraId="1E2AC366" w14:textId="0930C37B" w:rsidR="00BC7DDA" w:rsidRPr="00BD6C5F" w:rsidRDefault="009B03E9" w:rsidP="009C1CCA">
            <w:pPr>
              <w:pStyle w:val="Tablea"/>
            </w:pPr>
            <w:r w:rsidRPr="00BD6C5F">
              <w:t xml:space="preserve">another contract with the Authority or the Supplier which is relevant to this </w:t>
            </w:r>
            <w:r w:rsidR="00693D11" w:rsidRPr="00BD6C5F">
              <w:t>Contract</w:t>
            </w:r>
            <w:r w:rsidRPr="00BD6C5F">
              <w:t>; or</w:t>
            </w:r>
          </w:p>
          <w:p w14:paraId="6996DFE4" w14:textId="77777777" w:rsidR="00BC7DDA" w:rsidRPr="00BD6C5F" w:rsidRDefault="009B03E9" w:rsidP="003A5D4B">
            <w:pPr>
              <w:pStyle w:val="Tablea"/>
            </w:pPr>
            <w:r w:rsidRPr="00BD6C5F">
              <w:t>a Sub-contract; and</w:t>
            </w:r>
          </w:p>
        </w:tc>
      </w:tr>
      <w:tr w:rsidR="00BC7DDA" w:rsidRPr="00BD6C5F" w14:paraId="59AEC979" w14:textId="77777777" w:rsidTr="009C1CCA">
        <w:tc>
          <w:tcPr>
            <w:tcW w:w="3572" w:type="dxa"/>
          </w:tcPr>
          <w:p w14:paraId="25464A9E" w14:textId="3E35893C" w:rsidR="00BC7DDA" w:rsidRPr="00BD6C5F" w:rsidRDefault="00A4555C" w:rsidP="00145C8B">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Supplier Request</w:t>
            </w:r>
            <w:r w:rsidRPr="00BD6C5F">
              <w:rPr>
                <w:rFonts w:asciiTheme="minorHAnsi" w:hAnsiTheme="minorHAnsi" w:cstheme="minorHAnsi"/>
                <w:b/>
              </w:rPr>
              <w:t>”</w:t>
            </w:r>
          </w:p>
        </w:tc>
        <w:tc>
          <w:tcPr>
            <w:tcW w:w="5953" w:type="dxa"/>
          </w:tcPr>
          <w:p w14:paraId="3E3D889D" w14:textId="5B0FB6F6" w:rsidR="00BC7DDA" w:rsidRPr="00BD6C5F" w:rsidRDefault="009B03E9" w:rsidP="00145C8B">
            <w:pPr>
              <w:pStyle w:val="Tabletext"/>
              <w:rPr>
                <w:rFonts w:asciiTheme="minorHAnsi" w:hAnsiTheme="minorHAnsi" w:cstheme="minorHAnsi"/>
              </w:rPr>
            </w:pPr>
            <w:r w:rsidRPr="00BD6C5F">
              <w:rPr>
                <w:rFonts w:asciiTheme="minorHAnsi" w:hAnsiTheme="minorHAnsi" w:cstheme="minorHAnsi"/>
              </w:rPr>
              <w:t>a notice served by the Supplier requesting that the Dispute be treated as a Multi-</w:t>
            </w:r>
            <w:r w:rsidRPr="00BD6C5F">
              <w:t>Party</w:t>
            </w:r>
            <w:r w:rsidRPr="00BD6C5F">
              <w:rPr>
                <w:rFonts w:asciiTheme="minorHAnsi" w:hAnsiTheme="minorHAnsi" w:cstheme="minorHAnsi"/>
              </w:rPr>
              <w:t xml:space="preserve"> Dispute, setting out its grounds for that request and specifying each Related Third Party that it believes should be involved in the Multi-Dispute Resolution Procedure</w:t>
            </w:r>
            <w:r w:rsidR="00145C8B" w:rsidRPr="00BD6C5F">
              <w:rPr>
                <w:rFonts w:asciiTheme="minorHAnsi" w:hAnsiTheme="minorHAnsi" w:cstheme="minorHAnsi"/>
              </w:rPr>
              <w:t xml:space="preserve"> </w:t>
            </w:r>
            <w:r w:rsidRPr="00BD6C5F">
              <w:rPr>
                <w:rFonts w:asciiTheme="minorHAnsi" w:hAnsiTheme="minorHAnsi" w:cstheme="minorHAnsi"/>
              </w:rPr>
              <w:t xml:space="preserve">in respect of that </w:t>
            </w:r>
            <w:r w:rsidRPr="00BD6C5F">
              <w:t>Dispute</w:t>
            </w:r>
            <w:r w:rsidRPr="00BD6C5F">
              <w:rPr>
                <w:rFonts w:asciiTheme="minorHAnsi" w:hAnsiTheme="minorHAnsi" w:cstheme="minorHAnsi"/>
              </w:rPr>
              <w:t>.</w:t>
            </w:r>
          </w:p>
        </w:tc>
      </w:tr>
    </w:tbl>
    <w:p w14:paraId="7BB0F3DF" w14:textId="5BDFE83E" w:rsidR="00BC7DDA" w:rsidRPr="00BD6C5F" w:rsidRDefault="0012518B" w:rsidP="00C5057A">
      <w:pPr>
        <w:pStyle w:val="Numbered1"/>
      </w:pPr>
      <w:r w:rsidRPr="00BD6C5F">
        <w:lastRenderedPageBreak/>
        <w:t>Dispute Notices</w:t>
      </w:r>
    </w:p>
    <w:p w14:paraId="4E88A999" w14:textId="77777777" w:rsidR="00BC7DDA" w:rsidRPr="00BD6C5F" w:rsidRDefault="009B03E9" w:rsidP="00C70900">
      <w:pPr>
        <w:pStyle w:val="Numbered11"/>
        <w:keepNext/>
      </w:pPr>
      <w:bookmarkStart w:id="1086" w:name="_bookmark375"/>
      <w:bookmarkStart w:id="1087" w:name="_Ref98418049"/>
      <w:bookmarkEnd w:id="1086"/>
      <w:r w:rsidRPr="00BD6C5F">
        <w:t>If a Dispute arises then:</w:t>
      </w:r>
      <w:bookmarkEnd w:id="1087"/>
    </w:p>
    <w:p w14:paraId="6BDF2886" w14:textId="77777777" w:rsidR="00BC7DDA" w:rsidRPr="00BD6C5F" w:rsidRDefault="009B03E9" w:rsidP="0012518B">
      <w:pPr>
        <w:pStyle w:val="Numbered111"/>
      </w:pPr>
      <w:r w:rsidRPr="00BD6C5F">
        <w:t>the Authority Representative and the Supplier Representative shall attempt in good faith to resolve the Dispute; and</w:t>
      </w:r>
    </w:p>
    <w:p w14:paraId="6B2283A1" w14:textId="77777777" w:rsidR="00BC7DDA" w:rsidRPr="00BD6C5F" w:rsidRDefault="009B03E9" w:rsidP="0012518B">
      <w:pPr>
        <w:pStyle w:val="Numbered111"/>
      </w:pPr>
      <w:r w:rsidRPr="00BD6C5F">
        <w:t>if such attempts are not successful within a reasonable period, not being longer than 20 Working Days, either Party may issue to the other a Dispute Notice.</w:t>
      </w:r>
    </w:p>
    <w:p w14:paraId="2620A782" w14:textId="77777777" w:rsidR="00BC7DDA" w:rsidRPr="00BD6C5F" w:rsidRDefault="009B03E9" w:rsidP="00C70900">
      <w:pPr>
        <w:pStyle w:val="Numbered11"/>
        <w:keepNext/>
      </w:pPr>
      <w:bookmarkStart w:id="1088" w:name="_bookmark376"/>
      <w:bookmarkStart w:id="1089" w:name="_Ref141342245"/>
      <w:bookmarkEnd w:id="1088"/>
      <w:r w:rsidRPr="00BD6C5F">
        <w:t>A Dispute Notice:</w:t>
      </w:r>
      <w:bookmarkEnd w:id="1089"/>
    </w:p>
    <w:p w14:paraId="4DC6EEFB" w14:textId="77777777" w:rsidR="00BC7DDA" w:rsidRPr="00BD6C5F" w:rsidRDefault="009B03E9" w:rsidP="00C70900">
      <w:pPr>
        <w:pStyle w:val="Numbered111"/>
        <w:keepNext/>
      </w:pPr>
      <w:r w:rsidRPr="00BD6C5F">
        <w:t>shall set out:</w:t>
      </w:r>
    </w:p>
    <w:p w14:paraId="63CAFB55" w14:textId="77777777" w:rsidR="00BC7DDA" w:rsidRPr="00BD6C5F" w:rsidRDefault="009B03E9" w:rsidP="009C1CCA">
      <w:pPr>
        <w:pStyle w:val="Numbered111a"/>
        <w:rPr>
          <w:lang w:val="en-GB"/>
        </w:rPr>
      </w:pPr>
      <w:r w:rsidRPr="00BD6C5F">
        <w:rPr>
          <w:lang w:val="en-GB"/>
        </w:rPr>
        <w:t>the material particulars of the Dispute;</w:t>
      </w:r>
    </w:p>
    <w:p w14:paraId="7D18D826" w14:textId="77777777" w:rsidR="00BC7DDA" w:rsidRPr="00BD6C5F" w:rsidRDefault="009B03E9" w:rsidP="0012518B">
      <w:pPr>
        <w:pStyle w:val="Numbered111a"/>
        <w:rPr>
          <w:lang w:val="en-GB"/>
        </w:rPr>
      </w:pPr>
      <w:r w:rsidRPr="00BD6C5F">
        <w:rPr>
          <w:lang w:val="en-GB"/>
        </w:rPr>
        <w:t>the reasons why the Party serving the Dispute Notice believes that the Dispute has arisen; and</w:t>
      </w:r>
    </w:p>
    <w:p w14:paraId="3D2915B4" w14:textId="77777777" w:rsidR="00BC7DDA" w:rsidRPr="00BD6C5F" w:rsidRDefault="009B03E9" w:rsidP="0012518B">
      <w:pPr>
        <w:pStyle w:val="Numbered111a"/>
        <w:rPr>
          <w:lang w:val="en-GB"/>
        </w:rPr>
      </w:pPr>
      <w:r w:rsidRPr="00BD6C5F">
        <w:rPr>
          <w:lang w:val="en-GB"/>
        </w:rPr>
        <w:t>if the Party serving the Dispute Notice believes that the Dispute should be dealt with under the Expedited Dispute Timetable, the reason why; and</w:t>
      </w:r>
    </w:p>
    <w:p w14:paraId="641DEA13" w14:textId="021664EB" w:rsidR="00BC7DDA" w:rsidRPr="00BD6C5F" w:rsidRDefault="009B03E9" w:rsidP="0012518B">
      <w:pPr>
        <w:pStyle w:val="Numbered111"/>
      </w:pPr>
      <w:bookmarkStart w:id="1090" w:name="_bookmark377"/>
      <w:bookmarkStart w:id="1091" w:name="_Ref98416684"/>
      <w:bookmarkStart w:id="1092" w:name="_Ref98453599"/>
      <w:bookmarkEnd w:id="1090"/>
      <w:r w:rsidRPr="00BD6C5F">
        <w:t>may specify in accordance with the requirements of Paragraphs</w:t>
      </w:r>
      <w:r w:rsidR="00D171E0" w:rsidRPr="00BD6C5F">
        <w:t> </w:t>
      </w:r>
      <w:r w:rsidR="00E20ACD" w:rsidRPr="00BD6C5F">
        <w:fldChar w:fldCharType="begin"/>
      </w:r>
      <w:r w:rsidR="00E20ACD" w:rsidRPr="00BD6C5F">
        <w:instrText xml:space="preserve"> REF _Ref98318184 \n \h </w:instrText>
      </w:r>
      <w:r w:rsidR="00AD7DD0" w:rsidRPr="00BD6C5F">
        <w:instrText xml:space="preserve"> \* MERGEFORMAT </w:instrText>
      </w:r>
      <w:r w:rsidR="00E20ACD" w:rsidRPr="00BD6C5F">
        <w:fldChar w:fldCharType="separate"/>
      </w:r>
      <w:r w:rsidR="009749A0">
        <w:t>9.2</w:t>
      </w:r>
      <w:r w:rsidR="00E20ACD" w:rsidRPr="00BD6C5F">
        <w:fldChar w:fldCharType="end"/>
      </w:r>
      <w:r w:rsidRPr="00BD6C5F">
        <w:t xml:space="preserve"> and </w:t>
      </w:r>
      <w:r w:rsidR="00E20ACD" w:rsidRPr="00BD6C5F">
        <w:fldChar w:fldCharType="begin"/>
      </w:r>
      <w:r w:rsidR="00E20ACD" w:rsidRPr="00BD6C5F">
        <w:instrText xml:space="preserve"> REF _Ref98416650 \n \h </w:instrText>
      </w:r>
      <w:r w:rsidR="00AD7DD0" w:rsidRPr="00BD6C5F">
        <w:instrText xml:space="preserve"> \* MERGEFORMAT </w:instrText>
      </w:r>
      <w:r w:rsidR="00E20ACD" w:rsidRPr="00BD6C5F">
        <w:fldChar w:fldCharType="separate"/>
      </w:r>
      <w:r w:rsidR="009749A0">
        <w:t>9.3</w:t>
      </w:r>
      <w:r w:rsidR="00E20ACD" w:rsidRPr="00BD6C5F">
        <w:fldChar w:fldCharType="end"/>
      </w:r>
      <w:r w:rsidRPr="00BD6C5F">
        <w:t xml:space="preserve"> that the Party issuing the Dispute Notice has determined (in the case of the Authority) or considers (in the case of the Supplier) that the Dispute is a Multi-Party Dispute, in which case Paragraph</w:t>
      </w:r>
      <w:bookmarkEnd w:id="1091"/>
      <w:r w:rsidR="00D171E0" w:rsidRPr="00BD6C5F">
        <w:t> </w:t>
      </w:r>
      <w:r w:rsidR="00AC5BF1" w:rsidRPr="00BD6C5F">
        <w:fldChar w:fldCharType="begin"/>
      </w:r>
      <w:r w:rsidR="00AC5BF1" w:rsidRPr="00BD6C5F">
        <w:instrText xml:space="preserve"> REF _Ref98453599 \w \h </w:instrText>
      </w:r>
      <w:r w:rsidR="00AD7DD0" w:rsidRPr="00BD6C5F">
        <w:instrText xml:space="preserve"> \* MERGEFORMAT </w:instrText>
      </w:r>
      <w:r w:rsidR="00AC5BF1" w:rsidRPr="00BD6C5F">
        <w:fldChar w:fldCharType="separate"/>
      </w:r>
      <w:r w:rsidR="009749A0">
        <w:t>2.2.2</w:t>
      </w:r>
      <w:r w:rsidR="00AC5BF1" w:rsidRPr="00BD6C5F">
        <w:fldChar w:fldCharType="end"/>
      </w:r>
      <w:r w:rsidR="00AC5BF1" w:rsidRPr="00BD6C5F">
        <w:t xml:space="preserve"> </w:t>
      </w:r>
      <w:r w:rsidRPr="00BD6C5F">
        <w:t>shall apply.</w:t>
      </w:r>
      <w:bookmarkEnd w:id="1092"/>
    </w:p>
    <w:p w14:paraId="6AA9B6D6" w14:textId="609FD229" w:rsidR="00BC7DDA" w:rsidRPr="00BD6C5F" w:rsidRDefault="009B03E9" w:rsidP="00C70900">
      <w:pPr>
        <w:pStyle w:val="Numbered11"/>
        <w:keepNext/>
      </w:pPr>
      <w:bookmarkStart w:id="1093" w:name="_bookmark378"/>
      <w:bookmarkEnd w:id="1093"/>
      <w:r w:rsidRPr="00BD6C5F">
        <w:t>If a Dispute Notice specifies that the Dispute has been determined or is considered to be a Multi-Party Dispute pursuant to Paragraph</w:t>
      </w:r>
      <w:r w:rsidR="00D171E0" w:rsidRPr="00BD6C5F">
        <w:t> </w:t>
      </w:r>
      <w:r w:rsidR="00E20ACD" w:rsidRPr="00BD6C5F">
        <w:fldChar w:fldCharType="begin"/>
      </w:r>
      <w:r w:rsidR="00E20ACD" w:rsidRPr="00BD6C5F">
        <w:instrText xml:space="preserve"> REF _Ref98416684 \w \h </w:instrText>
      </w:r>
      <w:r w:rsidR="00AD7DD0" w:rsidRPr="00BD6C5F">
        <w:instrText xml:space="preserve"> \* MERGEFORMAT </w:instrText>
      </w:r>
      <w:r w:rsidR="00E20ACD" w:rsidRPr="00BD6C5F">
        <w:fldChar w:fldCharType="separate"/>
      </w:r>
      <w:r w:rsidR="009749A0">
        <w:t>2.2.2</w:t>
      </w:r>
      <w:r w:rsidR="00E20ACD" w:rsidRPr="00BD6C5F">
        <w:fldChar w:fldCharType="end"/>
      </w:r>
      <w:r w:rsidRPr="00BD6C5F">
        <w:t>, then:</w:t>
      </w:r>
    </w:p>
    <w:p w14:paraId="0BD82B14" w14:textId="77777777" w:rsidR="00BC7DDA" w:rsidRPr="00BD6C5F" w:rsidRDefault="009B03E9" w:rsidP="0012518B">
      <w:pPr>
        <w:pStyle w:val="Numbered111"/>
      </w:pPr>
      <w:r w:rsidRPr="00BD6C5F">
        <w:t>if it is served by the Authority it shall be treated as a Multi-Party Procedure Initiation Notice; and</w:t>
      </w:r>
    </w:p>
    <w:p w14:paraId="7EF950FD" w14:textId="77777777" w:rsidR="00BC7DDA" w:rsidRPr="00BD6C5F" w:rsidRDefault="009B03E9" w:rsidP="0012518B">
      <w:pPr>
        <w:pStyle w:val="Numbered111"/>
      </w:pPr>
      <w:r w:rsidRPr="00BD6C5F">
        <w:t>if it is served by the Supplier it shall be treated as a Supplier Request,</w:t>
      </w:r>
    </w:p>
    <w:p w14:paraId="3DA4F8FD" w14:textId="4C40865B" w:rsidR="00BC7DDA" w:rsidRPr="00BD6C5F" w:rsidRDefault="009B03E9" w:rsidP="00145C8B">
      <w:pPr>
        <w:pStyle w:val="BodyText"/>
        <w:spacing w:before="100" w:after="200"/>
        <w:ind w:left="720"/>
        <w:rPr>
          <w:rFonts w:asciiTheme="minorHAnsi" w:hAnsiTheme="minorHAnsi" w:cstheme="minorHAnsi"/>
        </w:rPr>
      </w:pPr>
      <w:r w:rsidRPr="00BD6C5F">
        <w:rPr>
          <w:rFonts w:asciiTheme="minorHAnsi" w:hAnsiTheme="minorHAnsi" w:cstheme="minorHAnsi"/>
        </w:rPr>
        <w:t>and in each case the provisions of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_Ref98416696 \w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9</w:t>
      </w:r>
      <w:r w:rsidR="00E20ACD" w:rsidRPr="00BD6C5F">
        <w:rPr>
          <w:rFonts w:asciiTheme="minorHAnsi" w:hAnsiTheme="minorHAnsi" w:cstheme="minorHAnsi"/>
        </w:rPr>
        <w:fldChar w:fldCharType="end"/>
      </w:r>
      <w:r w:rsidRPr="00BD6C5F">
        <w:rPr>
          <w:rFonts w:asciiTheme="minorHAnsi" w:hAnsiTheme="minorHAnsi" w:cstheme="minorHAnsi"/>
        </w:rPr>
        <w:t xml:space="preserve"> shall apply.</w:t>
      </w:r>
    </w:p>
    <w:p w14:paraId="7CF0DE25" w14:textId="51E70CF0" w:rsidR="00BC7DDA" w:rsidRPr="00BD6C5F" w:rsidRDefault="009B03E9" w:rsidP="00C70900">
      <w:pPr>
        <w:pStyle w:val="Numbered11"/>
        <w:keepNext/>
      </w:pPr>
      <w:bookmarkStart w:id="1094" w:name="_bookmark379"/>
      <w:bookmarkStart w:id="1095" w:name="_Ref141216248"/>
      <w:bookmarkEnd w:id="1094"/>
      <w:r w:rsidRPr="00BD6C5F">
        <w:t>Subject to Paragraphs</w:t>
      </w:r>
      <w:r w:rsidR="00D171E0" w:rsidRPr="00BD6C5F">
        <w:t> </w:t>
      </w:r>
      <w:r w:rsidR="00E20ACD" w:rsidRPr="00BD6C5F">
        <w:fldChar w:fldCharType="begin"/>
      </w:r>
      <w:r w:rsidR="00E20ACD" w:rsidRPr="00BD6C5F">
        <w:instrText xml:space="preserve"> REF _Ref98416706 \w \h </w:instrText>
      </w:r>
      <w:r w:rsidR="00AD7DD0" w:rsidRPr="00BD6C5F">
        <w:instrText xml:space="preserve"> \* MERGEFORMAT </w:instrText>
      </w:r>
      <w:r w:rsidR="00E20ACD" w:rsidRPr="00BD6C5F">
        <w:fldChar w:fldCharType="separate"/>
      </w:r>
      <w:r w:rsidR="009749A0">
        <w:t>2.5</w:t>
      </w:r>
      <w:r w:rsidR="00E20ACD" w:rsidRPr="00BD6C5F">
        <w:fldChar w:fldCharType="end"/>
      </w:r>
      <w:r w:rsidRPr="00BD6C5F">
        <w:t xml:space="preserve"> and </w:t>
      </w:r>
      <w:r w:rsidR="00E20ACD" w:rsidRPr="00BD6C5F">
        <w:fldChar w:fldCharType="begin"/>
      </w:r>
      <w:r w:rsidR="00E20ACD" w:rsidRPr="00BD6C5F">
        <w:instrText xml:space="preserve"> REF _Ref98416715 \w \h </w:instrText>
      </w:r>
      <w:r w:rsidR="00AD7DD0" w:rsidRPr="00BD6C5F">
        <w:instrText xml:space="preserve"> \* MERGEFORMAT </w:instrText>
      </w:r>
      <w:r w:rsidR="00E20ACD" w:rsidRPr="00BD6C5F">
        <w:fldChar w:fldCharType="separate"/>
      </w:r>
      <w:r w:rsidR="009749A0">
        <w:t>3.2</w:t>
      </w:r>
      <w:r w:rsidR="00E20ACD" w:rsidRPr="00BD6C5F">
        <w:fldChar w:fldCharType="end"/>
      </w:r>
      <w:r w:rsidRPr="00BD6C5F">
        <w:t xml:space="preserve"> and so long as the Authority has not served a Multi-Party Procedure Initiation Notice in respect of the relevant Dispute, following the issue of a Dispute Notice the Parties shall seek to resolve the Dispute:</w:t>
      </w:r>
      <w:bookmarkEnd w:id="1095"/>
    </w:p>
    <w:p w14:paraId="3F872249" w14:textId="101462BA" w:rsidR="00BC7DDA" w:rsidRPr="00BD6C5F" w:rsidRDefault="009B03E9" w:rsidP="0012518B">
      <w:pPr>
        <w:pStyle w:val="Numbered111"/>
      </w:pPr>
      <w:r w:rsidRPr="00BD6C5F">
        <w:t>first by commercial negotiation (as prescribed in Paragraph</w:t>
      </w:r>
      <w:r w:rsidR="00D171E0" w:rsidRPr="00BD6C5F">
        <w:t> </w:t>
      </w:r>
      <w:r w:rsidR="00E20ACD" w:rsidRPr="00BD6C5F">
        <w:fldChar w:fldCharType="begin"/>
      </w:r>
      <w:r w:rsidR="00E20ACD" w:rsidRPr="00BD6C5F">
        <w:instrText xml:space="preserve"> REF _Ref98416735 \w \h </w:instrText>
      </w:r>
      <w:r w:rsidR="00AD7DD0" w:rsidRPr="00BD6C5F">
        <w:instrText xml:space="preserve"> \* MERGEFORMAT </w:instrText>
      </w:r>
      <w:r w:rsidR="00E20ACD" w:rsidRPr="00BD6C5F">
        <w:fldChar w:fldCharType="separate"/>
      </w:r>
      <w:r w:rsidR="009749A0">
        <w:t>4</w:t>
      </w:r>
      <w:r w:rsidR="00E20ACD" w:rsidRPr="00BD6C5F">
        <w:fldChar w:fldCharType="end"/>
      </w:r>
      <w:r w:rsidRPr="00BD6C5F">
        <w:t>);</w:t>
      </w:r>
    </w:p>
    <w:p w14:paraId="3E3B1346" w14:textId="4C20B2B1" w:rsidR="00BC7DDA" w:rsidRPr="00BD6C5F" w:rsidRDefault="009B03E9" w:rsidP="0012518B">
      <w:pPr>
        <w:pStyle w:val="Numbered111"/>
      </w:pPr>
      <w:r w:rsidRPr="00BD6C5F">
        <w:t>then, if either Party serves a Mediation Notice, by mediation (as prescribed in Paragraph</w:t>
      </w:r>
      <w:r w:rsidR="00D171E0" w:rsidRPr="00BD6C5F">
        <w:t> </w:t>
      </w:r>
      <w:r w:rsidR="00E20ACD" w:rsidRPr="00BD6C5F">
        <w:fldChar w:fldCharType="begin"/>
      </w:r>
      <w:r w:rsidR="00E20ACD" w:rsidRPr="00BD6C5F">
        <w:instrText xml:space="preserve"> REF _Ref98416743 \w \h </w:instrText>
      </w:r>
      <w:r w:rsidR="00AD7DD0" w:rsidRPr="00BD6C5F">
        <w:instrText xml:space="preserve"> \* MERGEFORMAT </w:instrText>
      </w:r>
      <w:r w:rsidR="00E20ACD" w:rsidRPr="00BD6C5F">
        <w:fldChar w:fldCharType="separate"/>
      </w:r>
      <w:r w:rsidR="009749A0">
        <w:t>5</w:t>
      </w:r>
      <w:r w:rsidR="00E20ACD" w:rsidRPr="00BD6C5F">
        <w:fldChar w:fldCharType="end"/>
      </w:r>
      <w:r w:rsidRPr="00BD6C5F">
        <w:t>); and</w:t>
      </w:r>
    </w:p>
    <w:p w14:paraId="7B5F4C94" w14:textId="069665B0" w:rsidR="00BC7DDA" w:rsidRPr="00BD6C5F" w:rsidRDefault="009B03E9" w:rsidP="0012518B">
      <w:pPr>
        <w:pStyle w:val="Numbered111"/>
      </w:pPr>
      <w:r w:rsidRPr="00BD6C5F">
        <w:t>lastly by recourse to arbitration (as prescribed in Paragraph</w:t>
      </w:r>
      <w:r w:rsidR="00D171E0" w:rsidRPr="00BD6C5F">
        <w:t> </w:t>
      </w:r>
      <w:r w:rsidR="00E20ACD" w:rsidRPr="00BD6C5F">
        <w:fldChar w:fldCharType="begin"/>
      </w:r>
      <w:r w:rsidR="00E20ACD" w:rsidRPr="00BD6C5F">
        <w:instrText xml:space="preserve"> REF _Ref98416752 \w \h </w:instrText>
      </w:r>
      <w:r w:rsidR="00AD7DD0" w:rsidRPr="00BD6C5F">
        <w:instrText xml:space="preserve"> \* MERGEFORMAT </w:instrText>
      </w:r>
      <w:r w:rsidR="00E20ACD" w:rsidRPr="00BD6C5F">
        <w:fldChar w:fldCharType="separate"/>
      </w:r>
      <w:r w:rsidR="009749A0">
        <w:t>7</w:t>
      </w:r>
      <w:r w:rsidR="00E20ACD" w:rsidRPr="00BD6C5F">
        <w:fldChar w:fldCharType="end"/>
      </w:r>
      <w:r w:rsidRPr="00BD6C5F">
        <w:t xml:space="preserve">) or litigation (in accordance with </w:t>
      </w:r>
      <w:r w:rsidR="005E736B" w:rsidRPr="00BD6C5F">
        <w:t>Clause </w:t>
      </w:r>
      <w:r w:rsidRPr="00BD6C5F">
        <w:t>4</w:t>
      </w:r>
      <w:r w:rsidR="00E16B17" w:rsidRPr="00BD6C5F">
        <w:t>3</w:t>
      </w:r>
      <w:r w:rsidRPr="00BD6C5F">
        <w:t xml:space="preserve"> (</w:t>
      </w:r>
      <w:r w:rsidRPr="00BD6C5F">
        <w:rPr>
          <w:i/>
        </w:rPr>
        <w:t>Governing Law and Jurisdiction</w:t>
      </w:r>
      <w:r w:rsidRPr="00BD6C5F">
        <w:t>)).</w:t>
      </w:r>
    </w:p>
    <w:p w14:paraId="1999633E" w14:textId="4F20E289" w:rsidR="00BC7DDA" w:rsidRPr="00BD6C5F" w:rsidRDefault="009B03E9" w:rsidP="00C5057A">
      <w:pPr>
        <w:pStyle w:val="Numbered11"/>
      </w:pPr>
      <w:bookmarkStart w:id="1096" w:name="_bookmark380"/>
      <w:bookmarkStart w:id="1097" w:name="_Ref98416706"/>
      <w:bookmarkEnd w:id="1096"/>
      <w:r w:rsidRPr="00BD6C5F">
        <w:t>Specific issues shall be referred to Expert Determination (as prescribed in Paragraph</w:t>
      </w:r>
      <w:r w:rsidR="00D171E0" w:rsidRPr="00BD6C5F">
        <w:t> </w:t>
      </w:r>
      <w:r w:rsidR="00E20ACD" w:rsidRPr="00BD6C5F">
        <w:fldChar w:fldCharType="begin"/>
      </w:r>
      <w:r w:rsidR="00E20ACD" w:rsidRPr="00BD6C5F">
        <w:instrText xml:space="preserve"> REF _Ref98353430 \w \h </w:instrText>
      </w:r>
      <w:r w:rsidR="00AD7DD0" w:rsidRPr="00BD6C5F">
        <w:instrText xml:space="preserve"> \* MERGEFORMAT </w:instrText>
      </w:r>
      <w:r w:rsidR="00E20ACD" w:rsidRPr="00BD6C5F">
        <w:fldChar w:fldCharType="separate"/>
      </w:r>
      <w:r w:rsidR="009749A0">
        <w:t>6</w:t>
      </w:r>
      <w:r w:rsidR="00E20ACD" w:rsidRPr="00BD6C5F">
        <w:fldChar w:fldCharType="end"/>
      </w:r>
      <w:r w:rsidRPr="00BD6C5F">
        <w:t xml:space="preserve">) where specified under the provisions of this </w:t>
      </w:r>
      <w:r w:rsidR="00693D11" w:rsidRPr="00BD6C5F">
        <w:t xml:space="preserve">Contract </w:t>
      </w:r>
      <w:r w:rsidRPr="00BD6C5F">
        <w:t>and may also be referred to Expert Determination where otherwise appropriate as specified in Paragraph</w:t>
      </w:r>
      <w:r w:rsidR="00D171E0" w:rsidRPr="00BD6C5F">
        <w:t> </w:t>
      </w:r>
      <w:r w:rsidR="00E20ACD" w:rsidRPr="00BD6C5F">
        <w:fldChar w:fldCharType="begin"/>
      </w:r>
      <w:r w:rsidR="00E20ACD" w:rsidRPr="00BD6C5F">
        <w:instrText xml:space="preserve"> REF _Ref98416779 \n \h </w:instrText>
      </w:r>
      <w:r w:rsidR="00AD7DD0" w:rsidRPr="00BD6C5F">
        <w:instrText xml:space="preserve"> \* MERGEFORMAT </w:instrText>
      </w:r>
      <w:r w:rsidR="00E20ACD" w:rsidRPr="00BD6C5F">
        <w:fldChar w:fldCharType="separate"/>
      </w:r>
      <w:r w:rsidR="009749A0">
        <w:t>6.1</w:t>
      </w:r>
      <w:r w:rsidR="00E20ACD" w:rsidRPr="00BD6C5F">
        <w:fldChar w:fldCharType="end"/>
      </w:r>
      <w:r w:rsidRPr="00BD6C5F">
        <w:t>.</w:t>
      </w:r>
      <w:bookmarkEnd w:id="1097"/>
    </w:p>
    <w:p w14:paraId="2C81118C" w14:textId="533A3A07" w:rsidR="00BC7DDA" w:rsidRPr="00BD6C5F" w:rsidRDefault="009B03E9" w:rsidP="00C5057A">
      <w:pPr>
        <w:pStyle w:val="Numbered11"/>
      </w:pPr>
      <w:r w:rsidRPr="00BD6C5F">
        <w:t xml:space="preserve">Unless agreed otherwise in writing, the Parties shall continue to comply with their </w:t>
      </w:r>
      <w:r w:rsidRPr="00BD6C5F">
        <w:lastRenderedPageBreak/>
        <w:t xml:space="preserve">respective obligations under this </w:t>
      </w:r>
      <w:r w:rsidR="00693D11" w:rsidRPr="00BD6C5F">
        <w:t xml:space="preserve">Contract </w:t>
      </w:r>
      <w:r w:rsidRPr="00BD6C5F">
        <w:t>regardless of the nature of the Dispute and notwithstanding any issue of a Dispute Notice or a Multi-Party Procedure Initiation Notice or proceedings under Paragraph</w:t>
      </w:r>
      <w:r w:rsidR="00D171E0" w:rsidRPr="00BD6C5F">
        <w:t> </w:t>
      </w:r>
      <w:r w:rsidR="00E20ACD" w:rsidRPr="00BD6C5F">
        <w:fldChar w:fldCharType="begin"/>
      </w:r>
      <w:r w:rsidR="00E20ACD" w:rsidRPr="00BD6C5F">
        <w:instrText xml:space="preserve"> REF _Ref98416792 \n \h </w:instrText>
      </w:r>
      <w:r w:rsidR="00AD7DD0" w:rsidRPr="00BD6C5F">
        <w:instrText xml:space="preserve"> \* MERGEFORMAT </w:instrText>
      </w:r>
      <w:r w:rsidR="00E20ACD" w:rsidRPr="00BD6C5F">
        <w:fldChar w:fldCharType="separate"/>
      </w:r>
      <w:r w:rsidR="009749A0">
        <w:t>8</w:t>
      </w:r>
      <w:r w:rsidR="00E20ACD" w:rsidRPr="00BD6C5F">
        <w:fldChar w:fldCharType="end"/>
      </w:r>
      <w:r w:rsidRPr="00BD6C5F">
        <w:t xml:space="preserve"> (</w:t>
      </w:r>
      <w:r w:rsidRPr="00BD6C5F">
        <w:rPr>
          <w:i/>
        </w:rPr>
        <w:t>Urgent Relief</w:t>
      </w:r>
      <w:r w:rsidRPr="00BD6C5F">
        <w:t>).</w:t>
      </w:r>
    </w:p>
    <w:p w14:paraId="6E8B0165" w14:textId="4E7234B7" w:rsidR="00BC7DDA" w:rsidRPr="00BD6C5F" w:rsidRDefault="0012518B" w:rsidP="00C5057A">
      <w:pPr>
        <w:pStyle w:val="Numbered1"/>
      </w:pPr>
      <w:bookmarkStart w:id="1098" w:name="_bookmark381"/>
      <w:bookmarkStart w:id="1099" w:name="_Ref98353415"/>
      <w:bookmarkEnd w:id="1098"/>
      <w:r w:rsidRPr="00BD6C5F">
        <w:t>Expedited Dispute Timetable</w:t>
      </w:r>
      <w:bookmarkEnd w:id="1099"/>
    </w:p>
    <w:p w14:paraId="65C18237" w14:textId="77777777" w:rsidR="00BC7DDA" w:rsidRPr="00BD6C5F" w:rsidRDefault="009B03E9" w:rsidP="00C5057A">
      <w:pPr>
        <w:pStyle w:val="Numbered11"/>
      </w:pPr>
      <w:bookmarkStart w:id="1100" w:name="_bookmark382"/>
      <w:bookmarkStart w:id="1101" w:name="_Ref98416804"/>
      <w:bookmarkEnd w:id="1100"/>
      <w:r w:rsidRPr="00BD6C5F">
        <w:t>In exceptional circumstances where the use of the times in this Schedule 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5 Working Days of the issue of a Dispute Notice, the use of the Expedited Dispute Timetable shall be at the sole discretion of the Authority.</w:t>
      </w:r>
      <w:bookmarkEnd w:id="1101"/>
    </w:p>
    <w:p w14:paraId="4BAD6201" w14:textId="6E17C00B" w:rsidR="00BC7DDA" w:rsidRPr="00BD6C5F" w:rsidRDefault="009B03E9" w:rsidP="00C5057A">
      <w:pPr>
        <w:pStyle w:val="Numbered11"/>
      </w:pPr>
      <w:bookmarkStart w:id="1102" w:name="_bookmark383"/>
      <w:bookmarkStart w:id="1103" w:name="_Ref98416715"/>
      <w:bookmarkEnd w:id="1102"/>
      <w:r w:rsidRPr="00BD6C5F">
        <w:t>If the Expedited Dispute Timetable is to be used pursuant to the provisions of Paragraph</w:t>
      </w:r>
      <w:r w:rsidR="00D171E0" w:rsidRPr="00BD6C5F">
        <w:t> </w:t>
      </w:r>
      <w:r w:rsidR="00E20ACD" w:rsidRPr="00BD6C5F">
        <w:fldChar w:fldCharType="begin"/>
      </w:r>
      <w:r w:rsidR="00E20ACD" w:rsidRPr="00BD6C5F">
        <w:instrText xml:space="preserve"> REF _Ref98416804 \n \h </w:instrText>
      </w:r>
      <w:r w:rsidR="00AD7DD0" w:rsidRPr="00BD6C5F">
        <w:instrText xml:space="preserve"> \* MERGEFORMAT </w:instrText>
      </w:r>
      <w:r w:rsidR="00E20ACD" w:rsidRPr="00BD6C5F">
        <w:fldChar w:fldCharType="separate"/>
      </w:r>
      <w:r w:rsidR="009749A0">
        <w:t>3.1</w:t>
      </w:r>
      <w:r w:rsidR="00E20ACD" w:rsidRPr="00BD6C5F">
        <w:fldChar w:fldCharType="end"/>
      </w:r>
      <w:r w:rsidRPr="00BD6C5F">
        <w:t xml:space="preserve"> or is otherwise specified under the provisions of this </w:t>
      </w:r>
      <w:r w:rsidR="00F2762A" w:rsidRPr="00BD6C5F">
        <w:t>Contract</w:t>
      </w:r>
      <w:r w:rsidRPr="00BD6C5F">
        <w:t>, then the following periods of time shall apply in lieu of the time periods specified in the applicable Paragraphs:</w:t>
      </w:r>
      <w:bookmarkEnd w:id="1103"/>
    </w:p>
    <w:p w14:paraId="55959B07" w14:textId="177C51CB" w:rsidR="00BC7DDA" w:rsidRPr="00BD6C5F" w:rsidRDefault="009B03E9" w:rsidP="0012518B">
      <w:pPr>
        <w:pStyle w:val="Numbered111"/>
      </w:pPr>
      <w:r w:rsidRPr="00BD6C5F">
        <w:t>in Paragraph</w:t>
      </w:r>
      <w:r w:rsidR="00D171E0" w:rsidRPr="00BD6C5F">
        <w:t> </w:t>
      </w:r>
      <w:r w:rsidR="00E20ACD" w:rsidRPr="00BD6C5F">
        <w:fldChar w:fldCharType="begin"/>
      </w:r>
      <w:r w:rsidR="00E20ACD" w:rsidRPr="00BD6C5F">
        <w:instrText xml:space="preserve"> REF _Ref98416814 \w \h </w:instrText>
      </w:r>
      <w:r w:rsidR="00AD7DD0" w:rsidRPr="00BD6C5F">
        <w:instrText xml:space="preserve"> \* MERGEFORMAT </w:instrText>
      </w:r>
      <w:r w:rsidR="00E20ACD" w:rsidRPr="00BD6C5F">
        <w:fldChar w:fldCharType="separate"/>
      </w:r>
      <w:r w:rsidR="009749A0">
        <w:t>4.2.3</w:t>
      </w:r>
      <w:r w:rsidR="00E20ACD" w:rsidRPr="00BD6C5F">
        <w:fldChar w:fldCharType="end"/>
      </w:r>
      <w:r w:rsidRPr="00BD6C5F">
        <w:t>, 10 Working Days;</w:t>
      </w:r>
    </w:p>
    <w:p w14:paraId="67692D23" w14:textId="0915691F" w:rsidR="00BC7DDA" w:rsidRPr="00BD6C5F" w:rsidRDefault="009B03E9" w:rsidP="0012518B">
      <w:pPr>
        <w:pStyle w:val="Numbered111"/>
      </w:pPr>
      <w:r w:rsidRPr="00BD6C5F">
        <w:t>in Paragraph</w:t>
      </w:r>
      <w:r w:rsidR="00D171E0" w:rsidRPr="00BD6C5F">
        <w:t> </w:t>
      </w:r>
      <w:r w:rsidR="00E20ACD" w:rsidRPr="00BD6C5F">
        <w:fldChar w:fldCharType="begin"/>
      </w:r>
      <w:r w:rsidR="00E20ACD" w:rsidRPr="00BD6C5F">
        <w:instrText xml:space="preserve"> REF _Ref98416591 \n \h </w:instrText>
      </w:r>
      <w:r w:rsidR="00AD7DD0" w:rsidRPr="00BD6C5F">
        <w:instrText xml:space="preserve"> \* MERGEFORMAT </w:instrText>
      </w:r>
      <w:r w:rsidR="00E20ACD" w:rsidRPr="00BD6C5F">
        <w:fldChar w:fldCharType="separate"/>
      </w:r>
      <w:r w:rsidR="009749A0">
        <w:t>5.2</w:t>
      </w:r>
      <w:r w:rsidR="00E20ACD" w:rsidRPr="00BD6C5F">
        <w:fldChar w:fldCharType="end"/>
      </w:r>
      <w:r w:rsidRPr="00BD6C5F">
        <w:t>, 10 Working Days;</w:t>
      </w:r>
    </w:p>
    <w:p w14:paraId="48F59080" w14:textId="4CA678A4" w:rsidR="00BC7DDA" w:rsidRPr="00BD6C5F" w:rsidRDefault="009B03E9" w:rsidP="0012518B">
      <w:pPr>
        <w:pStyle w:val="Numbered111"/>
      </w:pPr>
      <w:r w:rsidRPr="00BD6C5F">
        <w:t>in Paragraph</w:t>
      </w:r>
      <w:r w:rsidR="00D171E0" w:rsidRPr="00BD6C5F">
        <w:t> </w:t>
      </w:r>
      <w:r w:rsidR="00E20ACD" w:rsidRPr="00BD6C5F">
        <w:fldChar w:fldCharType="begin"/>
      </w:r>
      <w:r w:rsidR="00E20ACD" w:rsidRPr="00BD6C5F">
        <w:instrText xml:space="preserve"> REF _Ref98416561 \n \h </w:instrText>
      </w:r>
      <w:r w:rsidR="00AD7DD0" w:rsidRPr="00BD6C5F">
        <w:instrText xml:space="preserve"> \* MERGEFORMAT </w:instrText>
      </w:r>
      <w:r w:rsidR="00E20ACD" w:rsidRPr="00BD6C5F">
        <w:fldChar w:fldCharType="separate"/>
      </w:r>
      <w:r w:rsidR="009749A0">
        <w:t>6.2</w:t>
      </w:r>
      <w:r w:rsidR="00E20ACD" w:rsidRPr="00BD6C5F">
        <w:fldChar w:fldCharType="end"/>
      </w:r>
      <w:r w:rsidRPr="00BD6C5F">
        <w:t>, 5 Working Days; and</w:t>
      </w:r>
    </w:p>
    <w:p w14:paraId="0FB550D9" w14:textId="220A78BC" w:rsidR="00BC7DDA" w:rsidRPr="00BD6C5F" w:rsidRDefault="009B03E9" w:rsidP="0012518B">
      <w:pPr>
        <w:pStyle w:val="Numbered111"/>
      </w:pPr>
      <w:r w:rsidRPr="00BD6C5F">
        <w:t>in Paragraph</w:t>
      </w:r>
      <w:r w:rsidR="00D171E0" w:rsidRPr="00BD6C5F">
        <w:t> </w:t>
      </w:r>
      <w:r w:rsidR="00E20ACD" w:rsidRPr="00BD6C5F">
        <w:fldChar w:fldCharType="begin"/>
      </w:r>
      <w:r w:rsidR="00E20ACD" w:rsidRPr="00BD6C5F">
        <w:instrText xml:space="preserve"> REF _Ref98416550 \n \h </w:instrText>
      </w:r>
      <w:r w:rsidR="00AD7DD0" w:rsidRPr="00BD6C5F">
        <w:instrText xml:space="preserve"> \* MERGEFORMAT </w:instrText>
      </w:r>
      <w:r w:rsidR="00E20ACD" w:rsidRPr="00BD6C5F">
        <w:fldChar w:fldCharType="separate"/>
      </w:r>
      <w:r w:rsidR="009749A0">
        <w:t>7.2</w:t>
      </w:r>
      <w:r w:rsidR="00E20ACD" w:rsidRPr="00BD6C5F">
        <w:fldChar w:fldCharType="end"/>
      </w:r>
      <w:r w:rsidRPr="00BD6C5F">
        <w:t>, 10 Working Days.</w:t>
      </w:r>
    </w:p>
    <w:p w14:paraId="39EB6036" w14:textId="0C5CFA03" w:rsidR="00BC7DDA" w:rsidRPr="00BD6C5F" w:rsidRDefault="009B03E9" w:rsidP="00C5057A">
      <w:pPr>
        <w:pStyle w:val="Numbered11"/>
      </w:pPr>
      <w:r w:rsidRPr="00BD6C5F">
        <w:t>If at any point it becomes clear that an applicable deadline cannot be met or has passed, the Parties may (but shall be under no obligation to) agree in writing to extend the deadline. If the Parties fail to agree within 2 Working Days after the deadline has passed, the Authority may set a revised deadline provided that it is no less than 5 Working Days before the end of the period of time specified in the applicable paragraphs (or 2 Working Days in the case of Paragraph</w:t>
      </w:r>
      <w:r w:rsidR="00D171E0" w:rsidRPr="00BD6C5F">
        <w:t> </w:t>
      </w:r>
      <w:r w:rsidR="00E20ACD" w:rsidRPr="00BD6C5F">
        <w:fldChar w:fldCharType="begin"/>
      </w:r>
      <w:r w:rsidR="00E20ACD" w:rsidRPr="00BD6C5F">
        <w:instrText xml:space="preserve"> REF _Ref98416561 \n \h </w:instrText>
      </w:r>
      <w:r w:rsidR="00AD7DD0" w:rsidRPr="00BD6C5F">
        <w:instrText xml:space="preserve"> \* MERGEFORMAT </w:instrText>
      </w:r>
      <w:r w:rsidR="00E20ACD" w:rsidRPr="00BD6C5F">
        <w:fldChar w:fldCharType="separate"/>
      </w:r>
      <w:r w:rsidR="009749A0">
        <w:t>6.2</w:t>
      </w:r>
      <w:r w:rsidR="00E20ACD" w:rsidRPr="00BD6C5F">
        <w:fldChar w:fldCharType="end"/>
      </w:r>
      <w:r w:rsidRPr="00BD6C5F">
        <w:t>). Any agreed extension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15D6C71E" w14:textId="2735FD13" w:rsidR="00BC7DDA" w:rsidRPr="00BD6C5F" w:rsidRDefault="0012518B" w:rsidP="00C5057A">
      <w:pPr>
        <w:pStyle w:val="Numbered1"/>
      </w:pPr>
      <w:bookmarkStart w:id="1104" w:name="_bookmark384"/>
      <w:bookmarkStart w:id="1105" w:name="_Ref98416735"/>
      <w:bookmarkEnd w:id="1104"/>
      <w:r w:rsidRPr="00BD6C5F">
        <w:t>Commercial Negotiation</w:t>
      </w:r>
      <w:bookmarkEnd w:id="1105"/>
    </w:p>
    <w:p w14:paraId="6BA19905" w14:textId="2DB66DD4" w:rsidR="00BC7DDA" w:rsidRPr="004C3F13" w:rsidRDefault="009B03E9" w:rsidP="00C5057A">
      <w:pPr>
        <w:pStyle w:val="Numbered11"/>
      </w:pPr>
      <w:bookmarkStart w:id="1106" w:name="_bookmark385"/>
      <w:bookmarkStart w:id="1107" w:name="_Ref98416877"/>
      <w:bookmarkEnd w:id="1106"/>
      <w:r w:rsidRPr="00BD6C5F">
        <w:t>Following the service of a Dispute Notice, then, so long as the Authority has not served a Multi-Party Procedure Initiation Notice in respect of the relevant Dispute, the Authority and the Supplier shall make reasonable endeavours to resolve the Dispute as soon as possible by commercial negotiatio</w:t>
      </w:r>
      <w:r w:rsidRPr="004C3F13">
        <w:t>n between the Authority</w:t>
      </w:r>
      <w:r w:rsidR="00A4555C" w:rsidRPr="004C3F13">
        <w:t>’</w:t>
      </w:r>
      <w:r w:rsidRPr="004C3F13">
        <w:t xml:space="preserve">s </w:t>
      </w:r>
      <w:r w:rsidRPr="004C3F13">
        <w:rPr>
          <w:highlight w:val="yellow"/>
        </w:rPr>
        <w:t>[</w:t>
      </w:r>
      <w:r w:rsidRPr="00D3014E">
        <w:rPr>
          <w:b/>
          <w:bCs/>
          <w:highlight w:val="yellow"/>
        </w:rPr>
        <w:t>insert</w:t>
      </w:r>
      <w:r w:rsidRPr="004C3F13">
        <w:rPr>
          <w:highlight w:val="yellow"/>
        </w:rPr>
        <w:t xml:space="preserve"> role]</w:t>
      </w:r>
      <w:r w:rsidRPr="004C3F13">
        <w:t xml:space="preserve"> and the Supplier</w:t>
      </w:r>
      <w:r w:rsidR="00A4555C" w:rsidRPr="004C3F13">
        <w:t>’</w:t>
      </w:r>
      <w:r w:rsidRPr="004C3F13">
        <w:t xml:space="preserve">s </w:t>
      </w:r>
      <w:r w:rsidRPr="004C3F13">
        <w:rPr>
          <w:highlight w:val="yellow"/>
        </w:rPr>
        <w:t>[</w:t>
      </w:r>
      <w:r w:rsidRPr="00D3014E">
        <w:rPr>
          <w:b/>
          <w:bCs/>
          <w:highlight w:val="yellow"/>
        </w:rPr>
        <w:t>insert</w:t>
      </w:r>
      <w:r w:rsidRPr="004C3F13">
        <w:rPr>
          <w:highlight w:val="yellow"/>
        </w:rPr>
        <w:t xml:space="preserve"> role]</w:t>
      </w:r>
      <w:r w:rsidRPr="004C3F13">
        <w:t>.</w:t>
      </w:r>
      <w:bookmarkEnd w:id="1107"/>
    </w:p>
    <w:p w14:paraId="31784DD4" w14:textId="77777777" w:rsidR="00BC7DDA" w:rsidRPr="00BD6C5F" w:rsidRDefault="009B03E9" w:rsidP="00C70900">
      <w:pPr>
        <w:pStyle w:val="Numbered11"/>
        <w:keepNext/>
      </w:pPr>
      <w:bookmarkStart w:id="1108" w:name="_bookmark386"/>
      <w:bookmarkStart w:id="1109" w:name="_Ref98416582"/>
      <w:bookmarkEnd w:id="1108"/>
      <w:r w:rsidRPr="00BD6C5F">
        <w:t>If:</w:t>
      </w:r>
      <w:bookmarkEnd w:id="1109"/>
    </w:p>
    <w:p w14:paraId="316A292B" w14:textId="77108F38" w:rsidR="00BC7DDA" w:rsidRPr="00BD6C5F" w:rsidRDefault="009B03E9" w:rsidP="0012518B">
      <w:pPr>
        <w:pStyle w:val="Numbered111"/>
      </w:pPr>
      <w:r w:rsidRPr="00BD6C5F">
        <w:t>either Party is of the reasonable opinion that the resolution of a Dispute by commercial negotiation, or the continuance of commercial negotiation, will not result in an appropriate solution;</w:t>
      </w:r>
    </w:p>
    <w:p w14:paraId="50BA2346" w14:textId="4219E49B" w:rsidR="00BC7DDA" w:rsidRPr="00BD6C5F" w:rsidRDefault="009B03E9" w:rsidP="0012518B">
      <w:pPr>
        <w:pStyle w:val="Numbered111"/>
      </w:pPr>
      <w:r w:rsidRPr="00BD6C5F">
        <w:t>the Parties have already held discussions of a nature and intent (or otherwise were conducted in the spirit) that would equate to the conduct of commercial negotiation in accordance with this Paragraph</w:t>
      </w:r>
      <w:r w:rsidR="00D171E0" w:rsidRPr="00BD6C5F">
        <w:t> </w:t>
      </w:r>
      <w:r w:rsidR="00E20ACD" w:rsidRPr="00BD6C5F">
        <w:fldChar w:fldCharType="begin"/>
      </w:r>
      <w:r w:rsidR="00E20ACD" w:rsidRPr="00BD6C5F">
        <w:instrText xml:space="preserve"> REF _Ref98416735 \n \h </w:instrText>
      </w:r>
      <w:r w:rsidR="00AD7DD0" w:rsidRPr="00BD6C5F">
        <w:instrText xml:space="preserve"> \* MERGEFORMAT </w:instrText>
      </w:r>
      <w:r w:rsidR="00E20ACD" w:rsidRPr="00BD6C5F">
        <w:fldChar w:fldCharType="separate"/>
      </w:r>
      <w:r w:rsidR="009749A0">
        <w:t>4</w:t>
      </w:r>
      <w:r w:rsidR="00E20ACD" w:rsidRPr="00BD6C5F">
        <w:fldChar w:fldCharType="end"/>
      </w:r>
      <w:r w:rsidRPr="00BD6C5F">
        <w:t>; or</w:t>
      </w:r>
    </w:p>
    <w:p w14:paraId="0FE8074E" w14:textId="19C1A5B1" w:rsidR="00BC7DDA" w:rsidRPr="00BD6C5F" w:rsidRDefault="009B03E9" w:rsidP="0012518B">
      <w:pPr>
        <w:pStyle w:val="Numbered111"/>
      </w:pPr>
      <w:bookmarkStart w:id="1110" w:name="_bookmark387"/>
      <w:bookmarkStart w:id="1111" w:name="_Ref98416814"/>
      <w:bookmarkEnd w:id="1110"/>
      <w:r w:rsidRPr="00BD6C5F">
        <w:lastRenderedPageBreak/>
        <w:t>the Parties have not settled the Dispute in accordance with Paragraph</w:t>
      </w:r>
      <w:r w:rsidR="00D171E0" w:rsidRPr="00BD6C5F">
        <w:t> </w:t>
      </w:r>
      <w:r w:rsidR="00E20ACD" w:rsidRPr="00BD6C5F">
        <w:fldChar w:fldCharType="begin"/>
      </w:r>
      <w:r w:rsidR="00E20ACD" w:rsidRPr="00BD6C5F">
        <w:instrText xml:space="preserve"> REF _Ref98416877 \n \h </w:instrText>
      </w:r>
      <w:r w:rsidR="00AD7DD0" w:rsidRPr="00BD6C5F">
        <w:instrText xml:space="preserve"> \* MERGEFORMAT </w:instrText>
      </w:r>
      <w:r w:rsidR="00E20ACD" w:rsidRPr="00BD6C5F">
        <w:fldChar w:fldCharType="separate"/>
      </w:r>
      <w:r w:rsidR="009749A0">
        <w:t>4.1</w:t>
      </w:r>
      <w:r w:rsidR="00E20ACD" w:rsidRPr="00BD6C5F">
        <w:fldChar w:fldCharType="end"/>
      </w:r>
      <w:r w:rsidRPr="00BD6C5F">
        <w:t xml:space="preserve"> within 30 Working Days of service of the Dispute Notice,</w:t>
      </w:r>
      <w:bookmarkEnd w:id="1111"/>
    </w:p>
    <w:p w14:paraId="536CEAC4" w14:textId="72F8BE06" w:rsidR="00BC7DDA" w:rsidRPr="00BD6C5F" w:rsidRDefault="009B03E9" w:rsidP="00145C8B">
      <w:pPr>
        <w:pStyle w:val="BodyText"/>
        <w:spacing w:before="100" w:after="200"/>
        <w:ind w:left="720"/>
        <w:rPr>
          <w:rFonts w:asciiTheme="minorHAnsi" w:hAnsiTheme="minorHAnsi" w:cstheme="minorHAnsi"/>
        </w:rPr>
      </w:pPr>
      <w:r w:rsidRPr="00BD6C5F">
        <w:rPr>
          <w:rFonts w:asciiTheme="minorHAnsi" w:hAnsiTheme="minorHAnsi" w:cstheme="minorHAnsi"/>
        </w:rPr>
        <w:t>either Party may serve a written notice to proceed to mediation in accordance with Paragraph</w:t>
      </w:r>
      <w:r w:rsidR="00D171E0" w:rsidRPr="00BD6C5F">
        <w:rPr>
          <w:rFonts w:asciiTheme="minorHAnsi" w:hAnsiTheme="minorHAnsi" w:cstheme="minorHAnsi"/>
        </w:rPr>
        <w:t> </w:t>
      </w:r>
      <w:r w:rsidR="00E20ACD" w:rsidRPr="00BD6C5F">
        <w:rPr>
          <w:rFonts w:asciiTheme="minorHAnsi" w:hAnsiTheme="minorHAnsi" w:cstheme="minorHAnsi"/>
        </w:rPr>
        <w:fldChar w:fldCharType="begin"/>
      </w:r>
      <w:r w:rsidR="00E20ACD" w:rsidRPr="00BD6C5F">
        <w:rPr>
          <w:rFonts w:asciiTheme="minorHAnsi" w:hAnsiTheme="minorHAnsi" w:cstheme="minorHAnsi"/>
        </w:rPr>
        <w:instrText xml:space="preserve"> REF _Ref98416743 \n \h </w:instrText>
      </w:r>
      <w:r w:rsidR="00AD7DD0" w:rsidRPr="00BD6C5F">
        <w:rPr>
          <w:rFonts w:asciiTheme="minorHAnsi" w:hAnsiTheme="minorHAnsi" w:cstheme="minorHAnsi"/>
        </w:rPr>
        <w:instrText xml:space="preserve"> \* MERGEFORMAT </w:instrText>
      </w:r>
      <w:r w:rsidR="00E20ACD" w:rsidRPr="00BD6C5F">
        <w:rPr>
          <w:rFonts w:asciiTheme="minorHAnsi" w:hAnsiTheme="minorHAnsi" w:cstheme="minorHAnsi"/>
        </w:rPr>
      </w:r>
      <w:r w:rsidR="00E20ACD" w:rsidRPr="00BD6C5F">
        <w:rPr>
          <w:rFonts w:asciiTheme="minorHAnsi" w:hAnsiTheme="minorHAnsi" w:cstheme="minorHAnsi"/>
        </w:rPr>
        <w:fldChar w:fldCharType="separate"/>
      </w:r>
      <w:r w:rsidR="009749A0">
        <w:rPr>
          <w:rFonts w:asciiTheme="minorHAnsi" w:hAnsiTheme="minorHAnsi" w:cstheme="minorHAnsi"/>
        </w:rPr>
        <w:t>5</w:t>
      </w:r>
      <w:r w:rsidR="00E20ACD" w:rsidRPr="00BD6C5F">
        <w:rPr>
          <w:rFonts w:asciiTheme="minorHAnsi" w:hAnsiTheme="minorHAnsi" w:cstheme="minorHAnsi"/>
        </w:rPr>
        <w:fldChar w:fldCharType="end"/>
      </w:r>
      <w:r w:rsidRPr="00BD6C5F">
        <w:rPr>
          <w:rFonts w:asciiTheme="minorHAnsi" w:hAnsiTheme="minorHAnsi" w:cstheme="minorHAnsi"/>
        </w:rPr>
        <w:t xml:space="preserve"> (a </w:t>
      </w:r>
      <w:r w:rsidR="00A4555C" w:rsidRPr="00BD6C5F">
        <w:rPr>
          <w:rFonts w:asciiTheme="minorHAnsi" w:hAnsiTheme="minorHAnsi" w:cstheme="minorHAnsi"/>
        </w:rPr>
        <w:t>“</w:t>
      </w:r>
      <w:r w:rsidRPr="00BD6C5F">
        <w:rPr>
          <w:rFonts w:asciiTheme="minorHAnsi" w:hAnsiTheme="minorHAnsi" w:cstheme="minorHAnsi"/>
          <w:b/>
        </w:rPr>
        <w:t>Mediation Notice</w:t>
      </w:r>
      <w:r w:rsidR="00A4555C" w:rsidRPr="00BD6C5F">
        <w:rPr>
          <w:rFonts w:asciiTheme="minorHAnsi" w:hAnsiTheme="minorHAnsi" w:cstheme="minorHAnsi"/>
        </w:rPr>
        <w:t>”</w:t>
      </w:r>
      <w:r w:rsidRPr="00BD6C5F">
        <w:rPr>
          <w:rFonts w:asciiTheme="minorHAnsi" w:hAnsiTheme="minorHAnsi" w:cstheme="minorHAnsi"/>
        </w:rPr>
        <w:t>).</w:t>
      </w:r>
    </w:p>
    <w:p w14:paraId="14773A39" w14:textId="0B270AB8" w:rsidR="00BC7DDA" w:rsidRPr="00BD6C5F" w:rsidRDefault="0012518B" w:rsidP="00C5057A">
      <w:pPr>
        <w:pStyle w:val="Numbered1"/>
      </w:pPr>
      <w:bookmarkStart w:id="1112" w:name="_bookmark388"/>
      <w:bookmarkStart w:id="1113" w:name="_Ref98416743"/>
      <w:bookmarkEnd w:id="1112"/>
      <w:r w:rsidRPr="00BD6C5F">
        <w:t>Mediation</w:t>
      </w:r>
      <w:bookmarkEnd w:id="1113"/>
    </w:p>
    <w:p w14:paraId="3D014817" w14:textId="369ECCAC" w:rsidR="00BC7DDA" w:rsidRPr="00BD6C5F" w:rsidRDefault="009B03E9" w:rsidP="00C5057A">
      <w:pPr>
        <w:pStyle w:val="Numbered11"/>
      </w:pPr>
      <w:r w:rsidRPr="00BD6C5F">
        <w:t>If a Mediation Notice is served, the Parties shall attempt to resolve the dispute in accordance with the version of CEDR</w:t>
      </w:r>
      <w:r w:rsidR="00A4555C" w:rsidRPr="00BD6C5F">
        <w:t>’</w:t>
      </w:r>
      <w:r w:rsidRPr="00BD6C5F">
        <w:t>s Model Mediation Procedure which is current at the time the Mediation Notice is served (or such other version as the Parties may agree). The governing law and jurisdiction provisions of CEDR</w:t>
      </w:r>
      <w:r w:rsidR="00A4555C" w:rsidRPr="00BD6C5F">
        <w:t>’</w:t>
      </w:r>
      <w:r w:rsidRPr="00BD6C5F">
        <w:t>s Model Mediation Agreement shall be deemed to be amended to refer to the laws of Scotland and the Court of Session.</w:t>
      </w:r>
    </w:p>
    <w:p w14:paraId="75377AB6" w14:textId="77777777" w:rsidR="00BC7DDA" w:rsidRPr="00BD6C5F" w:rsidRDefault="009B03E9" w:rsidP="00C5057A">
      <w:pPr>
        <w:pStyle w:val="Numbered11"/>
      </w:pPr>
      <w:bookmarkStart w:id="1114" w:name="_bookmark389"/>
      <w:bookmarkStart w:id="1115" w:name="_Ref98416591"/>
      <w:bookmarkEnd w:id="1114"/>
      <w:r w:rsidRPr="00BD6C5F">
        <w:t>If the Parties are unable to agree on the joint appointment of an independent person to mediate the Dispute within 20 Working Days from (and including) the service of a Mediation Notice then either Party may apply to CEDR to nominate such a person.</w:t>
      </w:r>
      <w:bookmarkEnd w:id="1115"/>
    </w:p>
    <w:p w14:paraId="6C6B8895" w14:textId="77777777" w:rsidR="00BC7DDA" w:rsidRPr="00BD6C5F" w:rsidRDefault="009B03E9" w:rsidP="00C5057A">
      <w:pPr>
        <w:pStyle w:val="Numbered11"/>
      </w:pPr>
      <w:r w:rsidRPr="00BD6C5F">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463AEB1" w14:textId="77777777" w:rsidR="00BC7DDA" w:rsidRPr="00BD6C5F" w:rsidRDefault="009B03E9" w:rsidP="00C5057A">
      <w:pPr>
        <w:pStyle w:val="Numbered11"/>
      </w:pPr>
      <w:r w:rsidRPr="00BD6C5F">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2F31B22A" w14:textId="7FF04362" w:rsidR="00BC7DDA" w:rsidRPr="00BD6C5F" w:rsidRDefault="0012518B" w:rsidP="00C5057A">
      <w:pPr>
        <w:pStyle w:val="Numbered1"/>
      </w:pPr>
      <w:bookmarkStart w:id="1116" w:name="_bookmark390"/>
      <w:bookmarkStart w:id="1117" w:name="_Ref98353430"/>
      <w:bookmarkEnd w:id="1116"/>
      <w:r w:rsidRPr="00BD6C5F">
        <w:t>Expert Determination</w:t>
      </w:r>
      <w:bookmarkEnd w:id="1117"/>
    </w:p>
    <w:p w14:paraId="208CC476" w14:textId="7C28BA1C" w:rsidR="00BC7DDA" w:rsidRPr="00BD6C5F" w:rsidRDefault="009B03E9" w:rsidP="00C5057A">
      <w:pPr>
        <w:pStyle w:val="Numbered11"/>
      </w:pPr>
      <w:bookmarkStart w:id="1118" w:name="_bookmark391"/>
      <w:bookmarkStart w:id="1119" w:name="_Ref98416779"/>
      <w:bookmarkEnd w:id="1118"/>
      <w:r w:rsidRPr="00BD6C5F">
        <w:t>If a Dispute relates to any aspect of the technology underlying the provision of the Services or otherwise relates to a technical matter of an IT, accounting or financing nature and the Dispute has not been resolved by commercial negotiation in accordance with Paragraph</w:t>
      </w:r>
      <w:r w:rsidR="00D171E0" w:rsidRPr="00BD6C5F">
        <w:t> </w:t>
      </w:r>
      <w:r w:rsidR="00E20ACD" w:rsidRPr="00BD6C5F">
        <w:fldChar w:fldCharType="begin"/>
      </w:r>
      <w:r w:rsidR="00E20ACD" w:rsidRPr="00BD6C5F">
        <w:instrText xml:space="preserve"> REF _Ref98416735 \n \h </w:instrText>
      </w:r>
      <w:r w:rsidR="00AD7DD0" w:rsidRPr="00BD6C5F">
        <w:instrText xml:space="preserve"> \* MERGEFORMAT </w:instrText>
      </w:r>
      <w:r w:rsidR="00E20ACD" w:rsidRPr="00BD6C5F">
        <w:fldChar w:fldCharType="separate"/>
      </w:r>
      <w:r w:rsidR="009749A0">
        <w:t>4</w:t>
      </w:r>
      <w:r w:rsidR="00E20ACD" w:rsidRPr="00BD6C5F">
        <w:fldChar w:fldCharType="end"/>
      </w:r>
      <w:r w:rsidRPr="00BD6C5F">
        <w:t xml:space="preserve"> or, if applicable, mediation in accordance with Paragraph</w:t>
      </w:r>
      <w:r w:rsidR="00D171E0" w:rsidRPr="00BD6C5F">
        <w:t> </w:t>
      </w:r>
      <w:r w:rsidR="00E20ACD" w:rsidRPr="00BD6C5F">
        <w:fldChar w:fldCharType="begin"/>
      </w:r>
      <w:r w:rsidR="00E20ACD" w:rsidRPr="00BD6C5F">
        <w:instrText xml:space="preserve"> REF _Ref98416743 \n \h </w:instrText>
      </w:r>
      <w:r w:rsidR="00AD7DD0" w:rsidRPr="00BD6C5F">
        <w:instrText xml:space="preserve"> \* MERGEFORMAT </w:instrText>
      </w:r>
      <w:r w:rsidR="00E20ACD" w:rsidRPr="00BD6C5F">
        <w:fldChar w:fldCharType="separate"/>
      </w:r>
      <w:r w:rsidR="009749A0">
        <w:t>5</w:t>
      </w:r>
      <w:r w:rsidR="00E20ACD" w:rsidRPr="00BD6C5F">
        <w:fldChar w:fldCharType="end"/>
      </w:r>
      <w:r w:rsidRPr="00BD6C5F">
        <w:t>, then either Party may by written notice to the other request (agreement to which request shall not be unreasonably withheld or delayed) that the Dispute be referred to an expert for determination.</w:t>
      </w:r>
      <w:bookmarkEnd w:id="1119"/>
    </w:p>
    <w:p w14:paraId="2EE0E008" w14:textId="5026B33A" w:rsidR="00BC7DDA" w:rsidRPr="00BD6C5F" w:rsidRDefault="009B03E9" w:rsidP="00C5057A">
      <w:pPr>
        <w:pStyle w:val="Numbered11"/>
      </w:pPr>
      <w:bookmarkStart w:id="1120" w:name="_bookmark392"/>
      <w:bookmarkStart w:id="1121" w:name="_Ref98416561"/>
      <w:bookmarkEnd w:id="1120"/>
      <w:r w:rsidRPr="00BD6C5F">
        <w:t>The expert shall be appointed by agreement in writing between the Parties, but in the event of a failure to agree within 10 Working Days of the relevant request made pursuant to Paragraph</w:t>
      </w:r>
      <w:r w:rsidR="00D171E0" w:rsidRPr="00BD6C5F">
        <w:t> </w:t>
      </w:r>
      <w:r w:rsidR="00E20ACD" w:rsidRPr="00BD6C5F">
        <w:fldChar w:fldCharType="begin"/>
      </w:r>
      <w:r w:rsidR="00E20ACD" w:rsidRPr="00BD6C5F">
        <w:instrText xml:space="preserve"> REF _Ref98416779 \n \h </w:instrText>
      </w:r>
      <w:r w:rsidR="00AD7DD0" w:rsidRPr="00BD6C5F">
        <w:instrText xml:space="preserve"> \* MERGEFORMAT </w:instrText>
      </w:r>
      <w:r w:rsidR="00E20ACD" w:rsidRPr="00BD6C5F">
        <w:fldChar w:fldCharType="separate"/>
      </w:r>
      <w:r w:rsidR="009749A0">
        <w:t>6.1</w:t>
      </w:r>
      <w:r w:rsidR="00E20ACD" w:rsidRPr="00BD6C5F">
        <w:fldChar w:fldCharType="end"/>
      </w:r>
      <w:r w:rsidRPr="00BD6C5F">
        <w:t>, or if the person appointed is unable or unwilling to act, the expert shall be appointed:</w:t>
      </w:r>
      <w:bookmarkEnd w:id="1121"/>
    </w:p>
    <w:p w14:paraId="03FF524D" w14:textId="77777777" w:rsidR="00BC7DDA" w:rsidRPr="00BD6C5F" w:rsidRDefault="009B03E9" w:rsidP="0012518B">
      <w:pPr>
        <w:pStyle w:val="Numbered111"/>
      </w:pPr>
      <w:bookmarkStart w:id="1122" w:name="_bookmark393"/>
      <w:bookmarkStart w:id="1123" w:name="_Ref98417888"/>
      <w:bookmarkEnd w:id="1122"/>
      <w:r w:rsidRPr="00BD6C5F">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1123"/>
    </w:p>
    <w:p w14:paraId="7504FAB5" w14:textId="77777777" w:rsidR="00BC7DDA" w:rsidRPr="00BD6C5F" w:rsidRDefault="009B03E9" w:rsidP="0012518B">
      <w:pPr>
        <w:pStyle w:val="Numbered111"/>
      </w:pPr>
      <w:bookmarkStart w:id="1124" w:name="_bookmark394"/>
      <w:bookmarkStart w:id="1125" w:name="_Ref98417897"/>
      <w:bookmarkEnd w:id="1124"/>
      <w:r w:rsidRPr="00BD6C5F">
        <w:t>if the Dispute relates to a matter of a financial technical nature, on the instructions of the President of the Institute of Chartered Accountants of Scotland; or</w:t>
      </w:r>
      <w:bookmarkEnd w:id="1125"/>
    </w:p>
    <w:p w14:paraId="5B12EE6F" w14:textId="249400C1" w:rsidR="00BC7DDA" w:rsidRPr="00BD6C5F" w:rsidRDefault="009B03E9" w:rsidP="00C70900">
      <w:pPr>
        <w:pStyle w:val="Numbered111"/>
        <w:keepNext/>
      </w:pPr>
      <w:r w:rsidRPr="00BD6C5F">
        <w:lastRenderedPageBreak/>
        <w:t>if the Dispute relates to a matter of a technical nature not falling within Paragraphs</w:t>
      </w:r>
      <w:r w:rsidR="00D171E0" w:rsidRPr="00BD6C5F">
        <w:t> </w:t>
      </w:r>
      <w:r w:rsidR="00B01BB9" w:rsidRPr="00BD6C5F">
        <w:fldChar w:fldCharType="begin"/>
      </w:r>
      <w:r w:rsidR="00B01BB9" w:rsidRPr="00BD6C5F">
        <w:instrText xml:space="preserve"> REF _Ref98417888 \w \h </w:instrText>
      </w:r>
      <w:r w:rsidR="00AD7DD0" w:rsidRPr="00BD6C5F">
        <w:instrText xml:space="preserve"> \* MERGEFORMAT </w:instrText>
      </w:r>
      <w:r w:rsidR="00B01BB9" w:rsidRPr="00BD6C5F">
        <w:fldChar w:fldCharType="separate"/>
      </w:r>
      <w:r w:rsidR="009749A0">
        <w:t>6.2.1</w:t>
      </w:r>
      <w:r w:rsidR="00B01BB9" w:rsidRPr="00BD6C5F">
        <w:fldChar w:fldCharType="end"/>
      </w:r>
      <w:r w:rsidRPr="00BD6C5F">
        <w:t xml:space="preserve"> or </w:t>
      </w:r>
      <w:r w:rsidR="00B01BB9" w:rsidRPr="00BD6C5F">
        <w:fldChar w:fldCharType="begin"/>
      </w:r>
      <w:r w:rsidR="00B01BB9" w:rsidRPr="00BD6C5F">
        <w:instrText xml:space="preserve"> REF _Ref98417897 \n \h </w:instrText>
      </w:r>
      <w:r w:rsidR="00AD7DD0" w:rsidRPr="00BD6C5F">
        <w:instrText xml:space="preserve"> \* MERGEFORMAT </w:instrText>
      </w:r>
      <w:r w:rsidR="00B01BB9" w:rsidRPr="00BD6C5F">
        <w:fldChar w:fldCharType="separate"/>
      </w:r>
      <w:r w:rsidR="009749A0">
        <w:t>6.2.2</w:t>
      </w:r>
      <w:r w:rsidR="00B01BB9" w:rsidRPr="00BD6C5F">
        <w:fldChar w:fldCharType="end"/>
      </w:r>
      <w:r w:rsidRPr="00BD6C5F">
        <w:t>, on the instructions of the president (or equivalent) of:</w:t>
      </w:r>
    </w:p>
    <w:p w14:paraId="0051FBC2" w14:textId="77777777" w:rsidR="00BC7DDA" w:rsidRPr="00BD6C5F" w:rsidRDefault="009B03E9" w:rsidP="00771E5A">
      <w:pPr>
        <w:pStyle w:val="Numbered111a"/>
      </w:pPr>
      <w:r w:rsidRPr="00BD6C5F">
        <w:t>an appropriate body agreed between the Parties; or</w:t>
      </w:r>
    </w:p>
    <w:p w14:paraId="6433F660" w14:textId="23918FB6" w:rsidR="00BC7DDA" w:rsidRPr="00BD6C5F" w:rsidRDefault="009B03E9" w:rsidP="0012518B">
      <w:pPr>
        <w:pStyle w:val="Numbered111a"/>
        <w:rPr>
          <w:lang w:val="en-GB"/>
        </w:rPr>
      </w:pPr>
      <w:r w:rsidRPr="00BD6C5F">
        <w:rPr>
          <w:lang w:val="en-GB"/>
        </w:rPr>
        <w:t>if the Parties do not reach agreement on the relevant body within 15 Working Days of the relevant request made pursuant to Paragraph</w:t>
      </w:r>
      <w:r w:rsidR="00D171E0" w:rsidRPr="00BD6C5F">
        <w:rPr>
          <w:lang w:val="en-GB"/>
        </w:rPr>
        <w:t> </w:t>
      </w:r>
      <w:r w:rsidR="00B01BB9" w:rsidRPr="00BD6C5F">
        <w:rPr>
          <w:lang w:val="en-GB"/>
        </w:rPr>
        <w:fldChar w:fldCharType="begin"/>
      </w:r>
      <w:r w:rsidR="00B01BB9" w:rsidRPr="00BD6C5F">
        <w:rPr>
          <w:lang w:val="en-GB"/>
        </w:rPr>
        <w:instrText xml:space="preserve"> REF _Ref98416779 \n \h </w:instrText>
      </w:r>
      <w:r w:rsidR="00AD7DD0" w:rsidRPr="00BD6C5F">
        <w:rPr>
          <w:lang w:val="en-GB"/>
        </w:rPr>
        <w:instrText xml:space="preserve"> \* MERGEFORMAT </w:instrText>
      </w:r>
      <w:r w:rsidR="00B01BB9" w:rsidRPr="00BD6C5F">
        <w:rPr>
          <w:lang w:val="en-GB"/>
        </w:rPr>
      </w:r>
      <w:r w:rsidR="00B01BB9" w:rsidRPr="00BD6C5F">
        <w:rPr>
          <w:lang w:val="en-GB"/>
        </w:rPr>
        <w:fldChar w:fldCharType="separate"/>
      </w:r>
      <w:r w:rsidR="009749A0">
        <w:rPr>
          <w:lang w:val="en-GB"/>
        </w:rPr>
        <w:t>6.1</w:t>
      </w:r>
      <w:r w:rsidR="00B01BB9" w:rsidRPr="00BD6C5F">
        <w:rPr>
          <w:lang w:val="en-GB"/>
        </w:rPr>
        <w:fldChar w:fldCharType="end"/>
      </w:r>
      <w:r w:rsidRPr="00BD6C5F">
        <w:rPr>
          <w:lang w:val="en-GB"/>
        </w:rPr>
        <w:t>, such body as may be specified by the President of the Law Society of Scotland on application by either Party.</w:t>
      </w:r>
    </w:p>
    <w:p w14:paraId="387FA3DC" w14:textId="77777777" w:rsidR="00BC7DDA" w:rsidRPr="00BD6C5F" w:rsidRDefault="009B03E9" w:rsidP="00C70900">
      <w:pPr>
        <w:pStyle w:val="Numbered11"/>
        <w:keepNext/>
      </w:pPr>
      <w:r w:rsidRPr="00BD6C5F">
        <w:t>The Expert shall act on the following basis:</w:t>
      </w:r>
    </w:p>
    <w:p w14:paraId="13BDEEC4" w14:textId="798E2CD9" w:rsidR="00BC7DDA" w:rsidRPr="00BD6C5F" w:rsidRDefault="006609CD" w:rsidP="0012518B">
      <w:pPr>
        <w:pStyle w:val="Numbered111"/>
      </w:pPr>
      <w:r>
        <w:t>they</w:t>
      </w:r>
      <w:r w:rsidR="009B03E9" w:rsidRPr="00BD6C5F">
        <w:t xml:space="preserve"> shall act as an expert and not as an arbitrator and shall act fairly and impartially;</w:t>
      </w:r>
    </w:p>
    <w:p w14:paraId="787D7F62" w14:textId="075F4B80" w:rsidR="00BC7DDA" w:rsidRPr="00BD6C5F" w:rsidRDefault="009B03E9" w:rsidP="0012518B">
      <w:pPr>
        <w:pStyle w:val="Numbered111"/>
      </w:pPr>
      <w:r w:rsidRPr="00BD6C5F">
        <w:t>the Expert</w:t>
      </w:r>
      <w:r w:rsidR="00A4555C" w:rsidRPr="00BD6C5F">
        <w:t>’</w:t>
      </w:r>
      <w:r w:rsidRPr="00BD6C5F">
        <w:t>s determination shall (in the absence of a material failure to follow the agreed procedures) be final and binding on the Parties;</w:t>
      </w:r>
    </w:p>
    <w:p w14:paraId="018CDCEC" w14:textId="77777777" w:rsidR="00BC7DDA" w:rsidRPr="00BD6C5F" w:rsidRDefault="009B03E9" w:rsidP="0012518B">
      <w:pPr>
        <w:pStyle w:val="Numbered111"/>
      </w:pPr>
      <w:r w:rsidRPr="00BD6C5F">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14040934" w14:textId="57BDB5E7" w:rsidR="00BC7DDA" w:rsidRPr="00BD6C5F" w:rsidRDefault="009B03E9" w:rsidP="0012518B">
      <w:pPr>
        <w:pStyle w:val="Numbered111"/>
      </w:pPr>
      <w:r w:rsidRPr="00BD6C5F">
        <w:t>any amount payable by one Party to another as a result of the Expert</w:t>
      </w:r>
      <w:r w:rsidR="00A4555C" w:rsidRPr="00BD6C5F">
        <w:t>’</w:t>
      </w:r>
      <w:r w:rsidRPr="00BD6C5F">
        <w:t>s determination shall be due and payable within 20 Working Days of the Expert</w:t>
      </w:r>
      <w:r w:rsidR="00A4555C" w:rsidRPr="00BD6C5F">
        <w:t>’</w:t>
      </w:r>
      <w:r w:rsidRPr="00BD6C5F">
        <w:t>s determination being notified to the Parties;</w:t>
      </w:r>
    </w:p>
    <w:p w14:paraId="79E1BD98" w14:textId="77777777" w:rsidR="00BC7DDA" w:rsidRPr="00BD6C5F" w:rsidRDefault="009B03E9" w:rsidP="0012518B">
      <w:pPr>
        <w:pStyle w:val="Numbered111"/>
      </w:pPr>
      <w:r w:rsidRPr="00BD6C5F">
        <w:t>the process shall be conducted in private and shall be confidential; and</w:t>
      </w:r>
    </w:p>
    <w:p w14:paraId="64337447" w14:textId="77777777" w:rsidR="00BC7DDA" w:rsidRPr="00BD6C5F" w:rsidRDefault="009B03E9" w:rsidP="0012518B">
      <w:pPr>
        <w:pStyle w:val="Numbered111"/>
      </w:pPr>
      <w:r w:rsidRPr="00BD6C5F">
        <w:t>the Expert shall determine how and by whom the costs of the determination, including his/her fees and expenses, are to be paid.</w:t>
      </w:r>
    </w:p>
    <w:p w14:paraId="27FA2AD9" w14:textId="32574A06" w:rsidR="00BC7DDA" w:rsidRPr="00BD6C5F" w:rsidRDefault="0012518B" w:rsidP="00C5057A">
      <w:pPr>
        <w:pStyle w:val="Numbered1"/>
      </w:pPr>
      <w:bookmarkStart w:id="1126" w:name="_bookmark395"/>
      <w:bookmarkStart w:id="1127" w:name="_Ref98416752"/>
      <w:bookmarkEnd w:id="1126"/>
      <w:r w:rsidRPr="00BD6C5F">
        <w:t>Arbitration</w:t>
      </w:r>
      <w:bookmarkEnd w:id="1127"/>
    </w:p>
    <w:p w14:paraId="434A8EFD" w14:textId="79EF437B" w:rsidR="00BC7DDA" w:rsidRPr="00BD6C5F" w:rsidRDefault="009B03E9" w:rsidP="00C5057A">
      <w:pPr>
        <w:pStyle w:val="Numbered11"/>
      </w:pPr>
      <w:bookmarkStart w:id="1128" w:name="_bookmark396"/>
      <w:bookmarkStart w:id="1129" w:name="_Ref98417981"/>
      <w:bookmarkEnd w:id="1128"/>
      <w:r w:rsidRPr="00BD6C5F">
        <w:t>Subject to compliance with its obligations under Paragraph</w:t>
      </w:r>
      <w:r w:rsidR="00D171E0" w:rsidRPr="00BD6C5F">
        <w:t> </w:t>
      </w:r>
      <w:r w:rsidR="00B01BB9" w:rsidRPr="00BD6C5F">
        <w:fldChar w:fldCharType="begin"/>
      </w:r>
      <w:r w:rsidR="00B01BB9" w:rsidRPr="00BD6C5F">
        <w:instrText xml:space="preserve"> REF _Ref98416877 \n \h </w:instrText>
      </w:r>
      <w:r w:rsidR="00AD7DD0" w:rsidRPr="00BD6C5F">
        <w:instrText xml:space="preserve"> \* MERGEFORMAT </w:instrText>
      </w:r>
      <w:r w:rsidR="00B01BB9" w:rsidRPr="00BD6C5F">
        <w:fldChar w:fldCharType="separate"/>
      </w:r>
      <w:r w:rsidR="009749A0">
        <w:t>4.1</w:t>
      </w:r>
      <w:r w:rsidR="00B01BB9" w:rsidRPr="00BD6C5F">
        <w:fldChar w:fldCharType="end"/>
      </w:r>
      <w:r w:rsidRPr="00BD6C5F">
        <w:t xml:space="preserve"> and to the provisions of Paragraph</w:t>
      </w:r>
      <w:r w:rsidR="00D171E0" w:rsidRPr="00BD6C5F">
        <w:t> </w:t>
      </w:r>
      <w:r w:rsidR="00B01BB9" w:rsidRPr="00BD6C5F">
        <w:fldChar w:fldCharType="begin"/>
      </w:r>
      <w:r w:rsidR="00B01BB9" w:rsidRPr="00BD6C5F">
        <w:instrText xml:space="preserve"> REF _Ref98353430 \n \h </w:instrText>
      </w:r>
      <w:r w:rsidR="00AD7DD0" w:rsidRPr="00BD6C5F">
        <w:instrText xml:space="preserve"> \* MERGEFORMAT </w:instrText>
      </w:r>
      <w:r w:rsidR="00B01BB9" w:rsidRPr="00BD6C5F">
        <w:fldChar w:fldCharType="separate"/>
      </w:r>
      <w:r w:rsidR="009749A0">
        <w:t>6</w:t>
      </w:r>
      <w:r w:rsidR="00B01BB9" w:rsidRPr="00BD6C5F">
        <w:fldChar w:fldCharType="end"/>
      </w:r>
      <w:r w:rsidRPr="00BD6C5F">
        <w:t>, the Authority may at any time before court proceedings are commenced refer the Dispute to arbitration in accordance with the provisions of Paragraph</w:t>
      </w:r>
      <w:r w:rsidR="00D171E0" w:rsidRPr="00BD6C5F">
        <w:t> </w:t>
      </w:r>
      <w:r w:rsidR="00B01BB9" w:rsidRPr="00BD6C5F">
        <w:fldChar w:fldCharType="begin"/>
      </w:r>
      <w:r w:rsidR="00B01BB9" w:rsidRPr="00BD6C5F">
        <w:instrText xml:space="preserve"> REF _Ref98417938 \n \h </w:instrText>
      </w:r>
      <w:r w:rsidR="00AD7DD0" w:rsidRPr="00BD6C5F">
        <w:instrText xml:space="preserve"> \* MERGEFORMAT </w:instrText>
      </w:r>
      <w:r w:rsidR="00B01BB9" w:rsidRPr="00BD6C5F">
        <w:fldChar w:fldCharType="separate"/>
      </w:r>
      <w:r w:rsidR="009749A0">
        <w:t>7.5</w:t>
      </w:r>
      <w:r w:rsidR="00B01BB9" w:rsidRPr="00BD6C5F">
        <w:fldChar w:fldCharType="end"/>
      </w:r>
      <w:r w:rsidRPr="00BD6C5F">
        <w:t>.</w:t>
      </w:r>
      <w:bookmarkEnd w:id="1129"/>
    </w:p>
    <w:p w14:paraId="1E5C56AE" w14:textId="526A3B8B" w:rsidR="00BC7DDA" w:rsidRPr="00BD6C5F" w:rsidRDefault="009B03E9" w:rsidP="00C5057A">
      <w:pPr>
        <w:pStyle w:val="Numbered11"/>
      </w:pPr>
      <w:bookmarkStart w:id="1130" w:name="_bookmark397"/>
      <w:bookmarkStart w:id="1131" w:name="_Ref98416550"/>
      <w:bookmarkEnd w:id="1130"/>
      <w:r w:rsidRPr="00BD6C5F">
        <w:t xml:space="preserve">Before the Supplier commences court proceedings or arbitration, it shall serve written notice on the Authority of its intentions and the Authority shall have 15 Working Days following receipt of such notice to serve a reply (a </w:t>
      </w:r>
      <w:r w:rsidR="00A4555C" w:rsidRPr="00BD6C5F">
        <w:t>“</w:t>
      </w:r>
      <w:r w:rsidRPr="00BD6C5F">
        <w:rPr>
          <w:b/>
        </w:rPr>
        <w:t>Counter Notice</w:t>
      </w:r>
      <w:r w:rsidR="00A4555C" w:rsidRPr="00BD6C5F">
        <w:t>”</w:t>
      </w:r>
      <w:r w:rsidRPr="00BD6C5F">
        <w:t>) on the Supplier requiring the Dispute to be referred to and resolved by arbitration in accordance with Paragraph</w:t>
      </w:r>
      <w:r w:rsidR="00D171E0" w:rsidRPr="00BD6C5F">
        <w:t> </w:t>
      </w:r>
      <w:r w:rsidR="00B01BB9" w:rsidRPr="00BD6C5F">
        <w:fldChar w:fldCharType="begin"/>
      </w:r>
      <w:r w:rsidR="00B01BB9" w:rsidRPr="00BD6C5F">
        <w:instrText xml:space="preserve"> REF _Ref98417938 \n \h </w:instrText>
      </w:r>
      <w:r w:rsidR="00AD7DD0" w:rsidRPr="00BD6C5F">
        <w:instrText xml:space="preserve"> \* MERGEFORMAT </w:instrText>
      </w:r>
      <w:r w:rsidR="00B01BB9" w:rsidRPr="00BD6C5F">
        <w:fldChar w:fldCharType="separate"/>
      </w:r>
      <w:r w:rsidR="009749A0">
        <w:t>7.5</w:t>
      </w:r>
      <w:r w:rsidR="00B01BB9" w:rsidRPr="00BD6C5F">
        <w:fldChar w:fldCharType="end"/>
      </w:r>
      <w:r w:rsidRPr="00BD6C5F">
        <w:t xml:space="preserve"> or be subject to the exclusive jurisdiction of the Court of Session. The Supplier shall not commence any court proceedings or arbitration until the expiry of such 15 Working Day period.</w:t>
      </w:r>
      <w:bookmarkEnd w:id="1131"/>
    </w:p>
    <w:p w14:paraId="577611B9" w14:textId="77777777" w:rsidR="00BC7DDA" w:rsidRPr="00BD6C5F" w:rsidRDefault="009B03E9" w:rsidP="00C70900">
      <w:pPr>
        <w:pStyle w:val="Numbered11"/>
        <w:keepNext/>
      </w:pPr>
      <w:r w:rsidRPr="00BD6C5F">
        <w:t>If the Authority serves a Counter Notice, then:</w:t>
      </w:r>
    </w:p>
    <w:p w14:paraId="6792CF1B" w14:textId="7AD3AEBA" w:rsidR="00BC7DDA" w:rsidRPr="00BD6C5F" w:rsidRDefault="009B03E9" w:rsidP="0012518B">
      <w:pPr>
        <w:pStyle w:val="Numbered111"/>
      </w:pPr>
      <w:r w:rsidRPr="00BD6C5F">
        <w:t>if the Counter Notice requires the Dispute to be referred to arbitration, the provisions of Paragraph</w:t>
      </w:r>
      <w:r w:rsidR="00D171E0" w:rsidRPr="00BD6C5F">
        <w:t> </w:t>
      </w:r>
      <w:r w:rsidR="00B01BB9" w:rsidRPr="00BD6C5F">
        <w:fldChar w:fldCharType="begin"/>
      </w:r>
      <w:r w:rsidR="00B01BB9" w:rsidRPr="00BD6C5F">
        <w:instrText xml:space="preserve"> REF _Ref98417938 \n \h </w:instrText>
      </w:r>
      <w:r w:rsidR="00AD7DD0" w:rsidRPr="00BD6C5F">
        <w:instrText xml:space="preserve"> \* MERGEFORMAT </w:instrText>
      </w:r>
      <w:r w:rsidR="00B01BB9" w:rsidRPr="00BD6C5F">
        <w:fldChar w:fldCharType="separate"/>
      </w:r>
      <w:r w:rsidR="009749A0">
        <w:t>7.5</w:t>
      </w:r>
      <w:r w:rsidR="00B01BB9" w:rsidRPr="00BD6C5F">
        <w:fldChar w:fldCharType="end"/>
      </w:r>
      <w:r w:rsidRPr="00BD6C5F">
        <w:t xml:space="preserve"> shall apply; or</w:t>
      </w:r>
    </w:p>
    <w:p w14:paraId="0620240A" w14:textId="77777777" w:rsidR="00BC7DDA" w:rsidRPr="00BD6C5F" w:rsidRDefault="009B03E9" w:rsidP="0012518B">
      <w:pPr>
        <w:pStyle w:val="Numbered111"/>
      </w:pPr>
      <w:r w:rsidRPr="00BD6C5F">
        <w:t xml:space="preserve">if the Counter Notice requires the Dispute to be subject to the exclusive </w:t>
      </w:r>
      <w:r w:rsidRPr="00BD6C5F">
        <w:lastRenderedPageBreak/>
        <w:t>jurisdiction of the Court of Session, the Dispute shall be so referred to that court and the Supplier shall not commence arbitration proceedings.</w:t>
      </w:r>
    </w:p>
    <w:p w14:paraId="1A135652" w14:textId="147396EB" w:rsidR="00BC7DDA" w:rsidRPr="00BD6C5F" w:rsidRDefault="009B03E9" w:rsidP="00C5057A">
      <w:pPr>
        <w:pStyle w:val="Numbered11"/>
      </w:pPr>
      <w:bookmarkStart w:id="1132" w:name="_bookmark398"/>
      <w:bookmarkStart w:id="1133" w:name="_Ref98417987"/>
      <w:bookmarkEnd w:id="1132"/>
      <w:r w:rsidRPr="00BD6C5F">
        <w:t>If the Authority does not serve a Counter Notice within the 15 Working Day period referred to in Paragraph</w:t>
      </w:r>
      <w:r w:rsidR="00D171E0" w:rsidRPr="00BD6C5F">
        <w:t> </w:t>
      </w:r>
      <w:r w:rsidR="00B01BB9" w:rsidRPr="00BD6C5F">
        <w:fldChar w:fldCharType="begin"/>
      </w:r>
      <w:r w:rsidR="00B01BB9" w:rsidRPr="00BD6C5F">
        <w:instrText xml:space="preserve"> REF _Ref98416550 \n \h </w:instrText>
      </w:r>
      <w:r w:rsidR="00AD7DD0" w:rsidRPr="00BD6C5F">
        <w:instrText xml:space="preserve"> \* MERGEFORMAT </w:instrText>
      </w:r>
      <w:r w:rsidR="00B01BB9" w:rsidRPr="00BD6C5F">
        <w:fldChar w:fldCharType="separate"/>
      </w:r>
      <w:r w:rsidR="009749A0">
        <w:t>7.2</w:t>
      </w:r>
      <w:r w:rsidR="00B01BB9" w:rsidRPr="00BD6C5F">
        <w:fldChar w:fldCharType="end"/>
      </w:r>
      <w:r w:rsidRPr="00BD6C5F">
        <w:t>, the Supplier may either commence arbitration proceedings in accordance with Paragraph</w:t>
      </w:r>
      <w:r w:rsidR="00D171E0" w:rsidRPr="00BD6C5F">
        <w:t> </w:t>
      </w:r>
      <w:r w:rsidR="00B01BB9" w:rsidRPr="00BD6C5F">
        <w:fldChar w:fldCharType="begin"/>
      </w:r>
      <w:r w:rsidR="00B01BB9" w:rsidRPr="00BD6C5F">
        <w:instrText xml:space="preserve"> REF _Ref98417938 \n \h </w:instrText>
      </w:r>
      <w:r w:rsidR="00AD7DD0" w:rsidRPr="00BD6C5F">
        <w:instrText xml:space="preserve"> \* MERGEFORMAT </w:instrText>
      </w:r>
      <w:r w:rsidR="00B01BB9" w:rsidRPr="00BD6C5F">
        <w:fldChar w:fldCharType="separate"/>
      </w:r>
      <w:r w:rsidR="009749A0">
        <w:t>7.5</w:t>
      </w:r>
      <w:r w:rsidR="00B01BB9" w:rsidRPr="00BD6C5F">
        <w:fldChar w:fldCharType="end"/>
      </w:r>
      <w:r w:rsidRPr="00BD6C5F">
        <w:t xml:space="preserve"> or commence court proceedings in the Court of Session which shall (in those circumstances) have exclusive jurisdiction.</w:t>
      </w:r>
      <w:bookmarkEnd w:id="1133"/>
    </w:p>
    <w:p w14:paraId="72E35496" w14:textId="70275A96" w:rsidR="00BC7DDA" w:rsidRPr="00BD6C5F" w:rsidRDefault="009B03E9" w:rsidP="00C70900">
      <w:pPr>
        <w:pStyle w:val="Numbered11"/>
        <w:keepNext/>
      </w:pPr>
      <w:bookmarkStart w:id="1134" w:name="_bookmark399"/>
      <w:bookmarkStart w:id="1135" w:name="_Ref98417938"/>
      <w:bookmarkEnd w:id="1134"/>
      <w:r w:rsidRPr="00BD6C5F">
        <w:t>The Parties hereby confirm that if any arbitration proceedings are commenced pursuant to Paragraphs</w:t>
      </w:r>
      <w:r w:rsidR="00D171E0" w:rsidRPr="00BD6C5F">
        <w:t> </w:t>
      </w:r>
      <w:r w:rsidR="00B01BB9" w:rsidRPr="00BD6C5F">
        <w:fldChar w:fldCharType="begin"/>
      </w:r>
      <w:r w:rsidR="00B01BB9" w:rsidRPr="00BD6C5F">
        <w:instrText xml:space="preserve"> REF _Ref98417981 \n \h </w:instrText>
      </w:r>
      <w:r w:rsidR="00AD7DD0" w:rsidRPr="00BD6C5F">
        <w:instrText xml:space="preserve"> \* MERGEFORMAT </w:instrText>
      </w:r>
      <w:r w:rsidR="00B01BB9" w:rsidRPr="00BD6C5F">
        <w:fldChar w:fldCharType="separate"/>
      </w:r>
      <w:r w:rsidR="009749A0">
        <w:t>7.1</w:t>
      </w:r>
      <w:r w:rsidR="00B01BB9" w:rsidRPr="00BD6C5F">
        <w:fldChar w:fldCharType="end"/>
      </w:r>
      <w:r w:rsidRPr="00BD6C5F">
        <w:t xml:space="preserve"> to </w:t>
      </w:r>
      <w:r w:rsidR="00B01BB9" w:rsidRPr="00BD6C5F">
        <w:fldChar w:fldCharType="begin"/>
      </w:r>
      <w:r w:rsidR="00B01BB9" w:rsidRPr="00BD6C5F">
        <w:instrText xml:space="preserve"> REF _Ref98417987 \n \h </w:instrText>
      </w:r>
      <w:r w:rsidR="00AD7DD0" w:rsidRPr="00BD6C5F">
        <w:instrText xml:space="preserve"> \* MERGEFORMAT </w:instrText>
      </w:r>
      <w:r w:rsidR="00B01BB9" w:rsidRPr="00BD6C5F">
        <w:fldChar w:fldCharType="separate"/>
      </w:r>
      <w:r w:rsidR="009749A0">
        <w:t>7.4</w:t>
      </w:r>
      <w:r w:rsidR="00B01BB9" w:rsidRPr="00BD6C5F">
        <w:fldChar w:fldCharType="end"/>
      </w:r>
      <w:r w:rsidRPr="00BD6C5F">
        <w:t>:</w:t>
      </w:r>
      <w:bookmarkEnd w:id="1135"/>
    </w:p>
    <w:p w14:paraId="163105AA" w14:textId="155BB303" w:rsidR="00BC7DDA" w:rsidRPr="00BD6C5F" w:rsidRDefault="009B03E9" w:rsidP="0012518B">
      <w:pPr>
        <w:pStyle w:val="Numbered111"/>
      </w:pPr>
      <w:r w:rsidRPr="00BD6C5F">
        <w:t>the Dispute shall be referred to and finally resolved by arbitration under the Rules of the London Court of International Arbitration (</w:t>
      </w:r>
      <w:r w:rsidR="00A4555C" w:rsidRPr="00BD6C5F">
        <w:t>“</w:t>
      </w:r>
      <w:r w:rsidRPr="00BD6C5F">
        <w:rPr>
          <w:b/>
        </w:rPr>
        <w:t>LCIA</w:t>
      </w:r>
      <w:r w:rsidR="00A4555C" w:rsidRPr="00BD6C5F">
        <w:t>”</w:t>
      </w:r>
      <w:r w:rsidRPr="00BD6C5F">
        <w:t>) (subject to Paragraphs</w:t>
      </w:r>
      <w:r w:rsidR="00D171E0" w:rsidRPr="00BD6C5F">
        <w:t> </w:t>
      </w:r>
      <w:r w:rsidR="00B01BB9" w:rsidRPr="00BD6C5F">
        <w:fldChar w:fldCharType="begin"/>
      </w:r>
      <w:r w:rsidR="00B01BB9" w:rsidRPr="00BD6C5F">
        <w:instrText xml:space="preserve"> REF _Ref98417999 \w \h </w:instrText>
      </w:r>
      <w:r w:rsidR="00AD7DD0" w:rsidRPr="00BD6C5F">
        <w:instrText xml:space="preserve"> \* MERGEFORMAT </w:instrText>
      </w:r>
      <w:r w:rsidR="00B01BB9" w:rsidRPr="00BD6C5F">
        <w:fldChar w:fldCharType="separate"/>
      </w:r>
      <w:r w:rsidR="009749A0">
        <w:t>7.5.3</w:t>
      </w:r>
      <w:r w:rsidR="00B01BB9" w:rsidRPr="00BD6C5F">
        <w:fldChar w:fldCharType="end"/>
      </w:r>
      <w:r w:rsidRPr="00BD6C5F">
        <w:t xml:space="preserve">, </w:t>
      </w:r>
      <w:r w:rsidR="00B01BB9" w:rsidRPr="00BD6C5F">
        <w:fldChar w:fldCharType="begin"/>
      </w:r>
      <w:r w:rsidR="00B01BB9" w:rsidRPr="00BD6C5F">
        <w:instrText xml:space="preserve"> REF _Ref98418007 \n \h </w:instrText>
      </w:r>
      <w:r w:rsidR="00AD7DD0" w:rsidRPr="00BD6C5F">
        <w:instrText xml:space="preserve"> \* MERGEFORMAT </w:instrText>
      </w:r>
      <w:r w:rsidR="00B01BB9" w:rsidRPr="00BD6C5F">
        <w:fldChar w:fldCharType="separate"/>
      </w:r>
      <w:r w:rsidR="009749A0">
        <w:t>7.5.5</w:t>
      </w:r>
      <w:r w:rsidR="00B01BB9" w:rsidRPr="00BD6C5F">
        <w:fldChar w:fldCharType="end"/>
      </w:r>
      <w:r w:rsidRPr="00BD6C5F">
        <w:t xml:space="preserve">, </w:t>
      </w:r>
      <w:r w:rsidR="00B01BB9" w:rsidRPr="00BD6C5F">
        <w:fldChar w:fldCharType="begin"/>
      </w:r>
      <w:r w:rsidR="00B01BB9" w:rsidRPr="00BD6C5F">
        <w:instrText xml:space="preserve"> REF _Ref98418014 \n \h </w:instrText>
      </w:r>
      <w:r w:rsidR="00AD7DD0" w:rsidRPr="00BD6C5F">
        <w:instrText xml:space="preserve"> \* MERGEFORMAT </w:instrText>
      </w:r>
      <w:r w:rsidR="00B01BB9" w:rsidRPr="00BD6C5F">
        <w:fldChar w:fldCharType="separate"/>
      </w:r>
      <w:r w:rsidR="009749A0">
        <w:t>7.5.6</w:t>
      </w:r>
      <w:r w:rsidR="00B01BB9" w:rsidRPr="00BD6C5F">
        <w:fldChar w:fldCharType="end"/>
      </w:r>
      <w:r w:rsidRPr="00BD6C5F">
        <w:t xml:space="preserve">, </w:t>
      </w:r>
      <w:r w:rsidR="00B01BB9" w:rsidRPr="00BD6C5F">
        <w:fldChar w:fldCharType="begin"/>
      </w:r>
      <w:r w:rsidR="00B01BB9" w:rsidRPr="00BD6C5F">
        <w:instrText xml:space="preserve"> REF _Ref98418024 \n \h </w:instrText>
      </w:r>
      <w:r w:rsidR="00AD7DD0" w:rsidRPr="00BD6C5F">
        <w:instrText xml:space="preserve"> \* MERGEFORMAT </w:instrText>
      </w:r>
      <w:r w:rsidR="00B01BB9" w:rsidRPr="00BD6C5F">
        <w:fldChar w:fldCharType="separate"/>
      </w:r>
      <w:r w:rsidR="009749A0">
        <w:t>7.5.7</w:t>
      </w:r>
      <w:r w:rsidR="00B01BB9" w:rsidRPr="00BD6C5F">
        <w:fldChar w:fldCharType="end"/>
      </w:r>
      <w:r w:rsidRPr="00BD6C5F">
        <w:t xml:space="preserve"> and </w:t>
      </w:r>
      <w:r w:rsidR="00B01BB9" w:rsidRPr="00BD6C5F">
        <w:fldChar w:fldCharType="begin"/>
      </w:r>
      <w:r w:rsidR="00B01BB9" w:rsidRPr="00BD6C5F">
        <w:instrText xml:space="preserve"> REF _Ref98418031 \n \h </w:instrText>
      </w:r>
      <w:r w:rsidR="00AD7DD0" w:rsidRPr="00BD6C5F">
        <w:instrText xml:space="preserve"> \* MERGEFORMAT </w:instrText>
      </w:r>
      <w:r w:rsidR="00B01BB9" w:rsidRPr="00BD6C5F">
        <w:fldChar w:fldCharType="separate"/>
      </w:r>
      <w:r w:rsidR="009749A0">
        <w:t>7.5.8</w:t>
      </w:r>
      <w:r w:rsidR="00B01BB9" w:rsidRPr="00BD6C5F">
        <w:fldChar w:fldCharType="end"/>
      </w:r>
      <w:r w:rsidRPr="00BD6C5F">
        <w:t>);</w:t>
      </w:r>
    </w:p>
    <w:p w14:paraId="71B3184E" w14:textId="77777777" w:rsidR="00BC7DDA" w:rsidRPr="00BD6C5F" w:rsidRDefault="009B03E9" w:rsidP="0012518B">
      <w:pPr>
        <w:pStyle w:val="Numbered111"/>
      </w:pPr>
      <w:r w:rsidRPr="00BD6C5F">
        <w:t>the arbitration shall be administered by the LCIA;</w:t>
      </w:r>
    </w:p>
    <w:p w14:paraId="7EB86876" w14:textId="622645BF" w:rsidR="00BC7DDA" w:rsidRPr="00BD6C5F" w:rsidRDefault="009B03E9" w:rsidP="0012518B">
      <w:pPr>
        <w:pStyle w:val="Numbered111"/>
      </w:pPr>
      <w:bookmarkStart w:id="1136" w:name="_bookmark400"/>
      <w:bookmarkStart w:id="1137" w:name="_Ref98417999"/>
      <w:bookmarkEnd w:id="1136"/>
      <w:r w:rsidRPr="00BD6C5F">
        <w:t>the arbitration shall be conducted in accordance with the Arbitration (Scotland) Act 2010 subject to disapplication in whole or in part of any of the default rules of the Scottish Arbitration Rules comprising Schedule</w:t>
      </w:r>
      <w:r w:rsidR="00925140">
        <w:t> </w:t>
      </w:r>
      <w:r w:rsidRPr="00BD6C5F">
        <w:t>1 to that Act as the Parties may agree;</w:t>
      </w:r>
      <w:bookmarkEnd w:id="1137"/>
    </w:p>
    <w:p w14:paraId="038C6816" w14:textId="406709DD" w:rsidR="00BC7DDA" w:rsidRPr="00BD6C5F" w:rsidRDefault="009B03E9" w:rsidP="0012518B">
      <w:pPr>
        <w:pStyle w:val="Numbered111"/>
      </w:pPr>
      <w:r w:rsidRPr="00BD6C5F">
        <w:t>the LCIA procedural rules in force at the date that the Dispute was referred to arbitration shall be applied and are deemed to be incorporated by reference into this</w:t>
      </w:r>
      <w:r w:rsidR="007F0151" w:rsidRPr="00BD6C5F">
        <w:t xml:space="preserve"> Contract</w:t>
      </w:r>
      <w:r w:rsidRPr="00BD6C5F">
        <w:t xml:space="preserve"> and the decision of the arbitrator shall be binding on the Parties in the absence of any material failure to comply with such rules;</w:t>
      </w:r>
    </w:p>
    <w:p w14:paraId="3C81D927" w14:textId="77777777" w:rsidR="00BC7DDA" w:rsidRPr="00BD6C5F" w:rsidRDefault="009B03E9" w:rsidP="0012518B">
      <w:pPr>
        <w:pStyle w:val="Numbered111"/>
      </w:pPr>
      <w:bookmarkStart w:id="1138" w:name="_bookmark401"/>
      <w:bookmarkStart w:id="1139" w:name="_Ref98418007"/>
      <w:bookmarkEnd w:id="1138"/>
      <w:r w:rsidRPr="00BD6C5F">
        <w:t>the arbitration proceedings shall be governed by, and interpreted in accordance with the laws of Scotland;</w:t>
      </w:r>
      <w:bookmarkEnd w:id="1139"/>
    </w:p>
    <w:p w14:paraId="7B6F6049" w14:textId="5C56F21A" w:rsidR="00BC7DDA" w:rsidRPr="00BD6C5F" w:rsidRDefault="00DB2677" w:rsidP="0012518B">
      <w:pPr>
        <w:pStyle w:val="Numbered111"/>
      </w:pPr>
      <w:r w:rsidRPr="00BD6C5F">
        <w:t xml:space="preserve"> </w:t>
      </w:r>
      <w:bookmarkStart w:id="1140" w:name="_bookmark402"/>
      <w:bookmarkStart w:id="1141" w:name="_Ref98418014"/>
      <w:bookmarkEnd w:id="1140"/>
      <w:r w:rsidR="009B03E9" w:rsidRPr="00BD6C5F">
        <w:t>the chair of the arbitral tribunal shall be British;</w:t>
      </w:r>
      <w:bookmarkEnd w:id="1141"/>
    </w:p>
    <w:p w14:paraId="7ACDD0CB" w14:textId="77777777" w:rsidR="00BC7DDA" w:rsidRPr="00BD6C5F" w:rsidRDefault="009B03E9" w:rsidP="0012518B">
      <w:pPr>
        <w:pStyle w:val="Numbered111"/>
      </w:pPr>
      <w:bookmarkStart w:id="1142" w:name="_bookmark403"/>
      <w:bookmarkStart w:id="1143" w:name="_Ref98418024"/>
      <w:bookmarkEnd w:id="1142"/>
      <w:r w:rsidRPr="00BD6C5F">
        <w:t>the arbitration proceedings shall take place in Edinburgh and in the English language; and</w:t>
      </w:r>
      <w:bookmarkEnd w:id="1143"/>
    </w:p>
    <w:p w14:paraId="44CFFAC0" w14:textId="77777777" w:rsidR="00BC7DDA" w:rsidRPr="00BD6C5F" w:rsidRDefault="009B03E9" w:rsidP="0012518B">
      <w:pPr>
        <w:pStyle w:val="Numbered111"/>
      </w:pPr>
      <w:bookmarkStart w:id="1144" w:name="_bookmark404"/>
      <w:bookmarkStart w:id="1145" w:name="_Ref98418031"/>
      <w:bookmarkEnd w:id="1144"/>
      <w:r w:rsidRPr="00BD6C5F">
        <w:t>the seat of the arbitration shall be Scotland.</w:t>
      </w:r>
      <w:bookmarkEnd w:id="1145"/>
    </w:p>
    <w:p w14:paraId="79D36D17" w14:textId="3270EC38" w:rsidR="00BC7DDA" w:rsidRPr="00BD6C5F" w:rsidRDefault="0012518B" w:rsidP="00C5057A">
      <w:pPr>
        <w:pStyle w:val="Numbered1"/>
      </w:pPr>
      <w:bookmarkStart w:id="1146" w:name="_bookmark405"/>
      <w:bookmarkStart w:id="1147" w:name="_Ref98416792"/>
      <w:bookmarkEnd w:id="1146"/>
      <w:r w:rsidRPr="00BD6C5F">
        <w:t>Urgent Relief</w:t>
      </w:r>
      <w:bookmarkEnd w:id="1147"/>
    </w:p>
    <w:p w14:paraId="3F0D074A" w14:textId="77777777" w:rsidR="00BC7DDA" w:rsidRPr="00BD6C5F" w:rsidRDefault="009B03E9" w:rsidP="00C70900">
      <w:pPr>
        <w:pStyle w:val="Numbered11"/>
        <w:keepNext/>
      </w:pPr>
      <w:r w:rsidRPr="00BD6C5F">
        <w:t>Either Party may at any time take proceedings or seek remedies before any court or tribunal of competent jurisdiction:</w:t>
      </w:r>
    </w:p>
    <w:p w14:paraId="71DD6624" w14:textId="03C6063D" w:rsidR="00BC7DDA" w:rsidRPr="00BD6C5F" w:rsidRDefault="009B03E9" w:rsidP="0012518B">
      <w:pPr>
        <w:pStyle w:val="Numbered111"/>
      </w:pPr>
      <w:r w:rsidRPr="00BD6C5F">
        <w:t xml:space="preserve">for interim or interlocutory remedies in relation to this </w:t>
      </w:r>
      <w:r w:rsidR="00EE7F3F" w:rsidRPr="00BD6C5F">
        <w:t xml:space="preserve">Contract </w:t>
      </w:r>
      <w:r w:rsidRPr="00BD6C5F">
        <w:t>or infringement by the other Party of that Party</w:t>
      </w:r>
      <w:r w:rsidR="00A4555C" w:rsidRPr="00BD6C5F">
        <w:t>’</w:t>
      </w:r>
      <w:r w:rsidRPr="00BD6C5F">
        <w:t>s Intellectual Property Rights; and/or</w:t>
      </w:r>
    </w:p>
    <w:p w14:paraId="55A45F20" w14:textId="6B151E6B" w:rsidR="00BC7DDA" w:rsidRPr="00BD6C5F" w:rsidRDefault="009B03E9" w:rsidP="0012518B">
      <w:pPr>
        <w:pStyle w:val="Numbered111"/>
      </w:pPr>
      <w:r w:rsidRPr="00BD6C5F">
        <w:t>where compliance with Paragraph</w:t>
      </w:r>
      <w:r w:rsidR="00D171E0" w:rsidRPr="00BD6C5F">
        <w:t> </w:t>
      </w:r>
      <w:r w:rsidR="00B01BB9" w:rsidRPr="00BD6C5F">
        <w:fldChar w:fldCharType="begin"/>
      </w:r>
      <w:r w:rsidR="00B01BB9" w:rsidRPr="00BD6C5F">
        <w:instrText xml:space="preserve"> REF _Ref98418049 \n \h </w:instrText>
      </w:r>
      <w:r w:rsidR="00AD7DD0" w:rsidRPr="00BD6C5F">
        <w:instrText xml:space="preserve"> \* MERGEFORMAT </w:instrText>
      </w:r>
      <w:r w:rsidR="00B01BB9" w:rsidRPr="00BD6C5F">
        <w:fldChar w:fldCharType="separate"/>
      </w:r>
      <w:r w:rsidR="009749A0">
        <w:t>2.1</w:t>
      </w:r>
      <w:r w:rsidR="00B01BB9" w:rsidRPr="00BD6C5F">
        <w:fldChar w:fldCharType="end"/>
      </w:r>
      <w:r w:rsidRPr="00BD6C5F">
        <w:t xml:space="preserve"> and/or referring the Dispute to mediation may leave insufficient time for that Party to commence proceedings before the expiry of the limitation period.</w:t>
      </w:r>
    </w:p>
    <w:p w14:paraId="1DE225C5" w14:textId="3032C36A" w:rsidR="00BC7DDA" w:rsidRPr="00BD6C5F" w:rsidRDefault="0012518B" w:rsidP="00C5057A">
      <w:pPr>
        <w:pStyle w:val="Numbered1"/>
      </w:pPr>
      <w:bookmarkStart w:id="1148" w:name="_bookmark406"/>
      <w:bookmarkStart w:id="1149" w:name="_Ref98416696"/>
      <w:bookmarkEnd w:id="1148"/>
      <w:r w:rsidRPr="00BD6C5F">
        <w:t>Multi-Party Disputes</w:t>
      </w:r>
      <w:bookmarkEnd w:id="1149"/>
    </w:p>
    <w:p w14:paraId="07CFB390" w14:textId="1A4FD7F2" w:rsidR="00BC7DDA" w:rsidRPr="00BD6C5F" w:rsidRDefault="009B03E9" w:rsidP="00C5057A">
      <w:pPr>
        <w:pStyle w:val="Numbered11"/>
      </w:pPr>
      <w:bookmarkStart w:id="1150" w:name="_bookmark407"/>
      <w:bookmarkStart w:id="1151" w:name="_Ref98318141"/>
      <w:bookmarkEnd w:id="1150"/>
      <w:r w:rsidRPr="00BD6C5F">
        <w:t>All Multi-Party Disputes shall be resolved in accordance with the procedure set out in this Paragraph</w:t>
      </w:r>
      <w:r w:rsidR="00D171E0" w:rsidRPr="00BD6C5F">
        <w:t> </w:t>
      </w:r>
      <w:r w:rsidR="00B01BB9" w:rsidRPr="00BD6C5F">
        <w:fldChar w:fldCharType="begin"/>
      </w:r>
      <w:r w:rsidR="00B01BB9" w:rsidRPr="00BD6C5F">
        <w:instrText xml:space="preserve"> REF _Ref98416696 \n \h </w:instrText>
      </w:r>
      <w:r w:rsidR="00AD7DD0" w:rsidRPr="00BD6C5F">
        <w:instrText xml:space="preserve"> \* MERGEFORMAT </w:instrText>
      </w:r>
      <w:r w:rsidR="00B01BB9" w:rsidRPr="00BD6C5F">
        <w:fldChar w:fldCharType="separate"/>
      </w:r>
      <w:r w:rsidR="009749A0">
        <w:t>9</w:t>
      </w:r>
      <w:r w:rsidR="00B01BB9" w:rsidRPr="00BD6C5F">
        <w:fldChar w:fldCharType="end"/>
      </w:r>
      <w:r w:rsidRPr="00BD6C5F">
        <w:t xml:space="preserve"> (the </w:t>
      </w:r>
      <w:r w:rsidR="00A4555C" w:rsidRPr="00BD6C5F">
        <w:t>“</w:t>
      </w:r>
      <w:r w:rsidRPr="00BD6C5F">
        <w:rPr>
          <w:b/>
        </w:rPr>
        <w:t>Multi-Party Dispute Resolution Procedure</w:t>
      </w:r>
      <w:r w:rsidR="00A4555C" w:rsidRPr="00BD6C5F">
        <w:t>”</w:t>
      </w:r>
      <w:r w:rsidRPr="00BD6C5F">
        <w:t>).</w:t>
      </w:r>
      <w:bookmarkEnd w:id="1151"/>
    </w:p>
    <w:p w14:paraId="4628493E" w14:textId="55037793" w:rsidR="00BC7DDA" w:rsidRPr="00BD6C5F" w:rsidRDefault="009B03E9" w:rsidP="00C5057A">
      <w:pPr>
        <w:pStyle w:val="Numbered11"/>
      </w:pPr>
      <w:bookmarkStart w:id="1152" w:name="_bookmark408"/>
      <w:bookmarkStart w:id="1153" w:name="_Ref98318184"/>
      <w:bookmarkEnd w:id="1152"/>
      <w:r w:rsidRPr="00BD6C5F">
        <w:t xml:space="preserve">If at any time following the issue of a Dispute Notice, the Authority reasonably considers </w:t>
      </w:r>
      <w:r w:rsidRPr="00BD6C5F">
        <w:lastRenderedPageBreak/>
        <w:t>that the matters giving rise to the Dispute involve one or more Related Third Parties, then the Authority shall be entitled to determine that the Dispute is a Multi-Party Dispute and to serve a notice on the Supplier which sets out the Authority</w:t>
      </w:r>
      <w:r w:rsidR="00A4555C" w:rsidRPr="00BD6C5F">
        <w:t>’</w:t>
      </w:r>
      <w:r w:rsidRPr="00BD6C5F">
        <w:t xml:space="preserve">s determination that the Dispute is a Multi-Party Dispute and specifies the Related Third Parties which are to be involved in the Multi- Party Dispute Resolution Procedure, such notice a </w:t>
      </w:r>
      <w:r w:rsidR="00A4555C" w:rsidRPr="00BD6C5F">
        <w:t>“</w:t>
      </w:r>
      <w:r w:rsidRPr="00BD6C5F">
        <w:rPr>
          <w:b/>
        </w:rPr>
        <w:t>Multi-Party Procedure Initiation Notice</w:t>
      </w:r>
      <w:r w:rsidR="00A4555C" w:rsidRPr="00BD6C5F">
        <w:t>”</w:t>
      </w:r>
      <w:r w:rsidRPr="00BD6C5F">
        <w:t>.</w:t>
      </w:r>
      <w:bookmarkEnd w:id="1153"/>
    </w:p>
    <w:p w14:paraId="128EB6A1" w14:textId="10D7DBBC" w:rsidR="00BC7DDA" w:rsidRPr="00BD6C5F" w:rsidRDefault="009B03E9" w:rsidP="00C5057A">
      <w:pPr>
        <w:pStyle w:val="Numbered11"/>
      </w:pPr>
      <w:bookmarkStart w:id="1154" w:name="_bookmark409"/>
      <w:bookmarkStart w:id="1155" w:name="_Ref98416650"/>
      <w:bookmarkEnd w:id="1154"/>
      <w:r w:rsidRPr="00BD6C5F">
        <w:t>If following the issue of a Dispute Notice but before the Dispute has been referred to Expert Determination or to arbitration in accordance with Paragraph</w:t>
      </w:r>
      <w:r w:rsidR="00B01BB9" w:rsidRPr="00BD6C5F">
        <w:t> </w:t>
      </w:r>
      <w:r w:rsidR="00B01BB9" w:rsidRPr="00BD6C5F">
        <w:fldChar w:fldCharType="begin"/>
      </w:r>
      <w:r w:rsidR="00B01BB9" w:rsidRPr="00BD6C5F">
        <w:instrText xml:space="preserve"> REF _Ref98416752 \n \h </w:instrText>
      </w:r>
      <w:r w:rsidR="00AD7DD0" w:rsidRPr="00BD6C5F">
        <w:instrText xml:space="preserve"> \* MERGEFORMAT </w:instrText>
      </w:r>
      <w:r w:rsidR="00B01BB9" w:rsidRPr="00BD6C5F">
        <w:fldChar w:fldCharType="separate"/>
      </w:r>
      <w:r w:rsidR="009749A0">
        <w:t>7</w:t>
      </w:r>
      <w:r w:rsidR="00B01BB9" w:rsidRPr="00BD6C5F">
        <w:fldChar w:fldCharType="end"/>
      </w:r>
      <w:r w:rsidRPr="00BD6C5F">
        <w:t>, the Supplier has reasonable grounds to believe that the matters giving rise to the Dispute have been contributed to by one or more Related Third Parties, the Supplier may serve a Supplier Request on the Authority.</w:t>
      </w:r>
      <w:bookmarkEnd w:id="1155"/>
    </w:p>
    <w:p w14:paraId="0800EF92" w14:textId="77777777" w:rsidR="00BC7DDA" w:rsidRPr="00BD6C5F" w:rsidRDefault="009B03E9" w:rsidP="00C70900">
      <w:pPr>
        <w:pStyle w:val="Numbered11"/>
        <w:keepNext/>
      </w:pPr>
      <w:r w:rsidRPr="00BD6C5F">
        <w:t>The Authority shall (acting reasonably) consider each Supplier Request and shall determine within 5 Working Days whether the Dispute is:</w:t>
      </w:r>
    </w:p>
    <w:p w14:paraId="26F3668B" w14:textId="77777777" w:rsidR="00BC7DDA" w:rsidRPr="00BD6C5F" w:rsidRDefault="009B03E9" w:rsidP="0012518B">
      <w:pPr>
        <w:pStyle w:val="Numbered111"/>
      </w:pPr>
      <w:r w:rsidRPr="00BD6C5F">
        <w:t>a Multi-Party Dispute, in which case the Authority shall serve a Multi-Party Procedure Initiation Notice on the Supplier; or</w:t>
      </w:r>
    </w:p>
    <w:p w14:paraId="62B1A64E" w14:textId="409D052D" w:rsidR="00BC7DDA" w:rsidRPr="00BD6C5F" w:rsidRDefault="009B03E9" w:rsidP="0012518B">
      <w:pPr>
        <w:pStyle w:val="Numbered111"/>
      </w:pPr>
      <w:r w:rsidRPr="00BD6C5F">
        <w:t>not a Multi-Party Dispute, in which case the Authority shall serve written notice of such determination upon the Supplier and the Dispute shall be treated in accordance with Paragraphs</w:t>
      </w:r>
      <w:r w:rsidR="00D171E0" w:rsidRPr="00BD6C5F">
        <w:t> </w:t>
      </w:r>
      <w:r w:rsidR="00B01BB9" w:rsidRPr="00BD6C5F">
        <w:fldChar w:fldCharType="begin"/>
      </w:r>
      <w:r w:rsidR="00B01BB9" w:rsidRPr="00BD6C5F">
        <w:instrText xml:space="preserve"> REF _Ref98353415 \n \h </w:instrText>
      </w:r>
      <w:r w:rsidR="00AD7DD0" w:rsidRPr="00BD6C5F">
        <w:instrText xml:space="preserve"> \* MERGEFORMAT </w:instrText>
      </w:r>
      <w:r w:rsidR="00B01BB9" w:rsidRPr="00BD6C5F">
        <w:fldChar w:fldCharType="separate"/>
      </w:r>
      <w:r w:rsidR="009749A0">
        <w:t>3</w:t>
      </w:r>
      <w:r w:rsidR="00B01BB9" w:rsidRPr="00BD6C5F">
        <w:fldChar w:fldCharType="end"/>
      </w:r>
      <w:r w:rsidRPr="00BD6C5F">
        <w:t xml:space="preserve"> to </w:t>
      </w:r>
      <w:r w:rsidR="00B01BB9" w:rsidRPr="00BD6C5F">
        <w:fldChar w:fldCharType="begin"/>
      </w:r>
      <w:r w:rsidR="00B01BB9" w:rsidRPr="00BD6C5F">
        <w:instrText xml:space="preserve"> REF _Ref98416792 \n \h </w:instrText>
      </w:r>
      <w:r w:rsidR="00AD7DD0" w:rsidRPr="00BD6C5F">
        <w:instrText xml:space="preserve"> \* MERGEFORMAT </w:instrText>
      </w:r>
      <w:r w:rsidR="00B01BB9" w:rsidRPr="00BD6C5F">
        <w:fldChar w:fldCharType="separate"/>
      </w:r>
      <w:r w:rsidR="009749A0">
        <w:t>8</w:t>
      </w:r>
      <w:r w:rsidR="00B01BB9" w:rsidRPr="00BD6C5F">
        <w:fldChar w:fldCharType="end"/>
      </w:r>
      <w:r w:rsidRPr="00BD6C5F">
        <w:t>.</w:t>
      </w:r>
    </w:p>
    <w:p w14:paraId="5445E6EF" w14:textId="77777777" w:rsidR="00BC7DDA" w:rsidRPr="00BD6C5F" w:rsidRDefault="009B03E9" w:rsidP="00C5057A">
      <w:pPr>
        <w:pStyle w:val="Numbered11"/>
      </w:pPr>
      <w:r w:rsidRPr="00BD6C5F">
        <w:t>If the Authority has determined, following a Supplier Request, that a Dispute is not a Multi-Party Dispute, the Supplier may not serve another Supplier Request with reference to the same Dispute.</w:t>
      </w:r>
    </w:p>
    <w:p w14:paraId="1806FDAB" w14:textId="686D5095" w:rsidR="00BC7DDA" w:rsidRPr="00BD6C5F" w:rsidRDefault="009B03E9" w:rsidP="00C5057A">
      <w:pPr>
        <w:pStyle w:val="Numbered11"/>
      </w:pPr>
      <w:bookmarkStart w:id="1156" w:name="_bookmark410"/>
      <w:bookmarkStart w:id="1157" w:name="_Ref98416602"/>
      <w:bookmarkEnd w:id="1156"/>
      <w:r w:rsidRPr="00BD6C5F">
        <w:t xml:space="preserve">Following service of a Multi-Party Procedure Initiation Notice a Multi-Party Dispute shall be dealt with by a board (in relation to such Multi-Party Dispute, the </w:t>
      </w:r>
      <w:r w:rsidR="00A4555C" w:rsidRPr="00BD6C5F">
        <w:t>“</w:t>
      </w:r>
      <w:r w:rsidRPr="00BD6C5F">
        <w:rPr>
          <w:b/>
        </w:rPr>
        <w:t>Multi-Party Dispute Resolution Board</w:t>
      </w:r>
      <w:r w:rsidR="00A4555C" w:rsidRPr="00BD6C5F">
        <w:t>”</w:t>
      </w:r>
      <w:r w:rsidRPr="00BD6C5F">
        <w:t>) comprising representatives from the following parties to the Multi-Party Dispute, each of whom shall be of a suitable level of seniority to finalise any agreement with the other parties to settle the Multi-Party Dispute:</w:t>
      </w:r>
      <w:bookmarkEnd w:id="1157"/>
    </w:p>
    <w:p w14:paraId="5F3E546C" w14:textId="77777777" w:rsidR="00BC7DDA" w:rsidRPr="00BD6C5F" w:rsidRDefault="009B03E9" w:rsidP="0012518B">
      <w:pPr>
        <w:pStyle w:val="Numbered111"/>
      </w:pPr>
      <w:r w:rsidRPr="00BD6C5F">
        <w:t>the Authority;</w:t>
      </w:r>
    </w:p>
    <w:p w14:paraId="7539A220" w14:textId="77777777" w:rsidR="00BC7DDA" w:rsidRPr="00BD6C5F" w:rsidRDefault="009B03E9" w:rsidP="0012518B">
      <w:pPr>
        <w:pStyle w:val="Numbered111"/>
      </w:pPr>
      <w:r w:rsidRPr="00BD6C5F">
        <w:t>the Supplier;</w:t>
      </w:r>
    </w:p>
    <w:p w14:paraId="3F0D9F3C" w14:textId="77777777" w:rsidR="00BC7DDA" w:rsidRPr="00BD6C5F" w:rsidRDefault="009B03E9" w:rsidP="0012518B">
      <w:pPr>
        <w:pStyle w:val="Numbered111"/>
      </w:pPr>
      <w:r w:rsidRPr="00BD6C5F">
        <w:t>each Related Third Party involved in the Multi-Party Dispute; and</w:t>
      </w:r>
    </w:p>
    <w:p w14:paraId="08A29326" w14:textId="77777777" w:rsidR="00BC7DDA" w:rsidRPr="00BD6C5F" w:rsidRDefault="009B03E9" w:rsidP="0012518B">
      <w:pPr>
        <w:pStyle w:val="Numbered111"/>
      </w:pPr>
      <w:r w:rsidRPr="00BD6C5F">
        <w:t>any other representatives of any of the Parties and/or any Related Third Parties whom the Authority considers necessary,</w:t>
      </w:r>
    </w:p>
    <w:p w14:paraId="5FF3BDD1" w14:textId="4B094FA8" w:rsidR="00BC7DDA" w:rsidRPr="00BD6C5F" w:rsidRDefault="009B03E9" w:rsidP="00145C8B">
      <w:pPr>
        <w:spacing w:before="100" w:after="200"/>
        <w:ind w:left="720"/>
        <w:rPr>
          <w:rFonts w:asciiTheme="minorHAnsi" w:hAnsiTheme="minorHAnsi" w:cstheme="minorHAnsi"/>
          <w:szCs w:val="24"/>
        </w:rPr>
      </w:pPr>
      <w:r w:rsidRPr="00BD6C5F">
        <w:rPr>
          <w:rFonts w:asciiTheme="minorHAnsi" w:hAnsiTheme="minorHAnsi" w:cstheme="minorHAnsi"/>
          <w:szCs w:val="24"/>
        </w:rPr>
        <w:t xml:space="preserve">(together </w:t>
      </w:r>
      <w:r w:rsidR="00A4555C" w:rsidRPr="00BD6C5F">
        <w:rPr>
          <w:rFonts w:asciiTheme="minorHAnsi" w:hAnsiTheme="minorHAnsi" w:cstheme="minorHAnsi"/>
          <w:szCs w:val="24"/>
        </w:rPr>
        <w:t>“</w:t>
      </w:r>
      <w:r w:rsidRPr="00BD6C5F">
        <w:rPr>
          <w:rFonts w:asciiTheme="minorHAnsi" w:hAnsiTheme="minorHAnsi" w:cstheme="minorHAnsi"/>
          <w:b/>
          <w:szCs w:val="24"/>
        </w:rPr>
        <w:t>Multi-Party Dispute Representatives</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24C5F0CA" w14:textId="77777777" w:rsidR="00BC7DDA" w:rsidRPr="00BD6C5F" w:rsidRDefault="009B03E9" w:rsidP="00C70900">
      <w:pPr>
        <w:pStyle w:val="Numbered11"/>
        <w:keepNext/>
      </w:pPr>
      <w:r w:rsidRPr="00BD6C5F">
        <w:t>The Parties agree that the Multi-Party Dispute Resolution Board shall seek to resolve the relevant Multi-Party Dispute in accordance with the following principles and procedures:</w:t>
      </w:r>
    </w:p>
    <w:p w14:paraId="58B34482" w14:textId="77777777" w:rsidR="00BC7DDA" w:rsidRPr="00BD6C5F" w:rsidRDefault="009B03E9" w:rsidP="0012518B">
      <w:pPr>
        <w:pStyle w:val="Numbered111"/>
      </w:pPr>
      <w:r w:rsidRPr="00BD6C5F">
        <w:t>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w:t>
      </w:r>
    </w:p>
    <w:p w14:paraId="705801DF" w14:textId="77777777" w:rsidR="00BC7DDA" w:rsidRPr="00BD6C5F" w:rsidRDefault="009B03E9" w:rsidP="0012518B">
      <w:pPr>
        <w:pStyle w:val="Numbered111"/>
      </w:pPr>
      <w:r w:rsidRPr="00BD6C5F">
        <w:t xml:space="preserve">the Multi-Party Dispute Resolution Board shall first meet within 10 Working Days of service of the relevant Multi-Party Procedure Initiation Notice at such </w:t>
      </w:r>
      <w:r w:rsidRPr="00BD6C5F">
        <w:lastRenderedPageBreak/>
        <w:t>time and place as the Parties may agree or, if the Parties do not reach agreement on the time and place within 5 Working Days of service of the relevant Multi-Party Procedure Initiation Notice, at the time and place specified by the Authority, provided such place is at a neutral location within Scotland and that the meeting is to take place between 9.00am and 5.00pm on a Working Day; and</w:t>
      </w:r>
    </w:p>
    <w:p w14:paraId="7B4CAF42" w14:textId="77777777" w:rsidR="00BC7DDA" w:rsidRPr="00BD6C5F" w:rsidRDefault="009B03E9" w:rsidP="0012518B">
      <w:pPr>
        <w:pStyle w:val="Numbered111"/>
      </w:pPr>
      <w:r w:rsidRPr="00BD6C5F">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47EC82DE" w14:textId="77777777" w:rsidR="00BC7DDA" w:rsidRPr="00BD6C5F" w:rsidRDefault="009B03E9" w:rsidP="00C70900">
      <w:pPr>
        <w:pStyle w:val="Numbered11"/>
        <w:keepNext/>
      </w:pPr>
      <w:r w:rsidRPr="00BD6C5F">
        <w:t>If a Multi-Party Dispute is not resolved between the Parties and all Related Third Parties within 25 Working Days of the issue of the Multi-Party Procedure Initiation Notice (or such longer period as the Parties may agree in writing), then:</w:t>
      </w:r>
    </w:p>
    <w:p w14:paraId="57655D48" w14:textId="3B94156E" w:rsidR="00BC7DDA" w:rsidRPr="00BD6C5F" w:rsidRDefault="009B03E9" w:rsidP="0012518B">
      <w:pPr>
        <w:pStyle w:val="Numbered111"/>
      </w:pPr>
      <w:r w:rsidRPr="00BD6C5F">
        <w:t>either Party may serve a Mediation Notice in respect of the Multi- Party Dispute in which case Paragraph</w:t>
      </w:r>
      <w:r w:rsidR="00D171E0" w:rsidRPr="00BD6C5F">
        <w:t> </w:t>
      </w:r>
      <w:r w:rsidR="00B01BB9" w:rsidRPr="00BD6C5F">
        <w:fldChar w:fldCharType="begin"/>
      </w:r>
      <w:r w:rsidR="00B01BB9" w:rsidRPr="00BD6C5F">
        <w:instrText xml:space="preserve"> REF _Ref98416743 \n \h </w:instrText>
      </w:r>
      <w:r w:rsidR="00AD7DD0" w:rsidRPr="00BD6C5F">
        <w:instrText xml:space="preserve"> \* MERGEFORMAT </w:instrText>
      </w:r>
      <w:r w:rsidR="00B01BB9" w:rsidRPr="00BD6C5F">
        <w:fldChar w:fldCharType="separate"/>
      </w:r>
      <w:r w:rsidR="009749A0">
        <w:t>5</w:t>
      </w:r>
      <w:r w:rsidR="00B01BB9" w:rsidRPr="00BD6C5F">
        <w:fldChar w:fldCharType="end"/>
      </w:r>
      <w:r w:rsidRPr="00BD6C5F">
        <w:t xml:space="preserve"> shall apply;</w:t>
      </w:r>
    </w:p>
    <w:p w14:paraId="4E98C905" w14:textId="158484A8" w:rsidR="00BC7DDA" w:rsidRPr="00BD6C5F" w:rsidRDefault="009B03E9" w:rsidP="0012518B">
      <w:pPr>
        <w:pStyle w:val="Numbered111"/>
      </w:pPr>
      <w:r w:rsidRPr="00BD6C5F">
        <w:rPr>
          <w:rFonts w:asciiTheme="minorHAnsi" w:hAnsiTheme="minorHAnsi" w:cstheme="minorHAnsi"/>
        </w:rPr>
        <w:t>either Party may request t</w:t>
      </w:r>
      <w:r w:rsidRPr="00BD6C5F">
        <w:t>hat the Multi-Party Dispute is referred to an expert in which case Paragraph</w:t>
      </w:r>
      <w:r w:rsidR="00D171E0" w:rsidRPr="00BD6C5F">
        <w:t> </w:t>
      </w:r>
      <w:r w:rsidR="00B01BB9" w:rsidRPr="00BD6C5F">
        <w:fldChar w:fldCharType="begin"/>
      </w:r>
      <w:r w:rsidR="00B01BB9" w:rsidRPr="00BD6C5F">
        <w:instrText xml:space="preserve"> REF _Ref98353430 \n \h </w:instrText>
      </w:r>
      <w:r w:rsidR="00AD7DD0" w:rsidRPr="00BD6C5F">
        <w:instrText xml:space="preserve"> \* MERGEFORMAT </w:instrText>
      </w:r>
      <w:r w:rsidR="00B01BB9" w:rsidRPr="00BD6C5F">
        <w:fldChar w:fldCharType="separate"/>
      </w:r>
      <w:r w:rsidR="009749A0">
        <w:t>6</w:t>
      </w:r>
      <w:r w:rsidR="00B01BB9" w:rsidRPr="00BD6C5F">
        <w:fldChar w:fldCharType="end"/>
      </w:r>
      <w:r w:rsidRPr="00BD6C5F">
        <w:t xml:space="preserve"> shall apply; and/or</w:t>
      </w:r>
    </w:p>
    <w:p w14:paraId="5664AB04" w14:textId="7DD2EC25" w:rsidR="00BC7DDA" w:rsidRPr="00BD6C5F" w:rsidRDefault="009B03E9" w:rsidP="0012518B">
      <w:pPr>
        <w:pStyle w:val="Numbered111"/>
      </w:pPr>
      <w:r w:rsidRPr="00BD6C5F">
        <w:t>subject to Paragraph</w:t>
      </w:r>
      <w:r w:rsidR="00D171E0" w:rsidRPr="00BD6C5F">
        <w:t> </w:t>
      </w:r>
      <w:r w:rsidR="00B01BB9" w:rsidRPr="00BD6C5F">
        <w:fldChar w:fldCharType="begin"/>
      </w:r>
      <w:r w:rsidR="00B01BB9" w:rsidRPr="00BD6C5F">
        <w:instrText xml:space="preserve"> REF _Ref98418167 \n \h </w:instrText>
      </w:r>
      <w:r w:rsidR="00AD7DD0" w:rsidRPr="00BD6C5F">
        <w:instrText xml:space="preserve"> \* MERGEFORMAT </w:instrText>
      </w:r>
      <w:r w:rsidR="00B01BB9" w:rsidRPr="00BD6C5F">
        <w:fldChar w:fldCharType="separate"/>
      </w:r>
      <w:r w:rsidR="009749A0">
        <w:t>9.9</w:t>
      </w:r>
      <w:r w:rsidR="00B01BB9" w:rsidRPr="00BD6C5F">
        <w:fldChar w:fldCharType="end"/>
      </w:r>
      <w:r w:rsidRPr="00BD6C5F">
        <w:t>, Paragraph</w:t>
      </w:r>
      <w:r w:rsidR="00D171E0" w:rsidRPr="00BD6C5F">
        <w:t> </w:t>
      </w:r>
      <w:r w:rsidR="00B01BB9" w:rsidRPr="00BD6C5F">
        <w:fldChar w:fldCharType="begin"/>
      </w:r>
      <w:r w:rsidR="00B01BB9" w:rsidRPr="00BD6C5F">
        <w:instrText xml:space="preserve"> REF _Ref98416752 \n \h </w:instrText>
      </w:r>
      <w:r w:rsidR="00AD7DD0" w:rsidRPr="00BD6C5F">
        <w:instrText xml:space="preserve"> \* MERGEFORMAT </w:instrText>
      </w:r>
      <w:r w:rsidR="00B01BB9" w:rsidRPr="00BD6C5F">
        <w:fldChar w:fldCharType="separate"/>
      </w:r>
      <w:r w:rsidR="009749A0">
        <w:t>7</w:t>
      </w:r>
      <w:r w:rsidR="00B01BB9" w:rsidRPr="00BD6C5F">
        <w:fldChar w:fldCharType="end"/>
      </w:r>
      <w:r w:rsidRPr="00BD6C5F">
        <w:t xml:space="preserve"> shall apply to the Multi-Party Dispute,</w:t>
      </w:r>
    </w:p>
    <w:p w14:paraId="6F01AF5D" w14:textId="10DCC517" w:rsidR="00BC7DDA" w:rsidRPr="00BD6C5F" w:rsidRDefault="009B03E9" w:rsidP="00145C8B">
      <w:pPr>
        <w:pStyle w:val="BodyText"/>
        <w:spacing w:before="100" w:after="200"/>
        <w:ind w:left="720"/>
        <w:rPr>
          <w:rFonts w:asciiTheme="minorHAnsi" w:hAnsiTheme="minorHAnsi" w:cstheme="minorHAnsi"/>
        </w:rPr>
      </w:pPr>
      <w:r w:rsidRPr="00BD6C5F">
        <w:rPr>
          <w:rFonts w:asciiTheme="minorHAnsi" w:hAnsiTheme="minorHAnsi" w:cstheme="minorHAnsi"/>
        </w:rPr>
        <w:t xml:space="preserve">and in each case references to the </w:t>
      </w:r>
      <w:r w:rsidR="00A4555C" w:rsidRPr="00BD6C5F">
        <w:rPr>
          <w:rFonts w:asciiTheme="minorHAnsi" w:hAnsiTheme="minorHAnsi" w:cstheme="minorHAnsi"/>
        </w:rPr>
        <w:t>“</w:t>
      </w:r>
      <w:r w:rsidRPr="00BD6C5F">
        <w:rPr>
          <w:rFonts w:asciiTheme="minorHAnsi" w:hAnsiTheme="minorHAnsi" w:cstheme="minorHAnsi"/>
        </w:rPr>
        <w:t>Supplier</w:t>
      </w:r>
      <w:r w:rsidR="00A4555C" w:rsidRPr="00BD6C5F">
        <w:rPr>
          <w:rFonts w:asciiTheme="minorHAnsi" w:hAnsiTheme="minorHAnsi" w:cstheme="minorHAnsi"/>
        </w:rPr>
        <w:t>”</w:t>
      </w:r>
      <w:r w:rsidRPr="00BD6C5F">
        <w:rPr>
          <w:rFonts w:asciiTheme="minorHAnsi" w:hAnsiTheme="minorHAnsi" w:cstheme="minorHAnsi"/>
        </w:rPr>
        <w:t xml:space="preserve"> or the </w:t>
      </w:r>
      <w:r w:rsidR="00A4555C" w:rsidRPr="00BD6C5F">
        <w:rPr>
          <w:rFonts w:asciiTheme="minorHAnsi" w:hAnsiTheme="minorHAnsi" w:cstheme="minorHAnsi"/>
        </w:rPr>
        <w:t>“</w:t>
      </w:r>
      <w:r w:rsidRPr="00BD6C5F">
        <w:rPr>
          <w:rFonts w:asciiTheme="minorHAnsi" w:hAnsiTheme="minorHAnsi" w:cstheme="minorHAnsi"/>
        </w:rPr>
        <w:t>Parties</w:t>
      </w:r>
      <w:r w:rsidR="00A4555C" w:rsidRPr="00BD6C5F">
        <w:rPr>
          <w:rFonts w:asciiTheme="minorHAnsi" w:hAnsiTheme="minorHAnsi" w:cstheme="minorHAnsi"/>
        </w:rPr>
        <w:t>”</w:t>
      </w:r>
      <w:r w:rsidRPr="00BD6C5F">
        <w:rPr>
          <w:rFonts w:asciiTheme="minorHAnsi" w:hAnsiTheme="minorHAnsi" w:cstheme="minorHAnsi"/>
        </w:rPr>
        <w:t xml:space="preserve"> in such provisions shall include a reference to all Related Third Parties.</w:t>
      </w:r>
    </w:p>
    <w:p w14:paraId="2EB166BE" w14:textId="4E23AB14" w:rsidR="00BC7DDA" w:rsidRPr="00BD6C5F" w:rsidRDefault="009B03E9" w:rsidP="00C5057A">
      <w:pPr>
        <w:pStyle w:val="Numbered11"/>
      </w:pPr>
      <w:bookmarkStart w:id="1158" w:name="_bookmark411"/>
      <w:bookmarkStart w:id="1159" w:name="_Ref98418167"/>
      <w:bookmarkEnd w:id="1158"/>
      <w:r w:rsidRPr="00BD6C5F">
        <w:t>If a Multi-Party Dispute is referred to arbitration in accordance with Paragraph</w:t>
      </w:r>
      <w:r w:rsidR="00B01BB9" w:rsidRPr="00BD6C5F">
        <w:t> </w:t>
      </w:r>
      <w:r w:rsidR="00B01BB9" w:rsidRPr="00BD6C5F">
        <w:fldChar w:fldCharType="begin"/>
      </w:r>
      <w:r w:rsidR="00B01BB9" w:rsidRPr="00BD6C5F">
        <w:instrText xml:space="preserve"> REF _Ref98416752 \n \h </w:instrText>
      </w:r>
      <w:r w:rsidR="00AD7DD0" w:rsidRPr="00BD6C5F">
        <w:instrText xml:space="preserve"> \* MERGEFORMAT </w:instrText>
      </w:r>
      <w:r w:rsidR="00B01BB9" w:rsidRPr="00BD6C5F">
        <w:fldChar w:fldCharType="separate"/>
      </w:r>
      <w:r w:rsidR="009749A0">
        <w:t>7</w:t>
      </w:r>
      <w:r w:rsidR="00B01BB9" w:rsidRPr="00BD6C5F">
        <w:fldChar w:fldCharType="end"/>
      </w:r>
      <w:r w:rsidRPr="00BD6C5F">
        <w:t xml:space="preserve"> or a Dispute becomes a Multi-Party Dispute during the course of arbitration proceedings and either Party is unable to compel a Related Third Party to submit to such arbitration proceedings, the Authority 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 Contractor, by the Supplier.</w:t>
      </w:r>
      <w:bookmarkEnd w:id="1159"/>
    </w:p>
    <w:p w14:paraId="66BF467C" w14:textId="44CC1FC2" w:rsidR="00BC7DDA" w:rsidRPr="00BD6C5F" w:rsidRDefault="009B03E9" w:rsidP="00C5057A">
      <w:pPr>
        <w:pStyle w:val="Numbered11"/>
      </w:pPr>
      <w:r w:rsidRPr="00BD6C5F">
        <w:t>The Supplier shall ensure that all its contracts with Related Third Parties require the Related Third Parties to participate in the procedure set out in this Paragraph</w:t>
      </w:r>
      <w:r w:rsidR="00D171E0" w:rsidRPr="00BD6C5F">
        <w:t> </w:t>
      </w:r>
      <w:r w:rsidR="00B01BB9" w:rsidRPr="00BD6C5F">
        <w:fldChar w:fldCharType="begin"/>
      </w:r>
      <w:r w:rsidR="00B01BB9" w:rsidRPr="00BD6C5F">
        <w:instrText xml:space="preserve"> REF _Ref98416696 \n \h </w:instrText>
      </w:r>
      <w:r w:rsidR="00AD7DD0" w:rsidRPr="00BD6C5F">
        <w:instrText xml:space="preserve"> \* MERGEFORMAT </w:instrText>
      </w:r>
      <w:r w:rsidR="00B01BB9" w:rsidRPr="00BD6C5F">
        <w:fldChar w:fldCharType="separate"/>
      </w:r>
      <w:r w:rsidR="009749A0">
        <w:t>9</w:t>
      </w:r>
      <w:r w:rsidR="00B01BB9" w:rsidRPr="00BD6C5F">
        <w:fldChar w:fldCharType="end"/>
      </w:r>
      <w:r w:rsidRPr="00BD6C5F">
        <w:t xml:space="preserve"> in respect of any Multi-Party Dispute. The Supplier shall further ensure that all such Related Third Parties comply with such contractual requirements.</w:t>
      </w:r>
    </w:p>
    <w:p w14:paraId="15D9A4AC" w14:textId="598F0977" w:rsidR="00E238E6" w:rsidRPr="00BD6C5F" w:rsidRDefault="00E238E6" w:rsidP="00145C8B"/>
    <w:p w14:paraId="1CBFE53E" w14:textId="77777777" w:rsidR="00E238E6" w:rsidRPr="00BD6C5F" w:rsidRDefault="00E238E6" w:rsidP="00145C8B"/>
    <w:p w14:paraId="7E121ACF" w14:textId="77777777" w:rsidR="007F3BCB" w:rsidRPr="00BD6C5F" w:rsidRDefault="007F3BCB" w:rsidP="00E238E6">
      <w:pPr>
        <w:rPr>
          <w:rFonts w:asciiTheme="minorHAnsi" w:hAnsiTheme="minorHAnsi" w:cstheme="minorHAnsi"/>
        </w:rPr>
        <w:sectPr w:rsidR="007F3BCB" w:rsidRPr="00BD6C5F" w:rsidSect="00EA65BF">
          <w:headerReference w:type="default" r:id="rId99"/>
          <w:footerReference w:type="default" r:id="rId100"/>
          <w:pgSz w:w="11910" w:h="16840"/>
          <w:pgMar w:top="1701" w:right="851" w:bottom="1134" w:left="851" w:header="567" w:footer="567" w:gutter="0"/>
          <w:cols w:space="720"/>
        </w:sectPr>
      </w:pPr>
    </w:p>
    <w:p w14:paraId="71F78B27" w14:textId="1EE1D264" w:rsidR="00713E2F" w:rsidRDefault="00713E2F" w:rsidP="00713E2F">
      <w:pPr>
        <w:pStyle w:val="Dividername"/>
      </w:pPr>
      <w:bookmarkStart w:id="1160" w:name="_bookmark412"/>
      <w:bookmarkStart w:id="1161" w:name="_bookmark413"/>
      <w:bookmarkEnd w:id="1160"/>
      <w:bookmarkEnd w:id="1161"/>
      <w:r>
        <w:lastRenderedPageBreak/>
        <w:t xml:space="preserve">Schedule </w:t>
      </w:r>
      <w:bookmarkStart w:id="1162" w:name="Schedule_24"/>
      <w:r>
        <w:t>24</w:t>
      </w:r>
      <w:bookmarkEnd w:id="1162"/>
    </w:p>
    <w:p w14:paraId="40A242C4" w14:textId="4440F150" w:rsidR="00713E2F" w:rsidRDefault="00713E2F" w:rsidP="00713E2F">
      <w:pPr>
        <w:pStyle w:val="Dividername"/>
      </w:pPr>
      <w:r w:rsidRPr="00713E2F">
        <w:t>Reports and Records Provisions</w:t>
      </w:r>
    </w:p>
    <w:p w14:paraId="2BE82CC0" w14:textId="77777777" w:rsidR="00713E2F" w:rsidRDefault="00713E2F" w:rsidP="00713E2F"/>
    <w:p w14:paraId="763D0E72" w14:textId="6EC1E005" w:rsidR="00BC7DDA" w:rsidRPr="00BD6C5F" w:rsidRDefault="00145C8B" w:rsidP="00713E2F">
      <w:pPr>
        <w:pStyle w:val="Heading1"/>
        <w:pageBreakBefore/>
      </w:pPr>
      <w:bookmarkStart w:id="1163" w:name="_Toc141721036"/>
      <w:r w:rsidRPr="00BD6C5F">
        <w:lastRenderedPageBreak/>
        <w:t>Schedule 24</w:t>
      </w:r>
      <w:r w:rsidR="0058158C" w:rsidRPr="00BD6C5F">
        <w:t>:</w:t>
      </w:r>
      <w:r w:rsidRPr="00BD6C5F">
        <w:t xml:space="preserve"> </w:t>
      </w:r>
      <w:bookmarkStart w:id="1164" w:name="_Ref98252829"/>
      <w:bookmarkStart w:id="1165" w:name="_Ref98253044"/>
      <w:bookmarkStart w:id="1166" w:name="_Toc98332767"/>
      <w:bookmarkStart w:id="1167" w:name="_Toc98852943"/>
      <w:r w:rsidRPr="00BD6C5F">
        <w:t xml:space="preserve">Reports </w:t>
      </w:r>
      <w:r w:rsidR="000E2C77" w:rsidRPr="00BD6C5F">
        <w:t>a</w:t>
      </w:r>
      <w:r w:rsidRPr="00BD6C5F">
        <w:t>nd Records Provisions</w:t>
      </w:r>
      <w:bookmarkEnd w:id="1164"/>
      <w:bookmarkEnd w:id="1165"/>
      <w:bookmarkEnd w:id="1166"/>
      <w:bookmarkEnd w:id="1167"/>
      <w:bookmarkEnd w:id="1163"/>
    </w:p>
    <w:p w14:paraId="7DB3AF85" w14:textId="469009BC" w:rsidR="00A655B3" w:rsidRPr="00BD6C5F" w:rsidRDefault="00A655B3" w:rsidP="00145C8B">
      <w:pPr>
        <w:jc w:val="center"/>
      </w:pPr>
      <w:bookmarkStart w:id="1168" w:name="_bookmark414"/>
      <w:bookmarkStart w:id="1169" w:name="_Ref98418221"/>
      <w:bookmarkEnd w:id="1168"/>
      <w:r w:rsidRPr="00BD6C5F">
        <w:t>This is the schedule referred to in the foregoing agreement between</w:t>
      </w:r>
      <w:r w:rsidR="0012518B" w:rsidRPr="00BD6C5F">
        <w:t xml:space="preserve"> [</w:t>
      </w:r>
      <w:r w:rsidR="0012518B" w:rsidRPr="00BD6C5F">
        <w:rPr>
          <w:highlight w:val="yellow"/>
        </w:rPr>
        <w:t>name of party</w:t>
      </w:r>
      <w:r w:rsidR="0012518B" w:rsidRPr="00BD6C5F">
        <w:t>] and [</w:t>
      </w:r>
      <w:r w:rsidR="0012518B" w:rsidRPr="00BD6C5F">
        <w:rPr>
          <w:highlight w:val="yellow"/>
        </w:rPr>
        <w:t>name of party</w:t>
      </w:r>
      <w:r w:rsidR="0012518B" w:rsidRPr="00BD6C5F">
        <w:t>] dated [</w:t>
      </w:r>
      <w:r w:rsidR="0012518B" w:rsidRPr="00BD6C5F">
        <w:rPr>
          <w:highlight w:val="yellow"/>
        </w:rPr>
        <w:t>date</w:t>
      </w:r>
      <w:r w:rsidR="0012518B" w:rsidRPr="00BD6C5F">
        <w:t>]</w:t>
      </w:r>
    </w:p>
    <w:p w14:paraId="21A65434" w14:textId="77777777" w:rsidR="00145C8B" w:rsidRPr="00BD6C5F" w:rsidRDefault="00145C8B" w:rsidP="00145C8B"/>
    <w:p w14:paraId="54EC51DA" w14:textId="313FC53A" w:rsidR="00BC7DDA" w:rsidRPr="00BD6C5F" w:rsidRDefault="0095651E" w:rsidP="00B71FC0">
      <w:pPr>
        <w:pStyle w:val="Numbered1"/>
        <w:numPr>
          <w:ilvl w:val="0"/>
          <w:numId w:val="109"/>
        </w:numPr>
      </w:pPr>
      <w:bookmarkStart w:id="1170" w:name="_Ref141214808"/>
      <w:r w:rsidRPr="00BD6C5F">
        <w:t>Transparency Reports</w:t>
      </w:r>
      <w:bookmarkEnd w:id="1169"/>
      <w:bookmarkEnd w:id="1170"/>
    </w:p>
    <w:p w14:paraId="090D02F9" w14:textId="07344A29" w:rsidR="00BC7DDA" w:rsidRPr="00BD6C5F" w:rsidRDefault="009B03E9" w:rsidP="00C5057A">
      <w:pPr>
        <w:pStyle w:val="Numbered11"/>
      </w:pPr>
      <w:r w:rsidRPr="00BD6C5F">
        <w:t xml:space="preserve">Within three (3) months of the Effective Date the Supplier shall provide to the Authority for its approval (such approval not to be unreasonably withheld or delayed) draft reports in accordance with </w:t>
      </w:r>
      <w:r w:rsidR="00F5677F">
        <w:t>Annex </w:t>
      </w:r>
      <w:r w:rsidR="00F5677F">
        <w:fldChar w:fldCharType="begin"/>
      </w:r>
      <w:r w:rsidR="00F5677F">
        <w:instrText xml:space="preserve"> REF Schedule_24_Annex_1 \h </w:instrText>
      </w:r>
      <w:r w:rsidR="00F5677F">
        <w:fldChar w:fldCharType="separate"/>
      </w:r>
      <w:r w:rsidR="009749A0" w:rsidRPr="00BD6C5F">
        <w:t>1</w:t>
      </w:r>
      <w:r w:rsidR="00F5677F">
        <w:fldChar w:fldCharType="end"/>
      </w:r>
      <w:r w:rsidRPr="00BD6C5F">
        <w:t xml:space="preserve"> (once approved, the </w:t>
      </w:r>
      <w:r w:rsidR="00A4555C" w:rsidRPr="00BD6C5F">
        <w:t>“</w:t>
      </w:r>
      <w:r w:rsidRPr="00BD6C5F">
        <w:rPr>
          <w:b/>
        </w:rPr>
        <w:t>Transparency Reports</w:t>
      </w:r>
      <w:r w:rsidR="00A4555C" w:rsidRPr="00BD6C5F">
        <w:t>”</w:t>
      </w:r>
      <w:r w:rsidRPr="00BD6C5F">
        <w:t>).</w:t>
      </w:r>
    </w:p>
    <w:p w14:paraId="5337B7B6" w14:textId="77777777" w:rsidR="00BC7DDA" w:rsidRPr="00BD6C5F" w:rsidRDefault="009B03E9" w:rsidP="00C5057A">
      <w:pPr>
        <w:pStyle w:val="Numbered11"/>
      </w:pPr>
      <w:bookmarkStart w:id="1171" w:name="_bookmark415"/>
      <w:bookmarkStart w:id="1172" w:name="_Ref98418208"/>
      <w:bookmarkEnd w:id="1171"/>
      <w:r w:rsidRPr="00BD6C5F">
        <w:t>If the Authority rejects any draft Transparency Report, the Supplier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bookmarkEnd w:id="1172"/>
    </w:p>
    <w:p w14:paraId="1B8FB63C" w14:textId="1D04C102" w:rsidR="00BC7DDA" w:rsidRPr="00BD6C5F" w:rsidRDefault="009B03E9" w:rsidP="00C5057A">
      <w:pPr>
        <w:pStyle w:val="Numbered11"/>
      </w:pPr>
      <w:r w:rsidRPr="00BD6C5F">
        <w:t xml:space="preserve">The Supplier shall provide accurate and up-to-date versions of each Transparency Report to the Authority at the frequency referred to in </w:t>
      </w:r>
      <w:r w:rsidR="00DF7441">
        <w:t>Annex </w:t>
      </w:r>
      <w:r w:rsidR="00DF7441">
        <w:fldChar w:fldCharType="begin"/>
      </w:r>
      <w:r w:rsidR="00DF7441">
        <w:instrText xml:space="preserve"> REF Schedule_24_Annex_1 \h </w:instrText>
      </w:r>
      <w:r w:rsidR="00DF7441">
        <w:fldChar w:fldCharType="separate"/>
      </w:r>
      <w:r w:rsidR="009749A0" w:rsidRPr="00BD6C5F">
        <w:t>1</w:t>
      </w:r>
      <w:r w:rsidR="00DF7441">
        <w:fldChar w:fldCharType="end"/>
      </w:r>
      <w:r w:rsidRPr="00BD6C5F">
        <w:t>.</w:t>
      </w:r>
    </w:p>
    <w:p w14:paraId="734ECB99" w14:textId="264E2DD7" w:rsidR="00BC7DDA" w:rsidRPr="00BD6C5F" w:rsidRDefault="009B03E9" w:rsidP="00C5057A">
      <w:pPr>
        <w:pStyle w:val="Numbered11"/>
      </w:pPr>
      <w:r w:rsidRPr="00BD6C5F">
        <w:t xml:space="preserve">Any disagreement in connection with the preparation and/or approval of Transparency Reports, other than under </w:t>
      </w:r>
      <w:r w:rsidR="00D171E0" w:rsidRPr="00BD6C5F">
        <w:t>P</w:t>
      </w:r>
      <w:r w:rsidRPr="00BD6C5F">
        <w:t>aragraph</w:t>
      </w:r>
      <w:r w:rsidR="00D171E0" w:rsidRPr="00BD6C5F">
        <w:t> </w:t>
      </w:r>
      <w:r w:rsidR="00B01BB9" w:rsidRPr="00BD6C5F">
        <w:fldChar w:fldCharType="begin"/>
      </w:r>
      <w:r w:rsidR="00B01BB9" w:rsidRPr="00BD6C5F">
        <w:instrText xml:space="preserve"> REF _Ref98418208 \n \h </w:instrText>
      </w:r>
      <w:r w:rsidR="00AD7DD0" w:rsidRPr="00BD6C5F">
        <w:instrText xml:space="preserve"> \* MERGEFORMAT </w:instrText>
      </w:r>
      <w:r w:rsidR="00B01BB9" w:rsidRPr="00BD6C5F">
        <w:fldChar w:fldCharType="separate"/>
      </w:r>
      <w:r w:rsidR="009749A0">
        <w:t>1.2</w:t>
      </w:r>
      <w:r w:rsidR="00B01BB9" w:rsidRPr="00BD6C5F">
        <w:fldChar w:fldCharType="end"/>
      </w:r>
      <w:r w:rsidRPr="00BD6C5F">
        <w:t xml:space="preserve"> above in relation to the contents of a Transparency Report, shall be treated as a Dispute.</w:t>
      </w:r>
    </w:p>
    <w:p w14:paraId="30E5A871" w14:textId="1B8704A3" w:rsidR="00BC7DDA" w:rsidRPr="00BD6C5F" w:rsidRDefault="009B03E9" w:rsidP="00C5057A">
      <w:pPr>
        <w:pStyle w:val="Numbered11"/>
      </w:pPr>
      <w:r w:rsidRPr="00BD6C5F">
        <w:t xml:space="preserve">The requirements for Transparency Reports are in addition to any other reporting requirements in this </w:t>
      </w:r>
      <w:r w:rsidR="00EE7F3F" w:rsidRPr="00BD6C5F">
        <w:t>Contract</w:t>
      </w:r>
      <w:r w:rsidRPr="00BD6C5F">
        <w:t>.</w:t>
      </w:r>
    </w:p>
    <w:p w14:paraId="757BB444" w14:textId="6678B76E" w:rsidR="00BC7DDA" w:rsidRPr="00BD6C5F" w:rsidRDefault="0095651E" w:rsidP="00C5057A">
      <w:pPr>
        <w:pStyle w:val="Numbered1"/>
      </w:pPr>
      <w:r w:rsidRPr="00BD6C5F">
        <w:t>Other Reports</w:t>
      </w:r>
    </w:p>
    <w:p w14:paraId="25BF7DE8" w14:textId="77777777" w:rsidR="00BC7DDA" w:rsidRPr="00BD6C5F" w:rsidRDefault="009B03E9" w:rsidP="00C70900">
      <w:pPr>
        <w:pStyle w:val="Numbered11"/>
        <w:keepNext/>
      </w:pPr>
      <w:r w:rsidRPr="00BD6C5F">
        <w:t>The Authority may require any or all of the following reports:</w:t>
      </w:r>
    </w:p>
    <w:p w14:paraId="3E4DE1A8" w14:textId="77777777" w:rsidR="00BC7DDA" w:rsidRPr="00BD6C5F" w:rsidRDefault="009B03E9" w:rsidP="0095651E">
      <w:pPr>
        <w:pStyle w:val="Numbered111"/>
      </w:pPr>
      <w:r w:rsidRPr="00BD6C5F">
        <w:t>delay reports;</w:t>
      </w:r>
    </w:p>
    <w:p w14:paraId="4CD6C299" w14:textId="640558A3" w:rsidR="00BC7DDA" w:rsidRPr="00BD6C5F" w:rsidRDefault="009B03E9" w:rsidP="0095651E">
      <w:pPr>
        <w:pStyle w:val="Numbered111"/>
      </w:pPr>
      <w:r w:rsidRPr="00BD6C5F">
        <w:t xml:space="preserve">reports relating to Testing and tests carried out under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00FF2A19" w:rsidRPr="00BD6C5F">
        <w:t xml:space="preserve"> </w:t>
      </w:r>
      <w:r w:rsidRPr="00BD6C5F">
        <w:t>(</w:t>
      </w:r>
      <w:r w:rsidRPr="00BD6C5F">
        <w:rPr>
          <w:i/>
        </w:rPr>
        <w:t>Security Management</w:t>
      </w:r>
      <w:r w:rsidRPr="00BD6C5F">
        <w:t xml:space="preserve">) and </w:t>
      </w:r>
      <w:r w:rsidR="00BF4352" w:rsidRPr="00BD6C5F">
        <w:rPr>
          <w:rFonts w:asciiTheme="minorHAnsi" w:hAnsiTheme="minorHAnsi" w:cstheme="minorHAnsi"/>
        </w:rPr>
        <w:t>Schedule </w:t>
      </w:r>
      <w:r w:rsidR="00BF4352">
        <w:rPr>
          <w:rFonts w:asciiTheme="minorHAnsi" w:hAnsiTheme="minorHAnsi" w:cstheme="minorHAnsi"/>
        </w:rPr>
        <w:fldChar w:fldCharType="begin"/>
      </w:r>
      <w:r w:rsidR="00BF4352">
        <w:rPr>
          <w:rFonts w:asciiTheme="minorHAnsi" w:hAnsiTheme="minorHAnsi" w:cstheme="minorHAnsi"/>
        </w:rPr>
        <w:instrText xml:space="preserve"> REF Schedule_26 \h </w:instrText>
      </w:r>
      <w:r w:rsidR="00BF4352">
        <w:rPr>
          <w:rFonts w:asciiTheme="minorHAnsi" w:hAnsiTheme="minorHAnsi" w:cstheme="minorHAnsi"/>
        </w:rPr>
      </w:r>
      <w:r w:rsidR="00BF4352">
        <w:rPr>
          <w:rFonts w:asciiTheme="minorHAnsi" w:hAnsiTheme="minorHAnsi" w:cstheme="minorHAnsi"/>
        </w:rPr>
        <w:fldChar w:fldCharType="separate"/>
      </w:r>
      <w:r w:rsidR="009749A0">
        <w:t>26</w:t>
      </w:r>
      <w:r w:rsidR="00BF4352">
        <w:rPr>
          <w:rFonts w:asciiTheme="minorHAnsi" w:hAnsiTheme="minorHAnsi" w:cstheme="minorHAnsi"/>
        </w:rPr>
        <w:fldChar w:fldCharType="end"/>
      </w:r>
      <w:r w:rsidRPr="00BD6C5F">
        <w:t xml:space="preserve"> (</w:t>
      </w:r>
      <w:r w:rsidRPr="00BD6C5F">
        <w:rPr>
          <w:i/>
        </w:rPr>
        <w:t>Service Continuity Plan and Corporate Resolution Planning</w:t>
      </w:r>
      <w:r w:rsidRPr="00BD6C5F">
        <w:t>);</w:t>
      </w:r>
    </w:p>
    <w:p w14:paraId="65F435E1" w14:textId="77777777" w:rsidR="00BC7DDA" w:rsidRPr="00BD6C5F" w:rsidRDefault="009B03E9" w:rsidP="0095651E">
      <w:pPr>
        <w:pStyle w:val="Numbered111"/>
      </w:pPr>
      <w:r w:rsidRPr="00BD6C5F">
        <w:t>reports which the Supplier is required to supply as part of the Management Information;</w:t>
      </w:r>
    </w:p>
    <w:p w14:paraId="64C3F1D2" w14:textId="77777777" w:rsidR="00BC7DDA" w:rsidRPr="00BD6C5F" w:rsidRDefault="009B03E9" w:rsidP="0095651E">
      <w:pPr>
        <w:pStyle w:val="Numbered111"/>
      </w:pPr>
      <w:r w:rsidRPr="00BD6C5F">
        <w:t>annual reports on the Insurances;</w:t>
      </w:r>
    </w:p>
    <w:p w14:paraId="4C20F382" w14:textId="77777777" w:rsidR="00BC7DDA" w:rsidRPr="00BD6C5F" w:rsidRDefault="009B03E9" w:rsidP="0095651E">
      <w:pPr>
        <w:pStyle w:val="Numbered111"/>
      </w:pPr>
      <w:r w:rsidRPr="00BD6C5F">
        <w:t>security reports; and</w:t>
      </w:r>
    </w:p>
    <w:p w14:paraId="272AA37C" w14:textId="77777777" w:rsidR="00BC7DDA" w:rsidRPr="00BD6C5F" w:rsidRDefault="009B03E9" w:rsidP="0095651E">
      <w:pPr>
        <w:pStyle w:val="Numbered111"/>
        <w:rPr>
          <w:rFonts w:asciiTheme="minorHAnsi" w:hAnsiTheme="minorHAnsi" w:cstheme="minorHAnsi"/>
        </w:rPr>
      </w:pPr>
      <w:r w:rsidRPr="00BD6C5F">
        <w:t>Force Majeure Ev</w:t>
      </w:r>
      <w:r w:rsidRPr="00BD6C5F">
        <w:rPr>
          <w:rFonts w:asciiTheme="minorHAnsi" w:hAnsiTheme="minorHAnsi" w:cstheme="minorHAnsi"/>
        </w:rPr>
        <w:t>ent reports.</w:t>
      </w:r>
    </w:p>
    <w:p w14:paraId="29CE9D0C" w14:textId="5EE344C1" w:rsidR="00BC7DDA" w:rsidRPr="00BD6C5F" w:rsidRDefault="0095651E" w:rsidP="00C5057A">
      <w:pPr>
        <w:pStyle w:val="Numbered1"/>
      </w:pPr>
      <w:bookmarkStart w:id="1173" w:name="_bookmark416"/>
      <w:bookmarkStart w:id="1174" w:name="_Ref98357414"/>
      <w:bookmarkEnd w:id="1173"/>
      <w:r w:rsidRPr="00BD6C5F">
        <w:t>Records</w:t>
      </w:r>
      <w:bookmarkEnd w:id="1174"/>
    </w:p>
    <w:p w14:paraId="766B9665" w14:textId="505DF89B" w:rsidR="00BC7DDA" w:rsidRPr="00BD6C5F" w:rsidRDefault="009B03E9" w:rsidP="00C70900">
      <w:pPr>
        <w:pStyle w:val="Numbered11"/>
        <w:keepNext/>
      </w:pPr>
      <w:r w:rsidRPr="00BD6C5F">
        <w:t>The Supplier shall retain and maintain all the records (including superseded records) referred to in Paragraph</w:t>
      </w:r>
      <w:r w:rsidR="00D171E0" w:rsidRPr="00BD6C5F">
        <w:t> </w:t>
      </w:r>
      <w:r w:rsidR="00FC42BC">
        <w:fldChar w:fldCharType="begin"/>
      </w:r>
      <w:r w:rsidR="00FC42BC">
        <w:instrText xml:space="preserve"> REF _Ref141214808 \w \h </w:instrText>
      </w:r>
      <w:r w:rsidR="00FC42BC">
        <w:fldChar w:fldCharType="separate"/>
      </w:r>
      <w:r w:rsidR="009749A0">
        <w:t>1</w:t>
      </w:r>
      <w:r w:rsidR="00FC42BC">
        <w:fldChar w:fldCharType="end"/>
      </w:r>
      <w:r w:rsidRPr="00BD6C5F">
        <w:t xml:space="preserve"> and </w:t>
      </w:r>
      <w:r w:rsidR="00F5677F">
        <w:t>Annex </w:t>
      </w:r>
      <w:r w:rsidR="00F5677F">
        <w:fldChar w:fldCharType="begin"/>
      </w:r>
      <w:r w:rsidR="00F5677F">
        <w:instrText xml:space="preserve"> REF Schedule_24_Annex_1 \h </w:instrText>
      </w:r>
      <w:r w:rsidR="00F5677F">
        <w:fldChar w:fldCharType="separate"/>
      </w:r>
      <w:r w:rsidR="009749A0" w:rsidRPr="00BD6C5F">
        <w:t>1</w:t>
      </w:r>
      <w:r w:rsidR="00F5677F">
        <w:fldChar w:fldCharType="end"/>
      </w:r>
      <w:r w:rsidRPr="00BD6C5F">
        <w:t xml:space="preserve"> (together </w:t>
      </w:r>
      <w:r w:rsidR="00A4555C" w:rsidRPr="00BD6C5F">
        <w:t>“</w:t>
      </w:r>
      <w:r w:rsidRPr="00BD6C5F">
        <w:rPr>
          <w:b/>
        </w:rPr>
        <w:t>Records</w:t>
      </w:r>
      <w:r w:rsidR="00A4555C" w:rsidRPr="00BD6C5F">
        <w:t>”</w:t>
      </w:r>
      <w:r w:rsidRPr="00BD6C5F">
        <w:t>):</w:t>
      </w:r>
    </w:p>
    <w:p w14:paraId="18759402" w14:textId="77777777" w:rsidR="00BC7DDA" w:rsidRPr="00BD6C5F" w:rsidRDefault="009B03E9" w:rsidP="0095651E">
      <w:pPr>
        <w:pStyle w:val="Numbered111"/>
      </w:pPr>
      <w:r w:rsidRPr="00BD6C5F">
        <w:t>in accordance with the requirements of The National Archives and Good Industry Practice;</w:t>
      </w:r>
    </w:p>
    <w:p w14:paraId="71BBD92E" w14:textId="77777777" w:rsidR="00BC7DDA" w:rsidRPr="00BD6C5F" w:rsidRDefault="009B03E9" w:rsidP="0095651E">
      <w:pPr>
        <w:pStyle w:val="Numbered111"/>
      </w:pPr>
      <w:r w:rsidRPr="00BD6C5F">
        <w:lastRenderedPageBreak/>
        <w:t>in chronological order;</w:t>
      </w:r>
    </w:p>
    <w:p w14:paraId="45EBCF3D" w14:textId="4DC03E68" w:rsidR="00BC7DDA" w:rsidRPr="00BD6C5F" w:rsidRDefault="009B03E9" w:rsidP="0095651E">
      <w:pPr>
        <w:pStyle w:val="Numbered111"/>
      </w:pPr>
      <w:r w:rsidRPr="00BD6C5F">
        <w:t>in a form that is capable of audit; and</w:t>
      </w:r>
    </w:p>
    <w:p w14:paraId="027A2923" w14:textId="77777777" w:rsidR="00BC7DDA" w:rsidRPr="00BD6C5F" w:rsidRDefault="009B03E9" w:rsidP="0095651E">
      <w:pPr>
        <w:pStyle w:val="Numbered111"/>
      </w:pPr>
      <w:r w:rsidRPr="00BD6C5F">
        <w:t>at its own expense.</w:t>
      </w:r>
    </w:p>
    <w:p w14:paraId="2388CC41" w14:textId="77777777" w:rsidR="00BC7DDA" w:rsidRPr="00BD6C5F" w:rsidRDefault="009B03E9" w:rsidP="00C5057A">
      <w:pPr>
        <w:pStyle w:val="Numbered11"/>
      </w:pPr>
      <w:r w:rsidRPr="00BD6C5F">
        <w:t>The Supplier shall make the Records available for inspection to the Authority on request, subject to the Authority giving reasonable notice.</w:t>
      </w:r>
    </w:p>
    <w:p w14:paraId="5210975B" w14:textId="77777777" w:rsidR="00BC7DDA" w:rsidRPr="00BD6C5F" w:rsidRDefault="009B03E9" w:rsidP="00C5057A">
      <w:pPr>
        <w:pStyle w:val="Numbered11"/>
      </w:pPr>
      <w:r w:rsidRPr="00BD6C5F">
        <w:t>Where Records are retained in electronic form, the original metadata shall be preserved together with all subsequent metadata in a format reasonably accessible to the Authority.</w:t>
      </w:r>
    </w:p>
    <w:p w14:paraId="618B6250" w14:textId="25C994FE" w:rsidR="00BC7DDA" w:rsidRPr="00BD6C5F" w:rsidRDefault="009B03E9" w:rsidP="00C5057A">
      <w:pPr>
        <w:pStyle w:val="Numbered11"/>
      </w:pPr>
      <w:r w:rsidRPr="00BD6C5F">
        <w:t xml:space="preserve">The Supplier shall, during the Term and a period of at least 7 years following the expiry or termination of this </w:t>
      </w:r>
      <w:r w:rsidR="00EE7F3F" w:rsidRPr="00BD6C5F">
        <w:t>Contract</w:t>
      </w:r>
      <w:r w:rsidRPr="00BD6C5F">
        <w:t>, maintain or cause to be maintained complete and accurate documents and records in relation to the provision of the Services including but not limited to all Records.</w:t>
      </w:r>
    </w:p>
    <w:p w14:paraId="3B477240" w14:textId="41659B75" w:rsidR="00BC7DDA" w:rsidRPr="00BD6C5F" w:rsidRDefault="009B03E9" w:rsidP="00C5057A">
      <w:pPr>
        <w:pStyle w:val="Numbered11"/>
      </w:pPr>
      <w:r w:rsidRPr="00BD6C5F">
        <w:t xml:space="preserve">Records that contain financial information shall be retained and maintained in safe storage by the Supplier for a period of at least 7 years after the expiry or termination of this </w:t>
      </w:r>
      <w:r w:rsidR="00EE7F3F" w:rsidRPr="00BD6C5F">
        <w:t>Contract</w:t>
      </w:r>
      <w:r w:rsidRPr="00BD6C5F">
        <w:t>.</w:t>
      </w:r>
    </w:p>
    <w:p w14:paraId="3EF6DD43" w14:textId="77777777" w:rsidR="00BC7DDA" w:rsidRPr="00BD6C5F" w:rsidRDefault="009B03E9" w:rsidP="00C70900">
      <w:pPr>
        <w:pStyle w:val="Numbered11"/>
        <w:keepNext/>
      </w:pPr>
      <w:r w:rsidRPr="00BD6C5F">
        <w:t>Without prejudice to the foregoing, the Supplier shall provide the Authority:</w:t>
      </w:r>
    </w:p>
    <w:p w14:paraId="1F932F47" w14:textId="77777777" w:rsidR="00BC7DDA" w:rsidRPr="00BD6C5F" w:rsidRDefault="009B03E9" w:rsidP="0095651E">
      <w:pPr>
        <w:pStyle w:val="Numbered111"/>
      </w:pPr>
      <w:r w:rsidRPr="00BD6C5F">
        <w:t>as soon as they are available, and in any event within 60 Working Days after the end of the first 6 months of each financial year of the Supplier during the Term, a copy, certified as a true copy by an authorised representative of the Supplier, of its un-audited interim accounts and, if applicable, of consolidated un-audited interim accounts of the Supplier and its Affiliates which would (if the Supplier were listed on the London Stock Exchange (whether or not it is)) be required to be sent to shareholders as at the end of and for each such 6 month period; and</w:t>
      </w:r>
    </w:p>
    <w:p w14:paraId="6C898BC2" w14:textId="0B5D2F7C" w:rsidR="00BC7DDA" w:rsidRPr="00BD6C5F" w:rsidRDefault="009B03E9" w:rsidP="0095651E">
      <w:pPr>
        <w:pStyle w:val="Numbered111"/>
      </w:pPr>
      <w:r w:rsidRPr="00BD6C5F">
        <w:t>as soon as they shall have been sent to its shareholders in order to be laid before an annual general meeting of the Supplier, but not later than 130 Working Days after the end of each accounting reference period of the Supplier part or all of which falls during the Term, the Supplier</w:t>
      </w:r>
      <w:r w:rsidR="00A4555C" w:rsidRPr="00BD6C5F">
        <w:t>’</w:t>
      </w:r>
      <w:r w:rsidRPr="00BD6C5F">
        <w:t>s audited accounts and if applicable, of the consolidated audited accounts of the Supplier and its Affiliates in respect of that period together with copies of all related directors</w:t>
      </w:r>
      <w:r w:rsidR="00A4555C" w:rsidRPr="00BD6C5F">
        <w:t>’</w:t>
      </w:r>
      <w:r w:rsidRPr="00BD6C5F">
        <w:t xml:space="preserve"> and auditors</w:t>
      </w:r>
      <w:r w:rsidR="00A4555C" w:rsidRPr="00BD6C5F">
        <w:t>’</w:t>
      </w:r>
      <w:r w:rsidRPr="00BD6C5F">
        <w:t xml:space="preserve"> reports and all other notices/circulars to shareholders.</w:t>
      </w:r>
    </w:p>
    <w:p w14:paraId="73C390ED" w14:textId="6F9CC924" w:rsidR="00BC7DDA" w:rsidRPr="00BD6C5F" w:rsidRDefault="0095651E" w:rsidP="00C5057A">
      <w:pPr>
        <w:pStyle w:val="Numbered1"/>
      </w:pPr>
      <w:bookmarkStart w:id="1175" w:name="_bookmark417"/>
      <w:bookmarkStart w:id="1176" w:name="_Ref98418415"/>
      <w:bookmarkEnd w:id="1175"/>
      <w:r w:rsidRPr="00BD6C5F">
        <w:t>Virtual Library</w:t>
      </w:r>
      <w:bookmarkEnd w:id="1176"/>
    </w:p>
    <w:p w14:paraId="309BD341" w14:textId="18BF1285" w:rsidR="00BC7DDA" w:rsidRPr="00BD6C5F" w:rsidRDefault="009B03E9" w:rsidP="00C5057A">
      <w:pPr>
        <w:pStyle w:val="Numbered11"/>
      </w:pPr>
      <w:bookmarkStart w:id="1177" w:name="_bookmark418"/>
      <w:bookmarkStart w:id="1178" w:name="_Ref98418399"/>
      <w:bookmarkEnd w:id="1177"/>
      <w:r w:rsidRPr="00BD6C5F">
        <w:t xml:space="preserve">The Supplier shall, no later than eight (8) weeks prior to the Operational Service Commencement Date and without charge to the Authority, create a Virtual Library on which the Supplier shall (subject to any applicable legislation governing the use or processing of personal data) make information about this </w:t>
      </w:r>
      <w:r w:rsidR="00EE7F3F" w:rsidRPr="00BD6C5F">
        <w:t xml:space="preserve">Contract </w:t>
      </w:r>
      <w:r w:rsidRPr="00BD6C5F">
        <w:t>available in in accordance with the requirements outlined in this Schedule.</w:t>
      </w:r>
      <w:bookmarkEnd w:id="1178"/>
    </w:p>
    <w:p w14:paraId="65042187" w14:textId="77777777" w:rsidR="00BC7DDA" w:rsidRPr="00BD6C5F" w:rsidRDefault="009B03E9" w:rsidP="00C70900">
      <w:pPr>
        <w:pStyle w:val="Numbered11"/>
        <w:keepNext/>
      </w:pPr>
      <w:r w:rsidRPr="00BD6C5F">
        <w:t>The Supplier shall ensure that the Virtual Library is:</w:t>
      </w:r>
    </w:p>
    <w:p w14:paraId="1098259A" w14:textId="001802AB" w:rsidR="00BC7DDA" w:rsidRPr="00BD6C5F" w:rsidRDefault="009B03E9" w:rsidP="0095651E">
      <w:pPr>
        <w:pStyle w:val="Numbered111"/>
      </w:pPr>
      <w:r w:rsidRPr="00BD6C5F">
        <w:t xml:space="preserve">capable of holding and allowing access to the information described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of this Schedule and includes full and accurate file</w:t>
      </w:r>
      <w:r w:rsidR="00DB2677" w:rsidRPr="00BD6C5F">
        <w:t xml:space="preserve"> </w:t>
      </w:r>
      <w:r w:rsidRPr="00BD6C5F">
        <w:t>details of all uploaded items including date and time of upload, version number and the name of the uploader;</w:t>
      </w:r>
    </w:p>
    <w:p w14:paraId="37E73AF8" w14:textId="77777777" w:rsidR="00BC7DDA" w:rsidRPr="00BD6C5F" w:rsidRDefault="009B03E9" w:rsidP="0095651E">
      <w:pPr>
        <w:pStyle w:val="Numbered111"/>
      </w:pPr>
      <w:r w:rsidRPr="00BD6C5F">
        <w:lastRenderedPageBreak/>
        <w:t>structured so that each document uploaded has a unique identifier which is automatically assigned;</w:t>
      </w:r>
    </w:p>
    <w:p w14:paraId="3CCE1482" w14:textId="77777777" w:rsidR="00BC7DDA" w:rsidRPr="00BD6C5F" w:rsidRDefault="009B03E9" w:rsidP="0095651E">
      <w:pPr>
        <w:pStyle w:val="Numbered111"/>
      </w:pPr>
      <w:r w:rsidRPr="00BD6C5F">
        <w:t>readily accessible by the Authority at all times in full via a user- friendly, password protected interface to such nominated users as are notified to the Supplier by the Authority from time to time,</w:t>
      </w:r>
    </w:p>
    <w:p w14:paraId="48F5A5F4" w14:textId="77777777" w:rsidR="00BC7DDA" w:rsidRPr="00BD6C5F" w:rsidRDefault="009B03E9" w:rsidP="0095651E">
      <w:pPr>
        <w:pStyle w:val="Numbered111"/>
      </w:pPr>
      <w:r w:rsidRPr="00BD6C5F">
        <w:t>structured so as to allow nominated users to download either specific documents or the complete Virtual Library (to the extent it has Access Permission) in bulk and store and view the content offline (on a regular and automated basis);</w:t>
      </w:r>
    </w:p>
    <w:p w14:paraId="12EC5C9B" w14:textId="37CAC537" w:rsidR="00BC7DDA" w:rsidRPr="00BD6C5F" w:rsidRDefault="009B03E9" w:rsidP="0095651E">
      <w:pPr>
        <w:pStyle w:val="Numbered111"/>
      </w:pPr>
      <w:r w:rsidRPr="00BD6C5F">
        <w:t xml:space="preserve">structured and maintained in accordance with the security requirements as set out in this </w:t>
      </w:r>
      <w:r w:rsidR="00EE7F3F" w:rsidRPr="00BD6C5F">
        <w:t xml:space="preserve">Contract </w:t>
      </w:r>
      <w:r w:rsidRPr="00BD6C5F">
        <w:t xml:space="preserve">including those set out in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00FF2A19" w:rsidRPr="00BD6C5F">
        <w:t xml:space="preserve"> </w:t>
      </w:r>
      <w:r w:rsidRPr="00BD6C5F">
        <w:t>(</w:t>
      </w:r>
      <w:r w:rsidRPr="00BD6C5F">
        <w:rPr>
          <w:i/>
        </w:rPr>
        <w:t>Security Management</w:t>
      </w:r>
      <w:r w:rsidRPr="00BD6C5F">
        <w:t>);</w:t>
      </w:r>
    </w:p>
    <w:p w14:paraId="10A96D6B" w14:textId="35E00A2C" w:rsidR="00BC7DDA" w:rsidRPr="00BD6C5F" w:rsidRDefault="009B03E9" w:rsidP="0095651E">
      <w:pPr>
        <w:pStyle w:val="Numbered111"/>
      </w:pPr>
      <w:r w:rsidRPr="00BD6C5F">
        <w:t xml:space="preserve">created and based on open standards in </w:t>
      </w:r>
      <w:r w:rsidR="00484523" w:rsidRPr="00BD6C5F">
        <w:rPr>
          <w:rFonts w:asciiTheme="minorHAnsi" w:hAnsiTheme="minorHAnsi" w:cstheme="minorHAnsi"/>
        </w:rPr>
        <w:t>Schedule </w:t>
      </w:r>
      <w:r w:rsidR="00484523">
        <w:rPr>
          <w:rFonts w:asciiTheme="minorHAnsi" w:hAnsiTheme="minorHAnsi" w:cstheme="minorHAnsi"/>
        </w:rPr>
        <w:fldChar w:fldCharType="begin"/>
      </w:r>
      <w:r w:rsidR="00484523">
        <w:rPr>
          <w:rFonts w:asciiTheme="minorHAnsi" w:hAnsiTheme="minorHAnsi" w:cstheme="minorHAnsi"/>
        </w:rPr>
        <w:instrText xml:space="preserve"> REF Schedule_4 \h </w:instrText>
      </w:r>
      <w:r w:rsidR="00484523">
        <w:rPr>
          <w:rFonts w:asciiTheme="minorHAnsi" w:hAnsiTheme="minorHAnsi" w:cstheme="minorHAnsi"/>
        </w:rPr>
      </w:r>
      <w:r w:rsidR="00484523">
        <w:rPr>
          <w:rFonts w:asciiTheme="minorHAnsi" w:hAnsiTheme="minorHAnsi" w:cstheme="minorHAnsi"/>
        </w:rPr>
        <w:fldChar w:fldCharType="separate"/>
      </w:r>
      <w:r w:rsidR="009749A0">
        <w:t>4</w:t>
      </w:r>
      <w:r w:rsidR="00484523">
        <w:rPr>
          <w:rFonts w:asciiTheme="minorHAnsi" w:hAnsiTheme="minorHAnsi" w:cstheme="minorHAnsi"/>
        </w:rPr>
        <w:fldChar w:fldCharType="end"/>
      </w:r>
      <w:r w:rsidR="00FF2A19" w:rsidRPr="00BD6C5F">
        <w:t xml:space="preserve"> </w:t>
      </w:r>
      <w:r w:rsidRPr="00BD6C5F">
        <w:t>(</w:t>
      </w:r>
      <w:r w:rsidRPr="00BD6C5F">
        <w:rPr>
          <w:i/>
        </w:rPr>
        <w:t>Standards</w:t>
      </w:r>
      <w:r w:rsidRPr="00BD6C5F">
        <w:t>); and</w:t>
      </w:r>
    </w:p>
    <w:p w14:paraId="4ED763CF" w14:textId="77777777" w:rsidR="00BC7DDA" w:rsidRPr="00BD6C5F" w:rsidRDefault="009B03E9" w:rsidP="0095651E">
      <w:pPr>
        <w:pStyle w:val="Numbered111"/>
      </w:pPr>
      <w:r w:rsidRPr="00BD6C5F">
        <w:t>backed up on a secure off-site system.</w:t>
      </w:r>
    </w:p>
    <w:p w14:paraId="381CD00B" w14:textId="0E4DE582" w:rsidR="00BC7DDA" w:rsidRPr="00BD6C5F" w:rsidRDefault="009B03E9" w:rsidP="00C5057A">
      <w:pPr>
        <w:pStyle w:val="Numbered11"/>
      </w:pPr>
      <w:r w:rsidRPr="00BD6C5F">
        <w:t xml:space="preserve">For the avoidance of doubt, the Virtual Library (excluding any Software used to host it) shall form a database which constitute Project Specific IPR which shall be </w:t>
      </w:r>
      <w:r w:rsidR="00B677C5">
        <w:t>subject to</w:t>
      </w:r>
      <w:r w:rsidR="00BF7B96">
        <w:t xml:space="preserve"> an </w:t>
      </w:r>
      <w:r w:rsidRPr="00BD6C5F">
        <w:t>assign</w:t>
      </w:r>
      <w:r w:rsidR="00BF7B96">
        <w:t>ation</w:t>
      </w:r>
      <w:r w:rsidRPr="00BD6C5F">
        <w:t xml:space="preserve"> to the Authority pursuant to </w:t>
      </w:r>
      <w:r w:rsidR="001613A4" w:rsidRPr="00BD6C5F">
        <w:t>Schedule</w:t>
      </w:r>
      <w:r w:rsidR="00F20BB2" w:rsidRPr="00BD6C5F">
        <w:t> </w:t>
      </w:r>
      <w:r w:rsidR="00925140">
        <w:fldChar w:fldCharType="begin"/>
      </w:r>
      <w:r w:rsidR="00925140">
        <w:instrText xml:space="preserve"> REF Schedule_32 \h </w:instrText>
      </w:r>
      <w:r w:rsidR="00925140">
        <w:fldChar w:fldCharType="separate"/>
      </w:r>
      <w:r w:rsidR="009749A0" w:rsidRPr="00EE4F10">
        <w:t>32</w:t>
      </w:r>
      <w:r w:rsidR="00925140">
        <w:fldChar w:fldCharType="end"/>
      </w:r>
      <w:r w:rsidR="001613A4" w:rsidRPr="00BD6C5F">
        <w:rPr>
          <w:bCs/>
          <w:iCs/>
        </w:rPr>
        <w:t xml:space="preserve"> </w:t>
      </w:r>
      <w:r w:rsidR="001613A4" w:rsidRPr="00BD6C5F">
        <w:rPr>
          <w:i/>
        </w:rPr>
        <w:t xml:space="preserve">(Intellectual Property Rights) </w:t>
      </w:r>
      <w:r w:rsidRPr="00BD6C5F">
        <w:t xml:space="preserve">of this </w:t>
      </w:r>
      <w:r w:rsidR="001613A4" w:rsidRPr="00BD6C5F">
        <w:t>Contract</w:t>
      </w:r>
      <w:r w:rsidRPr="00BD6C5F">
        <w:t>.</w:t>
      </w:r>
    </w:p>
    <w:p w14:paraId="446619A7" w14:textId="2EFA4CC5" w:rsidR="00BC7DDA" w:rsidRPr="00BD6C5F" w:rsidRDefault="009B03E9" w:rsidP="00C5057A">
      <w:pPr>
        <w:pStyle w:val="Numbered11"/>
      </w:pPr>
      <w:r w:rsidRPr="00BD6C5F">
        <w:t xml:space="preserve">The Supplier shall upload complete and accurate information specified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by the Initial Upload Date (except where prior to the launch of the Virtual Library in which case the date at which the Virtual Library is made available in accordance with Paragraph</w:t>
      </w:r>
      <w:r w:rsidR="00D171E0" w:rsidRPr="00BD6C5F">
        <w:t> </w:t>
      </w:r>
      <w:r w:rsidR="00B01BB9" w:rsidRPr="00BD6C5F">
        <w:fldChar w:fldCharType="begin"/>
      </w:r>
      <w:r w:rsidR="00B01BB9" w:rsidRPr="00BD6C5F">
        <w:instrText xml:space="preserve"> REF _Ref98418399 \n \h </w:instrText>
      </w:r>
      <w:r w:rsidR="00AD7DD0" w:rsidRPr="00BD6C5F">
        <w:instrText xml:space="preserve"> \* MERGEFORMAT </w:instrText>
      </w:r>
      <w:r w:rsidR="00B01BB9" w:rsidRPr="00BD6C5F">
        <w:fldChar w:fldCharType="separate"/>
      </w:r>
      <w:r w:rsidR="009749A0">
        <w:t>4.1</w:t>
      </w:r>
      <w:r w:rsidR="00B01BB9" w:rsidRPr="00BD6C5F">
        <w:fldChar w:fldCharType="end"/>
      </w:r>
      <w:r w:rsidRPr="00BD6C5F">
        <w:t>) onto Virtual Library in the format specified.</w:t>
      </w:r>
    </w:p>
    <w:p w14:paraId="1BF2E57A" w14:textId="77777777" w:rsidR="00BC7DDA" w:rsidRPr="00BD6C5F" w:rsidRDefault="009B03E9" w:rsidP="00C5057A">
      <w:pPr>
        <w:pStyle w:val="Numbered11"/>
      </w:pPr>
      <w:r w:rsidRPr="00BD6C5F">
        <w:t>Upon any document being uploaded to the Virtual Library, and where the Authority has been granted Access Permission to that document, the Supplier shall email on the same date as the upload, a copy of the document to the nominated Authority email address at:</w:t>
      </w:r>
    </w:p>
    <w:p w14:paraId="2DF9C558" w14:textId="675B7364" w:rsidR="00BC7DDA" w:rsidRPr="00BD6C5F" w:rsidRDefault="000E2C77" w:rsidP="000E2C77">
      <w:pPr>
        <w:pStyle w:val="BodyText"/>
        <w:spacing w:before="100" w:after="200"/>
        <w:ind w:left="720"/>
        <w:rPr>
          <w:rFonts w:asciiTheme="minorHAnsi" w:hAnsiTheme="minorHAnsi" w:cstheme="minorHAnsi"/>
        </w:rPr>
      </w:pPr>
      <w:r w:rsidRPr="00BD6C5F">
        <w:rPr>
          <w:rFonts w:asciiTheme="minorHAnsi" w:hAnsiTheme="minorHAnsi" w:cstheme="minorHAnsi"/>
          <w:highlight w:val="yellow"/>
        </w:rPr>
        <w:t>[</w:t>
      </w:r>
      <w:r w:rsidRPr="00BD6C5F">
        <w:rPr>
          <w:rFonts w:asciiTheme="minorHAnsi" w:hAnsiTheme="minorHAnsi" w:cstheme="minorHAnsi"/>
          <w:highlight w:val="yellow"/>
        </w:rPr>
        <w:tab/>
      </w:r>
      <w:r w:rsidRPr="00BD6C5F">
        <w:rPr>
          <w:rFonts w:asciiTheme="minorHAnsi" w:hAnsiTheme="minorHAnsi" w:cstheme="minorHAnsi"/>
          <w:highlight w:val="yellow"/>
        </w:rPr>
        <w:tab/>
      </w:r>
      <w:r w:rsidRPr="00BD6C5F">
        <w:rPr>
          <w:rFonts w:asciiTheme="minorHAnsi" w:hAnsiTheme="minorHAnsi" w:cstheme="minorHAnsi"/>
          <w:highlight w:val="yellow"/>
        </w:rPr>
        <w:tab/>
        <w:t>]</w:t>
      </w:r>
    </w:p>
    <w:p w14:paraId="62148BBF" w14:textId="23F1D9D1" w:rsidR="00BC7DDA" w:rsidRPr="00BD6C5F" w:rsidRDefault="009B03E9" w:rsidP="00C5057A">
      <w:pPr>
        <w:pStyle w:val="Numbered11"/>
      </w:pPr>
      <w:r w:rsidRPr="00BD6C5F">
        <w:t xml:space="preserve">Except for notices under </w:t>
      </w:r>
      <w:r w:rsidR="005E736B" w:rsidRPr="00BD6C5F">
        <w:t>Clause </w:t>
      </w:r>
      <w:r w:rsidRPr="00BD6C5F">
        <w:t>4</w:t>
      </w:r>
      <w:r w:rsidR="005721ED" w:rsidRPr="00BD6C5F">
        <w:t>1</w:t>
      </w:r>
      <w:r w:rsidRPr="00BD6C5F">
        <w:t xml:space="preserve">.4 or items covered by </w:t>
      </w:r>
      <w:r w:rsidR="005E736B" w:rsidRPr="00BD6C5F">
        <w:t>Clause </w:t>
      </w:r>
      <w:r w:rsidRPr="00BD6C5F">
        <w:t>4</w:t>
      </w:r>
      <w:r w:rsidR="005721ED" w:rsidRPr="00BD6C5F">
        <w:t>1</w:t>
      </w:r>
      <w:r w:rsidRPr="00BD6C5F">
        <w:t xml:space="preserve">.6, where the Supplier is under an obligation to provide information to the Authority in a provision under this </w:t>
      </w:r>
      <w:r w:rsidR="001613A4" w:rsidRPr="00BD6C5F">
        <w:t>Contract</w:t>
      </w:r>
      <w:r w:rsidRPr="00BD6C5F">
        <w:t>, then the Supplier</w:t>
      </w:r>
      <w:r w:rsidR="00A4555C" w:rsidRPr="00BD6C5F">
        <w:t>’</w:t>
      </w:r>
      <w:r w:rsidRPr="00BD6C5F">
        <w:t>s upload of that information onto the Virtual Library shall satisfy the Supplier</w:t>
      </w:r>
      <w:r w:rsidR="00A4555C" w:rsidRPr="00BD6C5F">
        <w:t>’</w:t>
      </w:r>
      <w:r w:rsidRPr="00BD6C5F">
        <w:t xml:space="preserve">s obligation to provide the Authority with that information provided that the Authority has access in accordance with this </w:t>
      </w:r>
      <w:r w:rsidR="00D171E0" w:rsidRPr="00BD6C5F">
        <w:t>P</w:t>
      </w:r>
      <w:r w:rsidRPr="00BD6C5F">
        <w:t>aragraph</w:t>
      </w:r>
      <w:r w:rsidR="00D171E0" w:rsidRPr="00BD6C5F">
        <w:t> </w:t>
      </w:r>
      <w:r w:rsidR="00B01BB9" w:rsidRPr="00BD6C5F">
        <w:fldChar w:fldCharType="begin"/>
      </w:r>
      <w:r w:rsidR="00B01BB9" w:rsidRPr="00BD6C5F">
        <w:instrText xml:space="preserve"> REF _Ref98418415 \n \h </w:instrText>
      </w:r>
      <w:r w:rsidR="00AD7DD0" w:rsidRPr="00BD6C5F">
        <w:instrText xml:space="preserve"> \* MERGEFORMAT </w:instrText>
      </w:r>
      <w:r w:rsidR="00B01BB9" w:rsidRPr="00BD6C5F">
        <w:fldChar w:fldCharType="separate"/>
      </w:r>
      <w:r w:rsidR="009749A0">
        <w:t>4</w:t>
      </w:r>
      <w:r w:rsidR="00B01BB9" w:rsidRPr="00BD6C5F">
        <w:fldChar w:fldCharType="end"/>
      </w:r>
      <w:r w:rsidRPr="00BD6C5F">
        <w:t xml:space="preserve"> and the uploaded information meets the requirements more particularly specified in the relevant provision.</w:t>
      </w:r>
    </w:p>
    <w:p w14:paraId="0F3800E4" w14:textId="782548B7" w:rsidR="00BC7DDA" w:rsidRPr="00BD6C5F" w:rsidRDefault="009B03E9" w:rsidP="00C5057A">
      <w:pPr>
        <w:pStyle w:val="Numbered11"/>
      </w:pPr>
      <w:r w:rsidRPr="00BD6C5F">
        <w:t xml:space="preserve">Except to the extent that the requirements provide for earlier and more regular Authority access to up-to-date information,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shall not take precedence over any other obligation to provide information in this </w:t>
      </w:r>
      <w:r w:rsidR="001613A4" w:rsidRPr="00BD6C5F">
        <w:t xml:space="preserve">Contract </w:t>
      </w:r>
      <w:r w:rsidRPr="00BD6C5F">
        <w:t>and the</w:t>
      </w:r>
      <w:r w:rsidR="00DB2677" w:rsidRPr="00BD6C5F">
        <w:t xml:space="preserve"> </w:t>
      </w:r>
      <w:r w:rsidRPr="00BD6C5F">
        <w:t xml:space="preserve">Supplier shall refer to the applicable </w:t>
      </w:r>
      <w:r w:rsidR="005721ED" w:rsidRPr="00BD6C5F">
        <w:t>C</w:t>
      </w:r>
      <w:r w:rsidRPr="00BD6C5F">
        <w:t>lause for further details as to the requirement.</w:t>
      </w:r>
    </w:p>
    <w:p w14:paraId="7286E186" w14:textId="2723E7DD" w:rsidR="00BC7DDA" w:rsidRPr="00BD6C5F" w:rsidRDefault="009B03E9" w:rsidP="00C5057A">
      <w:pPr>
        <w:pStyle w:val="Numbered11"/>
      </w:pPr>
      <w:bookmarkStart w:id="1179" w:name="_Ref98414612"/>
      <w:r w:rsidRPr="00BD6C5F">
        <w:t xml:space="preserve">The Suppler shall provide each specified person (as set out in column 6 of the table at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access to view and download the specified information in the Virtual Library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subject upon the occurrence of the event specified in the column marked Access Permission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to this Schedule.</w:t>
      </w:r>
      <w:bookmarkEnd w:id="1179"/>
    </w:p>
    <w:p w14:paraId="3B86C273" w14:textId="0CE0684E" w:rsidR="00BC7DDA" w:rsidRPr="00BD6C5F" w:rsidRDefault="009B03E9" w:rsidP="00C5057A">
      <w:pPr>
        <w:pStyle w:val="Numbered11"/>
      </w:pPr>
      <w:r w:rsidRPr="00BD6C5F">
        <w:t xml:space="preserve">Where Access Permission is not listed (in column 6 of the table at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as being </w:t>
      </w:r>
      <w:r w:rsidRPr="00BD6C5F">
        <w:lastRenderedPageBreak/>
        <w:t xml:space="preserve">subject to the occurrence of a certain event the Supplier shall grant access to the person and information specified (in column 6 of the table at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from the Initial Upload Date.</w:t>
      </w:r>
    </w:p>
    <w:p w14:paraId="3BDE777D" w14:textId="71C9B55B" w:rsidR="00BC7DDA" w:rsidRPr="00BD6C5F" w:rsidRDefault="009B03E9" w:rsidP="00C70900">
      <w:pPr>
        <w:pStyle w:val="Numbered11"/>
        <w:keepNext/>
      </w:pPr>
      <w:r w:rsidRPr="00BD6C5F">
        <w:t>Where Access Permission is specified as being granted to the Authority</w:t>
      </w:r>
      <w:r w:rsidR="00A4555C" w:rsidRPr="00BD6C5F">
        <w:t>’</w:t>
      </w:r>
      <w:r w:rsidRPr="00BD6C5F">
        <w:t>s Third Party Auditor (prior to the Authority being granted access) it shall:</w:t>
      </w:r>
    </w:p>
    <w:p w14:paraId="609ADBB6" w14:textId="583FE818" w:rsidR="00BC7DDA" w:rsidRPr="00BD6C5F" w:rsidRDefault="009B03E9" w:rsidP="0095651E">
      <w:pPr>
        <w:pStyle w:val="Numbered111"/>
      </w:pPr>
      <w:r w:rsidRPr="00BD6C5F">
        <w:t xml:space="preserve">be entitled to access, view and download information specified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subject to it entering into a confidentiality agreement with the Supplier to keep the contents confidential (except to the extent disclosure of the confidential information is required under </w:t>
      </w:r>
      <w:r w:rsidR="00D171E0" w:rsidRPr="00BD6C5F">
        <w:t>P</w:t>
      </w:r>
      <w:r w:rsidRPr="00BD6C5F">
        <w:t>aragraph</w:t>
      </w:r>
      <w:r w:rsidR="00D171E0" w:rsidRPr="00BD6C5F">
        <w:t> </w:t>
      </w:r>
      <w:r w:rsidR="00B01BB9" w:rsidRPr="00BD6C5F">
        <w:fldChar w:fldCharType="begin"/>
      </w:r>
      <w:r w:rsidR="00B01BB9" w:rsidRPr="00BD6C5F">
        <w:instrText xml:space="preserve"> REF _Ref98418460 \w \h </w:instrText>
      </w:r>
      <w:r w:rsidR="00AD7DD0" w:rsidRPr="00BD6C5F">
        <w:instrText xml:space="preserve"> \* MERGEFORMAT </w:instrText>
      </w:r>
      <w:r w:rsidR="00B01BB9" w:rsidRPr="00BD6C5F">
        <w:fldChar w:fldCharType="separate"/>
      </w:r>
      <w:r w:rsidR="009749A0">
        <w:t>4.10.2</w:t>
      </w:r>
      <w:r w:rsidR="00B01BB9" w:rsidRPr="00BD6C5F">
        <w:fldChar w:fldCharType="end"/>
      </w:r>
      <w:r w:rsidRPr="00BD6C5F">
        <w:t xml:space="preserve"> of this Schedule); and</w:t>
      </w:r>
    </w:p>
    <w:p w14:paraId="2FEBC523" w14:textId="77777777" w:rsidR="00BC7DDA" w:rsidRPr="00BD6C5F" w:rsidRDefault="009B03E9" w:rsidP="0095651E">
      <w:pPr>
        <w:pStyle w:val="Numbered111"/>
      </w:pPr>
      <w:bookmarkStart w:id="1180" w:name="_bookmark419"/>
      <w:bookmarkStart w:id="1181" w:name="_Ref98418460"/>
      <w:bookmarkEnd w:id="1180"/>
      <w:r w:rsidRPr="00BD6C5F">
        <w:t>report to the Authority (at its request) as to the completeness and accuracy of the information but not the substance of the information.</w:t>
      </w:r>
      <w:bookmarkEnd w:id="1181"/>
    </w:p>
    <w:p w14:paraId="02F69866" w14:textId="095806B4" w:rsidR="00BC7DDA" w:rsidRPr="00BD6C5F" w:rsidRDefault="009B03E9" w:rsidP="00C5057A">
      <w:pPr>
        <w:pStyle w:val="Numbered11"/>
      </w:pPr>
      <w:r w:rsidRPr="00BD6C5F">
        <w:t xml:space="preserve">The Supplier shall ensure that the Virtual Library retains in an accessible form all historic or superseded records of the information specified </w:t>
      </w:r>
      <w:r w:rsidR="00DF7441">
        <w:t>Annex </w:t>
      </w:r>
      <w:r w:rsidR="00DF7441">
        <w:fldChar w:fldCharType="begin"/>
      </w:r>
      <w:r w:rsidR="00DF7441">
        <w:instrText xml:space="preserve"> REF Schedule_24_Annex_3 \h </w:instrText>
      </w:r>
      <w:r w:rsidR="00DF7441">
        <w:fldChar w:fldCharType="separate"/>
      </w:r>
      <w:r w:rsidR="009749A0" w:rsidRPr="00BD6C5F">
        <w:t>3</w:t>
      </w:r>
      <w:r w:rsidR="00DF7441">
        <w:fldChar w:fldCharType="end"/>
      </w:r>
      <w:r w:rsidRPr="00BD6C5F">
        <w:t>. 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49413BE0" w14:textId="29F8695C" w:rsidR="00BC7DDA" w:rsidRPr="00BD6C5F" w:rsidRDefault="009B03E9" w:rsidP="00C5057A">
      <w:pPr>
        <w:pStyle w:val="Numbered11"/>
      </w:pPr>
      <w:r w:rsidRPr="00BD6C5F">
        <w:t xml:space="preserve">The Supplier warrants that the information uploaded to the Virtual Library is accurate, complete, up-to-date and in accordance with this </w:t>
      </w:r>
      <w:r w:rsidR="001613A4" w:rsidRPr="00BD6C5F">
        <w:t xml:space="preserve">Contract </w:t>
      </w:r>
      <w:r w:rsidRPr="00BD6C5F">
        <w:t>at the date of upload.</w:t>
      </w:r>
    </w:p>
    <w:p w14:paraId="66A2CA68" w14:textId="48AB75F9" w:rsidR="00BC7DDA" w:rsidRPr="00BD6C5F" w:rsidRDefault="009B03E9" w:rsidP="00C5057A">
      <w:pPr>
        <w:pStyle w:val="Numbered11"/>
      </w:pPr>
      <w:r w:rsidRPr="00BD6C5F">
        <w:t xml:space="preserve">Where the Supplier becomes aware that any of the information provided on the Virtual Library is materially inaccurate, incomplete or out of date (other than in respect of historic versions of documents) the Supplier shall provide an update to the information within 14 days unless already due to be updated beforehand due to an Update Requirement specified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w:t>
      </w:r>
    </w:p>
    <w:p w14:paraId="0E3BD3F2" w14:textId="0A95D4A1" w:rsidR="00BC7DDA" w:rsidRPr="00BD6C5F" w:rsidRDefault="009B03E9" w:rsidP="00C5057A">
      <w:pPr>
        <w:pStyle w:val="Numbered11"/>
      </w:pPr>
      <w:r w:rsidRPr="00BD6C5F">
        <w:t xml:space="preserve">In the event of a conflict between any requirement in this </w:t>
      </w:r>
      <w:r w:rsidR="001613A4" w:rsidRPr="00BD6C5F">
        <w:t xml:space="preserve">Contract </w:t>
      </w:r>
      <w:r w:rsidRPr="00BD6C5F">
        <w:t xml:space="preserve">(excluding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for the Supplier to provide information to the Authority and the requirements set out in </w:t>
      </w:r>
      <w:r w:rsidR="00F5677F">
        <w:t>Annex </w:t>
      </w:r>
      <w:r w:rsidR="00F5677F">
        <w:fldChar w:fldCharType="begin"/>
      </w:r>
      <w:r w:rsidR="00F5677F">
        <w:instrText xml:space="preserve"> REF Schedule_24_Annex_3 \h </w:instrText>
      </w:r>
      <w:r w:rsidR="00F5677F">
        <w:fldChar w:fldCharType="separate"/>
      </w:r>
      <w:r w:rsidR="009749A0" w:rsidRPr="00BD6C5F">
        <w:t>3</w:t>
      </w:r>
      <w:r w:rsidR="00F5677F">
        <w:fldChar w:fldCharType="end"/>
      </w:r>
      <w:r w:rsidRPr="00BD6C5F">
        <w:t xml:space="preserve"> of this Schedule, the requirement elsewhere in this </w:t>
      </w:r>
      <w:r w:rsidR="001613A4" w:rsidRPr="00BD6C5F">
        <w:t xml:space="preserve">Contract </w:t>
      </w:r>
      <w:r w:rsidRPr="00BD6C5F">
        <w:t>shall prevail.</w:t>
      </w:r>
    </w:p>
    <w:p w14:paraId="283EAE6D" w14:textId="77777777" w:rsidR="00BC7DDA" w:rsidRPr="00BD6C5F" w:rsidRDefault="009B03E9" w:rsidP="00C5057A">
      <w:pPr>
        <w:pStyle w:val="Numbered11"/>
      </w:pPr>
      <w:r w:rsidRPr="00BD6C5F">
        <w:t>The Supplier shall ensure that all approved users of the Virtual Library are alerted by email each time that information in the Virtual Library is uploaded or updated as it occurs.</w:t>
      </w:r>
    </w:p>
    <w:p w14:paraId="796741FD" w14:textId="2C93A7BC" w:rsidR="00BC7DDA" w:rsidRPr="00BD6C5F" w:rsidRDefault="009B03E9" w:rsidP="00C5057A">
      <w:pPr>
        <w:pStyle w:val="Numbered11"/>
      </w:pPr>
      <w:r w:rsidRPr="00BD6C5F">
        <w:t>No later than one (1) Month prior to the Operational Service Commencement Date, the Supplier shall provide training manuals to the Authority relating to the use of the Virtual Library.</w:t>
      </w:r>
    </w:p>
    <w:p w14:paraId="095B7EF3" w14:textId="331795A8" w:rsidR="00BC7DDA" w:rsidRPr="00BD6C5F" w:rsidRDefault="009B03E9" w:rsidP="00C5057A">
      <w:pPr>
        <w:pStyle w:val="Numbered11"/>
      </w:pPr>
      <w:r w:rsidRPr="00BD6C5F">
        <w:t>On request by the Authority the Supplier shall provide the Authority</w:t>
      </w:r>
      <w:r w:rsidR="00A4555C" w:rsidRPr="00BD6C5F">
        <w:t>’</w:t>
      </w:r>
      <w:r w:rsidRPr="00BD6C5F">
        <w:t>s nominated users with a reasonable level of training and ongoing support to enable them to make use of the Virtual Library.</w:t>
      </w:r>
    </w:p>
    <w:p w14:paraId="1621E375" w14:textId="4F3EFDFC" w:rsidR="00BC7DDA" w:rsidRPr="00BD6C5F" w:rsidRDefault="009B03E9" w:rsidP="00C5057A">
      <w:pPr>
        <w:pStyle w:val="Numbered11"/>
      </w:pPr>
      <w:r w:rsidRPr="00BD6C5F">
        <w:t>For the avoidance of doubt, the cost of any redactions, access restrictions or compliance with the Data Protection Legislation in respect of the information hosted on the Virtual Library shall be at the Supplier</w:t>
      </w:r>
      <w:r w:rsidR="00A4555C" w:rsidRPr="00BD6C5F">
        <w:t>’</w:t>
      </w:r>
      <w:r w:rsidRPr="00BD6C5F">
        <w:t>s own cost and expense.</w:t>
      </w:r>
    </w:p>
    <w:p w14:paraId="091CC8C1" w14:textId="77777777" w:rsidR="00E238E6" w:rsidRPr="00BD6C5F" w:rsidRDefault="00E238E6" w:rsidP="000E2C77"/>
    <w:p w14:paraId="4A5CF220" w14:textId="304E559A" w:rsidR="007F3BCB" w:rsidRPr="00BD6C5F" w:rsidRDefault="007F3BCB" w:rsidP="000E2C77">
      <w:r w:rsidRPr="00BD6C5F">
        <w:br w:type="page"/>
      </w:r>
    </w:p>
    <w:p w14:paraId="347B34D9" w14:textId="1419A848" w:rsidR="00BC7DDA" w:rsidRPr="00BD6C5F" w:rsidRDefault="0095651E" w:rsidP="000E2C77">
      <w:pPr>
        <w:pStyle w:val="Heading2"/>
      </w:pPr>
      <w:bookmarkStart w:id="1182" w:name="_bookmark420"/>
      <w:bookmarkStart w:id="1183" w:name="_Toc98332768"/>
      <w:bookmarkStart w:id="1184" w:name="_Ref98343456"/>
      <w:bookmarkStart w:id="1185" w:name="_Ref98343493"/>
      <w:bookmarkStart w:id="1186" w:name="_Ref98343505"/>
      <w:bookmarkStart w:id="1187" w:name="_Toc98852944"/>
      <w:bookmarkStart w:id="1188" w:name="_Toc141721037"/>
      <w:bookmarkEnd w:id="1182"/>
      <w:r w:rsidRPr="00BD6C5F">
        <w:lastRenderedPageBreak/>
        <w:t xml:space="preserve">Annex </w:t>
      </w:r>
      <w:bookmarkStart w:id="1189" w:name="Schedule_24_Annex_1"/>
      <w:r w:rsidRPr="00BD6C5F">
        <w:t>1</w:t>
      </w:r>
      <w:bookmarkEnd w:id="1189"/>
      <w:r w:rsidRPr="00BD6C5F">
        <w:t>: Transparency Reports</w:t>
      </w:r>
      <w:bookmarkEnd w:id="1183"/>
      <w:bookmarkEnd w:id="1184"/>
      <w:bookmarkEnd w:id="1185"/>
      <w:bookmarkEnd w:id="1186"/>
      <w:bookmarkEnd w:id="1187"/>
      <w:bookmarkEnd w:id="1188"/>
    </w:p>
    <w:tbl>
      <w:tblPr>
        <w:tblStyle w:val="MSATable-header"/>
        <w:tblW w:w="10203" w:type="dxa"/>
        <w:tblLayout w:type="fixed"/>
        <w:tblLook w:val="0620" w:firstRow="1" w:lastRow="0" w:firstColumn="0" w:lastColumn="0" w:noHBand="1" w:noVBand="1"/>
      </w:tblPr>
      <w:tblGrid>
        <w:gridCol w:w="3231"/>
        <w:gridCol w:w="2324"/>
        <w:gridCol w:w="2324"/>
        <w:gridCol w:w="2324"/>
      </w:tblGrid>
      <w:tr w:rsidR="00BC7DDA" w:rsidRPr="00BD6C5F" w14:paraId="207791D1" w14:textId="77777777" w:rsidTr="000E2C77">
        <w:trPr>
          <w:cnfStyle w:val="100000000000" w:firstRow="1" w:lastRow="0" w:firstColumn="0" w:lastColumn="0" w:oddVBand="0" w:evenVBand="0" w:oddHBand="0" w:evenHBand="0" w:firstRowFirstColumn="0" w:firstRowLastColumn="0" w:lastRowFirstColumn="0" w:lastRowLastColumn="0"/>
          <w:cantSplit/>
          <w:tblHeader/>
        </w:trPr>
        <w:tc>
          <w:tcPr>
            <w:tcW w:w="3231" w:type="dxa"/>
          </w:tcPr>
          <w:p w14:paraId="2ABE88CA" w14:textId="2586B3DB" w:rsidR="00BC7DDA" w:rsidRPr="00BD6C5F" w:rsidRDefault="0095651E" w:rsidP="000E2C77">
            <w:pPr>
              <w:pStyle w:val="Tabletext"/>
            </w:pPr>
            <w:r w:rsidRPr="00BD6C5F">
              <w:t>Title</w:t>
            </w:r>
          </w:p>
        </w:tc>
        <w:tc>
          <w:tcPr>
            <w:tcW w:w="2324" w:type="dxa"/>
          </w:tcPr>
          <w:p w14:paraId="6A927F21" w14:textId="34612E5F" w:rsidR="00BC7DDA" w:rsidRPr="00BD6C5F" w:rsidRDefault="0095651E" w:rsidP="000E2C77">
            <w:pPr>
              <w:pStyle w:val="Tabletext"/>
            </w:pPr>
            <w:r w:rsidRPr="00BD6C5F">
              <w:t>Content</w:t>
            </w:r>
          </w:p>
        </w:tc>
        <w:tc>
          <w:tcPr>
            <w:tcW w:w="2324" w:type="dxa"/>
          </w:tcPr>
          <w:p w14:paraId="1123F559" w14:textId="280B864E" w:rsidR="00BC7DDA" w:rsidRPr="00BD6C5F" w:rsidRDefault="0095651E" w:rsidP="000E2C77">
            <w:pPr>
              <w:pStyle w:val="Tabletext"/>
            </w:pPr>
            <w:r w:rsidRPr="00BD6C5F">
              <w:t>Format</w:t>
            </w:r>
          </w:p>
        </w:tc>
        <w:tc>
          <w:tcPr>
            <w:tcW w:w="2324" w:type="dxa"/>
          </w:tcPr>
          <w:p w14:paraId="2B882170" w14:textId="7FCDDD8F" w:rsidR="00BC7DDA" w:rsidRPr="00BD6C5F" w:rsidRDefault="0095651E" w:rsidP="000E2C77">
            <w:pPr>
              <w:pStyle w:val="Tabletext"/>
            </w:pPr>
            <w:r w:rsidRPr="00BD6C5F">
              <w:t>Frequency</w:t>
            </w:r>
          </w:p>
        </w:tc>
      </w:tr>
      <w:tr w:rsidR="00BC7DDA" w:rsidRPr="00BD6C5F" w14:paraId="38ECD4FA" w14:textId="77777777" w:rsidTr="000E2C77">
        <w:trPr>
          <w:cantSplit/>
        </w:trPr>
        <w:tc>
          <w:tcPr>
            <w:tcW w:w="3231" w:type="dxa"/>
          </w:tcPr>
          <w:p w14:paraId="2621C762" w14:textId="77777777" w:rsidR="00BC7DDA" w:rsidRPr="00BD6C5F" w:rsidRDefault="009B03E9" w:rsidP="000E2C77">
            <w:pPr>
              <w:pStyle w:val="Tabletext"/>
              <w:rPr>
                <w:b/>
                <w:bCs/>
              </w:rPr>
            </w:pPr>
            <w:r w:rsidRPr="00BD6C5F">
              <w:rPr>
                <w:b/>
                <w:bCs/>
              </w:rPr>
              <w:t>(Performance)</w:t>
            </w:r>
          </w:p>
        </w:tc>
        <w:tc>
          <w:tcPr>
            <w:tcW w:w="2324" w:type="dxa"/>
          </w:tcPr>
          <w:p w14:paraId="78EAC6E0" w14:textId="77777777" w:rsidR="00BC7DDA" w:rsidRPr="00BD6C5F" w:rsidRDefault="00BC7DDA" w:rsidP="000E2C77">
            <w:pPr>
              <w:pStyle w:val="Tabletext"/>
            </w:pPr>
          </w:p>
        </w:tc>
        <w:tc>
          <w:tcPr>
            <w:tcW w:w="2324" w:type="dxa"/>
          </w:tcPr>
          <w:p w14:paraId="61DC7C21" w14:textId="77777777" w:rsidR="00BC7DDA" w:rsidRPr="00BD6C5F" w:rsidRDefault="00BC7DDA" w:rsidP="000E2C77">
            <w:pPr>
              <w:pStyle w:val="Tabletext"/>
            </w:pPr>
          </w:p>
        </w:tc>
        <w:tc>
          <w:tcPr>
            <w:tcW w:w="2324" w:type="dxa"/>
          </w:tcPr>
          <w:p w14:paraId="6292E876" w14:textId="77777777" w:rsidR="00BC7DDA" w:rsidRPr="00BD6C5F" w:rsidRDefault="00BC7DDA" w:rsidP="000E2C77">
            <w:pPr>
              <w:pStyle w:val="Tabletext"/>
            </w:pPr>
          </w:p>
        </w:tc>
      </w:tr>
      <w:tr w:rsidR="00BC7DDA" w:rsidRPr="00BD6C5F" w14:paraId="4535D205" w14:textId="77777777" w:rsidTr="000E2C77">
        <w:trPr>
          <w:cantSplit/>
        </w:trPr>
        <w:tc>
          <w:tcPr>
            <w:tcW w:w="3231" w:type="dxa"/>
          </w:tcPr>
          <w:p w14:paraId="70B35A0D" w14:textId="77777777" w:rsidR="00BC7DDA" w:rsidRPr="00BD6C5F" w:rsidRDefault="009B03E9" w:rsidP="000E2C77">
            <w:pPr>
              <w:pStyle w:val="Tabletext"/>
              <w:rPr>
                <w:b/>
                <w:bCs/>
              </w:rPr>
            </w:pPr>
            <w:r w:rsidRPr="00BD6C5F">
              <w:rPr>
                <w:b/>
                <w:bCs/>
              </w:rPr>
              <w:t>(Charges)</w:t>
            </w:r>
          </w:p>
        </w:tc>
        <w:tc>
          <w:tcPr>
            <w:tcW w:w="2324" w:type="dxa"/>
          </w:tcPr>
          <w:p w14:paraId="2B929FC2" w14:textId="77777777" w:rsidR="00BC7DDA" w:rsidRPr="00BD6C5F" w:rsidRDefault="00BC7DDA" w:rsidP="000E2C77">
            <w:pPr>
              <w:pStyle w:val="Tabletext"/>
            </w:pPr>
          </w:p>
        </w:tc>
        <w:tc>
          <w:tcPr>
            <w:tcW w:w="2324" w:type="dxa"/>
          </w:tcPr>
          <w:p w14:paraId="330792D8" w14:textId="77777777" w:rsidR="00BC7DDA" w:rsidRPr="00BD6C5F" w:rsidRDefault="00BC7DDA" w:rsidP="000E2C77">
            <w:pPr>
              <w:pStyle w:val="Tabletext"/>
            </w:pPr>
          </w:p>
        </w:tc>
        <w:tc>
          <w:tcPr>
            <w:tcW w:w="2324" w:type="dxa"/>
          </w:tcPr>
          <w:p w14:paraId="4499393E" w14:textId="77777777" w:rsidR="00BC7DDA" w:rsidRPr="00BD6C5F" w:rsidRDefault="00BC7DDA" w:rsidP="000E2C77">
            <w:pPr>
              <w:pStyle w:val="Tabletext"/>
            </w:pPr>
          </w:p>
        </w:tc>
      </w:tr>
      <w:tr w:rsidR="00BC7DDA" w:rsidRPr="00BD6C5F" w14:paraId="1EE6DF47" w14:textId="77777777" w:rsidTr="000E2C77">
        <w:trPr>
          <w:cantSplit/>
        </w:trPr>
        <w:tc>
          <w:tcPr>
            <w:tcW w:w="3231" w:type="dxa"/>
          </w:tcPr>
          <w:p w14:paraId="3CC6E322" w14:textId="4C786223" w:rsidR="00BC7DDA" w:rsidRPr="00BD6C5F" w:rsidRDefault="009B03E9" w:rsidP="000E2C77">
            <w:pPr>
              <w:pStyle w:val="Tabletext"/>
              <w:rPr>
                <w:b/>
                <w:bCs/>
              </w:rPr>
            </w:pPr>
            <w:r w:rsidRPr="00BD6C5F">
              <w:rPr>
                <w:b/>
                <w:bCs/>
              </w:rPr>
              <w:t>(Major sub-contractors)</w:t>
            </w:r>
          </w:p>
        </w:tc>
        <w:tc>
          <w:tcPr>
            <w:tcW w:w="2324" w:type="dxa"/>
          </w:tcPr>
          <w:p w14:paraId="3504569C" w14:textId="77777777" w:rsidR="00BC7DDA" w:rsidRPr="00BD6C5F" w:rsidRDefault="00BC7DDA" w:rsidP="000E2C77">
            <w:pPr>
              <w:pStyle w:val="Tabletext"/>
            </w:pPr>
          </w:p>
        </w:tc>
        <w:tc>
          <w:tcPr>
            <w:tcW w:w="2324" w:type="dxa"/>
          </w:tcPr>
          <w:p w14:paraId="027B6E8D" w14:textId="77777777" w:rsidR="00BC7DDA" w:rsidRPr="00BD6C5F" w:rsidRDefault="00BC7DDA" w:rsidP="000E2C77">
            <w:pPr>
              <w:pStyle w:val="Tabletext"/>
            </w:pPr>
          </w:p>
        </w:tc>
        <w:tc>
          <w:tcPr>
            <w:tcW w:w="2324" w:type="dxa"/>
          </w:tcPr>
          <w:p w14:paraId="544CBC76" w14:textId="77777777" w:rsidR="00BC7DDA" w:rsidRPr="00BD6C5F" w:rsidRDefault="00BC7DDA" w:rsidP="000E2C77">
            <w:pPr>
              <w:pStyle w:val="Tabletext"/>
            </w:pPr>
          </w:p>
        </w:tc>
      </w:tr>
      <w:tr w:rsidR="00BC7DDA" w:rsidRPr="00BD6C5F" w14:paraId="587EFB0C" w14:textId="77777777" w:rsidTr="000E2C77">
        <w:trPr>
          <w:cantSplit/>
        </w:trPr>
        <w:tc>
          <w:tcPr>
            <w:tcW w:w="3231" w:type="dxa"/>
          </w:tcPr>
          <w:p w14:paraId="1A105A32" w14:textId="77777777" w:rsidR="00BC7DDA" w:rsidRPr="00BD6C5F" w:rsidRDefault="009B03E9" w:rsidP="000E2C77">
            <w:pPr>
              <w:pStyle w:val="Tabletext"/>
              <w:rPr>
                <w:b/>
                <w:bCs/>
              </w:rPr>
            </w:pPr>
            <w:r w:rsidRPr="00BD6C5F">
              <w:rPr>
                <w:b/>
                <w:bCs/>
              </w:rPr>
              <w:t>(Technical)</w:t>
            </w:r>
          </w:p>
        </w:tc>
        <w:tc>
          <w:tcPr>
            <w:tcW w:w="2324" w:type="dxa"/>
          </w:tcPr>
          <w:p w14:paraId="0060FADF" w14:textId="77777777" w:rsidR="00BC7DDA" w:rsidRPr="00BD6C5F" w:rsidRDefault="00BC7DDA" w:rsidP="000E2C77">
            <w:pPr>
              <w:pStyle w:val="Tabletext"/>
            </w:pPr>
          </w:p>
        </w:tc>
        <w:tc>
          <w:tcPr>
            <w:tcW w:w="2324" w:type="dxa"/>
          </w:tcPr>
          <w:p w14:paraId="2384F429" w14:textId="77777777" w:rsidR="00BC7DDA" w:rsidRPr="00BD6C5F" w:rsidRDefault="00BC7DDA" w:rsidP="000E2C77">
            <w:pPr>
              <w:pStyle w:val="Tabletext"/>
            </w:pPr>
          </w:p>
        </w:tc>
        <w:tc>
          <w:tcPr>
            <w:tcW w:w="2324" w:type="dxa"/>
          </w:tcPr>
          <w:p w14:paraId="3E9796BF" w14:textId="77777777" w:rsidR="00BC7DDA" w:rsidRPr="00BD6C5F" w:rsidRDefault="00BC7DDA" w:rsidP="000E2C77">
            <w:pPr>
              <w:pStyle w:val="Tabletext"/>
            </w:pPr>
          </w:p>
        </w:tc>
      </w:tr>
      <w:tr w:rsidR="00BC7DDA" w:rsidRPr="00BD6C5F" w14:paraId="3840C1EE" w14:textId="77777777" w:rsidTr="000E2C77">
        <w:trPr>
          <w:cantSplit/>
        </w:trPr>
        <w:tc>
          <w:tcPr>
            <w:tcW w:w="3231" w:type="dxa"/>
          </w:tcPr>
          <w:p w14:paraId="1A71D726" w14:textId="77777777" w:rsidR="00BC7DDA" w:rsidRPr="00BD6C5F" w:rsidRDefault="009B03E9" w:rsidP="000E2C77">
            <w:pPr>
              <w:pStyle w:val="Tabletext"/>
              <w:rPr>
                <w:b/>
                <w:bCs/>
              </w:rPr>
            </w:pPr>
            <w:r w:rsidRPr="00BD6C5F">
              <w:rPr>
                <w:b/>
                <w:bCs/>
              </w:rPr>
              <w:t>(Performance management)</w:t>
            </w:r>
          </w:p>
        </w:tc>
        <w:tc>
          <w:tcPr>
            <w:tcW w:w="2324" w:type="dxa"/>
          </w:tcPr>
          <w:p w14:paraId="1C5793D7" w14:textId="77777777" w:rsidR="00BC7DDA" w:rsidRPr="00BD6C5F" w:rsidRDefault="00BC7DDA" w:rsidP="000E2C77">
            <w:pPr>
              <w:pStyle w:val="Tabletext"/>
            </w:pPr>
          </w:p>
        </w:tc>
        <w:tc>
          <w:tcPr>
            <w:tcW w:w="2324" w:type="dxa"/>
          </w:tcPr>
          <w:p w14:paraId="66CF5A12" w14:textId="77777777" w:rsidR="00BC7DDA" w:rsidRPr="00BD6C5F" w:rsidRDefault="00BC7DDA" w:rsidP="000E2C77">
            <w:pPr>
              <w:pStyle w:val="Tabletext"/>
            </w:pPr>
          </w:p>
        </w:tc>
        <w:tc>
          <w:tcPr>
            <w:tcW w:w="2324" w:type="dxa"/>
          </w:tcPr>
          <w:p w14:paraId="3BBF62DE" w14:textId="77777777" w:rsidR="00BC7DDA" w:rsidRPr="00BD6C5F" w:rsidRDefault="00BC7DDA" w:rsidP="000E2C77">
            <w:pPr>
              <w:pStyle w:val="Tabletext"/>
            </w:pPr>
          </w:p>
        </w:tc>
      </w:tr>
    </w:tbl>
    <w:p w14:paraId="1DBDE482" w14:textId="77777777" w:rsidR="007F3BCB" w:rsidRPr="00BD6C5F" w:rsidRDefault="007F3BCB" w:rsidP="000E2C77"/>
    <w:p w14:paraId="226AB596" w14:textId="6322A037" w:rsidR="00CA00B9" w:rsidRPr="00CA00B9" w:rsidRDefault="00CA00B9" w:rsidP="00CA00B9">
      <w:pPr>
        <w:rPr>
          <w:b/>
          <w:bCs/>
          <w:i/>
          <w:iCs/>
          <w:highlight w:val="yellow"/>
        </w:rPr>
      </w:pPr>
      <w:r>
        <w:t>[</w:t>
      </w:r>
      <w:r w:rsidRPr="00CA00B9">
        <w:rPr>
          <w:b/>
          <w:bCs/>
          <w:i/>
          <w:iCs/>
          <w:highlight w:val="yellow"/>
        </w:rPr>
        <w:t xml:space="preserve">Guidance: If you are using this Contract to procure steel, </w:t>
      </w:r>
      <w:hyperlink r:id="rId101" w:history="1">
        <w:r w:rsidRPr="00CA00B9">
          <w:rPr>
            <w:b/>
            <w:bCs/>
            <w:i/>
            <w:iCs/>
            <w:highlight w:val="yellow"/>
          </w:rPr>
          <w:t>PPN 04/2023:</w:t>
        </w:r>
      </w:hyperlink>
      <w:hyperlink r:id="rId102" w:history="1">
        <w:r w:rsidRPr="00CA00B9">
          <w:rPr>
            <w:b/>
            <w:bCs/>
            <w:i/>
            <w:iCs/>
            <w:highlight w:val="yellow"/>
          </w:rPr>
          <w:t xml:space="preserve"> Procuring Steel in Government Contracts </w:t>
        </w:r>
      </w:hyperlink>
      <w:r w:rsidRPr="00CA00B9">
        <w:rPr>
          <w:b/>
          <w:bCs/>
          <w:i/>
          <w:iCs/>
          <w:highlight w:val="yellow"/>
        </w:rPr>
        <w:t xml:space="preserve">may apply. If this PPN applies, you are required to collect data on steel and report on this to BEIS. In this instance, you should consider inserting the </w:t>
      </w:r>
      <w:hyperlink r:id="rId103" w:history="1">
        <w:r w:rsidRPr="00CA00B9">
          <w:rPr>
            <w:b/>
            <w:bCs/>
            <w:i/>
            <w:iCs/>
            <w:highlight w:val="yellow"/>
          </w:rPr>
          <w:t>example contract clauses</w:t>
        </w:r>
      </w:hyperlink>
      <w:r w:rsidRPr="00CA00B9">
        <w:rPr>
          <w:b/>
          <w:bCs/>
          <w:i/>
          <w:iCs/>
          <w:highlight w:val="yellow"/>
        </w:rPr>
        <w:t xml:space="preserve"> accompanying this PPN (amending as required), or an equivalent clause. The PPN applies to all Central Government Departments, Executive Agencies, and Non Departmental Public Bodies when conducting procurements covered by Part 2 of the Public Contracts Regulations 2015, the Utilities Contracts Regulations 2016, the Defence and Security Public Contracts Regulations 2011, and the Concessions Contracts Regulations 2016, where steel is being procured directly or indirectly. </w:t>
      </w:r>
    </w:p>
    <w:p w14:paraId="72C50A64" w14:textId="77777777" w:rsidR="00CA00B9" w:rsidRPr="00CA00B9" w:rsidRDefault="00CA00B9" w:rsidP="00CA00B9">
      <w:pPr>
        <w:rPr>
          <w:b/>
          <w:bCs/>
          <w:i/>
          <w:iCs/>
          <w:highlight w:val="yellow"/>
        </w:rPr>
      </w:pPr>
    </w:p>
    <w:p w14:paraId="0C2C8270" w14:textId="77777777" w:rsidR="00CA00B9" w:rsidRPr="00CA00B9" w:rsidRDefault="00CA00B9" w:rsidP="00CA00B9">
      <w:pPr>
        <w:rPr>
          <w:b/>
          <w:bCs/>
          <w:i/>
          <w:iCs/>
          <w:highlight w:val="yellow"/>
        </w:rPr>
      </w:pPr>
      <w:r w:rsidRPr="00CA00B9">
        <w:rPr>
          <w:b/>
          <w:bCs/>
          <w:i/>
          <w:iCs/>
          <w:highlight w:val="yellow"/>
        </w:rPr>
        <w:t xml:space="preserve">The data requirement aspects relate to projects/programmes: </w:t>
      </w:r>
    </w:p>
    <w:p w14:paraId="2294A994" w14:textId="77777777" w:rsidR="00CA00B9" w:rsidRPr="00CA00B9" w:rsidRDefault="00CA00B9" w:rsidP="00CA00B9">
      <w:pPr>
        <w:rPr>
          <w:b/>
          <w:bCs/>
          <w:i/>
          <w:iCs/>
          <w:highlight w:val="yellow"/>
        </w:rPr>
      </w:pPr>
      <w:r w:rsidRPr="00CA00B9">
        <w:rPr>
          <w:b/>
          <w:bCs/>
          <w:i/>
          <w:iCs/>
          <w:highlight w:val="yellow"/>
        </w:rPr>
        <w:t xml:space="preserve">(i) </w:t>
      </w:r>
      <w:r w:rsidRPr="00CA00B9">
        <w:rPr>
          <w:b/>
          <w:bCs/>
          <w:i/>
          <w:iCs/>
          <w:highlight w:val="yellow"/>
        </w:rPr>
        <w:tab/>
        <w:t>with a value of £10 million or more; and</w:t>
      </w:r>
    </w:p>
    <w:p w14:paraId="3C3A50A8" w14:textId="77777777" w:rsidR="00CA00B9" w:rsidRDefault="00CA00B9" w:rsidP="00CA00B9">
      <w:pPr>
        <w:rPr>
          <w:highlight w:val="yellow"/>
        </w:rPr>
      </w:pPr>
      <w:r w:rsidRPr="00CA00B9">
        <w:rPr>
          <w:b/>
          <w:bCs/>
          <w:i/>
          <w:iCs/>
          <w:highlight w:val="yellow"/>
        </w:rPr>
        <w:t>(ii)</w:t>
      </w:r>
      <w:r w:rsidRPr="00CA00B9">
        <w:rPr>
          <w:b/>
          <w:bCs/>
          <w:i/>
          <w:iCs/>
          <w:highlight w:val="yellow"/>
        </w:rPr>
        <w:tab/>
        <w:t>a value of less than £10 million where it is anticipated that the project will require in excess of 500 tonnes of steel.</w:t>
      </w:r>
      <w:r>
        <w:t>]</w:t>
      </w:r>
    </w:p>
    <w:p w14:paraId="68AD504C" w14:textId="77777777" w:rsidR="007F3BCB" w:rsidRPr="00BD6C5F" w:rsidRDefault="007F3BCB" w:rsidP="000E2C77">
      <w:r w:rsidRPr="00BD6C5F">
        <w:br w:type="page"/>
      </w:r>
    </w:p>
    <w:p w14:paraId="25C4CE3E" w14:textId="3F59E426" w:rsidR="00BC7DDA" w:rsidRPr="00BD6C5F" w:rsidRDefault="0095651E" w:rsidP="000E2C77">
      <w:pPr>
        <w:pStyle w:val="Heading2"/>
      </w:pPr>
      <w:bookmarkStart w:id="1190" w:name="_bookmark421"/>
      <w:bookmarkStart w:id="1191" w:name="_Toc98332769"/>
      <w:bookmarkStart w:id="1192" w:name="_Toc98852945"/>
      <w:bookmarkStart w:id="1193" w:name="_Toc141721038"/>
      <w:bookmarkEnd w:id="1190"/>
      <w:r w:rsidRPr="00BD6C5F">
        <w:lastRenderedPageBreak/>
        <w:t xml:space="preserve">Annex </w:t>
      </w:r>
      <w:bookmarkStart w:id="1194" w:name="Schedule_24_Annex_2"/>
      <w:r w:rsidRPr="00BD6C5F">
        <w:t>2</w:t>
      </w:r>
      <w:bookmarkEnd w:id="1194"/>
      <w:r w:rsidRPr="00BD6C5F">
        <w:t>: Records to be kept by the Supplier</w:t>
      </w:r>
      <w:bookmarkEnd w:id="1191"/>
      <w:bookmarkEnd w:id="1192"/>
      <w:bookmarkEnd w:id="1193"/>
    </w:p>
    <w:p w14:paraId="60AF383E" w14:textId="77777777" w:rsidR="00BC7DDA" w:rsidRPr="00BD6C5F" w:rsidRDefault="009B03E9" w:rsidP="00B71FC0">
      <w:pPr>
        <w:pStyle w:val="AppendixText1"/>
        <w:numPr>
          <w:ilvl w:val="0"/>
          <w:numId w:val="159"/>
        </w:numPr>
      </w:pPr>
      <w:r w:rsidRPr="00BD6C5F">
        <w:t>The records to be kept by the Supplier are:</w:t>
      </w:r>
    </w:p>
    <w:p w14:paraId="3D0D7AF0" w14:textId="4A1A3F6B" w:rsidR="00BC7DDA" w:rsidRPr="00BD6C5F" w:rsidRDefault="009B03E9" w:rsidP="00C73AC9">
      <w:pPr>
        <w:pStyle w:val="AppendixText2"/>
      </w:pPr>
      <w:r w:rsidRPr="00BD6C5F">
        <w:t xml:space="preserve">This </w:t>
      </w:r>
      <w:r w:rsidR="001613A4" w:rsidRPr="00BD6C5F">
        <w:t>Contract</w:t>
      </w:r>
      <w:r w:rsidRPr="00BD6C5F">
        <w:t>, its Schedules and all amendments to such documents.</w:t>
      </w:r>
    </w:p>
    <w:p w14:paraId="49322FEA" w14:textId="6BFFB992" w:rsidR="00BC7DDA" w:rsidRPr="00BD6C5F" w:rsidRDefault="009B03E9" w:rsidP="00C73AC9">
      <w:pPr>
        <w:pStyle w:val="AppendixText2"/>
        <w:rPr>
          <w:bCs/>
        </w:rPr>
      </w:pPr>
      <w:r w:rsidRPr="00BD6C5F">
        <w:t xml:space="preserve">All </w:t>
      </w:r>
      <w:r w:rsidRPr="00BD6C5F">
        <w:rPr>
          <w:bCs/>
        </w:rPr>
        <w:t>other</w:t>
      </w:r>
      <w:r w:rsidRPr="00BD6C5F">
        <w:t xml:space="preserve"> documents which this </w:t>
      </w:r>
      <w:r w:rsidR="009908F1" w:rsidRPr="00BD6C5F">
        <w:t xml:space="preserve">Contract </w:t>
      </w:r>
      <w:r w:rsidRPr="00BD6C5F">
        <w:t>expressly requires to be prepared.</w:t>
      </w:r>
    </w:p>
    <w:p w14:paraId="2564FEF9" w14:textId="77777777" w:rsidR="00BC7DDA" w:rsidRPr="00BD6C5F" w:rsidRDefault="009B03E9" w:rsidP="00C73AC9">
      <w:pPr>
        <w:pStyle w:val="AppendixText2"/>
        <w:rPr>
          <w:bCs/>
        </w:rPr>
      </w:pPr>
      <w:r w:rsidRPr="00BD6C5F">
        <w:t xml:space="preserve">Records relating to the appointment and succession of the Supplier Representative and each </w:t>
      </w:r>
      <w:r w:rsidRPr="00BD6C5F">
        <w:rPr>
          <w:bCs/>
        </w:rPr>
        <w:t>member</w:t>
      </w:r>
      <w:r w:rsidRPr="00BD6C5F">
        <w:t xml:space="preserve"> of the Key Personnel.</w:t>
      </w:r>
    </w:p>
    <w:p w14:paraId="2E965D91" w14:textId="77777777" w:rsidR="00BC7DDA" w:rsidRPr="00BD6C5F" w:rsidRDefault="009B03E9" w:rsidP="00C73AC9">
      <w:pPr>
        <w:pStyle w:val="AppendixText2"/>
        <w:rPr>
          <w:bCs/>
        </w:rPr>
      </w:pPr>
      <w:r w:rsidRPr="00BD6C5F">
        <w:rPr>
          <w:bCs/>
        </w:rPr>
        <w:t>Notices</w:t>
      </w:r>
      <w:r w:rsidRPr="00BD6C5F">
        <w:t>, reports and other documentation submitted by any Expert.</w:t>
      </w:r>
    </w:p>
    <w:p w14:paraId="5990459D" w14:textId="77777777" w:rsidR="00BC7DDA" w:rsidRPr="00BD6C5F" w:rsidRDefault="009B03E9" w:rsidP="00C73AC9">
      <w:pPr>
        <w:pStyle w:val="AppendixText2"/>
        <w:rPr>
          <w:bCs/>
        </w:rPr>
      </w:pPr>
      <w:r w:rsidRPr="00BD6C5F">
        <w:t xml:space="preserve">All operation and maintenance manuals prepared by the Supplier for the purpose of </w:t>
      </w:r>
      <w:r w:rsidRPr="00BD6C5F">
        <w:rPr>
          <w:bCs/>
        </w:rPr>
        <w:t>maintaining</w:t>
      </w:r>
      <w:r w:rsidRPr="00BD6C5F">
        <w:t xml:space="preserve"> the provision of the Services and the underlying IT Environment and Supplier Equipment.</w:t>
      </w:r>
    </w:p>
    <w:p w14:paraId="0ECB6BE2" w14:textId="77777777" w:rsidR="00BC7DDA" w:rsidRPr="00BD6C5F" w:rsidRDefault="009B03E9" w:rsidP="00C73AC9">
      <w:pPr>
        <w:pStyle w:val="AppendixText2"/>
        <w:rPr>
          <w:bCs/>
        </w:rPr>
      </w:pPr>
      <w:r w:rsidRPr="00BD6C5F">
        <w:rPr>
          <w:bCs/>
        </w:rPr>
        <w:t>Documents</w:t>
      </w:r>
      <w:r w:rsidRPr="00BD6C5F">
        <w:t xml:space="preserve"> prepared by the Supplier or received by the Supplier from a third party relating to a Force Majeure Event.</w:t>
      </w:r>
    </w:p>
    <w:p w14:paraId="2CF67A65" w14:textId="77777777" w:rsidR="00BC7DDA" w:rsidRPr="00BD6C5F" w:rsidRDefault="009B03E9" w:rsidP="00C73AC9">
      <w:pPr>
        <w:pStyle w:val="AppendixText2"/>
        <w:rPr>
          <w:bCs/>
        </w:rPr>
      </w:pPr>
      <w:r w:rsidRPr="00BD6C5F">
        <w:t xml:space="preserve">All </w:t>
      </w:r>
      <w:r w:rsidRPr="00BD6C5F">
        <w:rPr>
          <w:bCs/>
        </w:rPr>
        <w:t>formal</w:t>
      </w:r>
      <w:r w:rsidRPr="00BD6C5F">
        <w:t xml:space="preserve"> notices, reports or submissions made by the Supplier to the Authority Representative in connection with the provision of the Services.</w:t>
      </w:r>
    </w:p>
    <w:p w14:paraId="06C23E80" w14:textId="77777777" w:rsidR="00BC7DDA" w:rsidRPr="00BD6C5F" w:rsidRDefault="009B03E9" w:rsidP="00C73AC9">
      <w:pPr>
        <w:pStyle w:val="AppendixText2"/>
        <w:rPr>
          <w:bCs/>
        </w:rPr>
      </w:pPr>
      <w:r w:rsidRPr="00BD6C5F">
        <w:t xml:space="preserve">All </w:t>
      </w:r>
      <w:r w:rsidRPr="00BD6C5F">
        <w:rPr>
          <w:bCs/>
        </w:rPr>
        <w:t>certificates</w:t>
      </w:r>
      <w:r w:rsidRPr="00BD6C5F">
        <w:t>, licences, registrations or warranties in each case obtained by the Supplier in relation to the provision of the Services.</w:t>
      </w:r>
    </w:p>
    <w:p w14:paraId="64E464C0" w14:textId="77777777" w:rsidR="00BC7DDA" w:rsidRPr="00BD6C5F" w:rsidRDefault="009B03E9" w:rsidP="00C73AC9">
      <w:pPr>
        <w:pStyle w:val="AppendixText2"/>
        <w:rPr>
          <w:bCs/>
        </w:rPr>
      </w:pPr>
      <w:r w:rsidRPr="00BD6C5F">
        <w:rPr>
          <w:bCs/>
        </w:rPr>
        <w:t>Documents</w:t>
      </w:r>
      <w:r w:rsidRPr="00BD6C5F">
        <w:t xml:space="preserve"> prepared by the Supplier in support of claims for the Charges.</w:t>
      </w:r>
    </w:p>
    <w:p w14:paraId="28FA190E" w14:textId="77777777" w:rsidR="00BC7DDA" w:rsidRPr="00BD6C5F" w:rsidRDefault="009B03E9" w:rsidP="00C73AC9">
      <w:pPr>
        <w:pStyle w:val="AppendixText2"/>
        <w:rPr>
          <w:bCs/>
        </w:rPr>
      </w:pPr>
      <w:r w:rsidRPr="00BD6C5F">
        <w:rPr>
          <w:bCs/>
        </w:rPr>
        <w:t>Documents</w:t>
      </w:r>
      <w:r w:rsidRPr="00BD6C5F">
        <w:t xml:space="preserve"> submitted by the Supplier pursuant to the Change Control Procedure.</w:t>
      </w:r>
    </w:p>
    <w:p w14:paraId="1D9FF8DE" w14:textId="77777777" w:rsidR="00BC7DDA" w:rsidRPr="00BD6C5F" w:rsidRDefault="009B03E9" w:rsidP="00C73AC9">
      <w:pPr>
        <w:pStyle w:val="AppendixText2"/>
        <w:rPr>
          <w:bCs/>
        </w:rPr>
      </w:pPr>
      <w:r w:rsidRPr="00BD6C5F">
        <w:t xml:space="preserve">Documents submitted by the Supplier pursuant to invocation by it or the Authority of the </w:t>
      </w:r>
      <w:r w:rsidRPr="00BD6C5F">
        <w:rPr>
          <w:bCs/>
        </w:rPr>
        <w:t>Dispute</w:t>
      </w:r>
      <w:r w:rsidRPr="00BD6C5F">
        <w:t xml:space="preserve"> Resolution Procedure.</w:t>
      </w:r>
    </w:p>
    <w:p w14:paraId="1D1B1AC4" w14:textId="77777777" w:rsidR="00BC7DDA" w:rsidRPr="00BD6C5F" w:rsidRDefault="009B03E9" w:rsidP="00C73AC9">
      <w:pPr>
        <w:pStyle w:val="AppendixText2"/>
        <w:rPr>
          <w:bCs/>
        </w:rPr>
      </w:pPr>
      <w:r w:rsidRPr="00BD6C5F">
        <w:t xml:space="preserve">Documents evidencing any change in ownership or any interest in any or all of the shares in </w:t>
      </w:r>
      <w:r w:rsidRPr="00BD6C5F">
        <w:rPr>
          <w:bCs/>
        </w:rPr>
        <w:t>the</w:t>
      </w:r>
      <w:r w:rsidRPr="00BD6C5F">
        <w:t xml:space="preserve"> Supplier and/or the Guarantor, where such change may cause a change of Control; and including documents detailing the identity of the persons changing such ownership or interest.</w:t>
      </w:r>
    </w:p>
    <w:p w14:paraId="33DE9AEF" w14:textId="77777777" w:rsidR="00BC7DDA" w:rsidRPr="00BD6C5F" w:rsidRDefault="009B03E9" w:rsidP="00C73AC9">
      <w:pPr>
        <w:pStyle w:val="AppendixText2"/>
        <w:rPr>
          <w:bCs/>
        </w:rPr>
      </w:pPr>
      <w:r w:rsidRPr="00BD6C5F">
        <w:t>Invoices and records related to VAT sought to be recovered by the Supplier.</w:t>
      </w:r>
    </w:p>
    <w:p w14:paraId="7DEA9278" w14:textId="77777777" w:rsidR="00BC7DDA" w:rsidRPr="00BD6C5F" w:rsidRDefault="009B03E9" w:rsidP="00C73AC9">
      <w:pPr>
        <w:pStyle w:val="AppendixText2"/>
        <w:rPr>
          <w:bCs/>
        </w:rPr>
      </w:pPr>
      <w:r w:rsidRPr="00BD6C5F">
        <w:rPr>
          <w:bCs/>
        </w:rPr>
        <w:t>Financial</w:t>
      </w:r>
      <w:r w:rsidRPr="00BD6C5F">
        <w:t xml:space="preserve"> records, including audited and un-audited accounts of the Guarantor and the Supplier.</w:t>
      </w:r>
    </w:p>
    <w:p w14:paraId="2B020905" w14:textId="77777777" w:rsidR="00BC7DDA" w:rsidRPr="00BD6C5F" w:rsidRDefault="009B03E9" w:rsidP="00C73AC9">
      <w:pPr>
        <w:pStyle w:val="AppendixText2"/>
        <w:rPr>
          <w:bCs/>
        </w:rPr>
      </w:pPr>
      <w:r w:rsidRPr="00BD6C5F">
        <w:t>Records required to be retained by the Supplier by Law, including in relation to health and safety matters and health and safety files and all consents.</w:t>
      </w:r>
    </w:p>
    <w:p w14:paraId="0820CF60" w14:textId="4C7EFDBD" w:rsidR="00BC7DDA" w:rsidRPr="00BD6C5F" w:rsidRDefault="009B03E9" w:rsidP="00C73AC9">
      <w:pPr>
        <w:pStyle w:val="AppendixText2"/>
        <w:rPr>
          <w:bCs/>
        </w:rPr>
      </w:pPr>
      <w:r w:rsidRPr="00BD6C5F">
        <w:t xml:space="preserve">All documents relating to the insurances to be maintained under this </w:t>
      </w:r>
      <w:r w:rsidR="004D5810" w:rsidRPr="00BD6C5F">
        <w:t xml:space="preserve">Contract </w:t>
      </w:r>
      <w:r w:rsidRPr="00BD6C5F">
        <w:t xml:space="preserve">and any </w:t>
      </w:r>
      <w:r w:rsidRPr="00BD6C5F">
        <w:rPr>
          <w:bCs/>
        </w:rPr>
        <w:t>claims</w:t>
      </w:r>
      <w:r w:rsidRPr="00BD6C5F">
        <w:t xml:space="preserve"> made in respect of them.</w:t>
      </w:r>
    </w:p>
    <w:p w14:paraId="6DC03F15" w14:textId="06EDF7CB" w:rsidR="00BC7DDA" w:rsidRPr="00BD6C5F" w:rsidRDefault="009B03E9" w:rsidP="00C73AC9">
      <w:pPr>
        <w:pStyle w:val="AppendixText2"/>
        <w:rPr>
          <w:bCs/>
        </w:rPr>
      </w:pPr>
      <w:r w:rsidRPr="00BD6C5F">
        <w:t xml:space="preserve">All journals and audit trail data referred to in </w:t>
      </w:r>
      <w:r w:rsidR="0019439D" w:rsidRPr="00BD6C5F">
        <w:rPr>
          <w:rFonts w:asciiTheme="minorHAnsi" w:hAnsiTheme="minorHAnsi" w:cstheme="minorHAnsi"/>
        </w:rPr>
        <w:t>Schedule </w:t>
      </w:r>
      <w:r w:rsidR="0019439D">
        <w:rPr>
          <w:rFonts w:asciiTheme="minorHAnsi" w:hAnsiTheme="minorHAnsi" w:cstheme="minorHAnsi"/>
        </w:rPr>
        <w:fldChar w:fldCharType="begin"/>
      </w:r>
      <w:r w:rsidR="0019439D">
        <w:rPr>
          <w:rFonts w:asciiTheme="minorHAnsi" w:hAnsiTheme="minorHAnsi" w:cstheme="minorHAnsi"/>
        </w:rPr>
        <w:instrText xml:space="preserve"> REF Schedule_5 \h </w:instrText>
      </w:r>
      <w:r w:rsidR="0019439D">
        <w:rPr>
          <w:rFonts w:asciiTheme="minorHAnsi" w:hAnsiTheme="minorHAnsi" w:cstheme="minorHAnsi"/>
        </w:rPr>
      </w:r>
      <w:r w:rsidR="0019439D">
        <w:rPr>
          <w:rFonts w:asciiTheme="minorHAnsi" w:hAnsiTheme="minorHAnsi" w:cstheme="minorHAnsi"/>
        </w:rPr>
        <w:fldChar w:fldCharType="separate"/>
      </w:r>
      <w:r w:rsidR="009749A0">
        <w:t>5</w:t>
      </w:r>
      <w:r w:rsidR="0019439D">
        <w:rPr>
          <w:rFonts w:asciiTheme="minorHAnsi" w:hAnsiTheme="minorHAnsi" w:cstheme="minorHAnsi"/>
        </w:rPr>
        <w:fldChar w:fldCharType="end"/>
      </w:r>
      <w:r w:rsidR="00FF2A19" w:rsidRPr="00BD6C5F">
        <w:t xml:space="preserve"> </w:t>
      </w:r>
      <w:r w:rsidRPr="00BD6C5F">
        <w:t>(</w:t>
      </w:r>
      <w:r w:rsidRPr="00BD6C5F">
        <w:rPr>
          <w:i/>
          <w:iCs/>
        </w:rPr>
        <w:t>Security Management Plan</w:t>
      </w:r>
      <w:r w:rsidRPr="00BD6C5F">
        <w:t>).</w:t>
      </w:r>
    </w:p>
    <w:p w14:paraId="59F0A462" w14:textId="191F095D" w:rsidR="00E238E6" w:rsidRPr="00BD6C5F" w:rsidRDefault="009B03E9" w:rsidP="00C73AC9">
      <w:pPr>
        <w:pStyle w:val="AppendixText2"/>
        <w:rPr>
          <w:bCs/>
        </w:rPr>
      </w:pPr>
      <w:bookmarkStart w:id="1195" w:name="_Ref98318753"/>
      <w:r w:rsidRPr="00BD6C5F">
        <w:t xml:space="preserve">All other records, notices or certificates required to be produced and/or maintained by the </w:t>
      </w:r>
      <w:r w:rsidRPr="00BD6C5F">
        <w:rPr>
          <w:bCs/>
        </w:rPr>
        <w:t>Supplier</w:t>
      </w:r>
      <w:r w:rsidRPr="00BD6C5F">
        <w:t xml:space="preserve"> pursuant to this </w:t>
      </w:r>
      <w:r w:rsidR="004D5810" w:rsidRPr="00BD6C5F">
        <w:t>Contract</w:t>
      </w:r>
      <w:r w:rsidRPr="00BD6C5F">
        <w:t>.</w:t>
      </w:r>
      <w:bookmarkEnd w:id="1195"/>
    </w:p>
    <w:p w14:paraId="56B70688" w14:textId="77777777" w:rsidR="000E2C77" w:rsidRPr="00BD6C5F" w:rsidRDefault="000E2C77" w:rsidP="000E2C77"/>
    <w:p w14:paraId="5BEE5397" w14:textId="7FB83C5C" w:rsidR="00E238E6" w:rsidRPr="00BD6C5F" w:rsidRDefault="00E238E6" w:rsidP="00E238E6">
      <w:pPr>
        <w:rPr>
          <w:rFonts w:asciiTheme="minorHAnsi" w:hAnsiTheme="minorHAnsi" w:cstheme="minorHAnsi"/>
        </w:rPr>
        <w:sectPr w:rsidR="00E238E6" w:rsidRPr="00BD6C5F" w:rsidSect="00EA65BF">
          <w:headerReference w:type="default" r:id="rId104"/>
          <w:footerReference w:type="default" r:id="rId105"/>
          <w:pgSz w:w="11910" w:h="16840"/>
          <w:pgMar w:top="1701" w:right="851" w:bottom="1134" w:left="851" w:header="567" w:footer="567" w:gutter="0"/>
          <w:cols w:space="720"/>
        </w:sectPr>
      </w:pPr>
    </w:p>
    <w:p w14:paraId="4246A697" w14:textId="438B2CA5" w:rsidR="00BC7DDA" w:rsidRPr="00BD6C5F" w:rsidRDefault="0095651E" w:rsidP="000E2C77">
      <w:pPr>
        <w:pStyle w:val="Heading2"/>
      </w:pPr>
      <w:bookmarkStart w:id="1196" w:name="_Toc98332770"/>
      <w:bookmarkStart w:id="1197" w:name="_Ref98333370"/>
      <w:bookmarkStart w:id="1198" w:name="_Ref98336082"/>
      <w:bookmarkStart w:id="1199" w:name="_Ref98340245"/>
      <w:bookmarkStart w:id="1200" w:name="_Ref98341891"/>
      <w:bookmarkStart w:id="1201" w:name="_Ref98343524"/>
      <w:bookmarkStart w:id="1202" w:name="_Ref98343551"/>
      <w:bookmarkStart w:id="1203" w:name="_Ref98343564"/>
      <w:bookmarkStart w:id="1204" w:name="_Ref98343572"/>
      <w:bookmarkStart w:id="1205" w:name="_Ref98343582"/>
      <w:bookmarkStart w:id="1206" w:name="_Ref98343597"/>
      <w:bookmarkStart w:id="1207" w:name="_Ref98343605"/>
      <w:bookmarkStart w:id="1208" w:name="_Ref98343614"/>
      <w:bookmarkStart w:id="1209" w:name="_Ref98343650"/>
      <w:bookmarkStart w:id="1210" w:name="_Ref98343660"/>
      <w:bookmarkStart w:id="1211" w:name="_Ref98343672"/>
      <w:bookmarkStart w:id="1212" w:name="_Toc98852946"/>
      <w:bookmarkStart w:id="1213" w:name="_Toc141721039"/>
      <w:r w:rsidRPr="00BD6C5F">
        <w:lastRenderedPageBreak/>
        <w:t xml:space="preserve">Annex </w:t>
      </w:r>
      <w:bookmarkStart w:id="1214" w:name="Schedule_24_Annex_3"/>
      <w:r w:rsidRPr="00BD6C5F">
        <w:t>3</w:t>
      </w:r>
      <w:bookmarkEnd w:id="1214"/>
      <w:r w:rsidRPr="00BD6C5F">
        <w:t>: Records to Upload to Virtual Library</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4832BA91" w14:textId="24A8A882" w:rsidR="00BC7DDA" w:rsidRPr="00BD6C5F" w:rsidRDefault="009B03E9" w:rsidP="000E2C77">
      <w:pPr>
        <w:pStyle w:val="BodyText"/>
        <w:spacing w:before="100" w:after="200"/>
        <w:rPr>
          <w:rFonts w:asciiTheme="minorHAnsi" w:hAnsiTheme="minorHAnsi" w:cstheme="minorHAnsi"/>
          <w:bCs/>
          <w:iCs/>
        </w:rPr>
      </w:pPr>
      <w:r w:rsidRPr="00BD6C5F">
        <w:rPr>
          <w:rFonts w:asciiTheme="minorHAnsi" w:hAnsiTheme="minorHAnsi" w:cstheme="minorHAnsi"/>
          <w:bCs/>
          <w:iCs/>
          <w:shd w:val="clear" w:color="auto" w:fill="FFFF00"/>
        </w:rPr>
        <w:t>[</w:t>
      </w:r>
      <w:r w:rsidRPr="004C60F6">
        <w:rPr>
          <w:rFonts w:asciiTheme="minorHAnsi" w:hAnsiTheme="minorHAnsi" w:cstheme="minorHAnsi"/>
          <w:b/>
          <w:i/>
          <w:shd w:val="clear" w:color="auto" w:fill="FFFF00"/>
        </w:rPr>
        <w:t>Guidance: This Annex is an example template and currently includes a list of some of the information already required under the</w:t>
      </w:r>
      <w:r w:rsidRPr="004C60F6">
        <w:rPr>
          <w:rFonts w:asciiTheme="minorHAnsi" w:hAnsiTheme="minorHAnsi" w:cstheme="minorHAnsi"/>
          <w:b/>
          <w:i/>
        </w:rPr>
        <w:t xml:space="preserve"> </w:t>
      </w:r>
      <w:r w:rsidR="009908F1" w:rsidRPr="004C60F6">
        <w:rPr>
          <w:rFonts w:asciiTheme="minorHAnsi" w:hAnsiTheme="minorHAnsi" w:cstheme="minorHAnsi"/>
          <w:b/>
          <w:i/>
          <w:shd w:val="clear" w:color="auto" w:fill="FFFF00"/>
        </w:rPr>
        <w:t xml:space="preserve">Contract </w:t>
      </w:r>
      <w:r w:rsidRPr="004C60F6">
        <w:rPr>
          <w:rFonts w:asciiTheme="minorHAnsi" w:hAnsiTheme="minorHAnsi" w:cstheme="minorHAnsi"/>
          <w:b/>
          <w:i/>
          <w:shd w:val="clear" w:color="auto" w:fill="FFFF00"/>
        </w:rPr>
        <w:t>which is required to be maintained in the Virtual Library by the Supplier. You will need to update this table to reflect the</w:t>
      </w:r>
      <w:r w:rsidRPr="004C60F6">
        <w:rPr>
          <w:rFonts w:asciiTheme="minorHAnsi" w:hAnsiTheme="minorHAnsi" w:cstheme="minorHAnsi"/>
          <w:b/>
          <w:i/>
        </w:rPr>
        <w:t xml:space="preserve"> </w:t>
      </w:r>
      <w:r w:rsidRPr="004C60F6">
        <w:rPr>
          <w:rFonts w:asciiTheme="minorHAnsi" w:hAnsiTheme="minorHAnsi" w:cstheme="minorHAnsi"/>
          <w:b/>
          <w:i/>
          <w:shd w:val="clear" w:color="auto" w:fill="FFFF00"/>
        </w:rPr>
        <w:t xml:space="preserve">requirements of your particular procurement and any changes which you have made to the drafting elsewhere in the </w:t>
      </w:r>
      <w:r w:rsidR="009908F1" w:rsidRPr="004C60F6">
        <w:rPr>
          <w:rFonts w:asciiTheme="minorHAnsi" w:hAnsiTheme="minorHAnsi" w:cstheme="minorHAnsi"/>
          <w:b/>
          <w:i/>
          <w:shd w:val="clear" w:color="auto" w:fill="FFFF00"/>
        </w:rPr>
        <w:t xml:space="preserve">Contract </w:t>
      </w:r>
      <w:r w:rsidRPr="004C60F6">
        <w:rPr>
          <w:rFonts w:asciiTheme="minorHAnsi" w:hAnsiTheme="minorHAnsi" w:cstheme="minorHAnsi"/>
          <w:b/>
          <w:i/>
          <w:shd w:val="clear" w:color="auto" w:fill="FFFF00"/>
        </w:rPr>
        <w:t>in</w:t>
      </w:r>
      <w:r w:rsidRPr="004C60F6">
        <w:rPr>
          <w:rFonts w:asciiTheme="minorHAnsi" w:hAnsiTheme="minorHAnsi" w:cstheme="minorHAnsi"/>
          <w:b/>
          <w:i/>
        </w:rPr>
        <w:t xml:space="preserve"> </w:t>
      </w:r>
      <w:r w:rsidRPr="004C60F6">
        <w:rPr>
          <w:rFonts w:asciiTheme="minorHAnsi" w:hAnsiTheme="minorHAnsi" w:cstheme="minorHAnsi"/>
          <w:b/>
          <w:i/>
          <w:shd w:val="clear" w:color="auto" w:fill="FFFF00"/>
        </w:rPr>
        <w:t>respect of any of the information listed here and will need to consider Access Permissions and Access Events for each item of</w:t>
      </w:r>
      <w:r w:rsidRPr="004C60F6">
        <w:rPr>
          <w:rFonts w:asciiTheme="minorHAnsi" w:hAnsiTheme="minorHAnsi" w:cstheme="minorHAnsi"/>
          <w:b/>
          <w:i/>
        </w:rPr>
        <w:t xml:space="preserve"> </w:t>
      </w:r>
      <w:r w:rsidRPr="004C60F6">
        <w:rPr>
          <w:rFonts w:asciiTheme="minorHAnsi" w:hAnsiTheme="minorHAnsi" w:cstheme="minorHAnsi"/>
          <w:b/>
          <w:i/>
          <w:shd w:val="clear" w:color="auto" w:fill="FFFF00"/>
        </w:rPr>
        <w:t>information listed, depending on the nature of the information.</w:t>
      </w:r>
      <w:r w:rsidRPr="00BD6C5F">
        <w:rPr>
          <w:rFonts w:asciiTheme="minorHAnsi" w:hAnsiTheme="minorHAnsi" w:cstheme="minorHAnsi"/>
          <w:bCs/>
          <w:iCs/>
          <w:shd w:val="clear" w:color="auto" w:fill="FFFF00"/>
        </w:rPr>
        <w:t>]</w:t>
      </w:r>
    </w:p>
    <w:tbl>
      <w:tblPr>
        <w:tblStyle w:val="MSATable-header"/>
        <w:tblW w:w="15176" w:type="dxa"/>
        <w:tblLayout w:type="fixed"/>
        <w:tblLook w:val="01E0" w:firstRow="1" w:lastRow="1" w:firstColumn="1" w:lastColumn="1" w:noHBand="0" w:noVBand="0"/>
      </w:tblPr>
      <w:tblGrid>
        <w:gridCol w:w="2381"/>
        <w:gridCol w:w="2967"/>
        <w:gridCol w:w="2002"/>
        <w:gridCol w:w="2667"/>
        <w:gridCol w:w="2721"/>
        <w:gridCol w:w="2438"/>
      </w:tblGrid>
      <w:tr w:rsidR="00D51340" w:rsidRPr="00BD6C5F" w14:paraId="5CE94AFE" w14:textId="77777777" w:rsidTr="00D51340">
        <w:trPr>
          <w:cnfStyle w:val="100000000000" w:firstRow="1" w:lastRow="0" w:firstColumn="0" w:lastColumn="0" w:oddVBand="0" w:evenVBand="0" w:oddHBand="0" w:evenHBand="0" w:firstRowFirstColumn="0" w:firstRowLastColumn="0" w:lastRowFirstColumn="0" w:lastRowLastColumn="0"/>
          <w:tblHeader/>
        </w:trPr>
        <w:tc>
          <w:tcPr>
            <w:tcW w:w="2381" w:type="dxa"/>
          </w:tcPr>
          <w:p w14:paraId="0307B988" w14:textId="77777777" w:rsidR="00BC7DDA" w:rsidRPr="00BD6C5F" w:rsidRDefault="009B03E9" w:rsidP="00D51340">
            <w:pPr>
              <w:pStyle w:val="Tabletext"/>
            </w:pPr>
            <w:r w:rsidRPr="00BD6C5F">
              <w:t>Applicable Clause/ Paragraph</w:t>
            </w:r>
          </w:p>
        </w:tc>
        <w:tc>
          <w:tcPr>
            <w:tcW w:w="2967" w:type="dxa"/>
          </w:tcPr>
          <w:p w14:paraId="5A655498" w14:textId="77777777" w:rsidR="00BC7DDA" w:rsidRPr="00BD6C5F" w:rsidRDefault="009B03E9" w:rsidP="00D51340">
            <w:pPr>
              <w:pStyle w:val="Tabletext"/>
            </w:pPr>
            <w:r w:rsidRPr="00BD6C5F">
              <w:t>Required Data</w:t>
            </w:r>
          </w:p>
        </w:tc>
        <w:tc>
          <w:tcPr>
            <w:tcW w:w="2002" w:type="dxa"/>
          </w:tcPr>
          <w:p w14:paraId="7C6B4247" w14:textId="77777777" w:rsidR="00BC7DDA" w:rsidRPr="00BD6C5F" w:rsidRDefault="009B03E9" w:rsidP="00D51340">
            <w:pPr>
              <w:pStyle w:val="Tabletext"/>
            </w:pPr>
            <w:r w:rsidRPr="00BD6C5F">
              <w:t>Format of Data</w:t>
            </w:r>
          </w:p>
        </w:tc>
        <w:tc>
          <w:tcPr>
            <w:tcW w:w="2667" w:type="dxa"/>
          </w:tcPr>
          <w:p w14:paraId="39DAA6B0" w14:textId="77777777" w:rsidR="00BC7DDA" w:rsidRPr="00BD6C5F" w:rsidRDefault="009B03E9" w:rsidP="00D51340">
            <w:pPr>
              <w:pStyle w:val="Tabletext"/>
            </w:pPr>
            <w:r w:rsidRPr="00BD6C5F">
              <w:t>Initial Upload Date</w:t>
            </w:r>
          </w:p>
        </w:tc>
        <w:tc>
          <w:tcPr>
            <w:tcW w:w="2721" w:type="dxa"/>
          </w:tcPr>
          <w:p w14:paraId="14398262" w14:textId="77777777" w:rsidR="00BC7DDA" w:rsidRPr="00BD6C5F" w:rsidRDefault="009B03E9" w:rsidP="00D51340">
            <w:pPr>
              <w:pStyle w:val="Tabletext"/>
            </w:pPr>
            <w:r w:rsidRPr="00BD6C5F">
              <w:t>Update Requirement</w:t>
            </w:r>
          </w:p>
        </w:tc>
        <w:tc>
          <w:tcPr>
            <w:tcW w:w="2438" w:type="dxa"/>
          </w:tcPr>
          <w:p w14:paraId="7D4BB846" w14:textId="77777777" w:rsidR="00BC7DDA" w:rsidRPr="00BD6C5F" w:rsidRDefault="009B03E9" w:rsidP="00D51340">
            <w:pPr>
              <w:pStyle w:val="Tabletext"/>
            </w:pPr>
            <w:r w:rsidRPr="00BD6C5F">
              <w:t>Access Permission and Access Event (where applicable)</w:t>
            </w:r>
          </w:p>
        </w:tc>
      </w:tr>
      <w:tr w:rsidR="00BC7DDA" w:rsidRPr="00BD6C5F" w14:paraId="6E883C2D" w14:textId="77777777" w:rsidTr="00D51340">
        <w:tc>
          <w:tcPr>
            <w:tcW w:w="2381" w:type="dxa"/>
          </w:tcPr>
          <w:p w14:paraId="70138677" w14:textId="38FD03C5" w:rsidR="00BC7DDA" w:rsidRPr="00BD6C5F" w:rsidRDefault="009B03E9" w:rsidP="00D51340">
            <w:pPr>
              <w:pStyle w:val="Tabletext"/>
              <w:rPr>
                <w:rFonts w:asciiTheme="minorHAnsi" w:hAnsiTheme="minorHAnsi" w:cstheme="minorHAnsi"/>
              </w:rPr>
            </w:pPr>
            <w:r w:rsidRPr="00BD6C5F">
              <w:rPr>
                <w:rFonts w:asciiTheme="minorHAnsi" w:hAnsiTheme="minorHAnsi" w:cstheme="minorHAnsi"/>
              </w:rPr>
              <w:t xml:space="preserve">Cl.5.5 (e), (f) </w:t>
            </w:r>
            <w:r w:rsidR="00F86D3D">
              <w:rPr>
                <w:rFonts w:asciiTheme="minorHAnsi" w:hAnsiTheme="minorHAnsi" w:cstheme="minorHAnsi"/>
              </w:rPr>
              <w:t>5.8(b)</w:t>
            </w:r>
          </w:p>
        </w:tc>
        <w:tc>
          <w:tcPr>
            <w:tcW w:w="2967" w:type="dxa"/>
          </w:tcPr>
          <w:p w14:paraId="381A64DD" w14:textId="77777777" w:rsidR="00BC7DDA" w:rsidRPr="00BD6C5F" w:rsidRDefault="009B03E9" w:rsidP="00D51340">
            <w:pPr>
              <w:pStyle w:val="Tabletext"/>
            </w:pPr>
            <w:r w:rsidRPr="00BD6C5F">
              <w:t>Documentation</w:t>
            </w:r>
          </w:p>
        </w:tc>
        <w:tc>
          <w:tcPr>
            <w:tcW w:w="2002" w:type="dxa"/>
          </w:tcPr>
          <w:p w14:paraId="679C3FD5" w14:textId="77777777" w:rsidR="00BC7DDA" w:rsidRPr="00BD6C5F" w:rsidRDefault="009B03E9" w:rsidP="00D51340">
            <w:pPr>
              <w:pStyle w:val="Tabletext"/>
            </w:pPr>
            <w:r w:rsidRPr="00BD6C5F">
              <w:t>As appropriate and agreed by the Authority</w:t>
            </w:r>
          </w:p>
        </w:tc>
        <w:tc>
          <w:tcPr>
            <w:tcW w:w="2667" w:type="dxa"/>
          </w:tcPr>
          <w:p w14:paraId="7049CE81" w14:textId="77777777" w:rsidR="00BC7DDA" w:rsidRPr="00BD6C5F" w:rsidRDefault="009B03E9" w:rsidP="00D51340">
            <w:pPr>
              <w:pStyle w:val="Tabletext"/>
            </w:pPr>
            <w:r w:rsidRPr="00BD6C5F">
              <w:t>Within seven days of the issue of a Milestone Achievement Certificate in respect of the relevant Deliverable.</w:t>
            </w:r>
          </w:p>
        </w:tc>
        <w:tc>
          <w:tcPr>
            <w:tcW w:w="2721" w:type="dxa"/>
          </w:tcPr>
          <w:p w14:paraId="5A841BEE" w14:textId="77777777" w:rsidR="00BC7DDA" w:rsidRPr="00BD6C5F" w:rsidRDefault="009B03E9" w:rsidP="00D51340">
            <w:pPr>
              <w:pStyle w:val="Tabletext"/>
            </w:pPr>
            <w:r w:rsidRPr="00BD6C5F">
              <w:t>-</w:t>
            </w:r>
          </w:p>
        </w:tc>
        <w:tc>
          <w:tcPr>
            <w:tcW w:w="2438" w:type="dxa"/>
          </w:tcPr>
          <w:p w14:paraId="1930570D" w14:textId="77777777" w:rsidR="00BC7DDA" w:rsidRPr="00BD6C5F" w:rsidRDefault="009B03E9" w:rsidP="00D51340">
            <w:pPr>
              <w:pStyle w:val="Tabletext"/>
            </w:pPr>
            <w:r w:rsidRPr="00BD6C5F">
              <w:t>Authority</w:t>
            </w:r>
          </w:p>
        </w:tc>
      </w:tr>
      <w:tr w:rsidR="00194F2B" w:rsidRPr="00BD6C5F" w14:paraId="3412D78D" w14:textId="77777777" w:rsidTr="00D51340">
        <w:tc>
          <w:tcPr>
            <w:tcW w:w="2381" w:type="dxa"/>
          </w:tcPr>
          <w:p w14:paraId="792E2567" w14:textId="39056847" w:rsidR="00194F2B" w:rsidRPr="00BD6C5F" w:rsidRDefault="00194F2B" w:rsidP="00194F2B">
            <w:pPr>
              <w:pStyle w:val="Tabletext"/>
            </w:pPr>
            <w:r>
              <w:rPr>
                <w:rFonts w:eastAsia="Arial" w:cs="Arial"/>
                <w:color w:val="000000"/>
              </w:rPr>
              <w:t>Cl 6.4</w:t>
            </w:r>
          </w:p>
        </w:tc>
        <w:tc>
          <w:tcPr>
            <w:tcW w:w="2967" w:type="dxa"/>
          </w:tcPr>
          <w:p w14:paraId="7A5DE56A" w14:textId="1F7E35E6" w:rsidR="00194F2B" w:rsidRPr="00BD6C5F" w:rsidRDefault="00194F2B" w:rsidP="00194F2B">
            <w:pPr>
              <w:pStyle w:val="Tabletext"/>
            </w:pPr>
            <w:r>
              <w:rPr>
                <w:rFonts w:eastAsia="Arial" w:cs="Arial"/>
                <w:color w:val="000000"/>
              </w:rPr>
              <w:t>Detailed Implementation Plan</w:t>
            </w:r>
          </w:p>
        </w:tc>
        <w:tc>
          <w:tcPr>
            <w:tcW w:w="2002" w:type="dxa"/>
          </w:tcPr>
          <w:p w14:paraId="7F36FD3A" w14:textId="4E2F8F60" w:rsidR="00194F2B" w:rsidRPr="00BD6C5F" w:rsidRDefault="00194F2B" w:rsidP="00194F2B">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Schedule_13 \h </w:instrText>
            </w:r>
            <w:r w:rsidR="00C65E65">
              <w:rPr>
                <w:rFonts w:eastAsia="Arial" w:cs="Arial"/>
                <w:color w:val="000000"/>
              </w:rPr>
            </w:r>
            <w:r w:rsidR="00C65E65">
              <w:rPr>
                <w:rFonts w:eastAsia="Arial" w:cs="Arial"/>
                <w:color w:val="000000"/>
              </w:rPr>
              <w:fldChar w:fldCharType="separate"/>
            </w:r>
            <w:r w:rsidR="009749A0">
              <w:t>13</w:t>
            </w:r>
            <w:r w:rsidR="00C65E65">
              <w:rPr>
                <w:rFonts w:eastAsia="Arial" w:cs="Arial"/>
                <w:color w:val="000000"/>
              </w:rPr>
              <w:fldChar w:fldCharType="end"/>
            </w:r>
          </w:p>
        </w:tc>
        <w:tc>
          <w:tcPr>
            <w:tcW w:w="2667" w:type="dxa"/>
          </w:tcPr>
          <w:p w14:paraId="7B9DA5A9" w14:textId="717CF607" w:rsidR="00194F2B" w:rsidRPr="00BD6C5F" w:rsidRDefault="00194F2B" w:rsidP="00194F2B">
            <w:pPr>
              <w:pStyle w:val="Tabletext"/>
            </w:pPr>
            <w:r>
              <w:rPr>
                <w:rFonts w:eastAsia="Arial" w:cs="Arial"/>
                <w:color w:val="000000"/>
              </w:rPr>
              <w:t>Within 20 Working Days of Effective Date</w:t>
            </w:r>
          </w:p>
        </w:tc>
        <w:tc>
          <w:tcPr>
            <w:tcW w:w="2721" w:type="dxa"/>
          </w:tcPr>
          <w:p w14:paraId="69E92D84" w14:textId="61F75D2E" w:rsidR="00194F2B" w:rsidRPr="00BD6C5F" w:rsidRDefault="00194F2B" w:rsidP="00194F2B">
            <w:pPr>
              <w:pStyle w:val="Tabletext"/>
            </w:pPr>
            <w:r>
              <w:rPr>
                <w:rFonts w:eastAsia="Arial" w:cs="Arial"/>
                <w:color w:val="000000"/>
              </w:rPr>
              <w:t>Every 3 months from Effective Date</w:t>
            </w:r>
          </w:p>
        </w:tc>
        <w:tc>
          <w:tcPr>
            <w:tcW w:w="2438" w:type="dxa"/>
          </w:tcPr>
          <w:p w14:paraId="31841B2A" w14:textId="69BEAA9D" w:rsidR="00194F2B" w:rsidRPr="00BD6C5F" w:rsidRDefault="00194F2B" w:rsidP="00194F2B">
            <w:pPr>
              <w:pStyle w:val="Tabletext"/>
            </w:pPr>
            <w:r>
              <w:rPr>
                <w:rFonts w:eastAsia="Arial" w:cs="Arial"/>
                <w:color w:val="000000"/>
              </w:rPr>
              <w:t>Authority</w:t>
            </w:r>
          </w:p>
        </w:tc>
      </w:tr>
      <w:tr w:rsidR="00194F2B" w:rsidRPr="00BD6C5F" w14:paraId="728F82DF" w14:textId="77777777" w:rsidTr="00D51340">
        <w:tc>
          <w:tcPr>
            <w:tcW w:w="2381" w:type="dxa"/>
          </w:tcPr>
          <w:p w14:paraId="4FFD8EC1" w14:textId="0E5E1740" w:rsidR="00194F2B" w:rsidRPr="00BD6C5F" w:rsidRDefault="00194F2B" w:rsidP="00194F2B">
            <w:pPr>
              <w:pStyle w:val="Tabletext"/>
            </w:pPr>
            <w:r>
              <w:rPr>
                <w:rFonts w:eastAsia="Arial" w:cs="Arial"/>
                <w:color w:val="000000"/>
              </w:rPr>
              <w:t>Cl 33.8</w:t>
            </w:r>
            <w:r w:rsidR="005802A8">
              <w:rPr>
                <w:rFonts w:eastAsia="Arial" w:cs="Arial"/>
                <w:color w:val="000000"/>
              </w:rPr>
              <w:t>.8</w:t>
            </w:r>
          </w:p>
        </w:tc>
        <w:tc>
          <w:tcPr>
            <w:tcW w:w="2967" w:type="dxa"/>
          </w:tcPr>
          <w:p w14:paraId="4D5A5F2C" w14:textId="026CA86A" w:rsidR="00194F2B" w:rsidRPr="00BD6C5F" w:rsidRDefault="00194F2B" w:rsidP="00194F2B">
            <w:pPr>
              <w:pStyle w:val="Tabletext"/>
            </w:pPr>
            <w:r>
              <w:rPr>
                <w:rFonts w:eastAsia="Arial" w:cs="Arial"/>
                <w:color w:val="000000"/>
              </w:rPr>
              <w:t>Annual slavery and human trafficking report</w:t>
            </w:r>
          </w:p>
        </w:tc>
        <w:tc>
          <w:tcPr>
            <w:tcW w:w="2002" w:type="dxa"/>
          </w:tcPr>
          <w:p w14:paraId="1F020BC1" w14:textId="1D85A840" w:rsidR="00194F2B" w:rsidRPr="00BD6C5F" w:rsidRDefault="00194F2B" w:rsidP="00194F2B">
            <w:pPr>
              <w:pStyle w:val="Tabletext"/>
            </w:pPr>
            <w:r>
              <w:rPr>
                <w:rFonts w:eastAsia="Arial" w:cs="Arial"/>
                <w:color w:val="000000"/>
              </w:rPr>
              <w:t>As appropriate and agreed by the Authority</w:t>
            </w:r>
          </w:p>
        </w:tc>
        <w:tc>
          <w:tcPr>
            <w:tcW w:w="2667" w:type="dxa"/>
          </w:tcPr>
          <w:p w14:paraId="2C89ACC1" w14:textId="2B946C81" w:rsidR="00194F2B" w:rsidRPr="00BD6C5F" w:rsidRDefault="00194F2B" w:rsidP="00194F2B">
            <w:pPr>
              <w:pStyle w:val="Tabletext"/>
            </w:pPr>
            <w:r>
              <w:rPr>
                <w:rFonts w:eastAsia="Arial" w:cs="Arial"/>
                <w:color w:val="000000"/>
              </w:rPr>
              <w:t>Within twelve (12) months</w:t>
            </w:r>
          </w:p>
        </w:tc>
        <w:tc>
          <w:tcPr>
            <w:tcW w:w="2721" w:type="dxa"/>
          </w:tcPr>
          <w:p w14:paraId="38B52016" w14:textId="781365C1" w:rsidR="00194F2B" w:rsidRPr="00BD6C5F" w:rsidRDefault="00194F2B" w:rsidP="00194F2B">
            <w:pPr>
              <w:pStyle w:val="Tabletext"/>
            </w:pPr>
            <w:r>
              <w:rPr>
                <w:rFonts w:eastAsia="Arial" w:cs="Arial"/>
                <w:color w:val="000000"/>
              </w:rPr>
              <w:t>Every twelve (12) months</w:t>
            </w:r>
          </w:p>
        </w:tc>
        <w:tc>
          <w:tcPr>
            <w:tcW w:w="2438" w:type="dxa"/>
          </w:tcPr>
          <w:p w14:paraId="179CB9C5" w14:textId="1B33959A" w:rsidR="00194F2B" w:rsidRPr="00BD6C5F" w:rsidRDefault="00194F2B" w:rsidP="00194F2B">
            <w:pPr>
              <w:pStyle w:val="Tabletext"/>
            </w:pPr>
            <w:r>
              <w:rPr>
                <w:rFonts w:eastAsia="Arial" w:cs="Arial"/>
                <w:color w:val="000000"/>
              </w:rPr>
              <w:t>Authority</w:t>
            </w:r>
          </w:p>
        </w:tc>
      </w:tr>
      <w:tr w:rsidR="00194F2B" w:rsidRPr="00BD6C5F" w14:paraId="68F56C38" w14:textId="77777777" w:rsidTr="00D51340">
        <w:tc>
          <w:tcPr>
            <w:tcW w:w="2381" w:type="dxa"/>
          </w:tcPr>
          <w:p w14:paraId="7B797BDC" w14:textId="77777777" w:rsidR="00194F2B" w:rsidRPr="00BD6C5F" w:rsidRDefault="00194F2B" w:rsidP="00194F2B">
            <w:pPr>
              <w:pStyle w:val="Tabletext"/>
            </w:pPr>
            <w:r w:rsidRPr="00BD6C5F">
              <w:t>Cl 14.3</w:t>
            </w:r>
          </w:p>
        </w:tc>
        <w:tc>
          <w:tcPr>
            <w:tcW w:w="2967" w:type="dxa"/>
          </w:tcPr>
          <w:p w14:paraId="7E91AE50" w14:textId="77777777" w:rsidR="00194F2B" w:rsidRPr="00BD6C5F" w:rsidRDefault="00194F2B" w:rsidP="00194F2B">
            <w:pPr>
              <w:pStyle w:val="Tabletext"/>
            </w:pPr>
            <w:r w:rsidRPr="00BD6C5F">
              <w:t>Key Personnel</w:t>
            </w:r>
          </w:p>
        </w:tc>
        <w:tc>
          <w:tcPr>
            <w:tcW w:w="2002" w:type="dxa"/>
          </w:tcPr>
          <w:p w14:paraId="35D93BF5" w14:textId="21C389EB" w:rsidR="00194F2B" w:rsidRPr="00BD6C5F" w:rsidRDefault="00194F2B" w:rsidP="00194F2B">
            <w:pPr>
              <w:pStyle w:val="Tabletext"/>
            </w:pPr>
            <w:r w:rsidRPr="00BD6C5F">
              <w:t xml:space="preserve">Sch </w:t>
            </w:r>
            <w:r>
              <w:fldChar w:fldCharType="begin"/>
            </w:r>
            <w:r>
              <w:instrText xml:space="preserve"> REF Schedule_29 \h </w:instrText>
            </w:r>
            <w:r>
              <w:fldChar w:fldCharType="separate"/>
            </w:r>
            <w:r w:rsidR="009749A0">
              <w:t>29</w:t>
            </w:r>
            <w:r>
              <w:fldChar w:fldCharType="end"/>
            </w:r>
          </w:p>
        </w:tc>
        <w:tc>
          <w:tcPr>
            <w:tcW w:w="2667" w:type="dxa"/>
          </w:tcPr>
          <w:p w14:paraId="69DDFA72" w14:textId="77777777" w:rsidR="00194F2B" w:rsidRPr="00BD6C5F" w:rsidRDefault="00194F2B" w:rsidP="00194F2B">
            <w:pPr>
              <w:pStyle w:val="Tabletext"/>
            </w:pPr>
            <w:r w:rsidRPr="00BD6C5F">
              <w:t>Effective Date</w:t>
            </w:r>
          </w:p>
        </w:tc>
        <w:tc>
          <w:tcPr>
            <w:tcW w:w="2721" w:type="dxa"/>
          </w:tcPr>
          <w:p w14:paraId="03DDDC75" w14:textId="77777777" w:rsidR="00194F2B" w:rsidRPr="00BD6C5F" w:rsidRDefault="00194F2B" w:rsidP="00194F2B">
            <w:pPr>
              <w:pStyle w:val="Tabletext"/>
            </w:pPr>
            <w:r w:rsidRPr="00BD6C5F">
              <w:t>On replacement of Key Personnel</w:t>
            </w:r>
          </w:p>
        </w:tc>
        <w:tc>
          <w:tcPr>
            <w:tcW w:w="2438" w:type="dxa"/>
          </w:tcPr>
          <w:p w14:paraId="715F1D56" w14:textId="77777777" w:rsidR="00194F2B" w:rsidRPr="00BD6C5F" w:rsidRDefault="00194F2B" w:rsidP="00194F2B">
            <w:pPr>
              <w:pStyle w:val="Tabletext"/>
            </w:pPr>
            <w:r w:rsidRPr="00BD6C5F">
              <w:t>Authority</w:t>
            </w:r>
          </w:p>
        </w:tc>
      </w:tr>
      <w:tr w:rsidR="00E55950" w:rsidRPr="00BD6C5F" w14:paraId="7C187F71" w14:textId="77777777" w:rsidTr="00D51340">
        <w:tc>
          <w:tcPr>
            <w:tcW w:w="2381" w:type="dxa"/>
          </w:tcPr>
          <w:p w14:paraId="25F21DEF" w14:textId="160D9D30" w:rsidR="00E55950" w:rsidRPr="00BD6C5F" w:rsidRDefault="00E55950" w:rsidP="00E55950">
            <w:pPr>
              <w:pStyle w:val="Tabletext"/>
            </w:pPr>
            <w:r>
              <w:rPr>
                <w:rFonts w:eastAsia="Arial" w:cs="Arial"/>
                <w:color w:val="000000"/>
              </w:rPr>
              <w:t>Cl 15.7</w:t>
            </w:r>
          </w:p>
        </w:tc>
        <w:tc>
          <w:tcPr>
            <w:tcW w:w="2967" w:type="dxa"/>
          </w:tcPr>
          <w:p w14:paraId="54731863" w14:textId="2353FA6E" w:rsidR="00E55950" w:rsidRPr="00BD6C5F" w:rsidRDefault="00E55950" w:rsidP="00E55950">
            <w:pPr>
              <w:pStyle w:val="Tabletext"/>
            </w:pPr>
            <w:r>
              <w:rPr>
                <w:rFonts w:eastAsia="Arial" w:cs="Arial"/>
                <w:color w:val="000000"/>
              </w:rPr>
              <w:t>Notified Key Subcontractors</w:t>
            </w:r>
          </w:p>
        </w:tc>
        <w:tc>
          <w:tcPr>
            <w:tcW w:w="2002" w:type="dxa"/>
          </w:tcPr>
          <w:p w14:paraId="5E7B8181" w14:textId="20F9F559" w:rsidR="00E55950" w:rsidRPr="00BD6C5F" w:rsidRDefault="00E55950" w:rsidP="00E55950">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Schedule_10 \h </w:instrText>
            </w:r>
            <w:r w:rsidR="00C65E65">
              <w:rPr>
                <w:rFonts w:eastAsia="Arial" w:cs="Arial"/>
                <w:color w:val="000000"/>
              </w:rPr>
            </w:r>
            <w:r w:rsidR="00C65E65">
              <w:rPr>
                <w:rFonts w:eastAsia="Arial" w:cs="Arial"/>
                <w:color w:val="000000"/>
              </w:rPr>
              <w:fldChar w:fldCharType="separate"/>
            </w:r>
            <w:r w:rsidR="009749A0">
              <w:t>10</w:t>
            </w:r>
            <w:r w:rsidR="00C65E65">
              <w:rPr>
                <w:rFonts w:eastAsia="Arial" w:cs="Arial"/>
                <w:color w:val="000000"/>
              </w:rPr>
              <w:fldChar w:fldCharType="end"/>
            </w:r>
          </w:p>
        </w:tc>
        <w:tc>
          <w:tcPr>
            <w:tcW w:w="2667" w:type="dxa"/>
          </w:tcPr>
          <w:p w14:paraId="43240F26" w14:textId="1057A7A4" w:rsidR="00E55950" w:rsidRPr="00BD6C5F" w:rsidRDefault="00E55950" w:rsidP="00E55950">
            <w:pPr>
              <w:pStyle w:val="Tabletext"/>
            </w:pPr>
            <w:r>
              <w:rPr>
                <w:rFonts w:eastAsia="Arial" w:cs="Arial"/>
                <w:color w:val="000000"/>
              </w:rPr>
              <w:t xml:space="preserve">Effective Date </w:t>
            </w:r>
          </w:p>
        </w:tc>
        <w:tc>
          <w:tcPr>
            <w:tcW w:w="2721" w:type="dxa"/>
          </w:tcPr>
          <w:p w14:paraId="5966041D" w14:textId="0DC6FF78" w:rsidR="00E55950" w:rsidRPr="00BD6C5F" w:rsidRDefault="00E55950" w:rsidP="00E55950">
            <w:pPr>
              <w:pStyle w:val="Tabletext"/>
            </w:pPr>
            <w:r>
              <w:rPr>
                <w:rFonts w:eastAsia="Arial" w:cs="Arial"/>
                <w:color w:val="000000"/>
              </w:rPr>
              <w:t>On replacement of key subcontractor</w:t>
            </w:r>
          </w:p>
        </w:tc>
        <w:tc>
          <w:tcPr>
            <w:tcW w:w="2438" w:type="dxa"/>
          </w:tcPr>
          <w:p w14:paraId="39B8A82C" w14:textId="26435D9C" w:rsidR="00E55950" w:rsidRPr="00BD6C5F" w:rsidRDefault="00E55950" w:rsidP="00E55950">
            <w:pPr>
              <w:pStyle w:val="Tabletext"/>
            </w:pPr>
            <w:r>
              <w:rPr>
                <w:rFonts w:eastAsia="Arial" w:cs="Arial"/>
                <w:color w:val="000000"/>
              </w:rPr>
              <w:t>Authority</w:t>
            </w:r>
          </w:p>
        </w:tc>
      </w:tr>
      <w:tr w:rsidR="00E55950" w:rsidRPr="00BD6C5F" w14:paraId="336BD944" w14:textId="77777777" w:rsidTr="00D51340">
        <w:tc>
          <w:tcPr>
            <w:tcW w:w="2381" w:type="dxa"/>
          </w:tcPr>
          <w:p w14:paraId="100834DB" w14:textId="016AFA4D" w:rsidR="00E55950" w:rsidRPr="00BD6C5F" w:rsidRDefault="00E55950" w:rsidP="00E55950">
            <w:pPr>
              <w:pStyle w:val="Tabletext"/>
            </w:pPr>
            <w:r>
              <w:rPr>
                <w:rFonts w:eastAsia="Arial" w:cs="Arial"/>
                <w:color w:val="000000"/>
              </w:rPr>
              <w:lastRenderedPageBreak/>
              <w:t>Cl 15.6 and 15.7</w:t>
            </w:r>
          </w:p>
        </w:tc>
        <w:tc>
          <w:tcPr>
            <w:tcW w:w="2967" w:type="dxa"/>
          </w:tcPr>
          <w:p w14:paraId="25E07D1E" w14:textId="0010FA2C" w:rsidR="00E55950" w:rsidRPr="00BD6C5F" w:rsidRDefault="00E55950" w:rsidP="00E55950">
            <w:pPr>
              <w:pStyle w:val="Tabletext"/>
            </w:pPr>
            <w:r>
              <w:rPr>
                <w:rFonts w:eastAsia="Arial" w:cs="Arial"/>
                <w:color w:val="000000"/>
              </w:rPr>
              <w:t xml:space="preserve">Notified Key Sub-Contractors </w:t>
            </w:r>
          </w:p>
        </w:tc>
        <w:tc>
          <w:tcPr>
            <w:tcW w:w="2002" w:type="dxa"/>
          </w:tcPr>
          <w:p w14:paraId="302CAD49" w14:textId="107E1FFD" w:rsidR="00E55950" w:rsidRPr="00BD6C5F" w:rsidRDefault="00E55950" w:rsidP="00E55950">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Schedule_10 \h </w:instrText>
            </w:r>
            <w:r w:rsidR="00C65E65">
              <w:rPr>
                <w:rFonts w:eastAsia="Arial" w:cs="Arial"/>
                <w:color w:val="000000"/>
              </w:rPr>
            </w:r>
            <w:r w:rsidR="00C65E65">
              <w:rPr>
                <w:rFonts w:eastAsia="Arial" w:cs="Arial"/>
                <w:color w:val="000000"/>
              </w:rPr>
              <w:fldChar w:fldCharType="separate"/>
            </w:r>
            <w:r w:rsidR="009749A0">
              <w:t>10</w:t>
            </w:r>
            <w:r w:rsidR="00C65E65">
              <w:rPr>
                <w:rFonts w:eastAsia="Arial" w:cs="Arial"/>
                <w:color w:val="000000"/>
              </w:rPr>
              <w:fldChar w:fldCharType="end"/>
            </w:r>
          </w:p>
        </w:tc>
        <w:tc>
          <w:tcPr>
            <w:tcW w:w="2667" w:type="dxa"/>
          </w:tcPr>
          <w:p w14:paraId="3D0084A3" w14:textId="6B5127B7" w:rsidR="00E55950" w:rsidRPr="00BD6C5F" w:rsidRDefault="00E55950" w:rsidP="00E55950">
            <w:pPr>
              <w:pStyle w:val="Tabletext"/>
            </w:pPr>
            <w:r>
              <w:rPr>
                <w:rFonts w:eastAsia="Arial" w:cs="Arial"/>
                <w:color w:val="000000"/>
              </w:rPr>
              <w:t>Effective Date</w:t>
            </w:r>
          </w:p>
        </w:tc>
        <w:tc>
          <w:tcPr>
            <w:tcW w:w="2721" w:type="dxa"/>
          </w:tcPr>
          <w:p w14:paraId="57ED471E" w14:textId="236D8E95" w:rsidR="00E55950" w:rsidRPr="00BD6C5F" w:rsidRDefault="00E55950" w:rsidP="00E55950">
            <w:pPr>
              <w:pStyle w:val="Tabletext"/>
            </w:pPr>
            <w:r>
              <w:rPr>
                <w:rFonts w:eastAsia="Arial" w:cs="Arial"/>
                <w:color w:val="000000"/>
              </w:rPr>
              <w:t>With each approved appointment or variation</w:t>
            </w:r>
          </w:p>
        </w:tc>
        <w:tc>
          <w:tcPr>
            <w:tcW w:w="2438" w:type="dxa"/>
          </w:tcPr>
          <w:p w14:paraId="44CE24F0" w14:textId="3D03A5FF" w:rsidR="00E55950" w:rsidRPr="00BD6C5F" w:rsidRDefault="00E55950" w:rsidP="00E55950">
            <w:pPr>
              <w:pStyle w:val="Tabletext"/>
            </w:pPr>
            <w:r>
              <w:rPr>
                <w:rFonts w:eastAsia="Arial" w:cs="Arial"/>
                <w:color w:val="000000"/>
              </w:rPr>
              <w:t>Authority</w:t>
            </w:r>
          </w:p>
        </w:tc>
      </w:tr>
      <w:tr w:rsidR="00E55950" w:rsidRPr="00BD6C5F" w14:paraId="6A13D39C" w14:textId="77777777" w:rsidTr="00D51340">
        <w:tc>
          <w:tcPr>
            <w:tcW w:w="2381" w:type="dxa"/>
          </w:tcPr>
          <w:p w14:paraId="775A130D" w14:textId="5004067F" w:rsidR="00E55950" w:rsidRPr="00BD6C5F" w:rsidRDefault="00E55950" w:rsidP="00E55950">
            <w:pPr>
              <w:pStyle w:val="Tabletext"/>
            </w:pPr>
            <w:r>
              <w:rPr>
                <w:rFonts w:eastAsia="Arial" w:cs="Arial"/>
                <w:color w:val="000000"/>
              </w:rPr>
              <w:t>Cl 15.28</w:t>
            </w:r>
          </w:p>
        </w:tc>
        <w:tc>
          <w:tcPr>
            <w:tcW w:w="2967" w:type="dxa"/>
          </w:tcPr>
          <w:p w14:paraId="5599C7A4" w14:textId="457A0E54" w:rsidR="00E55950" w:rsidRPr="00BD6C5F" w:rsidRDefault="00E55950" w:rsidP="00E55950">
            <w:pPr>
              <w:pStyle w:val="Tabletext"/>
            </w:pPr>
            <w:r>
              <w:rPr>
                <w:rFonts w:eastAsia="Arial" w:cs="Arial"/>
                <w:color w:val="000000"/>
              </w:rPr>
              <w:t>Supply chain Transparency Reports</w:t>
            </w:r>
          </w:p>
        </w:tc>
        <w:tc>
          <w:tcPr>
            <w:tcW w:w="2002" w:type="dxa"/>
          </w:tcPr>
          <w:p w14:paraId="078CCA67" w14:textId="019CF14D" w:rsidR="00E55950" w:rsidRPr="00BD6C5F" w:rsidRDefault="00E55950" w:rsidP="00E55950">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Schedule_24 \h </w:instrText>
            </w:r>
            <w:r w:rsidR="00C65E65">
              <w:rPr>
                <w:rFonts w:eastAsia="Arial" w:cs="Arial"/>
                <w:color w:val="000000"/>
              </w:rPr>
            </w:r>
            <w:r w:rsidR="00C65E65">
              <w:rPr>
                <w:rFonts w:eastAsia="Arial" w:cs="Arial"/>
                <w:color w:val="000000"/>
              </w:rPr>
              <w:fldChar w:fldCharType="separate"/>
            </w:r>
            <w:r w:rsidR="009749A0">
              <w:t>24</w:t>
            </w:r>
            <w:r w:rsidR="00C65E65">
              <w:rPr>
                <w:rFonts w:eastAsia="Arial" w:cs="Arial"/>
                <w:color w:val="000000"/>
              </w:rPr>
              <w:fldChar w:fldCharType="end"/>
            </w:r>
            <w:r>
              <w:rPr>
                <w:rFonts w:eastAsia="Arial" w:cs="Arial"/>
                <w:color w:val="000000"/>
              </w:rPr>
              <w:t xml:space="preserve">, Annex </w:t>
            </w:r>
            <w:r w:rsidR="00C65E65">
              <w:rPr>
                <w:rFonts w:eastAsia="Arial" w:cs="Arial"/>
                <w:color w:val="000000"/>
              </w:rPr>
              <w:fldChar w:fldCharType="begin"/>
            </w:r>
            <w:r w:rsidR="00C65E65">
              <w:rPr>
                <w:rFonts w:eastAsia="Arial" w:cs="Arial"/>
                <w:color w:val="000000"/>
              </w:rPr>
              <w:instrText xml:space="preserve"> REF Schedule_24_Annex_4 \h </w:instrText>
            </w:r>
            <w:r w:rsidR="00C65E65">
              <w:rPr>
                <w:rFonts w:eastAsia="Arial" w:cs="Arial"/>
                <w:color w:val="000000"/>
              </w:rPr>
            </w:r>
            <w:r w:rsidR="00C65E65">
              <w:rPr>
                <w:rFonts w:eastAsia="Arial" w:cs="Arial"/>
                <w:color w:val="000000"/>
              </w:rPr>
              <w:fldChar w:fldCharType="separate"/>
            </w:r>
            <w:r w:rsidR="009749A0" w:rsidRPr="00BD6C5F">
              <w:t>4</w:t>
            </w:r>
            <w:r w:rsidR="00C65E65">
              <w:rPr>
                <w:rFonts w:eastAsia="Arial" w:cs="Arial"/>
                <w:color w:val="000000"/>
              </w:rPr>
              <w:fldChar w:fldCharType="end"/>
            </w:r>
          </w:p>
        </w:tc>
        <w:tc>
          <w:tcPr>
            <w:tcW w:w="2667" w:type="dxa"/>
          </w:tcPr>
          <w:p w14:paraId="3F3D9381" w14:textId="53EF9091" w:rsidR="00E55950" w:rsidRPr="00BD6C5F" w:rsidRDefault="00E55950" w:rsidP="00E55950">
            <w:pPr>
              <w:pStyle w:val="Tabletext"/>
            </w:pPr>
            <w:r>
              <w:rPr>
                <w:rFonts w:eastAsia="Arial" w:cs="Arial"/>
                <w:color w:val="000000"/>
              </w:rPr>
              <w:t>thirty days prior to the of the end of each financial year</w:t>
            </w:r>
          </w:p>
        </w:tc>
        <w:tc>
          <w:tcPr>
            <w:tcW w:w="2721" w:type="dxa"/>
          </w:tcPr>
          <w:p w14:paraId="38509DA5" w14:textId="2889F719" w:rsidR="00E55950" w:rsidRPr="00BD6C5F" w:rsidRDefault="00E55950" w:rsidP="00E55950">
            <w:pPr>
              <w:pStyle w:val="Tabletext"/>
            </w:pPr>
            <w:r>
              <w:rPr>
                <w:rFonts w:eastAsia="Arial" w:cs="Arial"/>
                <w:color w:val="000000"/>
              </w:rPr>
              <w:t>Every twelve (12) months</w:t>
            </w:r>
          </w:p>
        </w:tc>
        <w:tc>
          <w:tcPr>
            <w:tcW w:w="2438" w:type="dxa"/>
          </w:tcPr>
          <w:p w14:paraId="07BC9E5C" w14:textId="4FD94D8D" w:rsidR="00E55950" w:rsidRPr="00BD6C5F" w:rsidRDefault="00E55950" w:rsidP="00E55950">
            <w:pPr>
              <w:pStyle w:val="Tabletext"/>
            </w:pPr>
            <w:r>
              <w:rPr>
                <w:rFonts w:eastAsia="Arial" w:cs="Arial"/>
                <w:color w:val="000000"/>
              </w:rPr>
              <w:t>Authority</w:t>
            </w:r>
          </w:p>
        </w:tc>
      </w:tr>
      <w:tr w:rsidR="00E55950" w:rsidRPr="00BD6C5F" w14:paraId="4C5D19DC" w14:textId="77777777" w:rsidTr="00D51340">
        <w:tc>
          <w:tcPr>
            <w:tcW w:w="2381" w:type="dxa"/>
          </w:tcPr>
          <w:p w14:paraId="2A45837A" w14:textId="722FF8DC" w:rsidR="00E55950" w:rsidRPr="00BD6C5F" w:rsidRDefault="00E55950" w:rsidP="00E55950">
            <w:pPr>
              <w:pStyle w:val="Tabletext"/>
            </w:pPr>
            <w:r w:rsidRPr="00BD6C5F">
              <w:t xml:space="preserve">Sch </w:t>
            </w:r>
            <w:r>
              <w:fldChar w:fldCharType="begin"/>
            </w:r>
            <w:r>
              <w:instrText xml:space="preserve"> REF Schedule_3 \h </w:instrText>
            </w:r>
            <w:r>
              <w:fldChar w:fldCharType="separate"/>
            </w:r>
            <w:r w:rsidR="009749A0">
              <w:t>3</w:t>
            </w:r>
            <w:r>
              <w:fldChar w:fldCharType="end"/>
            </w:r>
            <w:r w:rsidRPr="00BD6C5F">
              <w:t xml:space="preserve">, Part </w:t>
            </w:r>
            <w:r>
              <w:fldChar w:fldCharType="begin"/>
            </w:r>
            <w:r>
              <w:instrText xml:space="preserve"> REF Schedule_3_Part_B \h </w:instrText>
            </w:r>
            <w:r>
              <w:fldChar w:fldCharType="separate"/>
            </w:r>
            <w:r w:rsidR="009749A0" w:rsidRPr="00BD6C5F">
              <w:t>B</w:t>
            </w:r>
            <w:r>
              <w:fldChar w:fldCharType="end"/>
            </w:r>
            <w:r w:rsidRPr="00BD6C5F">
              <w:t xml:space="preserve"> Para </w:t>
            </w:r>
            <w:r>
              <w:fldChar w:fldCharType="begin"/>
            </w:r>
            <w:r>
              <w:instrText xml:space="preserve"> REF _Ref141214951 \w \h </w:instrText>
            </w:r>
            <w:r>
              <w:fldChar w:fldCharType="separate"/>
            </w:r>
            <w:r w:rsidR="009749A0">
              <w:t>2.3</w:t>
            </w:r>
            <w:r>
              <w:fldChar w:fldCharType="end"/>
            </w:r>
          </w:p>
        </w:tc>
        <w:tc>
          <w:tcPr>
            <w:tcW w:w="2967" w:type="dxa"/>
          </w:tcPr>
          <w:p w14:paraId="47D19EB6" w14:textId="77777777" w:rsidR="00E55950" w:rsidRPr="00BD6C5F" w:rsidRDefault="00E55950" w:rsidP="00E55950">
            <w:pPr>
              <w:pStyle w:val="Tabletext"/>
            </w:pPr>
            <w:r w:rsidRPr="00BD6C5F">
              <w:t>Performance Monitoring Report and the Balanced Scorecard Report</w:t>
            </w:r>
          </w:p>
        </w:tc>
        <w:tc>
          <w:tcPr>
            <w:tcW w:w="2002" w:type="dxa"/>
          </w:tcPr>
          <w:p w14:paraId="4FC27938" w14:textId="633ED369" w:rsidR="00E55950" w:rsidRPr="00BD6C5F" w:rsidRDefault="00E55950" w:rsidP="00E55950">
            <w:pPr>
              <w:pStyle w:val="Tabletext"/>
            </w:pPr>
            <w:r w:rsidRPr="00BD6C5F">
              <w:t xml:space="preserve">Sch </w:t>
            </w:r>
            <w:r>
              <w:fldChar w:fldCharType="begin"/>
            </w:r>
            <w:r>
              <w:instrText xml:space="preserve"> REF Schedule_3 \h </w:instrText>
            </w:r>
            <w:r>
              <w:fldChar w:fldCharType="separate"/>
            </w:r>
            <w:r w:rsidR="009749A0">
              <w:t>3</w:t>
            </w:r>
            <w:r>
              <w:fldChar w:fldCharType="end"/>
            </w:r>
            <w:r w:rsidRPr="00BD6C5F">
              <w:t xml:space="preserve">, Part </w:t>
            </w:r>
            <w:r>
              <w:fldChar w:fldCharType="begin"/>
            </w:r>
            <w:r>
              <w:instrText xml:space="preserve"> REF Schedule_3_Part_B \h </w:instrText>
            </w:r>
            <w:r>
              <w:fldChar w:fldCharType="separate"/>
            </w:r>
            <w:r w:rsidR="009749A0" w:rsidRPr="00BD6C5F">
              <w:t>B</w:t>
            </w:r>
            <w:r>
              <w:fldChar w:fldCharType="end"/>
            </w:r>
          </w:p>
        </w:tc>
        <w:tc>
          <w:tcPr>
            <w:tcW w:w="2667" w:type="dxa"/>
          </w:tcPr>
          <w:p w14:paraId="72B12FA9" w14:textId="77777777" w:rsidR="00E55950" w:rsidRPr="00BD6C5F" w:rsidRDefault="00E55950" w:rsidP="00E55950">
            <w:pPr>
              <w:pStyle w:val="Tabletext"/>
            </w:pPr>
            <w:r w:rsidRPr="00BD6C5F">
              <w:t>Service Commencement</w:t>
            </w:r>
          </w:p>
        </w:tc>
        <w:tc>
          <w:tcPr>
            <w:tcW w:w="2721" w:type="dxa"/>
          </w:tcPr>
          <w:p w14:paraId="127E49D4" w14:textId="77777777" w:rsidR="00E55950" w:rsidRPr="00BD6C5F" w:rsidRDefault="00E55950" w:rsidP="00E55950">
            <w:pPr>
              <w:pStyle w:val="Tabletext"/>
            </w:pPr>
            <w:r w:rsidRPr="00BD6C5F">
              <w:t>Within 10 Working Days of the end of each Service Period</w:t>
            </w:r>
          </w:p>
        </w:tc>
        <w:tc>
          <w:tcPr>
            <w:tcW w:w="2438" w:type="dxa"/>
          </w:tcPr>
          <w:p w14:paraId="11E2FEFE" w14:textId="77777777" w:rsidR="00E55950" w:rsidRPr="00BD6C5F" w:rsidRDefault="00E55950" w:rsidP="00E55950">
            <w:pPr>
              <w:pStyle w:val="Tabletext"/>
            </w:pPr>
            <w:r w:rsidRPr="00BD6C5F">
              <w:t>Authority</w:t>
            </w:r>
          </w:p>
        </w:tc>
      </w:tr>
      <w:tr w:rsidR="00B3078B" w:rsidRPr="00BD6C5F" w14:paraId="4FB8197E" w14:textId="77777777" w:rsidTr="00D51340">
        <w:tc>
          <w:tcPr>
            <w:tcW w:w="2381" w:type="dxa"/>
          </w:tcPr>
          <w:p w14:paraId="7AAC05FC" w14:textId="1FC147FB" w:rsidR="00B3078B" w:rsidRPr="00BD6C5F" w:rsidRDefault="00B3078B" w:rsidP="00B3078B">
            <w:pPr>
              <w:pStyle w:val="Tabletext"/>
            </w:pPr>
            <w:r>
              <w:rPr>
                <w:rFonts w:eastAsia="Arial" w:cs="Arial"/>
                <w:color w:val="000000"/>
              </w:rPr>
              <w:t xml:space="preserve">Sch </w:t>
            </w:r>
            <w:r w:rsidR="00D85DC1">
              <w:rPr>
                <w:rFonts w:eastAsia="Arial" w:cs="Arial"/>
                <w:color w:val="000000"/>
              </w:rPr>
              <w:fldChar w:fldCharType="begin"/>
            </w:r>
            <w:r w:rsidR="00D85DC1">
              <w:rPr>
                <w:rFonts w:eastAsia="Arial" w:cs="Arial"/>
                <w:color w:val="000000"/>
              </w:rPr>
              <w:instrText xml:space="preserve"> REF Schedule_4 \h </w:instrText>
            </w:r>
            <w:r w:rsidR="00D85DC1">
              <w:rPr>
                <w:rFonts w:eastAsia="Arial" w:cs="Arial"/>
                <w:color w:val="000000"/>
              </w:rPr>
            </w:r>
            <w:r w:rsidR="00D85DC1">
              <w:rPr>
                <w:rFonts w:eastAsia="Arial" w:cs="Arial"/>
                <w:color w:val="000000"/>
              </w:rPr>
              <w:fldChar w:fldCharType="separate"/>
            </w:r>
            <w:r w:rsidR="009749A0">
              <w:t>4</w:t>
            </w:r>
            <w:r w:rsidR="00D85DC1">
              <w:rPr>
                <w:rFonts w:eastAsia="Arial" w:cs="Arial"/>
                <w:color w:val="000000"/>
              </w:rPr>
              <w:fldChar w:fldCharType="end"/>
            </w:r>
            <w:r>
              <w:rPr>
                <w:rFonts w:eastAsia="Arial" w:cs="Arial"/>
                <w:color w:val="000000"/>
              </w:rPr>
              <w:t xml:space="preserve">, Annex </w:t>
            </w:r>
            <w:r w:rsidR="00D85DC1">
              <w:rPr>
                <w:rFonts w:eastAsia="Arial" w:cs="Arial"/>
                <w:color w:val="000000"/>
              </w:rPr>
              <w:fldChar w:fldCharType="begin"/>
            </w:r>
            <w:r w:rsidR="00D85DC1">
              <w:rPr>
                <w:rFonts w:eastAsia="Arial" w:cs="Arial"/>
                <w:color w:val="000000"/>
              </w:rPr>
              <w:instrText xml:space="preserve"> REF Schedule_4_Annex_1 \h </w:instrText>
            </w:r>
            <w:r w:rsidR="00D85DC1">
              <w:rPr>
                <w:rFonts w:eastAsia="Arial" w:cs="Arial"/>
                <w:color w:val="000000"/>
              </w:rPr>
            </w:r>
            <w:r w:rsidR="00D85DC1">
              <w:rPr>
                <w:rFonts w:eastAsia="Arial" w:cs="Arial"/>
                <w:color w:val="000000"/>
              </w:rPr>
              <w:fldChar w:fldCharType="separate"/>
            </w:r>
            <w:r w:rsidR="009749A0" w:rsidRPr="00BD6C5F">
              <w:t>1</w:t>
            </w:r>
            <w:r w:rsidR="00D85DC1">
              <w:rPr>
                <w:rFonts w:eastAsia="Arial" w:cs="Arial"/>
                <w:color w:val="000000"/>
              </w:rPr>
              <w:fldChar w:fldCharType="end"/>
            </w:r>
            <w:r>
              <w:rPr>
                <w:rFonts w:eastAsia="Arial" w:cs="Arial"/>
                <w:color w:val="000000"/>
              </w:rPr>
              <w:t xml:space="preserve">,  Para </w:t>
            </w:r>
            <w:r w:rsidR="00403B1C">
              <w:rPr>
                <w:rFonts w:eastAsia="Arial" w:cs="Arial"/>
                <w:color w:val="000000"/>
              </w:rPr>
              <w:fldChar w:fldCharType="begin"/>
            </w:r>
            <w:r w:rsidR="00403B1C">
              <w:rPr>
                <w:rFonts w:eastAsia="Arial" w:cs="Arial"/>
                <w:color w:val="000000"/>
              </w:rPr>
              <w:instrText xml:space="preserve"> REF _Ref98357776 \w \h </w:instrText>
            </w:r>
            <w:r w:rsidR="00403B1C">
              <w:rPr>
                <w:rFonts w:eastAsia="Arial" w:cs="Arial"/>
                <w:color w:val="000000"/>
              </w:rPr>
            </w:r>
            <w:r w:rsidR="00403B1C">
              <w:rPr>
                <w:rFonts w:eastAsia="Arial" w:cs="Arial"/>
                <w:color w:val="000000"/>
              </w:rPr>
              <w:fldChar w:fldCharType="separate"/>
            </w:r>
            <w:r w:rsidR="009749A0">
              <w:rPr>
                <w:rFonts w:eastAsia="Arial" w:cs="Arial"/>
                <w:color w:val="000000"/>
              </w:rPr>
              <w:t>4</w:t>
            </w:r>
            <w:r w:rsidR="00403B1C">
              <w:rPr>
                <w:rFonts w:eastAsia="Arial" w:cs="Arial"/>
                <w:color w:val="000000"/>
              </w:rPr>
              <w:fldChar w:fldCharType="end"/>
            </w:r>
          </w:p>
        </w:tc>
        <w:tc>
          <w:tcPr>
            <w:tcW w:w="2967" w:type="dxa"/>
          </w:tcPr>
          <w:p w14:paraId="346E920E" w14:textId="64F71136" w:rsidR="00B3078B" w:rsidRPr="00BD6C5F" w:rsidRDefault="00B3078B" w:rsidP="00B3078B">
            <w:pPr>
              <w:pStyle w:val="Tabletext"/>
            </w:pPr>
            <w:r>
              <w:rPr>
                <w:rFonts w:eastAsia="Arial" w:cs="Arial"/>
                <w:color w:val="000000"/>
              </w:rPr>
              <w:t>Evidence of compliance with sustainability requirements</w:t>
            </w:r>
          </w:p>
        </w:tc>
        <w:tc>
          <w:tcPr>
            <w:tcW w:w="2002" w:type="dxa"/>
          </w:tcPr>
          <w:p w14:paraId="10E5E028" w14:textId="755C2712" w:rsidR="00B3078B" w:rsidRPr="00BD6C5F" w:rsidRDefault="00B3078B" w:rsidP="00B3078B">
            <w:pPr>
              <w:pStyle w:val="Tabletext"/>
            </w:pPr>
            <w:r>
              <w:rPr>
                <w:rFonts w:eastAsia="Arial" w:cs="Arial"/>
                <w:color w:val="000000"/>
              </w:rPr>
              <w:t>-</w:t>
            </w:r>
          </w:p>
        </w:tc>
        <w:tc>
          <w:tcPr>
            <w:tcW w:w="2667" w:type="dxa"/>
          </w:tcPr>
          <w:p w14:paraId="5DD5136E" w14:textId="6B53D14D" w:rsidR="00B3078B" w:rsidRPr="00BD6C5F" w:rsidRDefault="00B3078B" w:rsidP="00B3078B">
            <w:pPr>
              <w:pStyle w:val="Tabletext"/>
            </w:pPr>
            <w:r>
              <w:rPr>
                <w:rFonts w:eastAsia="Arial" w:cs="Arial"/>
                <w:color w:val="000000"/>
              </w:rPr>
              <w:t>On reasonable request  by Authority, provided that such requests are limited to [2] per Contract Year</w:t>
            </w:r>
          </w:p>
        </w:tc>
        <w:tc>
          <w:tcPr>
            <w:tcW w:w="2721" w:type="dxa"/>
          </w:tcPr>
          <w:p w14:paraId="525745F1" w14:textId="0991693E" w:rsidR="00B3078B" w:rsidRPr="00BD6C5F" w:rsidRDefault="00B3078B" w:rsidP="00B3078B">
            <w:pPr>
              <w:pStyle w:val="Tabletext"/>
            </w:pPr>
            <w:r>
              <w:rPr>
                <w:rFonts w:eastAsia="Arial" w:cs="Arial"/>
                <w:color w:val="000000"/>
              </w:rPr>
              <w:t>On reasonable request  by Authority, provided that such requests are limited to [2] per Contract Year</w:t>
            </w:r>
          </w:p>
        </w:tc>
        <w:tc>
          <w:tcPr>
            <w:tcW w:w="2438" w:type="dxa"/>
          </w:tcPr>
          <w:p w14:paraId="7923065D" w14:textId="2A7F2327" w:rsidR="00B3078B" w:rsidRPr="00BD6C5F" w:rsidRDefault="00B3078B" w:rsidP="00B3078B">
            <w:pPr>
              <w:pStyle w:val="Tabletext"/>
            </w:pPr>
            <w:r>
              <w:rPr>
                <w:rFonts w:eastAsia="Arial" w:cs="Arial"/>
                <w:color w:val="000000"/>
              </w:rPr>
              <w:t>Authority</w:t>
            </w:r>
          </w:p>
        </w:tc>
      </w:tr>
      <w:tr w:rsidR="00B3078B" w:rsidRPr="00BD6C5F" w14:paraId="1C33EEEE" w14:textId="77777777" w:rsidTr="00D51340">
        <w:tc>
          <w:tcPr>
            <w:tcW w:w="2381" w:type="dxa"/>
          </w:tcPr>
          <w:p w14:paraId="64B6CC6A" w14:textId="65DDA5DE" w:rsidR="00B3078B" w:rsidRPr="00BD6C5F" w:rsidRDefault="00B3078B" w:rsidP="00B3078B">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Schedule_4 \h </w:instrText>
            </w:r>
            <w:r w:rsidR="00C65E65">
              <w:rPr>
                <w:rFonts w:eastAsia="Arial" w:cs="Arial"/>
                <w:color w:val="000000"/>
              </w:rPr>
            </w:r>
            <w:r w:rsidR="00C65E65">
              <w:rPr>
                <w:rFonts w:eastAsia="Arial" w:cs="Arial"/>
                <w:color w:val="000000"/>
              </w:rPr>
              <w:fldChar w:fldCharType="separate"/>
            </w:r>
            <w:r w:rsidR="009749A0">
              <w:t>4</w:t>
            </w:r>
            <w:r w:rsidR="00C65E65">
              <w:rPr>
                <w:rFonts w:eastAsia="Arial" w:cs="Arial"/>
                <w:color w:val="000000"/>
              </w:rPr>
              <w:fldChar w:fldCharType="end"/>
            </w:r>
            <w:r>
              <w:rPr>
                <w:rFonts w:eastAsia="Arial" w:cs="Arial"/>
                <w:color w:val="000000"/>
              </w:rPr>
              <w:t xml:space="preserve">, Annex </w:t>
            </w:r>
            <w:r w:rsidR="00D85DC1">
              <w:rPr>
                <w:rFonts w:eastAsia="Arial" w:cs="Arial"/>
                <w:color w:val="000000"/>
              </w:rPr>
              <w:fldChar w:fldCharType="begin"/>
            </w:r>
            <w:r w:rsidR="00D85DC1">
              <w:rPr>
                <w:rFonts w:eastAsia="Arial" w:cs="Arial"/>
                <w:color w:val="000000"/>
              </w:rPr>
              <w:instrText xml:space="preserve"> REF Schedule_4_Annex_1 \h </w:instrText>
            </w:r>
            <w:r w:rsidR="00D85DC1">
              <w:rPr>
                <w:rFonts w:eastAsia="Arial" w:cs="Arial"/>
                <w:color w:val="000000"/>
              </w:rPr>
            </w:r>
            <w:r w:rsidR="00D85DC1">
              <w:rPr>
                <w:rFonts w:eastAsia="Arial" w:cs="Arial"/>
                <w:color w:val="000000"/>
              </w:rPr>
              <w:fldChar w:fldCharType="separate"/>
            </w:r>
            <w:r w:rsidR="009749A0" w:rsidRPr="00BD6C5F">
              <w:t>1</w:t>
            </w:r>
            <w:r w:rsidR="00D85DC1">
              <w:rPr>
                <w:rFonts w:eastAsia="Arial" w:cs="Arial"/>
                <w:color w:val="000000"/>
              </w:rPr>
              <w:fldChar w:fldCharType="end"/>
            </w:r>
            <w:r>
              <w:rPr>
                <w:rFonts w:eastAsia="Arial" w:cs="Arial"/>
                <w:color w:val="000000"/>
              </w:rPr>
              <w:t xml:space="preserve">,  Para </w:t>
            </w:r>
            <w:r w:rsidR="00403B1C">
              <w:rPr>
                <w:rFonts w:eastAsia="Arial" w:cs="Arial"/>
                <w:color w:val="000000"/>
              </w:rPr>
              <w:fldChar w:fldCharType="begin"/>
            </w:r>
            <w:r w:rsidR="00403B1C">
              <w:rPr>
                <w:rFonts w:eastAsia="Arial" w:cs="Arial"/>
                <w:color w:val="000000"/>
              </w:rPr>
              <w:instrText xml:space="preserve"> REF _Ref98357776 \w \h </w:instrText>
            </w:r>
            <w:r w:rsidR="00403B1C">
              <w:rPr>
                <w:rFonts w:eastAsia="Arial" w:cs="Arial"/>
                <w:color w:val="000000"/>
              </w:rPr>
            </w:r>
            <w:r w:rsidR="00403B1C">
              <w:rPr>
                <w:rFonts w:eastAsia="Arial" w:cs="Arial"/>
                <w:color w:val="000000"/>
              </w:rPr>
              <w:fldChar w:fldCharType="separate"/>
            </w:r>
            <w:r w:rsidR="009749A0">
              <w:rPr>
                <w:rFonts w:eastAsia="Arial" w:cs="Arial"/>
                <w:color w:val="000000"/>
              </w:rPr>
              <w:t>4</w:t>
            </w:r>
            <w:r w:rsidR="00403B1C">
              <w:rPr>
                <w:rFonts w:eastAsia="Arial" w:cs="Arial"/>
                <w:color w:val="000000"/>
              </w:rPr>
              <w:fldChar w:fldCharType="end"/>
            </w:r>
          </w:p>
        </w:tc>
        <w:tc>
          <w:tcPr>
            <w:tcW w:w="2967" w:type="dxa"/>
          </w:tcPr>
          <w:p w14:paraId="53CCEFF3" w14:textId="0A0ADBA9" w:rsidR="00B3078B" w:rsidRPr="00BD6C5F" w:rsidRDefault="00B3078B" w:rsidP="00B3078B">
            <w:pPr>
              <w:pStyle w:val="Tabletext"/>
            </w:pPr>
            <w:r>
              <w:rPr>
                <w:rFonts w:eastAsia="Arial" w:cs="Arial"/>
                <w:color w:val="000000"/>
              </w:rPr>
              <w:t>Sustainability Report</w:t>
            </w:r>
          </w:p>
        </w:tc>
        <w:tc>
          <w:tcPr>
            <w:tcW w:w="2002" w:type="dxa"/>
          </w:tcPr>
          <w:p w14:paraId="781E1743" w14:textId="2B58DB90" w:rsidR="00B3078B" w:rsidRPr="00BD6C5F" w:rsidRDefault="00B3078B" w:rsidP="00B3078B">
            <w:pPr>
              <w:pStyle w:val="Tabletext"/>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Schedule_4 \h </w:instrText>
            </w:r>
            <w:r w:rsidR="00C65E65">
              <w:rPr>
                <w:rFonts w:eastAsia="Arial" w:cs="Arial"/>
                <w:color w:val="000000"/>
              </w:rPr>
            </w:r>
            <w:r w:rsidR="00C65E65">
              <w:rPr>
                <w:rFonts w:eastAsia="Arial" w:cs="Arial"/>
                <w:color w:val="000000"/>
              </w:rPr>
              <w:fldChar w:fldCharType="separate"/>
            </w:r>
            <w:r w:rsidR="009749A0">
              <w:t>4</w:t>
            </w:r>
            <w:r w:rsidR="00C65E65">
              <w:rPr>
                <w:rFonts w:eastAsia="Arial" w:cs="Arial"/>
                <w:color w:val="000000"/>
              </w:rPr>
              <w:fldChar w:fldCharType="end"/>
            </w:r>
            <w:r>
              <w:rPr>
                <w:rFonts w:eastAsia="Arial" w:cs="Arial"/>
                <w:color w:val="000000"/>
              </w:rPr>
              <w:t xml:space="preserve">, Annex </w:t>
            </w:r>
            <w:r w:rsidR="00C65E65">
              <w:rPr>
                <w:rFonts w:eastAsia="Arial" w:cs="Arial"/>
                <w:color w:val="000000"/>
              </w:rPr>
              <w:fldChar w:fldCharType="begin"/>
            </w:r>
            <w:r w:rsidR="00C65E65">
              <w:rPr>
                <w:rFonts w:eastAsia="Arial" w:cs="Arial"/>
                <w:color w:val="000000"/>
              </w:rPr>
              <w:instrText xml:space="preserve"> REF Schedule_4_Annex_1 \h </w:instrText>
            </w:r>
            <w:r w:rsidR="00C65E65">
              <w:rPr>
                <w:rFonts w:eastAsia="Arial" w:cs="Arial"/>
                <w:color w:val="000000"/>
              </w:rPr>
            </w:r>
            <w:r w:rsidR="00C65E65">
              <w:rPr>
                <w:rFonts w:eastAsia="Arial" w:cs="Arial"/>
                <w:color w:val="000000"/>
              </w:rPr>
              <w:fldChar w:fldCharType="separate"/>
            </w:r>
            <w:r w:rsidR="009749A0" w:rsidRPr="00BD6C5F">
              <w:t>1</w:t>
            </w:r>
            <w:r w:rsidR="00C65E65">
              <w:rPr>
                <w:rFonts w:eastAsia="Arial" w:cs="Arial"/>
                <w:color w:val="000000"/>
              </w:rPr>
              <w:fldChar w:fldCharType="end"/>
            </w:r>
            <w:r>
              <w:rPr>
                <w:rFonts w:eastAsia="Arial" w:cs="Arial"/>
                <w:color w:val="000000"/>
              </w:rPr>
              <w:t>, Table C</w:t>
            </w:r>
          </w:p>
        </w:tc>
        <w:tc>
          <w:tcPr>
            <w:tcW w:w="2667" w:type="dxa"/>
          </w:tcPr>
          <w:p w14:paraId="356F6B50" w14:textId="6676906F" w:rsidR="00B3078B" w:rsidRPr="00BD6C5F" w:rsidRDefault="00B3078B" w:rsidP="00B3078B">
            <w:pPr>
              <w:pStyle w:val="Tabletext"/>
            </w:pPr>
            <w:r>
              <w:rPr>
                <w:rFonts w:eastAsia="Arial" w:cs="Arial"/>
                <w:color w:val="000000"/>
              </w:rPr>
              <w:t>As set out in Table C</w:t>
            </w:r>
          </w:p>
        </w:tc>
        <w:tc>
          <w:tcPr>
            <w:tcW w:w="2721" w:type="dxa"/>
          </w:tcPr>
          <w:p w14:paraId="0E74AD37" w14:textId="6D8FE1D1" w:rsidR="00B3078B" w:rsidRPr="00BD6C5F" w:rsidRDefault="00B3078B" w:rsidP="00B3078B">
            <w:pPr>
              <w:pStyle w:val="Tabletext"/>
            </w:pPr>
            <w:r>
              <w:rPr>
                <w:rFonts w:eastAsia="Arial" w:cs="Arial"/>
                <w:color w:val="000000"/>
              </w:rPr>
              <w:t>As set out in Table C</w:t>
            </w:r>
          </w:p>
        </w:tc>
        <w:tc>
          <w:tcPr>
            <w:tcW w:w="2438" w:type="dxa"/>
          </w:tcPr>
          <w:p w14:paraId="2D25BF98" w14:textId="43D6F38E" w:rsidR="00B3078B" w:rsidRPr="00BD6C5F" w:rsidRDefault="00B3078B" w:rsidP="00B3078B">
            <w:pPr>
              <w:pStyle w:val="Tabletext"/>
            </w:pPr>
            <w:r>
              <w:rPr>
                <w:rFonts w:eastAsia="Arial" w:cs="Arial"/>
                <w:color w:val="000000"/>
              </w:rPr>
              <w:t>Authority</w:t>
            </w:r>
          </w:p>
        </w:tc>
      </w:tr>
      <w:tr w:rsidR="00D578DC" w:rsidRPr="00BD6C5F" w14:paraId="04CE5989" w14:textId="77777777" w:rsidTr="00D51340">
        <w:tc>
          <w:tcPr>
            <w:tcW w:w="2381" w:type="dxa"/>
          </w:tcPr>
          <w:p w14:paraId="413F8368" w14:textId="287659FD" w:rsidR="00D578DC" w:rsidRDefault="00D578DC" w:rsidP="00D578DC">
            <w:pPr>
              <w:pBdr>
                <w:top w:val="nil"/>
                <w:left w:val="nil"/>
                <w:bottom w:val="nil"/>
                <w:right w:val="nil"/>
                <w:between w:val="nil"/>
              </w:pBdr>
              <w:rPr>
                <w:b/>
                <w:color w:val="000000"/>
              </w:rPr>
            </w:pPr>
            <w:r>
              <w:rPr>
                <w:color w:val="000000"/>
                <w:highlight w:val="yellow"/>
              </w:rPr>
              <w:t xml:space="preserve">[If using Part </w:t>
            </w:r>
            <w:r w:rsidR="00C65E65">
              <w:rPr>
                <w:color w:val="000000"/>
                <w:highlight w:val="yellow"/>
              </w:rPr>
              <w:fldChar w:fldCharType="begin"/>
            </w:r>
            <w:r w:rsidR="00C65E65">
              <w:rPr>
                <w:color w:val="000000"/>
                <w:highlight w:val="yellow"/>
              </w:rPr>
              <w:instrText xml:space="preserve"> REF Schedule_5_Part_A \h </w:instrText>
            </w:r>
            <w:r w:rsidR="00C65E65">
              <w:rPr>
                <w:color w:val="000000"/>
                <w:highlight w:val="yellow"/>
              </w:rPr>
            </w:r>
            <w:r w:rsidR="00C65E65">
              <w:rPr>
                <w:color w:val="000000"/>
                <w:highlight w:val="yellow"/>
              </w:rPr>
              <w:fldChar w:fldCharType="separate"/>
            </w:r>
            <w:r w:rsidR="009749A0" w:rsidRPr="00BD6C5F">
              <w:t>A</w:t>
            </w:r>
            <w:r w:rsidR="00C65E65">
              <w:rPr>
                <w:color w:val="000000"/>
                <w:highlight w:val="yellow"/>
              </w:rPr>
              <w:fldChar w:fldCharType="end"/>
            </w:r>
            <w:r>
              <w:rPr>
                <w:color w:val="000000"/>
                <w:highlight w:val="yellow"/>
              </w:rPr>
              <w:t xml:space="preserve"> – Security Assurance]</w:t>
            </w:r>
          </w:p>
          <w:p w14:paraId="1956D148" w14:textId="4FA6C9FC"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Para ‎4.4</w:t>
            </w:r>
          </w:p>
        </w:tc>
        <w:tc>
          <w:tcPr>
            <w:tcW w:w="2967" w:type="dxa"/>
          </w:tcPr>
          <w:p w14:paraId="32A76563" w14:textId="06CD275B" w:rsidR="00D578DC" w:rsidRDefault="00D578DC" w:rsidP="00D578DC">
            <w:pPr>
              <w:pStyle w:val="Tabletext"/>
              <w:rPr>
                <w:rFonts w:eastAsia="Arial" w:cs="Arial"/>
                <w:color w:val="000000"/>
              </w:rPr>
            </w:pPr>
            <w:r>
              <w:rPr>
                <w:rFonts w:eastAsia="Arial" w:cs="Arial"/>
                <w:color w:val="000000"/>
              </w:rPr>
              <w:t>Security Management Plan</w:t>
            </w:r>
          </w:p>
        </w:tc>
        <w:tc>
          <w:tcPr>
            <w:tcW w:w="2002" w:type="dxa"/>
          </w:tcPr>
          <w:p w14:paraId="5AE96393" w14:textId="6B6C1F3A" w:rsidR="00D578DC" w:rsidRDefault="00D578DC" w:rsidP="00D578DC">
            <w:pPr>
              <w:pStyle w:val="Tabletext"/>
              <w:rPr>
                <w:rFonts w:eastAsia="Arial" w:cs="Arial"/>
                <w:color w:val="000000"/>
              </w:rPr>
            </w:pPr>
            <w:r>
              <w:rPr>
                <w:rFonts w:eastAsia="Arial" w:cs="Arial"/>
                <w:color w:val="000000"/>
              </w:rPr>
              <w:t xml:space="preserve">Sch </w:t>
            </w:r>
            <w:r w:rsidR="00403B1C">
              <w:rPr>
                <w:rFonts w:eastAsia="Arial" w:cs="Arial"/>
                <w:color w:val="000000"/>
              </w:rPr>
              <w:fldChar w:fldCharType="begin"/>
            </w:r>
            <w:r w:rsidR="00403B1C">
              <w:rPr>
                <w:rFonts w:eastAsia="Arial" w:cs="Arial"/>
                <w:color w:val="000000"/>
              </w:rPr>
              <w:instrText xml:space="preserve"> REF Schedule_5 \h </w:instrText>
            </w:r>
            <w:r w:rsidR="00403B1C">
              <w:rPr>
                <w:rFonts w:eastAsia="Arial" w:cs="Arial"/>
                <w:color w:val="000000"/>
              </w:rPr>
            </w:r>
            <w:r w:rsidR="00403B1C">
              <w:rPr>
                <w:rFonts w:eastAsia="Arial" w:cs="Arial"/>
                <w:color w:val="000000"/>
              </w:rPr>
              <w:fldChar w:fldCharType="separate"/>
            </w:r>
            <w:r w:rsidR="009749A0">
              <w:t>5</w:t>
            </w:r>
            <w:r w:rsidR="00403B1C">
              <w:rPr>
                <w:rFonts w:eastAsia="Arial" w:cs="Arial"/>
                <w:color w:val="000000"/>
              </w:rPr>
              <w:fldChar w:fldCharType="end"/>
            </w:r>
            <w:r>
              <w:rPr>
                <w:rFonts w:eastAsia="Arial" w:cs="Arial"/>
                <w:color w:val="000000"/>
              </w:rPr>
              <w:t xml:space="preserve">, Annex </w:t>
            </w:r>
            <w:r w:rsidR="00C65E65">
              <w:rPr>
                <w:rFonts w:eastAsia="Arial" w:cs="Arial"/>
                <w:color w:val="000000"/>
              </w:rPr>
              <w:fldChar w:fldCharType="begin"/>
            </w:r>
            <w:r w:rsidR="00C65E65">
              <w:rPr>
                <w:rFonts w:eastAsia="Arial" w:cs="Arial"/>
                <w:color w:val="000000"/>
              </w:rPr>
              <w:instrText xml:space="preserve"> REF Schedule_5_Part_A_Annex_3 \h </w:instrText>
            </w:r>
            <w:r w:rsidR="00C65E65">
              <w:rPr>
                <w:rFonts w:eastAsia="Arial" w:cs="Arial"/>
                <w:color w:val="000000"/>
              </w:rPr>
            </w:r>
            <w:r w:rsidR="00C65E65">
              <w:rPr>
                <w:rFonts w:eastAsia="Arial" w:cs="Arial"/>
                <w:color w:val="000000"/>
              </w:rPr>
              <w:fldChar w:fldCharType="separate"/>
            </w:r>
            <w:r w:rsidR="009749A0" w:rsidRPr="00BD6C5F">
              <w:t>3</w:t>
            </w:r>
            <w:r w:rsidR="00C65E65">
              <w:rPr>
                <w:rFonts w:eastAsia="Arial" w:cs="Arial"/>
                <w:color w:val="000000"/>
              </w:rPr>
              <w:fldChar w:fldCharType="end"/>
            </w:r>
          </w:p>
        </w:tc>
        <w:tc>
          <w:tcPr>
            <w:tcW w:w="2667" w:type="dxa"/>
          </w:tcPr>
          <w:p w14:paraId="469DEBB9" w14:textId="3FA3557B" w:rsidR="00D578DC" w:rsidRDefault="00D578DC" w:rsidP="00D578DC">
            <w:pPr>
              <w:pStyle w:val="Tabletext"/>
              <w:rPr>
                <w:rFonts w:eastAsia="Arial" w:cs="Arial"/>
                <w:color w:val="000000"/>
              </w:rPr>
            </w:pPr>
            <w:r>
              <w:rPr>
                <w:rFonts w:eastAsia="Arial" w:cs="Arial"/>
                <w:color w:val="000000"/>
              </w:rPr>
              <w:t xml:space="preserve">Within </w:t>
            </w:r>
            <w:r>
              <w:rPr>
                <w:rFonts w:eastAsia="Arial" w:cs="Arial"/>
                <w:color w:val="000000"/>
                <w:highlight w:val="yellow"/>
              </w:rPr>
              <w:t>[20]</w:t>
            </w:r>
            <w:r>
              <w:rPr>
                <w:rFonts w:eastAsia="Arial" w:cs="Arial"/>
                <w:color w:val="000000"/>
              </w:rPr>
              <w:t xml:space="preserve"> Working Days of the date of the Contract</w:t>
            </w:r>
          </w:p>
        </w:tc>
        <w:tc>
          <w:tcPr>
            <w:tcW w:w="2721" w:type="dxa"/>
          </w:tcPr>
          <w:p w14:paraId="3368F292" w14:textId="781320AE" w:rsidR="00D578DC" w:rsidRDefault="00D578DC" w:rsidP="00D578DC">
            <w:pPr>
              <w:pStyle w:val="Tabletext"/>
              <w:rPr>
                <w:rFonts w:eastAsia="Arial" w:cs="Arial"/>
                <w:color w:val="000000"/>
              </w:rPr>
            </w:pPr>
            <w:r>
              <w:rPr>
                <w:rFonts w:eastAsia="Arial" w:cs="Arial"/>
                <w:color w:val="000000"/>
              </w:rPr>
              <w:t>Regular review and at least annually</w:t>
            </w:r>
          </w:p>
        </w:tc>
        <w:tc>
          <w:tcPr>
            <w:tcW w:w="2438" w:type="dxa"/>
          </w:tcPr>
          <w:p w14:paraId="5C2EA720" w14:textId="10D99A9D" w:rsidR="00D578DC" w:rsidRDefault="00D578DC" w:rsidP="00D578DC">
            <w:pPr>
              <w:pStyle w:val="Tabletext"/>
              <w:rPr>
                <w:rFonts w:eastAsia="Arial" w:cs="Arial"/>
                <w:color w:val="000000"/>
              </w:rPr>
            </w:pPr>
            <w:r>
              <w:rPr>
                <w:rFonts w:eastAsia="Arial" w:cs="Arial"/>
                <w:color w:val="000000"/>
              </w:rPr>
              <w:t>Authority</w:t>
            </w:r>
          </w:p>
        </w:tc>
      </w:tr>
      <w:tr w:rsidR="00D578DC" w:rsidRPr="00BD6C5F" w14:paraId="3BDBEA9A" w14:textId="77777777" w:rsidTr="00D51340">
        <w:tc>
          <w:tcPr>
            <w:tcW w:w="2381" w:type="dxa"/>
          </w:tcPr>
          <w:p w14:paraId="070D45FE" w14:textId="4C2FDD5E" w:rsidR="00D578DC" w:rsidRDefault="00D578DC" w:rsidP="00D578DC">
            <w:pPr>
              <w:pBdr>
                <w:top w:val="nil"/>
                <w:left w:val="nil"/>
                <w:bottom w:val="nil"/>
                <w:right w:val="nil"/>
                <w:between w:val="nil"/>
              </w:pBdr>
              <w:rPr>
                <w:b/>
                <w:color w:val="000000"/>
              </w:rPr>
            </w:pPr>
            <w:r>
              <w:rPr>
                <w:color w:val="000000"/>
                <w:highlight w:val="yellow"/>
              </w:rPr>
              <w:t xml:space="preserve">[If using Part </w:t>
            </w:r>
            <w:r w:rsidR="00C65E65">
              <w:rPr>
                <w:color w:val="000000"/>
                <w:highlight w:val="yellow"/>
              </w:rPr>
              <w:fldChar w:fldCharType="begin"/>
            </w:r>
            <w:r w:rsidR="00C65E65">
              <w:rPr>
                <w:color w:val="000000"/>
                <w:highlight w:val="yellow"/>
              </w:rPr>
              <w:instrText xml:space="preserve"> REF Schedule_5_Part_A \h </w:instrText>
            </w:r>
            <w:r w:rsidR="00C65E65">
              <w:rPr>
                <w:color w:val="000000"/>
                <w:highlight w:val="yellow"/>
              </w:rPr>
            </w:r>
            <w:r w:rsidR="00C65E65">
              <w:rPr>
                <w:color w:val="000000"/>
                <w:highlight w:val="yellow"/>
              </w:rPr>
              <w:fldChar w:fldCharType="separate"/>
            </w:r>
            <w:r w:rsidR="009749A0" w:rsidRPr="00BD6C5F">
              <w:t>A</w:t>
            </w:r>
            <w:r w:rsidR="00C65E65">
              <w:rPr>
                <w:color w:val="000000"/>
                <w:highlight w:val="yellow"/>
              </w:rPr>
              <w:fldChar w:fldCharType="end"/>
            </w:r>
            <w:r>
              <w:rPr>
                <w:color w:val="000000"/>
                <w:highlight w:val="yellow"/>
              </w:rPr>
              <w:t xml:space="preserve"> – Security Assurance]</w:t>
            </w:r>
          </w:p>
          <w:p w14:paraId="7B4D8740" w14:textId="24286ED2"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Para ‎</w:t>
            </w:r>
            <w:r w:rsidR="00403B1C">
              <w:rPr>
                <w:rFonts w:eastAsia="Arial" w:cs="Arial"/>
                <w:color w:val="000000"/>
              </w:rPr>
              <w:fldChar w:fldCharType="begin"/>
            </w:r>
            <w:r w:rsidR="00403B1C">
              <w:rPr>
                <w:rFonts w:eastAsia="Arial" w:cs="Arial"/>
                <w:color w:val="000000"/>
              </w:rPr>
              <w:instrText xml:space="preserve"> REF _Ref141215015 \w \h </w:instrText>
            </w:r>
            <w:r w:rsidR="00403B1C">
              <w:rPr>
                <w:rFonts w:eastAsia="Arial" w:cs="Arial"/>
                <w:color w:val="000000"/>
              </w:rPr>
            </w:r>
            <w:r w:rsidR="00403B1C">
              <w:rPr>
                <w:rFonts w:eastAsia="Arial" w:cs="Arial"/>
                <w:color w:val="000000"/>
              </w:rPr>
              <w:fldChar w:fldCharType="separate"/>
            </w:r>
            <w:r w:rsidR="009749A0">
              <w:rPr>
                <w:rFonts w:eastAsia="Arial" w:cs="Arial"/>
                <w:color w:val="000000"/>
              </w:rPr>
              <w:t>6.1</w:t>
            </w:r>
            <w:r w:rsidR="00403B1C">
              <w:rPr>
                <w:rFonts w:eastAsia="Arial" w:cs="Arial"/>
                <w:color w:val="000000"/>
              </w:rPr>
              <w:fldChar w:fldCharType="end"/>
            </w:r>
            <w:r>
              <w:rPr>
                <w:rFonts w:eastAsia="Arial" w:cs="Arial"/>
                <w:color w:val="000000"/>
              </w:rPr>
              <w:t>, ‎</w:t>
            </w:r>
            <w:r w:rsidR="00403B1C">
              <w:rPr>
                <w:rFonts w:eastAsia="Arial" w:cs="Arial"/>
                <w:color w:val="000000"/>
              </w:rPr>
              <w:fldChar w:fldCharType="begin"/>
            </w:r>
            <w:r w:rsidR="00403B1C">
              <w:rPr>
                <w:rFonts w:eastAsia="Arial" w:cs="Arial"/>
                <w:color w:val="000000"/>
              </w:rPr>
              <w:instrText xml:space="preserve"> REF _Ref141215021 \w \h </w:instrText>
            </w:r>
            <w:r w:rsidR="00403B1C">
              <w:rPr>
                <w:rFonts w:eastAsia="Arial" w:cs="Arial"/>
                <w:color w:val="000000"/>
              </w:rPr>
            </w:r>
            <w:r w:rsidR="00403B1C">
              <w:rPr>
                <w:rFonts w:eastAsia="Arial" w:cs="Arial"/>
                <w:color w:val="000000"/>
              </w:rPr>
              <w:fldChar w:fldCharType="separate"/>
            </w:r>
            <w:r w:rsidR="009749A0">
              <w:rPr>
                <w:rFonts w:eastAsia="Arial" w:cs="Arial"/>
                <w:color w:val="000000"/>
              </w:rPr>
              <w:t>6.2</w:t>
            </w:r>
            <w:r w:rsidR="00403B1C">
              <w:rPr>
                <w:rFonts w:eastAsia="Arial" w:cs="Arial"/>
                <w:color w:val="000000"/>
              </w:rPr>
              <w:fldChar w:fldCharType="end"/>
            </w:r>
            <w:r>
              <w:rPr>
                <w:rFonts w:eastAsia="Arial" w:cs="Arial"/>
                <w:color w:val="000000"/>
              </w:rPr>
              <w:t xml:space="preserve"> and ‎</w:t>
            </w:r>
            <w:r w:rsidR="00403B1C">
              <w:rPr>
                <w:rFonts w:eastAsia="Arial" w:cs="Arial"/>
                <w:color w:val="000000"/>
              </w:rPr>
              <w:fldChar w:fldCharType="begin"/>
            </w:r>
            <w:r w:rsidR="00403B1C">
              <w:rPr>
                <w:rFonts w:eastAsia="Arial" w:cs="Arial"/>
                <w:color w:val="000000"/>
              </w:rPr>
              <w:instrText xml:space="preserve"> REF _Ref141215029 \w \h </w:instrText>
            </w:r>
            <w:r w:rsidR="00403B1C">
              <w:rPr>
                <w:rFonts w:eastAsia="Arial" w:cs="Arial"/>
                <w:color w:val="000000"/>
              </w:rPr>
            </w:r>
            <w:r w:rsidR="00403B1C">
              <w:rPr>
                <w:rFonts w:eastAsia="Arial" w:cs="Arial"/>
                <w:color w:val="000000"/>
              </w:rPr>
              <w:fldChar w:fldCharType="separate"/>
            </w:r>
            <w:r w:rsidR="009749A0">
              <w:rPr>
                <w:rFonts w:eastAsia="Arial" w:cs="Arial"/>
                <w:color w:val="000000"/>
              </w:rPr>
              <w:t>6.3</w:t>
            </w:r>
            <w:r w:rsidR="00403B1C">
              <w:rPr>
                <w:rFonts w:eastAsia="Arial" w:cs="Arial"/>
                <w:color w:val="000000"/>
              </w:rPr>
              <w:fldChar w:fldCharType="end"/>
            </w:r>
          </w:p>
        </w:tc>
        <w:tc>
          <w:tcPr>
            <w:tcW w:w="2967" w:type="dxa"/>
          </w:tcPr>
          <w:p w14:paraId="684AA213" w14:textId="534AD98E" w:rsidR="00D578DC" w:rsidRDefault="00D578DC" w:rsidP="00D578DC">
            <w:pPr>
              <w:pStyle w:val="Tabletext"/>
              <w:rPr>
                <w:rFonts w:eastAsia="Arial" w:cs="Arial"/>
                <w:color w:val="000000"/>
              </w:rPr>
            </w:pPr>
            <w:r>
              <w:rPr>
                <w:rFonts w:eastAsia="Arial" w:cs="Arial"/>
                <w:color w:val="000000"/>
              </w:rPr>
              <w:t>Security certificates</w:t>
            </w:r>
          </w:p>
        </w:tc>
        <w:tc>
          <w:tcPr>
            <w:tcW w:w="2002" w:type="dxa"/>
          </w:tcPr>
          <w:p w14:paraId="1238AE9D" w14:textId="7988F719" w:rsidR="00D578DC" w:rsidRDefault="00D578DC" w:rsidP="00D578DC">
            <w:pPr>
              <w:pStyle w:val="Tabletext"/>
              <w:rPr>
                <w:rFonts w:eastAsia="Arial" w:cs="Arial"/>
                <w:color w:val="000000"/>
              </w:rPr>
            </w:pPr>
            <w:r>
              <w:rPr>
                <w:rFonts w:eastAsia="Arial" w:cs="Arial"/>
                <w:color w:val="000000"/>
              </w:rPr>
              <w:t>As appropriate and agreed by the Authority</w:t>
            </w:r>
          </w:p>
        </w:tc>
        <w:tc>
          <w:tcPr>
            <w:tcW w:w="2667" w:type="dxa"/>
          </w:tcPr>
          <w:p w14:paraId="238F6C3E" w14:textId="167C641C" w:rsidR="00D578DC" w:rsidRDefault="00D578DC" w:rsidP="00D578DC">
            <w:pPr>
              <w:pStyle w:val="Tabletext"/>
              <w:rPr>
                <w:rFonts w:eastAsia="Arial" w:cs="Arial"/>
                <w:color w:val="000000"/>
              </w:rPr>
            </w:pPr>
            <w:r>
              <w:rPr>
                <w:rFonts w:eastAsia="Arial" w:cs="Arial"/>
                <w:color w:val="000000"/>
              </w:rPr>
              <w:t>Prior to receiving, storing or processing any Authority Data</w:t>
            </w:r>
          </w:p>
        </w:tc>
        <w:tc>
          <w:tcPr>
            <w:tcW w:w="2721" w:type="dxa"/>
          </w:tcPr>
          <w:p w14:paraId="50384AA2" w14:textId="3D193A8C" w:rsidR="00D578DC" w:rsidRDefault="00D578DC" w:rsidP="00D578DC">
            <w:pPr>
              <w:pStyle w:val="Tabletext"/>
              <w:rPr>
                <w:rFonts w:eastAsia="Arial" w:cs="Arial"/>
                <w:color w:val="000000"/>
              </w:rPr>
            </w:pPr>
            <w:r>
              <w:rPr>
                <w:rFonts w:eastAsia="Arial" w:cs="Arial"/>
                <w:color w:val="000000"/>
              </w:rPr>
              <w:t>-</w:t>
            </w:r>
          </w:p>
        </w:tc>
        <w:tc>
          <w:tcPr>
            <w:tcW w:w="2438" w:type="dxa"/>
          </w:tcPr>
          <w:p w14:paraId="1A9406F7" w14:textId="0BE7E56E" w:rsidR="00D578DC" w:rsidRDefault="00D578DC" w:rsidP="00D578DC">
            <w:pPr>
              <w:pStyle w:val="Tabletext"/>
              <w:rPr>
                <w:rFonts w:eastAsia="Arial" w:cs="Arial"/>
                <w:color w:val="000000"/>
              </w:rPr>
            </w:pPr>
            <w:r>
              <w:rPr>
                <w:rFonts w:eastAsia="Arial" w:cs="Arial"/>
                <w:color w:val="000000"/>
              </w:rPr>
              <w:t>-</w:t>
            </w:r>
          </w:p>
        </w:tc>
      </w:tr>
      <w:tr w:rsidR="00D578DC" w:rsidRPr="00BD6C5F" w14:paraId="593ECF96" w14:textId="77777777" w:rsidTr="00D51340">
        <w:tc>
          <w:tcPr>
            <w:tcW w:w="2381" w:type="dxa"/>
          </w:tcPr>
          <w:p w14:paraId="5A5954E5" w14:textId="7D133104" w:rsidR="00D578DC" w:rsidRDefault="00D578DC" w:rsidP="00D578DC">
            <w:pPr>
              <w:pBdr>
                <w:top w:val="nil"/>
                <w:left w:val="nil"/>
                <w:bottom w:val="nil"/>
                <w:right w:val="nil"/>
                <w:between w:val="nil"/>
              </w:pBdr>
              <w:rPr>
                <w:b/>
                <w:color w:val="000000"/>
              </w:rPr>
            </w:pPr>
            <w:r>
              <w:rPr>
                <w:color w:val="000000"/>
                <w:highlight w:val="yellow"/>
              </w:rPr>
              <w:lastRenderedPageBreak/>
              <w:t xml:space="preserve">[If using Part </w:t>
            </w:r>
            <w:r w:rsidR="00C65E65">
              <w:rPr>
                <w:color w:val="000000"/>
                <w:highlight w:val="yellow"/>
              </w:rPr>
              <w:fldChar w:fldCharType="begin"/>
            </w:r>
            <w:r w:rsidR="00C65E65">
              <w:rPr>
                <w:color w:val="000000"/>
                <w:highlight w:val="yellow"/>
              </w:rPr>
              <w:instrText xml:space="preserve"> REF Schedule_5_Part_B \h </w:instrText>
            </w:r>
            <w:r w:rsidR="00C65E65">
              <w:rPr>
                <w:color w:val="000000"/>
                <w:highlight w:val="yellow"/>
              </w:rPr>
            </w:r>
            <w:r w:rsidR="00C65E65">
              <w:rPr>
                <w:color w:val="000000"/>
                <w:highlight w:val="yellow"/>
              </w:rPr>
              <w:fldChar w:fldCharType="separate"/>
            </w:r>
            <w:r w:rsidR="009749A0" w:rsidRPr="00BD6C5F">
              <w:t>B</w:t>
            </w:r>
            <w:r w:rsidR="00C65E65">
              <w:rPr>
                <w:color w:val="000000"/>
                <w:highlight w:val="yellow"/>
              </w:rPr>
              <w:fldChar w:fldCharType="end"/>
            </w:r>
            <w:r>
              <w:rPr>
                <w:color w:val="000000"/>
                <w:highlight w:val="yellow"/>
              </w:rPr>
              <w:t xml:space="preserve"> – Security Accreditation]</w:t>
            </w:r>
          </w:p>
          <w:p w14:paraId="7EC3EA9C" w14:textId="192DEAB1"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xml:space="preserve">, Para </w:t>
            </w:r>
            <w:r w:rsidR="0076045C">
              <w:rPr>
                <w:rFonts w:eastAsia="Arial" w:cs="Arial"/>
                <w:color w:val="000000"/>
              </w:rPr>
              <w:fldChar w:fldCharType="begin"/>
            </w:r>
            <w:r w:rsidR="0076045C">
              <w:rPr>
                <w:rFonts w:eastAsia="Arial" w:cs="Arial"/>
                <w:color w:val="000000"/>
              </w:rPr>
              <w:instrText xml:space="preserve"> REF _Ref98359362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4.2</w:t>
            </w:r>
            <w:r w:rsidR="0076045C">
              <w:rPr>
                <w:rFonts w:eastAsia="Arial" w:cs="Arial"/>
                <w:color w:val="000000"/>
              </w:rPr>
              <w:fldChar w:fldCharType="end"/>
            </w:r>
          </w:p>
        </w:tc>
        <w:tc>
          <w:tcPr>
            <w:tcW w:w="2967" w:type="dxa"/>
          </w:tcPr>
          <w:p w14:paraId="3D0C6C9E" w14:textId="0F6841A7" w:rsidR="00D578DC" w:rsidRDefault="00D578DC" w:rsidP="00D578DC">
            <w:pPr>
              <w:pStyle w:val="Tabletext"/>
              <w:rPr>
                <w:rFonts w:eastAsia="Arial" w:cs="Arial"/>
                <w:color w:val="000000"/>
              </w:rPr>
            </w:pPr>
            <w:r>
              <w:rPr>
                <w:rFonts w:eastAsia="Arial" w:cs="Arial"/>
                <w:color w:val="000000"/>
              </w:rPr>
              <w:t>Core Information Management System diagram</w:t>
            </w:r>
          </w:p>
        </w:tc>
        <w:tc>
          <w:tcPr>
            <w:tcW w:w="2002" w:type="dxa"/>
          </w:tcPr>
          <w:p w14:paraId="20AFAC50" w14:textId="1BA7D96D"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xml:space="preserve">, Annex </w:t>
            </w:r>
            <w:r w:rsidR="00C65E65">
              <w:rPr>
                <w:rFonts w:eastAsia="Arial" w:cs="Arial"/>
                <w:color w:val="000000"/>
              </w:rPr>
              <w:fldChar w:fldCharType="begin"/>
            </w:r>
            <w:r w:rsidR="00C65E65">
              <w:rPr>
                <w:rFonts w:eastAsia="Arial" w:cs="Arial"/>
                <w:color w:val="000000"/>
              </w:rPr>
              <w:instrText xml:space="preserve"> REF Schedule_5_Part_B_Annex_3 \h </w:instrText>
            </w:r>
            <w:r w:rsidR="00C65E65">
              <w:rPr>
                <w:rFonts w:eastAsia="Arial" w:cs="Arial"/>
                <w:color w:val="000000"/>
              </w:rPr>
            </w:r>
            <w:r w:rsidR="00C65E65">
              <w:rPr>
                <w:rFonts w:eastAsia="Arial" w:cs="Arial"/>
                <w:color w:val="000000"/>
              </w:rPr>
              <w:fldChar w:fldCharType="separate"/>
            </w:r>
            <w:r w:rsidR="009749A0" w:rsidRPr="003D4D92">
              <w:t>3</w:t>
            </w:r>
            <w:r w:rsidR="00C65E65">
              <w:rPr>
                <w:rFonts w:eastAsia="Arial" w:cs="Arial"/>
                <w:color w:val="000000"/>
              </w:rPr>
              <w:fldChar w:fldCharType="end"/>
            </w:r>
          </w:p>
        </w:tc>
        <w:tc>
          <w:tcPr>
            <w:tcW w:w="2667" w:type="dxa"/>
          </w:tcPr>
          <w:p w14:paraId="0E723469" w14:textId="22578B50" w:rsidR="00D578DC" w:rsidRDefault="00D578DC" w:rsidP="00D578DC">
            <w:pPr>
              <w:pStyle w:val="Tabletext"/>
              <w:rPr>
                <w:rFonts w:eastAsia="Arial" w:cs="Arial"/>
                <w:color w:val="000000"/>
              </w:rPr>
            </w:pPr>
            <w:r>
              <w:rPr>
                <w:rFonts w:eastAsia="Arial" w:cs="Arial"/>
                <w:color w:val="000000"/>
              </w:rPr>
              <w:t>The date specified in the Detailed Implementation Plan</w:t>
            </w:r>
          </w:p>
        </w:tc>
        <w:tc>
          <w:tcPr>
            <w:tcW w:w="2721" w:type="dxa"/>
          </w:tcPr>
          <w:p w14:paraId="4E514E3A" w14:textId="13883D1A" w:rsidR="00D578DC" w:rsidRDefault="00D578DC" w:rsidP="00D578DC">
            <w:pPr>
              <w:pStyle w:val="Tabletext"/>
              <w:rPr>
                <w:rFonts w:eastAsia="Arial" w:cs="Arial"/>
                <w:color w:val="000000"/>
              </w:rPr>
            </w:pPr>
            <w:r>
              <w:rPr>
                <w:rFonts w:eastAsia="Arial" w:cs="Arial"/>
                <w:color w:val="000000"/>
              </w:rPr>
              <w:t>Regular review and at least annually</w:t>
            </w:r>
          </w:p>
        </w:tc>
        <w:tc>
          <w:tcPr>
            <w:tcW w:w="2438" w:type="dxa"/>
          </w:tcPr>
          <w:p w14:paraId="2032D5BF" w14:textId="6C9CDB65" w:rsidR="00D578DC" w:rsidRDefault="00D578DC" w:rsidP="00D578DC">
            <w:pPr>
              <w:pStyle w:val="Tabletext"/>
              <w:rPr>
                <w:rFonts w:eastAsia="Arial" w:cs="Arial"/>
                <w:color w:val="000000"/>
              </w:rPr>
            </w:pPr>
            <w:r>
              <w:rPr>
                <w:rFonts w:eastAsia="Arial" w:cs="Arial"/>
                <w:color w:val="000000"/>
              </w:rPr>
              <w:t>Authority</w:t>
            </w:r>
          </w:p>
        </w:tc>
      </w:tr>
      <w:tr w:rsidR="00D578DC" w:rsidRPr="00BD6C5F" w14:paraId="440758D8" w14:textId="77777777" w:rsidTr="00D51340">
        <w:tc>
          <w:tcPr>
            <w:tcW w:w="2381" w:type="dxa"/>
          </w:tcPr>
          <w:p w14:paraId="5899A06F" w14:textId="653EEE02" w:rsidR="00D578DC" w:rsidRDefault="00D578DC" w:rsidP="00D578DC">
            <w:pPr>
              <w:pBdr>
                <w:top w:val="nil"/>
                <w:left w:val="nil"/>
                <w:bottom w:val="nil"/>
                <w:right w:val="nil"/>
                <w:between w:val="nil"/>
              </w:pBdr>
              <w:rPr>
                <w:b/>
                <w:color w:val="000000"/>
              </w:rPr>
            </w:pPr>
            <w:r>
              <w:rPr>
                <w:color w:val="000000"/>
              </w:rPr>
              <w:t>[</w:t>
            </w:r>
            <w:r>
              <w:rPr>
                <w:color w:val="000000"/>
                <w:highlight w:val="yellow"/>
              </w:rPr>
              <w:t xml:space="preserve">If using Part </w:t>
            </w:r>
            <w:r w:rsidR="00C65E65">
              <w:rPr>
                <w:color w:val="000000"/>
                <w:highlight w:val="yellow"/>
              </w:rPr>
              <w:fldChar w:fldCharType="begin"/>
            </w:r>
            <w:r w:rsidR="00C65E65">
              <w:rPr>
                <w:color w:val="000000"/>
                <w:highlight w:val="yellow"/>
              </w:rPr>
              <w:instrText xml:space="preserve"> REF Schedule_5_Part_B \h </w:instrText>
            </w:r>
            <w:r w:rsidR="00C65E65">
              <w:rPr>
                <w:color w:val="000000"/>
                <w:highlight w:val="yellow"/>
              </w:rPr>
            </w:r>
            <w:r w:rsidR="00C65E65">
              <w:rPr>
                <w:color w:val="000000"/>
                <w:highlight w:val="yellow"/>
              </w:rPr>
              <w:fldChar w:fldCharType="separate"/>
            </w:r>
            <w:r w:rsidR="009749A0" w:rsidRPr="00BD6C5F">
              <w:t>B</w:t>
            </w:r>
            <w:r w:rsidR="00C65E65">
              <w:rPr>
                <w:color w:val="000000"/>
                <w:highlight w:val="yellow"/>
              </w:rPr>
              <w:fldChar w:fldCharType="end"/>
            </w:r>
            <w:r>
              <w:rPr>
                <w:color w:val="000000"/>
                <w:highlight w:val="yellow"/>
              </w:rPr>
              <w:t xml:space="preserve"> – Security Accreditation]</w:t>
            </w:r>
          </w:p>
          <w:p w14:paraId="59AE871B" w14:textId="6C021A57"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xml:space="preserve">, Para </w:t>
            </w:r>
            <w:r w:rsidR="0076045C">
              <w:rPr>
                <w:rFonts w:eastAsia="Arial" w:cs="Arial"/>
                <w:color w:val="000000"/>
              </w:rPr>
              <w:fldChar w:fldCharType="begin"/>
            </w:r>
            <w:r w:rsidR="0076045C">
              <w:rPr>
                <w:rFonts w:eastAsia="Arial" w:cs="Arial"/>
                <w:color w:val="000000"/>
              </w:rPr>
              <w:instrText xml:space="preserve"> REF _Ref98359316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7.1</w:t>
            </w:r>
            <w:r w:rsidR="0076045C">
              <w:rPr>
                <w:rFonts w:eastAsia="Arial" w:cs="Arial"/>
                <w:color w:val="000000"/>
              </w:rPr>
              <w:fldChar w:fldCharType="end"/>
            </w:r>
            <w:r>
              <w:rPr>
                <w:rFonts w:eastAsia="Arial" w:cs="Arial"/>
                <w:color w:val="000000"/>
              </w:rPr>
              <w:t xml:space="preserve">, </w:t>
            </w:r>
            <w:r w:rsidR="0076045C">
              <w:rPr>
                <w:rFonts w:eastAsia="Arial" w:cs="Arial"/>
                <w:color w:val="000000"/>
              </w:rPr>
              <w:fldChar w:fldCharType="begin"/>
            </w:r>
            <w:r w:rsidR="0076045C">
              <w:rPr>
                <w:rFonts w:eastAsia="Arial" w:cs="Arial"/>
                <w:color w:val="000000"/>
              </w:rPr>
              <w:instrText xml:space="preserve"> REF _Ref141215486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7.4</w:t>
            </w:r>
            <w:r w:rsidR="0076045C">
              <w:rPr>
                <w:rFonts w:eastAsia="Arial" w:cs="Arial"/>
                <w:color w:val="000000"/>
              </w:rPr>
              <w:fldChar w:fldCharType="end"/>
            </w:r>
            <w:r>
              <w:rPr>
                <w:rFonts w:eastAsia="Arial" w:cs="Arial"/>
                <w:color w:val="000000"/>
              </w:rPr>
              <w:t xml:space="preserve">, </w:t>
            </w:r>
            <w:r w:rsidR="0076045C">
              <w:rPr>
                <w:rFonts w:eastAsia="Arial" w:cs="Arial"/>
                <w:color w:val="000000"/>
              </w:rPr>
              <w:fldChar w:fldCharType="begin"/>
            </w:r>
            <w:r w:rsidR="0076045C">
              <w:rPr>
                <w:rFonts w:eastAsia="Arial" w:cs="Arial"/>
                <w:color w:val="000000"/>
              </w:rPr>
              <w:instrText xml:space="preserve"> REF _Ref141215492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7.6</w:t>
            </w:r>
            <w:r w:rsidR="0076045C">
              <w:rPr>
                <w:rFonts w:eastAsia="Arial" w:cs="Arial"/>
                <w:color w:val="000000"/>
              </w:rPr>
              <w:fldChar w:fldCharType="end"/>
            </w:r>
          </w:p>
        </w:tc>
        <w:tc>
          <w:tcPr>
            <w:tcW w:w="2967" w:type="dxa"/>
          </w:tcPr>
          <w:p w14:paraId="1781F9F1" w14:textId="33A1A9E4" w:rsidR="00D578DC" w:rsidRDefault="00D578DC" w:rsidP="00D578DC">
            <w:pPr>
              <w:pStyle w:val="Tabletext"/>
              <w:rPr>
                <w:rFonts w:eastAsia="Arial" w:cs="Arial"/>
                <w:color w:val="000000"/>
              </w:rPr>
            </w:pPr>
            <w:r>
              <w:rPr>
                <w:rFonts w:eastAsia="Arial" w:cs="Arial"/>
                <w:color w:val="000000"/>
              </w:rPr>
              <w:t>Security certificates</w:t>
            </w:r>
          </w:p>
        </w:tc>
        <w:tc>
          <w:tcPr>
            <w:tcW w:w="2002" w:type="dxa"/>
          </w:tcPr>
          <w:p w14:paraId="705E51F0" w14:textId="5CA7ADEC" w:rsidR="00D578DC" w:rsidRDefault="00D578DC" w:rsidP="00D578DC">
            <w:pPr>
              <w:pStyle w:val="Tabletext"/>
              <w:rPr>
                <w:rFonts w:eastAsia="Arial" w:cs="Arial"/>
                <w:color w:val="000000"/>
              </w:rPr>
            </w:pPr>
            <w:r>
              <w:rPr>
                <w:rFonts w:eastAsia="Arial" w:cs="Arial"/>
                <w:color w:val="000000"/>
              </w:rPr>
              <w:t xml:space="preserve">Sch </w:t>
            </w:r>
            <w:r w:rsidR="00C65E65">
              <w:rPr>
                <w:rFonts w:eastAsia="Arial" w:cs="Arial"/>
                <w:color w:val="000000"/>
              </w:rPr>
              <w:fldChar w:fldCharType="begin"/>
            </w:r>
            <w:r w:rsidR="00C65E65">
              <w:rPr>
                <w:rFonts w:eastAsia="Arial" w:cs="Arial"/>
                <w:color w:val="000000"/>
              </w:rPr>
              <w:instrText xml:space="preserve"> REF Schedule_5 \h </w:instrText>
            </w:r>
            <w:r w:rsidR="00C65E65">
              <w:rPr>
                <w:rFonts w:eastAsia="Arial" w:cs="Arial"/>
                <w:color w:val="000000"/>
              </w:rPr>
            </w:r>
            <w:r w:rsidR="00C65E65">
              <w:rPr>
                <w:rFonts w:eastAsia="Arial" w:cs="Arial"/>
                <w:color w:val="000000"/>
              </w:rPr>
              <w:fldChar w:fldCharType="separate"/>
            </w:r>
            <w:r w:rsidR="009749A0">
              <w:t>5</w:t>
            </w:r>
            <w:r w:rsidR="00C65E65">
              <w:rPr>
                <w:rFonts w:eastAsia="Arial" w:cs="Arial"/>
                <w:color w:val="000000"/>
              </w:rPr>
              <w:fldChar w:fldCharType="end"/>
            </w:r>
            <w:r>
              <w:rPr>
                <w:rFonts w:eastAsia="Arial" w:cs="Arial"/>
                <w:color w:val="000000"/>
              </w:rPr>
              <w:t xml:space="preserve">, Annex </w:t>
            </w:r>
            <w:r w:rsidR="00C65E65">
              <w:rPr>
                <w:rFonts w:eastAsia="Arial" w:cs="Arial"/>
                <w:color w:val="000000"/>
              </w:rPr>
              <w:fldChar w:fldCharType="begin"/>
            </w:r>
            <w:r w:rsidR="00C65E65">
              <w:rPr>
                <w:rFonts w:eastAsia="Arial" w:cs="Arial"/>
                <w:color w:val="000000"/>
              </w:rPr>
              <w:instrText xml:space="preserve"> REF Schedule_5_Part_B_Annex_3 \h </w:instrText>
            </w:r>
            <w:r w:rsidR="00C65E65">
              <w:rPr>
                <w:rFonts w:eastAsia="Arial" w:cs="Arial"/>
                <w:color w:val="000000"/>
              </w:rPr>
            </w:r>
            <w:r w:rsidR="00C65E65">
              <w:rPr>
                <w:rFonts w:eastAsia="Arial" w:cs="Arial"/>
                <w:color w:val="000000"/>
              </w:rPr>
              <w:fldChar w:fldCharType="separate"/>
            </w:r>
            <w:r w:rsidR="009749A0" w:rsidRPr="003D4D92">
              <w:t>3</w:t>
            </w:r>
            <w:r w:rsidR="00C65E65">
              <w:rPr>
                <w:rFonts w:eastAsia="Arial" w:cs="Arial"/>
                <w:color w:val="000000"/>
              </w:rPr>
              <w:fldChar w:fldCharType="end"/>
            </w:r>
          </w:p>
        </w:tc>
        <w:tc>
          <w:tcPr>
            <w:tcW w:w="2667" w:type="dxa"/>
          </w:tcPr>
          <w:p w14:paraId="6D7A57A6" w14:textId="71B64915" w:rsidR="00D578DC" w:rsidRDefault="00D578DC" w:rsidP="00D578DC">
            <w:pPr>
              <w:pStyle w:val="Tabletext"/>
              <w:rPr>
                <w:rFonts w:eastAsia="Arial" w:cs="Arial"/>
                <w:color w:val="000000"/>
              </w:rPr>
            </w:pPr>
            <w:r>
              <w:rPr>
                <w:rFonts w:eastAsia="Arial" w:cs="Arial"/>
                <w:color w:val="000000"/>
              </w:rPr>
              <w:t>Prior to receiving, storing or processing any Authority Data</w:t>
            </w:r>
          </w:p>
        </w:tc>
        <w:tc>
          <w:tcPr>
            <w:tcW w:w="2721" w:type="dxa"/>
          </w:tcPr>
          <w:p w14:paraId="09817810" w14:textId="791E9B8B" w:rsidR="00D578DC" w:rsidRDefault="00D578DC" w:rsidP="00D578DC">
            <w:pPr>
              <w:pStyle w:val="Tabletext"/>
              <w:rPr>
                <w:rFonts w:eastAsia="Arial" w:cs="Arial"/>
                <w:color w:val="000000"/>
              </w:rPr>
            </w:pPr>
            <w:r>
              <w:rPr>
                <w:rFonts w:eastAsia="Arial" w:cs="Arial"/>
                <w:color w:val="000000"/>
              </w:rPr>
              <w:t>-</w:t>
            </w:r>
          </w:p>
        </w:tc>
        <w:tc>
          <w:tcPr>
            <w:tcW w:w="2438" w:type="dxa"/>
          </w:tcPr>
          <w:p w14:paraId="46E7C1EC" w14:textId="26421983" w:rsidR="00D578DC" w:rsidRDefault="00D578DC" w:rsidP="00D578DC">
            <w:pPr>
              <w:pStyle w:val="Tabletext"/>
              <w:rPr>
                <w:rFonts w:eastAsia="Arial" w:cs="Arial"/>
                <w:color w:val="000000"/>
              </w:rPr>
            </w:pPr>
            <w:r>
              <w:rPr>
                <w:rFonts w:eastAsia="Arial" w:cs="Arial"/>
                <w:color w:val="000000"/>
              </w:rPr>
              <w:t>-</w:t>
            </w:r>
          </w:p>
        </w:tc>
      </w:tr>
      <w:tr w:rsidR="00D578DC" w:rsidRPr="00BD6C5F" w14:paraId="3D804384" w14:textId="77777777" w:rsidTr="00D51340">
        <w:tc>
          <w:tcPr>
            <w:tcW w:w="2381" w:type="dxa"/>
          </w:tcPr>
          <w:p w14:paraId="1384A2E6" w14:textId="028B71FC" w:rsidR="00D578DC" w:rsidRPr="00BD6C5F" w:rsidRDefault="00D578DC" w:rsidP="00D578DC">
            <w:pPr>
              <w:pStyle w:val="Tabletext"/>
            </w:pPr>
            <w:r w:rsidRPr="00BD6C5F">
              <w:t xml:space="preserve">Sch </w:t>
            </w:r>
            <w:r>
              <w:fldChar w:fldCharType="begin"/>
            </w:r>
            <w:r>
              <w:instrText xml:space="preserve"> REF Schedule_6 \h </w:instrText>
            </w:r>
            <w:r>
              <w:fldChar w:fldCharType="separate"/>
            </w:r>
            <w:r w:rsidR="009749A0">
              <w:t>6</w:t>
            </w:r>
            <w:r>
              <w:fldChar w:fldCharType="end"/>
            </w:r>
            <w:r w:rsidRPr="00BD6C5F">
              <w:t xml:space="preserve">, Para </w:t>
            </w:r>
            <w:r>
              <w:fldChar w:fldCharType="begin"/>
            </w:r>
            <w:r>
              <w:instrText xml:space="preserve"> REF _Ref98410004 \w \h </w:instrText>
            </w:r>
            <w:r>
              <w:fldChar w:fldCharType="separate"/>
            </w:r>
            <w:r w:rsidR="009749A0">
              <w:t>4</w:t>
            </w:r>
            <w:r>
              <w:fldChar w:fldCharType="end"/>
            </w:r>
          </w:p>
        </w:tc>
        <w:tc>
          <w:tcPr>
            <w:tcW w:w="2967" w:type="dxa"/>
          </w:tcPr>
          <w:p w14:paraId="6269FCF0" w14:textId="77777777" w:rsidR="00D578DC" w:rsidRPr="00BD6C5F" w:rsidRDefault="00D578DC" w:rsidP="00D578DC">
            <w:pPr>
              <w:pStyle w:val="Tabletext"/>
            </w:pPr>
            <w:r w:rsidRPr="00BD6C5F">
              <w:t>Evidence of Insurances</w:t>
            </w:r>
          </w:p>
        </w:tc>
        <w:tc>
          <w:tcPr>
            <w:tcW w:w="2002" w:type="dxa"/>
          </w:tcPr>
          <w:p w14:paraId="1719638C" w14:textId="6541E6F6" w:rsidR="00D578DC" w:rsidRPr="00BD6C5F" w:rsidRDefault="00D578DC" w:rsidP="00D578DC">
            <w:pPr>
              <w:pStyle w:val="Tabletext"/>
            </w:pPr>
            <w:r w:rsidRPr="00BD6C5F">
              <w:t xml:space="preserve">Sch </w:t>
            </w:r>
            <w:r>
              <w:fldChar w:fldCharType="begin"/>
            </w:r>
            <w:r>
              <w:instrText xml:space="preserve"> REF Schedule_6 \h </w:instrText>
            </w:r>
            <w:r>
              <w:fldChar w:fldCharType="separate"/>
            </w:r>
            <w:r w:rsidR="009749A0">
              <w:t>6</w:t>
            </w:r>
            <w:r>
              <w:fldChar w:fldCharType="end"/>
            </w:r>
          </w:p>
        </w:tc>
        <w:tc>
          <w:tcPr>
            <w:tcW w:w="2667" w:type="dxa"/>
          </w:tcPr>
          <w:p w14:paraId="440CBBF7" w14:textId="77777777" w:rsidR="00D578DC" w:rsidRPr="00BD6C5F" w:rsidRDefault="00D578DC" w:rsidP="00D578DC">
            <w:pPr>
              <w:pStyle w:val="Tabletext"/>
            </w:pPr>
            <w:r w:rsidRPr="00BD6C5F">
              <w:t>Effective Date</w:t>
            </w:r>
          </w:p>
        </w:tc>
        <w:tc>
          <w:tcPr>
            <w:tcW w:w="2721" w:type="dxa"/>
          </w:tcPr>
          <w:p w14:paraId="3793BEDC" w14:textId="77777777" w:rsidR="00D578DC" w:rsidRPr="00BD6C5F" w:rsidRDefault="00D578DC" w:rsidP="00D578DC">
            <w:pPr>
              <w:pStyle w:val="Tabletext"/>
            </w:pPr>
            <w:r w:rsidRPr="00BD6C5F">
              <w:t>Within 15 days after policy renewal or replacement</w:t>
            </w:r>
          </w:p>
        </w:tc>
        <w:tc>
          <w:tcPr>
            <w:tcW w:w="2438" w:type="dxa"/>
          </w:tcPr>
          <w:p w14:paraId="3A0DC661" w14:textId="77777777" w:rsidR="00D578DC" w:rsidRPr="00BD6C5F" w:rsidRDefault="00D578DC" w:rsidP="00D578DC">
            <w:pPr>
              <w:pStyle w:val="Tabletext"/>
            </w:pPr>
            <w:r w:rsidRPr="00BD6C5F">
              <w:t>Authority</w:t>
            </w:r>
          </w:p>
        </w:tc>
      </w:tr>
      <w:tr w:rsidR="00D578DC" w:rsidRPr="00BD6C5F" w14:paraId="2A66BCF7" w14:textId="77777777" w:rsidTr="00D51340">
        <w:tc>
          <w:tcPr>
            <w:tcW w:w="2381" w:type="dxa"/>
          </w:tcPr>
          <w:p w14:paraId="7CAAF558" w14:textId="327FFDB6" w:rsidR="00D578DC" w:rsidRPr="00BD6C5F" w:rsidRDefault="00D578DC" w:rsidP="00D578DC">
            <w:pPr>
              <w:pStyle w:val="Tabletext"/>
            </w:pPr>
            <w:r w:rsidRPr="00BD6C5F">
              <w:t xml:space="preserve">Sch </w:t>
            </w:r>
            <w:r>
              <w:fldChar w:fldCharType="begin"/>
            </w:r>
            <w:r>
              <w:instrText xml:space="preserve"> REF Schedule_9 \h </w:instrText>
            </w:r>
            <w:r>
              <w:fldChar w:fldCharType="separate"/>
            </w:r>
            <w:r w:rsidR="009749A0">
              <w:t>9</w:t>
            </w:r>
            <w:r>
              <w:fldChar w:fldCharType="end"/>
            </w:r>
          </w:p>
        </w:tc>
        <w:tc>
          <w:tcPr>
            <w:tcW w:w="2967" w:type="dxa"/>
          </w:tcPr>
          <w:p w14:paraId="45931B5E" w14:textId="77777777" w:rsidR="00D578DC" w:rsidRPr="00BD6C5F" w:rsidRDefault="00D578DC" w:rsidP="00D578DC">
            <w:pPr>
              <w:pStyle w:val="Tabletext"/>
            </w:pPr>
            <w:r w:rsidRPr="00BD6C5F">
              <w:t>Commercially Sensitive Information</w:t>
            </w:r>
          </w:p>
        </w:tc>
        <w:tc>
          <w:tcPr>
            <w:tcW w:w="2002" w:type="dxa"/>
          </w:tcPr>
          <w:p w14:paraId="378DBC4A" w14:textId="69EE6931" w:rsidR="00D578DC" w:rsidRPr="00BD6C5F" w:rsidRDefault="00D578DC" w:rsidP="00D578DC">
            <w:pPr>
              <w:pStyle w:val="Tabletext"/>
            </w:pPr>
            <w:r w:rsidRPr="00BD6C5F">
              <w:t xml:space="preserve">Sch </w:t>
            </w:r>
            <w:r>
              <w:fldChar w:fldCharType="begin"/>
            </w:r>
            <w:r>
              <w:instrText xml:space="preserve"> REF Schedule_9 \h </w:instrText>
            </w:r>
            <w:r>
              <w:fldChar w:fldCharType="separate"/>
            </w:r>
            <w:r w:rsidR="009749A0">
              <w:t>9</w:t>
            </w:r>
            <w:r>
              <w:fldChar w:fldCharType="end"/>
            </w:r>
          </w:p>
        </w:tc>
        <w:tc>
          <w:tcPr>
            <w:tcW w:w="2667" w:type="dxa"/>
          </w:tcPr>
          <w:p w14:paraId="537D463D" w14:textId="77777777" w:rsidR="00D578DC" w:rsidRPr="00BD6C5F" w:rsidRDefault="00D578DC" w:rsidP="00D578DC">
            <w:pPr>
              <w:pStyle w:val="Tabletext"/>
            </w:pPr>
            <w:r w:rsidRPr="00BD6C5F">
              <w:t>Effective Date</w:t>
            </w:r>
          </w:p>
        </w:tc>
        <w:tc>
          <w:tcPr>
            <w:tcW w:w="2721" w:type="dxa"/>
          </w:tcPr>
          <w:p w14:paraId="07FC6675" w14:textId="4FBEBC3E" w:rsidR="00D578DC" w:rsidRPr="00BD6C5F" w:rsidRDefault="00D578DC" w:rsidP="00D578DC">
            <w:pPr>
              <w:pStyle w:val="Tabletext"/>
            </w:pPr>
            <w:r w:rsidRPr="00BD6C5F">
              <w:t>Upon agreement by the Authority to vary the information</w:t>
            </w:r>
          </w:p>
        </w:tc>
        <w:tc>
          <w:tcPr>
            <w:tcW w:w="2438" w:type="dxa"/>
          </w:tcPr>
          <w:p w14:paraId="78F3573D" w14:textId="77777777" w:rsidR="00D578DC" w:rsidRPr="00BD6C5F" w:rsidRDefault="00D578DC" w:rsidP="00D578DC">
            <w:pPr>
              <w:pStyle w:val="Tabletext"/>
            </w:pPr>
            <w:r w:rsidRPr="00BD6C5F">
              <w:t>Authority and/or Auditor</w:t>
            </w:r>
          </w:p>
        </w:tc>
      </w:tr>
      <w:tr w:rsidR="00D578DC" w:rsidRPr="00BD6C5F" w14:paraId="4CA55C33" w14:textId="77777777" w:rsidTr="00D51340">
        <w:tc>
          <w:tcPr>
            <w:tcW w:w="2381" w:type="dxa"/>
          </w:tcPr>
          <w:p w14:paraId="53E7894E" w14:textId="332894C4" w:rsidR="00D578DC" w:rsidRPr="00BD6C5F" w:rsidRDefault="00D578DC" w:rsidP="00D578DC">
            <w:pPr>
              <w:pStyle w:val="Tabletext"/>
            </w:pPr>
            <w:r w:rsidRPr="00BD6C5F">
              <w:t xml:space="preserve">Sch </w:t>
            </w:r>
            <w:r>
              <w:fldChar w:fldCharType="begin"/>
            </w:r>
            <w:r>
              <w:instrText xml:space="preserve"> REF Schedule_11 \h </w:instrText>
            </w:r>
            <w:r>
              <w:fldChar w:fldCharType="separate"/>
            </w:r>
            <w:r w:rsidR="009749A0">
              <w:t>11</w:t>
            </w:r>
            <w:r>
              <w:fldChar w:fldCharType="end"/>
            </w:r>
            <w:r w:rsidRPr="00BD6C5F">
              <w:t xml:space="preserve">, Para </w:t>
            </w:r>
            <w:r>
              <w:fldChar w:fldCharType="begin"/>
            </w:r>
            <w:r>
              <w:instrText xml:space="preserve"> REF _Ref141215599 \w \h </w:instrText>
            </w:r>
            <w:r>
              <w:fldChar w:fldCharType="separate"/>
            </w:r>
            <w:r w:rsidR="009749A0">
              <w:t>1</w:t>
            </w:r>
            <w:r>
              <w:fldChar w:fldCharType="end"/>
            </w:r>
          </w:p>
        </w:tc>
        <w:tc>
          <w:tcPr>
            <w:tcW w:w="2967" w:type="dxa"/>
          </w:tcPr>
          <w:p w14:paraId="748B53AB" w14:textId="77777777" w:rsidR="00D578DC" w:rsidRPr="00BD6C5F" w:rsidRDefault="00D578DC" w:rsidP="00D578DC">
            <w:pPr>
              <w:pStyle w:val="Tabletext"/>
            </w:pPr>
            <w:r w:rsidRPr="00BD6C5F">
              <w:t>Third Party Contracts</w:t>
            </w:r>
          </w:p>
        </w:tc>
        <w:tc>
          <w:tcPr>
            <w:tcW w:w="2002" w:type="dxa"/>
          </w:tcPr>
          <w:p w14:paraId="2015BB43" w14:textId="258548C8" w:rsidR="00D578DC" w:rsidRPr="00BD6C5F" w:rsidRDefault="00D578DC" w:rsidP="00D578DC">
            <w:pPr>
              <w:pStyle w:val="Tabletext"/>
            </w:pPr>
            <w:r w:rsidRPr="00BD6C5F">
              <w:t xml:space="preserve">Sch </w:t>
            </w:r>
            <w:r>
              <w:fldChar w:fldCharType="begin"/>
            </w:r>
            <w:r>
              <w:instrText xml:space="preserve"> REF Schedule_11 \h </w:instrText>
            </w:r>
            <w:r>
              <w:fldChar w:fldCharType="separate"/>
            </w:r>
            <w:r w:rsidR="009749A0">
              <w:t>11</w:t>
            </w:r>
            <w:r>
              <w:fldChar w:fldCharType="end"/>
            </w:r>
          </w:p>
        </w:tc>
        <w:tc>
          <w:tcPr>
            <w:tcW w:w="2667" w:type="dxa"/>
          </w:tcPr>
          <w:p w14:paraId="7CBDC1CB" w14:textId="77777777" w:rsidR="00D578DC" w:rsidRPr="00BD6C5F" w:rsidRDefault="00D578DC" w:rsidP="00D578DC">
            <w:pPr>
              <w:pStyle w:val="Tabletext"/>
            </w:pPr>
            <w:r w:rsidRPr="00BD6C5F">
              <w:t>Effective Date</w:t>
            </w:r>
          </w:p>
        </w:tc>
        <w:tc>
          <w:tcPr>
            <w:tcW w:w="2721" w:type="dxa"/>
          </w:tcPr>
          <w:p w14:paraId="16C07B64" w14:textId="77777777" w:rsidR="00D578DC" w:rsidRPr="00BD6C5F" w:rsidRDefault="00D578DC" w:rsidP="00D578DC">
            <w:pPr>
              <w:pStyle w:val="Tabletext"/>
            </w:pPr>
            <w:r w:rsidRPr="00BD6C5F">
              <w:t>On appointment of subcontract</w:t>
            </w:r>
          </w:p>
        </w:tc>
        <w:tc>
          <w:tcPr>
            <w:tcW w:w="2438" w:type="dxa"/>
          </w:tcPr>
          <w:p w14:paraId="714A5B81" w14:textId="77777777" w:rsidR="00D578DC" w:rsidRPr="00BD6C5F" w:rsidRDefault="00D578DC" w:rsidP="00D578DC">
            <w:pPr>
              <w:pStyle w:val="Tabletext"/>
            </w:pPr>
            <w:r w:rsidRPr="00BD6C5F">
              <w:t>Authority</w:t>
            </w:r>
          </w:p>
        </w:tc>
      </w:tr>
      <w:tr w:rsidR="00D578DC" w:rsidRPr="00BD6C5F" w14:paraId="332813AD" w14:textId="77777777" w:rsidTr="00D51340">
        <w:tc>
          <w:tcPr>
            <w:tcW w:w="2381" w:type="dxa"/>
          </w:tcPr>
          <w:p w14:paraId="0F7BC0C0" w14:textId="4DF00625" w:rsidR="00D578DC" w:rsidRPr="00BD6C5F" w:rsidRDefault="000803D1" w:rsidP="00D578DC">
            <w:pPr>
              <w:pStyle w:val="Tabletext"/>
            </w:pPr>
            <w:r>
              <w:t>Sch</w:t>
            </w:r>
            <w:r w:rsidR="00D578DC" w:rsidRPr="00BD6C5F">
              <w:t xml:space="preserve"> </w:t>
            </w:r>
            <w:r w:rsidR="00C65E65">
              <w:fldChar w:fldCharType="begin"/>
            </w:r>
            <w:r w:rsidR="00C65E65">
              <w:instrText xml:space="preserve"> REF Schedule_12 \h </w:instrText>
            </w:r>
            <w:r w:rsidR="00C65E65">
              <w:fldChar w:fldCharType="separate"/>
            </w:r>
            <w:r w:rsidR="009749A0">
              <w:t>12</w:t>
            </w:r>
            <w:r w:rsidR="00C65E65">
              <w:fldChar w:fldCharType="end"/>
            </w:r>
          </w:p>
        </w:tc>
        <w:tc>
          <w:tcPr>
            <w:tcW w:w="2967" w:type="dxa"/>
          </w:tcPr>
          <w:p w14:paraId="199E2FA3" w14:textId="71B18E46" w:rsidR="00D578DC" w:rsidRPr="00BD6C5F" w:rsidRDefault="000803D1" w:rsidP="00D578DC">
            <w:pPr>
              <w:pStyle w:val="Tabletext"/>
            </w:pPr>
            <w:r>
              <w:t xml:space="preserve">Supplier </w:t>
            </w:r>
            <w:r w:rsidR="00D578DC" w:rsidRPr="00BD6C5F">
              <w:t>Software</w:t>
            </w:r>
            <w:r>
              <w:t xml:space="preserve"> and Third Party Software</w:t>
            </w:r>
          </w:p>
        </w:tc>
        <w:tc>
          <w:tcPr>
            <w:tcW w:w="2002" w:type="dxa"/>
          </w:tcPr>
          <w:p w14:paraId="6496484B" w14:textId="5C33F92B" w:rsidR="00D578DC" w:rsidRPr="00BD6C5F" w:rsidRDefault="00D578DC" w:rsidP="00D578DC">
            <w:pPr>
              <w:pStyle w:val="Tabletext"/>
            </w:pPr>
            <w:r w:rsidRPr="00BD6C5F">
              <w:t xml:space="preserve">Sch </w:t>
            </w:r>
            <w:r>
              <w:fldChar w:fldCharType="begin"/>
            </w:r>
            <w:r>
              <w:instrText xml:space="preserve"> REF Schedule_12 \h </w:instrText>
            </w:r>
            <w:r>
              <w:fldChar w:fldCharType="separate"/>
            </w:r>
            <w:r w:rsidR="009749A0">
              <w:t>12</w:t>
            </w:r>
            <w:r>
              <w:fldChar w:fldCharType="end"/>
            </w:r>
            <w:r w:rsidRPr="00BD6C5F">
              <w:t xml:space="preserve"> </w:t>
            </w:r>
          </w:p>
        </w:tc>
        <w:tc>
          <w:tcPr>
            <w:tcW w:w="2667" w:type="dxa"/>
          </w:tcPr>
          <w:p w14:paraId="74605B68" w14:textId="38B0BF77" w:rsidR="00D578DC" w:rsidRPr="00BD6C5F" w:rsidRDefault="000803D1" w:rsidP="00D578DC">
            <w:pPr>
              <w:pStyle w:val="Tabletext"/>
            </w:pPr>
            <w:r>
              <w:t xml:space="preserve">Effective </w:t>
            </w:r>
            <w:r w:rsidR="00D578DC" w:rsidRPr="00BD6C5F">
              <w:t>Date</w:t>
            </w:r>
          </w:p>
        </w:tc>
        <w:tc>
          <w:tcPr>
            <w:tcW w:w="2721" w:type="dxa"/>
          </w:tcPr>
          <w:p w14:paraId="2F9F8FC8" w14:textId="4FFCFBC6" w:rsidR="00D578DC" w:rsidRPr="00BD6C5F" w:rsidRDefault="00530DCF" w:rsidP="00D578DC">
            <w:pPr>
              <w:pStyle w:val="Tabletext"/>
            </w:pPr>
            <w:r w:rsidRPr="00530DCF">
              <w:t>No less than every 6 (six) Months from the Effective Date</w:t>
            </w:r>
          </w:p>
        </w:tc>
        <w:tc>
          <w:tcPr>
            <w:tcW w:w="2438" w:type="dxa"/>
          </w:tcPr>
          <w:p w14:paraId="175BADD2" w14:textId="77777777" w:rsidR="00D578DC" w:rsidRPr="00BD6C5F" w:rsidRDefault="00D578DC" w:rsidP="00D578DC">
            <w:pPr>
              <w:pStyle w:val="Tabletext"/>
            </w:pPr>
            <w:r w:rsidRPr="00BD6C5F">
              <w:t>Authority</w:t>
            </w:r>
          </w:p>
        </w:tc>
      </w:tr>
      <w:tr w:rsidR="00D578DC" w:rsidRPr="00BD6C5F" w14:paraId="459EA812" w14:textId="77777777" w:rsidTr="00D51340">
        <w:tc>
          <w:tcPr>
            <w:tcW w:w="2381" w:type="dxa"/>
          </w:tcPr>
          <w:p w14:paraId="3A114B30" w14:textId="11798FFF" w:rsidR="00D578DC" w:rsidRPr="00BD6C5F" w:rsidRDefault="00D578DC" w:rsidP="00D578DC">
            <w:pPr>
              <w:pStyle w:val="Tabletext"/>
            </w:pPr>
            <w:r w:rsidRPr="00BD6C5F">
              <w:lastRenderedPageBreak/>
              <w:t xml:space="preserve">Sch </w:t>
            </w:r>
            <w:r>
              <w:fldChar w:fldCharType="begin"/>
            </w:r>
            <w:r>
              <w:instrText xml:space="preserve"> REF Schedule_14 \h </w:instrText>
            </w:r>
            <w:r>
              <w:fldChar w:fldCharType="separate"/>
            </w:r>
            <w:r w:rsidR="009749A0">
              <w:t>14</w:t>
            </w:r>
            <w:r>
              <w:fldChar w:fldCharType="end"/>
            </w:r>
            <w:r w:rsidRPr="00BD6C5F">
              <w:t xml:space="preserve">, Para </w:t>
            </w:r>
            <w:r>
              <w:fldChar w:fldCharType="begin"/>
            </w:r>
            <w:r>
              <w:instrText xml:space="preserve"> REF _Ref98410418 \w \h </w:instrText>
            </w:r>
            <w:r>
              <w:fldChar w:fldCharType="separate"/>
            </w:r>
            <w:r w:rsidR="009749A0">
              <w:t>4</w:t>
            </w:r>
            <w:r>
              <w:fldChar w:fldCharType="end"/>
            </w:r>
          </w:p>
        </w:tc>
        <w:tc>
          <w:tcPr>
            <w:tcW w:w="2967" w:type="dxa"/>
          </w:tcPr>
          <w:p w14:paraId="447E52D2" w14:textId="77777777" w:rsidR="00D578DC" w:rsidRPr="00BD6C5F" w:rsidRDefault="00D578DC" w:rsidP="00D578DC">
            <w:pPr>
              <w:pStyle w:val="Tabletext"/>
            </w:pPr>
            <w:r w:rsidRPr="00BD6C5F">
              <w:t>Test Strategy</w:t>
            </w:r>
          </w:p>
        </w:tc>
        <w:tc>
          <w:tcPr>
            <w:tcW w:w="2002" w:type="dxa"/>
          </w:tcPr>
          <w:p w14:paraId="3D3C08B9" w14:textId="77777777" w:rsidR="00D578DC" w:rsidRPr="00BD6C5F" w:rsidRDefault="00D578DC" w:rsidP="00D578DC">
            <w:pPr>
              <w:pStyle w:val="Tabletext"/>
            </w:pPr>
            <w:r w:rsidRPr="00BD6C5F">
              <w:t>As appropriate and agreed by the Authority</w:t>
            </w:r>
          </w:p>
        </w:tc>
        <w:tc>
          <w:tcPr>
            <w:tcW w:w="2667" w:type="dxa"/>
          </w:tcPr>
          <w:p w14:paraId="43277128" w14:textId="77777777" w:rsidR="00D578DC" w:rsidRPr="00BD6C5F" w:rsidRDefault="00D578DC" w:rsidP="00D578DC">
            <w:pPr>
              <w:pStyle w:val="Tabletext"/>
            </w:pPr>
            <w:r w:rsidRPr="00BD6C5F">
              <w:t>Within 20 Working Days of Effective Date</w:t>
            </w:r>
          </w:p>
        </w:tc>
        <w:tc>
          <w:tcPr>
            <w:tcW w:w="2721" w:type="dxa"/>
          </w:tcPr>
          <w:p w14:paraId="5B2CDE1A" w14:textId="77777777" w:rsidR="00D578DC" w:rsidRPr="00BD6C5F" w:rsidRDefault="00D578DC" w:rsidP="00D578DC">
            <w:pPr>
              <w:pStyle w:val="Tabletext"/>
            </w:pPr>
            <w:r w:rsidRPr="00BD6C5F">
              <w:t>Upon update to the test strategy</w:t>
            </w:r>
          </w:p>
        </w:tc>
        <w:tc>
          <w:tcPr>
            <w:tcW w:w="2438" w:type="dxa"/>
          </w:tcPr>
          <w:p w14:paraId="63516BBA" w14:textId="77777777" w:rsidR="00D578DC" w:rsidRPr="00BD6C5F" w:rsidRDefault="00D578DC" w:rsidP="00D578DC">
            <w:pPr>
              <w:pStyle w:val="Tabletext"/>
            </w:pPr>
            <w:r w:rsidRPr="00BD6C5F">
              <w:t>Authority</w:t>
            </w:r>
          </w:p>
        </w:tc>
      </w:tr>
      <w:tr w:rsidR="00D578DC" w:rsidRPr="00BD6C5F" w14:paraId="2F866385" w14:textId="77777777" w:rsidTr="00D51340">
        <w:tc>
          <w:tcPr>
            <w:tcW w:w="2381" w:type="dxa"/>
          </w:tcPr>
          <w:p w14:paraId="60B32F76" w14:textId="1FDC9949" w:rsidR="00D578DC" w:rsidRPr="00BD6C5F" w:rsidRDefault="00D578DC" w:rsidP="00D578DC">
            <w:pPr>
              <w:pStyle w:val="Tabletext"/>
            </w:pPr>
            <w:r w:rsidRPr="00BD6C5F">
              <w:t xml:space="preserve">Sch </w:t>
            </w:r>
            <w:r>
              <w:fldChar w:fldCharType="begin"/>
            </w:r>
            <w:r>
              <w:instrText xml:space="preserve"> REF Schedule_14 \h </w:instrText>
            </w:r>
            <w:r>
              <w:fldChar w:fldCharType="separate"/>
            </w:r>
            <w:r w:rsidR="009749A0">
              <w:t>14</w:t>
            </w:r>
            <w:r>
              <w:fldChar w:fldCharType="end"/>
            </w:r>
            <w:r w:rsidRPr="00BD6C5F">
              <w:t xml:space="preserve">, Para </w:t>
            </w:r>
            <w:r>
              <w:fldChar w:fldCharType="begin"/>
            </w:r>
            <w:r>
              <w:instrText xml:space="preserve"> REF _Ref98410400 \w \h </w:instrText>
            </w:r>
            <w:r>
              <w:fldChar w:fldCharType="separate"/>
            </w:r>
            <w:r w:rsidR="009749A0">
              <w:t>5</w:t>
            </w:r>
            <w:r>
              <w:fldChar w:fldCharType="end"/>
            </w:r>
          </w:p>
        </w:tc>
        <w:tc>
          <w:tcPr>
            <w:tcW w:w="2967" w:type="dxa"/>
          </w:tcPr>
          <w:p w14:paraId="5530B82E" w14:textId="77777777" w:rsidR="00D578DC" w:rsidRPr="00BD6C5F" w:rsidRDefault="00D578DC" w:rsidP="00D578DC">
            <w:pPr>
              <w:pStyle w:val="Tabletext"/>
            </w:pPr>
            <w:r w:rsidRPr="00BD6C5F">
              <w:t>Test Plan</w:t>
            </w:r>
          </w:p>
        </w:tc>
        <w:tc>
          <w:tcPr>
            <w:tcW w:w="2002" w:type="dxa"/>
          </w:tcPr>
          <w:p w14:paraId="49168F48" w14:textId="77777777" w:rsidR="00D578DC" w:rsidRPr="00BD6C5F" w:rsidRDefault="00D578DC" w:rsidP="00D578DC">
            <w:pPr>
              <w:pStyle w:val="Tabletext"/>
            </w:pPr>
            <w:r w:rsidRPr="00BD6C5F">
              <w:t>As appropriate and agreed by the Authority</w:t>
            </w:r>
          </w:p>
        </w:tc>
        <w:tc>
          <w:tcPr>
            <w:tcW w:w="2667" w:type="dxa"/>
          </w:tcPr>
          <w:p w14:paraId="01839D71" w14:textId="77777777" w:rsidR="00D578DC" w:rsidRPr="00BD6C5F" w:rsidRDefault="00D578DC" w:rsidP="00D578DC">
            <w:pPr>
              <w:pStyle w:val="Tabletext"/>
            </w:pPr>
            <w:r w:rsidRPr="00BD6C5F">
              <w:t>20 prior Working Days of relevant test</w:t>
            </w:r>
          </w:p>
        </w:tc>
        <w:tc>
          <w:tcPr>
            <w:tcW w:w="2721" w:type="dxa"/>
          </w:tcPr>
          <w:p w14:paraId="313BBB30" w14:textId="77777777" w:rsidR="00D578DC" w:rsidRPr="00BD6C5F" w:rsidRDefault="00D578DC" w:rsidP="00D578DC">
            <w:pPr>
              <w:pStyle w:val="Tabletext"/>
            </w:pPr>
            <w:r w:rsidRPr="00BD6C5F">
              <w:t>Upon update to the test plan</w:t>
            </w:r>
          </w:p>
        </w:tc>
        <w:tc>
          <w:tcPr>
            <w:tcW w:w="2438" w:type="dxa"/>
          </w:tcPr>
          <w:p w14:paraId="5B88F0AF" w14:textId="77777777" w:rsidR="00D578DC" w:rsidRPr="00BD6C5F" w:rsidRDefault="00D578DC" w:rsidP="00D578DC">
            <w:pPr>
              <w:pStyle w:val="Tabletext"/>
            </w:pPr>
            <w:r w:rsidRPr="00BD6C5F">
              <w:t>Authority</w:t>
            </w:r>
          </w:p>
        </w:tc>
      </w:tr>
      <w:tr w:rsidR="00D578DC" w:rsidRPr="00BD6C5F" w14:paraId="422D67FF" w14:textId="77777777" w:rsidTr="00D51340">
        <w:tc>
          <w:tcPr>
            <w:tcW w:w="2381" w:type="dxa"/>
          </w:tcPr>
          <w:p w14:paraId="38F58B51" w14:textId="239CAB6A" w:rsidR="00D578DC" w:rsidRPr="00BD6C5F" w:rsidRDefault="00D578DC" w:rsidP="00D578DC">
            <w:pPr>
              <w:pStyle w:val="Tabletext"/>
            </w:pPr>
            <w:r w:rsidRPr="00BD6C5F">
              <w:t xml:space="preserve">Sch </w:t>
            </w:r>
            <w:r>
              <w:fldChar w:fldCharType="begin"/>
            </w:r>
            <w:r>
              <w:instrText xml:space="preserve"> REF Schedule_14 \h </w:instrText>
            </w:r>
            <w:r>
              <w:fldChar w:fldCharType="separate"/>
            </w:r>
            <w:r w:rsidR="009749A0">
              <w:t>14</w:t>
            </w:r>
            <w:r>
              <w:fldChar w:fldCharType="end"/>
            </w:r>
            <w:r w:rsidRPr="00BD6C5F">
              <w:t xml:space="preserve">, Para </w:t>
            </w:r>
            <w:r>
              <w:fldChar w:fldCharType="begin"/>
            </w:r>
            <w:r>
              <w:instrText xml:space="preserve"> REF _Ref141215693 \w \h </w:instrText>
            </w:r>
            <w:r>
              <w:fldChar w:fldCharType="separate"/>
            </w:r>
            <w:r w:rsidR="009749A0">
              <w:t>8</w:t>
            </w:r>
            <w:r>
              <w:fldChar w:fldCharType="end"/>
            </w:r>
          </w:p>
        </w:tc>
        <w:tc>
          <w:tcPr>
            <w:tcW w:w="2967" w:type="dxa"/>
          </w:tcPr>
          <w:p w14:paraId="3EEE669C" w14:textId="77777777" w:rsidR="00D578DC" w:rsidRPr="00BD6C5F" w:rsidRDefault="00D578DC" w:rsidP="00D578DC">
            <w:pPr>
              <w:pStyle w:val="Tabletext"/>
            </w:pPr>
            <w:r w:rsidRPr="00BD6C5F">
              <w:t>Test Specification</w:t>
            </w:r>
          </w:p>
        </w:tc>
        <w:tc>
          <w:tcPr>
            <w:tcW w:w="2002" w:type="dxa"/>
          </w:tcPr>
          <w:p w14:paraId="5AE353C0" w14:textId="77777777" w:rsidR="00D578DC" w:rsidRPr="00BD6C5F" w:rsidRDefault="00D578DC" w:rsidP="00D578DC">
            <w:pPr>
              <w:pStyle w:val="Tabletext"/>
            </w:pPr>
            <w:r w:rsidRPr="00BD6C5F">
              <w:t>As appropriate and agreed by the Authority</w:t>
            </w:r>
          </w:p>
        </w:tc>
        <w:tc>
          <w:tcPr>
            <w:tcW w:w="2667" w:type="dxa"/>
          </w:tcPr>
          <w:p w14:paraId="5E10C7DC" w14:textId="77777777" w:rsidR="00D578DC" w:rsidRPr="00BD6C5F" w:rsidRDefault="00D578DC" w:rsidP="00D578DC">
            <w:pPr>
              <w:pStyle w:val="Tabletext"/>
            </w:pPr>
            <w:r w:rsidRPr="00BD6C5F">
              <w:t>10 prior Working Days of relevant test</w:t>
            </w:r>
          </w:p>
        </w:tc>
        <w:tc>
          <w:tcPr>
            <w:tcW w:w="2721" w:type="dxa"/>
          </w:tcPr>
          <w:p w14:paraId="44D03E54" w14:textId="77777777" w:rsidR="00D578DC" w:rsidRPr="00BD6C5F" w:rsidRDefault="00D578DC" w:rsidP="00D578DC">
            <w:pPr>
              <w:pStyle w:val="Tabletext"/>
            </w:pPr>
            <w:r w:rsidRPr="00BD6C5F">
              <w:t>Upon update to the test specification</w:t>
            </w:r>
          </w:p>
        </w:tc>
        <w:tc>
          <w:tcPr>
            <w:tcW w:w="2438" w:type="dxa"/>
          </w:tcPr>
          <w:p w14:paraId="03F3FC94" w14:textId="77777777" w:rsidR="00D578DC" w:rsidRPr="00BD6C5F" w:rsidRDefault="00D578DC" w:rsidP="00D578DC">
            <w:pPr>
              <w:pStyle w:val="Tabletext"/>
            </w:pPr>
            <w:r w:rsidRPr="00BD6C5F">
              <w:t>Authority</w:t>
            </w:r>
          </w:p>
        </w:tc>
      </w:tr>
      <w:tr w:rsidR="00D578DC" w:rsidRPr="00BD6C5F" w14:paraId="0CF15705" w14:textId="77777777" w:rsidTr="00D51340">
        <w:tc>
          <w:tcPr>
            <w:tcW w:w="2381" w:type="dxa"/>
          </w:tcPr>
          <w:p w14:paraId="5CD99B1A" w14:textId="439D6EDC" w:rsidR="00D578DC" w:rsidRPr="00BD6C5F" w:rsidRDefault="00D578DC" w:rsidP="00D578DC">
            <w:pPr>
              <w:pStyle w:val="Tabletext"/>
            </w:pPr>
            <w:r w:rsidRPr="00BD6C5F">
              <w:t xml:space="preserve">Sch </w:t>
            </w:r>
            <w:r>
              <w:fldChar w:fldCharType="begin"/>
            </w:r>
            <w:r>
              <w:instrText xml:space="preserve"> REF Schedule_14 \h </w:instrText>
            </w:r>
            <w:r>
              <w:fldChar w:fldCharType="separate"/>
            </w:r>
            <w:r w:rsidR="009749A0">
              <w:t>14</w:t>
            </w:r>
            <w:r>
              <w:fldChar w:fldCharType="end"/>
            </w:r>
            <w:r w:rsidRPr="00BD6C5F">
              <w:t xml:space="preserve">, Para </w:t>
            </w:r>
            <w:r>
              <w:fldChar w:fldCharType="begin"/>
            </w:r>
            <w:r>
              <w:instrText xml:space="preserve"> REF _Ref141215693 \w \h </w:instrText>
            </w:r>
            <w:r>
              <w:fldChar w:fldCharType="separate"/>
            </w:r>
            <w:r w:rsidR="009749A0">
              <w:t>8</w:t>
            </w:r>
            <w:r>
              <w:fldChar w:fldCharType="end"/>
            </w:r>
          </w:p>
        </w:tc>
        <w:tc>
          <w:tcPr>
            <w:tcW w:w="2967" w:type="dxa"/>
          </w:tcPr>
          <w:p w14:paraId="23201AB9" w14:textId="77777777" w:rsidR="00D578DC" w:rsidRPr="00BD6C5F" w:rsidRDefault="00D578DC" w:rsidP="00D578DC">
            <w:pPr>
              <w:pStyle w:val="Tabletext"/>
            </w:pPr>
            <w:r w:rsidRPr="00BD6C5F">
              <w:t>Test Report</w:t>
            </w:r>
          </w:p>
        </w:tc>
        <w:tc>
          <w:tcPr>
            <w:tcW w:w="2002" w:type="dxa"/>
          </w:tcPr>
          <w:p w14:paraId="21AE02BA" w14:textId="77777777" w:rsidR="00D578DC" w:rsidRPr="00BD6C5F" w:rsidRDefault="00D578DC" w:rsidP="00D578DC">
            <w:pPr>
              <w:pStyle w:val="Tabletext"/>
            </w:pPr>
            <w:r w:rsidRPr="00BD6C5F">
              <w:t>As appropriate and agreed by the Authority</w:t>
            </w:r>
          </w:p>
        </w:tc>
        <w:tc>
          <w:tcPr>
            <w:tcW w:w="2667" w:type="dxa"/>
          </w:tcPr>
          <w:p w14:paraId="2BAB530B" w14:textId="77777777" w:rsidR="00D578DC" w:rsidRPr="00BD6C5F" w:rsidRDefault="00D578DC" w:rsidP="00D578DC">
            <w:pPr>
              <w:pStyle w:val="Tabletext"/>
            </w:pPr>
            <w:r w:rsidRPr="00BD6C5F">
              <w:t>2 Working Days prior to the date on which the test is planned to end for the Draft Test Report</w:t>
            </w:r>
          </w:p>
          <w:p w14:paraId="669D8CAF" w14:textId="77777777" w:rsidR="00D578DC" w:rsidRPr="00BD6C5F" w:rsidRDefault="00D578DC" w:rsidP="00D578DC">
            <w:pPr>
              <w:pStyle w:val="Tabletext"/>
            </w:pPr>
            <w:r w:rsidRPr="00BD6C5F">
              <w:t>5 days for the Final Test Report following the relevant test completion</w:t>
            </w:r>
          </w:p>
        </w:tc>
        <w:tc>
          <w:tcPr>
            <w:tcW w:w="2721" w:type="dxa"/>
          </w:tcPr>
          <w:p w14:paraId="452AFE8C" w14:textId="77777777" w:rsidR="00D578DC" w:rsidRPr="00BD6C5F" w:rsidRDefault="00D578DC" w:rsidP="00D578DC">
            <w:pPr>
              <w:pStyle w:val="Tabletext"/>
            </w:pPr>
            <w:r w:rsidRPr="00BD6C5F">
              <w:t>Reissue with each retest</w:t>
            </w:r>
          </w:p>
        </w:tc>
        <w:tc>
          <w:tcPr>
            <w:tcW w:w="2438" w:type="dxa"/>
          </w:tcPr>
          <w:p w14:paraId="1D742D0F" w14:textId="77777777" w:rsidR="00D578DC" w:rsidRPr="00BD6C5F" w:rsidRDefault="00D578DC" w:rsidP="00D578DC">
            <w:pPr>
              <w:pStyle w:val="Tabletext"/>
            </w:pPr>
            <w:r w:rsidRPr="00BD6C5F">
              <w:t>Authority</w:t>
            </w:r>
          </w:p>
        </w:tc>
      </w:tr>
      <w:tr w:rsidR="00D578DC" w:rsidRPr="00BD6C5F" w14:paraId="57F5568D" w14:textId="77777777" w:rsidTr="00D51340">
        <w:tc>
          <w:tcPr>
            <w:tcW w:w="2381" w:type="dxa"/>
          </w:tcPr>
          <w:p w14:paraId="2BDF5AC7" w14:textId="6B1646F7" w:rsidR="00D578DC" w:rsidRPr="00BD6C5F" w:rsidRDefault="00D578DC" w:rsidP="00D578DC">
            <w:pPr>
              <w:pStyle w:val="Tabletext"/>
            </w:pPr>
            <w:r w:rsidRPr="00BD6C5F">
              <w:t xml:space="preserve">Sch </w:t>
            </w:r>
            <w:r>
              <w:fldChar w:fldCharType="begin"/>
            </w:r>
            <w:r>
              <w:instrText xml:space="preserve"> REF Schedule_15 \h </w:instrText>
            </w:r>
            <w:r>
              <w:fldChar w:fldCharType="separate"/>
            </w:r>
            <w:r w:rsidR="009749A0">
              <w:t>15</w:t>
            </w:r>
            <w:r>
              <w:fldChar w:fldCharType="end"/>
            </w:r>
            <w:r w:rsidRPr="00BD6C5F">
              <w:t xml:space="preserve">, Part </w:t>
            </w:r>
            <w:r>
              <w:fldChar w:fldCharType="begin"/>
            </w:r>
            <w:r>
              <w:instrText xml:space="preserve"> REF Schedule_15_Part_E \h </w:instrText>
            </w:r>
            <w:r>
              <w:fldChar w:fldCharType="separate"/>
            </w:r>
            <w:r w:rsidR="009749A0" w:rsidRPr="00BD6C5F">
              <w:t>E</w:t>
            </w:r>
            <w:r>
              <w:fldChar w:fldCharType="end"/>
            </w:r>
            <w:r w:rsidRPr="00BD6C5F">
              <w:t xml:space="preserve">, Para </w:t>
            </w:r>
            <w:r>
              <w:fldChar w:fldCharType="begin"/>
            </w:r>
            <w:r>
              <w:instrText xml:space="preserve"> REF _Ref141215764 \w \h </w:instrText>
            </w:r>
            <w:r>
              <w:fldChar w:fldCharType="separate"/>
            </w:r>
            <w:r w:rsidR="009749A0">
              <w:t>1.1</w:t>
            </w:r>
            <w:r>
              <w:fldChar w:fldCharType="end"/>
            </w:r>
          </w:p>
        </w:tc>
        <w:tc>
          <w:tcPr>
            <w:tcW w:w="2967" w:type="dxa"/>
          </w:tcPr>
          <w:p w14:paraId="32AA3D3D" w14:textId="77777777" w:rsidR="00D578DC" w:rsidRPr="00BD6C5F" w:rsidRDefault="00D578DC" w:rsidP="00D578DC">
            <w:pPr>
              <w:pStyle w:val="Tabletext"/>
            </w:pPr>
            <w:r w:rsidRPr="00BD6C5F">
              <w:t>Template Invoice</w:t>
            </w:r>
          </w:p>
        </w:tc>
        <w:tc>
          <w:tcPr>
            <w:tcW w:w="2002" w:type="dxa"/>
          </w:tcPr>
          <w:p w14:paraId="47FC28CC" w14:textId="77777777" w:rsidR="00D578DC" w:rsidRPr="00BD6C5F" w:rsidRDefault="00D578DC" w:rsidP="00D578DC">
            <w:pPr>
              <w:pStyle w:val="Tabletext"/>
            </w:pPr>
            <w:r w:rsidRPr="00BD6C5F">
              <w:t>As appropriate and agreed by the Authority</w:t>
            </w:r>
          </w:p>
        </w:tc>
        <w:tc>
          <w:tcPr>
            <w:tcW w:w="2667" w:type="dxa"/>
          </w:tcPr>
          <w:p w14:paraId="2FB5F992" w14:textId="77777777" w:rsidR="00D578DC" w:rsidRPr="00BD6C5F" w:rsidRDefault="00D578DC" w:rsidP="00D578DC">
            <w:pPr>
              <w:pStyle w:val="Tabletext"/>
            </w:pPr>
            <w:r w:rsidRPr="00BD6C5F">
              <w:t>Within 10 Working Days of the Effective Date</w:t>
            </w:r>
          </w:p>
        </w:tc>
        <w:tc>
          <w:tcPr>
            <w:tcW w:w="2721" w:type="dxa"/>
          </w:tcPr>
          <w:p w14:paraId="7334193F" w14:textId="393F09C6" w:rsidR="00D578DC" w:rsidRPr="00BD6C5F" w:rsidRDefault="00D578DC" w:rsidP="00D578DC">
            <w:pPr>
              <w:pStyle w:val="Tabletext"/>
            </w:pPr>
            <w:r w:rsidRPr="00BD6C5F">
              <w:t>Upon agreement by the Authority to vary the template</w:t>
            </w:r>
          </w:p>
        </w:tc>
        <w:tc>
          <w:tcPr>
            <w:tcW w:w="2438" w:type="dxa"/>
          </w:tcPr>
          <w:p w14:paraId="30B98378" w14:textId="77777777" w:rsidR="00D578DC" w:rsidRPr="00BD6C5F" w:rsidRDefault="00D578DC" w:rsidP="00D578DC">
            <w:pPr>
              <w:pStyle w:val="Tabletext"/>
            </w:pPr>
            <w:r w:rsidRPr="00BD6C5F">
              <w:t>Authority</w:t>
            </w:r>
          </w:p>
        </w:tc>
      </w:tr>
      <w:tr w:rsidR="00D578DC" w:rsidRPr="00BD6C5F" w14:paraId="20BAB436" w14:textId="77777777" w:rsidTr="00D51340">
        <w:tc>
          <w:tcPr>
            <w:tcW w:w="2381" w:type="dxa"/>
          </w:tcPr>
          <w:p w14:paraId="7A0655C2" w14:textId="29C6D311" w:rsidR="00D578DC" w:rsidRPr="00BD6C5F" w:rsidRDefault="00D578DC" w:rsidP="00D578DC">
            <w:pPr>
              <w:pStyle w:val="Tabletext"/>
            </w:pPr>
            <w:r w:rsidRPr="00BD6C5F">
              <w:t xml:space="preserve">Sch </w:t>
            </w:r>
            <w:r>
              <w:fldChar w:fldCharType="begin"/>
            </w:r>
            <w:r>
              <w:instrText xml:space="preserve"> REF Schedule_15 \h </w:instrText>
            </w:r>
            <w:r>
              <w:fldChar w:fldCharType="separate"/>
            </w:r>
            <w:r w:rsidR="009749A0">
              <w:t>15</w:t>
            </w:r>
            <w:r>
              <w:fldChar w:fldCharType="end"/>
            </w:r>
            <w:r w:rsidRPr="00BD6C5F">
              <w:t>,</w:t>
            </w:r>
          </w:p>
          <w:p w14:paraId="6014DAF3" w14:textId="0701CADB" w:rsidR="00D578DC" w:rsidRPr="00BD6C5F" w:rsidRDefault="00D578DC" w:rsidP="00D578DC">
            <w:pPr>
              <w:pStyle w:val="Tabletext"/>
            </w:pPr>
            <w:r w:rsidRPr="00BD6C5F">
              <w:lastRenderedPageBreak/>
              <w:t xml:space="preserve">Annex </w:t>
            </w:r>
            <w:r>
              <w:fldChar w:fldCharType="begin"/>
            </w:r>
            <w:r>
              <w:instrText xml:space="preserve"> REF Schedule_15_Part_E_Annex_4 \h </w:instrText>
            </w:r>
            <w:r>
              <w:fldChar w:fldCharType="separate"/>
            </w:r>
            <w:r w:rsidR="009749A0" w:rsidRPr="00BD6C5F">
              <w:t>4</w:t>
            </w:r>
            <w:r>
              <w:fldChar w:fldCharType="end"/>
            </w:r>
          </w:p>
        </w:tc>
        <w:tc>
          <w:tcPr>
            <w:tcW w:w="2967" w:type="dxa"/>
          </w:tcPr>
          <w:p w14:paraId="1B2096A3" w14:textId="77777777" w:rsidR="00D578DC" w:rsidRPr="00BD6C5F" w:rsidRDefault="00D578DC" w:rsidP="00D578DC">
            <w:pPr>
              <w:pStyle w:val="Tabletext"/>
            </w:pPr>
            <w:r w:rsidRPr="00BD6C5F">
              <w:lastRenderedPageBreak/>
              <w:t>Risk Register</w:t>
            </w:r>
          </w:p>
        </w:tc>
        <w:tc>
          <w:tcPr>
            <w:tcW w:w="2002" w:type="dxa"/>
          </w:tcPr>
          <w:p w14:paraId="4346F4FA" w14:textId="7CBE84AE" w:rsidR="00D578DC" w:rsidRPr="00BD6C5F" w:rsidRDefault="00D578DC" w:rsidP="00D578DC">
            <w:pPr>
              <w:pStyle w:val="Tabletext"/>
            </w:pPr>
            <w:r w:rsidRPr="00BD6C5F">
              <w:t xml:space="preserve">Sch </w:t>
            </w:r>
            <w:r>
              <w:fldChar w:fldCharType="begin"/>
            </w:r>
            <w:r>
              <w:instrText xml:space="preserve"> REF Schedule_15 \h </w:instrText>
            </w:r>
            <w:r>
              <w:fldChar w:fldCharType="separate"/>
            </w:r>
            <w:r w:rsidR="009749A0">
              <w:t>15</w:t>
            </w:r>
            <w:r>
              <w:fldChar w:fldCharType="end"/>
            </w:r>
            <w:r w:rsidRPr="00BD6C5F">
              <w:t xml:space="preserve">, Part </w:t>
            </w:r>
            <w:r>
              <w:fldChar w:fldCharType="begin"/>
            </w:r>
            <w:r>
              <w:instrText xml:space="preserve"> REF Schedule_15_Part_E \h </w:instrText>
            </w:r>
            <w:r>
              <w:fldChar w:fldCharType="separate"/>
            </w:r>
            <w:r w:rsidR="009749A0" w:rsidRPr="00BD6C5F">
              <w:t>E</w:t>
            </w:r>
            <w:r>
              <w:fldChar w:fldCharType="end"/>
            </w:r>
            <w:r w:rsidRPr="00BD6C5F">
              <w:t xml:space="preserve"> Annex</w:t>
            </w:r>
            <w:r>
              <w:t xml:space="preserve"> </w:t>
            </w:r>
            <w:r>
              <w:fldChar w:fldCharType="begin"/>
            </w:r>
            <w:r>
              <w:instrText xml:space="preserve"> REF Schedule_15_Part_E_Annex_4 \h </w:instrText>
            </w:r>
            <w:r>
              <w:fldChar w:fldCharType="separate"/>
            </w:r>
            <w:r w:rsidR="009749A0" w:rsidRPr="00BD6C5F">
              <w:t>4</w:t>
            </w:r>
            <w:r>
              <w:fldChar w:fldCharType="end"/>
            </w:r>
          </w:p>
        </w:tc>
        <w:tc>
          <w:tcPr>
            <w:tcW w:w="2667" w:type="dxa"/>
          </w:tcPr>
          <w:p w14:paraId="1430F231" w14:textId="77777777" w:rsidR="00D578DC" w:rsidRPr="00BD6C5F" w:rsidRDefault="00D578DC" w:rsidP="00D578DC">
            <w:pPr>
              <w:pStyle w:val="Tabletext"/>
            </w:pPr>
            <w:r w:rsidRPr="00BD6C5F">
              <w:t>Effective Date</w:t>
            </w:r>
          </w:p>
        </w:tc>
        <w:tc>
          <w:tcPr>
            <w:tcW w:w="2721" w:type="dxa"/>
          </w:tcPr>
          <w:p w14:paraId="34C7ED56" w14:textId="56B903FD" w:rsidR="00D578DC" w:rsidRPr="00BD6C5F" w:rsidRDefault="00D578DC" w:rsidP="00D578DC">
            <w:pPr>
              <w:pStyle w:val="Tabletext"/>
            </w:pPr>
            <w:r w:rsidRPr="00BD6C5F">
              <w:t xml:space="preserve">Upon agreement by the Authority to vary the by </w:t>
            </w:r>
            <w:r w:rsidRPr="00BD6C5F">
              <w:lastRenderedPageBreak/>
              <w:t>the Risk Management Board</w:t>
            </w:r>
          </w:p>
        </w:tc>
        <w:tc>
          <w:tcPr>
            <w:tcW w:w="2438" w:type="dxa"/>
          </w:tcPr>
          <w:p w14:paraId="74E8C42C" w14:textId="77777777" w:rsidR="00D578DC" w:rsidRPr="00BD6C5F" w:rsidRDefault="00D578DC" w:rsidP="00D578DC">
            <w:pPr>
              <w:pStyle w:val="Tabletext"/>
            </w:pPr>
            <w:r w:rsidRPr="00BD6C5F">
              <w:lastRenderedPageBreak/>
              <w:t>Authority</w:t>
            </w:r>
          </w:p>
        </w:tc>
      </w:tr>
      <w:tr w:rsidR="00D578DC" w:rsidRPr="00BD6C5F" w14:paraId="436E1C3B" w14:textId="77777777" w:rsidTr="00D51340">
        <w:tc>
          <w:tcPr>
            <w:tcW w:w="2381" w:type="dxa"/>
          </w:tcPr>
          <w:p w14:paraId="610CD16B" w14:textId="29A360EA" w:rsidR="00D578DC" w:rsidRPr="00BD6C5F" w:rsidRDefault="00D578DC" w:rsidP="00D578DC">
            <w:pPr>
              <w:pStyle w:val="Tabletext"/>
            </w:pPr>
            <w:r w:rsidRPr="00BD6C5F">
              <w:t xml:space="preserve">Sch </w:t>
            </w:r>
            <w:r>
              <w:fldChar w:fldCharType="begin"/>
            </w:r>
            <w:r>
              <w:instrText xml:space="preserve"> REF Schedule_17 \h </w:instrText>
            </w:r>
            <w:r>
              <w:fldChar w:fldCharType="separate"/>
            </w:r>
            <w:r w:rsidR="009749A0">
              <w:t>17</w:t>
            </w:r>
            <w:r>
              <w:fldChar w:fldCharType="end"/>
            </w:r>
            <w:r w:rsidRPr="00BD6C5F">
              <w:t xml:space="preserve">, Para </w:t>
            </w:r>
            <w:r>
              <w:fldChar w:fldCharType="begin"/>
            </w:r>
            <w:r>
              <w:instrText xml:space="preserve"> REF _Ref98413282 \w \h </w:instrText>
            </w:r>
            <w:r>
              <w:fldChar w:fldCharType="separate"/>
            </w:r>
            <w:r w:rsidR="009749A0">
              <w:t>4</w:t>
            </w:r>
            <w:r>
              <w:fldChar w:fldCharType="end"/>
            </w:r>
          </w:p>
        </w:tc>
        <w:tc>
          <w:tcPr>
            <w:tcW w:w="2967" w:type="dxa"/>
          </w:tcPr>
          <w:p w14:paraId="43CAE18B" w14:textId="77777777" w:rsidR="00D578DC" w:rsidRPr="00BD6C5F" w:rsidRDefault="00D578DC" w:rsidP="00D578DC">
            <w:pPr>
              <w:pStyle w:val="Tabletext"/>
            </w:pPr>
            <w:r w:rsidRPr="00BD6C5F">
              <w:t>Benchmarking Plan</w:t>
            </w:r>
          </w:p>
        </w:tc>
        <w:tc>
          <w:tcPr>
            <w:tcW w:w="2002" w:type="dxa"/>
          </w:tcPr>
          <w:p w14:paraId="593B6C02" w14:textId="0C1D5F8F" w:rsidR="00D578DC" w:rsidRPr="00BD6C5F" w:rsidRDefault="00D578DC" w:rsidP="00D578DC">
            <w:pPr>
              <w:pStyle w:val="Tabletext"/>
            </w:pPr>
            <w:r w:rsidRPr="00BD6C5F">
              <w:t xml:space="preserve">Sch </w:t>
            </w:r>
            <w:r>
              <w:fldChar w:fldCharType="begin"/>
            </w:r>
            <w:r>
              <w:instrText xml:space="preserve"> REF Schedule_17 \h </w:instrText>
            </w:r>
            <w:r>
              <w:fldChar w:fldCharType="separate"/>
            </w:r>
            <w:r w:rsidR="009749A0">
              <w:t>17</w:t>
            </w:r>
            <w:r>
              <w:fldChar w:fldCharType="end"/>
            </w:r>
          </w:p>
        </w:tc>
        <w:tc>
          <w:tcPr>
            <w:tcW w:w="2667" w:type="dxa"/>
          </w:tcPr>
          <w:p w14:paraId="57AB72C0" w14:textId="77777777" w:rsidR="00D578DC" w:rsidRPr="00BD6C5F" w:rsidRDefault="00D578DC" w:rsidP="00D578DC">
            <w:pPr>
              <w:pStyle w:val="Tabletext"/>
            </w:pPr>
            <w:r w:rsidRPr="00BD6C5F">
              <w:t>Upon receipt from Benchmarker</w:t>
            </w:r>
          </w:p>
        </w:tc>
        <w:tc>
          <w:tcPr>
            <w:tcW w:w="2721" w:type="dxa"/>
          </w:tcPr>
          <w:p w14:paraId="675E0A69" w14:textId="77777777" w:rsidR="00D578DC" w:rsidRPr="00BD6C5F" w:rsidRDefault="00D578DC" w:rsidP="00D578DC">
            <w:pPr>
              <w:pStyle w:val="Tabletext"/>
            </w:pPr>
            <w:r w:rsidRPr="00BD6C5F">
              <w:t>Approval of Plan</w:t>
            </w:r>
          </w:p>
        </w:tc>
        <w:tc>
          <w:tcPr>
            <w:tcW w:w="2438" w:type="dxa"/>
          </w:tcPr>
          <w:p w14:paraId="1DC2561B" w14:textId="77777777" w:rsidR="00D578DC" w:rsidRPr="00BD6C5F" w:rsidRDefault="00D578DC" w:rsidP="00D578DC">
            <w:pPr>
              <w:pStyle w:val="Tabletext"/>
            </w:pPr>
            <w:r w:rsidRPr="00BD6C5F">
              <w:t>Authority and Auditor</w:t>
            </w:r>
          </w:p>
        </w:tc>
      </w:tr>
      <w:tr w:rsidR="00D578DC" w:rsidRPr="00BD6C5F" w14:paraId="67F8E7B9" w14:textId="77777777" w:rsidTr="00D51340">
        <w:tc>
          <w:tcPr>
            <w:tcW w:w="2381" w:type="dxa"/>
          </w:tcPr>
          <w:p w14:paraId="493F2509" w14:textId="52B52BAC" w:rsidR="00D578DC" w:rsidRPr="00BD6C5F" w:rsidRDefault="00D578DC" w:rsidP="00D578DC">
            <w:pPr>
              <w:pStyle w:val="Tabletext"/>
            </w:pPr>
            <w:r w:rsidRPr="00BD6C5F">
              <w:t xml:space="preserve">Sch </w:t>
            </w:r>
            <w:r>
              <w:fldChar w:fldCharType="begin"/>
            </w:r>
            <w:r>
              <w:instrText xml:space="preserve"> REF Schedule_17 \h </w:instrText>
            </w:r>
            <w:r>
              <w:fldChar w:fldCharType="separate"/>
            </w:r>
            <w:r w:rsidR="009749A0">
              <w:t>17</w:t>
            </w:r>
            <w:r>
              <w:fldChar w:fldCharType="end"/>
            </w:r>
            <w:r w:rsidRPr="00BD6C5F">
              <w:t xml:space="preserve">, Para </w:t>
            </w:r>
            <w:r>
              <w:fldChar w:fldCharType="begin"/>
            </w:r>
            <w:r>
              <w:instrText xml:space="preserve"> REF _Ref98413272 \w \h </w:instrText>
            </w:r>
            <w:r>
              <w:fldChar w:fldCharType="separate"/>
            </w:r>
            <w:r w:rsidR="009749A0">
              <w:t>5</w:t>
            </w:r>
            <w:r>
              <w:fldChar w:fldCharType="end"/>
            </w:r>
          </w:p>
        </w:tc>
        <w:tc>
          <w:tcPr>
            <w:tcW w:w="2967" w:type="dxa"/>
          </w:tcPr>
          <w:p w14:paraId="167C99EC" w14:textId="77777777" w:rsidR="00D578DC" w:rsidRPr="00BD6C5F" w:rsidRDefault="00D578DC" w:rsidP="00D578DC">
            <w:pPr>
              <w:pStyle w:val="Tabletext"/>
            </w:pPr>
            <w:r w:rsidRPr="00BD6C5F">
              <w:t>Benchmarking report</w:t>
            </w:r>
          </w:p>
        </w:tc>
        <w:tc>
          <w:tcPr>
            <w:tcW w:w="2002" w:type="dxa"/>
          </w:tcPr>
          <w:p w14:paraId="4529A96F" w14:textId="20D8CB82" w:rsidR="00D578DC" w:rsidRPr="00BD6C5F" w:rsidRDefault="00D578DC" w:rsidP="00D578DC">
            <w:pPr>
              <w:pStyle w:val="Tabletext"/>
            </w:pPr>
            <w:r w:rsidRPr="00BD6C5F">
              <w:t xml:space="preserve">Sch </w:t>
            </w:r>
            <w:r>
              <w:fldChar w:fldCharType="begin"/>
            </w:r>
            <w:r>
              <w:instrText xml:space="preserve"> REF Schedule_17 \h </w:instrText>
            </w:r>
            <w:r>
              <w:fldChar w:fldCharType="separate"/>
            </w:r>
            <w:r w:rsidR="009749A0">
              <w:t>17</w:t>
            </w:r>
            <w:r>
              <w:fldChar w:fldCharType="end"/>
            </w:r>
          </w:p>
        </w:tc>
        <w:tc>
          <w:tcPr>
            <w:tcW w:w="2667" w:type="dxa"/>
          </w:tcPr>
          <w:p w14:paraId="6A55D1BA" w14:textId="77777777" w:rsidR="00D578DC" w:rsidRPr="00BD6C5F" w:rsidRDefault="00D578DC" w:rsidP="00D578DC">
            <w:pPr>
              <w:pStyle w:val="Tabletext"/>
            </w:pPr>
            <w:r w:rsidRPr="00BD6C5F">
              <w:t>Upon receipt from Benchmarker</w:t>
            </w:r>
          </w:p>
        </w:tc>
        <w:tc>
          <w:tcPr>
            <w:tcW w:w="2721" w:type="dxa"/>
          </w:tcPr>
          <w:p w14:paraId="795BB491" w14:textId="77777777" w:rsidR="00D578DC" w:rsidRPr="00BD6C5F" w:rsidRDefault="00D578DC" w:rsidP="00D578DC">
            <w:pPr>
              <w:pStyle w:val="Tabletext"/>
            </w:pPr>
            <w:r w:rsidRPr="00BD6C5F">
              <w:t>Any update</w:t>
            </w:r>
          </w:p>
        </w:tc>
        <w:tc>
          <w:tcPr>
            <w:tcW w:w="2438" w:type="dxa"/>
          </w:tcPr>
          <w:p w14:paraId="4E2B2360" w14:textId="77777777" w:rsidR="00D578DC" w:rsidRPr="00BD6C5F" w:rsidRDefault="00D578DC" w:rsidP="00D578DC">
            <w:pPr>
              <w:pStyle w:val="Tabletext"/>
            </w:pPr>
            <w:r w:rsidRPr="00BD6C5F">
              <w:t>Authority and Auditor</w:t>
            </w:r>
          </w:p>
        </w:tc>
      </w:tr>
      <w:tr w:rsidR="00D578DC" w:rsidRPr="00BD6C5F" w14:paraId="08DEC455" w14:textId="77777777" w:rsidTr="00D51340">
        <w:tc>
          <w:tcPr>
            <w:tcW w:w="2381" w:type="dxa"/>
          </w:tcPr>
          <w:p w14:paraId="4B3042E7" w14:textId="49E6832D" w:rsidR="00D578DC" w:rsidRPr="00BD6C5F" w:rsidRDefault="00D578DC" w:rsidP="00D578DC">
            <w:pPr>
              <w:pStyle w:val="Tabletext"/>
            </w:pPr>
            <w:r w:rsidRPr="00BD6C5F">
              <w:t xml:space="preserve">Sch </w:t>
            </w:r>
            <w:r>
              <w:fldChar w:fldCharType="begin"/>
            </w:r>
            <w:r>
              <w:instrText xml:space="preserve"> REF Schedule_18 \h </w:instrText>
            </w:r>
            <w:r>
              <w:fldChar w:fldCharType="separate"/>
            </w:r>
            <w:r w:rsidR="009749A0">
              <w:t>18</w:t>
            </w:r>
            <w:r>
              <w:fldChar w:fldCharType="end"/>
            </w:r>
            <w:r w:rsidRPr="00BD6C5F">
              <w:t xml:space="preserve"> Para </w:t>
            </w:r>
            <w:r>
              <w:fldChar w:fldCharType="begin"/>
            </w:r>
            <w:r>
              <w:instrText xml:space="preserve"> REF _Ref98414492 \w \h </w:instrText>
            </w:r>
            <w:r>
              <w:fldChar w:fldCharType="separate"/>
            </w:r>
            <w:r w:rsidR="009749A0">
              <w:t>2.3.2</w:t>
            </w:r>
            <w:r>
              <w:fldChar w:fldCharType="end"/>
            </w:r>
          </w:p>
        </w:tc>
        <w:tc>
          <w:tcPr>
            <w:tcW w:w="2967" w:type="dxa"/>
          </w:tcPr>
          <w:p w14:paraId="1583791A" w14:textId="77777777" w:rsidR="00D578DC" w:rsidRPr="00BD6C5F" w:rsidRDefault="00D578DC" w:rsidP="00D578DC">
            <w:pPr>
              <w:pStyle w:val="Tabletext"/>
            </w:pPr>
            <w:r w:rsidRPr="00BD6C5F">
              <w:t>Financial Indicator Reports</w:t>
            </w:r>
          </w:p>
        </w:tc>
        <w:tc>
          <w:tcPr>
            <w:tcW w:w="2002" w:type="dxa"/>
          </w:tcPr>
          <w:p w14:paraId="6FC9A479" w14:textId="6633673B" w:rsidR="00D578DC" w:rsidRPr="00BD6C5F" w:rsidRDefault="00D578DC" w:rsidP="00D578DC">
            <w:pPr>
              <w:pStyle w:val="Tabletext"/>
            </w:pPr>
            <w:r w:rsidRPr="00BD6C5F">
              <w:t xml:space="preserve">Sch </w:t>
            </w:r>
            <w:r>
              <w:fldChar w:fldCharType="begin"/>
            </w:r>
            <w:r>
              <w:instrText xml:space="preserve"> REF Schedule_18 \h </w:instrText>
            </w:r>
            <w:r>
              <w:fldChar w:fldCharType="separate"/>
            </w:r>
            <w:r w:rsidR="009749A0">
              <w:t>18</w:t>
            </w:r>
            <w:r>
              <w:fldChar w:fldCharType="end"/>
            </w:r>
            <w:r w:rsidRPr="00BD6C5F">
              <w:t xml:space="preserve"> para </w:t>
            </w:r>
            <w:r>
              <w:fldChar w:fldCharType="begin"/>
            </w:r>
            <w:r>
              <w:instrText xml:space="preserve"> REF _Ref141215936 \w \h </w:instrText>
            </w:r>
            <w:r>
              <w:fldChar w:fldCharType="separate"/>
            </w:r>
            <w:r w:rsidR="009749A0">
              <w:t>2.5</w:t>
            </w:r>
            <w:r>
              <w:fldChar w:fldCharType="end"/>
            </w:r>
          </w:p>
        </w:tc>
        <w:tc>
          <w:tcPr>
            <w:tcW w:w="2667" w:type="dxa"/>
          </w:tcPr>
          <w:p w14:paraId="25B7A17B" w14:textId="6D3D42A7" w:rsidR="00D578DC" w:rsidRPr="00BD6C5F" w:rsidRDefault="00D578DC" w:rsidP="00D578DC">
            <w:pPr>
              <w:pStyle w:val="Tabletext"/>
            </w:pPr>
            <w:r w:rsidRPr="00BD6C5F">
              <w:t xml:space="preserve">As specified in para </w:t>
            </w:r>
            <w:r>
              <w:fldChar w:fldCharType="begin"/>
            </w:r>
            <w:r>
              <w:instrText xml:space="preserve"> REF _Ref98414492 \w \h </w:instrText>
            </w:r>
            <w:r>
              <w:fldChar w:fldCharType="separate"/>
            </w:r>
            <w:r w:rsidR="009749A0">
              <w:t>2.3.2</w:t>
            </w:r>
            <w:r>
              <w:fldChar w:fldCharType="end"/>
            </w:r>
            <w:r w:rsidR="0076045C">
              <w:t xml:space="preserve"> </w:t>
            </w:r>
            <w:r w:rsidRPr="00BD6C5F">
              <w:t xml:space="preserve">of Sch </w:t>
            </w:r>
            <w:r>
              <w:fldChar w:fldCharType="begin"/>
            </w:r>
            <w:r>
              <w:instrText xml:space="preserve"> REF Schedule_18 \h </w:instrText>
            </w:r>
            <w:r>
              <w:fldChar w:fldCharType="separate"/>
            </w:r>
            <w:r w:rsidR="009749A0">
              <w:t>18</w:t>
            </w:r>
            <w:r>
              <w:fldChar w:fldCharType="end"/>
            </w:r>
          </w:p>
        </w:tc>
        <w:tc>
          <w:tcPr>
            <w:tcW w:w="2721" w:type="dxa"/>
          </w:tcPr>
          <w:p w14:paraId="10BAB857" w14:textId="7E158A9B" w:rsidR="00D578DC" w:rsidRPr="00BD6C5F" w:rsidRDefault="00D578DC" w:rsidP="00D578DC">
            <w:pPr>
              <w:pStyle w:val="Tabletext"/>
            </w:pPr>
            <w:r w:rsidRPr="00BD6C5F">
              <w:t xml:space="preserve">As specified in para </w:t>
            </w:r>
            <w:r>
              <w:fldChar w:fldCharType="begin"/>
            </w:r>
            <w:r>
              <w:instrText xml:space="preserve"> REF _Ref98414492 \w \h </w:instrText>
            </w:r>
            <w:r>
              <w:fldChar w:fldCharType="separate"/>
            </w:r>
            <w:r w:rsidR="009749A0">
              <w:t>2.3.2</w:t>
            </w:r>
            <w:r>
              <w:fldChar w:fldCharType="end"/>
            </w:r>
            <w:r>
              <w:t xml:space="preserve"> </w:t>
            </w:r>
            <w:r w:rsidRPr="00BD6C5F">
              <w:t xml:space="preserve">of Sch </w:t>
            </w:r>
            <w:r>
              <w:fldChar w:fldCharType="begin"/>
            </w:r>
            <w:r>
              <w:instrText xml:space="preserve"> REF Schedule_18 \h </w:instrText>
            </w:r>
            <w:r>
              <w:fldChar w:fldCharType="separate"/>
            </w:r>
            <w:r w:rsidR="009749A0">
              <w:t>18</w:t>
            </w:r>
            <w:r>
              <w:fldChar w:fldCharType="end"/>
            </w:r>
          </w:p>
        </w:tc>
        <w:tc>
          <w:tcPr>
            <w:tcW w:w="2438" w:type="dxa"/>
          </w:tcPr>
          <w:p w14:paraId="663E8E1C" w14:textId="77777777" w:rsidR="00D578DC" w:rsidRPr="00BD6C5F" w:rsidRDefault="00D578DC" w:rsidP="00D578DC">
            <w:pPr>
              <w:pStyle w:val="Tabletext"/>
            </w:pPr>
            <w:r w:rsidRPr="00BD6C5F">
              <w:t>Authority</w:t>
            </w:r>
          </w:p>
        </w:tc>
      </w:tr>
      <w:tr w:rsidR="00D578DC" w:rsidRPr="00BD6C5F" w14:paraId="0EBDC383" w14:textId="77777777" w:rsidTr="00D51340">
        <w:tc>
          <w:tcPr>
            <w:tcW w:w="2381" w:type="dxa"/>
          </w:tcPr>
          <w:p w14:paraId="651EA387" w14:textId="44104240" w:rsidR="00D578DC" w:rsidRPr="00BD6C5F" w:rsidRDefault="00D578DC" w:rsidP="00D578DC">
            <w:pPr>
              <w:pStyle w:val="Tabletext"/>
            </w:pPr>
            <w:r w:rsidRPr="00BD6C5F">
              <w:t xml:space="preserve">Sch </w:t>
            </w:r>
            <w:r>
              <w:fldChar w:fldCharType="begin"/>
            </w:r>
            <w:r>
              <w:instrText xml:space="preserve"> REF Schedule_18 \h </w:instrText>
            </w:r>
            <w:r>
              <w:fldChar w:fldCharType="separate"/>
            </w:r>
            <w:r w:rsidR="009749A0">
              <w:t>18</w:t>
            </w:r>
            <w:r>
              <w:fldChar w:fldCharType="end"/>
            </w:r>
            <w:r w:rsidRPr="00BD6C5F">
              <w:t xml:space="preserve"> Para </w:t>
            </w:r>
            <w:r>
              <w:fldChar w:fldCharType="begin"/>
            </w:r>
            <w:r>
              <w:instrText xml:space="preserve"> REF _Ref141215946 \w \h </w:instrText>
            </w:r>
            <w:r>
              <w:fldChar w:fldCharType="separate"/>
            </w:r>
            <w:r w:rsidR="009749A0">
              <w:t>4.3.2</w:t>
            </w:r>
            <w:r>
              <w:fldChar w:fldCharType="end"/>
            </w:r>
          </w:p>
        </w:tc>
        <w:tc>
          <w:tcPr>
            <w:tcW w:w="2967" w:type="dxa"/>
          </w:tcPr>
          <w:p w14:paraId="63746A27" w14:textId="77777777" w:rsidR="00D578DC" w:rsidRPr="00BD6C5F" w:rsidRDefault="00D578DC" w:rsidP="00D578DC">
            <w:pPr>
              <w:pStyle w:val="Tabletext"/>
            </w:pPr>
            <w:r w:rsidRPr="00BD6C5F">
              <w:t>Financial Distress Remediation Plan</w:t>
            </w:r>
          </w:p>
        </w:tc>
        <w:tc>
          <w:tcPr>
            <w:tcW w:w="2002" w:type="dxa"/>
          </w:tcPr>
          <w:p w14:paraId="04193A88" w14:textId="77777777" w:rsidR="00D578DC" w:rsidRPr="00BD6C5F" w:rsidRDefault="00D578DC" w:rsidP="00D578DC">
            <w:pPr>
              <w:pStyle w:val="Tabletext"/>
            </w:pPr>
            <w:r w:rsidRPr="00BD6C5F">
              <w:t>As appropriate and agreed by the Authority</w:t>
            </w:r>
          </w:p>
        </w:tc>
        <w:tc>
          <w:tcPr>
            <w:tcW w:w="2667" w:type="dxa"/>
          </w:tcPr>
          <w:p w14:paraId="56E71725" w14:textId="77777777" w:rsidR="00D578DC" w:rsidRPr="00BD6C5F" w:rsidRDefault="00D578DC" w:rsidP="00D578DC">
            <w:pPr>
              <w:pStyle w:val="Tabletext"/>
            </w:pPr>
            <w:r w:rsidRPr="00BD6C5F">
              <w:t>As soon as reasonably practicable and in any event within 10 Working Days of initial notification or awareness of a Financial Distress Event</w:t>
            </w:r>
          </w:p>
        </w:tc>
        <w:tc>
          <w:tcPr>
            <w:tcW w:w="2721" w:type="dxa"/>
          </w:tcPr>
          <w:p w14:paraId="7A6FD8EE" w14:textId="77777777" w:rsidR="00D578DC" w:rsidRPr="00BD6C5F" w:rsidRDefault="00D578DC" w:rsidP="00D578DC">
            <w:pPr>
              <w:pStyle w:val="Tabletext"/>
            </w:pPr>
            <w:r w:rsidRPr="00BD6C5F">
              <w:t>On a regular basis (not less than fortnightly)</w:t>
            </w:r>
          </w:p>
        </w:tc>
        <w:tc>
          <w:tcPr>
            <w:tcW w:w="2438" w:type="dxa"/>
          </w:tcPr>
          <w:p w14:paraId="2FE21148" w14:textId="77777777" w:rsidR="00D578DC" w:rsidRPr="00BD6C5F" w:rsidRDefault="00D578DC" w:rsidP="00D578DC">
            <w:pPr>
              <w:pStyle w:val="Tabletext"/>
            </w:pPr>
            <w:r w:rsidRPr="00BD6C5F">
              <w:t>Authority</w:t>
            </w:r>
          </w:p>
        </w:tc>
      </w:tr>
      <w:tr w:rsidR="001A5C4A" w:rsidRPr="00BD6C5F" w14:paraId="179B9CFD" w14:textId="77777777" w:rsidTr="00D51340">
        <w:tc>
          <w:tcPr>
            <w:tcW w:w="2381" w:type="dxa"/>
          </w:tcPr>
          <w:p w14:paraId="3E574A55" w14:textId="530E7D15" w:rsidR="001A5C4A" w:rsidRPr="00BD6C5F" w:rsidRDefault="001A5C4A" w:rsidP="001A5C4A">
            <w:pPr>
              <w:pStyle w:val="Tabletext"/>
            </w:pPr>
            <w:r>
              <w:rPr>
                <w:rFonts w:eastAsia="Arial" w:cs="Arial"/>
                <w:color w:val="000000"/>
              </w:rPr>
              <w:t xml:space="preserve">Sch </w:t>
            </w:r>
            <w:r w:rsidR="00D85DC1">
              <w:rPr>
                <w:rFonts w:eastAsia="Arial" w:cs="Arial"/>
                <w:color w:val="000000"/>
              </w:rPr>
              <w:fldChar w:fldCharType="begin"/>
            </w:r>
            <w:r w:rsidR="00D85DC1">
              <w:rPr>
                <w:rFonts w:eastAsia="Arial" w:cs="Arial"/>
                <w:color w:val="000000"/>
              </w:rPr>
              <w:instrText xml:space="preserve"> REF Schedule_18 \h </w:instrText>
            </w:r>
            <w:r w:rsidR="00D85DC1">
              <w:rPr>
                <w:rFonts w:eastAsia="Arial" w:cs="Arial"/>
                <w:color w:val="000000"/>
              </w:rPr>
            </w:r>
            <w:r w:rsidR="00D85DC1">
              <w:rPr>
                <w:rFonts w:eastAsia="Arial" w:cs="Arial"/>
                <w:color w:val="000000"/>
              </w:rPr>
              <w:fldChar w:fldCharType="separate"/>
            </w:r>
            <w:r w:rsidR="009749A0">
              <w:t>18</w:t>
            </w:r>
            <w:r w:rsidR="00D85DC1">
              <w:rPr>
                <w:rFonts w:eastAsia="Arial" w:cs="Arial"/>
                <w:color w:val="000000"/>
              </w:rPr>
              <w:fldChar w:fldCharType="end"/>
            </w:r>
            <w:r>
              <w:rPr>
                <w:rFonts w:eastAsia="Arial" w:cs="Arial"/>
                <w:color w:val="000000"/>
              </w:rPr>
              <w:t xml:space="preserve">, Para </w:t>
            </w:r>
            <w:r w:rsidR="0076045C">
              <w:rPr>
                <w:rFonts w:eastAsia="Arial" w:cs="Arial"/>
                <w:color w:val="000000"/>
              </w:rPr>
              <w:fldChar w:fldCharType="begin"/>
            </w:r>
            <w:r w:rsidR="0076045C">
              <w:rPr>
                <w:rFonts w:eastAsia="Arial" w:cs="Arial"/>
                <w:color w:val="000000"/>
              </w:rPr>
              <w:instrText xml:space="preserve"> REF _Ref98254029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8</w:t>
            </w:r>
            <w:r w:rsidR="0076045C">
              <w:rPr>
                <w:rFonts w:eastAsia="Arial" w:cs="Arial"/>
                <w:color w:val="000000"/>
              </w:rPr>
              <w:fldChar w:fldCharType="end"/>
            </w:r>
          </w:p>
        </w:tc>
        <w:tc>
          <w:tcPr>
            <w:tcW w:w="2967" w:type="dxa"/>
          </w:tcPr>
          <w:p w14:paraId="35CB7DD0" w14:textId="1BE82AA3" w:rsidR="001A5C4A" w:rsidRPr="00BD6C5F" w:rsidRDefault="001A5C4A" w:rsidP="001A5C4A">
            <w:pPr>
              <w:pStyle w:val="Tabletext"/>
            </w:pPr>
            <w:r>
              <w:rPr>
                <w:rFonts w:eastAsia="Arial" w:cs="Arial"/>
                <w:color w:val="000000"/>
              </w:rPr>
              <w:t>Board Confirmation</w:t>
            </w:r>
          </w:p>
        </w:tc>
        <w:tc>
          <w:tcPr>
            <w:tcW w:w="2002" w:type="dxa"/>
          </w:tcPr>
          <w:p w14:paraId="5AA673B8" w14:textId="23BCC226" w:rsidR="001A5C4A" w:rsidRPr="00BD6C5F" w:rsidRDefault="001A5C4A" w:rsidP="001A5C4A">
            <w:pPr>
              <w:pStyle w:val="Tabletext"/>
            </w:pPr>
            <w:r>
              <w:rPr>
                <w:rFonts w:eastAsia="Arial" w:cs="Arial"/>
                <w:color w:val="000000"/>
              </w:rPr>
              <w:t xml:space="preserve">As set out at Annex </w:t>
            </w:r>
            <w:r w:rsidR="00D85DC1">
              <w:rPr>
                <w:rFonts w:eastAsia="Arial" w:cs="Arial"/>
                <w:color w:val="000000"/>
              </w:rPr>
              <w:fldChar w:fldCharType="begin"/>
            </w:r>
            <w:r w:rsidR="00D85DC1">
              <w:rPr>
                <w:rFonts w:eastAsia="Arial" w:cs="Arial"/>
                <w:color w:val="000000"/>
              </w:rPr>
              <w:instrText xml:space="preserve"> REF Schedule_18_Annex_4 \h </w:instrText>
            </w:r>
            <w:r w:rsidR="00D85DC1">
              <w:rPr>
                <w:rFonts w:eastAsia="Arial" w:cs="Arial"/>
                <w:color w:val="000000"/>
              </w:rPr>
            </w:r>
            <w:r w:rsidR="00D85DC1">
              <w:rPr>
                <w:rFonts w:eastAsia="Arial" w:cs="Arial"/>
                <w:color w:val="000000"/>
              </w:rPr>
              <w:fldChar w:fldCharType="separate"/>
            </w:r>
            <w:r w:rsidR="009749A0" w:rsidRPr="00BD6C5F">
              <w:t>4</w:t>
            </w:r>
            <w:r w:rsidR="00D85DC1">
              <w:rPr>
                <w:rFonts w:eastAsia="Arial" w:cs="Arial"/>
                <w:color w:val="000000"/>
              </w:rPr>
              <w:fldChar w:fldCharType="end"/>
            </w:r>
            <w:r>
              <w:rPr>
                <w:rFonts w:eastAsia="Arial" w:cs="Arial"/>
                <w:color w:val="000000"/>
              </w:rPr>
              <w:t xml:space="preserve"> of Sch </w:t>
            </w:r>
            <w:r w:rsidR="00D85DC1">
              <w:rPr>
                <w:rFonts w:eastAsia="Arial" w:cs="Arial"/>
                <w:color w:val="000000"/>
              </w:rPr>
              <w:fldChar w:fldCharType="begin"/>
            </w:r>
            <w:r w:rsidR="00D85DC1">
              <w:rPr>
                <w:rFonts w:eastAsia="Arial" w:cs="Arial"/>
                <w:color w:val="000000"/>
              </w:rPr>
              <w:instrText xml:space="preserve"> REF Schedule_18 \h </w:instrText>
            </w:r>
            <w:r w:rsidR="00D85DC1">
              <w:rPr>
                <w:rFonts w:eastAsia="Arial" w:cs="Arial"/>
                <w:color w:val="000000"/>
              </w:rPr>
            </w:r>
            <w:r w:rsidR="00D85DC1">
              <w:rPr>
                <w:rFonts w:eastAsia="Arial" w:cs="Arial"/>
                <w:color w:val="000000"/>
              </w:rPr>
              <w:fldChar w:fldCharType="separate"/>
            </w:r>
            <w:r w:rsidR="009749A0">
              <w:t>18</w:t>
            </w:r>
            <w:r w:rsidR="00D85DC1">
              <w:rPr>
                <w:rFonts w:eastAsia="Arial" w:cs="Arial"/>
                <w:color w:val="000000"/>
              </w:rPr>
              <w:fldChar w:fldCharType="end"/>
            </w:r>
          </w:p>
        </w:tc>
        <w:tc>
          <w:tcPr>
            <w:tcW w:w="2667" w:type="dxa"/>
          </w:tcPr>
          <w:p w14:paraId="3EB24DE8" w14:textId="229D5BBB" w:rsidR="001A5C4A" w:rsidRPr="00BD6C5F" w:rsidRDefault="001A5C4A" w:rsidP="001A5C4A">
            <w:pPr>
              <w:pStyle w:val="Tabletext"/>
            </w:pPr>
            <w:r>
              <w:rPr>
                <w:rFonts w:eastAsia="Arial" w:cs="Arial"/>
                <w:color w:val="000000"/>
              </w:rPr>
              <w:t>Within 120 days of the first Accounting Reference Date to occur</w:t>
            </w:r>
          </w:p>
        </w:tc>
        <w:tc>
          <w:tcPr>
            <w:tcW w:w="2721" w:type="dxa"/>
          </w:tcPr>
          <w:p w14:paraId="5963A4FB" w14:textId="09D4DC0B" w:rsidR="001A5C4A" w:rsidRPr="00BD6C5F" w:rsidRDefault="001A5C4A" w:rsidP="001A5C4A">
            <w:pPr>
              <w:pStyle w:val="Tabletext"/>
            </w:pPr>
            <w:r>
              <w:rPr>
                <w:rFonts w:eastAsia="Arial" w:cs="Arial"/>
                <w:color w:val="000000"/>
              </w:rPr>
              <w:t xml:space="preserve">Within 15 months of the previous Board Confirmation provided or within 120 days after each Accounting Reference Date </w:t>
            </w:r>
            <w:r>
              <w:rPr>
                <w:rFonts w:eastAsia="Arial" w:cs="Arial"/>
                <w:color w:val="000000"/>
              </w:rPr>
              <w:lastRenderedPageBreak/>
              <w:t>(whichever is the earlier)</w:t>
            </w:r>
          </w:p>
        </w:tc>
        <w:tc>
          <w:tcPr>
            <w:tcW w:w="2438" w:type="dxa"/>
          </w:tcPr>
          <w:p w14:paraId="5EBD1A02" w14:textId="460A53EF" w:rsidR="001A5C4A" w:rsidRPr="00BD6C5F" w:rsidRDefault="001A5C4A" w:rsidP="001A5C4A">
            <w:pPr>
              <w:pStyle w:val="Tabletext"/>
            </w:pPr>
            <w:r>
              <w:rPr>
                <w:rFonts w:eastAsia="Arial" w:cs="Arial"/>
                <w:color w:val="000000"/>
              </w:rPr>
              <w:lastRenderedPageBreak/>
              <w:t>Authority</w:t>
            </w:r>
          </w:p>
        </w:tc>
      </w:tr>
      <w:tr w:rsidR="001A5C4A" w:rsidRPr="00BD6C5F" w14:paraId="4417C930" w14:textId="77777777" w:rsidTr="00D51340">
        <w:tc>
          <w:tcPr>
            <w:tcW w:w="2381" w:type="dxa"/>
          </w:tcPr>
          <w:p w14:paraId="6BE873C4" w14:textId="0C948A47"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_Ref98415372 \w \h </w:instrText>
            </w:r>
            <w:r>
              <w:fldChar w:fldCharType="separate"/>
            </w:r>
            <w:r w:rsidR="009749A0">
              <w:t>1.1</w:t>
            </w:r>
            <w:r>
              <w:fldChar w:fldCharType="end"/>
            </w:r>
          </w:p>
        </w:tc>
        <w:tc>
          <w:tcPr>
            <w:tcW w:w="2967" w:type="dxa"/>
          </w:tcPr>
          <w:p w14:paraId="4FAE2415" w14:textId="77777777" w:rsidR="001A5C4A" w:rsidRPr="00BD6C5F" w:rsidRDefault="001A5C4A" w:rsidP="001A5C4A">
            <w:pPr>
              <w:pStyle w:val="Tabletext"/>
            </w:pPr>
            <w:r w:rsidRPr="00BD6C5F">
              <w:t>Contract Amendment Report</w:t>
            </w:r>
          </w:p>
        </w:tc>
        <w:tc>
          <w:tcPr>
            <w:tcW w:w="2002" w:type="dxa"/>
          </w:tcPr>
          <w:p w14:paraId="66AB1976" w14:textId="52F5807C"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_Ref98415372 \w \h </w:instrText>
            </w:r>
            <w:r>
              <w:fldChar w:fldCharType="separate"/>
            </w:r>
            <w:r w:rsidR="009749A0">
              <w:t>1.1</w:t>
            </w:r>
            <w:r>
              <w:fldChar w:fldCharType="end"/>
            </w:r>
          </w:p>
        </w:tc>
        <w:tc>
          <w:tcPr>
            <w:tcW w:w="2667" w:type="dxa"/>
          </w:tcPr>
          <w:p w14:paraId="4CFCA9EB" w14:textId="77777777" w:rsidR="001A5C4A" w:rsidRPr="00BD6C5F" w:rsidRDefault="001A5C4A" w:rsidP="001A5C4A">
            <w:pPr>
              <w:pStyle w:val="Tabletext"/>
            </w:pPr>
            <w:r w:rsidRPr="00BD6C5F">
              <w:t>Within 1 month of a material change being agreed</w:t>
            </w:r>
          </w:p>
        </w:tc>
        <w:tc>
          <w:tcPr>
            <w:tcW w:w="2721" w:type="dxa"/>
          </w:tcPr>
          <w:p w14:paraId="140F8559" w14:textId="77777777" w:rsidR="001A5C4A" w:rsidRPr="00BD6C5F" w:rsidRDefault="001A5C4A" w:rsidP="001A5C4A">
            <w:pPr>
              <w:pStyle w:val="Tabletext"/>
            </w:pPr>
            <w:r w:rsidRPr="00BD6C5F">
              <w:t>-</w:t>
            </w:r>
          </w:p>
        </w:tc>
        <w:tc>
          <w:tcPr>
            <w:tcW w:w="2438" w:type="dxa"/>
          </w:tcPr>
          <w:p w14:paraId="327B6D2B" w14:textId="77777777" w:rsidR="001A5C4A" w:rsidRPr="00BD6C5F" w:rsidRDefault="001A5C4A" w:rsidP="001A5C4A">
            <w:pPr>
              <w:pStyle w:val="Tabletext"/>
            </w:pPr>
            <w:r w:rsidRPr="00BD6C5F">
              <w:t>Authority</w:t>
            </w:r>
          </w:p>
        </w:tc>
      </w:tr>
      <w:tr w:rsidR="001A5C4A" w:rsidRPr="00BD6C5F" w14:paraId="00109482" w14:textId="77777777" w:rsidTr="00D51340">
        <w:tc>
          <w:tcPr>
            <w:tcW w:w="2381" w:type="dxa"/>
          </w:tcPr>
          <w:p w14:paraId="662D7B52" w14:textId="461CC04B"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_Ref98415372 \w \h </w:instrText>
            </w:r>
            <w:r>
              <w:fldChar w:fldCharType="separate"/>
            </w:r>
            <w:r w:rsidR="009749A0">
              <w:t>1.1</w:t>
            </w:r>
            <w:r>
              <w:fldChar w:fldCharType="end"/>
            </w:r>
          </w:p>
        </w:tc>
        <w:tc>
          <w:tcPr>
            <w:tcW w:w="2967" w:type="dxa"/>
          </w:tcPr>
          <w:p w14:paraId="79E0D818" w14:textId="77777777" w:rsidR="001A5C4A" w:rsidRPr="00BD6C5F" w:rsidRDefault="001A5C4A" w:rsidP="001A5C4A">
            <w:pPr>
              <w:pStyle w:val="Tabletext"/>
            </w:pPr>
            <w:r w:rsidRPr="00BD6C5F">
              <w:t>Quarterly Contract Report</w:t>
            </w:r>
          </w:p>
        </w:tc>
        <w:tc>
          <w:tcPr>
            <w:tcW w:w="2002" w:type="dxa"/>
          </w:tcPr>
          <w:p w14:paraId="41CF12B8" w14:textId="2A2B59DA"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_Ref141216013 \w \h </w:instrText>
            </w:r>
            <w:r>
              <w:fldChar w:fldCharType="separate"/>
            </w:r>
            <w:r w:rsidR="009749A0">
              <w:t>1.2</w:t>
            </w:r>
            <w:r>
              <w:fldChar w:fldCharType="end"/>
            </w:r>
          </w:p>
        </w:tc>
        <w:tc>
          <w:tcPr>
            <w:tcW w:w="2667" w:type="dxa"/>
          </w:tcPr>
          <w:p w14:paraId="400DFC61" w14:textId="77777777" w:rsidR="001A5C4A" w:rsidRPr="00BD6C5F" w:rsidRDefault="001A5C4A" w:rsidP="001A5C4A">
            <w:pPr>
              <w:pStyle w:val="Tabletext"/>
            </w:pPr>
            <w:r w:rsidRPr="00BD6C5F">
              <w:t>Within 1 month of the end of each Quarter</w:t>
            </w:r>
          </w:p>
        </w:tc>
        <w:tc>
          <w:tcPr>
            <w:tcW w:w="2721" w:type="dxa"/>
          </w:tcPr>
          <w:p w14:paraId="7397DF6A" w14:textId="77777777" w:rsidR="001A5C4A" w:rsidRPr="00BD6C5F" w:rsidRDefault="001A5C4A" w:rsidP="001A5C4A">
            <w:pPr>
              <w:pStyle w:val="Tabletext"/>
            </w:pPr>
            <w:r w:rsidRPr="00BD6C5F">
              <w:t>-</w:t>
            </w:r>
          </w:p>
        </w:tc>
        <w:tc>
          <w:tcPr>
            <w:tcW w:w="2438" w:type="dxa"/>
          </w:tcPr>
          <w:p w14:paraId="2462DEF8" w14:textId="77777777" w:rsidR="001A5C4A" w:rsidRPr="00BD6C5F" w:rsidRDefault="001A5C4A" w:rsidP="001A5C4A">
            <w:pPr>
              <w:pStyle w:val="Tabletext"/>
            </w:pPr>
            <w:r w:rsidRPr="00BD6C5F">
              <w:t>Authority</w:t>
            </w:r>
          </w:p>
        </w:tc>
      </w:tr>
      <w:tr w:rsidR="001A5C4A" w:rsidRPr="00BD6C5F" w14:paraId="684D64B9" w14:textId="77777777" w:rsidTr="00D51340">
        <w:tc>
          <w:tcPr>
            <w:tcW w:w="2381" w:type="dxa"/>
          </w:tcPr>
          <w:p w14:paraId="72061FCC" w14:textId="1D7A6EF1"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_Ref98415372 \w \h </w:instrText>
            </w:r>
            <w:r>
              <w:fldChar w:fldCharType="separate"/>
            </w:r>
            <w:r w:rsidR="009749A0">
              <w:t>1.1</w:t>
            </w:r>
            <w:r>
              <w:fldChar w:fldCharType="end"/>
            </w:r>
          </w:p>
        </w:tc>
        <w:tc>
          <w:tcPr>
            <w:tcW w:w="2967" w:type="dxa"/>
          </w:tcPr>
          <w:p w14:paraId="6FFEB8EE" w14:textId="77777777" w:rsidR="001A5C4A" w:rsidRPr="00BD6C5F" w:rsidRDefault="001A5C4A" w:rsidP="001A5C4A">
            <w:pPr>
              <w:pStyle w:val="Tabletext"/>
            </w:pPr>
            <w:r w:rsidRPr="00BD6C5F">
              <w:t>Annual Contract Report</w:t>
            </w:r>
          </w:p>
        </w:tc>
        <w:tc>
          <w:tcPr>
            <w:tcW w:w="2002" w:type="dxa"/>
          </w:tcPr>
          <w:p w14:paraId="1A0978C6" w14:textId="3C736300"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_Ref141216013 \w \h </w:instrText>
            </w:r>
            <w:r>
              <w:fldChar w:fldCharType="separate"/>
            </w:r>
            <w:r w:rsidR="009749A0">
              <w:t>1.2</w:t>
            </w:r>
            <w:r>
              <w:fldChar w:fldCharType="end"/>
            </w:r>
          </w:p>
        </w:tc>
        <w:tc>
          <w:tcPr>
            <w:tcW w:w="2667" w:type="dxa"/>
          </w:tcPr>
          <w:p w14:paraId="786B1693" w14:textId="77777777" w:rsidR="001A5C4A" w:rsidRPr="00BD6C5F" w:rsidRDefault="001A5C4A" w:rsidP="001A5C4A">
            <w:pPr>
              <w:pStyle w:val="Tabletext"/>
            </w:pPr>
            <w:r w:rsidRPr="00BD6C5F">
              <w:t>Within 1 month of the end of the Contract Year to which that report relates</w:t>
            </w:r>
          </w:p>
        </w:tc>
        <w:tc>
          <w:tcPr>
            <w:tcW w:w="2721" w:type="dxa"/>
          </w:tcPr>
          <w:p w14:paraId="3F4DECA7" w14:textId="77777777" w:rsidR="001A5C4A" w:rsidRPr="00BD6C5F" w:rsidRDefault="001A5C4A" w:rsidP="001A5C4A">
            <w:pPr>
              <w:pStyle w:val="Tabletext"/>
            </w:pPr>
            <w:r w:rsidRPr="00BD6C5F">
              <w:t>-</w:t>
            </w:r>
          </w:p>
        </w:tc>
        <w:tc>
          <w:tcPr>
            <w:tcW w:w="2438" w:type="dxa"/>
          </w:tcPr>
          <w:p w14:paraId="2B7CA833" w14:textId="77777777" w:rsidR="001A5C4A" w:rsidRPr="00BD6C5F" w:rsidRDefault="001A5C4A" w:rsidP="001A5C4A">
            <w:pPr>
              <w:pStyle w:val="Tabletext"/>
            </w:pPr>
            <w:r w:rsidRPr="00BD6C5F">
              <w:t>Authority</w:t>
            </w:r>
          </w:p>
        </w:tc>
      </w:tr>
      <w:tr w:rsidR="001A5C4A" w:rsidRPr="00BD6C5F" w14:paraId="5AF32819" w14:textId="77777777" w:rsidTr="00D51340">
        <w:tc>
          <w:tcPr>
            <w:tcW w:w="2381" w:type="dxa"/>
          </w:tcPr>
          <w:p w14:paraId="588F4D43" w14:textId="2B808DCE"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_Ref98415372 \w \h </w:instrText>
            </w:r>
            <w:r>
              <w:fldChar w:fldCharType="separate"/>
            </w:r>
            <w:r w:rsidR="009749A0">
              <w:t>1.1</w:t>
            </w:r>
            <w:r>
              <w:fldChar w:fldCharType="end"/>
            </w:r>
          </w:p>
        </w:tc>
        <w:tc>
          <w:tcPr>
            <w:tcW w:w="2967" w:type="dxa"/>
          </w:tcPr>
          <w:p w14:paraId="0C93F802" w14:textId="77777777" w:rsidR="001A5C4A" w:rsidRPr="00BD6C5F" w:rsidRDefault="001A5C4A" w:rsidP="001A5C4A">
            <w:pPr>
              <w:pStyle w:val="Tabletext"/>
            </w:pPr>
            <w:r w:rsidRPr="00BD6C5F">
              <w:t>Financial Reconciliation Report</w:t>
            </w:r>
          </w:p>
        </w:tc>
        <w:tc>
          <w:tcPr>
            <w:tcW w:w="2002" w:type="dxa"/>
          </w:tcPr>
          <w:p w14:paraId="239E1116" w14:textId="5C0FFF7A" w:rsidR="001A5C4A" w:rsidRPr="00BD6C5F" w:rsidRDefault="001A5C4A" w:rsidP="001A5C4A">
            <w:pPr>
              <w:pStyle w:val="Tabletext"/>
            </w:pPr>
            <w:r w:rsidRPr="00BD6C5F">
              <w:t xml:space="preserve">Sch </w:t>
            </w:r>
            <w:r>
              <w:fldChar w:fldCharType="begin"/>
            </w:r>
            <w:r>
              <w:instrText xml:space="preserve"> REF Schedule_19 \h </w:instrText>
            </w:r>
            <w:r>
              <w:fldChar w:fldCharType="separate"/>
            </w:r>
            <w:r w:rsidR="009749A0">
              <w:t>19</w:t>
            </w:r>
            <w:r>
              <w:fldChar w:fldCharType="end"/>
            </w:r>
            <w:r w:rsidRPr="00BD6C5F">
              <w:t xml:space="preserve">, Part </w:t>
            </w:r>
            <w:r>
              <w:fldChar w:fldCharType="begin"/>
            </w:r>
            <w:r>
              <w:instrText xml:space="preserve"> REF Schedule_19_Part_B \h </w:instrText>
            </w:r>
            <w:r>
              <w:fldChar w:fldCharType="separate"/>
            </w:r>
            <w:r w:rsidR="009749A0" w:rsidRPr="00BD6C5F">
              <w:t>B</w:t>
            </w:r>
            <w:r>
              <w:fldChar w:fldCharType="end"/>
            </w:r>
            <w:r w:rsidRPr="00BD6C5F">
              <w:t xml:space="preserve">, para </w:t>
            </w:r>
            <w:r>
              <w:fldChar w:fldCharType="begin"/>
            </w:r>
            <w:r>
              <w:instrText xml:space="preserve"> REF _Ref141216013 \w \h </w:instrText>
            </w:r>
            <w:r>
              <w:fldChar w:fldCharType="separate"/>
            </w:r>
            <w:r w:rsidR="009749A0">
              <w:t>1.2</w:t>
            </w:r>
            <w:r>
              <w:fldChar w:fldCharType="end"/>
            </w:r>
          </w:p>
        </w:tc>
        <w:tc>
          <w:tcPr>
            <w:tcW w:w="2667" w:type="dxa"/>
          </w:tcPr>
          <w:p w14:paraId="020240DA" w14:textId="77777777" w:rsidR="001A5C4A" w:rsidRPr="00BD6C5F" w:rsidRDefault="001A5C4A" w:rsidP="001A5C4A">
            <w:pPr>
              <w:pStyle w:val="Tabletext"/>
            </w:pPr>
            <w:r w:rsidRPr="00BD6C5F">
              <w:t>Within 6 months after the end of the Term</w:t>
            </w:r>
          </w:p>
        </w:tc>
        <w:tc>
          <w:tcPr>
            <w:tcW w:w="2721" w:type="dxa"/>
          </w:tcPr>
          <w:p w14:paraId="2B7EA617" w14:textId="77777777" w:rsidR="001A5C4A" w:rsidRPr="00BD6C5F" w:rsidRDefault="001A5C4A" w:rsidP="001A5C4A">
            <w:pPr>
              <w:pStyle w:val="Tabletext"/>
            </w:pPr>
            <w:r w:rsidRPr="00BD6C5F">
              <w:t>-</w:t>
            </w:r>
          </w:p>
        </w:tc>
        <w:tc>
          <w:tcPr>
            <w:tcW w:w="2438" w:type="dxa"/>
          </w:tcPr>
          <w:p w14:paraId="34B6915B" w14:textId="77777777" w:rsidR="001A5C4A" w:rsidRPr="00BD6C5F" w:rsidRDefault="001A5C4A" w:rsidP="001A5C4A">
            <w:pPr>
              <w:pStyle w:val="Tabletext"/>
            </w:pPr>
            <w:r w:rsidRPr="00BD6C5F">
              <w:t>Authority</w:t>
            </w:r>
          </w:p>
        </w:tc>
      </w:tr>
      <w:tr w:rsidR="001A5C4A" w:rsidRPr="00BD6C5F" w14:paraId="6E92A2EC" w14:textId="77777777" w:rsidTr="00D51340">
        <w:tc>
          <w:tcPr>
            <w:tcW w:w="2381" w:type="dxa"/>
          </w:tcPr>
          <w:p w14:paraId="2EAF5316" w14:textId="14C9A8CD" w:rsidR="001A5C4A" w:rsidRPr="00BD6C5F" w:rsidRDefault="001A5C4A" w:rsidP="001A5C4A">
            <w:pPr>
              <w:pStyle w:val="Tabletext"/>
            </w:pPr>
            <w:r w:rsidRPr="00BD6C5F">
              <w:t xml:space="preserve">Sch </w:t>
            </w:r>
            <w:r>
              <w:fldChar w:fldCharType="begin"/>
            </w:r>
            <w:r>
              <w:instrText xml:space="preserve"> REF Schedule_21 \h </w:instrText>
            </w:r>
            <w:r>
              <w:fldChar w:fldCharType="separate"/>
            </w:r>
            <w:r w:rsidR="009749A0">
              <w:t>21</w:t>
            </w:r>
            <w:r>
              <w:fldChar w:fldCharType="end"/>
            </w:r>
            <w:r w:rsidRPr="00BD6C5F">
              <w:t xml:space="preserve">, Para </w:t>
            </w:r>
            <w:r>
              <w:fldChar w:fldCharType="begin"/>
            </w:r>
            <w:r>
              <w:instrText xml:space="preserve"> REF _Ref98416046 \w \h </w:instrText>
            </w:r>
            <w:r>
              <w:fldChar w:fldCharType="separate"/>
            </w:r>
            <w:r w:rsidR="009749A0">
              <w:t>3.3</w:t>
            </w:r>
            <w:r>
              <w:fldChar w:fldCharType="end"/>
            </w:r>
          </w:p>
        </w:tc>
        <w:tc>
          <w:tcPr>
            <w:tcW w:w="2967" w:type="dxa"/>
          </w:tcPr>
          <w:p w14:paraId="1713383B" w14:textId="77777777" w:rsidR="001A5C4A" w:rsidRPr="00BD6C5F" w:rsidRDefault="001A5C4A" w:rsidP="001A5C4A">
            <w:pPr>
              <w:pStyle w:val="Tabletext"/>
            </w:pPr>
            <w:r w:rsidRPr="00BD6C5F">
              <w:t>Representation and Structure of boards</w:t>
            </w:r>
          </w:p>
        </w:tc>
        <w:tc>
          <w:tcPr>
            <w:tcW w:w="2002" w:type="dxa"/>
          </w:tcPr>
          <w:p w14:paraId="5760DC9D" w14:textId="26096220" w:rsidR="001A5C4A" w:rsidRPr="00BD6C5F" w:rsidRDefault="001A5C4A" w:rsidP="001A5C4A">
            <w:pPr>
              <w:pStyle w:val="Tabletext"/>
            </w:pPr>
            <w:r w:rsidRPr="00BD6C5F">
              <w:t xml:space="preserve">Sch </w:t>
            </w:r>
            <w:r>
              <w:fldChar w:fldCharType="begin"/>
            </w:r>
            <w:r>
              <w:instrText xml:space="preserve"> REF Schedule_21 \h </w:instrText>
            </w:r>
            <w:r>
              <w:fldChar w:fldCharType="separate"/>
            </w:r>
            <w:r w:rsidR="009749A0">
              <w:t>21</w:t>
            </w:r>
            <w:r>
              <w:fldChar w:fldCharType="end"/>
            </w:r>
            <w:r w:rsidRPr="00BD6C5F">
              <w:t xml:space="preserve"> Annex </w:t>
            </w:r>
            <w:r>
              <w:fldChar w:fldCharType="begin"/>
            </w:r>
            <w:r>
              <w:instrText xml:space="preserve"> REF Schedule_21_Annex_1 \h </w:instrText>
            </w:r>
            <w:r>
              <w:fldChar w:fldCharType="separate"/>
            </w:r>
            <w:r w:rsidR="009749A0" w:rsidRPr="00BD6C5F">
              <w:t>1</w:t>
            </w:r>
            <w:r>
              <w:fldChar w:fldCharType="end"/>
            </w:r>
          </w:p>
        </w:tc>
        <w:tc>
          <w:tcPr>
            <w:tcW w:w="2667" w:type="dxa"/>
          </w:tcPr>
          <w:p w14:paraId="39FC612E" w14:textId="77777777" w:rsidR="001A5C4A" w:rsidRPr="00BD6C5F" w:rsidRDefault="001A5C4A" w:rsidP="001A5C4A">
            <w:pPr>
              <w:pStyle w:val="Tabletext"/>
            </w:pPr>
            <w:r w:rsidRPr="00BD6C5F">
              <w:t>Within 7 days of receipt of intention, or in the case of a non- Authority board member agreement by the Authority</w:t>
            </w:r>
          </w:p>
        </w:tc>
        <w:tc>
          <w:tcPr>
            <w:tcW w:w="2721" w:type="dxa"/>
          </w:tcPr>
          <w:p w14:paraId="2228FC00" w14:textId="77777777" w:rsidR="001A5C4A" w:rsidRPr="00BD6C5F" w:rsidRDefault="001A5C4A" w:rsidP="001A5C4A">
            <w:pPr>
              <w:pStyle w:val="Tabletext"/>
            </w:pPr>
            <w:r w:rsidRPr="00BD6C5F">
              <w:t>-</w:t>
            </w:r>
          </w:p>
        </w:tc>
        <w:tc>
          <w:tcPr>
            <w:tcW w:w="2438" w:type="dxa"/>
          </w:tcPr>
          <w:p w14:paraId="1958611F" w14:textId="77777777" w:rsidR="001A5C4A" w:rsidRPr="00BD6C5F" w:rsidRDefault="001A5C4A" w:rsidP="001A5C4A">
            <w:pPr>
              <w:pStyle w:val="Tabletext"/>
            </w:pPr>
            <w:r w:rsidRPr="00BD6C5F">
              <w:t>Authority</w:t>
            </w:r>
          </w:p>
        </w:tc>
      </w:tr>
      <w:tr w:rsidR="001A5C4A" w:rsidRPr="00BD6C5F" w14:paraId="773F3143" w14:textId="77777777" w:rsidTr="00D51340">
        <w:tc>
          <w:tcPr>
            <w:tcW w:w="2381" w:type="dxa"/>
          </w:tcPr>
          <w:p w14:paraId="0A812E93" w14:textId="0CAF50B8" w:rsidR="001A5C4A" w:rsidRPr="00BD6C5F" w:rsidRDefault="001A5C4A" w:rsidP="001A5C4A">
            <w:pPr>
              <w:pStyle w:val="Tabletext"/>
            </w:pPr>
            <w:r w:rsidRPr="00BD6C5F">
              <w:t xml:space="preserve">Sch </w:t>
            </w:r>
            <w:r>
              <w:fldChar w:fldCharType="begin"/>
            </w:r>
            <w:r>
              <w:instrText xml:space="preserve"> REF Schedule_21 \h </w:instrText>
            </w:r>
            <w:r>
              <w:fldChar w:fldCharType="separate"/>
            </w:r>
            <w:r w:rsidR="009749A0">
              <w:t>21</w:t>
            </w:r>
            <w:r>
              <w:fldChar w:fldCharType="end"/>
            </w:r>
            <w:r w:rsidRPr="00BD6C5F">
              <w:t xml:space="preserve">, Para </w:t>
            </w:r>
            <w:r>
              <w:fldChar w:fldCharType="begin"/>
            </w:r>
            <w:r>
              <w:instrText xml:space="preserve"> REF _Ref141216143 \w \h </w:instrText>
            </w:r>
            <w:r>
              <w:fldChar w:fldCharType="separate"/>
            </w:r>
            <w:r w:rsidR="009749A0">
              <w:t>3.5.5</w:t>
            </w:r>
            <w:r>
              <w:fldChar w:fldCharType="end"/>
            </w:r>
          </w:p>
        </w:tc>
        <w:tc>
          <w:tcPr>
            <w:tcW w:w="2967" w:type="dxa"/>
          </w:tcPr>
          <w:p w14:paraId="18E4742D" w14:textId="77777777" w:rsidR="001A5C4A" w:rsidRPr="00BD6C5F" w:rsidRDefault="001A5C4A" w:rsidP="001A5C4A">
            <w:pPr>
              <w:pStyle w:val="Tabletext"/>
            </w:pPr>
            <w:r w:rsidRPr="00BD6C5F">
              <w:t>Minutes of governance meetings (all boards)</w:t>
            </w:r>
          </w:p>
        </w:tc>
        <w:tc>
          <w:tcPr>
            <w:tcW w:w="2002" w:type="dxa"/>
          </w:tcPr>
          <w:p w14:paraId="0F49B3B9" w14:textId="77777777" w:rsidR="001A5C4A" w:rsidRPr="00BD6C5F" w:rsidRDefault="001A5C4A" w:rsidP="001A5C4A">
            <w:pPr>
              <w:pStyle w:val="Tabletext"/>
            </w:pPr>
            <w:r w:rsidRPr="00BD6C5F">
              <w:t>As appropriate and agreed by the Authority</w:t>
            </w:r>
          </w:p>
        </w:tc>
        <w:tc>
          <w:tcPr>
            <w:tcW w:w="2667" w:type="dxa"/>
          </w:tcPr>
          <w:p w14:paraId="19807DBA" w14:textId="77777777" w:rsidR="001A5C4A" w:rsidRPr="00BD6C5F" w:rsidRDefault="001A5C4A" w:rsidP="001A5C4A">
            <w:pPr>
              <w:pStyle w:val="Tabletext"/>
            </w:pPr>
            <w:r w:rsidRPr="00BD6C5F">
              <w:t>Within 7 days of receipt from chairperson</w:t>
            </w:r>
          </w:p>
        </w:tc>
        <w:tc>
          <w:tcPr>
            <w:tcW w:w="2721" w:type="dxa"/>
          </w:tcPr>
          <w:p w14:paraId="716400EA" w14:textId="77777777" w:rsidR="001A5C4A" w:rsidRPr="00BD6C5F" w:rsidRDefault="001A5C4A" w:rsidP="001A5C4A">
            <w:pPr>
              <w:pStyle w:val="Tabletext"/>
            </w:pPr>
            <w:r w:rsidRPr="00BD6C5F">
              <w:t>-</w:t>
            </w:r>
          </w:p>
        </w:tc>
        <w:tc>
          <w:tcPr>
            <w:tcW w:w="2438" w:type="dxa"/>
          </w:tcPr>
          <w:p w14:paraId="248401A1" w14:textId="77777777" w:rsidR="001A5C4A" w:rsidRPr="00BD6C5F" w:rsidRDefault="001A5C4A" w:rsidP="001A5C4A">
            <w:pPr>
              <w:pStyle w:val="Tabletext"/>
            </w:pPr>
            <w:r w:rsidRPr="00BD6C5F">
              <w:t>Authority</w:t>
            </w:r>
          </w:p>
        </w:tc>
      </w:tr>
      <w:tr w:rsidR="001A5C4A" w:rsidRPr="00BD6C5F" w14:paraId="04950F45" w14:textId="77777777" w:rsidTr="00D51340">
        <w:tc>
          <w:tcPr>
            <w:tcW w:w="2381" w:type="dxa"/>
          </w:tcPr>
          <w:p w14:paraId="31FB0185" w14:textId="1F3DBD3B" w:rsidR="001A5C4A" w:rsidRPr="00BD6C5F" w:rsidRDefault="001A5C4A" w:rsidP="001A5C4A">
            <w:pPr>
              <w:pStyle w:val="Tabletext"/>
            </w:pPr>
            <w:r w:rsidRPr="00BD6C5F">
              <w:lastRenderedPageBreak/>
              <w:t xml:space="preserve">Sch </w:t>
            </w:r>
            <w:r>
              <w:fldChar w:fldCharType="begin"/>
            </w:r>
            <w:r>
              <w:instrText xml:space="preserve"> REF Schedule_22 \h </w:instrText>
            </w:r>
            <w:r>
              <w:fldChar w:fldCharType="separate"/>
            </w:r>
            <w:r w:rsidR="009749A0">
              <w:t>22</w:t>
            </w:r>
            <w:r>
              <w:fldChar w:fldCharType="end"/>
            </w:r>
            <w:r w:rsidRPr="00BD6C5F">
              <w:t xml:space="preserve"> Para </w:t>
            </w:r>
            <w:r>
              <w:fldChar w:fldCharType="begin"/>
            </w:r>
            <w:r>
              <w:instrText xml:space="preserve"> REF _Ref98416153 \w \h </w:instrText>
            </w:r>
            <w:r>
              <w:fldChar w:fldCharType="separate"/>
            </w:r>
            <w:r w:rsidR="009749A0">
              <w:t>4.3</w:t>
            </w:r>
            <w:r>
              <w:fldChar w:fldCharType="end"/>
            </w:r>
          </w:p>
        </w:tc>
        <w:tc>
          <w:tcPr>
            <w:tcW w:w="2967" w:type="dxa"/>
          </w:tcPr>
          <w:p w14:paraId="057628FB" w14:textId="77777777" w:rsidR="001A5C4A" w:rsidRPr="00BD6C5F" w:rsidRDefault="001A5C4A" w:rsidP="001A5C4A">
            <w:pPr>
              <w:pStyle w:val="Tabletext"/>
            </w:pPr>
            <w:r w:rsidRPr="00BD6C5F">
              <w:t>Impact Assessment Estimate</w:t>
            </w:r>
          </w:p>
        </w:tc>
        <w:tc>
          <w:tcPr>
            <w:tcW w:w="2002" w:type="dxa"/>
          </w:tcPr>
          <w:p w14:paraId="210EDA9C" w14:textId="77777777" w:rsidR="001A5C4A" w:rsidRPr="00BD6C5F" w:rsidRDefault="001A5C4A" w:rsidP="001A5C4A">
            <w:pPr>
              <w:pStyle w:val="Tabletext"/>
            </w:pPr>
            <w:r w:rsidRPr="00BD6C5F">
              <w:t>As appropriate and agreed by the Authority</w:t>
            </w:r>
          </w:p>
        </w:tc>
        <w:tc>
          <w:tcPr>
            <w:tcW w:w="2667" w:type="dxa"/>
          </w:tcPr>
          <w:p w14:paraId="51E559B4" w14:textId="77777777" w:rsidR="001A5C4A" w:rsidRPr="00BD6C5F" w:rsidRDefault="001A5C4A" w:rsidP="001A5C4A">
            <w:pPr>
              <w:pStyle w:val="Tabletext"/>
            </w:pPr>
            <w:r w:rsidRPr="00BD6C5F">
              <w:t>Within 10 Working Days of date of receiving change request.</w:t>
            </w:r>
          </w:p>
        </w:tc>
        <w:tc>
          <w:tcPr>
            <w:tcW w:w="2721" w:type="dxa"/>
          </w:tcPr>
          <w:p w14:paraId="66AF2FB8" w14:textId="77777777" w:rsidR="001A5C4A" w:rsidRPr="00BD6C5F" w:rsidRDefault="001A5C4A" w:rsidP="001A5C4A">
            <w:pPr>
              <w:pStyle w:val="Tabletext"/>
            </w:pPr>
            <w:r w:rsidRPr="00BD6C5F">
              <w:t>-</w:t>
            </w:r>
          </w:p>
        </w:tc>
        <w:tc>
          <w:tcPr>
            <w:tcW w:w="2438" w:type="dxa"/>
          </w:tcPr>
          <w:p w14:paraId="69C6A42C" w14:textId="77777777" w:rsidR="001A5C4A" w:rsidRPr="00BD6C5F" w:rsidRDefault="001A5C4A" w:rsidP="001A5C4A">
            <w:pPr>
              <w:pStyle w:val="Tabletext"/>
            </w:pPr>
            <w:r w:rsidRPr="00BD6C5F">
              <w:t>Authority</w:t>
            </w:r>
          </w:p>
        </w:tc>
      </w:tr>
      <w:tr w:rsidR="001A5C4A" w:rsidRPr="00BD6C5F" w14:paraId="644AF4E8" w14:textId="77777777" w:rsidTr="00D51340">
        <w:tc>
          <w:tcPr>
            <w:tcW w:w="2381" w:type="dxa"/>
          </w:tcPr>
          <w:p w14:paraId="323804C4" w14:textId="040B1F62" w:rsidR="001A5C4A" w:rsidRPr="00BD6C5F" w:rsidRDefault="001A5C4A" w:rsidP="001A5C4A">
            <w:pPr>
              <w:pStyle w:val="Tabletext"/>
            </w:pPr>
            <w:r w:rsidRPr="00BD6C5F">
              <w:t xml:space="preserve">Sch </w:t>
            </w:r>
            <w:r>
              <w:fldChar w:fldCharType="begin"/>
            </w:r>
            <w:r>
              <w:instrText xml:space="preserve"> REF Schedule_22 \h </w:instrText>
            </w:r>
            <w:r>
              <w:fldChar w:fldCharType="separate"/>
            </w:r>
            <w:r w:rsidR="009749A0">
              <w:t>22</w:t>
            </w:r>
            <w:r>
              <w:fldChar w:fldCharType="end"/>
            </w:r>
            <w:r w:rsidRPr="00BD6C5F">
              <w:t xml:space="preserve"> Para </w:t>
            </w:r>
            <w:r>
              <w:fldChar w:fldCharType="begin"/>
            </w:r>
            <w:r>
              <w:instrText xml:space="preserve"> REF _Ref98416145 \w \h </w:instrText>
            </w:r>
            <w:r>
              <w:fldChar w:fldCharType="separate"/>
            </w:r>
            <w:r w:rsidR="009749A0">
              <w:t>5</w:t>
            </w:r>
            <w:r>
              <w:fldChar w:fldCharType="end"/>
            </w:r>
          </w:p>
        </w:tc>
        <w:tc>
          <w:tcPr>
            <w:tcW w:w="2967" w:type="dxa"/>
          </w:tcPr>
          <w:p w14:paraId="2A1BAA45" w14:textId="77777777" w:rsidR="001A5C4A" w:rsidRPr="00BD6C5F" w:rsidRDefault="001A5C4A" w:rsidP="001A5C4A">
            <w:pPr>
              <w:pStyle w:val="Tabletext"/>
            </w:pPr>
            <w:r w:rsidRPr="00BD6C5F">
              <w:t>Impact Assessment</w:t>
            </w:r>
          </w:p>
        </w:tc>
        <w:tc>
          <w:tcPr>
            <w:tcW w:w="2002" w:type="dxa"/>
          </w:tcPr>
          <w:p w14:paraId="025FF575" w14:textId="77777777" w:rsidR="001A5C4A" w:rsidRPr="00BD6C5F" w:rsidRDefault="001A5C4A" w:rsidP="001A5C4A">
            <w:pPr>
              <w:pStyle w:val="Tabletext"/>
            </w:pPr>
            <w:r w:rsidRPr="00BD6C5F">
              <w:t>As appropriate and agreed by the Authority</w:t>
            </w:r>
          </w:p>
        </w:tc>
        <w:tc>
          <w:tcPr>
            <w:tcW w:w="2667" w:type="dxa"/>
          </w:tcPr>
          <w:p w14:paraId="36583B8F" w14:textId="77777777" w:rsidR="001A5C4A" w:rsidRPr="00BD6C5F" w:rsidRDefault="001A5C4A" w:rsidP="001A5C4A">
            <w:pPr>
              <w:pStyle w:val="Tabletext"/>
            </w:pPr>
            <w:r w:rsidRPr="00BD6C5F">
              <w:t>Within the period agreed by the Impact Assessment Estimate</w:t>
            </w:r>
          </w:p>
        </w:tc>
        <w:tc>
          <w:tcPr>
            <w:tcW w:w="2721" w:type="dxa"/>
          </w:tcPr>
          <w:p w14:paraId="5D2CF807" w14:textId="45C97174" w:rsidR="001A5C4A" w:rsidRPr="00BD6C5F" w:rsidRDefault="001A5C4A" w:rsidP="001A5C4A">
            <w:pPr>
              <w:pStyle w:val="Tabletext"/>
            </w:pPr>
            <w:r w:rsidRPr="00BD6C5F">
              <w:t>Within 10 Working Days of request by the Authority to update under Schedule </w:t>
            </w:r>
            <w:r>
              <w:fldChar w:fldCharType="begin"/>
            </w:r>
            <w:r>
              <w:instrText xml:space="preserve"> REF Schedule_22 \h </w:instrText>
            </w:r>
            <w:r>
              <w:fldChar w:fldCharType="separate"/>
            </w:r>
            <w:r w:rsidR="009749A0">
              <w:t>22</w:t>
            </w:r>
            <w:r>
              <w:fldChar w:fldCharType="end"/>
            </w:r>
            <w:r w:rsidRPr="00BD6C5F">
              <w:t xml:space="preserve">, Para </w:t>
            </w:r>
            <w:r w:rsidRPr="00BD6C5F">
              <w:fldChar w:fldCharType="begin"/>
            </w:r>
            <w:r w:rsidRPr="00BD6C5F">
              <w:instrText xml:space="preserve"> REF _Ref98416349 \w \h  \* MERGEFORMAT </w:instrText>
            </w:r>
            <w:r w:rsidRPr="00BD6C5F">
              <w:fldChar w:fldCharType="separate"/>
            </w:r>
            <w:r w:rsidR="009749A0">
              <w:t>5.4</w:t>
            </w:r>
            <w:r w:rsidRPr="00BD6C5F">
              <w:fldChar w:fldCharType="end"/>
            </w:r>
          </w:p>
        </w:tc>
        <w:tc>
          <w:tcPr>
            <w:tcW w:w="2438" w:type="dxa"/>
          </w:tcPr>
          <w:p w14:paraId="21340906" w14:textId="77777777" w:rsidR="001A5C4A" w:rsidRPr="00BD6C5F" w:rsidRDefault="001A5C4A" w:rsidP="001A5C4A">
            <w:pPr>
              <w:pStyle w:val="Tabletext"/>
            </w:pPr>
            <w:r w:rsidRPr="00BD6C5F">
              <w:t>Authority</w:t>
            </w:r>
          </w:p>
        </w:tc>
      </w:tr>
      <w:tr w:rsidR="001A5C4A" w:rsidRPr="00BD6C5F" w14:paraId="016E96D1" w14:textId="77777777" w:rsidTr="00D51340">
        <w:tc>
          <w:tcPr>
            <w:tcW w:w="2381" w:type="dxa"/>
          </w:tcPr>
          <w:p w14:paraId="255705D8" w14:textId="0B6921C0" w:rsidR="001A5C4A" w:rsidRPr="00BD6C5F" w:rsidRDefault="001A5C4A" w:rsidP="001A5C4A">
            <w:pPr>
              <w:pStyle w:val="Tabletext"/>
            </w:pPr>
            <w:r w:rsidRPr="00BD6C5F">
              <w:t xml:space="preserve">Sch </w:t>
            </w:r>
            <w:r>
              <w:fldChar w:fldCharType="begin"/>
            </w:r>
            <w:r>
              <w:instrText xml:space="preserve"> REF Schedule_22 \h </w:instrText>
            </w:r>
            <w:r>
              <w:fldChar w:fldCharType="separate"/>
            </w:r>
            <w:r w:rsidR="009749A0">
              <w:t>22</w:t>
            </w:r>
            <w:r>
              <w:fldChar w:fldCharType="end"/>
            </w:r>
            <w:r w:rsidRPr="00BD6C5F">
              <w:t xml:space="preserve">, Para </w:t>
            </w:r>
            <w:r>
              <w:fldChar w:fldCharType="begin"/>
            </w:r>
            <w:r>
              <w:instrText xml:space="preserve"> REF _Ref141216184 \w \h </w:instrText>
            </w:r>
            <w:r>
              <w:fldChar w:fldCharType="separate"/>
            </w:r>
            <w:r w:rsidR="009749A0">
              <w:t>2.6</w:t>
            </w:r>
            <w:r>
              <w:fldChar w:fldCharType="end"/>
            </w:r>
          </w:p>
        </w:tc>
        <w:tc>
          <w:tcPr>
            <w:tcW w:w="2967" w:type="dxa"/>
          </w:tcPr>
          <w:p w14:paraId="16880231" w14:textId="7280B786" w:rsidR="001A5C4A" w:rsidRPr="00BD6C5F" w:rsidRDefault="001A5C4A" w:rsidP="001A5C4A">
            <w:pPr>
              <w:pStyle w:val="Tabletext"/>
            </w:pPr>
            <w:r w:rsidRPr="00BD6C5F">
              <w:t>Update full copy of the Contract and copy of annotated version illustrating changes</w:t>
            </w:r>
            <w:r w:rsidR="00F95CF1">
              <w:t xml:space="preserve"> (unless Authority directs otherwise)</w:t>
            </w:r>
          </w:p>
        </w:tc>
        <w:tc>
          <w:tcPr>
            <w:tcW w:w="2002" w:type="dxa"/>
          </w:tcPr>
          <w:p w14:paraId="7AC8D9A7" w14:textId="77777777" w:rsidR="001A5C4A" w:rsidRPr="00BD6C5F" w:rsidRDefault="001A5C4A" w:rsidP="001A5C4A">
            <w:pPr>
              <w:pStyle w:val="Tabletext"/>
            </w:pPr>
            <w:r w:rsidRPr="00BD6C5F">
              <w:t>PDF and MS Word (editable)</w:t>
            </w:r>
          </w:p>
        </w:tc>
        <w:tc>
          <w:tcPr>
            <w:tcW w:w="2667" w:type="dxa"/>
          </w:tcPr>
          <w:p w14:paraId="0652E34B" w14:textId="77777777" w:rsidR="001A5C4A" w:rsidRPr="00BD6C5F" w:rsidRDefault="001A5C4A" w:rsidP="001A5C4A">
            <w:pPr>
              <w:pStyle w:val="Tabletext"/>
            </w:pPr>
            <w:r w:rsidRPr="00BD6C5F">
              <w:t>Signature of Variation Date</w:t>
            </w:r>
          </w:p>
        </w:tc>
        <w:tc>
          <w:tcPr>
            <w:tcW w:w="2721" w:type="dxa"/>
          </w:tcPr>
          <w:p w14:paraId="34E65F08" w14:textId="77777777" w:rsidR="001A5C4A" w:rsidRPr="00BD6C5F" w:rsidRDefault="001A5C4A" w:rsidP="001A5C4A">
            <w:pPr>
              <w:pStyle w:val="Tabletext"/>
            </w:pPr>
            <w:r w:rsidRPr="00BD6C5F">
              <w:t>Any variation</w:t>
            </w:r>
          </w:p>
        </w:tc>
        <w:tc>
          <w:tcPr>
            <w:tcW w:w="2438" w:type="dxa"/>
          </w:tcPr>
          <w:p w14:paraId="04D884E2" w14:textId="77777777" w:rsidR="001A5C4A" w:rsidRPr="00BD6C5F" w:rsidRDefault="001A5C4A" w:rsidP="001A5C4A">
            <w:pPr>
              <w:pStyle w:val="Tabletext"/>
            </w:pPr>
            <w:r w:rsidRPr="00BD6C5F">
              <w:t>Authority</w:t>
            </w:r>
          </w:p>
        </w:tc>
      </w:tr>
      <w:tr w:rsidR="001A5C4A" w:rsidRPr="00BD6C5F" w14:paraId="1C4F9005" w14:textId="77777777" w:rsidTr="00D51340">
        <w:tc>
          <w:tcPr>
            <w:tcW w:w="2381" w:type="dxa"/>
          </w:tcPr>
          <w:p w14:paraId="2EE8D4EF" w14:textId="3E57F276" w:rsidR="001A5C4A" w:rsidRPr="00BD6C5F" w:rsidRDefault="001A5C4A" w:rsidP="001A5C4A">
            <w:pPr>
              <w:pStyle w:val="Tabletext"/>
            </w:pPr>
            <w:r w:rsidRPr="00BD6C5F">
              <w:t xml:space="preserve">Sch </w:t>
            </w:r>
            <w:r>
              <w:fldChar w:fldCharType="begin"/>
            </w:r>
            <w:r>
              <w:instrText xml:space="preserve"> REF Schedule_22 \h </w:instrText>
            </w:r>
            <w:r>
              <w:fldChar w:fldCharType="separate"/>
            </w:r>
            <w:r w:rsidR="009749A0">
              <w:t>22</w:t>
            </w:r>
            <w:r>
              <w:fldChar w:fldCharType="end"/>
            </w:r>
            <w:r w:rsidRPr="00BD6C5F">
              <w:t xml:space="preserve">, Para </w:t>
            </w:r>
            <w:r>
              <w:fldChar w:fldCharType="begin"/>
            </w:r>
            <w:r>
              <w:instrText xml:space="preserve"> REF _Ref98416187 \w \h </w:instrText>
            </w:r>
            <w:r>
              <w:fldChar w:fldCharType="separate"/>
            </w:r>
            <w:r w:rsidR="009749A0">
              <w:t>4</w:t>
            </w:r>
            <w:r>
              <w:fldChar w:fldCharType="end"/>
            </w:r>
          </w:p>
        </w:tc>
        <w:tc>
          <w:tcPr>
            <w:tcW w:w="2967" w:type="dxa"/>
          </w:tcPr>
          <w:p w14:paraId="353D91A1" w14:textId="77777777" w:rsidR="001A5C4A" w:rsidRPr="00BD6C5F" w:rsidRDefault="001A5C4A" w:rsidP="001A5C4A">
            <w:pPr>
              <w:pStyle w:val="Tabletext"/>
            </w:pPr>
            <w:r w:rsidRPr="00BD6C5F">
              <w:t>Change Request</w:t>
            </w:r>
          </w:p>
        </w:tc>
        <w:tc>
          <w:tcPr>
            <w:tcW w:w="2002" w:type="dxa"/>
          </w:tcPr>
          <w:p w14:paraId="6476E9B7" w14:textId="16182940" w:rsidR="001A5C4A" w:rsidRPr="00BD6C5F" w:rsidRDefault="001A5C4A" w:rsidP="001A5C4A">
            <w:pPr>
              <w:pStyle w:val="Tabletext"/>
            </w:pPr>
            <w:r w:rsidRPr="00BD6C5F">
              <w:t xml:space="preserve">Sch </w:t>
            </w:r>
            <w:r>
              <w:fldChar w:fldCharType="begin"/>
            </w:r>
            <w:r>
              <w:instrText xml:space="preserve"> REF Schedule_22 \h </w:instrText>
            </w:r>
            <w:r>
              <w:fldChar w:fldCharType="separate"/>
            </w:r>
            <w:r w:rsidR="009749A0">
              <w:t>22</w:t>
            </w:r>
            <w:r>
              <w:fldChar w:fldCharType="end"/>
            </w:r>
            <w:r w:rsidRPr="00BD6C5F">
              <w:t xml:space="preserve">, Annex </w:t>
            </w:r>
            <w:r>
              <w:fldChar w:fldCharType="begin"/>
            </w:r>
            <w:r>
              <w:instrText xml:space="preserve"> REF Schedule_22_Annex_1 \h </w:instrText>
            </w:r>
            <w:r>
              <w:fldChar w:fldCharType="separate"/>
            </w:r>
            <w:r w:rsidR="009749A0" w:rsidRPr="00BD6C5F">
              <w:t>1</w:t>
            </w:r>
            <w:r>
              <w:fldChar w:fldCharType="end"/>
            </w:r>
          </w:p>
        </w:tc>
        <w:tc>
          <w:tcPr>
            <w:tcW w:w="2667" w:type="dxa"/>
          </w:tcPr>
          <w:p w14:paraId="40F10E59" w14:textId="77777777" w:rsidR="001A5C4A" w:rsidRPr="00BD6C5F" w:rsidRDefault="001A5C4A" w:rsidP="001A5C4A">
            <w:pPr>
              <w:pStyle w:val="Tabletext"/>
            </w:pPr>
            <w:r w:rsidRPr="00BD6C5F">
              <w:t>Within 10 Working Days of Authority issuing the Change Request</w:t>
            </w:r>
          </w:p>
        </w:tc>
        <w:tc>
          <w:tcPr>
            <w:tcW w:w="2721" w:type="dxa"/>
          </w:tcPr>
          <w:p w14:paraId="7AC04E09" w14:textId="77777777" w:rsidR="001A5C4A" w:rsidRPr="00BD6C5F" w:rsidRDefault="001A5C4A" w:rsidP="001A5C4A">
            <w:pPr>
              <w:pStyle w:val="Tabletext"/>
            </w:pPr>
            <w:r w:rsidRPr="00BD6C5F">
              <w:t>-</w:t>
            </w:r>
          </w:p>
        </w:tc>
        <w:tc>
          <w:tcPr>
            <w:tcW w:w="2438" w:type="dxa"/>
          </w:tcPr>
          <w:p w14:paraId="3E7EAA14" w14:textId="77777777" w:rsidR="001A5C4A" w:rsidRPr="00BD6C5F" w:rsidRDefault="001A5C4A" w:rsidP="001A5C4A">
            <w:pPr>
              <w:pStyle w:val="Tabletext"/>
            </w:pPr>
            <w:r w:rsidRPr="00BD6C5F">
              <w:t>Authority</w:t>
            </w:r>
          </w:p>
        </w:tc>
      </w:tr>
      <w:tr w:rsidR="00940D87" w:rsidRPr="00BD6C5F" w14:paraId="4BB10DD4" w14:textId="77777777" w:rsidTr="00D51340">
        <w:tc>
          <w:tcPr>
            <w:tcW w:w="2381" w:type="dxa"/>
          </w:tcPr>
          <w:p w14:paraId="31F6133D" w14:textId="5411AA14" w:rsidR="00940D87" w:rsidRPr="00BD6C5F" w:rsidRDefault="00940D87" w:rsidP="00940D87">
            <w:pPr>
              <w:pStyle w:val="Tabletext"/>
            </w:pPr>
            <w:r>
              <w:rPr>
                <w:rFonts w:eastAsia="Arial" w:cs="Arial"/>
                <w:color w:val="000000"/>
              </w:rPr>
              <w:t xml:space="preserve">Sch </w:t>
            </w:r>
            <w:r w:rsidR="00D85DC1">
              <w:rPr>
                <w:rFonts w:eastAsia="Arial" w:cs="Arial"/>
                <w:color w:val="000000"/>
              </w:rPr>
              <w:fldChar w:fldCharType="begin"/>
            </w:r>
            <w:r w:rsidR="00D85DC1">
              <w:rPr>
                <w:rFonts w:eastAsia="Arial" w:cs="Arial"/>
                <w:color w:val="000000"/>
              </w:rPr>
              <w:instrText xml:space="preserve"> REF Schedule_22 \h </w:instrText>
            </w:r>
            <w:r w:rsidR="00D85DC1">
              <w:rPr>
                <w:rFonts w:eastAsia="Arial" w:cs="Arial"/>
                <w:color w:val="000000"/>
              </w:rPr>
            </w:r>
            <w:r w:rsidR="00D85DC1">
              <w:rPr>
                <w:rFonts w:eastAsia="Arial" w:cs="Arial"/>
                <w:color w:val="000000"/>
              </w:rPr>
              <w:fldChar w:fldCharType="separate"/>
            </w:r>
            <w:r w:rsidR="009749A0">
              <w:t>22</w:t>
            </w:r>
            <w:r w:rsidR="00D85DC1">
              <w:rPr>
                <w:rFonts w:eastAsia="Arial" w:cs="Arial"/>
                <w:color w:val="000000"/>
              </w:rPr>
              <w:fldChar w:fldCharType="end"/>
            </w:r>
            <w:r>
              <w:rPr>
                <w:rFonts w:eastAsia="Arial" w:cs="Arial"/>
                <w:color w:val="000000"/>
              </w:rPr>
              <w:t xml:space="preserve">, Para </w:t>
            </w:r>
            <w:r w:rsidR="0076045C">
              <w:rPr>
                <w:rFonts w:eastAsia="Arial" w:cs="Arial"/>
                <w:color w:val="000000"/>
              </w:rPr>
              <w:fldChar w:fldCharType="begin"/>
            </w:r>
            <w:r w:rsidR="0076045C">
              <w:rPr>
                <w:rFonts w:eastAsia="Arial" w:cs="Arial"/>
                <w:color w:val="000000"/>
              </w:rPr>
              <w:instrText xml:space="preserve"> REF _Ref98416259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6.2</w:t>
            </w:r>
            <w:r w:rsidR="0076045C">
              <w:rPr>
                <w:rFonts w:eastAsia="Arial" w:cs="Arial"/>
                <w:color w:val="000000"/>
              </w:rPr>
              <w:fldChar w:fldCharType="end"/>
            </w:r>
          </w:p>
        </w:tc>
        <w:tc>
          <w:tcPr>
            <w:tcW w:w="2967" w:type="dxa"/>
          </w:tcPr>
          <w:p w14:paraId="484CD02B" w14:textId="4FA1E15E" w:rsidR="00940D87" w:rsidRPr="00BD6C5F" w:rsidRDefault="00940D87" w:rsidP="00940D87">
            <w:pPr>
              <w:pStyle w:val="Tabletext"/>
            </w:pPr>
            <w:r>
              <w:rPr>
                <w:rFonts w:eastAsia="Arial" w:cs="Arial"/>
                <w:color w:val="000000"/>
              </w:rPr>
              <w:t>Change Authorisation Note (unless Authority directs otherwise)</w:t>
            </w:r>
          </w:p>
        </w:tc>
        <w:tc>
          <w:tcPr>
            <w:tcW w:w="2002" w:type="dxa"/>
          </w:tcPr>
          <w:p w14:paraId="45DAE6A0" w14:textId="74EA4515" w:rsidR="00940D87" w:rsidRPr="00BD6C5F" w:rsidRDefault="00940D87" w:rsidP="00940D87">
            <w:pPr>
              <w:pStyle w:val="Tabletext"/>
            </w:pPr>
            <w:r>
              <w:rPr>
                <w:rFonts w:eastAsia="Arial" w:cs="Arial"/>
                <w:color w:val="000000"/>
              </w:rPr>
              <w:t xml:space="preserve">Sch </w:t>
            </w:r>
            <w:r w:rsidR="00D85DC1">
              <w:rPr>
                <w:rFonts w:eastAsia="Arial" w:cs="Arial"/>
                <w:color w:val="000000"/>
              </w:rPr>
              <w:fldChar w:fldCharType="begin"/>
            </w:r>
            <w:r w:rsidR="00D85DC1">
              <w:rPr>
                <w:rFonts w:eastAsia="Arial" w:cs="Arial"/>
                <w:color w:val="000000"/>
              </w:rPr>
              <w:instrText xml:space="preserve"> REF Schedule_22 \h </w:instrText>
            </w:r>
            <w:r w:rsidR="00D85DC1">
              <w:rPr>
                <w:rFonts w:eastAsia="Arial" w:cs="Arial"/>
                <w:color w:val="000000"/>
              </w:rPr>
            </w:r>
            <w:r w:rsidR="00D85DC1">
              <w:rPr>
                <w:rFonts w:eastAsia="Arial" w:cs="Arial"/>
                <w:color w:val="000000"/>
              </w:rPr>
              <w:fldChar w:fldCharType="separate"/>
            </w:r>
            <w:r w:rsidR="009749A0">
              <w:t>22</w:t>
            </w:r>
            <w:r w:rsidR="00D85DC1">
              <w:rPr>
                <w:rFonts w:eastAsia="Arial" w:cs="Arial"/>
                <w:color w:val="000000"/>
              </w:rPr>
              <w:fldChar w:fldCharType="end"/>
            </w:r>
            <w:r>
              <w:rPr>
                <w:rFonts w:eastAsia="Arial" w:cs="Arial"/>
                <w:color w:val="000000"/>
              </w:rPr>
              <w:t xml:space="preserve">, Annex </w:t>
            </w:r>
            <w:r w:rsidR="00D85DC1">
              <w:rPr>
                <w:rFonts w:eastAsia="Arial" w:cs="Arial"/>
                <w:color w:val="000000"/>
              </w:rPr>
              <w:fldChar w:fldCharType="begin"/>
            </w:r>
            <w:r w:rsidR="00D85DC1">
              <w:rPr>
                <w:rFonts w:eastAsia="Arial" w:cs="Arial"/>
                <w:color w:val="000000"/>
              </w:rPr>
              <w:instrText xml:space="preserve"> REF Schedule_22_Annex_2 \h </w:instrText>
            </w:r>
            <w:r w:rsidR="00D85DC1">
              <w:rPr>
                <w:rFonts w:eastAsia="Arial" w:cs="Arial"/>
                <w:color w:val="000000"/>
              </w:rPr>
            </w:r>
            <w:r w:rsidR="00D85DC1">
              <w:rPr>
                <w:rFonts w:eastAsia="Arial" w:cs="Arial"/>
                <w:color w:val="000000"/>
              </w:rPr>
              <w:fldChar w:fldCharType="separate"/>
            </w:r>
            <w:r w:rsidR="009749A0" w:rsidRPr="00BD6C5F">
              <w:t>2</w:t>
            </w:r>
            <w:r w:rsidR="00D85DC1">
              <w:rPr>
                <w:rFonts w:eastAsia="Arial" w:cs="Arial"/>
                <w:color w:val="000000"/>
              </w:rPr>
              <w:fldChar w:fldCharType="end"/>
            </w:r>
          </w:p>
        </w:tc>
        <w:tc>
          <w:tcPr>
            <w:tcW w:w="2667" w:type="dxa"/>
          </w:tcPr>
          <w:p w14:paraId="79CE5C44" w14:textId="63BA27B9" w:rsidR="00940D87" w:rsidRPr="00BD6C5F" w:rsidRDefault="00940D87" w:rsidP="00940D87">
            <w:pPr>
              <w:pStyle w:val="Tabletext"/>
            </w:pPr>
            <w:r>
              <w:rPr>
                <w:rFonts w:eastAsia="Arial" w:cs="Arial"/>
                <w:color w:val="000000"/>
              </w:rPr>
              <w:t xml:space="preserve">When Authority approves proposed Contract Change pursuant to Paragraph </w:t>
            </w:r>
            <w:r w:rsidR="0076045C">
              <w:rPr>
                <w:rFonts w:eastAsia="Arial" w:cs="Arial"/>
                <w:color w:val="000000"/>
              </w:rPr>
              <w:fldChar w:fldCharType="begin"/>
            </w:r>
            <w:r w:rsidR="0076045C">
              <w:rPr>
                <w:rFonts w:eastAsia="Arial" w:cs="Arial"/>
                <w:color w:val="000000"/>
              </w:rPr>
              <w:instrText xml:space="preserve"> REF _Ref98416451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6.1</w:t>
            </w:r>
            <w:r w:rsidR="0076045C">
              <w:rPr>
                <w:rFonts w:eastAsia="Arial" w:cs="Arial"/>
                <w:color w:val="000000"/>
              </w:rPr>
              <w:fldChar w:fldCharType="end"/>
            </w:r>
            <w:r>
              <w:rPr>
                <w:rFonts w:eastAsia="Arial" w:cs="Arial"/>
                <w:color w:val="000000"/>
              </w:rPr>
              <w:t xml:space="preserve"> and it has not been </w:t>
            </w:r>
            <w:r>
              <w:rPr>
                <w:rFonts w:eastAsia="Arial" w:cs="Arial"/>
                <w:color w:val="000000"/>
              </w:rPr>
              <w:lastRenderedPageBreak/>
              <w:t xml:space="preserve">rejected by the Supplier in accordance with Paragraph </w:t>
            </w:r>
            <w:r w:rsidR="0076045C">
              <w:rPr>
                <w:rFonts w:eastAsia="Arial" w:cs="Arial"/>
                <w:color w:val="000000"/>
              </w:rPr>
              <w:fldChar w:fldCharType="begin"/>
            </w:r>
            <w:r w:rsidR="0076045C">
              <w:rPr>
                <w:rFonts w:eastAsia="Arial" w:cs="Arial"/>
                <w:color w:val="000000"/>
              </w:rPr>
              <w:instrText xml:space="preserve"> REF _Ref98416249 \w \h </w:instrText>
            </w:r>
            <w:r w:rsidR="0076045C">
              <w:rPr>
                <w:rFonts w:eastAsia="Arial" w:cs="Arial"/>
                <w:color w:val="000000"/>
              </w:rPr>
            </w:r>
            <w:r w:rsidR="0076045C">
              <w:rPr>
                <w:rFonts w:eastAsia="Arial" w:cs="Arial"/>
                <w:color w:val="000000"/>
              </w:rPr>
              <w:fldChar w:fldCharType="separate"/>
            </w:r>
            <w:r w:rsidR="009749A0">
              <w:rPr>
                <w:rFonts w:eastAsia="Arial" w:cs="Arial"/>
                <w:color w:val="000000"/>
              </w:rPr>
              <w:t>7</w:t>
            </w:r>
            <w:r w:rsidR="0076045C">
              <w:rPr>
                <w:rFonts w:eastAsia="Arial" w:cs="Arial"/>
                <w:color w:val="000000"/>
              </w:rPr>
              <w:fldChar w:fldCharType="end"/>
            </w:r>
          </w:p>
        </w:tc>
        <w:tc>
          <w:tcPr>
            <w:tcW w:w="2721" w:type="dxa"/>
          </w:tcPr>
          <w:p w14:paraId="7CB69C3A" w14:textId="49C269B4" w:rsidR="00940D87" w:rsidRPr="00BD6C5F" w:rsidRDefault="00940D87" w:rsidP="00940D87">
            <w:pPr>
              <w:pStyle w:val="Tabletext"/>
            </w:pPr>
            <w:r>
              <w:rPr>
                <w:rFonts w:eastAsia="Arial" w:cs="Arial"/>
                <w:color w:val="000000"/>
              </w:rPr>
              <w:lastRenderedPageBreak/>
              <w:t>-</w:t>
            </w:r>
          </w:p>
        </w:tc>
        <w:tc>
          <w:tcPr>
            <w:tcW w:w="2438" w:type="dxa"/>
          </w:tcPr>
          <w:p w14:paraId="04946345" w14:textId="425DF382" w:rsidR="00940D87" w:rsidRPr="00BD6C5F" w:rsidRDefault="00940D87" w:rsidP="00940D87">
            <w:pPr>
              <w:pStyle w:val="Tabletext"/>
            </w:pPr>
            <w:r>
              <w:rPr>
                <w:rFonts w:eastAsia="Arial" w:cs="Arial"/>
                <w:color w:val="000000"/>
              </w:rPr>
              <w:t>Authority</w:t>
            </w:r>
          </w:p>
        </w:tc>
      </w:tr>
      <w:tr w:rsidR="00940D87" w:rsidRPr="00BD6C5F" w14:paraId="79B24C63" w14:textId="77777777" w:rsidTr="00D51340">
        <w:tc>
          <w:tcPr>
            <w:tcW w:w="2381" w:type="dxa"/>
          </w:tcPr>
          <w:p w14:paraId="55480C41" w14:textId="484C8895" w:rsidR="00940D87" w:rsidRPr="00BD6C5F" w:rsidRDefault="00940D87" w:rsidP="00940D87">
            <w:pPr>
              <w:pStyle w:val="Tabletext"/>
            </w:pPr>
            <w:r w:rsidRPr="00BD6C5F">
              <w:t xml:space="preserve">Sch </w:t>
            </w:r>
            <w:r>
              <w:fldChar w:fldCharType="begin"/>
            </w:r>
            <w:r>
              <w:instrText xml:space="preserve"> REF Schedule_23 \h </w:instrText>
            </w:r>
            <w:r>
              <w:fldChar w:fldCharType="separate"/>
            </w:r>
            <w:r w:rsidR="009749A0">
              <w:t>23</w:t>
            </w:r>
            <w:r>
              <w:fldChar w:fldCharType="end"/>
            </w:r>
            <w:r w:rsidRPr="00BD6C5F">
              <w:t xml:space="preserve">, Para </w:t>
            </w:r>
            <w:r>
              <w:fldChar w:fldCharType="begin"/>
            </w:r>
            <w:r>
              <w:instrText xml:space="preserve"> REF _Ref98418049 \w \h </w:instrText>
            </w:r>
            <w:r>
              <w:fldChar w:fldCharType="separate"/>
            </w:r>
            <w:r w:rsidR="009749A0">
              <w:t>2.1</w:t>
            </w:r>
            <w:r>
              <w:fldChar w:fldCharType="end"/>
            </w:r>
          </w:p>
        </w:tc>
        <w:tc>
          <w:tcPr>
            <w:tcW w:w="2967" w:type="dxa"/>
          </w:tcPr>
          <w:p w14:paraId="480AFD1E" w14:textId="77777777" w:rsidR="00940D87" w:rsidRPr="00BD6C5F" w:rsidRDefault="00940D87" w:rsidP="00940D87">
            <w:pPr>
              <w:pStyle w:val="Tabletext"/>
            </w:pPr>
            <w:r w:rsidRPr="00BD6C5F">
              <w:t>Dispute Notice</w:t>
            </w:r>
          </w:p>
        </w:tc>
        <w:tc>
          <w:tcPr>
            <w:tcW w:w="2002" w:type="dxa"/>
          </w:tcPr>
          <w:p w14:paraId="7531B2D8" w14:textId="24B5958D" w:rsidR="00940D87" w:rsidRPr="00BD6C5F" w:rsidRDefault="00940D87" w:rsidP="00940D87">
            <w:pPr>
              <w:pStyle w:val="Tabletext"/>
            </w:pPr>
            <w:r w:rsidRPr="00BD6C5F">
              <w:t xml:space="preserve">Sch </w:t>
            </w:r>
            <w:r>
              <w:fldChar w:fldCharType="begin"/>
            </w:r>
            <w:r>
              <w:instrText xml:space="preserve"> REF Schedule_23 \h </w:instrText>
            </w:r>
            <w:r>
              <w:fldChar w:fldCharType="separate"/>
            </w:r>
            <w:r w:rsidR="009749A0">
              <w:t>23</w:t>
            </w:r>
            <w:r>
              <w:fldChar w:fldCharType="end"/>
            </w:r>
            <w:r w:rsidRPr="00BD6C5F">
              <w:t xml:space="preserve"> Para </w:t>
            </w:r>
            <w:r w:rsidR="002B6790">
              <w:fldChar w:fldCharType="begin"/>
            </w:r>
            <w:r w:rsidR="002B6790">
              <w:instrText xml:space="preserve"> REF _Ref141342245 \w \h </w:instrText>
            </w:r>
            <w:r w:rsidR="002B6790">
              <w:fldChar w:fldCharType="separate"/>
            </w:r>
            <w:r w:rsidR="009749A0">
              <w:t>2.2</w:t>
            </w:r>
            <w:r w:rsidR="002B6790">
              <w:fldChar w:fldCharType="end"/>
            </w:r>
          </w:p>
        </w:tc>
        <w:tc>
          <w:tcPr>
            <w:tcW w:w="2667" w:type="dxa"/>
          </w:tcPr>
          <w:p w14:paraId="0EA70707" w14:textId="77777777" w:rsidR="00940D87" w:rsidRPr="00BD6C5F" w:rsidRDefault="00940D87" w:rsidP="00940D87">
            <w:pPr>
              <w:pStyle w:val="Tabletext"/>
            </w:pPr>
            <w:r w:rsidRPr="00BD6C5F">
              <w:t>No longer than 20 Working Days from an unresolved dispute arising</w:t>
            </w:r>
          </w:p>
        </w:tc>
        <w:tc>
          <w:tcPr>
            <w:tcW w:w="2721" w:type="dxa"/>
          </w:tcPr>
          <w:p w14:paraId="38C54314" w14:textId="77777777" w:rsidR="00940D87" w:rsidRPr="00BD6C5F" w:rsidRDefault="00940D87" w:rsidP="00940D87">
            <w:pPr>
              <w:pStyle w:val="Tabletext"/>
            </w:pPr>
            <w:r w:rsidRPr="00BD6C5F">
              <w:t>Any variation</w:t>
            </w:r>
          </w:p>
        </w:tc>
        <w:tc>
          <w:tcPr>
            <w:tcW w:w="2438" w:type="dxa"/>
          </w:tcPr>
          <w:p w14:paraId="02AB1E33" w14:textId="77777777" w:rsidR="00940D87" w:rsidRPr="00BD6C5F" w:rsidRDefault="00940D87" w:rsidP="00940D87">
            <w:pPr>
              <w:pStyle w:val="Tabletext"/>
            </w:pPr>
            <w:r w:rsidRPr="00BD6C5F">
              <w:t>Authority</w:t>
            </w:r>
          </w:p>
        </w:tc>
      </w:tr>
      <w:tr w:rsidR="00940D87" w:rsidRPr="00BD6C5F" w14:paraId="637123CF" w14:textId="77777777" w:rsidTr="00D51340">
        <w:tc>
          <w:tcPr>
            <w:tcW w:w="2381" w:type="dxa"/>
          </w:tcPr>
          <w:p w14:paraId="771C7ABE" w14:textId="691B13FE" w:rsidR="00940D87" w:rsidRPr="00BD6C5F" w:rsidRDefault="00940D87" w:rsidP="00940D87">
            <w:pPr>
              <w:pStyle w:val="Tabletext"/>
            </w:pPr>
            <w:r w:rsidRPr="00BD6C5F">
              <w:t xml:space="preserve">Sch </w:t>
            </w:r>
            <w:r>
              <w:fldChar w:fldCharType="begin"/>
            </w:r>
            <w:r>
              <w:instrText xml:space="preserve"> REF Schedule_23 \h </w:instrText>
            </w:r>
            <w:r>
              <w:fldChar w:fldCharType="separate"/>
            </w:r>
            <w:r w:rsidR="009749A0">
              <w:t>23</w:t>
            </w:r>
            <w:r>
              <w:fldChar w:fldCharType="end"/>
            </w:r>
            <w:r w:rsidRPr="00BD6C5F">
              <w:t xml:space="preserve">, Para </w:t>
            </w:r>
            <w:r>
              <w:fldChar w:fldCharType="begin"/>
            </w:r>
            <w:r>
              <w:instrText xml:space="preserve"> REF _Ref141216248 \w \h </w:instrText>
            </w:r>
            <w:r>
              <w:fldChar w:fldCharType="separate"/>
            </w:r>
            <w:r w:rsidR="009749A0">
              <w:t>2.4</w:t>
            </w:r>
            <w:r>
              <w:fldChar w:fldCharType="end"/>
            </w:r>
          </w:p>
        </w:tc>
        <w:tc>
          <w:tcPr>
            <w:tcW w:w="2967" w:type="dxa"/>
          </w:tcPr>
          <w:p w14:paraId="1A9DB8B9" w14:textId="77777777" w:rsidR="00940D87" w:rsidRPr="00BD6C5F" w:rsidRDefault="00940D87" w:rsidP="00940D87">
            <w:pPr>
              <w:pStyle w:val="Tabletext"/>
            </w:pPr>
            <w:r w:rsidRPr="00BD6C5F">
              <w:t>Mediation Notice</w:t>
            </w:r>
          </w:p>
        </w:tc>
        <w:tc>
          <w:tcPr>
            <w:tcW w:w="2002" w:type="dxa"/>
          </w:tcPr>
          <w:p w14:paraId="2FC441B0" w14:textId="77777777" w:rsidR="00940D87" w:rsidRPr="00BD6C5F" w:rsidRDefault="00940D87" w:rsidP="00940D87">
            <w:pPr>
              <w:pStyle w:val="Tabletext"/>
            </w:pPr>
            <w:r w:rsidRPr="00BD6C5F">
              <w:t>As appropriate</w:t>
            </w:r>
          </w:p>
        </w:tc>
        <w:tc>
          <w:tcPr>
            <w:tcW w:w="2667" w:type="dxa"/>
          </w:tcPr>
          <w:p w14:paraId="1718C46C" w14:textId="77777777" w:rsidR="00940D87" w:rsidRPr="00BD6C5F" w:rsidRDefault="00940D87" w:rsidP="00940D87">
            <w:pPr>
              <w:pStyle w:val="Tabletext"/>
            </w:pPr>
            <w:r w:rsidRPr="00BD6C5F">
              <w:t>When first served</w:t>
            </w:r>
          </w:p>
        </w:tc>
        <w:tc>
          <w:tcPr>
            <w:tcW w:w="2721" w:type="dxa"/>
          </w:tcPr>
          <w:p w14:paraId="2C3421A7" w14:textId="77777777" w:rsidR="00940D87" w:rsidRPr="00BD6C5F" w:rsidRDefault="00940D87" w:rsidP="00940D87">
            <w:pPr>
              <w:pStyle w:val="Tabletext"/>
            </w:pPr>
            <w:r w:rsidRPr="00BD6C5F">
              <w:t>Any variation</w:t>
            </w:r>
          </w:p>
        </w:tc>
        <w:tc>
          <w:tcPr>
            <w:tcW w:w="2438" w:type="dxa"/>
          </w:tcPr>
          <w:p w14:paraId="66FBC2E8" w14:textId="77777777" w:rsidR="00940D87" w:rsidRPr="00BD6C5F" w:rsidRDefault="00940D87" w:rsidP="00940D87">
            <w:pPr>
              <w:pStyle w:val="Tabletext"/>
            </w:pPr>
            <w:r w:rsidRPr="00BD6C5F">
              <w:t>Authority</w:t>
            </w:r>
          </w:p>
        </w:tc>
      </w:tr>
      <w:tr w:rsidR="00940D87" w:rsidRPr="00BD6C5F" w14:paraId="4AD00C59" w14:textId="77777777" w:rsidTr="00D51340">
        <w:tc>
          <w:tcPr>
            <w:tcW w:w="2381" w:type="dxa"/>
          </w:tcPr>
          <w:p w14:paraId="3578E728" w14:textId="668440EA" w:rsidR="00940D87" w:rsidRPr="00BD6C5F" w:rsidRDefault="00940D87" w:rsidP="00940D87">
            <w:pPr>
              <w:pStyle w:val="Tabletext"/>
            </w:pPr>
            <w:r w:rsidRPr="00BD6C5F">
              <w:t xml:space="preserve">Sch </w:t>
            </w:r>
            <w:r>
              <w:fldChar w:fldCharType="begin"/>
            </w:r>
            <w:r>
              <w:instrText xml:space="preserve"> REF Schedule_24 \h </w:instrText>
            </w:r>
            <w:r>
              <w:fldChar w:fldCharType="separate"/>
            </w:r>
            <w:r w:rsidR="009749A0">
              <w:t>24</w:t>
            </w:r>
            <w:r>
              <w:fldChar w:fldCharType="end"/>
            </w:r>
            <w:r w:rsidRPr="00BD6C5F">
              <w:t xml:space="preserve">, Para </w:t>
            </w:r>
            <w:r>
              <w:fldChar w:fldCharType="begin"/>
            </w:r>
            <w:r>
              <w:instrText xml:space="preserve"> REF _Ref141214808 \w \h </w:instrText>
            </w:r>
            <w:r>
              <w:fldChar w:fldCharType="separate"/>
            </w:r>
            <w:r w:rsidR="009749A0">
              <w:t>1</w:t>
            </w:r>
            <w:r>
              <w:fldChar w:fldCharType="end"/>
            </w:r>
          </w:p>
        </w:tc>
        <w:tc>
          <w:tcPr>
            <w:tcW w:w="2967" w:type="dxa"/>
          </w:tcPr>
          <w:p w14:paraId="7A48CBD5" w14:textId="77777777" w:rsidR="00940D87" w:rsidRPr="00BD6C5F" w:rsidRDefault="00940D87" w:rsidP="00940D87">
            <w:pPr>
              <w:pStyle w:val="Tabletext"/>
            </w:pPr>
            <w:r w:rsidRPr="00BD6C5F">
              <w:t>Reports and Records Provisions</w:t>
            </w:r>
          </w:p>
        </w:tc>
        <w:tc>
          <w:tcPr>
            <w:tcW w:w="2002" w:type="dxa"/>
          </w:tcPr>
          <w:p w14:paraId="5D28D32F" w14:textId="265FEA32" w:rsidR="00940D87" w:rsidRPr="00BD6C5F" w:rsidRDefault="00940D87" w:rsidP="00940D87">
            <w:pPr>
              <w:pStyle w:val="Tabletext"/>
            </w:pPr>
            <w:r w:rsidRPr="00BD6C5F">
              <w:t xml:space="preserve">Sch </w:t>
            </w:r>
            <w:r>
              <w:fldChar w:fldCharType="begin"/>
            </w:r>
            <w:r>
              <w:instrText xml:space="preserve"> REF Schedule_24 \h </w:instrText>
            </w:r>
            <w:r>
              <w:fldChar w:fldCharType="separate"/>
            </w:r>
            <w:r w:rsidR="009749A0">
              <w:t>24</w:t>
            </w:r>
            <w:r>
              <w:fldChar w:fldCharType="end"/>
            </w:r>
            <w:r w:rsidRPr="00BD6C5F">
              <w:t xml:space="preserve">, Annex </w:t>
            </w:r>
            <w:r>
              <w:fldChar w:fldCharType="begin"/>
            </w:r>
            <w:r>
              <w:instrText xml:space="preserve"> REF Schedule_24_Annex_1 \h </w:instrText>
            </w:r>
            <w:r>
              <w:fldChar w:fldCharType="separate"/>
            </w:r>
            <w:r w:rsidR="009749A0" w:rsidRPr="00BD6C5F">
              <w:t>1</w:t>
            </w:r>
            <w:r>
              <w:fldChar w:fldCharType="end"/>
            </w:r>
          </w:p>
        </w:tc>
        <w:tc>
          <w:tcPr>
            <w:tcW w:w="2667" w:type="dxa"/>
          </w:tcPr>
          <w:p w14:paraId="023A8B3E" w14:textId="77777777" w:rsidR="00940D87" w:rsidRPr="00BD6C5F" w:rsidRDefault="00940D87" w:rsidP="00940D87">
            <w:pPr>
              <w:pStyle w:val="Tabletext"/>
            </w:pPr>
            <w:r w:rsidRPr="00BD6C5F">
              <w:t>Within 3 months of the Effective Date</w:t>
            </w:r>
          </w:p>
        </w:tc>
        <w:tc>
          <w:tcPr>
            <w:tcW w:w="2721" w:type="dxa"/>
          </w:tcPr>
          <w:p w14:paraId="1AFC82D9" w14:textId="1352E3D2" w:rsidR="00940D87" w:rsidRPr="00BD6C5F" w:rsidRDefault="00940D87" w:rsidP="00940D87">
            <w:pPr>
              <w:pStyle w:val="Tabletext"/>
            </w:pPr>
            <w:r w:rsidRPr="00BD6C5F">
              <w:t xml:space="preserve">Frequency specified in Sch </w:t>
            </w:r>
            <w:r>
              <w:fldChar w:fldCharType="begin"/>
            </w:r>
            <w:r>
              <w:instrText xml:space="preserve"> REF Schedule_24 \h </w:instrText>
            </w:r>
            <w:r>
              <w:fldChar w:fldCharType="separate"/>
            </w:r>
            <w:r w:rsidR="009749A0">
              <w:t>24</w:t>
            </w:r>
            <w:r>
              <w:fldChar w:fldCharType="end"/>
            </w:r>
            <w:r w:rsidRPr="00BD6C5F">
              <w:t xml:space="preserve">, Annex </w:t>
            </w:r>
            <w:r>
              <w:fldChar w:fldCharType="begin"/>
            </w:r>
            <w:r>
              <w:instrText xml:space="preserve"> REF Schedule_24_Annex_1 \h </w:instrText>
            </w:r>
            <w:r>
              <w:fldChar w:fldCharType="separate"/>
            </w:r>
            <w:r w:rsidR="009749A0" w:rsidRPr="00BD6C5F">
              <w:t>1</w:t>
            </w:r>
            <w:r>
              <w:fldChar w:fldCharType="end"/>
            </w:r>
          </w:p>
        </w:tc>
        <w:tc>
          <w:tcPr>
            <w:tcW w:w="2438" w:type="dxa"/>
          </w:tcPr>
          <w:p w14:paraId="64347096" w14:textId="77777777" w:rsidR="00940D87" w:rsidRPr="00BD6C5F" w:rsidRDefault="00940D87" w:rsidP="00940D87">
            <w:pPr>
              <w:pStyle w:val="Tabletext"/>
            </w:pPr>
            <w:r w:rsidRPr="00BD6C5F">
              <w:t>Authority</w:t>
            </w:r>
          </w:p>
        </w:tc>
      </w:tr>
      <w:tr w:rsidR="00940D87" w:rsidRPr="00BD6C5F" w14:paraId="55640A26" w14:textId="77777777" w:rsidTr="00D51340">
        <w:tc>
          <w:tcPr>
            <w:tcW w:w="2381" w:type="dxa"/>
          </w:tcPr>
          <w:p w14:paraId="2A7694B7" w14:textId="6872F923"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_Ref141216326 \w \h </w:instrText>
            </w:r>
            <w:r>
              <w:fldChar w:fldCharType="separate"/>
            </w:r>
            <w:r w:rsidR="009749A0">
              <w:t>2.1.1</w:t>
            </w:r>
            <w:r>
              <w:fldChar w:fldCharType="end"/>
            </w:r>
          </w:p>
        </w:tc>
        <w:tc>
          <w:tcPr>
            <w:tcW w:w="2967" w:type="dxa"/>
          </w:tcPr>
          <w:p w14:paraId="2233F6EA" w14:textId="77777777" w:rsidR="00940D87" w:rsidRPr="00BD6C5F" w:rsidRDefault="00940D87" w:rsidP="00940D87">
            <w:pPr>
              <w:pStyle w:val="Tabletext"/>
            </w:pPr>
            <w:r w:rsidRPr="00BD6C5F">
              <w:t>Register of All Assets, Sub-contracts and Other Relevant Agreements</w:t>
            </w:r>
          </w:p>
        </w:tc>
        <w:tc>
          <w:tcPr>
            <w:tcW w:w="2002" w:type="dxa"/>
          </w:tcPr>
          <w:p w14:paraId="3E943EF5" w14:textId="77777777" w:rsidR="00940D87" w:rsidRPr="00BD6C5F" w:rsidRDefault="00940D87" w:rsidP="00940D87">
            <w:pPr>
              <w:pStyle w:val="Tabletext"/>
            </w:pPr>
            <w:r w:rsidRPr="00BD6C5F">
              <w:t>As appropriate and agreed by the Authority</w:t>
            </w:r>
          </w:p>
        </w:tc>
        <w:tc>
          <w:tcPr>
            <w:tcW w:w="2667" w:type="dxa"/>
          </w:tcPr>
          <w:p w14:paraId="58400F93" w14:textId="77777777" w:rsidR="00940D87" w:rsidRPr="00BD6C5F" w:rsidRDefault="00940D87" w:rsidP="00940D87">
            <w:pPr>
              <w:pStyle w:val="Tabletext"/>
            </w:pPr>
            <w:r w:rsidRPr="00BD6C5F">
              <w:t>Within 3 months of the Effective Date</w:t>
            </w:r>
          </w:p>
        </w:tc>
        <w:tc>
          <w:tcPr>
            <w:tcW w:w="2721" w:type="dxa"/>
          </w:tcPr>
          <w:p w14:paraId="2CA25AB0" w14:textId="77777777" w:rsidR="00940D87" w:rsidRPr="00BD6C5F" w:rsidRDefault="00940D87" w:rsidP="00940D87">
            <w:pPr>
              <w:pStyle w:val="Tabletext"/>
            </w:pPr>
            <w:r w:rsidRPr="00BD6C5F">
              <w:t>Any variation</w:t>
            </w:r>
          </w:p>
        </w:tc>
        <w:tc>
          <w:tcPr>
            <w:tcW w:w="2438" w:type="dxa"/>
          </w:tcPr>
          <w:p w14:paraId="6B7DD512" w14:textId="77777777" w:rsidR="00940D87" w:rsidRPr="00BD6C5F" w:rsidRDefault="00940D87" w:rsidP="00940D87">
            <w:pPr>
              <w:pStyle w:val="Tabletext"/>
            </w:pPr>
            <w:r w:rsidRPr="00BD6C5F">
              <w:t>Authority</w:t>
            </w:r>
          </w:p>
        </w:tc>
      </w:tr>
      <w:tr w:rsidR="00940D87" w:rsidRPr="00BD6C5F" w14:paraId="03CC7D5A" w14:textId="77777777" w:rsidTr="00D51340">
        <w:tc>
          <w:tcPr>
            <w:tcW w:w="2381" w:type="dxa"/>
          </w:tcPr>
          <w:p w14:paraId="132C3AAC" w14:textId="46DC8E6C"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_Ref141216336 \w \h </w:instrText>
            </w:r>
            <w:r>
              <w:fldChar w:fldCharType="separate"/>
            </w:r>
            <w:r w:rsidR="009749A0">
              <w:t>2.1.2</w:t>
            </w:r>
            <w:r>
              <w:fldChar w:fldCharType="end"/>
            </w:r>
          </w:p>
        </w:tc>
        <w:tc>
          <w:tcPr>
            <w:tcW w:w="2967" w:type="dxa"/>
          </w:tcPr>
          <w:p w14:paraId="22D3A6B6" w14:textId="77777777" w:rsidR="00940D87" w:rsidRPr="00BD6C5F" w:rsidRDefault="00940D87" w:rsidP="00940D87">
            <w:pPr>
              <w:pStyle w:val="Tabletext"/>
            </w:pPr>
            <w:r w:rsidRPr="00BD6C5F">
              <w:t>Configuration Database of Technical Infrastructure and Operating Procedures</w:t>
            </w:r>
          </w:p>
        </w:tc>
        <w:tc>
          <w:tcPr>
            <w:tcW w:w="2002" w:type="dxa"/>
          </w:tcPr>
          <w:p w14:paraId="2CAF5FDF" w14:textId="77777777" w:rsidR="00940D87" w:rsidRPr="00BD6C5F" w:rsidRDefault="00940D87" w:rsidP="00940D87">
            <w:pPr>
              <w:pStyle w:val="Tabletext"/>
            </w:pPr>
            <w:r w:rsidRPr="00BD6C5F">
              <w:t>As appropriate and agreed by the Authority</w:t>
            </w:r>
          </w:p>
        </w:tc>
        <w:tc>
          <w:tcPr>
            <w:tcW w:w="2667" w:type="dxa"/>
          </w:tcPr>
          <w:p w14:paraId="5EFDB9FD" w14:textId="77777777" w:rsidR="00940D87" w:rsidRPr="00BD6C5F" w:rsidRDefault="00940D87" w:rsidP="00940D87">
            <w:pPr>
              <w:pStyle w:val="Tabletext"/>
            </w:pPr>
            <w:r w:rsidRPr="00BD6C5F">
              <w:t>Within 3 months of the Effective Date</w:t>
            </w:r>
          </w:p>
        </w:tc>
        <w:tc>
          <w:tcPr>
            <w:tcW w:w="2721" w:type="dxa"/>
          </w:tcPr>
          <w:p w14:paraId="46D4FFCB" w14:textId="77777777" w:rsidR="00940D87" w:rsidRPr="00BD6C5F" w:rsidRDefault="00940D87" w:rsidP="00940D87">
            <w:pPr>
              <w:pStyle w:val="Tabletext"/>
            </w:pPr>
            <w:r w:rsidRPr="00BD6C5F">
              <w:t>Any variation</w:t>
            </w:r>
          </w:p>
        </w:tc>
        <w:tc>
          <w:tcPr>
            <w:tcW w:w="2438" w:type="dxa"/>
          </w:tcPr>
          <w:p w14:paraId="7465E343" w14:textId="77777777" w:rsidR="00940D87" w:rsidRPr="00BD6C5F" w:rsidRDefault="00940D87" w:rsidP="00940D87">
            <w:pPr>
              <w:pStyle w:val="Tabletext"/>
            </w:pPr>
            <w:r w:rsidRPr="00BD6C5F">
              <w:t>Authority</w:t>
            </w:r>
          </w:p>
        </w:tc>
      </w:tr>
      <w:tr w:rsidR="00940D87" w:rsidRPr="00BD6C5F" w14:paraId="3405ED17" w14:textId="77777777" w:rsidTr="00D51340">
        <w:tc>
          <w:tcPr>
            <w:tcW w:w="2381" w:type="dxa"/>
          </w:tcPr>
          <w:p w14:paraId="0B5A9802" w14:textId="7B3DDCAD"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_Ref98418634 \w \h </w:instrText>
            </w:r>
            <w:r>
              <w:fldChar w:fldCharType="separate"/>
            </w:r>
            <w:r w:rsidR="009749A0">
              <w:t>3.1</w:t>
            </w:r>
            <w:r>
              <w:fldChar w:fldCharType="end"/>
            </w:r>
          </w:p>
        </w:tc>
        <w:tc>
          <w:tcPr>
            <w:tcW w:w="2967" w:type="dxa"/>
          </w:tcPr>
          <w:p w14:paraId="2D8639DA" w14:textId="77777777" w:rsidR="00940D87" w:rsidRPr="00BD6C5F" w:rsidRDefault="00940D87" w:rsidP="00940D87">
            <w:pPr>
              <w:pStyle w:val="Tabletext"/>
            </w:pPr>
            <w:r w:rsidRPr="00BD6C5F">
              <w:t>Exit Information</w:t>
            </w:r>
          </w:p>
        </w:tc>
        <w:tc>
          <w:tcPr>
            <w:tcW w:w="2002" w:type="dxa"/>
          </w:tcPr>
          <w:p w14:paraId="116631B8" w14:textId="77777777" w:rsidR="00940D87" w:rsidRPr="00BD6C5F" w:rsidRDefault="00940D87" w:rsidP="00940D87">
            <w:pPr>
              <w:pStyle w:val="Tabletext"/>
            </w:pPr>
            <w:r w:rsidRPr="00BD6C5F">
              <w:t>As appropriate and agreed by the Authority</w:t>
            </w:r>
          </w:p>
        </w:tc>
        <w:tc>
          <w:tcPr>
            <w:tcW w:w="2667" w:type="dxa"/>
          </w:tcPr>
          <w:p w14:paraId="188E2B4D" w14:textId="77777777" w:rsidR="00940D87" w:rsidRPr="00BD6C5F" w:rsidRDefault="00940D87" w:rsidP="00940D87">
            <w:pPr>
              <w:pStyle w:val="Tabletext"/>
            </w:pPr>
            <w:r w:rsidRPr="00BD6C5F">
              <w:t>On reasonable notice given by the Authority at any point during the Term</w:t>
            </w:r>
          </w:p>
        </w:tc>
        <w:tc>
          <w:tcPr>
            <w:tcW w:w="2721" w:type="dxa"/>
          </w:tcPr>
          <w:p w14:paraId="211FD914" w14:textId="7BA5BA29" w:rsidR="00940D87" w:rsidRPr="00BD6C5F" w:rsidRDefault="00940D87" w:rsidP="00940D87">
            <w:pPr>
              <w:pStyle w:val="Tabletext"/>
            </w:pPr>
            <w:r w:rsidRPr="00BD6C5F">
              <w:t>Within 10 Working Days of Authority’s written request</w:t>
            </w:r>
          </w:p>
        </w:tc>
        <w:tc>
          <w:tcPr>
            <w:tcW w:w="2438" w:type="dxa"/>
          </w:tcPr>
          <w:p w14:paraId="5DD79F44" w14:textId="77777777" w:rsidR="00940D87" w:rsidRPr="00BD6C5F" w:rsidRDefault="00940D87" w:rsidP="00940D87">
            <w:pPr>
              <w:pStyle w:val="Tabletext"/>
            </w:pPr>
            <w:r w:rsidRPr="00BD6C5F">
              <w:t>Authority and its potential Replacement Suppliers</w:t>
            </w:r>
          </w:p>
        </w:tc>
      </w:tr>
      <w:tr w:rsidR="00940D87" w:rsidRPr="00BD6C5F" w14:paraId="1E0C744A" w14:textId="77777777" w:rsidTr="00D51340">
        <w:tc>
          <w:tcPr>
            <w:tcW w:w="2381" w:type="dxa"/>
          </w:tcPr>
          <w:p w14:paraId="62A3B1FA" w14:textId="5E4614BE" w:rsidR="00940D87" w:rsidRPr="00BD6C5F" w:rsidRDefault="00940D87" w:rsidP="00940D87">
            <w:pPr>
              <w:pStyle w:val="Tabletext"/>
            </w:pPr>
            <w:r w:rsidRPr="00BD6C5F">
              <w:lastRenderedPageBreak/>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_Ref141216360 \w \h </w:instrText>
            </w:r>
            <w:r>
              <w:fldChar w:fldCharType="separate"/>
            </w:r>
            <w:r w:rsidR="009749A0">
              <w:t>5.1</w:t>
            </w:r>
            <w:r>
              <w:fldChar w:fldCharType="end"/>
            </w:r>
          </w:p>
        </w:tc>
        <w:tc>
          <w:tcPr>
            <w:tcW w:w="2967" w:type="dxa"/>
          </w:tcPr>
          <w:p w14:paraId="3CEFBCAE" w14:textId="77777777" w:rsidR="00940D87" w:rsidRPr="00BD6C5F" w:rsidRDefault="00940D87" w:rsidP="00940D87">
            <w:pPr>
              <w:pStyle w:val="Tabletext"/>
            </w:pPr>
            <w:r w:rsidRPr="00BD6C5F">
              <w:t>Exit Plan</w:t>
            </w:r>
          </w:p>
        </w:tc>
        <w:tc>
          <w:tcPr>
            <w:tcW w:w="2002" w:type="dxa"/>
          </w:tcPr>
          <w:p w14:paraId="59535A4C" w14:textId="27506868"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_Ref141226429 \w \h </w:instrText>
            </w:r>
            <w:r>
              <w:fldChar w:fldCharType="separate"/>
            </w:r>
            <w:r w:rsidR="009749A0">
              <w:t>5.3</w:t>
            </w:r>
            <w:r>
              <w:fldChar w:fldCharType="end"/>
            </w:r>
          </w:p>
        </w:tc>
        <w:tc>
          <w:tcPr>
            <w:tcW w:w="2667" w:type="dxa"/>
          </w:tcPr>
          <w:p w14:paraId="6DBC0BD8" w14:textId="77777777" w:rsidR="00940D87" w:rsidRPr="00BD6C5F" w:rsidRDefault="00940D87" w:rsidP="00940D87">
            <w:pPr>
              <w:pStyle w:val="Tabletext"/>
            </w:pPr>
            <w:r w:rsidRPr="00BD6C5F">
              <w:t>Within 3 months of the Effective Date</w:t>
            </w:r>
          </w:p>
        </w:tc>
        <w:tc>
          <w:tcPr>
            <w:tcW w:w="2721" w:type="dxa"/>
          </w:tcPr>
          <w:p w14:paraId="621F4F6F" w14:textId="4881E569" w:rsidR="00940D87" w:rsidRPr="00BD6C5F" w:rsidRDefault="00940D87" w:rsidP="00940D87">
            <w:pPr>
              <w:pStyle w:val="Tabletext"/>
            </w:pPr>
            <w:r w:rsidRPr="00BD6C5F">
              <w:t>In the first month of each Contract Year; and</w:t>
            </w:r>
          </w:p>
          <w:p w14:paraId="663739CD" w14:textId="77777777" w:rsidR="00940D87" w:rsidRPr="00BD6C5F" w:rsidRDefault="00940D87" w:rsidP="00940D87">
            <w:pPr>
              <w:pStyle w:val="Tabletext"/>
            </w:pPr>
            <w:r w:rsidRPr="00BD6C5F">
              <w:t>Within 14 days if requested by the Authority following a Financial Distress Event</w:t>
            </w:r>
          </w:p>
          <w:p w14:paraId="6FB15D90" w14:textId="250321DF" w:rsidR="00940D87" w:rsidRPr="00BD6C5F" w:rsidRDefault="00940D87" w:rsidP="00940D87">
            <w:pPr>
              <w:pStyle w:val="Tabletext"/>
            </w:pPr>
            <w:r w:rsidRPr="00BD6C5F">
              <w:t>Within 20 days after service of Termination Notice or 6 months prior to expiry of the Contract</w:t>
            </w:r>
          </w:p>
        </w:tc>
        <w:tc>
          <w:tcPr>
            <w:tcW w:w="2438" w:type="dxa"/>
          </w:tcPr>
          <w:p w14:paraId="025F5354" w14:textId="77777777" w:rsidR="00940D87" w:rsidRPr="00BD6C5F" w:rsidRDefault="00940D87" w:rsidP="00940D87">
            <w:pPr>
              <w:pStyle w:val="Tabletext"/>
            </w:pPr>
            <w:r w:rsidRPr="00BD6C5F">
              <w:t>Authority</w:t>
            </w:r>
          </w:p>
        </w:tc>
      </w:tr>
      <w:tr w:rsidR="00940D87" w:rsidRPr="00BD6C5F" w14:paraId="5DDD4EA8" w14:textId="77777777" w:rsidTr="00D51340">
        <w:tc>
          <w:tcPr>
            <w:tcW w:w="2381" w:type="dxa"/>
          </w:tcPr>
          <w:p w14:paraId="15EE1AF8" w14:textId="390E4668"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rsidRPr="00B7047D">
              <w:t>6.3.5</w:t>
            </w:r>
          </w:p>
        </w:tc>
        <w:tc>
          <w:tcPr>
            <w:tcW w:w="2967" w:type="dxa"/>
          </w:tcPr>
          <w:p w14:paraId="6A8D4DB2" w14:textId="5DF4E58F" w:rsidR="00940D87" w:rsidRPr="00BD6C5F" w:rsidRDefault="00940D87" w:rsidP="00940D87">
            <w:pPr>
              <w:pStyle w:val="Tabletext"/>
            </w:pPr>
            <w:r w:rsidRPr="00BD6C5F">
              <w:t>Provide up to date Registers during the Termination Assistance Period</w:t>
            </w:r>
          </w:p>
        </w:tc>
        <w:tc>
          <w:tcPr>
            <w:tcW w:w="2002" w:type="dxa"/>
          </w:tcPr>
          <w:p w14:paraId="49EA88F2" w14:textId="50403FCE" w:rsidR="00940D87" w:rsidRPr="00BD6C5F" w:rsidRDefault="00940D87" w:rsidP="00940D87">
            <w:pPr>
              <w:pStyle w:val="Tabletext"/>
            </w:pPr>
            <w:r w:rsidRPr="00BD6C5F">
              <w:t>As appropriate</w:t>
            </w:r>
          </w:p>
        </w:tc>
        <w:tc>
          <w:tcPr>
            <w:tcW w:w="2667" w:type="dxa"/>
          </w:tcPr>
          <w:p w14:paraId="4594793D" w14:textId="43287AC3" w:rsidR="00940D87" w:rsidRPr="00BD6C5F" w:rsidRDefault="00940D87" w:rsidP="00940D87">
            <w:pPr>
              <w:pStyle w:val="Tabletext"/>
            </w:pPr>
            <w:r w:rsidRPr="00BD6C5F">
              <w:t>As requested by the Authority</w:t>
            </w:r>
          </w:p>
        </w:tc>
        <w:tc>
          <w:tcPr>
            <w:tcW w:w="2721" w:type="dxa"/>
          </w:tcPr>
          <w:p w14:paraId="6BFC0461" w14:textId="51C0EC3A" w:rsidR="00940D87" w:rsidRPr="00BD6C5F" w:rsidRDefault="00940D87" w:rsidP="00940D87">
            <w:pPr>
              <w:pStyle w:val="Tabletext"/>
            </w:pPr>
            <w:r w:rsidRPr="00BD6C5F">
              <w:t>As appropriate</w:t>
            </w:r>
          </w:p>
        </w:tc>
        <w:tc>
          <w:tcPr>
            <w:tcW w:w="2438" w:type="dxa"/>
          </w:tcPr>
          <w:p w14:paraId="3E40FAAB" w14:textId="77777777" w:rsidR="00940D87" w:rsidRPr="00BD6C5F" w:rsidRDefault="00940D87" w:rsidP="00940D87">
            <w:pPr>
              <w:pStyle w:val="Tabletext"/>
            </w:pPr>
          </w:p>
        </w:tc>
      </w:tr>
      <w:tr w:rsidR="00940D87" w:rsidRPr="00BD6C5F" w14:paraId="0DF2E4BB" w14:textId="77777777" w:rsidTr="00D51340">
        <w:tc>
          <w:tcPr>
            <w:tcW w:w="2381" w:type="dxa"/>
          </w:tcPr>
          <w:p w14:paraId="4F61DAEA" w14:textId="7D22213C" w:rsidR="00940D87" w:rsidRPr="00BD6C5F" w:rsidRDefault="00940D87" w:rsidP="00940D87">
            <w:pPr>
              <w:pStyle w:val="Tabletext"/>
            </w:pPr>
            <w:r w:rsidRPr="00BD6C5F">
              <w:t xml:space="preserve">Sch </w:t>
            </w:r>
            <w:r>
              <w:fldChar w:fldCharType="begin"/>
            </w:r>
            <w:r>
              <w:instrText xml:space="preserve"> REF Schedule_25 \h </w:instrText>
            </w:r>
            <w:r>
              <w:fldChar w:fldCharType="separate"/>
            </w:r>
            <w:r w:rsidR="009749A0">
              <w:t>25</w:t>
            </w:r>
            <w:r>
              <w:fldChar w:fldCharType="end"/>
            </w:r>
            <w:r w:rsidRPr="00BD6C5F">
              <w:t xml:space="preserve">, Para </w:t>
            </w:r>
            <w:r>
              <w:fldChar w:fldCharType="begin"/>
            </w:r>
            <w:r>
              <w:instrText xml:space="preserve"> REF _Ref141216403 \w \h </w:instrText>
            </w:r>
            <w:r>
              <w:fldChar w:fldCharType="separate"/>
            </w:r>
            <w:r w:rsidR="009749A0">
              <w:t>6.3.2(b)</w:t>
            </w:r>
            <w:r>
              <w:fldChar w:fldCharType="end"/>
            </w:r>
          </w:p>
        </w:tc>
        <w:tc>
          <w:tcPr>
            <w:tcW w:w="2967" w:type="dxa"/>
          </w:tcPr>
          <w:p w14:paraId="78181354" w14:textId="77777777" w:rsidR="00940D87" w:rsidRPr="00BD6C5F" w:rsidRDefault="00940D87" w:rsidP="00940D87">
            <w:pPr>
              <w:pStyle w:val="Tabletext"/>
            </w:pPr>
            <w:r w:rsidRPr="00BD6C5F">
              <w:t>Authority Data (handback)</w:t>
            </w:r>
          </w:p>
        </w:tc>
        <w:tc>
          <w:tcPr>
            <w:tcW w:w="2002" w:type="dxa"/>
          </w:tcPr>
          <w:p w14:paraId="4EAA72ED" w14:textId="695AEC03" w:rsidR="00940D87" w:rsidRPr="00BD6C5F" w:rsidRDefault="00940D87" w:rsidP="00940D87">
            <w:pPr>
              <w:pStyle w:val="Tabletext"/>
            </w:pPr>
            <w:r w:rsidRPr="00BD6C5F">
              <w:t xml:space="preserve">Sch </w:t>
            </w:r>
            <w:r>
              <w:fldChar w:fldCharType="begin"/>
            </w:r>
            <w:r>
              <w:instrText xml:space="preserve"> REF Schedule_24 \h </w:instrText>
            </w:r>
            <w:r>
              <w:fldChar w:fldCharType="separate"/>
            </w:r>
            <w:r w:rsidR="009749A0">
              <w:t>24</w:t>
            </w:r>
            <w:r>
              <w:fldChar w:fldCharType="end"/>
            </w:r>
            <w:r w:rsidRPr="00BD6C5F">
              <w:t xml:space="preserve">, Para </w:t>
            </w:r>
            <w:r>
              <w:fldChar w:fldCharType="begin"/>
            </w:r>
            <w:r>
              <w:instrText xml:space="preserve"> REF _Ref98357414 \w \h </w:instrText>
            </w:r>
            <w:r>
              <w:fldChar w:fldCharType="separate"/>
            </w:r>
            <w:r w:rsidR="009749A0">
              <w:t>3</w:t>
            </w:r>
            <w:r>
              <w:fldChar w:fldCharType="end"/>
            </w:r>
            <w:r w:rsidRPr="00BD6C5F">
              <w:t xml:space="preserve"> and/or as appropriate and agreed by the Authority</w:t>
            </w:r>
          </w:p>
        </w:tc>
        <w:tc>
          <w:tcPr>
            <w:tcW w:w="2667" w:type="dxa"/>
          </w:tcPr>
          <w:p w14:paraId="7C07E036" w14:textId="77777777" w:rsidR="00940D87" w:rsidRPr="00BD6C5F" w:rsidRDefault="00940D87" w:rsidP="00940D87">
            <w:pPr>
              <w:pStyle w:val="Tabletext"/>
            </w:pPr>
            <w:r w:rsidRPr="00BD6C5F">
              <w:t>At the end of the Termination Assistance Period</w:t>
            </w:r>
          </w:p>
        </w:tc>
        <w:tc>
          <w:tcPr>
            <w:tcW w:w="2721" w:type="dxa"/>
          </w:tcPr>
          <w:p w14:paraId="553169F5" w14:textId="77777777" w:rsidR="00940D87" w:rsidRPr="00BD6C5F" w:rsidRDefault="00940D87" w:rsidP="00940D87">
            <w:pPr>
              <w:pStyle w:val="Tabletext"/>
            </w:pPr>
            <w:r w:rsidRPr="00BD6C5F">
              <w:t>-</w:t>
            </w:r>
          </w:p>
        </w:tc>
        <w:tc>
          <w:tcPr>
            <w:tcW w:w="2438" w:type="dxa"/>
          </w:tcPr>
          <w:p w14:paraId="63BABD09" w14:textId="77777777" w:rsidR="00940D87" w:rsidRPr="00BD6C5F" w:rsidRDefault="00940D87" w:rsidP="00940D87">
            <w:pPr>
              <w:pStyle w:val="Tabletext"/>
            </w:pPr>
            <w:r w:rsidRPr="00BD6C5F">
              <w:t>Authority</w:t>
            </w:r>
          </w:p>
        </w:tc>
      </w:tr>
      <w:tr w:rsidR="00940D87" w:rsidRPr="00BD6C5F" w14:paraId="6CDF221A" w14:textId="77777777" w:rsidTr="00D51340">
        <w:tc>
          <w:tcPr>
            <w:tcW w:w="2381" w:type="dxa"/>
          </w:tcPr>
          <w:p w14:paraId="65EA04FD" w14:textId="32E085C6" w:rsidR="00940D87" w:rsidRPr="00F63080" w:rsidRDefault="00940D87" w:rsidP="00940D87">
            <w:pPr>
              <w:pStyle w:val="Tabletext"/>
              <w:rPr>
                <w:lang w:val="es-ES"/>
              </w:rPr>
            </w:pPr>
            <w:r w:rsidRPr="00F63080">
              <w:rPr>
                <w:lang w:val="es-ES"/>
              </w:rPr>
              <w:t xml:space="preserve">Sch </w:t>
            </w:r>
            <w:r>
              <w:rPr>
                <w:lang w:val="es-ES"/>
              </w:rPr>
              <w:fldChar w:fldCharType="begin"/>
            </w:r>
            <w:r>
              <w:rPr>
                <w:lang w:val="es-ES"/>
              </w:rPr>
              <w:instrText xml:space="preserve"> REF Schedule_25 \h </w:instrText>
            </w:r>
            <w:r>
              <w:rPr>
                <w:lang w:val="es-ES"/>
              </w:rPr>
            </w:r>
            <w:r>
              <w:rPr>
                <w:lang w:val="es-ES"/>
              </w:rPr>
              <w:fldChar w:fldCharType="separate"/>
            </w:r>
            <w:r w:rsidR="009749A0">
              <w:t>25</w:t>
            </w:r>
            <w:r>
              <w:rPr>
                <w:lang w:val="es-ES"/>
              </w:rPr>
              <w:fldChar w:fldCharType="end"/>
            </w:r>
            <w:r w:rsidRPr="00F63080">
              <w:rPr>
                <w:lang w:val="es-ES"/>
              </w:rPr>
              <w:t xml:space="preserve">, Annex </w:t>
            </w:r>
            <w:r>
              <w:rPr>
                <w:lang w:val="es-ES"/>
              </w:rPr>
              <w:fldChar w:fldCharType="begin"/>
            </w:r>
            <w:r>
              <w:rPr>
                <w:lang w:val="es-ES"/>
              </w:rPr>
              <w:instrText xml:space="preserve"> REF Schedule_25_Annex_1 \h </w:instrText>
            </w:r>
            <w:r>
              <w:rPr>
                <w:lang w:val="es-ES"/>
              </w:rPr>
            </w:r>
            <w:r>
              <w:rPr>
                <w:lang w:val="es-ES"/>
              </w:rPr>
              <w:fldChar w:fldCharType="separate"/>
            </w:r>
            <w:r w:rsidR="009749A0" w:rsidRPr="00BD6C5F">
              <w:t>1</w:t>
            </w:r>
            <w:r>
              <w:rPr>
                <w:lang w:val="es-ES"/>
              </w:rPr>
              <w:fldChar w:fldCharType="end"/>
            </w:r>
            <w:r w:rsidRPr="00F63080">
              <w:rPr>
                <w:lang w:val="es-ES"/>
              </w:rPr>
              <w:t xml:space="preserve">, Para </w:t>
            </w:r>
            <w:r>
              <w:rPr>
                <w:lang w:val="es-ES"/>
              </w:rPr>
              <w:fldChar w:fldCharType="begin"/>
            </w:r>
            <w:r>
              <w:rPr>
                <w:lang w:val="es-ES"/>
              </w:rPr>
              <w:instrText xml:space="preserve"> REF _Ref141216452 \w \h </w:instrText>
            </w:r>
            <w:r>
              <w:rPr>
                <w:lang w:val="es-ES"/>
              </w:rPr>
            </w:r>
            <w:r>
              <w:rPr>
                <w:lang w:val="es-ES"/>
              </w:rPr>
              <w:fldChar w:fldCharType="separate"/>
            </w:r>
            <w:r w:rsidR="009749A0">
              <w:rPr>
                <w:lang w:val="es-ES"/>
              </w:rPr>
              <w:t>1.1</w:t>
            </w:r>
            <w:r>
              <w:rPr>
                <w:lang w:val="es-ES"/>
              </w:rPr>
              <w:fldChar w:fldCharType="end"/>
            </w:r>
            <w:r w:rsidRPr="00F63080">
              <w:rPr>
                <w:lang w:val="es-ES"/>
              </w:rPr>
              <w:t xml:space="preserve">, Para </w:t>
            </w:r>
            <w:r>
              <w:rPr>
                <w:lang w:val="es-ES"/>
              </w:rPr>
              <w:fldChar w:fldCharType="begin"/>
            </w:r>
            <w:r>
              <w:rPr>
                <w:lang w:val="es-ES"/>
              </w:rPr>
              <w:instrText xml:space="preserve"> REF _Ref141216461 \w \h </w:instrText>
            </w:r>
            <w:r>
              <w:rPr>
                <w:lang w:val="es-ES"/>
              </w:rPr>
            </w:r>
            <w:r>
              <w:rPr>
                <w:lang w:val="es-ES"/>
              </w:rPr>
              <w:fldChar w:fldCharType="separate"/>
            </w:r>
            <w:r w:rsidR="009749A0">
              <w:rPr>
                <w:lang w:val="es-ES"/>
              </w:rPr>
              <w:t>1.2</w:t>
            </w:r>
            <w:r>
              <w:rPr>
                <w:lang w:val="es-ES"/>
              </w:rPr>
              <w:fldChar w:fldCharType="end"/>
            </w:r>
            <w:r w:rsidRPr="00F63080">
              <w:rPr>
                <w:lang w:val="es-ES"/>
              </w:rPr>
              <w:t xml:space="preserve">, Para </w:t>
            </w:r>
            <w:r>
              <w:rPr>
                <w:lang w:val="es-ES"/>
              </w:rPr>
              <w:fldChar w:fldCharType="begin"/>
            </w:r>
            <w:r>
              <w:rPr>
                <w:lang w:val="es-ES"/>
              </w:rPr>
              <w:instrText xml:space="preserve"> REF _Ref141216468 \w \h </w:instrText>
            </w:r>
            <w:r>
              <w:rPr>
                <w:lang w:val="es-ES"/>
              </w:rPr>
            </w:r>
            <w:r>
              <w:rPr>
                <w:lang w:val="es-ES"/>
              </w:rPr>
              <w:fldChar w:fldCharType="separate"/>
            </w:r>
            <w:r w:rsidR="009749A0">
              <w:rPr>
                <w:lang w:val="es-ES"/>
              </w:rPr>
              <w:t>1.3</w:t>
            </w:r>
            <w:r>
              <w:rPr>
                <w:lang w:val="es-ES"/>
              </w:rPr>
              <w:fldChar w:fldCharType="end"/>
            </w:r>
            <w:r w:rsidRPr="00F63080">
              <w:rPr>
                <w:lang w:val="es-ES"/>
              </w:rPr>
              <w:t xml:space="preserve"> &amp; Para </w:t>
            </w:r>
            <w:r>
              <w:rPr>
                <w:lang w:val="es-ES"/>
              </w:rPr>
              <w:fldChar w:fldCharType="begin"/>
            </w:r>
            <w:r>
              <w:rPr>
                <w:lang w:val="es-ES"/>
              </w:rPr>
              <w:instrText xml:space="preserve"> REF _Ref141216473 \w \h </w:instrText>
            </w:r>
            <w:r>
              <w:rPr>
                <w:lang w:val="es-ES"/>
              </w:rPr>
            </w:r>
            <w:r>
              <w:rPr>
                <w:lang w:val="es-ES"/>
              </w:rPr>
              <w:fldChar w:fldCharType="separate"/>
            </w:r>
            <w:r w:rsidR="009749A0">
              <w:rPr>
                <w:lang w:val="es-ES"/>
              </w:rPr>
              <w:t>1.4</w:t>
            </w:r>
            <w:r>
              <w:rPr>
                <w:lang w:val="es-ES"/>
              </w:rPr>
              <w:fldChar w:fldCharType="end"/>
            </w:r>
          </w:p>
        </w:tc>
        <w:tc>
          <w:tcPr>
            <w:tcW w:w="2967" w:type="dxa"/>
          </w:tcPr>
          <w:p w14:paraId="5DCE592A" w14:textId="77777777" w:rsidR="00940D87" w:rsidRPr="00BD6C5F" w:rsidRDefault="00940D87" w:rsidP="00940D87">
            <w:pPr>
              <w:pStyle w:val="Tabletext"/>
            </w:pPr>
            <w:r w:rsidRPr="00BD6C5F">
              <w:t>Termination Services supporting documentation and knowledge transfer material</w:t>
            </w:r>
          </w:p>
        </w:tc>
        <w:tc>
          <w:tcPr>
            <w:tcW w:w="2002" w:type="dxa"/>
          </w:tcPr>
          <w:p w14:paraId="503F98BE" w14:textId="77777777" w:rsidR="00940D87" w:rsidRPr="00BD6C5F" w:rsidRDefault="00940D87" w:rsidP="00940D87">
            <w:pPr>
              <w:pStyle w:val="Tabletext"/>
            </w:pPr>
            <w:r w:rsidRPr="00BD6C5F">
              <w:t>As appropriate and agreed by the Authority</w:t>
            </w:r>
          </w:p>
        </w:tc>
        <w:tc>
          <w:tcPr>
            <w:tcW w:w="2667" w:type="dxa"/>
          </w:tcPr>
          <w:p w14:paraId="32D38DDC" w14:textId="77777777" w:rsidR="00940D87" w:rsidRPr="00BD6C5F" w:rsidRDefault="00940D87" w:rsidP="00940D87">
            <w:pPr>
              <w:pStyle w:val="Tabletext"/>
            </w:pPr>
            <w:r w:rsidRPr="00BD6C5F">
              <w:t xml:space="preserve">As specified in the Termination Assistance Notice and in any event prior to the end of the </w:t>
            </w:r>
            <w:r w:rsidRPr="00BD6C5F">
              <w:lastRenderedPageBreak/>
              <w:t>Termination Assistance Period</w:t>
            </w:r>
          </w:p>
        </w:tc>
        <w:tc>
          <w:tcPr>
            <w:tcW w:w="2721" w:type="dxa"/>
          </w:tcPr>
          <w:p w14:paraId="78F60CC8" w14:textId="77777777" w:rsidR="00940D87" w:rsidRPr="00BD6C5F" w:rsidRDefault="00940D87" w:rsidP="00940D87">
            <w:pPr>
              <w:pStyle w:val="Tabletext"/>
            </w:pPr>
            <w:r w:rsidRPr="00BD6C5F">
              <w:lastRenderedPageBreak/>
              <w:t>As specified in the Termination Assistance Notice or otherwise requested by the Authority</w:t>
            </w:r>
          </w:p>
        </w:tc>
        <w:tc>
          <w:tcPr>
            <w:tcW w:w="2438" w:type="dxa"/>
          </w:tcPr>
          <w:p w14:paraId="12554906" w14:textId="77777777" w:rsidR="00940D87" w:rsidRPr="00BD6C5F" w:rsidRDefault="00940D87" w:rsidP="00940D87">
            <w:pPr>
              <w:pStyle w:val="Tabletext"/>
            </w:pPr>
            <w:r w:rsidRPr="00BD6C5F">
              <w:t>-</w:t>
            </w:r>
          </w:p>
        </w:tc>
      </w:tr>
      <w:tr w:rsidR="00940D87" w:rsidRPr="00BD6C5F" w14:paraId="00F66329" w14:textId="77777777" w:rsidTr="00D51340">
        <w:tc>
          <w:tcPr>
            <w:tcW w:w="2381" w:type="dxa"/>
          </w:tcPr>
          <w:p w14:paraId="472C1EC1" w14:textId="1FE39643"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Service Continuity</w:t>
            </w:r>
          </w:p>
        </w:tc>
        <w:tc>
          <w:tcPr>
            <w:tcW w:w="2967" w:type="dxa"/>
          </w:tcPr>
          <w:p w14:paraId="02A4ADC1" w14:textId="77777777" w:rsidR="00940D87" w:rsidRPr="00BD6C5F" w:rsidRDefault="00940D87" w:rsidP="00940D87">
            <w:pPr>
              <w:pStyle w:val="Tabletext"/>
            </w:pPr>
            <w:r w:rsidRPr="00BD6C5F">
              <w:t>Service Continuity Plan</w:t>
            </w:r>
          </w:p>
        </w:tc>
        <w:tc>
          <w:tcPr>
            <w:tcW w:w="2002" w:type="dxa"/>
          </w:tcPr>
          <w:p w14:paraId="61B8A0D4" w14:textId="2BE2FD40"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Para </w:t>
            </w:r>
            <w:r>
              <w:fldChar w:fldCharType="begin"/>
            </w:r>
            <w:r>
              <w:instrText xml:space="preserve"> REF _Ref141216536 \w \h </w:instrText>
            </w:r>
            <w:r>
              <w:fldChar w:fldCharType="separate"/>
            </w:r>
            <w:r w:rsidR="009749A0">
              <w:t>2.2</w:t>
            </w:r>
            <w:r>
              <w:fldChar w:fldCharType="end"/>
            </w:r>
          </w:p>
        </w:tc>
        <w:tc>
          <w:tcPr>
            <w:tcW w:w="2667" w:type="dxa"/>
          </w:tcPr>
          <w:p w14:paraId="02FED33C" w14:textId="04372083" w:rsidR="00940D87" w:rsidRPr="00BD6C5F" w:rsidRDefault="00940D87" w:rsidP="00940D87">
            <w:pPr>
              <w:pStyle w:val="Tabletext"/>
            </w:pPr>
            <w:r w:rsidRPr="00BD6C5F">
              <w:t>Within 40 Working Days from the Effective Date</w:t>
            </w:r>
          </w:p>
        </w:tc>
        <w:tc>
          <w:tcPr>
            <w:tcW w:w="2721" w:type="dxa"/>
          </w:tcPr>
          <w:p w14:paraId="04FA580D" w14:textId="0C3277D1"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Para </w:t>
            </w:r>
            <w:r>
              <w:fldChar w:fldCharType="begin"/>
            </w:r>
            <w:r>
              <w:instrText xml:space="preserve"> REF _Ref98423527 \w \h </w:instrText>
            </w:r>
            <w:r>
              <w:fldChar w:fldCharType="separate"/>
            </w:r>
            <w:r w:rsidR="009749A0">
              <w:t>7.1</w:t>
            </w:r>
            <w:r>
              <w:fldChar w:fldCharType="end"/>
            </w:r>
          </w:p>
        </w:tc>
        <w:tc>
          <w:tcPr>
            <w:tcW w:w="2438" w:type="dxa"/>
          </w:tcPr>
          <w:p w14:paraId="1310A77F" w14:textId="77777777" w:rsidR="00940D87" w:rsidRPr="00BD6C5F" w:rsidRDefault="00940D87" w:rsidP="00940D87">
            <w:pPr>
              <w:pStyle w:val="Tabletext"/>
            </w:pPr>
            <w:r w:rsidRPr="00BD6C5F">
              <w:t>Authority</w:t>
            </w:r>
          </w:p>
        </w:tc>
      </w:tr>
      <w:tr w:rsidR="00940D87" w:rsidRPr="00BD6C5F" w14:paraId="577E1BB6" w14:textId="77777777" w:rsidTr="00D51340">
        <w:tc>
          <w:tcPr>
            <w:tcW w:w="2381" w:type="dxa"/>
          </w:tcPr>
          <w:p w14:paraId="42C08EEC" w14:textId="59443BDD"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Para </w:t>
            </w:r>
            <w:r>
              <w:fldChar w:fldCharType="begin"/>
            </w:r>
            <w:r>
              <w:instrText xml:space="preserve"> REF _Ref141216512 \w \h </w:instrText>
            </w:r>
            <w:r>
              <w:fldChar w:fldCharType="separate"/>
            </w:r>
            <w:r w:rsidR="009749A0">
              <w:t>7.2</w:t>
            </w:r>
            <w:r>
              <w:fldChar w:fldCharType="end"/>
            </w:r>
          </w:p>
        </w:tc>
        <w:tc>
          <w:tcPr>
            <w:tcW w:w="2967" w:type="dxa"/>
          </w:tcPr>
          <w:p w14:paraId="7037CA0D" w14:textId="77777777" w:rsidR="00940D87" w:rsidRPr="00BD6C5F" w:rsidRDefault="00940D87" w:rsidP="00940D87">
            <w:pPr>
              <w:pStyle w:val="Tabletext"/>
            </w:pPr>
            <w:r w:rsidRPr="00BD6C5F">
              <w:t>Service Continuity Plan Review Report</w:t>
            </w:r>
          </w:p>
        </w:tc>
        <w:tc>
          <w:tcPr>
            <w:tcW w:w="2002" w:type="dxa"/>
          </w:tcPr>
          <w:p w14:paraId="252A0B82" w14:textId="1778904B"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Para </w:t>
            </w:r>
            <w:r>
              <w:fldChar w:fldCharType="begin"/>
            </w:r>
            <w:r>
              <w:instrText xml:space="preserve"> REF _Ref141216523 \w \h </w:instrText>
            </w:r>
            <w:r>
              <w:fldChar w:fldCharType="separate"/>
            </w:r>
            <w:r w:rsidR="009749A0">
              <w:t>6.2</w:t>
            </w:r>
            <w:r>
              <w:fldChar w:fldCharType="end"/>
            </w:r>
          </w:p>
        </w:tc>
        <w:tc>
          <w:tcPr>
            <w:tcW w:w="2667" w:type="dxa"/>
          </w:tcPr>
          <w:p w14:paraId="59083DD0" w14:textId="77777777" w:rsidR="00940D87" w:rsidRPr="00BD6C5F" w:rsidRDefault="00940D87" w:rsidP="00940D87">
            <w:pPr>
              <w:pStyle w:val="Tabletext"/>
            </w:pPr>
            <w:r w:rsidRPr="00BD6C5F">
              <w:t>Within 20 Working Days of the conclusion of each review of the Service Continuity Plan.</w:t>
            </w:r>
          </w:p>
        </w:tc>
        <w:tc>
          <w:tcPr>
            <w:tcW w:w="2721" w:type="dxa"/>
          </w:tcPr>
          <w:p w14:paraId="2C382842" w14:textId="77777777" w:rsidR="00940D87" w:rsidRPr="00BD6C5F" w:rsidRDefault="00940D87" w:rsidP="00940D87">
            <w:pPr>
              <w:pStyle w:val="Tabletext"/>
            </w:pPr>
            <w:r w:rsidRPr="00BD6C5F">
              <w:t>-</w:t>
            </w:r>
          </w:p>
        </w:tc>
        <w:tc>
          <w:tcPr>
            <w:tcW w:w="2438" w:type="dxa"/>
          </w:tcPr>
          <w:p w14:paraId="016D41B3" w14:textId="77777777" w:rsidR="00940D87" w:rsidRPr="00BD6C5F" w:rsidRDefault="00940D87" w:rsidP="00940D87">
            <w:pPr>
              <w:pStyle w:val="Tabletext"/>
            </w:pPr>
            <w:r w:rsidRPr="00BD6C5F">
              <w:t>-</w:t>
            </w:r>
          </w:p>
        </w:tc>
      </w:tr>
      <w:tr w:rsidR="00940D87" w:rsidRPr="00BD6C5F" w14:paraId="3D4CE267" w14:textId="77777777" w:rsidTr="00D51340">
        <w:tc>
          <w:tcPr>
            <w:tcW w:w="2381" w:type="dxa"/>
          </w:tcPr>
          <w:p w14:paraId="6FED1C95" w14:textId="1F49E39A"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p>
        </w:tc>
        <w:tc>
          <w:tcPr>
            <w:tcW w:w="2967" w:type="dxa"/>
          </w:tcPr>
          <w:p w14:paraId="766E697A" w14:textId="77777777" w:rsidR="00940D87" w:rsidRPr="00BD6C5F" w:rsidRDefault="00940D87" w:rsidP="00940D87">
            <w:pPr>
              <w:pStyle w:val="Tabletext"/>
            </w:pPr>
            <w:r w:rsidRPr="00BD6C5F">
              <w:t>Corporate Resolution Planning Information</w:t>
            </w:r>
          </w:p>
        </w:tc>
        <w:tc>
          <w:tcPr>
            <w:tcW w:w="2002" w:type="dxa"/>
          </w:tcPr>
          <w:p w14:paraId="6DE2A7C6" w14:textId="69B45751"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Para </w:t>
            </w:r>
            <w:r>
              <w:fldChar w:fldCharType="begin"/>
            </w:r>
            <w:r>
              <w:instrText xml:space="preserve"> REF _Ref141216557 \w \h </w:instrText>
            </w:r>
            <w:r>
              <w:fldChar w:fldCharType="separate"/>
            </w:r>
            <w:r w:rsidR="009749A0">
              <w:t>11.3</w:t>
            </w:r>
            <w:r>
              <w:fldChar w:fldCharType="end"/>
            </w:r>
          </w:p>
        </w:tc>
        <w:tc>
          <w:tcPr>
            <w:tcW w:w="2667" w:type="dxa"/>
          </w:tcPr>
          <w:p w14:paraId="2B4B4B12" w14:textId="1A73C131"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r w:rsidRPr="00BD6C5F">
              <w:t xml:space="preserve"> Part </w:t>
            </w:r>
            <w:r>
              <w:fldChar w:fldCharType="begin"/>
            </w:r>
            <w:r>
              <w:instrText xml:space="preserve"> REF Schedule_26_Part_B \h </w:instrText>
            </w:r>
            <w:r>
              <w:fldChar w:fldCharType="separate"/>
            </w:r>
            <w:r w:rsidR="009749A0" w:rsidRPr="00BD6C5F">
              <w:t>B</w:t>
            </w:r>
            <w:r>
              <w:fldChar w:fldCharType="end"/>
            </w:r>
            <w:r w:rsidRPr="00BD6C5F">
              <w:t xml:space="preserve"> Para </w:t>
            </w:r>
            <w:r>
              <w:fldChar w:fldCharType="begin"/>
            </w:r>
            <w:r>
              <w:instrText xml:space="preserve"> REF _Ref141216564 \w \h </w:instrText>
            </w:r>
            <w:r>
              <w:fldChar w:fldCharType="separate"/>
            </w:r>
            <w:r w:rsidR="009749A0">
              <w:t>11.2</w:t>
            </w:r>
            <w:r>
              <w:fldChar w:fldCharType="end"/>
            </w:r>
          </w:p>
        </w:tc>
        <w:tc>
          <w:tcPr>
            <w:tcW w:w="2721" w:type="dxa"/>
          </w:tcPr>
          <w:p w14:paraId="028BBA00" w14:textId="3FDE9087" w:rsidR="00940D87" w:rsidRPr="00BD6C5F" w:rsidRDefault="00940D87" w:rsidP="00940D87">
            <w:pPr>
              <w:pStyle w:val="Tabletext"/>
            </w:pPr>
            <w:r w:rsidRPr="00BD6C5F">
              <w:t xml:space="preserve">Sch </w:t>
            </w:r>
            <w:r>
              <w:fldChar w:fldCharType="begin"/>
            </w:r>
            <w:r>
              <w:instrText xml:space="preserve"> REF Schedule_26 \h </w:instrText>
            </w:r>
            <w:r>
              <w:fldChar w:fldCharType="separate"/>
            </w:r>
            <w:r w:rsidR="009749A0">
              <w:t>26</w:t>
            </w:r>
            <w:r>
              <w:fldChar w:fldCharType="end"/>
            </w:r>
          </w:p>
        </w:tc>
        <w:tc>
          <w:tcPr>
            <w:tcW w:w="2438" w:type="dxa"/>
          </w:tcPr>
          <w:p w14:paraId="456B37EA" w14:textId="77777777" w:rsidR="00940D87" w:rsidRPr="00BD6C5F" w:rsidRDefault="00940D87" w:rsidP="00940D87">
            <w:pPr>
              <w:pStyle w:val="Tabletext"/>
            </w:pPr>
            <w:r w:rsidRPr="00BD6C5F">
              <w:t>Authority</w:t>
            </w:r>
          </w:p>
        </w:tc>
      </w:tr>
      <w:tr w:rsidR="00940D87" w:rsidRPr="00BD6C5F" w14:paraId="3076DD62" w14:textId="77777777" w:rsidTr="00D51340">
        <w:tc>
          <w:tcPr>
            <w:tcW w:w="2381" w:type="dxa"/>
          </w:tcPr>
          <w:p w14:paraId="0C8EC383" w14:textId="68533F8A" w:rsidR="00940D87" w:rsidRPr="00BD6C5F" w:rsidRDefault="00940D87" w:rsidP="00940D87">
            <w:pPr>
              <w:pStyle w:val="Tabletext"/>
            </w:pPr>
            <w:r w:rsidRPr="00BD6C5F">
              <w:t xml:space="preserve">Sch </w:t>
            </w:r>
            <w:r>
              <w:fldChar w:fldCharType="begin"/>
            </w:r>
            <w:r>
              <w:instrText xml:space="preserve"> REF Schedule_28 \h </w:instrText>
            </w:r>
            <w:r>
              <w:fldChar w:fldCharType="separate"/>
            </w:r>
            <w:r w:rsidR="009749A0">
              <w:t>28</w:t>
            </w:r>
            <w:r>
              <w:fldChar w:fldCharType="end"/>
            </w:r>
            <w:r w:rsidRPr="00BD6C5F">
              <w:t xml:space="preserve">, Part </w:t>
            </w:r>
            <w:r>
              <w:fldChar w:fldCharType="begin"/>
            </w:r>
            <w:r>
              <w:instrText xml:space="preserve"> REF Schedule_28_Part_E \h </w:instrText>
            </w:r>
            <w:r>
              <w:fldChar w:fldCharType="separate"/>
            </w:r>
            <w:r w:rsidR="009749A0" w:rsidRPr="00BD6C5F">
              <w:t>E</w:t>
            </w:r>
            <w:r>
              <w:fldChar w:fldCharType="end"/>
            </w:r>
            <w:r w:rsidRPr="00BD6C5F">
              <w:t xml:space="preserve">, Para </w:t>
            </w:r>
            <w:r>
              <w:fldChar w:fldCharType="begin"/>
            </w:r>
            <w:r>
              <w:instrText xml:space="preserve"> REF _Ref98428730 \w \h </w:instrText>
            </w:r>
            <w:r>
              <w:fldChar w:fldCharType="separate"/>
            </w:r>
            <w:r w:rsidR="009749A0">
              <w:t>1.1</w:t>
            </w:r>
            <w:r>
              <w:fldChar w:fldCharType="end"/>
            </w:r>
          </w:p>
        </w:tc>
        <w:tc>
          <w:tcPr>
            <w:tcW w:w="2967" w:type="dxa"/>
          </w:tcPr>
          <w:p w14:paraId="5BEF3701" w14:textId="7C813C95" w:rsidR="00940D87" w:rsidRPr="00BD6C5F" w:rsidRDefault="00940D87" w:rsidP="00940D87">
            <w:pPr>
              <w:pStyle w:val="Tabletext"/>
            </w:pPr>
            <w:r w:rsidRPr="00BD6C5F">
              <w:t>Supplier’s Provisional Supplier Personnel List and, Staffing Information</w:t>
            </w:r>
          </w:p>
        </w:tc>
        <w:tc>
          <w:tcPr>
            <w:tcW w:w="2002" w:type="dxa"/>
          </w:tcPr>
          <w:p w14:paraId="031E06F8" w14:textId="0BE3E61B" w:rsidR="00940D87" w:rsidRPr="00BD6C5F" w:rsidRDefault="00940D87" w:rsidP="00940D87">
            <w:pPr>
              <w:pStyle w:val="Tabletext"/>
            </w:pPr>
            <w:r w:rsidRPr="00BD6C5F">
              <w:t>As appropriate and agreed by the Authority</w:t>
            </w:r>
            <w:r w:rsidR="00E948D1" w:rsidRPr="00E948D1">
              <w:t>, in a suitably anonymised format so as to comply with the DPA 2018, see Annex E2</w:t>
            </w:r>
          </w:p>
        </w:tc>
        <w:tc>
          <w:tcPr>
            <w:tcW w:w="2667" w:type="dxa"/>
          </w:tcPr>
          <w:p w14:paraId="31FE1742" w14:textId="7F7342AB" w:rsidR="00940D87" w:rsidRPr="00BD6C5F" w:rsidRDefault="00940D87" w:rsidP="00940D87">
            <w:pPr>
              <w:pStyle w:val="Tabletext"/>
            </w:pPr>
            <w:r w:rsidRPr="00BD6C5F">
              <w:t xml:space="preserve">Sch </w:t>
            </w:r>
            <w:r>
              <w:fldChar w:fldCharType="begin"/>
            </w:r>
            <w:r>
              <w:instrText xml:space="preserve"> REF Schedule_28 \h  \* MERGEFORMAT </w:instrText>
            </w:r>
            <w:r>
              <w:fldChar w:fldCharType="separate"/>
            </w:r>
            <w:r w:rsidR="009749A0">
              <w:t>28</w:t>
            </w:r>
            <w:r>
              <w:fldChar w:fldCharType="end"/>
            </w:r>
            <w:r w:rsidRPr="00BD6C5F">
              <w:t xml:space="preserve">, Para </w:t>
            </w:r>
            <w:r>
              <w:fldChar w:fldCharType="begin"/>
            </w:r>
            <w:r>
              <w:instrText xml:space="preserve"> REF _Ref98428769 \w \h  \* MERGEFORMAT </w:instrText>
            </w:r>
            <w:r>
              <w:fldChar w:fldCharType="separate"/>
            </w:r>
            <w:r w:rsidR="009749A0">
              <w:t>1.1.1</w:t>
            </w:r>
            <w:r>
              <w:fldChar w:fldCharType="end"/>
            </w:r>
            <w:r w:rsidRPr="00BD6C5F">
              <w:t xml:space="preserve"> – </w:t>
            </w:r>
            <w:r>
              <w:fldChar w:fldCharType="begin"/>
            </w:r>
            <w:r>
              <w:instrText xml:space="preserve"> REF _Ref141219322 \w \h </w:instrText>
            </w:r>
            <w:r>
              <w:fldChar w:fldCharType="separate"/>
            </w:r>
            <w:r w:rsidR="009749A0">
              <w:t>1.1.4</w:t>
            </w:r>
            <w:r>
              <w:fldChar w:fldCharType="end"/>
            </w:r>
          </w:p>
        </w:tc>
        <w:tc>
          <w:tcPr>
            <w:tcW w:w="2721" w:type="dxa"/>
          </w:tcPr>
          <w:p w14:paraId="7BCF1D89" w14:textId="77777777" w:rsidR="00940D87" w:rsidRPr="00BD6C5F" w:rsidRDefault="00940D87" w:rsidP="00940D87">
            <w:pPr>
              <w:pStyle w:val="Tabletext"/>
            </w:pPr>
            <w:r w:rsidRPr="00BD6C5F">
              <w:t>At such intervals as are reasonably requested by the Authority</w:t>
            </w:r>
          </w:p>
        </w:tc>
        <w:tc>
          <w:tcPr>
            <w:tcW w:w="2438" w:type="dxa"/>
          </w:tcPr>
          <w:p w14:paraId="53AD0A74" w14:textId="77777777" w:rsidR="00940D87" w:rsidRPr="00BD6C5F" w:rsidRDefault="00940D87" w:rsidP="00940D87">
            <w:pPr>
              <w:pStyle w:val="Tabletext"/>
            </w:pPr>
            <w:r w:rsidRPr="00BD6C5F">
              <w:t>Authority</w:t>
            </w:r>
          </w:p>
        </w:tc>
      </w:tr>
      <w:tr w:rsidR="00940D87" w:rsidRPr="00BD6C5F" w14:paraId="0273F8E7" w14:textId="77777777" w:rsidTr="00D51340">
        <w:tc>
          <w:tcPr>
            <w:tcW w:w="2381" w:type="dxa"/>
          </w:tcPr>
          <w:p w14:paraId="381CD6D3" w14:textId="25B22A3B" w:rsidR="00940D87" w:rsidRPr="00BD6C5F" w:rsidRDefault="00940D87" w:rsidP="00940D87">
            <w:pPr>
              <w:pStyle w:val="Tabletext"/>
            </w:pPr>
            <w:r w:rsidRPr="00BD6C5F">
              <w:t xml:space="preserve">Sch </w:t>
            </w:r>
            <w:r>
              <w:fldChar w:fldCharType="begin"/>
            </w:r>
            <w:r>
              <w:instrText xml:space="preserve"> REF Schedule_28 \h </w:instrText>
            </w:r>
            <w:r>
              <w:fldChar w:fldCharType="separate"/>
            </w:r>
            <w:r w:rsidR="009749A0">
              <w:t>28</w:t>
            </w:r>
            <w:r>
              <w:fldChar w:fldCharType="end"/>
            </w:r>
            <w:r w:rsidRPr="00BD6C5F">
              <w:t xml:space="preserve">, Part </w:t>
            </w:r>
            <w:r>
              <w:fldChar w:fldCharType="begin"/>
            </w:r>
            <w:r>
              <w:instrText xml:space="preserve"> REF Schedule_28_Part_E \h </w:instrText>
            </w:r>
            <w:r>
              <w:fldChar w:fldCharType="separate"/>
            </w:r>
            <w:r w:rsidR="009749A0" w:rsidRPr="00BD6C5F">
              <w:t>E</w:t>
            </w:r>
            <w:r>
              <w:fldChar w:fldCharType="end"/>
            </w:r>
            <w:r w:rsidRPr="00BD6C5F">
              <w:t xml:space="preserve">, Para </w:t>
            </w:r>
            <w:r>
              <w:fldChar w:fldCharType="begin"/>
            </w:r>
            <w:r>
              <w:instrText xml:space="preserve"> REF _Ref98428740 \w \h </w:instrText>
            </w:r>
            <w:r>
              <w:fldChar w:fldCharType="separate"/>
            </w:r>
            <w:r w:rsidR="009749A0">
              <w:t>1.2</w:t>
            </w:r>
            <w:r>
              <w:fldChar w:fldCharType="end"/>
            </w:r>
          </w:p>
        </w:tc>
        <w:tc>
          <w:tcPr>
            <w:tcW w:w="2967" w:type="dxa"/>
          </w:tcPr>
          <w:p w14:paraId="456A27E1" w14:textId="255EC0DD" w:rsidR="00940D87" w:rsidRPr="00BD6C5F" w:rsidRDefault="00940D87" w:rsidP="00940D87">
            <w:pPr>
              <w:pStyle w:val="Tabletext"/>
            </w:pPr>
            <w:r w:rsidRPr="00BD6C5F">
              <w:t>Supplier’s Final Supplier Personnel List</w:t>
            </w:r>
          </w:p>
        </w:tc>
        <w:tc>
          <w:tcPr>
            <w:tcW w:w="2002" w:type="dxa"/>
          </w:tcPr>
          <w:p w14:paraId="1488CAAB" w14:textId="130137CD" w:rsidR="00940D87" w:rsidRPr="00BD6C5F" w:rsidRDefault="00940D87" w:rsidP="00940D87">
            <w:pPr>
              <w:pStyle w:val="Tabletext"/>
            </w:pPr>
            <w:r w:rsidRPr="00BD6C5F">
              <w:t xml:space="preserve">As appropriate and agreed by </w:t>
            </w:r>
            <w:r w:rsidRPr="00BD6C5F">
              <w:lastRenderedPageBreak/>
              <w:t>the Authority</w:t>
            </w:r>
            <w:r w:rsidR="00E948D1">
              <w:t>, see Annex E2</w:t>
            </w:r>
          </w:p>
        </w:tc>
        <w:tc>
          <w:tcPr>
            <w:tcW w:w="2667" w:type="dxa"/>
          </w:tcPr>
          <w:p w14:paraId="5ED3B31F" w14:textId="77777777" w:rsidR="00940D87" w:rsidRPr="00BD6C5F" w:rsidRDefault="00940D87" w:rsidP="00940D87">
            <w:pPr>
              <w:pStyle w:val="Tabletext"/>
            </w:pPr>
            <w:r w:rsidRPr="00BD6C5F">
              <w:lastRenderedPageBreak/>
              <w:t>At least 20 Working Days prior to the Service Transfer Date</w:t>
            </w:r>
          </w:p>
        </w:tc>
        <w:tc>
          <w:tcPr>
            <w:tcW w:w="2721" w:type="dxa"/>
          </w:tcPr>
          <w:p w14:paraId="7A8BA485" w14:textId="77777777" w:rsidR="00940D87" w:rsidRPr="00BD6C5F" w:rsidRDefault="00940D87" w:rsidP="00940D87">
            <w:pPr>
              <w:pStyle w:val="Tabletext"/>
            </w:pPr>
            <w:r w:rsidRPr="00BD6C5F">
              <w:t>Upon any material change to the list of employees</w:t>
            </w:r>
          </w:p>
        </w:tc>
        <w:tc>
          <w:tcPr>
            <w:tcW w:w="2438" w:type="dxa"/>
          </w:tcPr>
          <w:p w14:paraId="5A33709C" w14:textId="5079CC1A" w:rsidR="00940D87" w:rsidRPr="00BD6C5F" w:rsidRDefault="00940D87" w:rsidP="00940D87">
            <w:pPr>
              <w:pStyle w:val="Tabletext"/>
            </w:pPr>
            <w:r w:rsidRPr="00BD6C5F">
              <w:t xml:space="preserve">Authority and, at the discretion of the Authority, the </w:t>
            </w:r>
            <w:r w:rsidR="00E948D1">
              <w:t xml:space="preserve">prospective </w:t>
            </w:r>
            <w:r w:rsidRPr="00BD6C5F">
              <w:lastRenderedPageBreak/>
              <w:t xml:space="preserve">Replacement Supplier and/or any </w:t>
            </w:r>
            <w:r w:rsidR="00E948D1">
              <w:t xml:space="preserve">prospective </w:t>
            </w:r>
            <w:r w:rsidRPr="00BD6C5F">
              <w:t>Replacement Subcontractor</w:t>
            </w:r>
          </w:p>
        </w:tc>
      </w:tr>
      <w:tr w:rsidR="00676144" w:rsidRPr="00BD6C5F" w14:paraId="31A04ECD" w14:textId="77777777" w:rsidTr="00D51340">
        <w:tc>
          <w:tcPr>
            <w:tcW w:w="2381" w:type="dxa"/>
          </w:tcPr>
          <w:p w14:paraId="54A5D222" w14:textId="2B40FF6A" w:rsidR="00676144" w:rsidRPr="00BD6C5F" w:rsidRDefault="00676144" w:rsidP="00676144">
            <w:pPr>
              <w:pStyle w:val="Tabletext"/>
            </w:pPr>
            <w:r w:rsidRPr="00BD6C5F">
              <w:lastRenderedPageBreak/>
              <w:t xml:space="preserve">Sch </w:t>
            </w:r>
            <w:r>
              <w:fldChar w:fldCharType="begin"/>
            </w:r>
            <w:r>
              <w:instrText xml:space="preserve"> REF Schedule_28 \h </w:instrText>
            </w:r>
            <w:r>
              <w:fldChar w:fldCharType="separate"/>
            </w:r>
            <w:r w:rsidR="009749A0">
              <w:t>28</w:t>
            </w:r>
            <w:r>
              <w:fldChar w:fldCharType="end"/>
            </w:r>
            <w:r w:rsidRPr="00BD6C5F">
              <w:t xml:space="preserve">, Part </w:t>
            </w:r>
            <w:r>
              <w:fldChar w:fldCharType="begin"/>
            </w:r>
            <w:r>
              <w:instrText xml:space="preserve"> REF Schedule_28_Part_E \h </w:instrText>
            </w:r>
            <w:r>
              <w:fldChar w:fldCharType="separate"/>
            </w:r>
            <w:r w:rsidR="009749A0" w:rsidRPr="00BD6C5F">
              <w:t>E</w:t>
            </w:r>
            <w:r>
              <w:fldChar w:fldCharType="end"/>
            </w:r>
            <w:r w:rsidRPr="00BD6C5F">
              <w:t xml:space="preserve">, Para </w:t>
            </w:r>
            <w:r>
              <w:fldChar w:fldCharType="begin"/>
            </w:r>
            <w:r>
              <w:instrText xml:space="preserve"> REF _Ref141219345 \w \h </w:instrText>
            </w:r>
            <w:r>
              <w:fldChar w:fldCharType="separate"/>
            </w:r>
            <w:r w:rsidR="009749A0">
              <w:t>1.6</w:t>
            </w:r>
            <w:r>
              <w:fldChar w:fldCharType="end"/>
            </w:r>
          </w:p>
        </w:tc>
        <w:tc>
          <w:tcPr>
            <w:tcW w:w="2967" w:type="dxa"/>
          </w:tcPr>
          <w:p w14:paraId="787B4002" w14:textId="77777777" w:rsidR="00676144" w:rsidRPr="00BD6C5F" w:rsidRDefault="00676144" w:rsidP="00676144">
            <w:pPr>
              <w:pStyle w:val="Tabletext"/>
            </w:pPr>
            <w:r w:rsidRPr="00BD6C5F">
              <w:t>Information relating to the manner in which the services are organised</w:t>
            </w:r>
          </w:p>
        </w:tc>
        <w:tc>
          <w:tcPr>
            <w:tcW w:w="2002" w:type="dxa"/>
          </w:tcPr>
          <w:p w14:paraId="2B538EE1" w14:textId="77777777" w:rsidR="00676144" w:rsidRPr="00BD6C5F" w:rsidRDefault="00676144" w:rsidP="00676144">
            <w:pPr>
              <w:pStyle w:val="Tabletext"/>
            </w:pPr>
            <w:r w:rsidRPr="00BD6C5F">
              <w:t>As appropriate and agreed by the Authority</w:t>
            </w:r>
          </w:p>
        </w:tc>
        <w:tc>
          <w:tcPr>
            <w:tcW w:w="2667" w:type="dxa"/>
          </w:tcPr>
          <w:p w14:paraId="3F9D14D8" w14:textId="0C011A5D" w:rsidR="00676144" w:rsidRPr="00BD6C5F" w:rsidRDefault="00676144" w:rsidP="00676144">
            <w:pPr>
              <w:pStyle w:val="Tabletext"/>
            </w:pPr>
            <w:r>
              <w:rPr>
                <w:rFonts w:eastAsia="Arial" w:cs="Arial"/>
                <w:color w:val="000000"/>
              </w:rPr>
              <w:t>Within 20 Working Days of Authority request</w:t>
            </w:r>
          </w:p>
        </w:tc>
        <w:tc>
          <w:tcPr>
            <w:tcW w:w="2721" w:type="dxa"/>
          </w:tcPr>
          <w:p w14:paraId="08358AC6" w14:textId="215D230D" w:rsidR="00676144" w:rsidRPr="00BD6C5F" w:rsidRDefault="00676144" w:rsidP="00676144">
            <w:pPr>
              <w:pStyle w:val="Tabletext"/>
            </w:pPr>
            <w:r>
              <w:rPr>
                <w:rFonts w:eastAsia="Arial" w:cs="Arial"/>
                <w:color w:val="000000"/>
              </w:rPr>
              <w:t>Within 20 Working Days of Authority request</w:t>
            </w:r>
          </w:p>
        </w:tc>
        <w:tc>
          <w:tcPr>
            <w:tcW w:w="2438" w:type="dxa"/>
          </w:tcPr>
          <w:p w14:paraId="09197B6A" w14:textId="77777777" w:rsidR="00676144" w:rsidRPr="00BD6C5F" w:rsidRDefault="00676144" w:rsidP="00676144">
            <w:pPr>
              <w:pStyle w:val="Tabletext"/>
            </w:pPr>
            <w:r w:rsidRPr="00BD6C5F">
              <w:t>Authority</w:t>
            </w:r>
          </w:p>
        </w:tc>
      </w:tr>
      <w:tr w:rsidR="00940D87" w:rsidRPr="00BD6C5F" w14:paraId="5BD415AA" w14:textId="77777777" w:rsidTr="00D51340">
        <w:tc>
          <w:tcPr>
            <w:tcW w:w="2381" w:type="dxa"/>
          </w:tcPr>
          <w:p w14:paraId="71A4F268" w14:textId="4F6862B2" w:rsidR="00940D87" w:rsidRPr="00BD6C5F" w:rsidRDefault="00940D87" w:rsidP="00940D87">
            <w:pPr>
              <w:pStyle w:val="Tabletext"/>
            </w:pPr>
            <w:r w:rsidRPr="00BD6C5F">
              <w:t xml:space="preserve">Sch </w:t>
            </w:r>
            <w:r>
              <w:fldChar w:fldCharType="begin"/>
            </w:r>
            <w:r>
              <w:instrText xml:space="preserve"> REF Schedule_28 \h </w:instrText>
            </w:r>
            <w:r>
              <w:fldChar w:fldCharType="separate"/>
            </w:r>
            <w:r w:rsidR="009749A0">
              <w:t>28</w:t>
            </w:r>
            <w:r>
              <w:fldChar w:fldCharType="end"/>
            </w:r>
            <w:r w:rsidRPr="00BD6C5F">
              <w:t xml:space="preserve">, Part </w:t>
            </w:r>
            <w:r>
              <w:fldChar w:fldCharType="begin"/>
            </w:r>
            <w:r>
              <w:instrText xml:space="preserve"> REF Schedule_28_Part_E \h </w:instrText>
            </w:r>
            <w:r>
              <w:fldChar w:fldCharType="separate"/>
            </w:r>
            <w:r w:rsidR="009749A0" w:rsidRPr="00BD6C5F">
              <w:t>E</w:t>
            </w:r>
            <w:r>
              <w:fldChar w:fldCharType="end"/>
            </w:r>
            <w:r w:rsidRPr="00BD6C5F">
              <w:t xml:space="preserve">, Para </w:t>
            </w:r>
            <w:r>
              <w:fldChar w:fldCharType="begin"/>
            </w:r>
            <w:r>
              <w:instrText xml:space="preserve"> REF _Ref141219358 \w \h </w:instrText>
            </w:r>
            <w:r>
              <w:fldChar w:fldCharType="separate"/>
            </w:r>
            <w:r w:rsidR="009749A0">
              <w:t>1.7</w:t>
            </w:r>
            <w:r>
              <w:fldChar w:fldCharType="end"/>
            </w:r>
          </w:p>
        </w:tc>
        <w:tc>
          <w:tcPr>
            <w:tcW w:w="2967" w:type="dxa"/>
          </w:tcPr>
          <w:p w14:paraId="5FF47F15" w14:textId="77777777" w:rsidR="00940D87" w:rsidRPr="00BD6C5F" w:rsidRDefault="00940D87" w:rsidP="00940D87">
            <w:pPr>
              <w:pStyle w:val="Tabletext"/>
            </w:pPr>
            <w:r w:rsidRPr="00BD6C5F">
              <w:t>Payroll and benefits information</w:t>
            </w:r>
          </w:p>
        </w:tc>
        <w:tc>
          <w:tcPr>
            <w:tcW w:w="2002" w:type="dxa"/>
          </w:tcPr>
          <w:p w14:paraId="41BC39D9" w14:textId="77777777" w:rsidR="00940D87" w:rsidRPr="00BD6C5F" w:rsidRDefault="00940D87" w:rsidP="00940D87">
            <w:pPr>
              <w:pStyle w:val="Tabletext"/>
            </w:pPr>
            <w:r w:rsidRPr="00BD6C5F">
              <w:t>As appropriate and agreed by the Authority</w:t>
            </w:r>
          </w:p>
        </w:tc>
        <w:tc>
          <w:tcPr>
            <w:tcW w:w="2667" w:type="dxa"/>
          </w:tcPr>
          <w:p w14:paraId="6D03FEEA" w14:textId="77777777" w:rsidR="00940D87" w:rsidRPr="00BD6C5F" w:rsidRDefault="00940D87" w:rsidP="00940D87">
            <w:pPr>
              <w:pStyle w:val="Tabletext"/>
            </w:pPr>
            <w:r w:rsidRPr="00BD6C5F">
              <w:t>Within 5 Working Days following the Service Transfer Date</w:t>
            </w:r>
          </w:p>
        </w:tc>
        <w:tc>
          <w:tcPr>
            <w:tcW w:w="2721" w:type="dxa"/>
          </w:tcPr>
          <w:p w14:paraId="4D5742FB" w14:textId="77777777" w:rsidR="00940D87" w:rsidRPr="00BD6C5F" w:rsidRDefault="00940D87" w:rsidP="00940D87">
            <w:pPr>
              <w:pStyle w:val="Tabletext"/>
            </w:pPr>
            <w:r w:rsidRPr="00BD6C5F">
              <w:t>-</w:t>
            </w:r>
          </w:p>
        </w:tc>
        <w:tc>
          <w:tcPr>
            <w:tcW w:w="2438" w:type="dxa"/>
          </w:tcPr>
          <w:p w14:paraId="27B16749" w14:textId="77777777" w:rsidR="00940D87" w:rsidRPr="00BD6C5F" w:rsidRDefault="00940D87" w:rsidP="00940D87">
            <w:pPr>
              <w:pStyle w:val="Tabletext"/>
            </w:pPr>
            <w:r w:rsidRPr="00BD6C5F">
              <w:t>Authority, any Replacement Supplier and/or Replacement Sub-contractor</w:t>
            </w:r>
          </w:p>
        </w:tc>
      </w:tr>
      <w:tr w:rsidR="00940D87" w:rsidRPr="00BD6C5F" w14:paraId="23515570" w14:textId="77777777" w:rsidTr="00D51340">
        <w:tc>
          <w:tcPr>
            <w:tcW w:w="2381" w:type="dxa"/>
          </w:tcPr>
          <w:p w14:paraId="0022665D" w14:textId="6273CCF8" w:rsidR="00940D87" w:rsidRPr="00BD6C5F" w:rsidRDefault="00940D87" w:rsidP="00940D87">
            <w:pPr>
              <w:pStyle w:val="Tabletext"/>
            </w:pPr>
            <w:r w:rsidRPr="00BD6C5F">
              <w:t xml:space="preserve">Sch </w:t>
            </w:r>
            <w:r>
              <w:fldChar w:fldCharType="begin"/>
            </w:r>
            <w:r>
              <w:instrText xml:space="preserve"> REF Schedule_28 \h </w:instrText>
            </w:r>
            <w:r>
              <w:fldChar w:fldCharType="separate"/>
            </w:r>
            <w:r w:rsidR="009749A0">
              <w:t>28</w:t>
            </w:r>
            <w:r>
              <w:fldChar w:fldCharType="end"/>
            </w:r>
            <w:r w:rsidRPr="00BD6C5F">
              <w:t xml:space="preserve">, Annex </w:t>
            </w:r>
            <w:r>
              <w:fldChar w:fldCharType="begin"/>
            </w:r>
            <w:r>
              <w:instrText xml:space="preserve"> REF Schedule_28_Part_E_Annex_E1 \h </w:instrText>
            </w:r>
            <w:r>
              <w:fldChar w:fldCharType="separate"/>
            </w:r>
            <w:r w:rsidR="009749A0" w:rsidRPr="00BD6C5F">
              <w:t>E1</w:t>
            </w:r>
            <w:r>
              <w:fldChar w:fldCharType="end"/>
            </w:r>
          </w:p>
        </w:tc>
        <w:tc>
          <w:tcPr>
            <w:tcW w:w="2967" w:type="dxa"/>
          </w:tcPr>
          <w:p w14:paraId="42BDA0C7" w14:textId="49C04DFC" w:rsidR="00940D87" w:rsidRPr="00BD6C5F" w:rsidRDefault="00940D87" w:rsidP="00940D87">
            <w:pPr>
              <w:pStyle w:val="Tabletext"/>
            </w:pPr>
            <w:r w:rsidRPr="00BD6C5F">
              <w:t>List of Notified Sub</w:t>
            </w:r>
            <w:r w:rsidRPr="00BD6C5F">
              <w:noBreakHyphen/>
              <w:t>contractors</w:t>
            </w:r>
          </w:p>
        </w:tc>
        <w:tc>
          <w:tcPr>
            <w:tcW w:w="2002" w:type="dxa"/>
          </w:tcPr>
          <w:p w14:paraId="7FCDC576" w14:textId="77777777" w:rsidR="00940D87" w:rsidRPr="00BD6C5F" w:rsidRDefault="00940D87" w:rsidP="00940D87">
            <w:pPr>
              <w:pStyle w:val="Tabletext"/>
            </w:pPr>
            <w:r w:rsidRPr="00BD6C5F">
              <w:t>As appropriate and agreed by the Authority</w:t>
            </w:r>
          </w:p>
        </w:tc>
        <w:tc>
          <w:tcPr>
            <w:tcW w:w="2667" w:type="dxa"/>
          </w:tcPr>
          <w:p w14:paraId="141D3FEC" w14:textId="77777777" w:rsidR="00940D87" w:rsidRPr="00BD6C5F" w:rsidRDefault="00940D87" w:rsidP="00940D87">
            <w:pPr>
              <w:pStyle w:val="Tabletext"/>
            </w:pPr>
            <w:r w:rsidRPr="00BD6C5F">
              <w:t>Effective Date</w:t>
            </w:r>
          </w:p>
        </w:tc>
        <w:tc>
          <w:tcPr>
            <w:tcW w:w="2721" w:type="dxa"/>
          </w:tcPr>
          <w:p w14:paraId="412A048B" w14:textId="77777777" w:rsidR="00940D87" w:rsidRPr="00BD6C5F" w:rsidRDefault="00940D87" w:rsidP="00940D87">
            <w:pPr>
              <w:pStyle w:val="Tabletext"/>
            </w:pPr>
            <w:r w:rsidRPr="00BD6C5F">
              <w:t>Upon any change</w:t>
            </w:r>
          </w:p>
        </w:tc>
        <w:tc>
          <w:tcPr>
            <w:tcW w:w="2438" w:type="dxa"/>
          </w:tcPr>
          <w:p w14:paraId="03FD311A" w14:textId="77777777" w:rsidR="00940D87" w:rsidRPr="00BD6C5F" w:rsidRDefault="00940D87" w:rsidP="00940D87">
            <w:pPr>
              <w:pStyle w:val="Tabletext"/>
            </w:pPr>
            <w:r w:rsidRPr="00BD6C5F">
              <w:t>Authority</w:t>
            </w:r>
          </w:p>
        </w:tc>
      </w:tr>
      <w:tr w:rsidR="00940D87" w:rsidRPr="00BD6C5F" w14:paraId="1958FF33" w14:textId="77777777" w:rsidTr="00D51340">
        <w:tc>
          <w:tcPr>
            <w:tcW w:w="2381" w:type="dxa"/>
          </w:tcPr>
          <w:p w14:paraId="02477CDD" w14:textId="230D067B" w:rsidR="00940D87" w:rsidRPr="00BD6C5F" w:rsidRDefault="00940D87" w:rsidP="00940D87">
            <w:pPr>
              <w:pStyle w:val="Tabletext"/>
            </w:pPr>
            <w:r w:rsidRPr="00BD6C5F">
              <w:t xml:space="preserve">Sch </w:t>
            </w:r>
            <w:r>
              <w:fldChar w:fldCharType="begin"/>
            </w:r>
            <w:r>
              <w:instrText xml:space="preserve"> REF Schedule_29 \h </w:instrText>
            </w:r>
            <w:r>
              <w:fldChar w:fldCharType="separate"/>
            </w:r>
            <w:r w:rsidR="009749A0">
              <w:t>29</w:t>
            </w:r>
            <w:r>
              <w:fldChar w:fldCharType="end"/>
            </w:r>
          </w:p>
        </w:tc>
        <w:tc>
          <w:tcPr>
            <w:tcW w:w="2967" w:type="dxa"/>
          </w:tcPr>
          <w:p w14:paraId="0B8DCF3A" w14:textId="77777777" w:rsidR="00940D87" w:rsidRPr="00BD6C5F" w:rsidRDefault="00940D87" w:rsidP="00940D87">
            <w:pPr>
              <w:pStyle w:val="Tabletext"/>
            </w:pPr>
            <w:r w:rsidRPr="00BD6C5F">
              <w:t>Key Personnel</w:t>
            </w:r>
          </w:p>
        </w:tc>
        <w:tc>
          <w:tcPr>
            <w:tcW w:w="2002" w:type="dxa"/>
          </w:tcPr>
          <w:p w14:paraId="5A53AC9A" w14:textId="0B7056DB" w:rsidR="00940D87" w:rsidRPr="00BD6C5F" w:rsidRDefault="00940D87" w:rsidP="00940D87">
            <w:pPr>
              <w:pStyle w:val="Tabletext"/>
            </w:pPr>
            <w:r w:rsidRPr="00BD6C5F">
              <w:t xml:space="preserve">Sch </w:t>
            </w:r>
            <w:r>
              <w:fldChar w:fldCharType="begin"/>
            </w:r>
            <w:r>
              <w:instrText xml:space="preserve"> REF Schedule_29 \h </w:instrText>
            </w:r>
            <w:r>
              <w:fldChar w:fldCharType="separate"/>
            </w:r>
            <w:r w:rsidR="009749A0">
              <w:t>29</w:t>
            </w:r>
            <w:r>
              <w:fldChar w:fldCharType="end"/>
            </w:r>
          </w:p>
        </w:tc>
        <w:tc>
          <w:tcPr>
            <w:tcW w:w="2667" w:type="dxa"/>
          </w:tcPr>
          <w:p w14:paraId="57117A2F" w14:textId="77777777" w:rsidR="00940D87" w:rsidRPr="00BD6C5F" w:rsidRDefault="00940D87" w:rsidP="00940D87">
            <w:pPr>
              <w:pStyle w:val="Tabletext"/>
            </w:pPr>
            <w:r w:rsidRPr="00BD6C5F">
              <w:t>Effective Date</w:t>
            </w:r>
          </w:p>
        </w:tc>
        <w:tc>
          <w:tcPr>
            <w:tcW w:w="2721" w:type="dxa"/>
          </w:tcPr>
          <w:p w14:paraId="54893D5B" w14:textId="77777777" w:rsidR="00940D87" w:rsidRPr="00BD6C5F" w:rsidRDefault="00940D87" w:rsidP="00940D87">
            <w:pPr>
              <w:pStyle w:val="Tabletext"/>
            </w:pPr>
            <w:r w:rsidRPr="00BD6C5F">
              <w:t>As amended from time to time</w:t>
            </w:r>
          </w:p>
        </w:tc>
        <w:tc>
          <w:tcPr>
            <w:tcW w:w="2438" w:type="dxa"/>
          </w:tcPr>
          <w:p w14:paraId="3003B58F" w14:textId="77777777" w:rsidR="00940D87" w:rsidRPr="00BD6C5F" w:rsidRDefault="00940D87" w:rsidP="00940D87">
            <w:pPr>
              <w:pStyle w:val="Tabletext"/>
            </w:pPr>
            <w:r w:rsidRPr="00BD6C5F">
              <w:t>Authority</w:t>
            </w:r>
          </w:p>
        </w:tc>
      </w:tr>
      <w:tr w:rsidR="00940D87" w:rsidRPr="00BD6C5F" w14:paraId="76BB09B1" w14:textId="77777777" w:rsidTr="00D51340">
        <w:tc>
          <w:tcPr>
            <w:tcW w:w="2381" w:type="dxa"/>
          </w:tcPr>
          <w:p w14:paraId="741E1D97" w14:textId="598591E8" w:rsidR="00940D87" w:rsidRPr="00BD6C5F" w:rsidRDefault="00676144" w:rsidP="00940D87">
            <w:pPr>
              <w:pStyle w:val="Tabletext"/>
            </w:pPr>
            <w:r>
              <w:t xml:space="preserve">[If using Annex A Sch </w:t>
            </w:r>
            <w:r w:rsidR="00D85DC1">
              <w:fldChar w:fldCharType="begin"/>
            </w:r>
            <w:r w:rsidR="00D85DC1">
              <w:instrText xml:space="preserve"> REF Schedule_31 \h </w:instrText>
            </w:r>
            <w:r w:rsidR="00D85DC1">
              <w:fldChar w:fldCharType="separate"/>
            </w:r>
            <w:r w:rsidR="009749A0">
              <w:t>31</w:t>
            </w:r>
            <w:r w:rsidR="00D85DC1">
              <w:fldChar w:fldCharType="end"/>
            </w:r>
            <w:r w:rsidR="009103CA">
              <w:t xml:space="preserve"> – Joint Controller Agreement] </w:t>
            </w:r>
            <w:r w:rsidR="00940D87" w:rsidRPr="00BD6C5F">
              <w:t xml:space="preserve">Sch </w:t>
            </w:r>
            <w:r w:rsidR="00940D87">
              <w:fldChar w:fldCharType="begin"/>
            </w:r>
            <w:r w:rsidR="00940D87">
              <w:instrText xml:space="preserve"> REF Schedule_31 \h </w:instrText>
            </w:r>
            <w:r w:rsidR="00940D87">
              <w:fldChar w:fldCharType="separate"/>
            </w:r>
            <w:r w:rsidR="009749A0">
              <w:t>31</w:t>
            </w:r>
            <w:r w:rsidR="00940D87">
              <w:fldChar w:fldCharType="end"/>
            </w:r>
            <w:r w:rsidR="00940D87" w:rsidRPr="00BD6C5F">
              <w:t xml:space="preserve">, Annex </w:t>
            </w:r>
            <w:r w:rsidR="00940D87">
              <w:fldChar w:fldCharType="begin"/>
            </w:r>
            <w:r w:rsidR="00940D87">
              <w:instrText xml:space="preserve"> REF Schedule_31_Annex_1 \h </w:instrText>
            </w:r>
            <w:r w:rsidR="00940D87">
              <w:fldChar w:fldCharType="separate"/>
            </w:r>
            <w:r w:rsidR="009749A0" w:rsidRPr="00BD6C5F">
              <w:t>1</w:t>
            </w:r>
            <w:r w:rsidR="00940D87">
              <w:fldChar w:fldCharType="end"/>
            </w:r>
            <w:r w:rsidR="00940D87" w:rsidRPr="00BD6C5F">
              <w:t xml:space="preserve"> Para </w:t>
            </w:r>
            <w:r w:rsidR="00940D87">
              <w:fldChar w:fldCharType="begin"/>
            </w:r>
            <w:r w:rsidR="00940D87">
              <w:instrText xml:space="preserve"> REF _Ref141219402 \w \h </w:instrText>
            </w:r>
            <w:r w:rsidR="00940D87">
              <w:fldChar w:fldCharType="separate"/>
            </w:r>
            <w:r w:rsidR="009749A0">
              <w:t>2.1</w:t>
            </w:r>
            <w:r w:rsidR="00940D87">
              <w:fldChar w:fldCharType="end"/>
            </w:r>
          </w:p>
        </w:tc>
        <w:tc>
          <w:tcPr>
            <w:tcW w:w="2967" w:type="dxa"/>
          </w:tcPr>
          <w:p w14:paraId="42621261" w14:textId="44164904" w:rsidR="00940D87" w:rsidRPr="00BD6C5F" w:rsidRDefault="00940D87" w:rsidP="00940D87">
            <w:pPr>
              <w:pStyle w:val="Tabletext"/>
            </w:pPr>
            <w:r w:rsidRPr="00BD6C5F">
              <w:t>Reports on Data Subject Access Requests</w:t>
            </w:r>
            <w:r w:rsidR="00257580">
              <w:t xml:space="preserve"> </w:t>
            </w:r>
            <w:r w:rsidR="00257580">
              <w:rPr>
                <w:rFonts w:eastAsia="Arial" w:cs="Arial"/>
                <w:color w:val="000000"/>
              </w:rPr>
              <w:t>and other Personal Data related matters</w:t>
            </w:r>
          </w:p>
        </w:tc>
        <w:tc>
          <w:tcPr>
            <w:tcW w:w="2002" w:type="dxa"/>
          </w:tcPr>
          <w:p w14:paraId="4767FC10" w14:textId="77777777" w:rsidR="00940D87" w:rsidRPr="00BD6C5F" w:rsidRDefault="00940D87" w:rsidP="00940D87">
            <w:pPr>
              <w:pStyle w:val="Tabletext"/>
            </w:pPr>
            <w:r w:rsidRPr="00BD6C5F">
              <w:t>As appropriate and agreed by the Authority</w:t>
            </w:r>
          </w:p>
        </w:tc>
        <w:tc>
          <w:tcPr>
            <w:tcW w:w="2667" w:type="dxa"/>
          </w:tcPr>
          <w:p w14:paraId="7B3DD012" w14:textId="77777777" w:rsidR="00940D87" w:rsidRPr="00BD6C5F" w:rsidRDefault="00940D87" w:rsidP="00940D87">
            <w:pPr>
              <w:pStyle w:val="Tabletext"/>
            </w:pPr>
            <w:r w:rsidRPr="00BD6C5F">
              <w:t>As agreed with Authority</w:t>
            </w:r>
          </w:p>
        </w:tc>
        <w:tc>
          <w:tcPr>
            <w:tcW w:w="2721" w:type="dxa"/>
          </w:tcPr>
          <w:p w14:paraId="0D642FB7" w14:textId="77777777" w:rsidR="00940D87" w:rsidRPr="00BD6C5F" w:rsidRDefault="00940D87" w:rsidP="00940D87">
            <w:pPr>
              <w:pStyle w:val="Tabletext"/>
            </w:pPr>
            <w:r w:rsidRPr="00BD6C5F">
              <w:t>As agreed with Authority</w:t>
            </w:r>
          </w:p>
        </w:tc>
        <w:tc>
          <w:tcPr>
            <w:tcW w:w="2438" w:type="dxa"/>
          </w:tcPr>
          <w:p w14:paraId="5787259E" w14:textId="77777777" w:rsidR="00940D87" w:rsidRPr="00BD6C5F" w:rsidRDefault="00940D87" w:rsidP="00940D87">
            <w:pPr>
              <w:pStyle w:val="Tabletext"/>
            </w:pPr>
            <w:r w:rsidRPr="00BD6C5F">
              <w:t>Authority and Supplier</w:t>
            </w:r>
          </w:p>
        </w:tc>
      </w:tr>
      <w:tr w:rsidR="00B43808" w:rsidRPr="00BD6C5F" w14:paraId="761083A0" w14:textId="77777777" w:rsidTr="00D51340">
        <w:tc>
          <w:tcPr>
            <w:tcW w:w="2381" w:type="dxa"/>
          </w:tcPr>
          <w:p w14:paraId="0A902AC9" w14:textId="516263EA" w:rsidR="00B43808" w:rsidRDefault="00B43808" w:rsidP="00B43808">
            <w:pPr>
              <w:pStyle w:val="Tabletext"/>
            </w:pPr>
            <w:r>
              <w:rPr>
                <w:rFonts w:eastAsia="Arial" w:cs="Arial"/>
                <w:color w:val="000000"/>
              </w:rPr>
              <w:lastRenderedPageBreak/>
              <w:t xml:space="preserve">Sch </w:t>
            </w:r>
            <w:r w:rsidR="00D85DC1">
              <w:rPr>
                <w:rFonts w:eastAsia="Arial" w:cs="Arial"/>
                <w:color w:val="000000"/>
              </w:rPr>
              <w:fldChar w:fldCharType="begin"/>
            </w:r>
            <w:r w:rsidR="00D85DC1">
              <w:rPr>
                <w:rFonts w:eastAsia="Arial" w:cs="Arial"/>
                <w:color w:val="000000"/>
              </w:rPr>
              <w:instrText xml:space="preserve"> REF Schedule_32 \h </w:instrText>
            </w:r>
            <w:r w:rsidR="00D85DC1">
              <w:rPr>
                <w:rFonts w:eastAsia="Arial" w:cs="Arial"/>
                <w:color w:val="000000"/>
              </w:rPr>
            </w:r>
            <w:r w:rsidR="00D85DC1">
              <w:rPr>
                <w:rFonts w:eastAsia="Arial" w:cs="Arial"/>
                <w:color w:val="000000"/>
              </w:rPr>
              <w:fldChar w:fldCharType="separate"/>
            </w:r>
            <w:r w:rsidR="009749A0" w:rsidRPr="00EE4F10">
              <w:t>32</w:t>
            </w:r>
            <w:r w:rsidR="00D85DC1">
              <w:rPr>
                <w:rFonts w:eastAsia="Arial" w:cs="Arial"/>
                <w:color w:val="000000"/>
              </w:rPr>
              <w:fldChar w:fldCharType="end"/>
            </w:r>
            <w:r>
              <w:rPr>
                <w:rFonts w:eastAsia="Arial" w:cs="Arial"/>
                <w:color w:val="000000"/>
              </w:rPr>
              <w:t xml:space="preserve">, </w:t>
            </w:r>
            <w:r w:rsidR="00D85DC1">
              <w:rPr>
                <w:rFonts w:eastAsia="Arial" w:cs="Arial"/>
                <w:color w:val="000000"/>
              </w:rPr>
              <w:t xml:space="preserve">Option </w:t>
            </w:r>
            <w:r w:rsidR="00D85DC1">
              <w:rPr>
                <w:rFonts w:eastAsia="Arial" w:cs="Arial"/>
                <w:color w:val="000000"/>
              </w:rPr>
              <w:fldChar w:fldCharType="begin"/>
            </w:r>
            <w:r w:rsidR="00D85DC1">
              <w:rPr>
                <w:rFonts w:eastAsia="Arial" w:cs="Arial"/>
                <w:color w:val="000000"/>
              </w:rPr>
              <w:instrText xml:space="preserve"> REF OPTION1_SCHEDULE32 \h </w:instrText>
            </w:r>
            <w:r w:rsidR="00D85DC1">
              <w:rPr>
                <w:rFonts w:eastAsia="Arial" w:cs="Arial"/>
                <w:color w:val="000000"/>
              </w:rPr>
            </w:r>
            <w:r w:rsidR="00D85DC1">
              <w:rPr>
                <w:rFonts w:eastAsia="Arial" w:cs="Arial"/>
                <w:color w:val="000000"/>
              </w:rPr>
              <w:fldChar w:fldCharType="separate"/>
            </w:r>
            <w:r w:rsidR="009749A0">
              <w:t>1</w:t>
            </w:r>
            <w:r w:rsidR="00D85DC1">
              <w:rPr>
                <w:rFonts w:eastAsia="Arial" w:cs="Arial"/>
                <w:color w:val="000000"/>
              </w:rPr>
              <w:fldChar w:fldCharType="end"/>
            </w:r>
          </w:p>
        </w:tc>
        <w:tc>
          <w:tcPr>
            <w:tcW w:w="2967" w:type="dxa"/>
          </w:tcPr>
          <w:p w14:paraId="57C61C5D" w14:textId="430DC9A0" w:rsidR="00B43808" w:rsidRPr="00BD6C5F" w:rsidRDefault="00B43808" w:rsidP="00B43808">
            <w:pPr>
              <w:pStyle w:val="Tabletext"/>
            </w:pPr>
            <w:r>
              <w:rPr>
                <w:rFonts w:eastAsia="Arial" w:cs="Arial"/>
                <w:color w:val="000000"/>
              </w:rPr>
              <w:t xml:space="preserve">Foreground IPR </w:t>
            </w:r>
          </w:p>
        </w:tc>
        <w:tc>
          <w:tcPr>
            <w:tcW w:w="2002" w:type="dxa"/>
          </w:tcPr>
          <w:p w14:paraId="663AF03A" w14:textId="789C6B30" w:rsidR="00B43808" w:rsidRPr="00BD6C5F" w:rsidRDefault="00D85DC1" w:rsidP="00B43808">
            <w:pPr>
              <w:pStyle w:val="Tabletext"/>
            </w:pPr>
            <w:r>
              <w:rPr>
                <w:rFonts w:eastAsia="Arial" w:cs="Arial"/>
                <w:color w:val="000000"/>
              </w:rPr>
              <w:t xml:space="preserve">Option </w:t>
            </w:r>
            <w:r>
              <w:rPr>
                <w:rFonts w:eastAsia="Arial" w:cs="Arial"/>
                <w:color w:val="000000"/>
              </w:rPr>
              <w:fldChar w:fldCharType="begin"/>
            </w:r>
            <w:r>
              <w:rPr>
                <w:rFonts w:eastAsia="Arial" w:cs="Arial"/>
                <w:color w:val="000000"/>
              </w:rPr>
              <w:instrText xml:space="preserve"> REF OPTION1_SCHEDULE32 \h </w:instrText>
            </w:r>
            <w:r>
              <w:rPr>
                <w:rFonts w:eastAsia="Arial" w:cs="Arial"/>
                <w:color w:val="000000"/>
              </w:rPr>
            </w:r>
            <w:r>
              <w:rPr>
                <w:rFonts w:eastAsia="Arial" w:cs="Arial"/>
                <w:color w:val="000000"/>
              </w:rPr>
              <w:fldChar w:fldCharType="separate"/>
            </w:r>
            <w:r w:rsidR="009749A0">
              <w:t>1</w:t>
            </w:r>
            <w:r>
              <w:rPr>
                <w:rFonts w:eastAsia="Arial" w:cs="Arial"/>
                <w:color w:val="000000"/>
              </w:rPr>
              <w:fldChar w:fldCharType="end"/>
            </w:r>
            <w:r w:rsidR="00B43808">
              <w:rPr>
                <w:rFonts w:eastAsia="Arial" w:cs="Arial"/>
                <w:color w:val="000000"/>
              </w:rPr>
              <w:t xml:space="preserve"> to Schedule </w:t>
            </w:r>
            <w:r>
              <w:rPr>
                <w:rFonts w:eastAsia="Arial" w:cs="Arial"/>
                <w:color w:val="000000"/>
              </w:rPr>
              <w:fldChar w:fldCharType="begin"/>
            </w:r>
            <w:r>
              <w:rPr>
                <w:rFonts w:eastAsia="Arial" w:cs="Arial"/>
                <w:color w:val="000000"/>
              </w:rPr>
              <w:instrText xml:space="preserve"> REF Schedule_32 \h </w:instrText>
            </w:r>
            <w:r>
              <w:rPr>
                <w:rFonts w:eastAsia="Arial" w:cs="Arial"/>
                <w:color w:val="000000"/>
              </w:rPr>
            </w:r>
            <w:r>
              <w:rPr>
                <w:rFonts w:eastAsia="Arial" w:cs="Arial"/>
                <w:color w:val="000000"/>
              </w:rPr>
              <w:fldChar w:fldCharType="separate"/>
            </w:r>
            <w:r w:rsidR="009749A0" w:rsidRPr="00EE4F10">
              <w:t>32</w:t>
            </w:r>
            <w:r>
              <w:rPr>
                <w:rFonts w:eastAsia="Arial" w:cs="Arial"/>
                <w:color w:val="000000"/>
              </w:rPr>
              <w:fldChar w:fldCharType="end"/>
            </w:r>
            <w:r w:rsidR="00B43808">
              <w:rPr>
                <w:rFonts w:eastAsia="Arial" w:cs="Arial"/>
                <w:color w:val="000000"/>
              </w:rPr>
              <w:t xml:space="preserve"> (Intellectual Property Rights)</w:t>
            </w:r>
          </w:p>
        </w:tc>
        <w:tc>
          <w:tcPr>
            <w:tcW w:w="2667" w:type="dxa"/>
          </w:tcPr>
          <w:p w14:paraId="7E1ED61B" w14:textId="3B8C1157" w:rsidR="00B43808" w:rsidRPr="00BD6C5F" w:rsidRDefault="00B43808" w:rsidP="00B43808">
            <w:pPr>
              <w:pStyle w:val="Tabletext"/>
            </w:pPr>
            <w:r>
              <w:rPr>
                <w:rFonts w:eastAsia="Arial" w:cs="Arial"/>
                <w:color w:val="000000"/>
              </w:rPr>
              <w:t>As agreed with Authority</w:t>
            </w:r>
          </w:p>
        </w:tc>
        <w:tc>
          <w:tcPr>
            <w:tcW w:w="2721" w:type="dxa"/>
          </w:tcPr>
          <w:p w14:paraId="0008BF60" w14:textId="07820416" w:rsidR="00B43808" w:rsidRPr="00BD6C5F" w:rsidRDefault="00B43808" w:rsidP="00B43808">
            <w:pPr>
              <w:pStyle w:val="Tabletext"/>
            </w:pPr>
            <w:r>
              <w:rPr>
                <w:rFonts w:eastAsia="Arial" w:cs="Arial"/>
                <w:color w:val="000000"/>
              </w:rPr>
              <w:t>Regularly - As agreed with Authority</w:t>
            </w:r>
          </w:p>
        </w:tc>
        <w:tc>
          <w:tcPr>
            <w:tcW w:w="2438" w:type="dxa"/>
          </w:tcPr>
          <w:p w14:paraId="6AA27933" w14:textId="21E3836E" w:rsidR="00B43808" w:rsidRPr="00BD6C5F" w:rsidRDefault="00B43808" w:rsidP="00B43808">
            <w:pPr>
              <w:pStyle w:val="Tabletext"/>
            </w:pPr>
            <w:r>
              <w:rPr>
                <w:rFonts w:eastAsia="Arial" w:cs="Arial"/>
                <w:color w:val="000000"/>
              </w:rPr>
              <w:t>Authority</w:t>
            </w:r>
          </w:p>
        </w:tc>
      </w:tr>
    </w:tbl>
    <w:p w14:paraId="5C7FDE5E" w14:textId="555A320E" w:rsidR="00BC7DDA" w:rsidRPr="00BD6C5F" w:rsidRDefault="00BC7DDA" w:rsidP="00D51340"/>
    <w:p w14:paraId="26DC2E28" w14:textId="77777777" w:rsidR="00D27CFD" w:rsidRPr="00BD6C5F" w:rsidRDefault="00D27CFD" w:rsidP="00D51340">
      <w:r w:rsidRPr="00BD6C5F">
        <w:br w:type="page"/>
      </w:r>
    </w:p>
    <w:p w14:paraId="30829BE9" w14:textId="670D9347" w:rsidR="00BC7DDA" w:rsidRPr="00BD6C5F" w:rsidRDefault="0095651E" w:rsidP="00D51340">
      <w:pPr>
        <w:pStyle w:val="Heading2"/>
      </w:pPr>
      <w:bookmarkStart w:id="1215" w:name="_bookmark424"/>
      <w:bookmarkStart w:id="1216" w:name="_bookmark425"/>
      <w:bookmarkStart w:id="1217" w:name="_Toc98332771"/>
      <w:bookmarkStart w:id="1218" w:name="_Ref98335541"/>
      <w:bookmarkStart w:id="1219" w:name="_Toc98852947"/>
      <w:bookmarkStart w:id="1220" w:name="_Toc141721040"/>
      <w:bookmarkEnd w:id="1215"/>
      <w:bookmarkEnd w:id="1216"/>
      <w:r w:rsidRPr="00BD6C5F">
        <w:lastRenderedPageBreak/>
        <w:t xml:space="preserve">Annex </w:t>
      </w:r>
      <w:bookmarkStart w:id="1221" w:name="Schedule_24_Annex_4"/>
      <w:r w:rsidRPr="00BD6C5F">
        <w:t>4</w:t>
      </w:r>
      <w:bookmarkEnd w:id="1221"/>
      <w:r w:rsidRPr="00BD6C5F">
        <w:t>: Supply Chain Transparency Information Template</w:t>
      </w:r>
      <w:bookmarkEnd w:id="1217"/>
      <w:bookmarkEnd w:id="1218"/>
      <w:bookmarkEnd w:id="1219"/>
      <w:bookmarkEnd w:id="1220"/>
    </w:p>
    <w:tbl>
      <w:tblPr>
        <w:tblStyle w:val="MSATable-header"/>
        <w:tblW w:w="15135" w:type="dxa"/>
        <w:tblLook w:val="0620" w:firstRow="1" w:lastRow="0" w:firstColumn="0" w:lastColumn="0" w:noHBand="1" w:noVBand="1"/>
      </w:tblPr>
      <w:tblGrid>
        <w:gridCol w:w="5159"/>
        <w:gridCol w:w="2494"/>
        <w:gridCol w:w="2494"/>
        <w:gridCol w:w="2494"/>
        <w:gridCol w:w="2494"/>
      </w:tblGrid>
      <w:tr w:rsidR="00065A7B" w:rsidRPr="00BD6C5F" w14:paraId="1D6BF039" w14:textId="77777777" w:rsidTr="008D2790">
        <w:trPr>
          <w:cnfStyle w:val="100000000000" w:firstRow="1" w:lastRow="0" w:firstColumn="0" w:lastColumn="0" w:oddVBand="0" w:evenVBand="0" w:oddHBand="0" w:evenHBand="0" w:firstRowFirstColumn="0" w:firstRowLastColumn="0" w:lastRowFirstColumn="0" w:lastRowLastColumn="0"/>
          <w:tblHeader/>
        </w:trPr>
        <w:tc>
          <w:tcPr>
            <w:tcW w:w="5159" w:type="dxa"/>
            <w:tcBorders>
              <w:bottom w:val="nil"/>
            </w:tcBorders>
          </w:tcPr>
          <w:p w14:paraId="35D6CFF3" w14:textId="77777777" w:rsidR="00065A7B" w:rsidRPr="00BD6C5F" w:rsidRDefault="00065A7B" w:rsidP="00065A7B">
            <w:pPr>
              <w:pStyle w:val="Tabletext"/>
            </w:pPr>
          </w:p>
        </w:tc>
        <w:tc>
          <w:tcPr>
            <w:tcW w:w="9976" w:type="dxa"/>
            <w:gridSpan w:val="4"/>
          </w:tcPr>
          <w:p w14:paraId="143DAEEA" w14:textId="6A1381EF" w:rsidR="00065A7B" w:rsidRPr="00BD6C5F" w:rsidRDefault="00065A7B" w:rsidP="00065A7B">
            <w:pPr>
              <w:pStyle w:val="Tabletext"/>
              <w:jc w:val="center"/>
            </w:pPr>
            <w:r w:rsidRPr="00BD6C5F">
              <w:t>Financial Year 20</w:t>
            </w:r>
            <w:r w:rsidRPr="00BD6C5F">
              <w:rPr>
                <w:shd w:val="clear" w:color="auto" w:fill="FFFF00"/>
              </w:rPr>
              <w:t>[</w:t>
            </w:r>
            <w:r w:rsidRPr="00BD6C5F">
              <w:rPr>
                <w:shd w:val="clear" w:color="auto" w:fill="FFFF00"/>
              </w:rPr>
              <w:tab/>
            </w:r>
            <w:r w:rsidRPr="00BD6C5F">
              <w:rPr>
                <w:shd w:val="clear" w:color="auto" w:fill="FFFF00"/>
              </w:rPr>
              <w:tab/>
              <w:t>]</w:t>
            </w:r>
          </w:p>
        </w:tc>
      </w:tr>
      <w:tr w:rsidR="00065A7B" w:rsidRPr="00BD6C5F" w14:paraId="497AD316" w14:textId="77777777" w:rsidTr="008D2790">
        <w:trPr>
          <w:cnfStyle w:val="100000000000" w:firstRow="1" w:lastRow="0" w:firstColumn="0" w:lastColumn="0" w:oddVBand="0" w:evenVBand="0" w:oddHBand="0" w:evenHBand="0" w:firstRowFirstColumn="0" w:firstRowLastColumn="0" w:lastRowFirstColumn="0" w:lastRowLastColumn="0"/>
          <w:tblHeader/>
        </w:trPr>
        <w:tc>
          <w:tcPr>
            <w:tcW w:w="5159" w:type="dxa"/>
            <w:tcBorders>
              <w:top w:val="nil"/>
              <w:bottom w:val="nil"/>
            </w:tcBorders>
          </w:tcPr>
          <w:p w14:paraId="50EB6A70" w14:textId="77777777" w:rsidR="00065A7B" w:rsidRPr="00BD6C5F" w:rsidRDefault="00065A7B" w:rsidP="00065A7B">
            <w:pPr>
              <w:pStyle w:val="Tabletext"/>
            </w:pPr>
          </w:p>
        </w:tc>
        <w:tc>
          <w:tcPr>
            <w:tcW w:w="4988" w:type="dxa"/>
            <w:gridSpan w:val="2"/>
          </w:tcPr>
          <w:p w14:paraId="4557143E" w14:textId="47D3FF84" w:rsidR="00065A7B" w:rsidRPr="00BD6C5F" w:rsidRDefault="00065A7B" w:rsidP="00065A7B">
            <w:pPr>
              <w:pStyle w:val="Tabletext"/>
              <w:jc w:val="center"/>
            </w:pPr>
            <w:r w:rsidRPr="00BD6C5F">
              <w:t>Under this Contract</w:t>
            </w:r>
          </w:p>
        </w:tc>
        <w:tc>
          <w:tcPr>
            <w:tcW w:w="4988" w:type="dxa"/>
            <w:gridSpan w:val="2"/>
          </w:tcPr>
          <w:p w14:paraId="63D6FB7D" w14:textId="5B6F069F" w:rsidR="00065A7B" w:rsidRPr="00BD6C5F" w:rsidRDefault="00065A7B" w:rsidP="00065A7B">
            <w:pPr>
              <w:pStyle w:val="Tabletext"/>
              <w:jc w:val="center"/>
            </w:pPr>
            <w:r w:rsidRPr="00BD6C5F">
              <w:t>Supplier as a whole</w:t>
            </w:r>
          </w:p>
        </w:tc>
      </w:tr>
      <w:tr w:rsidR="00065A7B" w:rsidRPr="00BD6C5F" w14:paraId="3F93B0F3" w14:textId="77777777" w:rsidTr="00065A7B">
        <w:trPr>
          <w:cnfStyle w:val="100000000000" w:firstRow="1" w:lastRow="0" w:firstColumn="0" w:lastColumn="0" w:oddVBand="0" w:evenVBand="0" w:oddHBand="0" w:evenHBand="0" w:firstRowFirstColumn="0" w:firstRowLastColumn="0" w:lastRowFirstColumn="0" w:lastRowLastColumn="0"/>
          <w:tblHeader/>
        </w:trPr>
        <w:tc>
          <w:tcPr>
            <w:tcW w:w="5159" w:type="dxa"/>
            <w:tcBorders>
              <w:top w:val="nil"/>
            </w:tcBorders>
          </w:tcPr>
          <w:p w14:paraId="0800C352" w14:textId="77777777" w:rsidR="00065A7B" w:rsidRPr="00BD6C5F" w:rsidRDefault="00065A7B" w:rsidP="00065A7B">
            <w:pPr>
              <w:pStyle w:val="Tabletext"/>
            </w:pPr>
          </w:p>
        </w:tc>
        <w:tc>
          <w:tcPr>
            <w:tcW w:w="2494" w:type="dxa"/>
          </w:tcPr>
          <w:p w14:paraId="2051C97A" w14:textId="0F6A8441" w:rsidR="00065A7B" w:rsidRPr="00BD6C5F" w:rsidRDefault="00065A7B" w:rsidP="00065A7B">
            <w:pPr>
              <w:pStyle w:val="Tabletext"/>
            </w:pPr>
            <w:r w:rsidRPr="00BD6C5F">
              <w:t>£</w:t>
            </w:r>
          </w:p>
        </w:tc>
        <w:tc>
          <w:tcPr>
            <w:tcW w:w="2494" w:type="dxa"/>
          </w:tcPr>
          <w:p w14:paraId="7CAB18FF" w14:textId="01DC2BFB" w:rsidR="00065A7B" w:rsidRPr="00BD6C5F" w:rsidRDefault="00065A7B" w:rsidP="00065A7B">
            <w:pPr>
              <w:pStyle w:val="Tabletext"/>
            </w:pPr>
            <w:r w:rsidRPr="00BD6C5F">
              <w:t>%</w:t>
            </w:r>
          </w:p>
        </w:tc>
        <w:tc>
          <w:tcPr>
            <w:tcW w:w="2494" w:type="dxa"/>
          </w:tcPr>
          <w:p w14:paraId="4AEADA02" w14:textId="04606A57" w:rsidR="00065A7B" w:rsidRPr="00BD6C5F" w:rsidRDefault="00065A7B" w:rsidP="00065A7B">
            <w:pPr>
              <w:pStyle w:val="Tabletext"/>
            </w:pPr>
            <w:r w:rsidRPr="00BD6C5F">
              <w:t>£</w:t>
            </w:r>
          </w:p>
        </w:tc>
        <w:tc>
          <w:tcPr>
            <w:tcW w:w="2494" w:type="dxa"/>
          </w:tcPr>
          <w:p w14:paraId="2EBA63CE" w14:textId="768FDB47" w:rsidR="00065A7B" w:rsidRPr="00BD6C5F" w:rsidRDefault="00065A7B" w:rsidP="00065A7B">
            <w:pPr>
              <w:pStyle w:val="Tabletext"/>
            </w:pPr>
            <w:r w:rsidRPr="00BD6C5F">
              <w:t>%</w:t>
            </w:r>
          </w:p>
        </w:tc>
      </w:tr>
      <w:tr w:rsidR="00065A7B" w:rsidRPr="00BD6C5F" w14:paraId="2D3D82C4" w14:textId="77777777" w:rsidTr="00065A7B">
        <w:tc>
          <w:tcPr>
            <w:tcW w:w="5159" w:type="dxa"/>
          </w:tcPr>
          <w:p w14:paraId="1FF82F53" w14:textId="25BAC0A1" w:rsidR="00065A7B" w:rsidRPr="00BD6C5F" w:rsidRDefault="00065A7B" w:rsidP="00065A7B">
            <w:pPr>
              <w:pStyle w:val="Tabletext"/>
            </w:pPr>
            <w:r w:rsidRPr="00BD6C5F">
              <w:t>Estimated total contract revenue (£) to be received in this Financial Year</w:t>
            </w:r>
          </w:p>
        </w:tc>
        <w:tc>
          <w:tcPr>
            <w:tcW w:w="2494" w:type="dxa"/>
          </w:tcPr>
          <w:p w14:paraId="0F3C3CDA" w14:textId="14DEB364"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14F7256E" w14:textId="6B27D9E9" w:rsidR="00065A7B" w:rsidRPr="00BD6C5F" w:rsidRDefault="00065A7B" w:rsidP="00065A7B">
            <w:pPr>
              <w:pStyle w:val="Tabletext"/>
            </w:pPr>
            <w:r w:rsidRPr="00BD6C5F">
              <w:t>100%</w:t>
            </w:r>
          </w:p>
        </w:tc>
        <w:tc>
          <w:tcPr>
            <w:tcW w:w="2494" w:type="dxa"/>
          </w:tcPr>
          <w:p w14:paraId="6863A335" w14:textId="28631828"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51791593" w14:textId="7E993431" w:rsidR="00065A7B" w:rsidRPr="00BD6C5F" w:rsidRDefault="00065A7B" w:rsidP="00065A7B">
            <w:pPr>
              <w:pStyle w:val="Tabletext"/>
            </w:pPr>
            <w:r w:rsidRPr="00BD6C5F">
              <w:t>100%</w:t>
            </w:r>
          </w:p>
        </w:tc>
      </w:tr>
      <w:tr w:rsidR="00065A7B" w:rsidRPr="00BD6C5F" w14:paraId="006E6163" w14:textId="77777777" w:rsidTr="00065A7B">
        <w:tc>
          <w:tcPr>
            <w:tcW w:w="5159" w:type="dxa"/>
          </w:tcPr>
          <w:p w14:paraId="2BCE754B" w14:textId="454FD811" w:rsidR="00065A7B" w:rsidRPr="00BD6C5F" w:rsidRDefault="00065A7B" w:rsidP="00065A7B">
            <w:pPr>
              <w:pStyle w:val="Tabletext"/>
            </w:pPr>
            <w:r w:rsidRPr="00BD6C5F">
              <w:t>Total value of Sub-contracted revenues (£) in this Financial Year</w:t>
            </w:r>
          </w:p>
        </w:tc>
        <w:tc>
          <w:tcPr>
            <w:tcW w:w="2494" w:type="dxa"/>
          </w:tcPr>
          <w:p w14:paraId="2A767ACA" w14:textId="65DB47EC"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1E51683C" w14:textId="7CE982D3"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341878E6" w14:textId="7CA26DD3"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29E2E4C0" w14:textId="254CE692" w:rsidR="00065A7B" w:rsidRPr="00BD6C5F" w:rsidRDefault="00065A7B" w:rsidP="00065A7B">
            <w:pPr>
              <w:pStyle w:val="Tabletext"/>
            </w:pPr>
            <w:r w:rsidRPr="00BD6C5F">
              <w:t>[</w:t>
            </w:r>
            <w:r w:rsidRPr="00BD6C5F">
              <w:rPr>
                <w:b/>
                <w:shd w:val="clear" w:color="auto" w:fill="FFFF00"/>
              </w:rPr>
              <w:tab/>
            </w:r>
            <w:r w:rsidRPr="00BD6C5F">
              <w:t>]</w:t>
            </w:r>
          </w:p>
        </w:tc>
      </w:tr>
      <w:tr w:rsidR="00065A7B" w:rsidRPr="00BD6C5F" w14:paraId="72ACE887" w14:textId="77777777" w:rsidTr="00065A7B">
        <w:tc>
          <w:tcPr>
            <w:tcW w:w="5159" w:type="dxa"/>
          </w:tcPr>
          <w:p w14:paraId="259AB8F5" w14:textId="0C149B35" w:rsidR="00065A7B" w:rsidRPr="00BD6C5F" w:rsidRDefault="00065A7B" w:rsidP="00065A7B">
            <w:pPr>
              <w:pStyle w:val="Tabletext"/>
            </w:pPr>
            <w:r w:rsidRPr="00BD6C5F">
              <w:t>Total value of Sub-contracted revenues to SMEs (£) in this Financial Year</w:t>
            </w:r>
          </w:p>
        </w:tc>
        <w:tc>
          <w:tcPr>
            <w:tcW w:w="2494" w:type="dxa"/>
          </w:tcPr>
          <w:p w14:paraId="3BB64601" w14:textId="70563ECB"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5AA85FC7" w14:textId="7A561D86"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086F3B80" w14:textId="0D1F427D"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2E4A47B0" w14:textId="25DDF670" w:rsidR="00065A7B" w:rsidRPr="00BD6C5F" w:rsidRDefault="00065A7B" w:rsidP="00065A7B">
            <w:pPr>
              <w:pStyle w:val="Tabletext"/>
            </w:pPr>
            <w:r w:rsidRPr="00BD6C5F">
              <w:t>[</w:t>
            </w:r>
            <w:r w:rsidRPr="00BD6C5F">
              <w:rPr>
                <w:b/>
                <w:shd w:val="clear" w:color="auto" w:fill="FFFF00"/>
              </w:rPr>
              <w:tab/>
            </w:r>
            <w:r w:rsidRPr="00BD6C5F">
              <w:t>]</w:t>
            </w:r>
          </w:p>
        </w:tc>
      </w:tr>
      <w:tr w:rsidR="00065A7B" w:rsidRPr="00BD6C5F" w14:paraId="0278D37E" w14:textId="77777777" w:rsidTr="00065A7B">
        <w:tc>
          <w:tcPr>
            <w:tcW w:w="5159" w:type="dxa"/>
          </w:tcPr>
          <w:p w14:paraId="6912E450" w14:textId="491AD165" w:rsidR="00065A7B" w:rsidRPr="00BD6C5F" w:rsidRDefault="00065A7B" w:rsidP="00065A7B">
            <w:pPr>
              <w:pStyle w:val="Tabletext"/>
            </w:pPr>
            <w:r w:rsidRPr="00BD6C5F">
              <w:t>Total value of Sub-contracted revenues to VCSEs (£) in this Financial Year</w:t>
            </w:r>
          </w:p>
        </w:tc>
        <w:tc>
          <w:tcPr>
            <w:tcW w:w="2494" w:type="dxa"/>
          </w:tcPr>
          <w:p w14:paraId="14CDBE3C" w14:textId="37B3F087"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3407D03A" w14:textId="1921198D"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2ACBFF0A" w14:textId="034667EA" w:rsidR="00065A7B" w:rsidRPr="00BD6C5F" w:rsidRDefault="00065A7B" w:rsidP="00065A7B">
            <w:pPr>
              <w:pStyle w:val="Tabletext"/>
            </w:pPr>
            <w:r w:rsidRPr="00BD6C5F">
              <w:t>£[</w:t>
            </w:r>
            <w:r w:rsidRPr="00BD6C5F">
              <w:rPr>
                <w:b/>
                <w:shd w:val="clear" w:color="auto" w:fill="FFFF00"/>
              </w:rPr>
              <w:tab/>
            </w:r>
            <w:r w:rsidRPr="00BD6C5F">
              <w:t>]</w:t>
            </w:r>
          </w:p>
        </w:tc>
        <w:tc>
          <w:tcPr>
            <w:tcW w:w="2494" w:type="dxa"/>
          </w:tcPr>
          <w:p w14:paraId="6F03DE6C" w14:textId="4F43F3B7" w:rsidR="00065A7B" w:rsidRPr="00BD6C5F" w:rsidRDefault="00065A7B" w:rsidP="00065A7B">
            <w:pPr>
              <w:pStyle w:val="Tabletext"/>
            </w:pPr>
            <w:r w:rsidRPr="00BD6C5F">
              <w:t>[</w:t>
            </w:r>
            <w:r w:rsidRPr="00BD6C5F">
              <w:rPr>
                <w:b/>
                <w:shd w:val="clear" w:color="auto" w:fill="FFFF00"/>
              </w:rPr>
              <w:tab/>
            </w:r>
            <w:r w:rsidRPr="00BD6C5F">
              <w:t>]</w:t>
            </w:r>
          </w:p>
        </w:tc>
      </w:tr>
    </w:tbl>
    <w:p w14:paraId="70152818" w14:textId="76B0220B" w:rsidR="00157633" w:rsidRPr="00BD6C5F" w:rsidRDefault="00157633" w:rsidP="00D51340"/>
    <w:p w14:paraId="7BEF7361" w14:textId="77777777" w:rsidR="00D51340" w:rsidRPr="00BD6C5F" w:rsidRDefault="00D51340" w:rsidP="00D51340"/>
    <w:p w14:paraId="6109BBD8" w14:textId="2EBF4CBB" w:rsidR="00D51340" w:rsidRPr="00BD6C5F" w:rsidRDefault="00D51340" w:rsidP="00D51340">
      <w:pPr>
        <w:sectPr w:rsidR="00D51340" w:rsidRPr="00BD6C5F" w:rsidSect="00EA65BF">
          <w:footerReference w:type="default" r:id="rId106"/>
          <w:pgSz w:w="16840" w:h="11910" w:orient="landscape"/>
          <w:pgMar w:top="1701" w:right="851" w:bottom="1134" w:left="851" w:header="567" w:footer="567" w:gutter="0"/>
          <w:cols w:space="720"/>
          <w:docGrid w:linePitch="299"/>
        </w:sectPr>
      </w:pPr>
    </w:p>
    <w:p w14:paraId="6DDB2DEA" w14:textId="7CE7ABF3" w:rsidR="00713E2F" w:rsidRDefault="00713E2F" w:rsidP="00713E2F">
      <w:pPr>
        <w:pStyle w:val="Dividername"/>
      </w:pPr>
      <w:r>
        <w:lastRenderedPageBreak/>
        <w:t xml:space="preserve">Schedule </w:t>
      </w:r>
      <w:bookmarkStart w:id="1222" w:name="Schedule_25"/>
      <w:r>
        <w:t>25</w:t>
      </w:r>
      <w:bookmarkEnd w:id="1222"/>
    </w:p>
    <w:p w14:paraId="0C7D4D37" w14:textId="574E234F" w:rsidR="00713E2F" w:rsidRDefault="00713E2F" w:rsidP="00713E2F">
      <w:pPr>
        <w:pStyle w:val="Dividername"/>
      </w:pPr>
      <w:r w:rsidRPr="00713E2F">
        <w:t>Exit Management</w:t>
      </w:r>
    </w:p>
    <w:p w14:paraId="3E07FD57" w14:textId="77777777" w:rsidR="00713E2F" w:rsidRDefault="00713E2F" w:rsidP="00713E2F"/>
    <w:p w14:paraId="2027D9F9" w14:textId="717FFBB0" w:rsidR="00BC7DDA" w:rsidRPr="00BD6C5F" w:rsidRDefault="00570E4E" w:rsidP="00713E2F">
      <w:pPr>
        <w:pStyle w:val="Heading1"/>
        <w:pageBreakBefore/>
      </w:pPr>
      <w:bookmarkStart w:id="1223" w:name="_Toc141721041"/>
      <w:r w:rsidRPr="00BD6C5F">
        <w:lastRenderedPageBreak/>
        <w:t>Schedule 25</w:t>
      </w:r>
      <w:r w:rsidR="0058158C" w:rsidRPr="00BD6C5F">
        <w:t>:</w:t>
      </w:r>
      <w:r w:rsidRPr="00BD6C5F">
        <w:t xml:space="preserve"> </w:t>
      </w:r>
      <w:bookmarkStart w:id="1224" w:name="_Ref98252836"/>
      <w:bookmarkStart w:id="1225" w:name="_Ref98252908"/>
      <w:bookmarkStart w:id="1226" w:name="_Ref98253050"/>
      <w:bookmarkStart w:id="1227" w:name="_Toc98332772"/>
      <w:bookmarkStart w:id="1228" w:name="_Toc98852948"/>
      <w:r w:rsidRPr="00BD6C5F">
        <w:t>Exit Management</w:t>
      </w:r>
      <w:bookmarkEnd w:id="1224"/>
      <w:bookmarkEnd w:id="1225"/>
      <w:bookmarkEnd w:id="1226"/>
      <w:bookmarkEnd w:id="1227"/>
      <w:bookmarkEnd w:id="1228"/>
      <w:bookmarkEnd w:id="1223"/>
    </w:p>
    <w:p w14:paraId="00E66E70" w14:textId="6E5463B9" w:rsidR="00A655B3" w:rsidRPr="00BD6C5F" w:rsidRDefault="00A655B3" w:rsidP="00570E4E">
      <w:pPr>
        <w:jc w:val="center"/>
      </w:pPr>
      <w:r w:rsidRPr="00BD6C5F">
        <w:t>This is the schedule referred to in the foregoing agreement betwee</w:t>
      </w:r>
      <w:r w:rsidR="0095651E" w:rsidRPr="00BD6C5F">
        <w:t>n [</w:t>
      </w:r>
      <w:r w:rsidR="0095651E" w:rsidRPr="00BD6C5F">
        <w:rPr>
          <w:highlight w:val="yellow"/>
        </w:rPr>
        <w:t>name of party</w:t>
      </w:r>
      <w:r w:rsidR="0095651E" w:rsidRPr="00BD6C5F">
        <w:t>] and [</w:t>
      </w:r>
      <w:r w:rsidR="0095651E" w:rsidRPr="00BD6C5F">
        <w:rPr>
          <w:highlight w:val="yellow"/>
        </w:rPr>
        <w:t>name of party</w:t>
      </w:r>
      <w:r w:rsidR="0095651E" w:rsidRPr="00BD6C5F">
        <w:t>] dated [</w:t>
      </w:r>
      <w:r w:rsidR="0095651E" w:rsidRPr="00BD6C5F">
        <w:rPr>
          <w:highlight w:val="yellow"/>
        </w:rPr>
        <w:t>date</w:t>
      </w:r>
      <w:r w:rsidR="0095651E" w:rsidRPr="00BD6C5F">
        <w:t>]</w:t>
      </w:r>
    </w:p>
    <w:p w14:paraId="2693AD07" w14:textId="4DC7E88D" w:rsidR="00BC7DDA" w:rsidRPr="00BD6C5F" w:rsidRDefault="0095651E" w:rsidP="00B71FC0">
      <w:pPr>
        <w:pStyle w:val="Numbered1"/>
        <w:numPr>
          <w:ilvl w:val="0"/>
          <w:numId w:val="110"/>
        </w:numPr>
      </w:pPr>
      <w:r w:rsidRPr="00BD6C5F">
        <w:t>Definitions</w:t>
      </w:r>
    </w:p>
    <w:p w14:paraId="6114FA00" w14:textId="77777777" w:rsidR="00BC7DDA" w:rsidRPr="00BD6C5F" w:rsidRDefault="009B03E9" w:rsidP="00272F4C">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591A0305" w14:textId="77777777" w:rsidTr="00771E5A">
        <w:tc>
          <w:tcPr>
            <w:tcW w:w="3572" w:type="dxa"/>
          </w:tcPr>
          <w:p w14:paraId="134BE674" w14:textId="7E47AA25"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Emergency Exit</w:t>
            </w:r>
            <w:r w:rsidRPr="00BD6C5F">
              <w:rPr>
                <w:rFonts w:asciiTheme="minorHAnsi" w:hAnsiTheme="minorHAnsi" w:cstheme="minorHAnsi"/>
                <w:b/>
              </w:rPr>
              <w:t>”</w:t>
            </w:r>
          </w:p>
        </w:tc>
        <w:tc>
          <w:tcPr>
            <w:tcW w:w="5953" w:type="dxa"/>
          </w:tcPr>
          <w:p w14:paraId="61D4A5B6" w14:textId="1B49B676" w:rsidR="00BC7DDA" w:rsidRPr="00BD6C5F" w:rsidRDefault="009B03E9" w:rsidP="00570E4E">
            <w:pPr>
              <w:pStyle w:val="Tabletext"/>
            </w:pPr>
            <w:r w:rsidRPr="00BD6C5F">
              <w:t xml:space="preserve">any termination of this </w:t>
            </w:r>
            <w:r w:rsidR="00AC7582" w:rsidRPr="00BD6C5F">
              <w:t xml:space="preserve">Contract </w:t>
            </w:r>
            <w:r w:rsidRPr="00BD6C5F">
              <w:t>which is a:</w:t>
            </w:r>
          </w:p>
          <w:p w14:paraId="35E63273" w14:textId="6A557118" w:rsidR="00BC7DDA" w:rsidRPr="00BD6C5F" w:rsidRDefault="009B03E9" w:rsidP="00771E5A">
            <w:pPr>
              <w:pStyle w:val="Tablea"/>
            </w:pPr>
            <w:r w:rsidRPr="00BD6C5F">
              <w:t xml:space="preserve">termination of the whole or part of this </w:t>
            </w:r>
            <w:r w:rsidR="00AC7582" w:rsidRPr="00BD6C5F">
              <w:t xml:space="preserve">Contract </w:t>
            </w:r>
            <w:r w:rsidRPr="00BD6C5F">
              <w:t xml:space="preserve">in accordance with </w:t>
            </w:r>
            <w:r w:rsidR="005E736B" w:rsidRPr="00BD6C5F">
              <w:t>Clause </w:t>
            </w:r>
            <w:r w:rsidRPr="00BD6C5F">
              <w:t>3</w:t>
            </w:r>
            <w:r w:rsidR="005721ED" w:rsidRPr="00BD6C5F">
              <w:t>1</w:t>
            </w:r>
            <w:r w:rsidRPr="00BD6C5F">
              <w:t xml:space="preserve"> (</w:t>
            </w:r>
            <w:r w:rsidRPr="00BD6C5F">
              <w:rPr>
                <w:i/>
              </w:rPr>
              <w:t>Termination Rights</w:t>
            </w:r>
            <w:r w:rsidRPr="00BD6C5F">
              <w:t xml:space="preserve">), except where the period of notice given under that </w:t>
            </w:r>
            <w:r w:rsidR="005E736B" w:rsidRPr="00BD6C5F">
              <w:t>Clause </w:t>
            </w:r>
            <w:r w:rsidRPr="00BD6C5F">
              <w:t>is greater than or equal to 6 months;</w:t>
            </w:r>
          </w:p>
          <w:p w14:paraId="5B2A3EDE" w14:textId="6AE08972" w:rsidR="00BC7DDA" w:rsidRPr="00BD6C5F" w:rsidRDefault="009B03E9" w:rsidP="003A5D4B">
            <w:pPr>
              <w:pStyle w:val="Tablea"/>
            </w:pPr>
            <w:r w:rsidRPr="00BD6C5F">
              <w:t xml:space="preserve">termination of the provision of the Services for any reason prior to the expiry of any period of notice of termination served pursuant to </w:t>
            </w:r>
            <w:r w:rsidR="005E736B" w:rsidRPr="00BD6C5F">
              <w:t>Clause </w:t>
            </w:r>
            <w:r w:rsidRPr="00BD6C5F">
              <w:t>3</w:t>
            </w:r>
            <w:r w:rsidR="005721ED" w:rsidRPr="00BD6C5F">
              <w:t>1</w:t>
            </w:r>
            <w:r w:rsidRPr="00BD6C5F">
              <w:t xml:space="preserve"> (</w:t>
            </w:r>
            <w:r w:rsidRPr="00BD6C5F">
              <w:rPr>
                <w:i/>
              </w:rPr>
              <w:t>Termination Rights</w:t>
            </w:r>
            <w:r w:rsidRPr="00BD6C5F">
              <w:t>); or</w:t>
            </w:r>
          </w:p>
          <w:p w14:paraId="7EBAA35C" w14:textId="1C8B4383" w:rsidR="00BC7DDA" w:rsidRPr="00BD6C5F" w:rsidRDefault="009B03E9" w:rsidP="003A5D4B">
            <w:pPr>
              <w:pStyle w:val="Tablea"/>
            </w:pPr>
            <w:r w:rsidRPr="00BD6C5F">
              <w:t xml:space="preserve">wrongful termination or repudiation of this </w:t>
            </w:r>
            <w:r w:rsidR="00AC7582" w:rsidRPr="00BD6C5F">
              <w:t xml:space="preserve">Contract </w:t>
            </w:r>
            <w:r w:rsidRPr="00BD6C5F">
              <w:t>by either Party;</w:t>
            </w:r>
          </w:p>
        </w:tc>
      </w:tr>
      <w:tr w:rsidR="00BC7DDA" w:rsidRPr="00BD6C5F" w14:paraId="3FDCAF1B" w14:textId="77777777" w:rsidTr="00771E5A">
        <w:tc>
          <w:tcPr>
            <w:tcW w:w="3572" w:type="dxa"/>
          </w:tcPr>
          <w:p w14:paraId="55F2C7BB" w14:textId="5E551864"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Ethical Wall Agreement</w:t>
            </w:r>
            <w:r w:rsidRPr="00BD6C5F">
              <w:rPr>
                <w:rFonts w:asciiTheme="minorHAnsi" w:hAnsiTheme="minorHAnsi" w:cstheme="minorHAnsi"/>
                <w:b/>
              </w:rPr>
              <w:t>”</w:t>
            </w:r>
          </w:p>
        </w:tc>
        <w:tc>
          <w:tcPr>
            <w:tcW w:w="5953" w:type="dxa"/>
          </w:tcPr>
          <w:p w14:paraId="5DE546DF" w14:textId="5598EB28" w:rsidR="00BC7DDA" w:rsidRPr="00BD6C5F" w:rsidRDefault="009B03E9" w:rsidP="00570E4E">
            <w:pPr>
              <w:pStyle w:val="Tabletext"/>
              <w:rPr>
                <w:rFonts w:asciiTheme="minorHAnsi" w:hAnsiTheme="minorHAnsi" w:cstheme="minorHAnsi"/>
              </w:rPr>
            </w:pPr>
            <w:r w:rsidRPr="00BD6C5F">
              <w:rPr>
                <w:rFonts w:asciiTheme="minorHAnsi" w:hAnsiTheme="minorHAnsi" w:cstheme="minorHAnsi"/>
              </w:rPr>
              <w:t xml:space="preserve">an ethical wall agreement in a form similar to the draft ethical wall agreement set out at </w:t>
            </w:r>
            <w:r w:rsidR="00DF7441">
              <w:rPr>
                <w:rFonts w:asciiTheme="minorHAnsi" w:hAnsiTheme="minorHAnsi" w:cstheme="minorHAnsi"/>
              </w:rPr>
              <w:t>Annex </w:t>
            </w:r>
            <w:r w:rsidR="00DF7441">
              <w:rPr>
                <w:rFonts w:asciiTheme="minorHAnsi" w:hAnsiTheme="minorHAnsi" w:cstheme="minorHAnsi"/>
              </w:rPr>
              <w:fldChar w:fldCharType="begin"/>
            </w:r>
            <w:r w:rsidR="00DF7441">
              <w:rPr>
                <w:rFonts w:asciiTheme="minorHAnsi" w:hAnsiTheme="minorHAnsi" w:cstheme="minorHAnsi"/>
              </w:rPr>
              <w:instrText xml:space="preserve"> REF Schedule_25_Annex_2 \h </w:instrText>
            </w:r>
            <w:r w:rsidR="00DF7441">
              <w:rPr>
                <w:rFonts w:asciiTheme="minorHAnsi" w:hAnsiTheme="minorHAnsi" w:cstheme="minorHAnsi"/>
              </w:rPr>
            </w:r>
            <w:r w:rsidR="00DF7441">
              <w:rPr>
                <w:rFonts w:asciiTheme="minorHAnsi" w:hAnsiTheme="minorHAnsi" w:cstheme="minorHAnsi"/>
              </w:rPr>
              <w:fldChar w:fldCharType="separate"/>
            </w:r>
            <w:r w:rsidR="009749A0" w:rsidRPr="00BD6C5F">
              <w:t>2</w:t>
            </w:r>
            <w:r w:rsidR="00DF7441">
              <w:rPr>
                <w:rFonts w:asciiTheme="minorHAnsi" w:hAnsiTheme="minorHAnsi" w:cstheme="minorHAnsi"/>
              </w:rPr>
              <w:fldChar w:fldCharType="end"/>
            </w:r>
            <w:r w:rsidRPr="00BD6C5F">
              <w:rPr>
                <w:rFonts w:asciiTheme="minorHAnsi" w:hAnsiTheme="minorHAnsi" w:cstheme="minorHAnsi"/>
              </w:rPr>
              <w:t>;</w:t>
            </w:r>
          </w:p>
        </w:tc>
      </w:tr>
      <w:tr w:rsidR="00BC7DDA" w:rsidRPr="00BD6C5F" w14:paraId="7DFD5FB7" w14:textId="77777777" w:rsidTr="00771E5A">
        <w:tc>
          <w:tcPr>
            <w:tcW w:w="3572" w:type="dxa"/>
          </w:tcPr>
          <w:p w14:paraId="10366D56" w14:textId="185E1F88"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Exclusive Assets</w:t>
            </w:r>
            <w:r w:rsidRPr="00BD6C5F">
              <w:rPr>
                <w:rFonts w:asciiTheme="minorHAnsi" w:hAnsiTheme="minorHAnsi" w:cstheme="minorHAnsi"/>
                <w:b/>
              </w:rPr>
              <w:t>”</w:t>
            </w:r>
          </w:p>
        </w:tc>
        <w:tc>
          <w:tcPr>
            <w:tcW w:w="5953" w:type="dxa"/>
          </w:tcPr>
          <w:p w14:paraId="130D3D82" w14:textId="298AE530" w:rsidR="00BC7DDA" w:rsidRPr="00BD6C5F" w:rsidRDefault="009B03E9" w:rsidP="00570E4E">
            <w:pPr>
              <w:pStyle w:val="Tabletext"/>
              <w:rPr>
                <w:rFonts w:asciiTheme="minorHAnsi" w:hAnsiTheme="minorHAnsi" w:cstheme="minorHAnsi"/>
              </w:rPr>
            </w:pPr>
            <w:r w:rsidRPr="00BD6C5F">
              <w:rPr>
                <w:rFonts w:asciiTheme="minorHAnsi" w:hAnsiTheme="minorHAnsi" w:cstheme="minorHAnsi"/>
              </w:rPr>
              <w:t>those Assets used by the Supplier or a Key Sub-</w:t>
            </w:r>
            <w:r w:rsidRPr="00BD6C5F">
              <w:t>contractor</w:t>
            </w:r>
            <w:r w:rsidRPr="00BD6C5F">
              <w:rPr>
                <w:rFonts w:asciiTheme="minorHAnsi" w:hAnsiTheme="minorHAnsi" w:cstheme="minorHAnsi"/>
              </w:rPr>
              <w:t xml:space="preserve"> which are used exclusively in the provision of the Services;</w:t>
            </w:r>
          </w:p>
        </w:tc>
      </w:tr>
      <w:tr w:rsidR="00BC7DDA" w:rsidRPr="00BD6C5F" w14:paraId="52E8F7C2" w14:textId="77777777" w:rsidTr="00771E5A">
        <w:tc>
          <w:tcPr>
            <w:tcW w:w="3572" w:type="dxa"/>
          </w:tcPr>
          <w:p w14:paraId="7C4DF839" w14:textId="29C84346"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Exit Information</w:t>
            </w:r>
            <w:r w:rsidRPr="00BD6C5F">
              <w:rPr>
                <w:rFonts w:asciiTheme="minorHAnsi" w:hAnsiTheme="minorHAnsi" w:cstheme="minorHAnsi"/>
                <w:b/>
              </w:rPr>
              <w:t>”</w:t>
            </w:r>
          </w:p>
        </w:tc>
        <w:tc>
          <w:tcPr>
            <w:tcW w:w="5953" w:type="dxa"/>
          </w:tcPr>
          <w:p w14:paraId="56388F94" w14:textId="2EFFED40" w:rsidR="00BC7DDA" w:rsidRPr="00BD6C5F" w:rsidRDefault="009B03E9" w:rsidP="00570E4E">
            <w:pPr>
              <w:pStyle w:val="Tabletext"/>
              <w:rPr>
                <w:rFonts w:asciiTheme="minorHAnsi" w:hAnsiTheme="minorHAnsi" w:cstheme="minorHAnsi"/>
              </w:rPr>
            </w:pPr>
            <w:r w:rsidRPr="00BD6C5F">
              <w:rPr>
                <w:rFonts w:asciiTheme="minorHAnsi" w:hAnsiTheme="minorHAnsi" w:cstheme="minorHAnsi"/>
              </w:rPr>
              <w:t>has the meaning given in Paragraph</w:t>
            </w:r>
            <w:r w:rsidR="007C62CA" w:rsidRPr="00BD6C5F">
              <w:rPr>
                <w:rFonts w:asciiTheme="minorHAnsi" w:hAnsiTheme="minorHAnsi" w:cstheme="minorHAnsi"/>
              </w:rPr>
              <w:t> </w:t>
            </w:r>
            <w:r w:rsidR="00B01BB9" w:rsidRPr="00BD6C5F">
              <w:rPr>
                <w:rFonts w:asciiTheme="minorHAnsi" w:hAnsiTheme="minorHAnsi" w:cstheme="minorHAnsi"/>
              </w:rPr>
              <w:fldChar w:fldCharType="begin"/>
            </w:r>
            <w:r w:rsidR="00B01BB9" w:rsidRPr="00BD6C5F">
              <w:rPr>
                <w:rFonts w:asciiTheme="minorHAnsi" w:hAnsiTheme="minorHAnsi" w:cstheme="minorHAnsi"/>
              </w:rPr>
              <w:instrText xml:space="preserve"> REF _Ref98418634 \w \h </w:instrText>
            </w:r>
            <w:r w:rsidR="00AD7DD0" w:rsidRPr="00BD6C5F">
              <w:rPr>
                <w:rFonts w:asciiTheme="minorHAnsi" w:hAnsiTheme="minorHAnsi" w:cstheme="minorHAnsi"/>
              </w:rPr>
              <w:instrText xml:space="preserve"> \* MERGEFORMAT </w:instrText>
            </w:r>
            <w:r w:rsidR="00B01BB9" w:rsidRPr="00BD6C5F">
              <w:rPr>
                <w:rFonts w:asciiTheme="minorHAnsi" w:hAnsiTheme="minorHAnsi" w:cstheme="minorHAnsi"/>
              </w:rPr>
            </w:r>
            <w:r w:rsidR="00B01BB9" w:rsidRPr="00BD6C5F">
              <w:rPr>
                <w:rFonts w:asciiTheme="minorHAnsi" w:hAnsiTheme="minorHAnsi" w:cstheme="minorHAnsi"/>
              </w:rPr>
              <w:fldChar w:fldCharType="separate"/>
            </w:r>
            <w:r w:rsidR="009749A0">
              <w:rPr>
                <w:rFonts w:asciiTheme="minorHAnsi" w:hAnsiTheme="minorHAnsi" w:cstheme="minorHAnsi"/>
              </w:rPr>
              <w:t>3.1</w:t>
            </w:r>
            <w:r w:rsidR="00B01BB9"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4CF050EC" w14:textId="77777777" w:rsidTr="00771E5A">
        <w:tc>
          <w:tcPr>
            <w:tcW w:w="3572" w:type="dxa"/>
          </w:tcPr>
          <w:p w14:paraId="4E75A2E5" w14:textId="252177C5"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Exit Manager</w:t>
            </w:r>
            <w:r w:rsidRPr="00BD6C5F">
              <w:rPr>
                <w:rFonts w:asciiTheme="minorHAnsi" w:hAnsiTheme="minorHAnsi" w:cstheme="minorHAnsi"/>
                <w:b/>
              </w:rPr>
              <w:t>”</w:t>
            </w:r>
          </w:p>
        </w:tc>
        <w:tc>
          <w:tcPr>
            <w:tcW w:w="5953" w:type="dxa"/>
          </w:tcPr>
          <w:p w14:paraId="11F707BB" w14:textId="71AB3440" w:rsidR="00BC7DDA" w:rsidRPr="00BD6C5F" w:rsidRDefault="009B03E9" w:rsidP="00570E4E">
            <w:pPr>
              <w:pStyle w:val="Tabletext"/>
              <w:rPr>
                <w:rFonts w:asciiTheme="minorHAnsi" w:hAnsiTheme="minorHAnsi" w:cstheme="minorHAnsi"/>
              </w:rPr>
            </w:pPr>
            <w:r w:rsidRPr="00BD6C5F">
              <w:rPr>
                <w:rFonts w:asciiTheme="minorHAnsi" w:hAnsiTheme="minorHAnsi" w:cstheme="minorHAnsi"/>
              </w:rPr>
              <w:t xml:space="preserve">the person appointed by each Party pursuant to </w:t>
            </w:r>
            <w:r w:rsidRPr="00BD6C5F">
              <w:t>Paragraph</w:t>
            </w:r>
            <w:r w:rsidR="007C62CA" w:rsidRPr="00BD6C5F">
              <w:rPr>
                <w:rFonts w:asciiTheme="minorHAnsi" w:hAnsiTheme="minorHAnsi" w:cstheme="minorHAnsi"/>
              </w:rPr>
              <w:t> </w:t>
            </w:r>
            <w:r w:rsidR="00B01BB9" w:rsidRPr="00BD6C5F">
              <w:rPr>
                <w:rFonts w:asciiTheme="minorHAnsi" w:hAnsiTheme="minorHAnsi" w:cstheme="minorHAnsi"/>
              </w:rPr>
              <w:fldChar w:fldCharType="begin"/>
            </w:r>
            <w:r w:rsidR="00B01BB9" w:rsidRPr="00BD6C5F">
              <w:rPr>
                <w:rFonts w:asciiTheme="minorHAnsi" w:hAnsiTheme="minorHAnsi" w:cstheme="minorHAnsi"/>
              </w:rPr>
              <w:instrText xml:space="preserve"> REF _Ref98418642 \w \h </w:instrText>
            </w:r>
            <w:r w:rsidR="00AD7DD0" w:rsidRPr="00BD6C5F">
              <w:rPr>
                <w:rFonts w:asciiTheme="minorHAnsi" w:hAnsiTheme="minorHAnsi" w:cstheme="minorHAnsi"/>
              </w:rPr>
              <w:instrText xml:space="preserve"> \* MERGEFORMAT </w:instrText>
            </w:r>
            <w:r w:rsidR="00B01BB9" w:rsidRPr="00BD6C5F">
              <w:rPr>
                <w:rFonts w:asciiTheme="minorHAnsi" w:hAnsiTheme="minorHAnsi" w:cstheme="minorHAnsi"/>
              </w:rPr>
            </w:r>
            <w:r w:rsidR="00B01BB9" w:rsidRPr="00BD6C5F">
              <w:rPr>
                <w:rFonts w:asciiTheme="minorHAnsi" w:hAnsiTheme="minorHAnsi" w:cstheme="minorHAnsi"/>
              </w:rPr>
              <w:fldChar w:fldCharType="separate"/>
            </w:r>
            <w:r w:rsidR="009749A0">
              <w:rPr>
                <w:rFonts w:asciiTheme="minorHAnsi" w:hAnsiTheme="minorHAnsi" w:cstheme="minorHAnsi"/>
              </w:rPr>
              <w:t>2.3</w:t>
            </w:r>
            <w:r w:rsidR="00B01BB9" w:rsidRPr="00BD6C5F">
              <w:rPr>
                <w:rFonts w:asciiTheme="minorHAnsi" w:hAnsiTheme="minorHAnsi" w:cstheme="minorHAnsi"/>
              </w:rPr>
              <w:fldChar w:fldCharType="end"/>
            </w:r>
            <w:r w:rsidRPr="00BD6C5F">
              <w:rPr>
                <w:rFonts w:asciiTheme="minorHAnsi" w:hAnsiTheme="minorHAnsi" w:cstheme="minorHAnsi"/>
              </w:rPr>
              <w:t xml:space="preserve"> for managing the Parties</w:t>
            </w:r>
            <w:r w:rsidR="00A4555C" w:rsidRPr="00BD6C5F">
              <w:rPr>
                <w:rFonts w:asciiTheme="minorHAnsi" w:hAnsiTheme="minorHAnsi" w:cstheme="minorHAnsi"/>
              </w:rPr>
              <w:t>’</w:t>
            </w:r>
            <w:r w:rsidRPr="00BD6C5F">
              <w:rPr>
                <w:rFonts w:asciiTheme="minorHAnsi" w:hAnsiTheme="minorHAnsi" w:cstheme="minorHAnsi"/>
              </w:rPr>
              <w:t xml:space="preserve"> respective obligations under this Schedule;</w:t>
            </w:r>
          </w:p>
        </w:tc>
      </w:tr>
      <w:tr w:rsidR="00BC7DDA" w:rsidRPr="00BD6C5F" w14:paraId="01A3EB84" w14:textId="77777777" w:rsidTr="00771E5A">
        <w:tc>
          <w:tcPr>
            <w:tcW w:w="3572" w:type="dxa"/>
          </w:tcPr>
          <w:p w14:paraId="3A5D4C38" w14:textId="667DF97B"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Net Book Value</w:t>
            </w:r>
            <w:r w:rsidRPr="00BD6C5F">
              <w:rPr>
                <w:rFonts w:asciiTheme="minorHAnsi" w:hAnsiTheme="minorHAnsi" w:cstheme="minorHAnsi"/>
                <w:b/>
              </w:rPr>
              <w:t>”</w:t>
            </w:r>
          </w:p>
        </w:tc>
        <w:tc>
          <w:tcPr>
            <w:tcW w:w="5953" w:type="dxa"/>
          </w:tcPr>
          <w:p w14:paraId="2841DC0F" w14:textId="25A9AA92" w:rsidR="00BC7DDA" w:rsidRPr="00BD6C5F" w:rsidRDefault="009B03E9" w:rsidP="00570E4E">
            <w:pPr>
              <w:pStyle w:val="Tabletext"/>
              <w:rPr>
                <w:rFonts w:asciiTheme="minorHAnsi" w:hAnsiTheme="minorHAnsi" w:cstheme="minorHAnsi"/>
              </w:rPr>
            </w:pPr>
            <w:r w:rsidRPr="00BD6C5F">
              <w:rPr>
                <w:rFonts w:asciiTheme="minorHAnsi" w:hAnsiTheme="minorHAnsi" w:cstheme="minorHAnsi"/>
              </w:rPr>
              <w:t xml:space="preserve">the </w:t>
            </w:r>
            <w:r w:rsidRPr="00BD6C5F">
              <w:t>net</w:t>
            </w:r>
            <w:r w:rsidRPr="00BD6C5F">
              <w:rPr>
                <w:rFonts w:asciiTheme="minorHAnsi" w:hAnsiTheme="minorHAnsi" w:cstheme="minorHAnsi"/>
              </w:rPr>
              <w:t xml:space="preserve"> book value of the relevant Asset(s) calculated in accordance with the depreciation policy of the Supplier set out in the letter in the agreed form from the Supplier to the Authority of the same date as this </w:t>
            </w:r>
            <w:r w:rsidR="00AC7582" w:rsidRPr="00BD6C5F">
              <w:rPr>
                <w:rFonts w:asciiTheme="minorHAnsi" w:hAnsiTheme="minorHAnsi" w:cstheme="minorHAnsi"/>
              </w:rPr>
              <w:t>Contract</w:t>
            </w:r>
            <w:r w:rsidRPr="00BD6C5F">
              <w:rPr>
                <w:rFonts w:asciiTheme="minorHAnsi" w:hAnsiTheme="minorHAnsi" w:cstheme="minorHAnsi"/>
              </w:rPr>
              <w:t>;</w:t>
            </w:r>
          </w:p>
        </w:tc>
      </w:tr>
      <w:tr w:rsidR="00BC7DDA" w:rsidRPr="00BD6C5F" w14:paraId="67F56BCB" w14:textId="77777777" w:rsidTr="00771E5A">
        <w:tc>
          <w:tcPr>
            <w:tcW w:w="3572" w:type="dxa"/>
          </w:tcPr>
          <w:p w14:paraId="088EE60C" w14:textId="0AAE18D8" w:rsidR="00BC7DDA" w:rsidRPr="00BD6C5F" w:rsidRDefault="00A4555C" w:rsidP="00570E4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Non-Exclusive Assets</w:t>
            </w:r>
            <w:r w:rsidRPr="00BD6C5F">
              <w:rPr>
                <w:rFonts w:asciiTheme="minorHAnsi" w:hAnsiTheme="minorHAnsi" w:cstheme="minorHAnsi"/>
                <w:b/>
              </w:rPr>
              <w:t>”</w:t>
            </w:r>
          </w:p>
        </w:tc>
        <w:tc>
          <w:tcPr>
            <w:tcW w:w="5953" w:type="dxa"/>
          </w:tcPr>
          <w:p w14:paraId="6D1C0B96" w14:textId="77777777" w:rsidR="00BC7DDA" w:rsidRPr="00BD6C5F" w:rsidRDefault="009B03E9" w:rsidP="00570E4E">
            <w:pPr>
              <w:pStyle w:val="Tabletext"/>
              <w:rPr>
                <w:rFonts w:asciiTheme="minorHAnsi" w:hAnsiTheme="minorHAnsi" w:cstheme="minorHAnsi"/>
              </w:rPr>
            </w:pPr>
            <w:r w:rsidRPr="00BD6C5F">
              <w:t>those</w:t>
            </w:r>
            <w:r w:rsidRPr="00BD6C5F">
              <w:rPr>
                <w:rFonts w:asciiTheme="minorHAnsi" w:hAnsiTheme="minorHAnsi" w:cstheme="minorHAnsi"/>
              </w:rPr>
              <w:t xml:space="preserve"> Assets (if any) which are used by the Supplier or a Key Sub-contractor in connection with the Services but which are also used by the Supplier or Key Sub-contractor for other purposes of material value;</w:t>
            </w:r>
          </w:p>
        </w:tc>
      </w:tr>
      <w:tr w:rsidR="00570E4E" w:rsidRPr="00BD6C5F" w14:paraId="5E18C368" w14:textId="77777777" w:rsidTr="00771E5A">
        <w:tc>
          <w:tcPr>
            <w:tcW w:w="3572" w:type="dxa"/>
          </w:tcPr>
          <w:p w14:paraId="4D353B5D" w14:textId="63DD43E3" w:rsidR="00570E4E" w:rsidRPr="00BD6C5F" w:rsidRDefault="00570E4E" w:rsidP="00570E4E">
            <w:pPr>
              <w:pStyle w:val="Tabletext"/>
              <w:rPr>
                <w:rFonts w:asciiTheme="minorHAnsi" w:hAnsiTheme="minorHAnsi" w:cstheme="minorHAnsi"/>
                <w:b/>
              </w:rPr>
            </w:pPr>
            <w:r w:rsidRPr="00BD6C5F">
              <w:rPr>
                <w:rFonts w:asciiTheme="minorHAnsi" w:hAnsiTheme="minorHAnsi" w:cstheme="minorHAnsi"/>
                <w:b/>
              </w:rPr>
              <w:t>“Ordinary Exit”</w:t>
            </w:r>
          </w:p>
        </w:tc>
        <w:tc>
          <w:tcPr>
            <w:tcW w:w="5953" w:type="dxa"/>
          </w:tcPr>
          <w:p w14:paraId="1CD8FE9F" w14:textId="77777777" w:rsidR="00570E4E" w:rsidRPr="00BD6C5F" w:rsidRDefault="00570E4E" w:rsidP="00570E4E">
            <w:pPr>
              <w:pStyle w:val="Tabletext"/>
              <w:rPr>
                <w:rFonts w:asciiTheme="minorHAnsi" w:hAnsiTheme="minorHAnsi" w:cstheme="minorHAnsi"/>
              </w:rPr>
            </w:pPr>
            <w:r w:rsidRPr="00BD6C5F">
              <w:rPr>
                <w:rFonts w:asciiTheme="minorHAnsi" w:hAnsiTheme="minorHAnsi" w:cstheme="minorHAnsi"/>
              </w:rPr>
              <w:t xml:space="preserve">any </w:t>
            </w:r>
            <w:r w:rsidRPr="00BD6C5F">
              <w:t>termination</w:t>
            </w:r>
            <w:r w:rsidRPr="00BD6C5F">
              <w:rPr>
                <w:rFonts w:asciiTheme="minorHAnsi" w:hAnsiTheme="minorHAnsi" w:cstheme="minorHAnsi"/>
              </w:rPr>
              <w:t xml:space="preserve"> of the whole or any part of this Contract which occurs:</w:t>
            </w:r>
          </w:p>
          <w:p w14:paraId="4BACE42A" w14:textId="77777777" w:rsidR="00570E4E" w:rsidRPr="00BD6C5F" w:rsidRDefault="00570E4E" w:rsidP="00771E5A">
            <w:pPr>
              <w:pStyle w:val="Tablea"/>
            </w:pPr>
            <w:r w:rsidRPr="00BD6C5F">
              <w:lastRenderedPageBreak/>
              <w:t>pursuant to Clause 31 (</w:t>
            </w:r>
            <w:r w:rsidRPr="00BD6C5F">
              <w:rPr>
                <w:i/>
              </w:rPr>
              <w:t>Termination Rights</w:t>
            </w:r>
            <w:r w:rsidRPr="00BD6C5F">
              <w:t>) where the period of notice given by the Party serving notice to terminate pursuant to such Clause is greater than or equal to 6 months; or</w:t>
            </w:r>
          </w:p>
          <w:p w14:paraId="0E3338DA" w14:textId="42BA0742" w:rsidR="00570E4E" w:rsidRPr="00BD6C5F" w:rsidRDefault="00570E4E" w:rsidP="003A5D4B">
            <w:pPr>
              <w:pStyle w:val="Tablea"/>
            </w:pPr>
            <w:r w:rsidRPr="00BD6C5F">
              <w:t>as a result of the expiry of the Initial Term or any Extension Period;</w:t>
            </w:r>
          </w:p>
        </w:tc>
      </w:tr>
      <w:tr w:rsidR="00570E4E" w:rsidRPr="00BD6C5F" w14:paraId="1B191054" w14:textId="77777777" w:rsidTr="00771E5A">
        <w:tc>
          <w:tcPr>
            <w:tcW w:w="3572" w:type="dxa"/>
          </w:tcPr>
          <w:p w14:paraId="4CE7A77B" w14:textId="201468CB" w:rsidR="00570E4E" w:rsidRPr="00BD6C5F" w:rsidRDefault="00570E4E" w:rsidP="00570E4E">
            <w:pPr>
              <w:pStyle w:val="Tabletext"/>
              <w:rPr>
                <w:rFonts w:asciiTheme="minorHAnsi" w:hAnsiTheme="minorHAnsi" w:cstheme="minorHAnsi"/>
                <w:b/>
              </w:rPr>
            </w:pPr>
            <w:r w:rsidRPr="00BD6C5F">
              <w:rPr>
                <w:rFonts w:asciiTheme="minorHAnsi" w:hAnsiTheme="minorHAnsi" w:cstheme="minorHAnsi"/>
                <w:b/>
              </w:rPr>
              <w:lastRenderedPageBreak/>
              <w:t>“Transferable Assets”</w:t>
            </w:r>
          </w:p>
        </w:tc>
        <w:tc>
          <w:tcPr>
            <w:tcW w:w="5953" w:type="dxa"/>
          </w:tcPr>
          <w:p w14:paraId="6E10F1CC" w14:textId="73E2C3E9" w:rsidR="00570E4E" w:rsidRPr="00BD6C5F" w:rsidRDefault="00570E4E" w:rsidP="00570E4E">
            <w:pPr>
              <w:pStyle w:val="Tabletext"/>
              <w:rPr>
                <w:rFonts w:asciiTheme="minorHAnsi" w:hAnsiTheme="minorHAnsi" w:cstheme="minorHAnsi"/>
              </w:rPr>
            </w:pPr>
            <w:r w:rsidRPr="00BD6C5F">
              <w:rPr>
                <w:rFonts w:asciiTheme="minorHAnsi" w:hAnsiTheme="minorHAnsi" w:cstheme="minorHAnsi"/>
              </w:rPr>
              <w:t>those of the Exclusive Assets which are capable of legal transfer to the Authority;</w:t>
            </w:r>
          </w:p>
        </w:tc>
      </w:tr>
      <w:tr w:rsidR="00570E4E" w:rsidRPr="00BD6C5F" w14:paraId="387CD919" w14:textId="77777777" w:rsidTr="00771E5A">
        <w:tc>
          <w:tcPr>
            <w:tcW w:w="3572" w:type="dxa"/>
          </w:tcPr>
          <w:p w14:paraId="5B533A6D" w14:textId="74826D61" w:rsidR="00570E4E" w:rsidRPr="00BD6C5F" w:rsidRDefault="00570E4E" w:rsidP="00570E4E">
            <w:pPr>
              <w:pStyle w:val="Tabletext"/>
              <w:rPr>
                <w:rFonts w:asciiTheme="minorHAnsi" w:hAnsiTheme="minorHAnsi" w:cstheme="minorHAnsi"/>
                <w:b/>
              </w:rPr>
            </w:pPr>
            <w:r w:rsidRPr="00BD6C5F">
              <w:rPr>
                <w:rFonts w:asciiTheme="minorHAnsi" w:hAnsiTheme="minorHAnsi" w:cstheme="minorHAnsi"/>
                <w:b/>
              </w:rPr>
              <w:t>“Transferable Contracts”</w:t>
            </w:r>
          </w:p>
        </w:tc>
        <w:tc>
          <w:tcPr>
            <w:tcW w:w="5953" w:type="dxa"/>
          </w:tcPr>
          <w:p w14:paraId="22F552F9" w14:textId="3B5D416F" w:rsidR="00570E4E" w:rsidRPr="00BD6C5F" w:rsidRDefault="00570E4E" w:rsidP="00570E4E">
            <w:pPr>
              <w:pStyle w:val="Tabletext"/>
              <w:rPr>
                <w:rFonts w:asciiTheme="minorHAnsi" w:hAnsiTheme="minorHAnsi" w:cstheme="minorHAnsi"/>
              </w:rPr>
            </w:pPr>
            <w:r w:rsidRPr="00BD6C5F">
              <w:rPr>
                <w:rFonts w:asciiTheme="minorHAnsi" w:hAnsiTheme="minorHAnsi" w:cstheme="minorHAnsi"/>
              </w:rPr>
              <w:t xml:space="preserve">the Sub-contracts, licences for Supplier’s </w:t>
            </w:r>
            <w:r w:rsidRPr="00BD6C5F">
              <w:t>Software</w:t>
            </w:r>
            <w:r w:rsidRPr="00BD6C5F">
              <w:rPr>
                <w:rFonts w:asciiTheme="minorHAnsi" w:hAnsiTheme="minorHAnsi" w:cstheme="minorHAnsi"/>
              </w:rPr>
              <w:t>, licences for Third Party Software or other agreements which are necessary to enable the Authority or any Replacement Supplier to perform the Services or the Replacement Services, including in relation to licences all relevant Documentation; and</w:t>
            </w:r>
          </w:p>
        </w:tc>
      </w:tr>
      <w:tr w:rsidR="00570E4E" w:rsidRPr="00BD6C5F" w14:paraId="54A3D02C" w14:textId="77777777" w:rsidTr="00771E5A">
        <w:tc>
          <w:tcPr>
            <w:tcW w:w="3572" w:type="dxa"/>
          </w:tcPr>
          <w:p w14:paraId="737266EB" w14:textId="6643DF2B" w:rsidR="00570E4E" w:rsidRPr="00BD6C5F" w:rsidRDefault="00570E4E" w:rsidP="00570E4E">
            <w:pPr>
              <w:pStyle w:val="Tabletext"/>
              <w:rPr>
                <w:rFonts w:asciiTheme="minorHAnsi" w:hAnsiTheme="minorHAnsi" w:cstheme="minorHAnsi"/>
                <w:b/>
              </w:rPr>
            </w:pPr>
            <w:r w:rsidRPr="00BD6C5F">
              <w:rPr>
                <w:rFonts w:asciiTheme="minorHAnsi" w:hAnsiTheme="minorHAnsi" w:cstheme="minorHAnsi"/>
                <w:b/>
              </w:rPr>
              <w:t>“Transferring Contracts</w:t>
            </w:r>
          </w:p>
        </w:tc>
        <w:tc>
          <w:tcPr>
            <w:tcW w:w="5953" w:type="dxa"/>
          </w:tcPr>
          <w:p w14:paraId="06E32F8C" w14:textId="3C6D6FD2" w:rsidR="00570E4E" w:rsidRPr="00BD6C5F" w:rsidRDefault="00570E4E" w:rsidP="00570E4E">
            <w:pPr>
              <w:pStyle w:val="Tabletext"/>
              <w:rPr>
                <w:rFonts w:asciiTheme="minorHAnsi" w:hAnsiTheme="minorHAnsi" w:cstheme="minorHAnsi"/>
              </w:rPr>
            </w:pPr>
            <w:r w:rsidRPr="00BD6C5F">
              <w:rPr>
                <w:rFonts w:asciiTheme="minorHAnsi" w:hAnsiTheme="minorHAnsi" w:cstheme="minorHAnsi"/>
              </w:rPr>
              <w:t xml:space="preserve">has </w:t>
            </w:r>
            <w:r w:rsidRPr="00BD6C5F">
              <w:t>the</w:t>
            </w:r>
            <w:r w:rsidRPr="00BD6C5F">
              <w:rPr>
                <w:rFonts w:asciiTheme="minorHAnsi" w:hAnsiTheme="minorHAnsi" w:cstheme="minorHAnsi"/>
              </w:rPr>
              <w:t xml:space="preserve"> meaning given in Paragraph </w:t>
            </w:r>
            <w:r w:rsidRPr="00BD6C5F">
              <w:rPr>
                <w:rFonts w:asciiTheme="minorHAnsi" w:hAnsiTheme="minorHAnsi" w:cstheme="minorHAnsi"/>
              </w:rPr>
              <w:fldChar w:fldCharType="begin"/>
            </w:r>
            <w:r w:rsidRPr="00BD6C5F">
              <w:rPr>
                <w:rFonts w:asciiTheme="minorHAnsi" w:hAnsiTheme="minorHAnsi" w:cstheme="minorHAnsi"/>
              </w:rPr>
              <w:instrText xml:space="preserve"> REF _Ref98418666 \w \h  \* MERGEFORMAT </w:instrText>
            </w:r>
            <w:r w:rsidRPr="00BD6C5F">
              <w:rPr>
                <w:rFonts w:asciiTheme="minorHAnsi" w:hAnsiTheme="minorHAnsi" w:cstheme="minorHAnsi"/>
              </w:rPr>
            </w:r>
            <w:r w:rsidRPr="00BD6C5F">
              <w:rPr>
                <w:rFonts w:asciiTheme="minorHAnsi" w:hAnsiTheme="minorHAnsi" w:cstheme="minorHAnsi"/>
              </w:rPr>
              <w:fldChar w:fldCharType="separate"/>
            </w:r>
            <w:r w:rsidR="009749A0">
              <w:rPr>
                <w:rFonts w:asciiTheme="minorHAnsi" w:hAnsiTheme="minorHAnsi" w:cstheme="minorHAnsi"/>
              </w:rPr>
              <w:t>7.2.2</w:t>
            </w:r>
            <w:r w:rsidRPr="00BD6C5F">
              <w:rPr>
                <w:rFonts w:asciiTheme="minorHAnsi" w:hAnsiTheme="minorHAnsi" w:cstheme="minorHAnsi"/>
              </w:rPr>
              <w:fldChar w:fldCharType="end"/>
            </w:r>
            <w:r w:rsidRPr="00BD6C5F">
              <w:rPr>
                <w:rFonts w:asciiTheme="minorHAnsi" w:hAnsiTheme="minorHAnsi" w:cstheme="minorHAnsi"/>
              </w:rPr>
              <w:t>.</w:t>
            </w:r>
          </w:p>
        </w:tc>
      </w:tr>
    </w:tbl>
    <w:p w14:paraId="6F0C9BAD" w14:textId="5683FC67" w:rsidR="00BC7DDA" w:rsidRPr="00BD6C5F" w:rsidRDefault="0095651E" w:rsidP="00C5057A">
      <w:pPr>
        <w:pStyle w:val="Numbered1"/>
      </w:pPr>
      <w:r w:rsidRPr="00BD6C5F">
        <w:t>Obligations During the Term to Facilitate Exit</w:t>
      </w:r>
    </w:p>
    <w:p w14:paraId="51BD25B8" w14:textId="77777777" w:rsidR="00BC7DDA" w:rsidRPr="00BD6C5F" w:rsidRDefault="009B03E9" w:rsidP="00272F4C">
      <w:pPr>
        <w:pStyle w:val="Numbered11"/>
        <w:keepNext/>
      </w:pPr>
      <w:r w:rsidRPr="00BD6C5F">
        <w:t>During the Term, the Supplier shall:</w:t>
      </w:r>
    </w:p>
    <w:p w14:paraId="605CF702" w14:textId="77777777" w:rsidR="00BC7DDA" w:rsidRPr="00BD6C5F" w:rsidRDefault="009B03E9" w:rsidP="00272F4C">
      <w:pPr>
        <w:pStyle w:val="Numbered111"/>
        <w:keepNext/>
      </w:pPr>
      <w:bookmarkStart w:id="1229" w:name="_bookmark428"/>
      <w:bookmarkStart w:id="1230" w:name="_Ref141216326"/>
      <w:bookmarkEnd w:id="1229"/>
      <w:r w:rsidRPr="00BD6C5F">
        <w:t>create and maintain a register of all:</w:t>
      </w:r>
      <w:bookmarkEnd w:id="1230"/>
    </w:p>
    <w:p w14:paraId="697CE888" w14:textId="77777777" w:rsidR="00BC7DDA" w:rsidRPr="00BD6C5F" w:rsidRDefault="009B03E9" w:rsidP="00272F4C">
      <w:pPr>
        <w:pStyle w:val="Numbered111a"/>
        <w:keepNext/>
      </w:pPr>
      <w:r w:rsidRPr="00BD6C5F">
        <w:t>Assets, detailing their:</w:t>
      </w:r>
    </w:p>
    <w:p w14:paraId="77F19D51" w14:textId="77777777" w:rsidR="00BC7DDA" w:rsidRPr="00BD6C5F" w:rsidRDefault="009B03E9" w:rsidP="0095651E">
      <w:pPr>
        <w:pStyle w:val="Numbered111ai"/>
      </w:pPr>
      <w:r w:rsidRPr="00BD6C5F">
        <w:t>make, model and asset number;</w:t>
      </w:r>
    </w:p>
    <w:p w14:paraId="0B2D2C8F" w14:textId="77777777" w:rsidR="00BC7DDA" w:rsidRPr="00BD6C5F" w:rsidRDefault="009B03E9" w:rsidP="0095651E">
      <w:pPr>
        <w:pStyle w:val="Numbered111ai"/>
      </w:pPr>
      <w:r w:rsidRPr="00BD6C5F">
        <w:t>ownership and status as either Exclusive Assets or Non-Exclusive Assets;</w:t>
      </w:r>
    </w:p>
    <w:p w14:paraId="5F130E70" w14:textId="77777777" w:rsidR="00BC7DDA" w:rsidRPr="00BD6C5F" w:rsidRDefault="009B03E9" w:rsidP="0095651E">
      <w:pPr>
        <w:pStyle w:val="Numbered111ai"/>
      </w:pPr>
      <w:r w:rsidRPr="00BD6C5F">
        <w:t>Net Book Value;</w:t>
      </w:r>
    </w:p>
    <w:p w14:paraId="791DCA22" w14:textId="77777777" w:rsidR="00BC7DDA" w:rsidRPr="00BD6C5F" w:rsidRDefault="009B03E9" w:rsidP="0095651E">
      <w:pPr>
        <w:pStyle w:val="Numbered111ai"/>
      </w:pPr>
      <w:r w:rsidRPr="00BD6C5F">
        <w:t>condition and physical location; and</w:t>
      </w:r>
    </w:p>
    <w:p w14:paraId="06E06654" w14:textId="77777777" w:rsidR="00BC7DDA" w:rsidRPr="00BD6C5F" w:rsidRDefault="009B03E9" w:rsidP="0095651E">
      <w:pPr>
        <w:pStyle w:val="Numbered111ai"/>
      </w:pPr>
      <w:r w:rsidRPr="00BD6C5F">
        <w:t>use (including technical specifications); and</w:t>
      </w:r>
    </w:p>
    <w:p w14:paraId="69C24E40" w14:textId="77777777" w:rsidR="00BC7DDA" w:rsidRPr="00BD6C5F" w:rsidRDefault="009B03E9" w:rsidP="0095651E">
      <w:pPr>
        <w:pStyle w:val="Numbered111a"/>
        <w:rPr>
          <w:lang w:val="en-GB"/>
        </w:rPr>
      </w:pPr>
      <w:r w:rsidRPr="00BD6C5F">
        <w:rPr>
          <w:lang w:val="en-GB"/>
        </w:rPr>
        <w:t>Sub-contracts and other relevant agreements (including relevant software licences, maintenance and support agreements and equipment rental and lease agreements) required for the performance of the Services;</w:t>
      </w:r>
    </w:p>
    <w:p w14:paraId="7D50A933" w14:textId="5DDCE0D6" w:rsidR="00BC7DDA" w:rsidRPr="00BD6C5F" w:rsidRDefault="009B03E9" w:rsidP="0095651E">
      <w:pPr>
        <w:pStyle w:val="Numbered111"/>
      </w:pPr>
      <w:bookmarkStart w:id="1231" w:name="_bookmark429"/>
      <w:bookmarkStart w:id="1232" w:name="_Ref141216336"/>
      <w:bookmarkEnd w:id="1231"/>
      <w:r w:rsidRPr="00BD6C5F">
        <w:t>create and maintain a configuration database detailing the technical infrastructure and operating procedures through which the Supplier provides the Services, which shall contain sufficient detail to permit</w:t>
      </w:r>
      <w:r w:rsidR="00DB2677" w:rsidRPr="00BD6C5F">
        <w:t xml:space="preserve"> </w:t>
      </w:r>
      <w:r w:rsidRPr="00BD6C5F">
        <w:t>the Authority and/or Replacement Supplier to understand how the Supplier provides the Services and to enable the smooth transition of the Services with the minimum of disruption;</w:t>
      </w:r>
      <w:bookmarkEnd w:id="1232"/>
    </w:p>
    <w:p w14:paraId="1A77F940" w14:textId="77777777" w:rsidR="00BC7DDA" w:rsidRPr="00BD6C5F" w:rsidRDefault="009B03E9" w:rsidP="0095651E">
      <w:pPr>
        <w:pStyle w:val="Numbered111"/>
      </w:pPr>
      <w:r w:rsidRPr="00BD6C5F">
        <w:t>agree the format of the Registers with the Authority as part of the process of agreeing the Exit Plan; and</w:t>
      </w:r>
    </w:p>
    <w:p w14:paraId="07A1B923" w14:textId="77777777" w:rsidR="00BC7DDA" w:rsidRPr="00BD6C5F" w:rsidRDefault="009B03E9" w:rsidP="0095651E">
      <w:pPr>
        <w:pStyle w:val="Numbered111"/>
      </w:pPr>
      <w:r w:rsidRPr="00BD6C5F">
        <w:lastRenderedPageBreak/>
        <w:t>at all times keep the Registers up to date, in particular in the event that Assets, Sub-contracts or other relevant agreements are added to or removed from the Services.</w:t>
      </w:r>
    </w:p>
    <w:p w14:paraId="62481F9F" w14:textId="08FBA212" w:rsidR="00BC7DDA" w:rsidRPr="00BD6C5F" w:rsidRDefault="009B03E9" w:rsidP="00C5057A">
      <w:pPr>
        <w:pStyle w:val="Numbered11"/>
      </w:pPr>
      <w:r w:rsidRPr="00BD6C5F">
        <w:t xml:space="preserve">The Supplier shall procure that all Exclusive Assets listed in the Registers are clearly marked to identify that they are exclusively used for the provision of the Services under this </w:t>
      </w:r>
      <w:r w:rsidR="00BC6A00" w:rsidRPr="00BD6C5F">
        <w:t>Contract</w:t>
      </w:r>
      <w:r w:rsidRPr="00BD6C5F">
        <w:t>.</w:t>
      </w:r>
    </w:p>
    <w:p w14:paraId="7631B863" w14:textId="7E8E0FA7" w:rsidR="00BC7DDA" w:rsidRPr="00BD6C5F" w:rsidRDefault="009B03E9" w:rsidP="00C5057A">
      <w:pPr>
        <w:pStyle w:val="Numbered11"/>
      </w:pPr>
      <w:bookmarkStart w:id="1233" w:name="_bookmark430"/>
      <w:bookmarkStart w:id="1234" w:name="_Ref98418642"/>
      <w:bookmarkEnd w:id="1233"/>
      <w:r w:rsidRPr="00BD6C5F">
        <w:t>Each Party shall appoint a person for the purposes of managing the Parties</w:t>
      </w:r>
      <w:r w:rsidR="00A4555C" w:rsidRPr="00BD6C5F">
        <w:t>’</w:t>
      </w:r>
      <w:r w:rsidRPr="00BD6C5F">
        <w:t xml:space="preserve"> respective obligations under this Schedule and provide written notification of such appointment to the other Party within 3 months of the Effective Date.</w:t>
      </w:r>
      <w:bookmarkEnd w:id="1234"/>
      <w:r w:rsidR="00570E4E" w:rsidRPr="00BD6C5F">
        <w:t xml:space="preserve"> </w:t>
      </w:r>
      <w:r w:rsidRPr="00BD6C5F">
        <w:t>The Supplier</w:t>
      </w:r>
      <w:r w:rsidR="00A4555C" w:rsidRPr="00BD6C5F">
        <w:t>’</w:t>
      </w:r>
      <w:r w:rsidRPr="00BD6C5F">
        <w:t>s Exit Manager shall be responsible for ensuring that the Supplier and its employees, agents and Sub-contractors comply with this Schedule.</w:t>
      </w:r>
    </w:p>
    <w:p w14:paraId="6C7BA313" w14:textId="2F14DDE0" w:rsidR="00BC7DDA" w:rsidRPr="00BD6C5F" w:rsidRDefault="009B03E9" w:rsidP="00C5057A">
      <w:pPr>
        <w:pStyle w:val="Numbered11"/>
      </w:pPr>
      <w:r w:rsidRPr="00BD6C5F">
        <w:t>The Supplier shall ensure that its Exit Manager has the requisite authority to arrange and procure any resources of the Supplier as are reasonably necessary to enable the Supplier to comply with the requirements set out in this Schedule. The Parties</w:t>
      </w:r>
      <w:r w:rsidR="00A4555C" w:rsidRPr="00BD6C5F">
        <w:t>’</w:t>
      </w:r>
      <w:r w:rsidRPr="00BD6C5F">
        <w:t xml:space="preserve"> Exit Managers will liaise with one another in relation to all issues relevant to the termination of this </w:t>
      </w:r>
      <w:r w:rsidR="00BC6A00" w:rsidRPr="00BD6C5F">
        <w:t xml:space="preserve">Contract </w:t>
      </w:r>
      <w:r w:rsidRPr="00BD6C5F">
        <w:t>and all matters connected with this Schedule and each Party</w:t>
      </w:r>
      <w:r w:rsidR="00A4555C" w:rsidRPr="00BD6C5F">
        <w:t>’</w:t>
      </w:r>
      <w:r w:rsidRPr="00BD6C5F">
        <w:t>s compliance with it.</w:t>
      </w:r>
    </w:p>
    <w:p w14:paraId="5E2C0C82" w14:textId="2B10522B" w:rsidR="00BC7DDA" w:rsidRPr="00BD6C5F" w:rsidRDefault="0095651E" w:rsidP="00C5057A">
      <w:pPr>
        <w:pStyle w:val="Numbered1"/>
      </w:pPr>
      <w:r w:rsidRPr="00BD6C5F">
        <w:t>Obligations to Assist on Re-tendering of Services</w:t>
      </w:r>
    </w:p>
    <w:p w14:paraId="5AE8B3C3" w14:textId="77777777" w:rsidR="00BC7DDA" w:rsidRPr="00BD6C5F" w:rsidRDefault="009B03E9" w:rsidP="00C5057A">
      <w:pPr>
        <w:pStyle w:val="Numbered11"/>
      </w:pPr>
      <w:bookmarkStart w:id="1235" w:name="_bookmark431"/>
      <w:bookmarkStart w:id="1236" w:name="_Ref98418634"/>
      <w:bookmarkEnd w:id="1235"/>
      <w:r w:rsidRPr="00BD6C5F">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1236"/>
    </w:p>
    <w:p w14:paraId="2C452632" w14:textId="77777777" w:rsidR="00BC7DDA" w:rsidRPr="00BD6C5F" w:rsidRDefault="009B03E9" w:rsidP="0095651E">
      <w:pPr>
        <w:pStyle w:val="Numbered111"/>
      </w:pPr>
      <w:r w:rsidRPr="00BD6C5F">
        <w:t>details of the Service(s);</w:t>
      </w:r>
    </w:p>
    <w:p w14:paraId="73D70448" w14:textId="77777777" w:rsidR="00BC7DDA" w:rsidRPr="00BD6C5F" w:rsidRDefault="009B03E9" w:rsidP="0095651E">
      <w:pPr>
        <w:pStyle w:val="Numbered111"/>
      </w:pPr>
      <w:r w:rsidRPr="00BD6C5F">
        <w:t>a copy of the Registers, updated by the Supplier up to the date of delivery of such Registers;</w:t>
      </w:r>
    </w:p>
    <w:p w14:paraId="1ACC403C" w14:textId="1E33AC9D" w:rsidR="00BC7DDA" w:rsidRPr="00BD6C5F" w:rsidRDefault="009B03E9" w:rsidP="0095651E">
      <w:pPr>
        <w:pStyle w:val="Numbered111"/>
      </w:pPr>
      <w:r w:rsidRPr="00BD6C5F">
        <w:t>an inventory of Authority Data in the Supplier</w:t>
      </w:r>
      <w:r w:rsidR="00A4555C" w:rsidRPr="00BD6C5F">
        <w:t>’</w:t>
      </w:r>
      <w:r w:rsidRPr="00BD6C5F">
        <w:t>s possession or control;</w:t>
      </w:r>
    </w:p>
    <w:p w14:paraId="28C8FDDD" w14:textId="77777777" w:rsidR="00BC7DDA" w:rsidRPr="00BD6C5F" w:rsidRDefault="009B03E9" w:rsidP="0095651E">
      <w:pPr>
        <w:pStyle w:val="Numbered111"/>
      </w:pPr>
      <w:r w:rsidRPr="00BD6C5F">
        <w:t>details of any key terms of any third party contracts and licences, particularly as regards charges, termination, assignation and novation;</w:t>
      </w:r>
    </w:p>
    <w:p w14:paraId="41BFC660" w14:textId="77777777" w:rsidR="00BC7DDA" w:rsidRPr="00BD6C5F" w:rsidRDefault="009B03E9" w:rsidP="0095651E">
      <w:pPr>
        <w:pStyle w:val="Numbered111"/>
      </w:pPr>
      <w:r w:rsidRPr="00BD6C5F">
        <w:t>a list of on-going and/or threatened disputes in relation to the provision of the Services;</w:t>
      </w:r>
    </w:p>
    <w:p w14:paraId="752A2877" w14:textId="69B3B99B" w:rsidR="00BC7DDA" w:rsidRPr="00BD6C5F" w:rsidRDefault="009B03E9" w:rsidP="0095651E">
      <w:pPr>
        <w:pStyle w:val="Numbered111"/>
      </w:pPr>
      <w:r w:rsidRPr="00BD6C5F">
        <w:t xml:space="preserve">to the extent permitted by applicable Law, all information relating to Transferring Supplier Employees required to be provided by the Supplier under this </w:t>
      </w:r>
      <w:r w:rsidR="00BC6A00" w:rsidRPr="00BD6C5F">
        <w:t>Contract</w:t>
      </w:r>
      <w:r w:rsidRPr="00BD6C5F">
        <w:t>; and</w:t>
      </w:r>
    </w:p>
    <w:p w14:paraId="7AC1C8D6" w14:textId="1DF9EF62" w:rsidR="00BC7DDA" w:rsidRPr="00BD6C5F" w:rsidRDefault="009B03E9" w:rsidP="0095651E">
      <w:pPr>
        <w:pStyle w:val="Numbered111"/>
      </w:pPr>
      <w:r w:rsidRPr="00BD6C5F">
        <w:t>such other material and information as the Authority shall reasonably require,</w:t>
      </w:r>
    </w:p>
    <w:p w14:paraId="7742A32A" w14:textId="7938B424" w:rsidR="00BC7DDA" w:rsidRPr="00BD6C5F" w:rsidRDefault="009B03E9" w:rsidP="00570E4E">
      <w:pPr>
        <w:spacing w:before="100" w:after="200"/>
        <w:ind w:left="720"/>
        <w:rPr>
          <w:rFonts w:asciiTheme="minorHAnsi" w:hAnsiTheme="minorHAnsi" w:cstheme="minorHAnsi"/>
          <w:szCs w:val="24"/>
        </w:rPr>
      </w:pPr>
      <w:r w:rsidRPr="00BD6C5F">
        <w:rPr>
          <w:rFonts w:asciiTheme="minorHAnsi" w:hAnsiTheme="minorHAnsi" w:cstheme="minorHAnsi"/>
          <w:szCs w:val="24"/>
        </w:rPr>
        <w:t xml:space="preserve">(together, the </w:t>
      </w:r>
      <w:r w:rsidR="00A4555C" w:rsidRPr="00BD6C5F">
        <w:rPr>
          <w:rFonts w:asciiTheme="minorHAnsi" w:hAnsiTheme="minorHAnsi" w:cstheme="minorHAnsi"/>
          <w:szCs w:val="24"/>
        </w:rPr>
        <w:t>“</w:t>
      </w:r>
      <w:r w:rsidRPr="00BD6C5F">
        <w:rPr>
          <w:rFonts w:asciiTheme="minorHAnsi" w:hAnsiTheme="minorHAnsi" w:cstheme="minorHAnsi"/>
          <w:b/>
          <w:szCs w:val="24"/>
        </w:rPr>
        <w:t>Exit Information</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527A71FA" w14:textId="1BB55A7B" w:rsidR="00BC7DDA" w:rsidRPr="00BD6C5F" w:rsidRDefault="009B03E9" w:rsidP="00C5057A">
      <w:pPr>
        <w:pStyle w:val="Numbered11"/>
      </w:pPr>
      <w:bookmarkStart w:id="1237" w:name="_bookmark432"/>
      <w:bookmarkStart w:id="1238" w:name="_Ref98418680"/>
      <w:bookmarkEnd w:id="1237"/>
      <w:r w:rsidRPr="00BD6C5F">
        <w:t>The Supplier acknowledges that the Authority may disclose the Supplier</w:t>
      </w:r>
      <w:r w:rsidR="00A4555C" w:rsidRPr="00BD6C5F">
        <w:t>’</w:t>
      </w:r>
      <w:r w:rsidRPr="00BD6C5F">
        <w:t xml:space="preserve">s Confidential Information to an actual or prospective Replacement Supplier or any third party whom the Authority is considering engaging to the extent that such disclosure is necessary in </w:t>
      </w:r>
      <w:r w:rsidRPr="00BD6C5F">
        <w:lastRenderedPageBreak/>
        <w:t>connection with such engagement (except that the Authority may not under this Paragraph</w:t>
      </w:r>
      <w:r w:rsidR="007C62CA" w:rsidRPr="00BD6C5F">
        <w:t> </w:t>
      </w:r>
      <w:r w:rsidR="00CA2211" w:rsidRPr="00BD6C5F">
        <w:fldChar w:fldCharType="begin"/>
      </w:r>
      <w:r w:rsidR="00CA2211" w:rsidRPr="00BD6C5F">
        <w:instrText xml:space="preserve"> REF _Ref98418680 \w \h </w:instrText>
      </w:r>
      <w:r w:rsidR="00AD7DD0" w:rsidRPr="00BD6C5F">
        <w:instrText xml:space="preserve"> \* MERGEFORMAT </w:instrText>
      </w:r>
      <w:r w:rsidR="00CA2211" w:rsidRPr="00BD6C5F">
        <w:fldChar w:fldCharType="separate"/>
      </w:r>
      <w:r w:rsidR="009749A0">
        <w:t>3.2</w:t>
      </w:r>
      <w:r w:rsidR="00CA2211" w:rsidRPr="00BD6C5F">
        <w:fldChar w:fldCharType="end"/>
      </w:r>
      <w:r w:rsidRPr="00BD6C5F">
        <w:t xml:space="preserve"> disclose any Supplier</w:t>
      </w:r>
      <w:r w:rsidR="00A4555C" w:rsidRPr="00BD6C5F">
        <w:t>’</w:t>
      </w:r>
      <w:r w:rsidRPr="00BD6C5F">
        <w:t>s Confidential Information which is information relating to the Supplier</w:t>
      </w:r>
      <w:r w:rsidR="00A4555C" w:rsidRPr="00BD6C5F">
        <w:t>’</w:t>
      </w:r>
      <w:r w:rsidRPr="00BD6C5F">
        <w:t>s or its Sub-contractors</w:t>
      </w:r>
      <w:r w:rsidR="00A4555C" w:rsidRPr="00BD6C5F">
        <w:t>’</w:t>
      </w:r>
      <w:r w:rsidRPr="00BD6C5F">
        <w:t xml:space="preserve"> prices or costs).</w:t>
      </w:r>
      <w:bookmarkEnd w:id="1238"/>
    </w:p>
    <w:p w14:paraId="3E735711" w14:textId="77777777" w:rsidR="00BC7DDA" w:rsidRPr="00BD6C5F" w:rsidRDefault="009B03E9" w:rsidP="00272F4C">
      <w:pPr>
        <w:pStyle w:val="Numbered11"/>
        <w:keepNext/>
      </w:pPr>
      <w:r w:rsidRPr="00BD6C5F">
        <w:t>The Supplier shall:</w:t>
      </w:r>
    </w:p>
    <w:p w14:paraId="69DFF972" w14:textId="77777777" w:rsidR="00BC7DDA" w:rsidRPr="00BD6C5F" w:rsidRDefault="009B03E9" w:rsidP="0095651E">
      <w:pPr>
        <w:pStyle w:val="Numbered111"/>
      </w:pPr>
      <w:r w:rsidRPr="00BD6C5F">
        <w:t>notify the Authority within 5 Working Days of any material change to the Exit Information which may adversely impact upon the potential transfer and/or continuance of any Services and shall consult with the Authority regarding such proposed material changes; and</w:t>
      </w:r>
    </w:p>
    <w:p w14:paraId="50717530" w14:textId="77777777" w:rsidR="00BC7DDA" w:rsidRPr="00BD6C5F" w:rsidRDefault="009B03E9" w:rsidP="0095651E">
      <w:pPr>
        <w:pStyle w:val="Numbered111"/>
      </w:pPr>
      <w:r w:rsidRPr="00BD6C5F">
        <w:t>provide complete updates of the Exit Information on an as- requested basis as soon as reasonably practicable and in any event within 10 Working Days of a request in writing from the Authority.</w:t>
      </w:r>
    </w:p>
    <w:p w14:paraId="2BA9860F" w14:textId="77777777" w:rsidR="00BC7DDA" w:rsidRPr="00BD6C5F" w:rsidRDefault="009B03E9" w:rsidP="00C5057A">
      <w:pPr>
        <w:pStyle w:val="Numbered11"/>
      </w:pPr>
      <w:r w:rsidRPr="00BD6C5F">
        <w:t>The Supplier may charge the Authority for its reasonable additional costs to the extent the Authority requests more than 4 updates in any 6 month period.</w:t>
      </w:r>
    </w:p>
    <w:p w14:paraId="2188BC33" w14:textId="77777777" w:rsidR="00BC7DDA" w:rsidRPr="00BD6C5F" w:rsidRDefault="009B03E9" w:rsidP="00272F4C">
      <w:pPr>
        <w:pStyle w:val="Numbered11"/>
        <w:keepNext/>
      </w:pPr>
      <w:r w:rsidRPr="00BD6C5F">
        <w:t>The Exit Information shall be accurate and complete in all material respects and the level of detail to be provided by the Supplier shall be such as would be reasonably necessary to enable a third party to:</w:t>
      </w:r>
    </w:p>
    <w:p w14:paraId="15A8C6B3" w14:textId="77777777" w:rsidR="00BC7DDA" w:rsidRPr="00BD6C5F" w:rsidRDefault="009B03E9" w:rsidP="0095651E">
      <w:pPr>
        <w:pStyle w:val="Numbered111"/>
      </w:pPr>
      <w:r w:rsidRPr="00BD6C5F">
        <w:t>prepare an informed offer for those Services; and</w:t>
      </w:r>
    </w:p>
    <w:p w14:paraId="06DB7029" w14:textId="77777777" w:rsidR="00BC7DDA" w:rsidRPr="00BD6C5F" w:rsidRDefault="009B03E9" w:rsidP="0095651E">
      <w:pPr>
        <w:pStyle w:val="Numbered111"/>
      </w:pPr>
      <w:r w:rsidRPr="00BD6C5F">
        <w:t>not be disadvantaged in any subsequent procurement process compared to the Supplier (if the Supplier is invited to participate).</w:t>
      </w:r>
    </w:p>
    <w:p w14:paraId="2B6A920A" w14:textId="0D87557D" w:rsidR="00BC7DDA" w:rsidRPr="00BD6C5F" w:rsidRDefault="0095651E" w:rsidP="00C5057A">
      <w:pPr>
        <w:pStyle w:val="Numbered1"/>
      </w:pPr>
      <w:bookmarkStart w:id="1239" w:name="_bookmark433"/>
      <w:bookmarkStart w:id="1240" w:name="_Ref98352454"/>
      <w:bookmarkEnd w:id="1239"/>
      <w:r w:rsidRPr="00BD6C5F">
        <w:t>Obligation to Enter into an Ethical Wall Agreement on Re-tendering of Services</w:t>
      </w:r>
      <w:bookmarkEnd w:id="1240"/>
    </w:p>
    <w:p w14:paraId="32714580" w14:textId="77777777" w:rsidR="00BC7DDA" w:rsidRPr="00BD6C5F" w:rsidRDefault="009B03E9" w:rsidP="00C5057A">
      <w:pPr>
        <w:pStyle w:val="Numbered11"/>
      </w:pPr>
      <w:bookmarkStart w:id="1241" w:name="_bookmark434"/>
      <w:bookmarkEnd w:id="1241"/>
      <w:r w:rsidRPr="00BD6C5F">
        <w:t>The Authority may require the Supplier to enter into the Ethical Wall Agreement at any point during a re-tendering or contemplated re-tendering of the Services or any part of the Services.</w:t>
      </w:r>
    </w:p>
    <w:p w14:paraId="3E841E5C" w14:textId="2FE4DC0E" w:rsidR="00BC7DDA" w:rsidRPr="00BD6C5F" w:rsidRDefault="009B03E9" w:rsidP="00C5057A">
      <w:pPr>
        <w:pStyle w:val="Numbered11"/>
      </w:pPr>
      <w:r w:rsidRPr="00BD6C5F">
        <w:t>If required to enter into the Ethical Wall Agreement, the Supplier will return a signed copy of the Ethical Wall Agreement within 10 Working Days of receipt. The Supplier</w:t>
      </w:r>
      <w:r w:rsidR="00A4555C" w:rsidRPr="00BD6C5F">
        <w:t>’</w:t>
      </w:r>
      <w:r w:rsidRPr="00BD6C5F">
        <w:t>s costs of entering into the Ethical Wall Agreement will be borne solely by the Supplier.</w:t>
      </w:r>
    </w:p>
    <w:p w14:paraId="6D8D879C" w14:textId="53DA585F" w:rsidR="00BC7DDA" w:rsidRPr="00BD6C5F" w:rsidRDefault="0095651E" w:rsidP="00C5057A">
      <w:pPr>
        <w:pStyle w:val="Numbered1"/>
      </w:pPr>
      <w:bookmarkStart w:id="1242" w:name="_bookmark435"/>
      <w:bookmarkStart w:id="1243" w:name="_Ref98355221"/>
      <w:bookmarkEnd w:id="1242"/>
      <w:r w:rsidRPr="00BD6C5F">
        <w:t>Exit Plan</w:t>
      </w:r>
      <w:bookmarkEnd w:id="1243"/>
    </w:p>
    <w:p w14:paraId="699863DB" w14:textId="77777777" w:rsidR="00BC7DDA" w:rsidRPr="00BD6C5F" w:rsidRDefault="009B03E9" w:rsidP="00272F4C">
      <w:pPr>
        <w:pStyle w:val="Numbered11"/>
        <w:keepNext/>
      </w:pPr>
      <w:bookmarkStart w:id="1244" w:name="_Ref141216360"/>
      <w:r w:rsidRPr="00BD6C5F">
        <w:t>The Supplier shall, within 3 months after the Effective Date, deliver to the Authority an Exit Plan which:</w:t>
      </w:r>
      <w:bookmarkEnd w:id="1244"/>
    </w:p>
    <w:p w14:paraId="0AD75D74" w14:textId="78227328" w:rsidR="00BC7DDA" w:rsidRPr="00BD6C5F" w:rsidRDefault="009B03E9" w:rsidP="0095651E">
      <w:pPr>
        <w:pStyle w:val="Numbered111"/>
      </w:pPr>
      <w:r w:rsidRPr="00BD6C5F">
        <w:t>sets out the Supplier</w:t>
      </w:r>
      <w:r w:rsidR="00A4555C" w:rsidRPr="00BD6C5F">
        <w:t>’</w:t>
      </w:r>
      <w:r w:rsidRPr="00BD6C5F">
        <w:t xml:space="preserve">s proposed methodology for achieving an orderly transition of the relevant Services from the Supplier to the Authority and/or its Replacement Supplier on the Partial Termination, expiry or termination of this </w:t>
      </w:r>
      <w:r w:rsidR="00BC6A00" w:rsidRPr="00BD6C5F">
        <w:t>Contract</w:t>
      </w:r>
      <w:r w:rsidRPr="00BD6C5F">
        <w:t>;</w:t>
      </w:r>
    </w:p>
    <w:p w14:paraId="0328D148" w14:textId="63FE241E" w:rsidR="00BC7DDA" w:rsidRPr="00BD6C5F" w:rsidRDefault="009B03E9" w:rsidP="0095651E">
      <w:pPr>
        <w:pStyle w:val="Numbered111"/>
      </w:pPr>
      <w:r w:rsidRPr="00BD6C5F">
        <w:t>complies with the requirements set out in Paragraph</w:t>
      </w:r>
      <w:r w:rsidR="007C62CA" w:rsidRPr="00BD6C5F">
        <w:t> </w:t>
      </w:r>
      <w:r w:rsidR="00CA2211" w:rsidRPr="00BD6C5F">
        <w:fldChar w:fldCharType="begin"/>
      </w:r>
      <w:r w:rsidR="00CA2211" w:rsidRPr="00BD6C5F">
        <w:instrText xml:space="preserve"> REF _Ref98321079 \w \h </w:instrText>
      </w:r>
      <w:r w:rsidR="00AD7DD0" w:rsidRPr="00BD6C5F">
        <w:instrText xml:space="preserve"> \* MERGEFORMAT </w:instrText>
      </w:r>
      <w:r w:rsidR="00CA2211" w:rsidRPr="00BD6C5F">
        <w:fldChar w:fldCharType="separate"/>
      </w:r>
      <w:r w:rsidR="009749A0">
        <w:t>5.2</w:t>
      </w:r>
      <w:r w:rsidR="00CA2211" w:rsidRPr="00BD6C5F">
        <w:fldChar w:fldCharType="end"/>
      </w:r>
      <w:r w:rsidRPr="00BD6C5F">
        <w:t>; and</w:t>
      </w:r>
    </w:p>
    <w:p w14:paraId="4FF17C17" w14:textId="77777777" w:rsidR="00BC7DDA" w:rsidRPr="00BD6C5F" w:rsidRDefault="009B03E9" w:rsidP="0095651E">
      <w:pPr>
        <w:pStyle w:val="Numbered111"/>
      </w:pPr>
      <w:r w:rsidRPr="00BD6C5F">
        <w:t>is otherwise reasonably satisfactory to the Authority.</w:t>
      </w:r>
    </w:p>
    <w:p w14:paraId="7E325C64" w14:textId="77777777" w:rsidR="00BC7DDA" w:rsidRPr="00BD6C5F" w:rsidRDefault="009B03E9" w:rsidP="00C5057A">
      <w:pPr>
        <w:pStyle w:val="Numbered11"/>
      </w:pPr>
      <w:bookmarkStart w:id="1245" w:name="_bookmark436"/>
      <w:bookmarkStart w:id="1246" w:name="_Ref98321079"/>
      <w:bookmarkEnd w:id="1245"/>
      <w:r w:rsidRPr="00BD6C5F">
        <w:t>The Parties shall use reasonable endeavours to agree the contents of the Exit Plan. If the Parties are unable to agree the contents of the Exit Plan within 20 Working Days of its submission, then such Dispute shall be resolved in accordance with the Dispute Resolution Procedure.</w:t>
      </w:r>
      <w:bookmarkEnd w:id="1246"/>
    </w:p>
    <w:p w14:paraId="6D0F5798" w14:textId="77777777" w:rsidR="00BC7DDA" w:rsidRPr="00BD6C5F" w:rsidRDefault="009B03E9" w:rsidP="00272F4C">
      <w:pPr>
        <w:pStyle w:val="Numbered11"/>
        <w:keepNext/>
      </w:pPr>
      <w:bookmarkStart w:id="1247" w:name="_bookmark437"/>
      <w:bookmarkStart w:id="1248" w:name="_Ref141226429"/>
      <w:bookmarkEnd w:id="1247"/>
      <w:r w:rsidRPr="00BD6C5F">
        <w:lastRenderedPageBreak/>
        <w:t>The Exit Plan shall set out, as a minimum:</w:t>
      </w:r>
      <w:bookmarkEnd w:id="1248"/>
    </w:p>
    <w:p w14:paraId="00A05863" w14:textId="77777777" w:rsidR="00BC7DDA" w:rsidRPr="00BD6C5F" w:rsidRDefault="009B03E9" w:rsidP="0095651E">
      <w:pPr>
        <w:pStyle w:val="Numbered111"/>
      </w:pPr>
      <w:r w:rsidRPr="00BD6C5F">
        <w:t>how the Exit Information is obtained;</w:t>
      </w:r>
    </w:p>
    <w:p w14:paraId="226B6C50" w14:textId="77777777" w:rsidR="00BC7DDA" w:rsidRPr="00BD6C5F" w:rsidRDefault="009B03E9" w:rsidP="0095651E">
      <w:pPr>
        <w:pStyle w:val="Numbered111"/>
      </w:pPr>
      <w:r w:rsidRPr="00BD6C5F">
        <w:t>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Authority shall require to enable the Authority or its sub-contractors to provide the Services;</w:t>
      </w:r>
    </w:p>
    <w:p w14:paraId="0E270232" w14:textId="0CB384F9" w:rsidR="00BC7DDA" w:rsidRPr="00BD6C5F" w:rsidRDefault="009B03E9" w:rsidP="0095651E">
      <w:pPr>
        <w:pStyle w:val="Numbered111"/>
      </w:pPr>
      <w:r w:rsidRPr="00BD6C5F">
        <w:t xml:space="preserve">a mechanism for dealing with Partial Termination on the assumption that the Supplier will continue to provide the remaining Services under this </w:t>
      </w:r>
      <w:r w:rsidR="00BC6A00" w:rsidRPr="00BD6C5F">
        <w:t>Contract</w:t>
      </w:r>
      <w:r w:rsidRPr="00BD6C5F">
        <w:t>;</w:t>
      </w:r>
    </w:p>
    <w:p w14:paraId="098C01EF" w14:textId="77777777" w:rsidR="00BC7DDA" w:rsidRPr="00BD6C5F" w:rsidRDefault="009B03E9" w:rsidP="0095651E">
      <w:pPr>
        <w:pStyle w:val="Numbered111"/>
      </w:pPr>
      <w:r w:rsidRPr="00BD6C5F">
        <w:t>the management structure to be employed during both transfer and cessation of the Services in an Ordinary Exit and an Emergency Exit;</w:t>
      </w:r>
    </w:p>
    <w:p w14:paraId="5B32EDC6" w14:textId="77777777" w:rsidR="00BC7DDA" w:rsidRPr="00BD6C5F" w:rsidRDefault="009B03E9" w:rsidP="0095651E">
      <w:pPr>
        <w:pStyle w:val="Numbered111"/>
      </w:pPr>
      <w:r w:rsidRPr="00BD6C5F">
        <w:t>the management structure to be employed during the Termination Assistance Period;</w:t>
      </w:r>
    </w:p>
    <w:p w14:paraId="4BD8B31D" w14:textId="77777777" w:rsidR="00BC7DDA" w:rsidRPr="00BD6C5F" w:rsidRDefault="009B03E9" w:rsidP="0095651E">
      <w:pPr>
        <w:pStyle w:val="Numbered111"/>
      </w:pPr>
      <w:r w:rsidRPr="00BD6C5F">
        <w:t>a detailed description of both the transfer and cessation processes, including a timetable, applicable in the case of an Ordinary Exit and an Emergency Exit;</w:t>
      </w:r>
    </w:p>
    <w:p w14:paraId="535C2A2A" w14:textId="16D28E32" w:rsidR="00BC7DDA" w:rsidRPr="00BD6C5F" w:rsidRDefault="009B03E9" w:rsidP="0095651E">
      <w:pPr>
        <w:pStyle w:val="Numbered111"/>
      </w:pPr>
      <w:r w:rsidRPr="00BD6C5F">
        <w:t>how the Services will transfer to the Replacement Supplier and/or the Authority, including details of the processes, documentation, data transfer, systems migration, security and the segregation of the Authority</w:t>
      </w:r>
      <w:r w:rsidR="00A4555C" w:rsidRPr="00BD6C5F">
        <w:t>’</w:t>
      </w:r>
      <w:r w:rsidRPr="00BD6C5F">
        <w:t>s technology components from any technology components operated by the Supplier or its Sub-contractors (where applicable);</w:t>
      </w:r>
    </w:p>
    <w:p w14:paraId="11CA63CE" w14:textId="57248292" w:rsidR="00BC7DDA" w:rsidRPr="00BD6C5F" w:rsidRDefault="009B03E9" w:rsidP="0095651E">
      <w:pPr>
        <w:pStyle w:val="Numbered111"/>
      </w:pPr>
      <w:r w:rsidRPr="00BD6C5F">
        <w:t xml:space="preserve">the scope of the Termination Services that may be required for the benefit of the Authority (including such of the services set out in </w:t>
      </w:r>
      <w:r w:rsidR="000E1EDB">
        <w:t>Annex </w:t>
      </w:r>
      <w:r w:rsidR="000E1EDB">
        <w:fldChar w:fldCharType="begin"/>
      </w:r>
      <w:r w:rsidR="000E1EDB">
        <w:instrText xml:space="preserve"> REF Schedule_25_Annex_1 \h </w:instrText>
      </w:r>
      <w:r w:rsidR="000E1EDB">
        <w:fldChar w:fldCharType="separate"/>
      </w:r>
      <w:r w:rsidR="009749A0" w:rsidRPr="00BD6C5F">
        <w:t>1</w:t>
      </w:r>
      <w:r w:rsidR="000E1EDB">
        <w:fldChar w:fldCharType="end"/>
      </w:r>
      <w:r w:rsidRPr="00BD6C5F">
        <w:t xml:space="preserve"> as are applicable);</w:t>
      </w:r>
    </w:p>
    <w:p w14:paraId="3069C151" w14:textId="5144E0DE" w:rsidR="00BC7DDA" w:rsidRPr="00BD6C5F" w:rsidRDefault="009B03E9" w:rsidP="0095651E">
      <w:pPr>
        <w:pStyle w:val="Numbered111"/>
      </w:pPr>
      <w:r w:rsidRPr="00BD6C5F">
        <w:t>a timetable and critical issues for providing the Termination Services;</w:t>
      </w:r>
    </w:p>
    <w:p w14:paraId="6429FE2A" w14:textId="77777777" w:rsidR="00BC7DDA" w:rsidRPr="00BD6C5F" w:rsidRDefault="009B03E9" w:rsidP="0095651E">
      <w:pPr>
        <w:pStyle w:val="Numbered111"/>
      </w:pPr>
      <w:r w:rsidRPr="00BD6C5F">
        <w:t>any charges that would be payable for the provision of the Termination Services (calculated in accordance with the methodology that would apply if such Services were being treated as a Contract Change), together with a capped estimate of such charges;</w:t>
      </w:r>
    </w:p>
    <w:p w14:paraId="3A0884DF" w14:textId="77777777" w:rsidR="00BC7DDA" w:rsidRPr="00BD6C5F" w:rsidRDefault="009B03E9" w:rsidP="0095651E">
      <w:pPr>
        <w:pStyle w:val="Numbered111"/>
      </w:pPr>
      <w:r w:rsidRPr="00BD6C5F">
        <w:t>how the Termination Services would be provided (if required) during the Termination Assistance Period;</w:t>
      </w:r>
    </w:p>
    <w:p w14:paraId="30C762E4" w14:textId="0A6488D9" w:rsidR="00BC7DDA" w:rsidRPr="00BD6C5F" w:rsidRDefault="009B03E9" w:rsidP="0095651E">
      <w:pPr>
        <w:pStyle w:val="Numbered111"/>
      </w:pPr>
      <w:r w:rsidRPr="00BD6C5F">
        <w:t xml:space="preserve">procedures to deal with requests made by the Authority and/or a Replacement Supplier for Staffing Information pursuant to </w:t>
      </w:r>
      <w:r w:rsidR="00C80B2C">
        <w:rPr>
          <w:rFonts w:asciiTheme="minorHAnsi" w:hAnsiTheme="minorHAnsi" w:cstheme="minorHAnsi"/>
        </w:rPr>
        <w:t>Schedule </w:t>
      </w:r>
      <w:r w:rsidR="00C80B2C">
        <w:rPr>
          <w:rFonts w:asciiTheme="minorHAnsi" w:hAnsiTheme="minorHAnsi" w:cstheme="minorHAnsi"/>
        </w:rPr>
        <w:fldChar w:fldCharType="begin"/>
      </w:r>
      <w:r w:rsidR="00C80B2C">
        <w:rPr>
          <w:rFonts w:asciiTheme="minorHAnsi" w:hAnsiTheme="minorHAnsi" w:cstheme="minorHAnsi"/>
        </w:rPr>
        <w:instrText xml:space="preserve"> REF Schedule_28 \h </w:instrText>
      </w:r>
      <w:r w:rsidR="00C80B2C">
        <w:rPr>
          <w:rFonts w:asciiTheme="minorHAnsi" w:hAnsiTheme="minorHAnsi" w:cstheme="minorHAnsi"/>
        </w:rPr>
      </w:r>
      <w:r w:rsidR="00C80B2C">
        <w:rPr>
          <w:rFonts w:asciiTheme="minorHAnsi" w:hAnsiTheme="minorHAnsi" w:cstheme="minorHAnsi"/>
        </w:rPr>
        <w:fldChar w:fldCharType="separate"/>
      </w:r>
      <w:r w:rsidR="009749A0">
        <w:t>28</w:t>
      </w:r>
      <w:r w:rsidR="00C80B2C">
        <w:rPr>
          <w:rFonts w:asciiTheme="minorHAnsi" w:hAnsiTheme="minorHAnsi" w:cstheme="minorHAnsi"/>
        </w:rPr>
        <w:fldChar w:fldCharType="end"/>
      </w:r>
      <w:r w:rsidR="00C80B2C" w:rsidRPr="00BD6C5F">
        <w:rPr>
          <w:rFonts w:asciiTheme="minorHAnsi" w:hAnsiTheme="minorHAnsi" w:cstheme="minorHAnsi"/>
        </w:rPr>
        <w:t xml:space="preserve"> </w:t>
      </w:r>
      <w:r w:rsidRPr="00BD6C5F">
        <w:t>(</w:t>
      </w:r>
      <w:r w:rsidRPr="00BD6C5F">
        <w:rPr>
          <w:i/>
        </w:rPr>
        <w:t>Staff Transfer</w:t>
      </w:r>
      <w:r w:rsidRPr="00BD6C5F">
        <w:t>); and</w:t>
      </w:r>
    </w:p>
    <w:p w14:paraId="6C29A0EA" w14:textId="77777777" w:rsidR="00BC7DDA" w:rsidRPr="00BD6C5F" w:rsidRDefault="009B03E9" w:rsidP="0095651E">
      <w:pPr>
        <w:pStyle w:val="Numbered111"/>
      </w:pPr>
      <w:r w:rsidRPr="00BD6C5F">
        <w:t>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w:t>
      </w:r>
    </w:p>
    <w:p w14:paraId="140F13EB" w14:textId="77777777" w:rsidR="00BC7DDA" w:rsidRPr="00BD6C5F" w:rsidRDefault="009B03E9" w:rsidP="00C5057A">
      <w:pPr>
        <w:pStyle w:val="Numbered11"/>
      </w:pPr>
      <w:r w:rsidRPr="00BD6C5F">
        <w:t xml:space="preserve">The Parties acknowledge that the migration of the Services from the Supplier to the Authority and/or its Replacement Supplier may be phased, such that certain of the </w:t>
      </w:r>
      <w:r w:rsidRPr="00BD6C5F">
        <w:lastRenderedPageBreak/>
        <w:t>Services are handed over before others.</w:t>
      </w:r>
    </w:p>
    <w:p w14:paraId="217BC8DC" w14:textId="77777777" w:rsidR="00BC7DDA" w:rsidRPr="00BD6C5F" w:rsidRDefault="009B03E9" w:rsidP="00C5057A">
      <w:pPr>
        <w:pStyle w:val="Numbered11"/>
      </w:pPr>
      <w:r w:rsidRPr="00BD6C5F">
        <w:t>The Supplier shall review and (if appropriate) update the Exit Plan on a basis consistent with the principles set out in this Schedule in the first month of each Contract Year (commencing with the second Contract Year) and if requested by the Authority following the occurrence of a Financial Distress Event, within 14 days of such request, to reflect any changes in the Services that have occurred since the Exit Plan was last agreed. Following such update the Supplier shall submit the revised Exit Plan to the Authority for review. Within 20 Working Days following submission of the revised Exit Plan, the Parties shall meet and use reasonable endeavours to agree the contents of the revised Exit Plan. If the Parties are unable to agree the contents of the revised Exit Plan within that 20 Working Day period, such dispute shall be resolved in accordance with the Dispute Resolution Procedure.</w:t>
      </w:r>
    </w:p>
    <w:p w14:paraId="24D55306" w14:textId="6621C613" w:rsidR="00BC7DDA" w:rsidRPr="00BD6C5F" w:rsidRDefault="001F06F8" w:rsidP="00272F4C">
      <w:pPr>
        <w:pStyle w:val="Numbered11"/>
        <w:keepNext/>
      </w:pPr>
      <w:r w:rsidRPr="00BD6C5F">
        <w:t>Finalisation of the Exit Plan</w:t>
      </w:r>
    </w:p>
    <w:p w14:paraId="26DEE260" w14:textId="41560257" w:rsidR="00BC7DDA" w:rsidRPr="00BD6C5F" w:rsidRDefault="009B03E9" w:rsidP="0095651E">
      <w:pPr>
        <w:pStyle w:val="Numbered111"/>
      </w:pPr>
      <w:r w:rsidRPr="00BD6C5F">
        <w:t>Within 20 Working Days after service of a Termination Notice by either Party or 6 months prior to the expiry of this</w:t>
      </w:r>
      <w:r w:rsidR="008F62CA" w:rsidRPr="00BD6C5F">
        <w:t xml:space="preserve"> </w:t>
      </w:r>
      <w:r w:rsidR="00BC6A00" w:rsidRPr="00BD6C5F">
        <w:t>Contract</w:t>
      </w:r>
      <w:r w:rsidRPr="00BD6C5F">
        <w:t>, the Supplier will submit for the Authority</w:t>
      </w:r>
      <w:r w:rsidR="00A4555C" w:rsidRPr="00BD6C5F">
        <w:t>’</w:t>
      </w:r>
      <w:r w:rsidRPr="00BD6C5F">
        <w:t>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w:t>
      </w:r>
    </w:p>
    <w:p w14:paraId="15A73A21" w14:textId="2D767C25" w:rsidR="00BC7DDA" w:rsidRPr="00BD6C5F" w:rsidRDefault="009B03E9" w:rsidP="0095651E">
      <w:pPr>
        <w:pStyle w:val="Numbered111"/>
      </w:pPr>
      <w:r w:rsidRPr="00BD6C5F">
        <w:t>The Parties will meet and use their respective reasonable endeavours to agree the contents of the final form of the Exit Plan. If the Parties are unable to agree the contents of the Exit Plan within 20 Working Days following its delivery to the Authority then such Dispute shall be resolved in accordance</w:t>
      </w:r>
      <w:r w:rsidR="00DB2677" w:rsidRPr="00BD6C5F">
        <w:t xml:space="preserve"> </w:t>
      </w:r>
      <w:r w:rsidRPr="00BD6C5F">
        <w:t>with the Dispute Resolution Procedure. Until the agreement of the final form of the Exit Plan, the Supplier shall provide the Termination Services in accordance with the principles set out in this Schedule and the last approved version of the Exit Plan (insofar as relevant).</w:t>
      </w:r>
    </w:p>
    <w:p w14:paraId="4B6DC3E7" w14:textId="15D299F1" w:rsidR="00BC7DDA" w:rsidRPr="00BD6C5F" w:rsidRDefault="007F4C8A" w:rsidP="00C5057A">
      <w:pPr>
        <w:pStyle w:val="Numbered1"/>
      </w:pPr>
      <w:r w:rsidRPr="00BD6C5F">
        <w:t>Termination Services</w:t>
      </w:r>
    </w:p>
    <w:p w14:paraId="4D014C6F" w14:textId="77777777" w:rsidR="00BC7DDA" w:rsidRPr="00BD6C5F" w:rsidRDefault="009B03E9" w:rsidP="00272F4C">
      <w:pPr>
        <w:pStyle w:val="Numbered11"/>
        <w:keepNext/>
      </w:pPr>
      <w:r w:rsidRPr="00BD6C5F">
        <w:t>Notification of Requirements for Termination Services</w:t>
      </w:r>
    </w:p>
    <w:p w14:paraId="45DE1E28" w14:textId="7497010D" w:rsidR="00BC7DDA" w:rsidRPr="00BD6C5F" w:rsidRDefault="009B03E9" w:rsidP="0095651E">
      <w:pPr>
        <w:pStyle w:val="Numbered111"/>
      </w:pPr>
      <w:bookmarkStart w:id="1249" w:name="_bookmark438"/>
      <w:bookmarkEnd w:id="1249"/>
      <w:r w:rsidRPr="00BD6C5F">
        <w:t xml:space="preserve">The Authority shall be entitled to require the provision of Termination Services at any time during the Term by giving written notice to the Supplier (a </w:t>
      </w:r>
      <w:r w:rsidR="00A4555C" w:rsidRPr="00BD6C5F">
        <w:t>“</w:t>
      </w:r>
      <w:r w:rsidRPr="00BD6C5F">
        <w:rPr>
          <w:b/>
        </w:rPr>
        <w:t>Termination Assistance Notice</w:t>
      </w:r>
      <w:r w:rsidR="00A4555C" w:rsidRPr="00BD6C5F">
        <w:t>”</w:t>
      </w:r>
      <w:r w:rsidRPr="00BD6C5F">
        <w:t xml:space="preserve">) at least 4 months prior to the date of termination or expiry of this </w:t>
      </w:r>
      <w:r w:rsidR="00BC6A00" w:rsidRPr="00BD6C5F">
        <w:t xml:space="preserve">Contract </w:t>
      </w:r>
      <w:r w:rsidRPr="00BD6C5F">
        <w:t>or as soon as reasonably practicable (but in any event, not later than 1 month) following the service by either Party of a Termination Notice. The Termination Assistance Notice shall specify:</w:t>
      </w:r>
    </w:p>
    <w:p w14:paraId="7537CA95" w14:textId="77777777" w:rsidR="00BC7DDA" w:rsidRPr="00BD6C5F" w:rsidRDefault="009B03E9" w:rsidP="00771E5A">
      <w:pPr>
        <w:pStyle w:val="Numbered111a"/>
      </w:pPr>
      <w:r w:rsidRPr="00BD6C5F">
        <w:t>the date from which Termination Services are required;</w:t>
      </w:r>
    </w:p>
    <w:p w14:paraId="78639F1A" w14:textId="77777777" w:rsidR="00BC7DDA" w:rsidRPr="00BD6C5F" w:rsidRDefault="009B03E9" w:rsidP="0095651E">
      <w:pPr>
        <w:pStyle w:val="Numbered111a"/>
        <w:rPr>
          <w:lang w:val="en-GB"/>
        </w:rPr>
      </w:pPr>
      <w:r w:rsidRPr="00BD6C5F">
        <w:rPr>
          <w:lang w:val="en-GB"/>
        </w:rPr>
        <w:t>the nature of the Termination Services required; and</w:t>
      </w:r>
    </w:p>
    <w:p w14:paraId="20DB94B8" w14:textId="3EF767F1" w:rsidR="00BC7DDA" w:rsidRPr="00BD6C5F" w:rsidRDefault="009B03E9" w:rsidP="0095651E">
      <w:pPr>
        <w:pStyle w:val="Numbered111a"/>
        <w:rPr>
          <w:lang w:val="en-GB"/>
        </w:rPr>
      </w:pPr>
      <w:r w:rsidRPr="00BD6C5F">
        <w:rPr>
          <w:lang w:val="en-GB"/>
        </w:rPr>
        <w:t xml:space="preserve">the period during which it is anticipated that Termination Services will be required, which shall continue no longer than 24 months after the </w:t>
      </w:r>
      <w:r w:rsidR="002741FA" w:rsidRPr="00BD6C5F">
        <w:rPr>
          <w:lang w:val="en-GB"/>
        </w:rPr>
        <w:t>expiry of the Initial Term or any Extension Period or earlier termination of this Contract;</w:t>
      </w:r>
    </w:p>
    <w:p w14:paraId="22E51C74" w14:textId="77777777" w:rsidR="00BC7DDA" w:rsidRPr="00BD6C5F" w:rsidRDefault="009B03E9" w:rsidP="00272F4C">
      <w:pPr>
        <w:pStyle w:val="Numbered111"/>
        <w:keepNext/>
      </w:pPr>
      <w:bookmarkStart w:id="1250" w:name="_bookmark439"/>
      <w:bookmarkEnd w:id="1250"/>
      <w:r w:rsidRPr="00BD6C5F">
        <w:lastRenderedPageBreak/>
        <w:t>The Authority shall have:</w:t>
      </w:r>
    </w:p>
    <w:p w14:paraId="4A815E2A" w14:textId="35B73B55" w:rsidR="00BC7DDA" w:rsidRPr="00BD6C5F" w:rsidRDefault="009B03E9" w:rsidP="00771E5A">
      <w:pPr>
        <w:pStyle w:val="Numbered111a"/>
      </w:pPr>
      <w:bookmarkStart w:id="1251" w:name="_bookmark440"/>
      <w:bookmarkStart w:id="1252" w:name="_Ref98346589"/>
      <w:bookmarkEnd w:id="1251"/>
      <w:r w:rsidRPr="00BD6C5F">
        <w:t xml:space="preserve">an option to extend the period of assistance beyond the period specified in the Termination Assistance Notice provided that such extension shall not extend </w:t>
      </w:r>
      <w:r w:rsidR="002741FA" w:rsidRPr="00BD6C5F">
        <w:t>the Termination Assistance period beyond the date which is</w:t>
      </w:r>
      <w:r w:rsidR="002741FA" w:rsidRPr="00BD6C5F" w:rsidDel="002741FA">
        <w:t xml:space="preserve"> </w:t>
      </w:r>
      <w:r w:rsidR="002741FA" w:rsidRPr="00BD6C5F">
        <w:t>30</w:t>
      </w:r>
      <w:r w:rsidRPr="00BD6C5F">
        <w:t xml:space="preserve"> months after </w:t>
      </w:r>
      <w:r w:rsidR="002741FA" w:rsidRPr="00BD6C5F">
        <w:t>expiry of the Initial Term or any Extension Period or earlier termination of this Contract ;</w:t>
      </w:r>
      <w:r w:rsidRPr="00BD6C5F">
        <w:t xml:space="preserve"> and provided that it shall notify the Supplier to such effect no later than 20 Working Days prior to the date on which the provision of Termination Services is otherwise due to expire; and</w:t>
      </w:r>
      <w:bookmarkEnd w:id="1252"/>
    </w:p>
    <w:p w14:paraId="60064ACC" w14:textId="135325F2" w:rsidR="00BC7DDA" w:rsidRPr="00BD6C5F" w:rsidRDefault="009B03E9" w:rsidP="0095651E">
      <w:pPr>
        <w:pStyle w:val="Numbered111a"/>
        <w:rPr>
          <w:lang w:val="en-GB"/>
        </w:rPr>
      </w:pPr>
      <w:r w:rsidRPr="00BD6C5F">
        <w:rPr>
          <w:lang w:val="en-GB"/>
        </w:rPr>
        <w:t>the right to terminate its requirement for Termination Services by serving not less than 20 Working Days</w:t>
      </w:r>
      <w:r w:rsidR="00A4555C" w:rsidRPr="00BD6C5F">
        <w:rPr>
          <w:lang w:val="en-GB"/>
        </w:rPr>
        <w:t>’</w:t>
      </w:r>
      <w:r w:rsidRPr="00BD6C5F">
        <w:rPr>
          <w:lang w:val="en-GB"/>
        </w:rPr>
        <w:t xml:space="preserve"> written notice upon the Supplier to such effect.</w:t>
      </w:r>
    </w:p>
    <w:p w14:paraId="6C705045" w14:textId="77777777" w:rsidR="00BC7DDA" w:rsidRPr="00BD6C5F" w:rsidRDefault="009B03E9" w:rsidP="00272F4C">
      <w:pPr>
        <w:pStyle w:val="Numbered11"/>
        <w:keepNext/>
      </w:pPr>
      <w:r w:rsidRPr="00BD6C5F">
        <w:t>Termination Assistance Period</w:t>
      </w:r>
    </w:p>
    <w:p w14:paraId="2BC450F1" w14:textId="77777777" w:rsidR="00BC7DDA" w:rsidRPr="00BD6C5F" w:rsidRDefault="009B03E9" w:rsidP="00272F4C">
      <w:pPr>
        <w:pStyle w:val="Numbered111"/>
        <w:keepNext/>
      </w:pPr>
      <w:bookmarkStart w:id="1253" w:name="_Ref98418705"/>
      <w:r w:rsidRPr="00BD6C5F">
        <w:t>Throughout the Termination Assistance Period, or such shorter period as the Authority may require, the Supplier shall:</w:t>
      </w:r>
      <w:bookmarkEnd w:id="1253"/>
    </w:p>
    <w:p w14:paraId="2561FA5B" w14:textId="0B6BDA05" w:rsidR="00BC7DDA" w:rsidRPr="00BD6C5F" w:rsidRDefault="009B03E9" w:rsidP="00771E5A">
      <w:pPr>
        <w:pStyle w:val="Numbered111a"/>
      </w:pPr>
      <w:r w:rsidRPr="00BD6C5F">
        <w:t>continue to provide the Services (as applicable) and, if required by the Authority pursuant to Paragraph</w:t>
      </w:r>
      <w:r w:rsidR="007C62CA" w:rsidRPr="00BD6C5F">
        <w:t> </w:t>
      </w:r>
      <w:r w:rsidR="00CA2211" w:rsidRPr="00BD6C5F">
        <w:fldChar w:fldCharType="begin"/>
      </w:r>
      <w:r w:rsidR="00CA2211" w:rsidRPr="00BD6C5F">
        <w:instrText xml:space="preserve"> REF _Ref98418705 \n \h </w:instrText>
      </w:r>
      <w:r w:rsidR="00AD7DD0" w:rsidRPr="00BD6C5F">
        <w:instrText xml:space="preserve"> \* MERGEFORMAT </w:instrText>
      </w:r>
      <w:r w:rsidR="00CA2211" w:rsidRPr="00BD6C5F">
        <w:fldChar w:fldCharType="separate"/>
      </w:r>
      <w:r w:rsidR="009749A0">
        <w:t>6.2.1</w:t>
      </w:r>
      <w:r w:rsidR="00CA2211" w:rsidRPr="00BD6C5F">
        <w:fldChar w:fldCharType="end"/>
      </w:r>
      <w:r w:rsidRPr="00BD6C5F">
        <w:t>, provide the Termination Services;</w:t>
      </w:r>
    </w:p>
    <w:p w14:paraId="3ACE2F81" w14:textId="77777777" w:rsidR="00BC7DDA" w:rsidRPr="00BD6C5F" w:rsidRDefault="009B03E9" w:rsidP="0095651E">
      <w:pPr>
        <w:pStyle w:val="Numbered111a"/>
        <w:rPr>
          <w:lang w:val="en-GB"/>
        </w:rPr>
      </w:pPr>
      <w:bookmarkStart w:id="1254" w:name="_bookmark441"/>
      <w:bookmarkStart w:id="1255" w:name="_Ref98418719"/>
      <w:bookmarkEnd w:id="1254"/>
      <w:r w:rsidRPr="00BD6C5F">
        <w:rPr>
          <w:lang w:val="en-GB"/>
        </w:rPr>
        <w:t>in addition to providing the Services and the Termination Services, provide to the Authority any reasonable assistance requested by the Authority to allow the Services to continue</w:t>
      </w:r>
      <w:bookmarkEnd w:id="1255"/>
    </w:p>
    <w:p w14:paraId="306AFD46" w14:textId="163A4A83" w:rsidR="00BC7DDA" w:rsidRPr="00BD6C5F" w:rsidRDefault="009B03E9" w:rsidP="0095651E">
      <w:pPr>
        <w:pStyle w:val="Numbered111a"/>
        <w:rPr>
          <w:lang w:val="en-GB"/>
        </w:rPr>
      </w:pPr>
      <w:r w:rsidRPr="00BD6C5F">
        <w:rPr>
          <w:lang w:val="en-GB"/>
        </w:rPr>
        <w:t xml:space="preserve">without interruption following the Partial Termination, termination or expiry of this </w:t>
      </w:r>
      <w:r w:rsidR="002741FA" w:rsidRPr="00BD6C5F">
        <w:rPr>
          <w:lang w:val="en-GB"/>
        </w:rPr>
        <w:t xml:space="preserve">Contract </w:t>
      </w:r>
      <w:r w:rsidRPr="00BD6C5F">
        <w:rPr>
          <w:lang w:val="en-GB"/>
        </w:rPr>
        <w:t>and to facilitate the orderly transfer of responsibility for and conduct of the Services to the Authority and/or its Replacement Supplier;</w:t>
      </w:r>
    </w:p>
    <w:p w14:paraId="13833123" w14:textId="2C0BDBA7" w:rsidR="00BC7DDA" w:rsidRPr="00BD6C5F" w:rsidRDefault="009B03E9" w:rsidP="0095651E">
      <w:pPr>
        <w:pStyle w:val="Numbered111a"/>
        <w:rPr>
          <w:lang w:val="en-GB"/>
        </w:rPr>
      </w:pPr>
      <w:bookmarkStart w:id="1256" w:name="_bookmark442"/>
      <w:bookmarkStart w:id="1257" w:name="_Ref98418743"/>
      <w:bookmarkEnd w:id="1256"/>
      <w:r w:rsidRPr="00BD6C5F">
        <w:rPr>
          <w:lang w:val="en-GB"/>
        </w:rPr>
        <w:t>use all reasonable endeavours to reallocate resources to provide such assistance as is referred to in Paragraph</w:t>
      </w:r>
      <w:r w:rsidR="007C62CA" w:rsidRPr="00BD6C5F">
        <w:rPr>
          <w:lang w:val="en-GB"/>
        </w:rPr>
        <w:t> </w:t>
      </w:r>
      <w:r w:rsidR="00CA2211" w:rsidRPr="00BD6C5F">
        <w:rPr>
          <w:lang w:val="en-GB"/>
        </w:rPr>
        <w:fldChar w:fldCharType="begin"/>
      </w:r>
      <w:r w:rsidR="00CA2211" w:rsidRPr="00BD6C5F">
        <w:rPr>
          <w:lang w:val="en-GB"/>
        </w:rPr>
        <w:instrText xml:space="preserve"> REF _Ref98418719 \w \h </w:instrText>
      </w:r>
      <w:r w:rsidR="00AD7DD0" w:rsidRPr="00BD6C5F">
        <w:rPr>
          <w:lang w:val="en-GB"/>
        </w:rPr>
        <w:instrText xml:space="preserve"> \* MERGEFORMAT </w:instrText>
      </w:r>
      <w:r w:rsidR="00CA2211" w:rsidRPr="00BD6C5F">
        <w:rPr>
          <w:lang w:val="en-GB"/>
        </w:rPr>
      </w:r>
      <w:r w:rsidR="00CA2211" w:rsidRPr="00BD6C5F">
        <w:rPr>
          <w:lang w:val="en-GB"/>
        </w:rPr>
        <w:fldChar w:fldCharType="separate"/>
      </w:r>
      <w:r w:rsidR="009749A0">
        <w:rPr>
          <w:lang w:val="en-GB"/>
        </w:rPr>
        <w:t>6.2.1(b)</w:t>
      </w:r>
      <w:r w:rsidR="00CA2211" w:rsidRPr="00BD6C5F">
        <w:rPr>
          <w:lang w:val="en-GB"/>
        </w:rPr>
        <w:fldChar w:fldCharType="end"/>
      </w:r>
      <w:r w:rsidRPr="00BD6C5F">
        <w:rPr>
          <w:lang w:val="en-GB"/>
        </w:rPr>
        <w:t xml:space="preserve"> without additional costs to the Authority;</w:t>
      </w:r>
      <w:bookmarkEnd w:id="1257"/>
    </w:p>
    <w:p w14:paraId="2B00C2DD" w14:textId="4EED64C1" w:rsidR="00BC7DDA" w:rsidRPr="00BD6C5F" w:rsidRDefault="009B03E9" w:rsidP="0095651E">
      <w:pPr>
        <w:pStyle w:val="Numbered111a"/>
        <w:rPr>
          <w:lang w:val="en-GB"/>
        </w:rPr>
      </w:pPr>
      <w:r w:rsidRPr="00BD6C5F">
        <w:rPr>
          <w:lang w:val="en-GB"/>
        </w:rPr>
        <w:t>provide the Services and the Termination Services at no detriment to the Target Performance Levels, save to the extent that the Parties agree otherwise in accordance with Paragraph</w:t>
      </w:r>
      <w:r w:rsidR="007C62CA" w:rsidRPr="00BD6C5F">
        <w:rPr>
          <w:lang w:val="en-GB"/>
        </w:rPr>
        <w:t> </w:t>
      </w:r>
      <w:r w:rsidR="00CA2211" w:rsidRPr="00BD6C5F">
        <w:rPr>
          <w:lang w:val="en-GB"/>
        </w:rPr>
        <w:fldChar w:fldCharType="begin"/>
      </w:r>
      <w:r w:rsidR="00CA2211" w:rsidRPr="00BD6C5F">
        <w:rPr>
          <w:lang w:val="en-GB"/>
        </w:rPr>
        <w:instrText xml:space="preserve"> REF _Ref98418731 \n \h </w:instrText>
      </w:r>
      <w:r w:rsidR="00AD7DD0" w:rsidRPr="00BD6C5F">
        <w:rPr>
          <w:lang w:val="en-GB"/>
        </w:rPr>
        <w:instrText xml:space="preserve"> \* MERGEFORMAT </w:instrText>
      </w:r>
      <w:r w:rsidR="00CA2211" w:rsidRPr="00BD6C5F">
        <w:rPr>
          <w:lang w:val="en-GB"/>
        </w:rPr>
      </w:r>
      <w:r w:rsidR="00CA2211" w:rsidRPr="00BD6C5F">
        <w:rPr>
          <w:lang w:val="en-GB"/>
        </w:rPr>
        <w:fldChar w:fldCharType="separate"/>
      </w:r>
      <w:r w:rsidR="009749A0">
        <w:rPr>
          <w:lang w:val="en-GB"/>
        </w:rPr>
        <w:t>6.2.3</w:t>
      </w:r>
      <w:r w:rsidR="00CA2211" w:rsidRPr="00BD6C5F">
        <w:rPr>
          <w:lang w:val="en-GB"/>
        </w:rPr>
        <w:fldChar w:fldCharType="end"/>
      </w:r>
      <w:r w:rsidRPr="00BD6C5F">
        <w:rPr>
          <w:lang w:val="en-GB"/>
        </w:rPr>
        <w:t>; and</w:t>
      </w:r>
    </w:p>
    <w:p w14:paraId="57406622" w14:textId="6AFA6C8F" w:rsidR="00BC7DDA" w:rsidRPr="00BD6C5F" w:rsidRDefault="009B03E9" w:rsidP="0095651E">
      <w:pPr>
        <w:pStyle w:val="Numbered111a"/>
        <w:rPr>
          <w:lang w:val="en-GB"/>
        </w:rPr>
      </w:pPr>
      <w:bookmarkStart w:id="1258" w:name="_bookmark443"/>
      <w:bookmarkStart w:id="1259" w:name="_Ref98418787"/>
      <w:bookmarkEnd w:id="1258"/>
      <w:r w:rsidRPr="00BD6C5F">
        <w:rPr>
          <w:lang w:val="en-GB"/>
        </w:rPr>
        <w:t>at the Authority</w:t>
      </w:r>
      <w:r w:rsidR="00A4555C" w:rsidRPr="00BD6C5F">
        <w:rPr>
          <w:lang w:val="en-GB"/>
        </w:rPr>
        <w:t>’</w:t>
      </w:r>
      <w:r w:rsidRPr="00BD6C5F">
        <w:rPr>
          <w:lang w:val="en-GB"/>
        </w:rPr>
        <w:t>s request and on reasonable notice, deliver up-to-date Registers to the Authority.</w:t>
      </w:r>
      <w:bookmarkEnd w:id="1259"/>
    </w:p>
    <w:p w14:paraId="5C9B1BFD" w14:textId="06E82C06" w:rsidR="00BC7DDA" w:rsidRPr="00BD6C5F" w:rsidRDefault="009B03E9" w:rsidP="0095651E">
      <w:pPr>
        <w:pStyle w:val="Numbered111"/>
      </w:pPr>
      <w:r w:rsidRPr="00BD6C5F">
        <w:t>Without prejudice to the Supplier</w:t>
      </w:r>
      <w:r w:rsidR="00A4555C" w:rsidRPr="00BD6C5F">
        <w:t>’</w:t>
      </w:r>
      <w:r w:rsidRPr="00BD6C5F">
        <w:t>s obligations under Paragraph</w:t>
      </w:r>
      <w:r w:rsidR="007C62CA" w:rsidRPr="00BD6C5F">
        <w:t> </w:t>
      </w:r>
      <w:r w:rsidR="00CA2211" w:rsidRPr="00BD6C5F">
        <w:fldChar w:fldCharType="begin"/>
      </w:r>
      <w:r w:rsidR="00CA2211" w:rsidRPr="00BD6C5F">
        <w:instrText xml:space="preserve"> REF _Ref98418743 \w \h </w:instrText>
      </w:r>
      <w:r w:rsidR="00AD7DD0" w:rsidRPr="00BD6C5F">
        <w:instrText xml:space="preserve"> \* MERGEFORMAT </w:instrText>
      </w:r>
      <w:r w:rsidR="00CA2211" w:rsidRPr="00BD6C5F">
        <w:fldChar w:fldCharType="separate"/>
      </w:r>
      <w:r w:rsidR="009749A0">
        <w:t>6.2.1(d)</w:t>
      </w:r>
      <w:r w:rsidR="00CA2211" w:rsidRPr="00BD6C5F">
        <w:fldChar w:fldCharType="end"/>
      </w:r>
      <w:r w:rsidRPr="00BD6C5F">
        <w:t>, if it is not possible for the Supplier to reallocate resources to provide such assistance as is referred to in Paragraph</w:t>
      </w:r>
      <w:r w:rsidR="007C62CA" w:rsidRPr="00BD6C5F">
        <w:t> </w:t>
      </w:r>
      <w:r w:rsidR="00CA2211" w:rsidRPr="00BD6C5F">
        <w:fldChar w:fldCharType="begin"/>
      </w:r>
      <w:r w:rsidR="00CA2211" w:rsidRPr="00BD6C5F">
        <w:instrText xml:space="preserve"> REF _Ref98418719 \w \h </w:instrText>
      </w:r>
      <w:r w:rsidR="00AD7DD0" w:rsidRPr="00BD6C5F">
        <w:instrText xml:space="preserve"> \* MERGEFORMAT </w:instrText>
      </w:r>
      <w:r w:rsidR="00CA2211" w:rsidRPr="00BD6C5F">
        <w:fldChar w:fldCharType="separate"/>
      </w:r>
      <w:r w:rsidR="009749A0">
        <w:t>6.2.1(b)</w:t>
      </w:r>
      <w:r w:rsidR="00CA2211" w:rsidRPr="00BD6C5F">
        <w:fldChar w:fldCharType="end"/>
      </w:r>
      <w:r w:rsidRPr="00BD6C5F">
        <w:t xml:space="preserve"> without additional costs to the Authority, any additional costs incurred by the Supplier in providing such reasonable assistance which is not already in the scope of the Termination Services or the Exit Plan shall be subject to the Change Control Procedure.</w:t>
      </w:r>
    </w:p>
    <w:p w14:paraId="458D997E" w14:textId="7CB24505" w:rsidR="00BC7DDA" w:rsidRDefault="009B03E9" w:rsidP="0095651E">
      <w:pPr>
        <w:pStyle w:val="Numbered111"/>
      </w:pPr>
      <w:bookmarkStart w:id="1260" w:name="_bookmark444"/>
      <w:bookmarkStart w:id="1261" w:name="_Ref98418731"/>
      <w:bookmarkEnd w:id="1260"/>
      <w:r w:rsidRPr="00BD6C5F">
        <w:t>If the Supplier demonstrates to the Authority</w:t>
      </w:r>
      <w:r w:rsidR="00A4555C" w:rsidRPr="00BD6C5F">
        <w:t>’</w:t>
      </w:r>
      <w:r w:rsidRPr="00BD6C5F">
        <w:t xml:space="preserve">s reasonable satisfaction that transition of the Services and provision of the Termination Services during the Termination Assistance Period will have a material, unavoidable adverse effect </w:t>
      </w:r>
      <w:r w:rsidRPr="00BD6C5F">
        <w:lastRenderedPageBreak/>
        <w:t>on the Supplier</w:t>
      </w:r>
      <w:r w:rsidR="00A4555C" w:rsidRPr="00BD6C5F">
        <w:t>’</w:t>
      </w:r>
      <w:r w:rsidRPr="00BD6C5F">
        <w:t>s ability to meet one or more particular Target Performance Level(s), the Parties shall vary the relevant Target Performance Level(s) and/or the applicable Service Credits to take account of such adverse effect.</w:t>
      </w:r>
      <w:bookmarkEnd w:id="1261"/>
    </w:p>
    <w:p w14:paraId="24CFF795" w14:textId="77777777" w:rsidR="00BE195B" w:rsidRDefault="00BE195B" w:rsidP="00BE195B">
      <w:pPr>
        <w:pStyle w:val="Numbered111"/>
      </w:pPr>
      <w:r>
        <w:t>If  the Supplier demonstrates to the Authority’s reasonable satisfaction that the transition of the Services and provision of the Termination Services during the Termination Assistance Period requires it, the Authority shall grants to the Supplier a royalty-free, non-exclusive, non-transferable licence during the Termination Assistance Period to use the Authority Software, the Authority Background IPRs, the Specially Written Software, the Project Specific IPRs and the Authority Data solely to the extent necessary for the transition of the Services or performing the Termination Services in accordance with this Contract, including (but not limited to) the right to grant sub-licences to Sub-contractors provided that:</w:t>
      </w:r>
    </w:p>
    <w:p w14:paraId="5959E79E" w14:textId="77777777" w:rsidR="00BE195B" w:rsidRDefault="00BE195B" w:rsidP="00BE195B">
      <w:pPr>
        <w:pStyle w:val="Numbered111a"/>
      </w:pPr>
      <w:r>
        <w:t>any relevant Sub-contractor has entered into a confidentiality undertaking with the Supplier on the same terms as set out in Clause 19 (Confidentiality); and</w:t>
      </w:r>
    </w:p>
    <w:p w14:paraId="18C90F4B" w14:textId="4B66CC94" w:rsidR="000E25CB" w:rsidRPr="00BD6C5F" w:rsidRDefault="00BE195B" w:rsidP="00BE195B">
      <w:pPr>
        <w:pStyle w:val="Numbered111a"/>
      </w:pPr>
      <w:r>
        <w:t xml:space="preserve">the Supplier shall not, without the Authority’s prior written consent, use the licensed materials for any other purpose or for the benefit of any person other than the Authority.    </w:t>
      </w:r>
    </w:p>
    <w:p w14:paraId="644655C8" w14:textId="77777777" w:rsidR="00BC7DDA" w:rsidRPr="00BD6C5F" w:rsidRDefault="009B03E9" w:rsidP="00272F4C">
      <w:pPr>
        <w:pStyle w:val="Numbered11"/>
        <w:keepNext/>
      </w:pPr>
      <w:r w:rsidRPr="00BD6C5F">
        <w:t>Termination Obligations</w:t>
      </w:r>
    </w:p>
    <w:p w14:paraId="7955BFC8" w14:textId="77777777" w:rsidR="00BC7DDA" w:rsidRPr="00BD6C5F" w:rsidRDefault="009B03E9" w:rsidP="0095651E">
      <w:pPr>
        <w:pStyle w:val="Numbered111"/>
      </w:pPr>
      <w:r w:rsidRPr="00BD6C5F">
        <w:t>The Supplier shall comply with all of its obligations contained in the Exit Plan in respect of any Partial Termination or termination.</w:t>
      </w:r>
    </w:p>
    <w:p w14:paraId="69AB4B99" w14:textId="60E6B85A" w:rsidR="00BC7DDA" w:rsidRPr="00BD6C5F" w:rsidRDefault="009B03E9" w:rsidP="0095651E">
      <w:pPr>
        <w:pStyle w:val="Numbered111"/>
      </w:pPr>
      <w:r w:rsidRPr="00BD6C5F">
        <w:t>Upon termination or expiry (as the case may be) or at the end of the Termination Assistance Period (or earlier if this does not adversely affect the Supplier</w:t>
      </w:r>
      <w:r w:rsidR="00A4555C" w:rsidRPr="00BD6C5F">
        <w:t>’</w:t>
      </w:r>
      <w:r w:rsidRPr="00BD6C5F">
        <w:t>s performance of the Services and the Termination Services and its compliance with the other provisions of this Schedule) in respect of the Services that have been terminated, the Supplier shall:</w:t>
      </w:r>
    </w:p>
    <w:p w14:paraId="6B8014CE" w14:textId="77777777" w:rsidR="00BC7DDA" w:rsidRPr="00BD6C5F" w:rsidRDefault="009B03E9" w:rsidP="00771E5A">
      <w:pPr>
        <w:pStyle w:val="Numbered111a"/>
      </w:pPr>
      <w:r w:rsidRPr="00BD6C5F">
        <w:t>cease to use the Authority Data;</w:t>
      </w:r>
    </w:p>
    <w:p w14:paraId="2BAB1614" w14:textId="77777777" w:rsidR="00BC7DDA" w:rsidRPr="00BD6C5F" w:rsidRDefault="009B03E9" w:rsidP="0095651E">
      <w:pPr>
        <w:pStyle w:val="Numbered111a"/>
        <w:rPr>
          <w:lang w:val="en-GB"/>
        </w:rPr>
      </w:pPr>
      <w:bookmarkStart w:id="1262" w:name="_bookmark445"/>
      <w:bookmarkStart w:id="1263" w:name="_Ref141216403"/>
      <w:bookmarkEnd w:id="1262"/>
      <w:r w:rsidRPr="00BD6C5F">
        <w:rPr>
          <w:lang w:val="en-GB"/>
        </w:rPr>
        <w:t>provide the Authority and/or the Replacement Supplier with a complete and uncorrupted version of the Authority Data in electronic form (or such other format as reasonably required by the Authority);</w:t>
      </w:r>
      <w:bookmarkEnd w:id="1263"/>
    </w:p>
    <w:p w14:paraId="48F7A262" w14:textId="1E0F96D5" w:rsidR="00BC7DDA" w:rsidRPr="00BD6C5F" w:rsidRDefault="009B03E9" w:rsidP="0095651E">
      <w:pPr>
        <w:pStyle w:val="Numbered111a"/>
        <w:rPr>
          <w:lang w:val="en-GB"/>
        </w:rPr>
      </w:pPr>
      <w:r w:rsidRPr="00BD6C5F">
        <w:rPr>
          <w:lang w:val="en-GB"/>
        </w:rPr>
        <w:t>erase from any computers, storage devices and storage media that are to be retained by the Supplier after the end of the Termination Assistance Period all Authority Data and promptly certify to the Authority that it has completed such deletion;</w:t>
      </w:r>
    </w:p>
    <w:p w14:paraId="5F1D5B7F" w14:textId="1177984C" w:rsidR="00BC7DDA" w:rsidRPr="00BD6C5F" w:rsidRDefault="009B03E9" w:rsidP="00272F4C">
      <w:pPr>
        <w:pStyle w:val="Numbered111a"/>
        <w:keepNext/>
        <w:rPr>
          <w:lang w:val="en-GB"/>
        </w:rPr>
      </w:pPr>
      <w:r w:rsidRPr="00BD6C5F">
        <w:rPr>
          <w:lang w:val="en-GB"/>
        </w:rPr>
        <w:t>return to the Authority such of the following as is in the Supplier</w:t>
      </w:r>
      <w:r w:rsidR="00A4555C" w:rsidRPr="00BD6C5F">
        <w:rPr>
          <w:lang w:val="en-GB"/>
        </w:rPr>
        <w:t>’</w:t>
      </w:r>
      <w:r w:rsidRPr="00BD6C5F">
        <w:rPr>
          <w:lang w:val="en-GB"/>
        </w:rPr>
        <w:t>s possession or control:</w:t>
      </w:r>
    </w:p>
    <w:p w14:paraId="0BFA3F51" w14:textId="77777777" w:rsidR="00BC7DDA" w:rsidRPr="00BD6C5F" w:rsidRDefault="009B03E9" w:rsidP="0095651E">
      <w:pPr>
        <w:pStyle w:val="Numbered111ai"/>
      </w:pPr>
      <w:r w:rsidRPr="00BD6C5F">
        <w:t>any parts of the IT Environment and any other equipment which belongs to the Authority; and</w:t>
      </w:r>
    </w:p>
    <w:p w14:paraId="1A5BC7FE" w14:textId="77777777" w:rsidR="00BC7DDA" w:rsidRPr="00BD6C5F" w:rsidRDefault="009B03E9" w:rsidP="0095651E">
      <w:pPr>
        <w:pStyle w:val="Numbered111ai"/>
      </w:pPr>
      <w:r w:rsidRPr="00BD6C5F">
        <w:t>any items that have been on-charged to the Authority, such as consumables;</w:t>
      </w:r>
    </w:p>
    <w:p w14:paraId="4E140C47" w14:textId="77777777" w:rsidR="00BC7DDA" w:rsidRPr="00BD6C5F" w:rsidRDefault="009B03E9" w:rsidP="0095651E">
      <w:pPr>
        <w:pStyle w:val="Numbered111a"/>
        <w:rPr>
          <w:lang w:val="en-GB"/>
        </w:rPr>
      </w:pPr>
      <w:r w:rsidRPr="00BD6C5F">
        <w:rPr>
          <w:lang w:val="en-GB"/>
        </w:rPr>
        <w:lastRenderedPageBreak/>
        <w:t>vacate any Authority Premises unless access is required to continue to deliver the Services;</w:t>
      </w:r>
    </w:p>
    <w:p w14:paraId="7227D1B0" w14:textId="30748675" w:rsidR="00BC7DDA" w:rsidRPr="00BD6C5F" w:rsidRDefault="009B03E9" w:rsidP="00272F4C">
      <w:pPr>
        <w:pStyle w:val="Numbered111a"/>
        <w:keepNext/>
        <w:rPr>
          <w:lang w:val="en-GB"/>
        </w:rPr>
      </w:pPr>
      <w:r w:rsidRPr="00BD6C5F">
        <w:rPr>
          <w:lang w:val="en-GB"/>
        </w:rPr>
        <w:t xml:space="preserve">provide access during normal working hours to the Authority and/or the Replacement Supplier for up to 12 months after the Partial Termination expiry or termination of this </w:t>
      </w:r>
      <w:r w:rsidR="001A7706" w:rsidRPr="00BD6C5F">
        <w:rPr>
          <w:lang w:val="en-GB"/>
        </w:rPr>
        <w:t xml:space="preserve">Contract </w:t>
      </w:r>
      <w:r w:rsidRPr="00BD6C5F">
        <w:rPr>
          <w:lang w:val="en-GB"/>
        </w:rPr>
        <w:t>to:</w:t>
      </w:r>
    </w:p>
    <w:p w14:paraId="7CA43B3B" w14:textId="77777777" w:rsidR="00BC7DDA" w:rsidRPr="00BD6C5F" w:rsidRDefault="009B03E9" w:rsidP="00B71FC0">
      <w:pPr>
        <w:pStyle w:val="Numbered111ai"/>
        <w:numPr>
          <w:ilvl w:val="4"/>
          <w:numId w:val="111"/>
        </w:numPr>
      </w:pPr>
      <w:r w:rsidRPr="00BD6C5F">
        <w:t>such information relating to the Services as remains in the possession or control of the Supplier; and</w:t>
      </w:r>
    </w:p>
    <w:p w14:paraId="43812EA9" w14:textId="1E1FCDDC" w:rsidR="00BC7DDA" w:rsidRPr="00BD6C5F" w:rsidRDefault="009B03E9" w:rsidP="0095651E">
      <w:pPr>
        <w:pStyle w:val="Numbered111ai"/>
      </w:pPr>
      <w:bookmarkStart w:id="1264" w:name="_bookmark446"/>
      <w:bookmarkStart w:id="1265" w:name="_Ref98418772"/>
      <w:bookmarkEnd w:id="1264"/>
      <w:r w:rsidRPr="00BD6C5F">
        <w:t>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 Paragraph</w:t>
      </w:r>
      <w:r w:rsidR="007C62CA" w:rsidRPr="00BD6C5F">
        <w:t> </w:t>
      </w:r>
      <w:r w:rsidR="00CA2211" w:rsidRPr="00BD6C5F">
        <w:fldChar w:fldCharType="begin"/>
      </w:r>
      <w:r w:rsidR="00CA2211" w:rsidRPr="00BD6C5F">
        <w:instrText xml:space="preserve"> REF _Ref98418772 \w \h </w:instrText>
      </w:r>
      <w:r w:rsidR="00AD7DD0" w:rsidRPr="00BD6C5F">
        <w:instrText xml:space="preserve"> \* MERGEFORMAT </w:instrText>
      </w:r>
      <w:r w:rsidR="00CA2211" w:rsidRPr="00BD6C5F">
        <w:fldChar w:fldCharType="separate"/>
      </w:r>
      <w:r w:rsidR="009749A0">
        <w:t>6.3.2(f)(ii)</w:t>
      </w:r>
      <w:r w:rsidR="00CA2211" w:rsidRPr="00BD6C5F">
        <w:fldChar w:fldCharType="end"/>
      </w:r>
      <w:r w:rsidRPr="00BD6C5F">
        <w:t>.</w:t>
      </w:r>
      <w:bookmarkEnd w:id="1265"/>
    </w:p>
    <w:p w14:paraId="521E1DCA" w14:textId="04D3C2A5" w:rsidR="00BC7DDA" w:rsidRPr="00BD6C5F" w:rsidRDefault="009B03E9" w:rsidP="0095651E">
      <w:pPr>
        <w:pStyle w:val="Numbered111"/>
      </w:pPr>
      <w:r w:rsidRPr="00BD6C5F">
        <w:t>Upon Partial Termination, termination or expiry (as the case may be) or at the end of the Termination Assistance Period (or earlier if this does not adversely affect the Supplier</w:t>
      </w:r>
      <w:r w:rsidR="00A4555C" w:rsidRPr="00BD6C5F">
        <w:t>’</w:t>
      </w:r>
      <w:r w:rsidRPr="00BD6C5F">
        <w:t>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w:t>
      </w:r>
      <w:r w:rsidR="00A4555C" w:rsidRPr="00BD6C5F">
        <w:t>’</w:t>
      </w:r>
      <w:r w:rsidRPr="00BD6C5F">
        <w:t>s Confidential Information save to the extent (and for the limited period) that such information needs to be retained by the Party in question for the</w:t>
      </w:r>
      <w:r w:rsidR="00DB2677" w:rsidRPr="00BD6C5F">
        <w:t xml:space="preserve"> </w:t>
      </w:r>
      <w:r w:rsidRPr="00BD6C5F">
        <w:t>purposes of providing or receiving any Services or Termination Services or for statutory compliance purposes.</w:t>
      </w:r>
    </w:p>
    <w:p w14:paraId="38814337" w14:textId="0FCBF8EA" w:rsidR="00BC7DDA" w:rsidRPr="00BD6C5F" w:rsidRDefault="0095651E" w:rsidP="00C5057A">
      <w:pPr>
        <w:pStyle w:val="Numbered1"/>
      </w:pPr>
      <w:r w:rsidRPr="00BD6C5F">
        <w:t>Assets, Sub-Contracts and Software</w:t>
      </w:r>
    </w:p>
    <w:p w14:paraId="51FC6FA5" w14:textId="562A02A9" w:rsidR="00BC7DDA" w:rsidRPr="00BD6C5F" w:rsidRDefault="009B03E9" w:rsidP="00272F4C">
      <w:pPr>
        <w:pStyle w:val="Numbered11"/>
        <w:keepNext/>
      </w:pPr>
      <w:r w:rsidRPr="00BD6C5F">
        <w:t xml:space="preserve">Following notice of termination or Partial Termination of this </w:t>
      </w:r>
      <w:r w:rsidR="001A7706" w:rsidRPr="00BD6C5F">
        <w:t xml:space="preserve">Contract </w:t>
      </w:r>
      <w:r w:rsidRPr="00BD6C5F">
        <w:t>and during the Termination Assistance Period, the Supplier shall not in respect of the terminated Services, without the Authority</w:t>
      </w:r>
      <w:r w:rsidR="00A4555C" w:rsidRPr="00BD6C5F">
        <w:t>’</w:t>
      </w:r>
      <w:r w:rsidRPr="00BD6C5F">
        <w:t>s prior written consent:</w:t>
      </w:r>
    </w:p>
    <w:p w14:paraId="5C53DE89" w14:textId="77777777" w:rsidR="00BC7DDA" w:rsidRPr="00BD6C5F" w:rsidRDefault="009B03E9" w:rsidP="0095651E">
      <w:pPr>
        <w:pStyle w:val="Numbered111"/>
      </w:pPr>
      <w:r w:rsidRPr="00BD6C5F">
        <w:t>terminate, enter into or vary any Sub-contract except to the extent that such change does not or will not affect the provision of Services or the Charges;</w:t>
      </w:r>
    </w:p>
    <w:p w14:paraId="188D268F" w14:textId="77777777" w:rsidR="00BC7DDA" w:rsidRPr="00BD6C5F" w:rsidRDefault="009B03E9" w:rsidP="0095651E">
      <w:pPr>
        <w:pStyle w:val="Numbered111"/>
      </w:pPr>
      <w:r w:rsidRPr="00BD6C5F">
        <w:t>(subject to normal maintenance requirements) make material modifications to, or dispose of, any existing Assets or acquire any new Assets; or</w:t>
      </w:r>
    </w:p>
    <w:p w14:paraId="7A0CE7EE" w14:textId="0A643073" w:rsidR="00BC7DDA" w:rsidRPr="00BD6C5F" w:rsidRDefault="009B03E9" w:rsidP="0095651E">
      <w:pPr>
        <w:pStyle w:val="Numbered111"/>
      </w:pPr>
      <w:r w:rsidRPr="00BD6C5F">
        <w:t xml:space="preserve">terminate, enter into or vary any licence for </w:t>
      </w:r>
      <w:r w:rsidR="003016CC" w:rsidRPr="00BD6C5F">
        <w:t>S</w:t>
      </w:r>
      <w:r w:rsidRPr="00BD6C5F">
        <w:t>oftware in connection with the Services.</w:t>
      </w:r>
    </w:p>
    <w:p w14:paraId="5C2A8733" w14:textId="5757A3DD" w:rsidR="00BC7DDA" w:rsidRPr="00BD6C5F" w:rsidRDefault="009B03E9" w:rsidP="00272F4C">
      <w:pPr>
        <w:pStyle w:val="Numbered11"/>
        <w:keepNext/>
      </w:pPr>
      <w:r w:rsidRPr="00BD6C5F">
        <w:t>Within 20 Working Days of receipt of the up-to-date Registers provided by the Supplier pursuant to Paragraph</w:t>
      </w:r>
      <w:r w:rsidR="007C62CA" w:rsidRPr="00BD6C5F">
        <w:t> </w:t>
      </w:r>
      <w:r w:rsidR="00CA2211" w:rsidRPr="00BD6C5F">
        <w:fldChar w:fldCharType="begin"/>
      </w:r>
      <w:r w:rsidR="00CA2211" w:rsidRPr="00BD6C5F">
        <w:instrText xml:space="preserve"> REF _Ref98418787 \w \h </w:instrText>
      </w:r>
      <w:r w:rsidR="00AD7DD0" w:rsidRPr="00BD6C5F">
        <w:instrText xml:space="preserve"> \* MERGEFORMAT </w:instrText>
      </w:r>
      <w:r w:rsidR="00CA2211" w:rsidRPr="00BD6C5F">
        <w:fldChar w:fldCharType="separate"/>
      </w:r>
      <w:r w:rsidR="009749A0">
        <w:t>6.2.1(f)</w:t>
      </w:r>
      <w:r w:rsidR="00CA2211" w:rsidRPr="00BD6C5F">
        <w:fldChar w:fldCharType="end"/>
      </w:r>
      <w:r w:rsidRPr="00BD6C5F">
        <w:t>, the Authority shall provide written notice to the Supplier setting out:</w:t>
      </w:r>
    </w:p>
    <w:p w14:paraId="6691A58A" w14:textId="48022C75" w:rsidR="00BC7DDA" w:rsidRPr="00BD6C5F" w:rsidRDefault="009B03E9" w:rsidP="00272F4C">
      <w:pPr>
        <w:pStyle w:val="Numbered111"/>
        <w:keepNext/>
      </w:pPr>
      <w:r w:rsidRPr="00BD6C5F">
        <w:t>which, if any, of the Transferable Assets the Authority requires to be transferred to the Authority and/or the Replacement Supplier in respect of the terminated Services (</w:t>
      </w:r>
      <w:r w:rsidR="00A4555C" w:rsidRPr="00BD6C5F">
        <w:t>“</w:t>
      </w:r>
      <w:r w:rsidRPr="00BD6C5F">
        <w:rPr>
          <w:b/>
        </w:rPr>
        <w:t>Transferring Assets</w:t>
      </w:r>
      <w:r w:rsidR="00A4555C" w:rsidRPr="00BD6C5F">
        <w:t>”</w:t>
      </w:r>
      <w:r w:rsidRPr="00BD6C5F">
        <w:t>);</w:t>
      </w:r>
    </w:p>
    <w:p w14:paraId="7C887C31" w14:textId="77777777" w:rsidR="00BC7DDA" w:rsidRPr="00BD6C5F" w:rsidRDefault="009B03E9" w:rsidP="00272F4C">
      <w:pPr>
        <w:pStyle w:val="Numbered111a"/>
        <w:keepNext/>
      </w:pPr>
      <w:r w:rsidRPr="00BD6C5F">
        <w:t>which, if any, of:</w:t>
      </w:r>
    </w:p>
    <w:p w14:paraId="1B115492" w14:textId="77777777" w:rsidR="00BC7DDA" w:rsidRPr="00BD6C5F" w:rsidRDefault="009B03E9" w:rsidP="0095651E">
      <w:pPr>
        <w:pStyle w:val="Numbered111ai"/>
      </w:pPr>
      <w:r w:rsidRPr="00BD6C5F">
        <w:t>the Exclusive Assets that are not Transferable Assets; and</w:t>
      </w:r>
    </w:p>
    <w:p w14:paraId="02E626C1" w14:textId="77777777" w:rsidR="00BC7DDA" w:rsidRPr="00BD6C5F" w:rsidRDefault="009B03E9" w:rsidP="0095651E">
      <w:pPr>
        <w:pStyle w:val="Numbered111ai"/>
      </w:pPr>
      <w:r w:rsidRPr="00BD6C5F">
        <w:lastRenderedPageBreak/>
        <w:t>the Non-Exclusive Assets,</w:t>
      </w:r>
    </w:p>
    <w:p w14:paraId="5269790D" w14:textId="77777777" w:rsidR="00BC7DDA" w:rsidRPr="00BD6C5F" w:rsidRDefault="009B03E9" w:rsidP="00053151">
      <w:pPr>
        <w:pStyle w:val="BodyText"/>
        <w:spacing w:before="100" w:after="200"/>
        <w:ind w:left="2574"/>
        <w:rPr>
          <w:rFonts w:asciiTheme="minorHAnsi" w:hAnsiTheme="minorHAnsi" w:cstheme="minorHAnsi"/>
        </w:rPr>
      </w:pPr>
      <w:r w:rsidRPr="00BD6C5F">
        <w:rPr>
          <w:rFonts w:asciiTheme="minorHAnsi" w:hAnsiTheme="minorHAnsi" w:cstheme="minorHAnsi"/>
        </w:rPr>
        <w:t>the Authority and/or the Replacement Supplier requires the continued use of; and</w:t>
      </w:r>
    </w:p>
    <w:p w14:paraId="3355D7BE" w14:textId="234F1788" w:rsidR="00BC7DDA" w:rsidRPr="00BD6C5F" w:rsidRDefault="009B03E9" w:rsidP="0095651E">
      <w:pPr>
        <w:pStyle w:val="Numbered111"/>
      </w:pPr>
      <w:bookmarkStart w:id="1266" w:name="_bookmark447"/>
      <w:bookmarkStart w:id="1267" w:name="_Ref98418666"/>
      <w:bookmarkEnd w:id="1266"/>
      <w:r w:rsidRPr="00BD6C5F">
        <w:t>which, if any, of Transferable Contracts the Authority requires to be</w:t>
      </w:r>
      <w:r w:rsidR="00BF7B96">
        <w:t xml:space="preserve"> </w:t>
      </w:r>
      <w:r w:rsidR="00B677C5">
        <w:t>subject to</w:t>
      </w:r>
      <w:r w:rsidRPr="00BD6C5F">
        <w:t xml:space="preserve"> assign</w:t>
      </w:r>
      <w:r w:rsidR="00BF7B96">
        <w:t xml:space="preserve">ation </w:t>
      </w:r>
      <w:r w:rsidRPr="00BD6C5F">
        <w:t xml:space="preserve"> or novated to the Authority and/or the Replacement Supplier (the </w:t>
      </w:r>
      <w:r w:rsidR="00A4555C" w:rsidRPr="00BD6C5F">
        <w:t>“</w:t>
      </w:r>
      <w:r w:rsidRPr="00BD6C5F">
        <w:rPr>
          <w:b/>
        </w:rPr>
        <w:t>Transferring Contracts</w:t>
      </w:r>
      <w:r w:rsidR="00A4555C" w:rsidRPr="00BD6C5F">
        <w:t>”</w:t>
      </w:r>
      <w:r w:rsidRPr="00BD6C5F">
        <w:t>),</w:t>
      </w:r>
      <w:bookmarkEnd w:id="1267"/>
    </w:p>
    <w:p w14:paraId="7F4273B4" w14:textId="7AEB65EB" w:rsidR="00BC7DDA" w:rsidRPr="00BD6C5F" w:rsidRDefault="009B03E9" w:rsidP="00053151">
      <w:pPr>
        <w:pStyle w:val="BodyText"/>
        <w:spacing w:before="100" w:after="200"/>
        <w:ind w:left="720"/>
        <w:rPr>
          <w:rFonts w:asciiTheme="minorHAnsi" w:hAnsiTheme="minorHAnsi" w:cstheme="minorHAnsi"/>
        </w:rPr>
      </w:pPr>
      <w:r w:rsidRPr="00BD6C5F">
        <w:rPr>
          <w:rFonts w:asciiTheme="minorHAnsi" w:hAnsiTheme="minorHAnsi" w:cstheme="minorHAnsi"/>
        </w:rPr>
        <w:t xml:space="preserve">in order for the Authority and/or its Replacement Supplier to provide the Services from the expiry of the Termination Assistance Period. 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Services or Replacement </w:t>
      </w:r>
      <w:r w:rsidR="001A7706" w:rsidRPr="00BD6C5F">
        <w:rPr>
          <w:rFonts w:asciiTheme="minorHAnsi" w:hAnsiTheme="minorHAnsi" w:cstheme="minorHAnsi"/>
        </w:rPr>
        <w:t>Services. Where requested by the Supplier, the Authority and/or its Replacement Supplier shall discuss in good faith with the Supplier which Transferable Contracts are used by the Supplier in matters unconnected to the Services or Replacement Services.</w:t>
      </w:r>
    </w:p>
    <w:p w14:paraId="2E703BDE" w14:textId="626100C9" w:rsidR="00BC7DDA" w:rsidRPr="00BD6C5F" w:rsidRDefault="009B03E9" w:rsidP="00272F4C">
      <w:pPr>
        <w:pStyle w:val="Numbered11"/>
        <w:keepNext/>
      </w:pPr>
      <w:r w:rsidRPr="00BD6C5F">
        <w:t>With effect from the expiry of the Termination Assistance Period, the Supplier shall sell the Transferring Assets to the Authority and/or its nominated Replacement Supplier for a consideration equal to their Net Book Value, except where:</w:t>
      </w:r>
    </w:p>
    <w:p w14:paraId="22B578BC" w14:textId="77777777" w:rsidR="00BC7DDA" w:rsidRPr="00BD6C5F" w:rsidRDefault="009B03E9" w:rsidP="0095651E">
      <w:pPr>
        <w:pStyle w:val="Numbered111"/>
      </w:pPr>
      <w:r w:rsidRPr="00BD6C5F">
        <w:t>a Termination Payment is payable by the Authority to the Supplier, in which case, payment for such Assets shall be included within the Termination Payment; or</w:t>
      </w:r>
    </w:p>
    <w:p w14:paraId="26E589E8" w14:textId="34EAC48F" w:rsidR="00BC7DDA" w:rsidRPr="00BD6C5F" w:rsidRDefault="009B03E9" w:rsidP="0095651E">
      <w:pPr>
        <w:pStyle w:val="Numbered111"/>
      </w:pPr>
      <w:r w:rsidRPr="00BD6C5F">
        <w:t xml:space="preserve">the cost of the Transferring Asset has been partially or fully paid for through the Charges at the time of expiry or termination of this </w:t>
      </w:r>
      <w:r w:rsidR="001A7706" w:rsidRPr="00BD6C5F">
        <w:t>Contract</w:t>
      </w:r>
      <w:r w:rsidRPr="00BD6C5F">
        <w:t>, in which case the Authority shall pay the Supplier the Net Book Value of the Transferring Asset less the amount already paid through the Charges.</w:t>
      </w:r>
    </w:p>
    <w:p w14:paraId="4EE8594E" w14:textId="77777777" w:rsidR="00BC7DDA" w:rsidRPr="00BD6C5F" w:rsidRDefault="009B03E9" w:rsidP="00C5057A">
      <w:pPr>
        <w:pStyle w:val="Numbered11"/>
      </w:pPr>
      <w:r w:rsidRPr="00BD6C5F">
        <w:t>Risk in the Transferring Assets shall pass to the Authority or the Replacement Supplier (as appropriate) at the end of the Termination Assistance Period and title to the Transferring Assets shall pass to the Authority or the Replacement Supplier (as appropriate) on payment for the same.</w:t>
      </w:r>
    </w:p>
    <w:p w14:paraId="42B6DEE0" w14:textId="31CE46AF" w:rsidR="00BC7DDA" w:rsidRPr="00BD6C5F" w:rsidRDefault="009B03E9" w:rsidP="00C5057A">
      <w:pPr>
        <w:pStyle w:val="Numbered11"/>
      </w:pPr>
      <w:bookmarkStart w:id="1268" w:name="_bookmark448"/>
      <w:bookmarkStart w:id="1269" w:name="_Ref98241632"/>
      <w:bookmarkEnd w:id="1268"/>
      <w:r w:rsidRPr="00BD6C5F">
        <w:t>Where the Supplier is notified in accordance with Paragraph</w:t>
      </w:r>
      <w:r w:rsidR="007C62CA" w:rsidRPr="00BD6C5F">
        <w:t> </w:t>
      </w:r>
      <w:r w:rsidR="00CA2211" w:rsidRPr="00BD6C5F">
        <w:fldChar w:fldCharType="begin"/>
      </w:r>
      <w:r w:rsidR="00CA2211" w:rsidRPr="00BD6C5F">
        <w:instrText xml:space="preserve"> REF _Ref98418666 \w \h </w:instrText>
      </w:r>
      <w:r w:rsidR="00AD7DD0" w:rsidRPr="00BD6C5F">
        <w:instrText xml:space="preserve"> \* MERGEFORMAT </w:instrText>
      </w:r>
      <w:r w:rsidR="00CA2211" w:rsidRPr="00BD6C5F">
        <w:fldChar w:fldCharType="separate"/>
      </w:r>
      <w:r w:rsidR="009749A0">
        <w:t>7.2.2</w:t>
      </w:r>
      <w:r w:rsidR="00CA2211" w:rsidRPr="00BD6C5F">
        <w:fldChar w:fldCharType="end"/>
      </w:r>
      <w:r w:rsidRPr="00BD6C5F">
        <w:t xml:space="preserve"> that the Authority and/or the Replacement Supplier requires continued use of any Exclusive Assets that are not Transferable Assets or any Non-Exclusive Assets, the Supplier shall as soon as reasonably practicable:</w:t>
      </w:r>
      <w:bookmarkEnd w:id="1269"/>
    </w:p>
    <w:p w14:paraId="7C911389" w14:textId="77777777" w:rsidR="00BC7DDA" w:rsidRPr="00BD6C5F" w:rsidRDefault="009B03E9" w:rsidP="0095651E">
      <w:pPr>
        <w:pStyle w:val="Numbered111"/>
      </w:pPr>
      <w:r w:rsidRPr="00BD6C5F">
        <w:t>procure a non-exclusive, perpetual, royalty-free licence (or licence on such other terms that have been agreed by the Authority) for the Authority and/or the Replacement Supplier to use such assets (with a right of sub-licence or assignation on the same terms); or failing which</w:t>
      </w:r>
    </w:p>
    <w:p w14:paraId="64A758A4" w14:textId="77777777" w:rsidR="00BC7DDA" w:rsidRPr="00BD6C5F" w:rsidRDefault="009B03E9" w:rsidP="0095651E">
      <w:pPr>
        <w:pStyle w:val="Numbered111"/>
      </w:pPr>
      <w:r w:rsidRPr="00BD6C5F">
        <w:t>procure a suitable alternative to such assets and the Authority or the Replacement Supplier shall bear the reasonable proven costs of procuring the same.</w:t>
      </w:r>
    </w:p>
    <w:p w14:paraId="03007EBF" w14:textId="2FDF88A9" w:rsidR="00BC7DDA" w:rsidRPr="00BD6C5F" w:rsidRDefault="009B03E9" w:rsidP="00C5057A">
      <w:pPr>
        <w:pStyle w:val="Numbered11"/>
      </w:pPr>
      <w:bookmarkStart w:id="1270" w:name="_bookmark449"/>
      <w:bookmarkStart w:id="1271" w:name="_Ref98418815"/>
      <w:bookmarkEnd w:id="1270"/>
      <w:r w:rsidRPr="00BD6C5F">
        <w:t xml:space="preserve">The Supplier shall as soon as reasonably practicable </w:t>
      </w:r>
      <w:r w:rsidR="00BF7B96">
        <w:t xml:space="preserve">perform an </w:t>
      </w:r>
      <w:r w:rsidRPr="00BD6C5F">
        <w:t>assign</w:t>
      </w:r>
      <w:r w:rsidR="00BF7B96">
        <w:t>ation</w:t>
      </w:r>
      <w:r w:rsidRPr="00BD6C5F">
        <w:t xml:space="preserve"> or procure the novation to the Authority and/or the Replacement Supplier of the Transferring </w:t>
      </w:r>
      <w:r w:rsidRPr="00BD6C5F">
        <w:lastRenderedPageBreak/>
        <w:t>Contracts. The Supplier shall execute such documents and provide such other assistance as the Authority reasonably requires to effect this novation or assignation.</w:t>
      </w:r>
      <w:bookmarkEnd w:id="1271"/>
    </w:p>
    <w:p w14:paraId="450B1FD5" w14:textId="77777777" w:rsidR="00BC7DDA" w:rsidRPr="00BD6C5F" w:rsidRDefault="009B03E9" w:rsidP="00272F4C">
      <w:pPr>
        <w:pStyle w:val="Numbered11"/>
        <w:keepNext/>
      </w:pPr>
      <w:r w:rsidRPr="00BD6C5F">
        <w:t>The Authority shall:</w:t>
      </w:r>
    </w:p>
    <w:p w14:paraId="56D0FBEE" w14:textId="77777777" w:rsidR="00BC7DDA" w:rsidRPr="00BD6C5F" w:rsidRDefault="009B03E9" w:rsidP="0095651E">
      <w:pPr>
        <w:pStyle w:val="Numbered111"/>
      </w:pPr>
      <w:r w:rsidRPr="00BD6C5F">
        <w:t>accept assignations from the Supplier or join with the Supplier in procuring a novation of each Transferring Contract; and</w:t>
      </w:r>
    </w:p>
    <w:p w14:paraId="2A5DCA3B" w14:textId="376CA73C" w:rsidR="00BC7DDA" w:rsidRPr="00BD6C5F" w:rsidRDefault="009B03E9" w:rsidP="0095651E">
      <w:pPr>
        <w:pStyle w:val="Numbered111"/>
      </w:pPr>
      <w:r w:rsidRPr="00BD6C5F">
        <w:t xml:space="preserve">once a Transferring Contract is novated or </w:t>
      </w:r>
      <w:r w:rsidR="00BF7B96">
        <w:t xml:space="preserve">an </w:t>
      </w:r>
      <w:r w:rsidRPr="00BD6C5F">
        <w:t>assign</w:t>
      </w:r>
      <w:r w:rsidR="00BF7B96">
        <w:t xml:space="preserve">ation has been carried out </w:t>
      </w:r>
      <w:r w:rsidRPr="00BD6C5F">
        <w:t xml:space="preserve"> to the Authority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5E63BFDF" w14:textId="2AA87E58" w:rsidR="00BC7DDA" w:rsidRPr="00BD6C5F" w:rsidRDefault="009B03E9" w:rsidP="00C5057A">
      <w:pPr>
        <w:pStyle w:val="Numbered11"/>
      </w:pPr>
      <w:r w:rsidRPr="00BD6C5F">
        <w:t>The Supplier shall hold any Transferring Contracts on trust for the Authority until such time as the transfer of the relevant Transferring Contract to the Authority and/or the Replacement Supplier has been effected.</w:t>
      </w:r>
    </w:p>
    <w:p w14:paraId="1E5BFA59" w14:textId="3186F2A0" w:rsidR="00BC7DDA" w:rsidRPr="00BD6C5F" w:rsidRDefault="009B03E9" w:rsidP="00272F4C">
      <w:pPr>
        <w:pStyle w:val="Numbered11"/>
        <w:keepNext/>
      </w:pPr>
      <w:r w:rsidRPr="00BD6C5F">
        <w:t xml:space="preserve">The Supplier shall indemnify the Authority (and/or the Replacement Supplier, as applicable) against each loss, liability and cost arising out of any claims made by a counterparty to a Transferring Contract which is </w:t>
      </w:r>
      <w:r w:rsidR="00B677C5">
        <w:t>subject to</w:t>
      </w:r>
      <w:r w:rsidR="0092630C">
        <w:t xml:space="preserve"> </w:t>
      </w:r>
      <w:r w:rsidR="00C30117">
        <w:t xml:space="preserve">an </w:t>
      </w:r>
      <w:r w:rsidRPr="00BD6C5F">
        <w:t>assign</w:t>
      </w:r>
      <w:r w:rsidR="0092630C">
        <w:t>ation</w:t>
      </w:r>
      <w:r w:rsidRPr="00BD6C5F">
        <w:t xml:space="preserve"> or novated to the Authority (and/or Replacement Supplier) pursuant to Paragraph</w:t>
      </w:r>
      <w:r w:rsidR="007C62CA" w:rsidRPr="00BD6C5F">
        <w:t> </w:t>
      </w:r>
      <w:r w:rsidR="00CA2211" w:rsidRPr="00BD6C5F">
        <w:fldChar w:fldCharType="begin"/>
      </w:r>
      <w:r w:rsidR="00CA2211" w:rsidRPr="00BD6C5F">
        <w:instrText xml:space="preserve"> REF _Ref98418815 \w \h </w:instrText>
      </w:r>
      <w:r w:rsidR="00AD7DD0" w:rsidRPr="00BD6C5F">
        <w:instrText xml:space="preserve"> \* MERGEFORMAT </w:instrText>
      </w:r>
      <w:r w:rsidR="00CA2211" w:rsidRPr="00BD6C5F">
        <w:fldChar w:fldCharType="separate"/>
      </w:r>
      <w:r w:rsidR="009749A0">
        <w:t>7.6</w:t>
      </w:r>
      <w:r w:rsidR="00CA2211" w:rsidRPr="00BD6C5F">
        <w:fldChar w:fldCharType="end"/>
      </w:r>
      <w:r w:rsidRPr="00BD6C5F">
        <w:t xml:space="preserve"> both:</w:t>
      </w:r>
    </w:p>
    <w:p w14:paraId="499FE28D" w14:textId="77777777" w:rsidR="00BC7DDA" w:rsidRPr="00BD6C5F" w:rsidRDefault="009B03E9" w:rsidP="0095651E">
      <w:pPr>
        <w:pStyle w:val="Numbered111"/>
      </w:pPr>
      <w:r w:rsidRPr="00BD6C5F">
        <w:t>in relation to any matters arising prior to the date of assignation or novation of such Sub-contract; and</w:t>
      </w:r>
    </w:p>
    <w:p w14:paraId="15C31A3C" w14:textId="62B06150" w:rsidR="00BC7DDA" w:rsidRPr="00BD6C5F" w:rsidRDefault="009B03E9" w:rsidP="0095651E">
      <w:pPr>
        <w:pStyle w:val="Numbered111"/>
        <w:rPr>
          <w:iCs/>
        </w:rPr>
      </w:pPr>
      <w:r w:rsidRPr="00BD6C5F">
        <w:t>in relation to any matters arising after the date of assignation or novation of such Sub-contract where the loss, liability or cost arises as a result of the Supplier</w:t>
      </w:r>
      <w:r w:rsidR="00A4555C" w:rsidRPr="00BD6C5F">
        <w:t>’</w:t>
      </w:r>
      <w:r w:rsidRPr="00BD6C5F">
        <w:t>s failure to comply with Clauses 1</w:t>
      </w:r>
      <w:r w:rsidR="003016CC" w:rsidRPr="00BD6C5F">
        <w:t>7</w:t>
      </w:r>
      <w:r w:rsidRPr="00BD6C5F">
        <w:t xml:space="preserve"> (</w:t>
      </w:r>
      <w:r w:rsidRPr="00BD6C5F">
        <w:rPr>
          <w:i/>
        </w:rPr>
        <w:t>Intellectual Property Rights</w:t>
      </w:r>
      <w:r w:rsidRPr="00BD6C5F">
        <w:t xml:space="preserve">) and/or </w:t>
      </w:r>
      <w:r w:rsidR="00697D25" w:rsidRPr="00BD6C5F">
        <w:t>Schedule</w:t>
      </w:r>
      <w:r w:rsidR="00603B26" w:rsidRPr="00BD6C5F">
        <w:t> </w:t>
      </w:r>
      <w:r w:rsidR="00AF637B">
        <w:fldChar w:fldCharType="begin"/>
      </w:r>
      <w:r w:rsidR="00AF637B">
        <w:instrText xml:space="preserve"> REF Schedule_32 \h </w:instrText>
      </w:r>
      <w:r w:rsidR="00AF637B">
        <w:fldChar w:fldCharType="separate"/>
      </w:r>
      <w:r w:rsidR="009749A0" w:rsidRPr="00EE4F10">
        <w:t>32</w:t>
      </w:r>
      <w:r w:rsidR="00AF637B">
        <w:fldChar w:fldCharType="end"/>
      </w:r>
      <w:r w:rsidR="00697D25" w:rsidRPr="00BD6C5F">
        <w:t xml:space="preserve"> </w:t>
      </w:r>
      <w:r w:rsidR="00697D25" w:rsidRPr="00BD6C5F">
        <w:rPr>
          <w:i/>
        </w:rPr>
        <w:t>(Intellectual Property Rights</w:t>
      </w:r>
      <w:r w:rsidR="00697D25" w:rsidRPr="00BD6C5F">
        <w:rPr>
          <w:iCs/>
        </w:rPr>
        <w:t>).</w:t>
      </w:r>
    </w:p>
    <w:p w14:paraId="78D22F8F" w14:textId="23A4F972" w:rsidR="00BC7DDA" w:rsidRPr="00BD6C5F" w:rsidRDefault="0095651E" w:rsidP="00C5057A">
      <w:pPr>
        <w:pStyle w:val="Numbered1"/>
      </w:pPr>
      <w:r w:rsidRPr="00BD6C5F">
        <w:t>Supplier Personnel</w:t>
      </w:r>
    </w:p>
    <w:p w14:paraId="327770E5" w14:textId="44539C0D" w:rsidR="00BC7DDA" w:rsidRPr="00BD6C5F" w:rsidRDefault="009B03E9" w:rsidP="00C5057A">
      <w:pPr>
        <w:pStyle w:val="Numbered11"/>
      </w:pPr>
      <w:r w:rsidRPr="00BD6C5F">
        <w:t xml:space="preserve">The Authority and Supplier agree and acknowledge that in the event of the Supplier ceasing to provide the Services or part of them for any reason, </w:t>
      </w:r>
      <w:r w:rsidR="00C80B2C">
        <w:t>Schedule </w:t>
      </w:r>
      <w:r w:rsidR="00C80B2C">
        <w:fldChar w:fldCharType="begin"/>
      </w:r>
      <w:r w:rsidR="00C80B2C">
        <w:instrText xml:space="preserve"> REF Schedule_28 \h </w:instrText>
      </w:r>
      <w:r w:rsidR="00C80B2C">
        <w:fldChar w:fldCharType="separate"/>
      </w:r>
      <w:r w:rsidR="009749A0">
        <w:t>28</w:t>
      </w:r>
      <w:r w:rsidR="00C80B2C">
        <w:fldChar w:fldCharType="end"/>
      </w:r>
      <w:r w:rsidR="00C80B2C" w:rsidRPr="00BD6C5F">
        <w:t xml:space="preserve"> </w:t>
      </w:r>
      <w:r w:rsidRPr="00BD6C5F">
        <w:t>(</w:t>
      </w:r>
      <w:r w:rsidRPr="00BD6C5F">
        <w:rPr>
          <w:i/>
        </w:rPr>
        <w:t>Staff Transfer</w:t>
      </w:r>
      <w:r w:rsidRPr="00BD6C5F">
        <w:t>) shall apply.</w:t>
      </w:r>
    </w:p>
    <w:p w14:paraId="2B32C30E" w14:textId="77777777" w:rsidR="00BC7DDA" w:rsidRPr="00BD6C5F" w:rsidRDefault="009B03E9" w:rsidP="00C5057A">
      <w:pPr>
        <w:pStyle w:val="Numbered11"/>
      </w:pPr>
      <w:r w:rsidRPr="00BD6C5F">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5571BCF6" w14:textId="15EC4441" w:rsidR="00BC7DDA" w:rsidRPr="00BD6C5F" w:rsidRDefault="009B03E9" w:rsidP="00C5057A">
      <w:pPr>
        <w:pStyle w:val="Numbered11"/>
      </w:pPr>
      <w:r w:rsidRPr="00BD6C5F">
        <w:t>During the Termination Assistance Period, the Supplier shall give the Authority and/or the Replacement Supplier reasonable access to the Supplier</w:t>
      </w:r>
      <w:r w:rsidR="00A4555C" w:rsidRPr="00BD6C5F">
        <w:t>’</w:t>
      </w:r>
      <w:r w:rsidRPr="00BD6C5F">
        <w:t>s personnel to present the case for transferring their employment to the Authority and/or the Replacement Supplier.</w:t>
      </w:r>
    </w:p>
    <w:p w14:paraId="076B1126" w14:textId="77777777" w:rsidR="00BC7DDA" w:rsidRPr="00BD6C5F" w:rsidRDefault="009B03E9" w:rsidP="00C5057A">
      <w:pPr>
        <w:pStyle w:val="Numbered11"/>
      </w:pPr>
      <w:r w:rsidRPr="00BD6C5F">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317D81DF" w14:textId="77777777" w:rsidR="00BC7DDA" w:rsidRPr="00BD6C5F" w:rsidRDefault="009B03E9" w:rsidP="00C5057A">
      <w:pPr>
        <w:pStyle w:val="Numbered11"/>
      </w:pPr>
      <w:r w:rsidRPr="00BD6C5F">
        <w:t xml:space="preserve">The Supplier shall not for a period of 12 months from the date of transfer re- employ or re-engage or entice any employees, suppliers or Sub-contractors whose employment or </w:t>
      </w:r>
      <w:r w:rsidRPr="00BD6C5F">
        <w:lastRenderedPageBreak/>
        <w:t>engagement is transferred to the Authority and/or the Replacement Supplier, except that this paragraph shall not apply where the employee, supplier or Sub-contractor applies in response to a public advertisement of a vacancy.</w:t>
      </w:r>
    </w:p>
    <w:p w14:paraId="36EC2227" w14:textId="6C36D2A3" w:rsidR="00BC7DDA" w:rsidRPr="00BD6C5F" w:rsidRDefault="0095651E" w:rsidP="00C5057A">
      <w:pPr>
        <w:pStyle w:val="Numbered1"/>
      </w:pPr>
      <w:r w:rsidRPr="00BD6C5F">
        <w:t>Charges</w:t>
      </w:r>
    </w:p>
    <w:p w14:paraId="0F1B75AC" w14:textId="11AE6F15" w:rsidR="00BC7DDA" w:rsidRPr="00BD6C5F" w:rsidRDefault="009B03E9" w:rsidP="00C5057A">
      <w:pPr>
        <w:pStyle w:val="Numbered11"/>
      </w:pPr>
      <w:r w:rsidRPr="00BD6C5F">
        <w:t>During the Termination Assistance Period (or for such shorter period as the Authority may require the Supplier to provide the Termination Services), the Authority shall pay the Charges to the Supplier in respect of the Termination Services in accordance with the rates set out in the Exit Plan (but shall not be</w:t>
      </w:r>
      <w:r w:rsidR="00DB2677" w:rsidRPr="00BD6C5F">
        <w:t xml:space="preserve"> </w:t>
      </w:r>
      <w:r w:rsidRPr="00BD6C5F">
        <w:t>required to pay costs in excess of the estimate set out in the Exit Plan). If the scope or timing of the Termination Services is changed and this results in a change to the costs of such Termination Services, the estimate may be varied in accordance with the Change Control Procedure.</w:t>
      </w:r>
    </w:p>
    <w:p w14:paraId="2B7E0527" w14:textId="6808E20C" w:rsidR="00BC7DDA" w:rsidRPr="00BD6C5F" w:rsidRDefault="009B03E9" w:rsidP="00272F4C">
      <w:pPr>
        <w:pStyle w:val="Numbered11"/>
        <w:keepNext/>
      </w:pPr>
      <w:r w:rsidRPr="00BD6C5F">
        <w:t>Where the Authority requests an extension to the Termination Services beyond the Termination Assistance Period in accordance with Paragraph</w:t>
      </w:r>
      <w:r w:rsidR="007C62CA" w:rsidRPr="00BD6C5F">
        <w:t> </w:t>
      </w:r>
      <w:r w:rsidR="00CA2211" w:rsidRPr="00BD6C5F">
        <w:fldChar w:fldCharType="begin"/>
      </w:r>
      <w:r w:rsidR="00CA2211" w:rsidRPr="00BD6C5F">
        <w:instrText xml:space="preserve"> REF _Ref98418862 \n \h </w:instrText>
      </w:r>
      <w:r w:rsidR="00AD7DD0" w:rsidRPr="00BD6C5F">
        <w:instrText xml:space="preserve"> \* MERGEFORMAT </w:instrText>
      </w:r>
      <w:r w:rsidR="00CA2211" w:rsidRPr="00BD6C5F">
        <w:fldChar w:fldCharType="separate"/>
      </w:r>
      <w:r w:rsidR="009749A0">
        <w:t>9.2.2</w:t>
      </w:r>
      <w:r w:rsidR="00CA2211" w:rsidRPr="00BD6C5F">
        <w:fldChar w:fldCharType="end"/>
      </w:r>
      <w:r w:rsidRPr="00BD6C5F">
        <w:t>:</w:t>
      </w:r>
    </w:p>
    <w:p w14:paraId="1C986F74" w14:textId="29C67D1B" w:rsidR="00BC7DDA" w:rsidRPr="00BD6C5F" w:rsidRDefault="009B03E9" w:rsidP="0095651E">
      <w:pPr>
        <w:pStyle w:val="Numbered111"/>
      </w:pPr>
      <w:r w:rsidRPr="00BD6C5F">
        <w:t>where more than 6 months</w:t>
      </w:r>
      <w:r w:rsidR="00A4555C" w:rsidRPr="00BD6C5F">
        <w:t>’</w:t>
      </w:r>
      <w:r w:rsidRPr="00BD6C5F">
        <w:t xml:space="preserve"> notice is provided, the same rate as set out in the Exit Plan (or the Charges when not stated in the Exit Plan) shall be payable; and</w:t>
      </w:r>
    </w:p>
    <w:p w14:paraId="1EF87728" w14:textId="0751E291" w:rsidR="00BC7DDA" w:rsidRPr="00BD6C5F" w:rsidRDefault="009B03E9" w:rsidP="0095651E">
      <w:pPr>
        <w:pStyle w:val="Numbered111"/>
      </w:pPr>
      <w:bookmarkStart w:id="1272" w:name="_Ref98418862"/>
      <w:r w:rsidRPr="00BD6C5F">
        <w:t>where less than 6 months</w:t>
      </w:r>
      <w:r w:rsidR="00A4555C" w:rsidRPr="00BD6C5F">
        <w:t>’</w:t>
      </w:r>
      <w:r w:rsidRPr="00BD6C5F">
        <w:t xml:space="preserve"> notice is provided, no more than [</w:t>
      </w:r>
      <w:r w:rsidRPr="004C3F13">
        <w:rPr>
          <w:shd w:val="clear" w:color="auto" w:fill="FFFF00"/>
        </w:rPr>
        <w:t>1.2</w:t>
      </w:r>
      <w:r w:rsidRPr="004C3F13">
        <w:t>]</w:t>
      </w:r>
      <w:r w:rsidRPr="00BD6C5F">
        <w:t xml:space="preserve"> times the rate as set out in the Exit Plan (or the Charges when not stated in the Exit Plan) shall be payable.</w:t>
      </w:r>
      <w:bookmarkEnd w:id="1272"/>
    </w:p>
    <w:p w14:paraId="3CFFEDFB" w14:textId="77777777" w:rsidR="00BC7DDA" w:rsidRPr="00BD6C5F" w:rsidRDefault="009B03E9" w:rsidP="00C5057A">
      <w:pPr>
        <w:pStyle w:val="Numbered11"/>
      </w:pPr>
      <w:r w:rsidRPr="00BD6C5F">
        <w:t>For the purpose of calculating the costs of providing the Termination Services for inclusion in the Exit Plan or, if no Exit Plan has been agreed, the costs of providing Termination Services shall be determined in accordance with the Change Control Procedure.</w:t>
      </w:r>
    </w:p>
    <w:p w14:paraId="415995B8" w14:textId="28E809E6" w:rsidR="00BC7DDA" w:rsidRPr="00BD6C5F" w:rsidRDefault="009B03E9" w:rsidP="00C5057A">
      <w:pPr>
        <w:pStyle w:val="Numbered11"/>
      </w:pPr>
      <w:r w:rsidRPr="00BD6C5F">
        <w:t xml:space="preserve">Except as otherwise expressly specified in this </w:t>
      </w:r>
      <w:r w:rsidR="00DE54CD" w:rsidRPr="00BD6C5F">
        <w:t>Contract</w:t>
      </w:r>
      <w:r w:rsidRPr="00BD6C5F">
        <w:t>, the Supplier shall not make any charges for the services provided by the Supplier pursuant to, and the Authority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24D17E06" w14:textId="72BC2697" w:rsidR="00BC7DDA" w:rsidRPr="00BD6C5F" w:rsidRDefault="0095651E" w:rsidP="00C5057A">
      <w:pPr>
        <w:pStyle w:val="Numbered1"/>
      </w:pPr>
      <w:r w:rsidRPr="00BD6C5F">
        <w:t>Apportionments</w:t>
      </w:r>
    </w:p>
    <w:p w14:paraId="13DC7F47" w14:textId="77777777" w:rsidR="00BC7DDA" w:rsidRPr="00BD6C5F" w:rsidRDefault="009B03E9" w:rsidP="00C5057A">
      <w:pPr>
        <w:pStyle w:val="Numbered11"/>
      </w:pPr>
      <w:bookmarkStart w:id="1273" w:name="_bookmark450"/>
      <w:bookmarkStart w:id="1274" w:name="_Ref98418874"/>
      <w:bookmarkEnd w:id="1273"/>
      <w:r w:rsidRPr="00BD6C5F">
        <w:t>All outgoings and expenses (including any remuneration due) and all rents, royalties and other periodical payments receivable in respect of the Transferring Assets and Transferring Contracts shall be apportioned between the Authority and the Supplier and/or the Replacement Supplier and the Supplier (as applicable) as follows:</w:t>
      </w:r>
      <w:bookmarkEnd w:id="1274"/>
    </w:p>
    <w:p w14:paraId="0D0B8B22" w14:textId="77777777" w:rsidR="00BC7DDA" w:rsidRPr="00BD6C5F" w:rsidRDefault="009B03E9" w:rsidP="0095651E">
      <w:pPr>
        <w:pStyle w:val="Numbered111"/>
      </w:pPr>
      <w:r w:rsidRPr="00BD6C5F">
        <w:t>the amounts shall be annualised and divided by 365 to reach a daily rate;</w:t>
      </w:r>
    </w:p>
    <w:p w14:paraId="0EE53DA5" w14:textId="77777777" w:rsidR="00BC7DDA" w:rsidRPr="00BD6C5F" w:rsidRDefault="009B03E9" w:rsidP="0095651E">
      <w:pPr>
        <w:pStyle w:val="Numbered111"/>
      </w:pPr>
      <w:r w:rsidRPr="00BD6C5F">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0B7A8F74" w14:textId="77777777" w:rsidR="00BC7DDA" w:rsidRPr="00BD6C5F" w:rsidRDefault="009B03E9" w:rsidP="0095651E">
      <w:pPr>
        <w:pStyle w:val="Numbered111"/>
      </w:pPr>
      <w:r w:rsidRPr="00BD6C5F">
        <w:t>the Supplier shall be responsible for or entitled to (as the case may be) the rest of the invoice.</w:t>
      </w:r>
    </w:p>
    <w:p w14:paraId="77DE0491" w14:textId="7C61C235" w:rsidR="00BC7DDA" w:rsidRPr="00BD6C5F" w:rsidRDefault="009B03E9" w:rsidP="00C5057A">
      <w:pPr>
        <w:pStyle w:val="Numbered11"/>
      </w:pPr>
      <w:r w:rsidRPr="00BD6C5F">
        <w:lastRenderedPageBreak/>
        <w:t>Each Party shall pay (and/or the Authority shall procure that the Replacement Supplier shall pay) any monies due under Paragraph</w:t>
      </w:r>
      <w:r w:rsidR="007C62CA" w:rsidRPr="00BD6C5F">
        <w:t> </w:t>
      </w:r>
      <w:r w:rsidR="00CA2211" w:rsidRPr="00BD6C5F">
        <w:fldChar w:fldCharType="begin"/>
      </w:r>
      <w:r w:rsidR="00CA2211" w:rsidRPr="00BD6C5F">
        <w:instrText xml:space="preserve"> REF _Ref98418874 \w \h </w:instrText>
      </w:r>
      <w:r w:rsidR="00AD7DD0" w:rsidRPr="00BD6C5F">
        <w:instrText xml:space="preserve"> \* MERGEFORMAT </w:instrText>
      </w:r>
      <w:r w:rsidR="00CA2211" w:rsidRPr="00BD6C5F">
        <w:fldChar w:fldCharType="separate"/>
      </w:r>
      <w:r w:rsidR="009749A0">
        <w:t>10.1</w:t>
      </w:r>
      <w:r w:rsidR="00CA2211" w:rsidRPr="00BD6C5F">
        <w:fldChar w:fldCharType="end"/>
      </w:r>
      <w:r w:rsidRPr="00BD6C5F">
        <w:t xml:space="preserve"> as soon as reasonably practicable.</w:t>
      </w:r>
    </w:p>
    <w:p w14:paraId="3DEFDB0A" w14:textId="77777777" w:rsidR="00E238E6" w:rsidRPr="00BD6C5F" w:rsidRDefault="00E238E6" w:rsidP="00570E4E"/>
    <w:p w14:paraId="169FDF91" w14:textId="35B2E028" w:rsidR="00D27CFD" w:rsidRPr="00BD6C5F" w:rsidRDefault="00D27CFD" w:rsidP="00570E4E">
      <w:r w:rsidRPr="00BD6C5F">
        <w:br w:type="page"/>
      </w:r>
    </w:p>
    <w:p w14:paraId="208DA0D6" w14:textId="47827DE5" w:rsidR="00BC7DDA" w:rsidRPr="00BD6C5F" w:rsidRDefault="0095651E" w:rsidP="00053151">
      <w:pPr>
        <w:pStyle w:val="Heading2"/>
      </w:pPr>
      <w:bookmarkStart w:id="1275" w:name="_bookmark451"/>
      <w:bookmarkStart w:id="1276" w:name="_Toc98332773"/>
      <w:bookmarkStart w:id="1277" w:name="_Ref98336007"/>
      <w:bookmarkStart w:id="1278" w:name="_Ref98344133"/>
      <w:bookmarkStart w:id="1279" w:name="_Toc98852949"/>
      <w:bookmarkStart w:id="1280" w:name="_Toc141721042"/>
      <w:bookmarkEnd w:id="1275"/>
      <w:r w:rsidRPr="00BD6C5F">
        <w:lastRenderedPageBreak/>
        <w:t xml:space="preserve">Annex </w:t>
      </w:r>
      <w:bookmarkStart w:id="1281" w:name="Schedule_25_Annex_1"/>
      <w:r w:rsidRPr="00BD6C5F">
        <w:t>1</w:t>
      </w:r>
      <w:bookmarkEnd w:id="1281"/>
      <w:r w:rsidRPr="00BD6C5F">
        <w:t>: Scope of the Termination Services</w:t>
      </w:r>
      <w:bookmarkEnd w:id="1276"/>
      <w:bookmarkEnd w:id="1277"/>
      <w:bookmarkEnd w:id="1278"/>
      <w:bookmarkEnd w:id="1279"/>
      <w:bookmarkEnd w:id="1280"/>
    </w:p>
    <w:p w14:paraId="0E0F4E93" w14:textId="07AF200E" w:rsidR="008D2790" w:rsidRPr="00BD6C5F" w:rsidRDefault="0095651E" w:rsidP="00B71FC0">
      <w:pPr>
        <w:pStyle w:val="AppendixText1"/>
        <w:numPr>
          <w:ilvl w:val="0"/>
          <w:numId w:val="170"/>
        </w:numPr>
      </w:pPr>
      <w:r w:rsidRPr="00BD6C5F">
        <w:t>Introduction</w:t>
      </w:r>
    </w:p>
    <w:p w14:paraId="1EE37BC4" w14:textId="77777777" w:rsidR="00BC7DDA" w:rsidRPr="00BD6C5F" w:rsidRDefault="009B03E9" w:rsidP="00272F4C">
      <w:pPr>
        <w:pStyle w:val="AppendixText2"/>
        <w:keepNext/>
      </w:pPr>
      <w:bookmarkStart w:id="1282" w:name="_bookmark452"/>
      <w:bookmarkStart w:id="1283" w:name="_Ref141216452"/>
      <w:bookmarkEnd w:id="1282"/>
      <w:r w:rsidRPr="00BD6C5F">
        <w:t>The Termination Services to be provided by the Supplier shall include such of the following services as the Authority may specify:</w:t>
      </w:r>
      <w:bookmarkEnd w:id="1283"/>
    </w:p>
    <w:p w14:paraId="180FDA68" w14:textId="77777777" w:rsidR="00BC7DDA" w:rsidRPr="00BD6C5F" w:rsidRDefault="009B03E9" w:rsidP="00BD6C5F">
      <w:pPr>
        <w:pStyle w:val="AppendixText3"/>
      </w:pPr>
      <w:r w:rsidRPr="00BD6C5F">
        <w:t>ceasing all non-critical Software changes (except where agreed in writing with the Authority);</w:t>
      </w:r>
    </w:p>
    <w:p w14:paraId="333A9735" w14:textId="77777777" w:rsidR="00BC7DDA" w:rsidRPr="00BD6C5F" w:rsidRDefault="009B03E9" w:rsidP="00BD6C5F">
      <w:pPr>
        <w:pStyle w:val="AppendixText3"/>
      </w:pPr>
      <w:r w:rsidRPr="00BD6C5F">
        <w:t>notifying the Sub-contractors of procedures to be followed during the Termination Assistance Period and providing management to ensure these procedures are followed;</w:t>
      </w:r>
    </w:p>
    <w:p w14:paraId="69C79468" w14:textId="77777777" w:rsidR="00BC7DDA" w:rsidRPr="00BD6C5F" w:rsidRDefault="009B03E9" w:rsidP="00BD6C5F">
      <w:pPr>
        <w:pStyle w:val="AppendixText3"/>
      </w:pPr>
      <w:r w:rsidRPr="00BD6C5F">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14:paraId="289556EA" w14:textId="77777777" w:rsidR="00BC7DDA" w:rsidRPr="00BD6C5F" w:rsidRDefault="009B03E9" w:rsidP="00BD6C5F">
      <w:pPr>
        <w:pStyle w:val="AppendixText3"/>
      </w:pPr>
      <w:r w:rsidRPr="00BD6C5F">
        <w:t>delivering to the Authority the existing systems support profiles, monitoring or system logs, problem tracking/resolution documentation and status reports all relating to the 12 month period immediately prior to the commencement of the Termination Services;</w:t>
      </w:r>
    </w:p>
    <w:p w14:paraId="04340F86" w14:textId="77777777" w:rsidR="00BC7DDA" w:rsidRPr="00BD6C5F" w:rsidRDefault="009B03E9" w:rsidP="00BD6C5F">
      <w:pPr>
        <w:pStyle w:val="AppendixText3"/>
      </w:pPr>
      <w:r w:rsidRPr="00BD6C5F">
        <w:t>providing details of work volumes and staffing requirements over the 12 month period immediately prior to the commencement of the Termination Services;</w:t>
      </w:r>
    </w:p>
    <w:p w14:paraId="5C444A37" w14:textId="77777777" w:rsidR="00BC7DDA" w:rsidRPr="00BD6C5F" w:rsidRDefault="009B03E9" w:rsidP="00BD6C5F">
      <w:pPr>
        <w:pStyle w:val="AppendixText3"/>
      </w:pPr>
      <w:r w:rsidRPr="00BD6C5F">
        <w:t>with respect to work in progress as at the end of the Termination Assistance Period, documenting the current status and stabilising for continuity during transition;</w:t>
      </w:r>
    </w:p>
    <w:p w14:paraId="42E00535" w14:textId="77777777" w:rsidR="00BC7DDA" w:rsidRPr="00BD6C5F" w:rsidRDefault="009B03E9" w:rsidP="00BD6C5F">
      <w:pPr>
        <w:pStyle w:val="AppendixText3"/>
      </w:pPr>
      <w:r w:rsidRPr="00BD6C5F">
        <w:t>providing the Authority with any problem logs which have not previously been provided to the Authority;</w:t>
      </w:r>
    </w:p>
    <w:p w14:paraId="2734AB4E" w14:textId="77777777" w:rsidR="00BC7DDA" w:rsidRPr="00BD6C5F" w:rsidRDefault="009B03E9" w:rsidP="00BD6C5F">
      <w:pPr>
        <w:pStyle w:val="AppendixText3"/>
      </w:pPr>
      <w:r w:rsidRPr="00BD6C5F">
        <w:t>providing assistance and expertise as necessary to examine all governance and reports in place for the provision of the Services and re-writing and implementing these during and for a period of 12 months after the Termination Assistance Period;</w:t>
      </w:r>
    </w:p>
    <w:p w14:paraId="2A9C9C24" w14:textId="0A8847C9" w:rsidR="00BC7DDA" w:rsidRPr="00BD6C5F" w:rsidRDefault="009B03E9" w:rsidP="00BD6C5F">
      <w:pPr>
        <w:pStyle w:val="AppendixText3"/>
      </w:pPr>
      <w:r w:rsidRPr="00BD6C5F">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08C403B6" w14:textId="68D076D9" w:rsidR="001A7706" w:rsidRPr="00BD6C5F" w:rsidRDefault="001A7706" w:rsidP="00BD6C5F">
      <w:pPr>
        <w:pStyle w:val="AppendixText3"/>
      </w:pPr>
      <w:r w:rsidRPr="00BD6C5F">
        <w:t xml:space="preserve">agreeing with the Authority an effective communication strategy and joint communications plan which sets out the implications for Supplier Personnel, Authority staff, customers and key stakeholders; </w:t>
      </w:r>
    </w:p>
    <w:p w14:paraId="551ECB85" w14:textId="77777777" w:rsidR="00BC7DDA" w:rsidRPr="00BD6C5F" w:rsidRDefault="009B03E9" w:rsidP="00BD6C5F">
      <w:pPr>
        <w:pStyle w:val="AppendixText3"/>
      </w:pPr>
      <w:bookmarkStart w:id="1284" w:name="_bookmark453"/>
      <w:bookmarkEnd w:id="1284"/>
      <w:r w:rsidRPr="00BD6C5F">
        <w:t xml:space="preserve">providing assistance and expertise as necessary to support the Authority and/or the Replacement Supplier develop the migration plan for business operations and Authority Data to the Replacement Supplier, which may </w:t>
      </w:r>
      <w:r w:rsidRPr="00BD6C5F">
        <w:lastRenderedPageBreak/>
        <w:t>include migration approach, testing of plans, contingency options, and handling of historic or archived Authority Data;</w:t>
      </w:r>
    </w:p>
    <w:p w14:paraId="5DA02E32" w14:textId="206C48D0" w:rsidR="00BC7DDA" w:rsidRPr="00BD6C5F" w:rsidRDefault="009B03E9" w:rsidP="00BD6C5F">
      <w:pPr>
        <w:pStyle w:val="AppendixText3"/>
      </w:pPr>
      <w:r w:rsidRPr="00BD6C5F">
        <w:t>provide all necessary support, equipment, tools, and Software such as data migration services and/or Automated Programming Interfaces, in order to enable and support the execution of the migration plan by the Authority and/or Replacement Supplier;</w:t>
      </w:r>
    </w:p>
    <w:p w14:paraId="6519253B" w14:textId="77777777" w:rsidR="00BC7DDA" w:rsidRPr="00BD6C5F" w:rsidRDefault="009B03E9" w:rsidP="00BD6C5F">
      <w:pPr>
        <w:pStyle w:val="AppendixText3"/>
      </w:pPr>
      <w:r w:rsidRPr="00BD6C5F">
        <w:t>reviewing all Software libraries used in connection with the Services and providing details of these to the Authority and/or the Replacement Supplier;</w:t>
      </w:r>
    </w:p>
    <w:p w14:paraId="10B625F3" w14:textId="77777777" w:rsidR="00BC7DDA" w:rsidRPr="00BD6C5F" w:rsidRDefault="009B03E9" w:rsidP="00BD6C5F">
      <w:pPr>
        <w:pStyle w:val="AppendixText3"/>
      </w:pPr>
      <w:r w:rsidRPr="00BD6C5F">
        <w:t>making available to the Authority and/or the Replacement Supplier expertise to analyse training requirements and provide all necessary training for the use of tools by such staff as are nominated by the Authority (acting reasonably) at the time of termination or expiry;</w:t>
      </w:r>
    </w:p>
    <w:p w14:paraId="36DA82C4" w14:textId="2C46C414" w:rsidR="00BC7DDA" w:rsidRPr="00BD6C5F" w:rsidRDefault="009B03E9" w:rsidP="00BD6C5F">
      <w:pPr>
        <w:pStyle w:val="AppendixText3"/>
      </w:pPr>
      <w:bookmarkStart w:id="1285" w:name="_Ref98420405"/>
      <w:r w:rsidRPr="00BD6C5F">
        <w:t>assisting in establishing naming conventions for any new production site;</w:t>
      </w:r>
      <w:bookmarkEnd w:id="1285"/>
    </w:p>
    <w:p w14:paraId="77D76879" w14:textId="77777777" w:rsidR="00BC7DDA" w:rsidRPr="00BD6C5F" w:rsidRDefault="009B03E9" w:rsidP="00BD6C5F">
      <w:pPr>
        <w:pStyle w:val="AppendixText3"/>
      </w:pPr>
      <w:bookmarkStart w:id="1286" w:name="_bookmark454"/>
      <w:bookmarkEnd w:id="1286"/>
      <w:r w:rsidRPr="00BD6C5F">
        <w:t>analysing and providing information about capacity and performance requirements, processor requirements and bandwidth requirements, and known planned requirements for capacity growth across these areas;</w:t>
      </w:r>
    </w:p>
    <w:p w14:paraId="1DCFF0E8" w14:textId="77777777" w:rsidR="00BC7DDA" w:rsidRPr="00BD6C5F" w:rsidRDefault="009B03E9" w:rsidP="00BD6C5F">
      <w:pPr>
        <w:pStyle w:val="AppendixText3"/>
      </w:pPr>
      <w:r w:rsidRPr="00BD6C5F">
        <w:t xml:space="preserve">generating a computer listing of the Source Code of </w:t>
      </w:r>
      <w:r w:rsidRPr="00BD6C5F">
        <w:rPr>
          <w:shd w:val="clear" w:color="auto" w:fill="FFFF00"/>
        </w:rPr>
        <w:t>[</w:t>
      </w:r>
      <w:r w:rsidRPr="00012747">
        <w:rPr>
          <w:b/>
          <w:bCs/>
          <w:shd w:val="clear" w:color="auto" w:fill="FFFF00"/>
        </w:rPr>
        <w:t>insert</w:t>
      </w:r>
      <w:r w:rsidRPr="004C3F13">
        <w:rPr>
          <w:shd w:val="clear" w:color="auto" w:fill="FFFF00"/>
        </w:rPr>
        <w:t xml:space="preserve"> details of relevant Software</w:t>
      </w:r>
      <w:r w:rsidRPr="00BD6C5F">
        <w:rPr>
          <w:shd w:val="clear" w:color="auto" w:fill="FFFF00"/>
        </w:rPr>
        <w:t>]</w:t>
      </w:r>
      <w:r w:rsidRPr="00BD6C5F">
        <w:t xml:space="preserve"> in a form and on media reasonably requested by the Authority;</w:t>
      </w:r>
    </w:p>
    <w:p w14:paraId="4D59AD00" w14:textId="5FDBFC68" w:rsidR="00BC7DDA" w:rsidRPr="00BD6C5F" w:rsidRDefault="009B03E9" w:rsidP="00BD6C5F">
      <w:pPr>
        <w:pStyle w:val="AppendixText3"/>
      </w:pPr>
      <w:r w:rsidRPr="00BD6C5F">
        <w:t>agreeing with the Authority a handover plan for all of the Supplier</w:t>
      </w:r>
      <w:r w:rsidR="00A4555C" w:rsidRPr="00BD6C5F">
        <w:t>’</w:t>
      </w:r>
      <w:r w:rsidRPr="00BD6C5F">
        <w:t>s responsibilities as set out in the Security Management Plan;</w:t>
      </w:r>
    </w:p>
    <w:p w14:paraId="044EC619" w14:textId="58F38577" w:rsidR="00BC7DDA" w:rsidRPr="00BD6C5F" w:rsidRDefault="009B03E9" w:rsidP="00BD6C5F">
      <w:pPr>
        <w:pStyle w:val="AppendixText3"/>
      </w:pPr>
      <w:bookmarkStart w:id="1287" w:name="_Ref98420421"/>
      <w:r w:rsidRPr="00BD6C5F">
        <w:t>delivering copies of the production databases (with content listings) to the Authority</w:t>
      </w:r>
      <w:r w:rsidR="00A4555C" w:rsidRPr="00BD6C5F">
        <w:t>’</w:t>
      </w:r>
      <w:r w:rsidRPr="00BD6C5F">
        <w:t>s and/or the Replacement Supplier</w:t>
      </w:r>
      <w:r w:rsidR="00A4555C" w:rsidRPr="00BD6C5F">
        <w:t>’</w:t>
      </w:r>
      <w:r w:rsidRPr="00BD6C5F">
        <w:t>s operations staff (on appropriate media) as reasonably requested by the Authority;</w:t>
      </w:r>
      <w:bookmarkEnd w:id="1287"/>
    </w:p>
    <w:p w14:paraId="5D12728A" w14:textId="77777777" w:rsidR="00BC7DDA" w:rsidRPr="00BD6C5F" w:rsidRDefault="009B03E9" w:rsidP="00BD6C5F">
      <w:pPr>
        <w:pStyle w:val="AppendixText3"/>
      </w:pPr>
      <w:r w:rsidRPr="00BD6C5F">
        <w:t>assisting with the loading, testing and implementation of the production databases;</w:t>
      </w:r>
    </w:p>
    <w:p w14:paraId="27C10096" w14:textId="75320F34" w:rsidR="00BC7DDA" w:rsidRPr="00BD6C5F" w:rsidRDefault="009B03E9" w:rsidP="00BD6C5F">
      <w:pPr>
        <w:pStyle w:val="AppendixText3"/>
      </w:pPr>
      <w:r w:rsidRPr="00BD6C5F">
        <w:t xml:space="preserve">assisting in the execution of a parallel operation until the effective date of expiry or termination of this </w:t>
      </w:r>
      <w:r w:rsidR="00DE54CD" w:rsidRPr="00BD6C5F">
        <w:t>Contract</w:t>
      </w:r>
      <w:r w:rsidRPr="00BD6C5F">
        <w:t>;</w:t>
      </w:r>
    </w:p>
    <w:p w14:paraId="324035E9" w14:textId="77777777" w:rsidR="00BC7DDA" w:rsidRPr="00BD6C5F" w:rsidRDefault="009B03E9" w:rsidP="00BD6C5F">
      <w:pPr>
        <w:pStyle w:val="AppendixText3"/>
      </w:pPr>
      <w:r w:rsidRPr="00BD6C5F">
        <w:t xml:space="preserve">in respect of the maintenance and support of the Supplier System, providing historical performance data for the previous </w:t>
      </w:r>
      <w:r w:rsidRPr="00BD6C5F">
        <w:rPr>
          <w:shd w:val="clear" w:color="auto" w:fill="FFFF00"/>
        </w:rPr>
        <w:t>[</w:t>
      </w:r>
      <w:r w:rsidRPr="00012747">
        <w:rPr>
          <w:b/>
          <w:bCs/>
          <w:shd w:val="clear" w:color="auto" w:fill="FFFF00"/>
        </w:rPr>
        <w:t>insert</w:t>
      </w:r>
      <w:r w:rsidRPr="004C3F13">
        <w:rPr>
          <w:shd w:val="clear" w:color="auto" w:fill="FFFF00"/>
        </w:rPr>
        <w:t xml:space="preserve"> time period</w:t>
      </w:r>
      <w:r w:rsidRPr="00BD6C5F">
        <w:rPr>
          <w:shd w:val="clear" w:color="auto" w:fill="FFFF00"/>
        </w:rPr>
        <w:t>]</w:t>
      </w:r>
      <w:r w:rsidRPr="00BD6C5F">
        <w:t>;</w:t>
      </w:r>
    </w:p>
    <w:p w14:paraId="6461070E" w14:textId="77777777" w:rsidR="00BC7DDA" w:rsidRPr="00BD6C5F" w:rsidRDefault="009B03E9" w:rsidP="00BD6C5F">
      <w:pPr>
        <w:pStyle w:val="AppendixText3"/>
      </w:pPr>
      <w:r w:rsidRPr="00BD6C5F">
        <w:t>assisting in the execution of a parallel operation of the maintenance and support of the Supplier System until the end of the Termination Assistance Period or as otherwise specified by the Authority (provided that these Services shall end on a date no later than the end of the Termination Assistance Period);</w:t>
      </w:r>
    </w:p>
    <w:p w14:paraId="79589500" w14:textId="77777777" w:rsidR="00BC7DDA" w:rsidRPr="00BD6C5F" w:rsidRDefault="009B03E9" w:rsidP="00BD6C5F">
      <w:pPr>
        <w:pStyle w:val="AppendixText3"/>
      </w:pPr>
      <w:bookmarkStart w:id="1288" w:name="_bookmark455"/>
      <w:bookmarkEnd w:id="1288"/>
      <w:r w:rsidRPr="00BD6C5F">
        <w:t>providing an information pack listing and describing the Services for use by the Authority in the procurement of the Replacement Services;</w:t>
      </w:r>
    </w:p>
    <w:p w14:paraId="32D1CB6E" w14:textId="66E35A46" w:rsidR="00BC7DDA" w:rsidRPr="00BD6C5F" w:rsidRDefault="009B03E9" w:rsidP="00BD6C5F">
      <w:pPr>
        <w:pStyle w:val="AppendixText3"/>
      </w:pPr>
      <w:r w:rsidRPr="00BD6C5F">
        <w:t>answering all reasonable questions from the Authority and/or the Replacement Supplier regarding the Services;</w:t>
      </w:r>
    </w:p>
    <w:p w14:paraId="3576176C" w14:textId="77777777" w:rsidR="00BC7DDA" w:rsidRPr="00BD6C5F" w:rsidRDefault="009B03E9" w:rsidP="00BD6C5F">
      <w:pPr>
        <w:pStyle w:val="AppendixText3"/>
      </w:pPr>
      <w:bookmarkStart w:id="1289" w:name="_bookmark456"/>
      <w:bookmarkEnd w:id="1289"/>
      <w:r w:rsidRPr="00BD6C5F">
        <w:lastRenderedPageBreak/>
        <w:t>agreeing with the Authority and/or the Replacement Supplier a plan for the migration of the Authority Data to the Authority and/or the Replacement Supplier;</w:t>
      </w:r>
    </w:p>
    <w:p w14:paraId="0E6D699F" w14:textId="77777777" w:rsidR="00BC7DDA" w:rsidRPr="00BD6C5F" w:rsidRDefault="009B03E9" w:rsidP="00BD6C5F">
      <w:pPr>
        <w:pStyle w:val="AppendixText3"/>
      </w:pPr>
      <w:bookmarkStart w:id="1290" w:name="_Ref98420438"/>
      <w:r w:rsidRPr="00BD6C5F">
        <w:t>providing access to the Authority and/or the Replacement Supplier during the Termination Assistance Period and for a period not exceeding 6 months afterwards for the purpose of the smooth transfer of the Services to the Authority and/or the Replacement Supplier:</w:t>
      </w:r>
      <w:bookmarkEnd w:id="1290"/>
    </w:p>
    <w:p w14:paraId="1679B502" w14:textId="77777777" w:rsidR="00BC7DDA" w:rsidRPr="00BD6C5F" w:rsidRDefault="009B03E9" w:rsidP="00DE03A4">
      <w:pPr>
        <w:pStyle w:val="AppendixText4"/>
      </w:pPr>
      <w:r w:rsidRPr="00BD6C5F">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p>
    <w:p w14:paraId="5621C2B3" w14:textId="54BDC1F4" w:rsidR="00BC7DDA" w:rsidRPr="00BD6C5F" w:rsidRDefault="009B03E9" w:rsidP="00DE03A4">
      <w:pPr>
        <w:pStyle w:val="AppendixText4"/>
      </w:pPr>
      <w:r w:rsidRPr="00BD6C5F">
        <w:t>following reasonable notice and during the Supplier</w:t>
      </w:r>
      <w:r w:rsidR="00A4555C" w:rsidRPr="00BD6C5F">
        <w:t>’</w:t>
      </w:r>
      <w:r w:rsidRPr="00BD6C5F">
        <w:t>s normal business hours, to members of the Supplier Personnel who have been involved in the provision or management of the Services and who are still employed or engaged by the Supplier or its Sub-contractors; and</w:t>
      </w:r>
    </w:p>
    <w:p w14:paraId="683736F9" w14:textId="75E70153" w:rsidR="00BC7DDA" w:rsidRPr="00BD6C5F" w:rsidRDefault="009B03E9" w:rsidP="00272F4C">
      <w:pPr>
        <w:pStyle w:val="AppendixText3"/>
        <w:keepNext/>
      </w:pPr>
      <w:bookmarkStart w:id="1291" w:name="_Ref98420759"/>
      <w:r w:rsidRPr="00BD6C5F">
        <w:t>knowledge transfer services, including:</w:t>
      </w:r>
      <w:bookmarkEnd w:id="1291"/>
    </w:p>
    <w:p w14:paraId="2944E884" w14:textId="77777777" w:rsidR="00BC7DDA" w:rsidRPr="00BD6C5F" w:rsidRDefault="009B03E9" w:rsidP="00DE03A4">
      <w:pPr>
        <w:pStyle w:val="AppendixText4"/>
      </w:pPr>
      <w:r w:rsidRPr="00BD6C5F">
        <w:t>transferring all training material and providing appropriate training to those Authority and/or Replacement Supplier staff responsible for internal training in connection with the provision of the Services;</w:t>
      </w:r>
    </w:p>
    <w:p w14:paraId="5398E5AC" w14:textId="77777777" w:rsidR="00BC7DDA" w:rsidRPr="00BD6C5F" w:rsidRDefault="009B03E9" w:rsidP="00DE03A4">
      <w:pPr>
        <w:pStyle w:val="AppendixText4"/>
      </w:pPr>
      <w:r w:rsidRPr="00BD6C5F">
        <w:t>providing for transfer to the Authority and/or the Replacement Supplier of all knowledge reasonably required for the provision of the Services which may, as appropriate, include information, records and documents; and</w:t>
      </w:r>
    </w:p>
    <w:p w14:paraId="6EDA08A2" w14:textId="6EB02682" w:rsidR="007E3412" w:rsidRPr="00BD6C5F" w:rsidRDefault="009B03E9" w:rsidP="00DE03A4">
      <w:pPr>
        <w:pStyle w:val="AppendixText4"/>
      </w:pPr>
      <w:r w:rsidRPr="00BD6C5F">
        <w:t>providing the Supplier and/or the Replacement Supplier with access to such members of the Supplier</w:t>
      </w:r>
      <w:r w:rsidR="00A4555C" w:rsidRPr="00BD6C5F">
        <w:t>’</w:t>
      </w:r>
      <w:r w:rsidRPr="00BD6C5F">
        <w:t>s or its Sub-contractors</w:t>
      </w:r>
      <w:r w:rsidR="00A4555C" w:rsidRPr="00BD6C5F">
        <w:t>’</w:t>
      </w:r>
      <w:r w:rsidRPr="00BD6C5F">
        <w:t xml:space="preserve"> personnel as have been involved in the design, development, provision or management of the Services and who are still employed or engaged by the Supplier or its Sub-contractors</w:t>
      </w:r>
      <w:r w:rsidR="007E3412" w:rsidRPr="00BD6C5F">
        <w:t>; and</w:t>
      </w:r>
    </w:p>
    <w:p w14:paraId="55AAC88E" w14:textId="77777777" w:rsidR="007E3412" w:rsidRPr="00BD6C5F" w:rsidRDefault="007E3412" w:rsidP="00DE03A4">
      <w:pPr>
        <w:pStyle w:val="AppendixText4"/>
      </w:pPr>
      <w:r w:rsidRPr="00BD6C5F">
        <w:t>allowing the Authority and/or the Replacement Supplier to work alongside and observe the performance of the Services by the Supplier at its Sites used to fulfil the Services (subject to compliance by the Authority and the Replacement Supplier with any applicable security and/or health and safety restrictions,</w:t>
      </w:r>
    </w:p>
    <w:p w14:paraId="2BAFC988" w14:textId="0D03B634" w:rsidR="00BC7DDA" w:rsidRPr="00BD6C5F" w:rsidRDefault="007E3412" w:rsidP="008D2790">
      <w:pPr>
        <w:pStyle w:val="ListParagraph"/>
        <w:tabs>
          <w:tab w:val="left" w:pos="2826"/>
          <w:tab w:val="left" w:pos="2827"/>
        </w:tabs>
        <w:spacing w:before="100" w:after="200"/>
        <w:ind w:left="2523" w:firstLine="0"/>
        <w:rPr>
          <w:rFonts w:asciiTheme="minorHAnsi" w:hAnsiTheme="minorHAnsi" w:cstheme="minorHAnsi"/>
          <w:szCs w:val="24"/>
        </w:rPr>
      </w:pPr>
      <w:r w:rsidRPr="00BD6C5F">
        <w:rPr>
          <w:rFonts w:asciiTheme="minorHAnsi" w:hAnsiTheme="minorHAnsi" w:cstheme="minorHAnsi"/>
          <w:szCs w:val="24"/>
        </w:rPr>
        <w:t>and any such person who is provided with such knowledge transfer services will sign a confidentiality undertaking in favour of the Supplier (in such form as the Supplier shall reasonably require)).</w:t>
      </w:r>
    </w:p>
    <w:p w14:paraId="11D33C47" w14:textId="77777777" w:rsidR="00BC7DDA" w:rsidRPr="00BD6C5F" w:rsidRDefault="009B03E9" w:rsidP="00272F4C">
      <w:pPr>
        <w:pStyle w:val="AppendixText2"/>
        <w:keepNext/>
      </w:pPr>
      <w:bookmarkStart w:id="1292" w:name="_Ref141216461"/>
      <w:r w:rsidRPr="00BD6C5F">
        <w:t>The Supplier shall:</w:t>
      </w:r>
      <w:bookmarkEnd w:id="1292"/>
    </w:p>
    <w:p w14:paraId="6FBC2969" w14:textId="1F5BC630" w:rsidR="00BC7DDA" w:rsidRPr="00BD6C5F" w:rsidRDefault="009B03E9" w:rsidP="00BD6C5F">
      <w:pPr>
        <w:pStyle w:val="AppendixText3"/>
      </w:pPr>
      <w:r w:rsidRPr="00BD6C5F">
        <w:t>provide a documented plan relating to the training matters referred to in Paragraph</w:t>
      </w:r>
      <w:r w:rsidR="00A40E14" w:rsidRPr="00BD6C5F">
        <w:t> </w:t>
      </w:r>
      <w:r w:rsidR="00A40E14" w:rsidRPr="00BD6C5F">
        <w:fldChar w:fldCharType="begin"/>
      </w:r>
      <w:r w:rsidR="00A40E14" w:rsidRPr="00BD6C5F">
        <w:instrText xml:space="preserve"> REF _Ref98420405 \w \h </w:instrText>
      </w:r>
      <w:r w:rsidR="00AD7DD0" w:rsidRPr="00BD6C5F">
        <w:instrText xml:space="preserve"> \* MERGEFORMAT </w:instrText>
      </w:r>
      <w:r w:rsidR="00A40E14" w:rsidRPr="00BD6C5F">
        <w:fldChar w:fldCharType="separate"/>
      </w:r>
      <w:r w:rsidR="009749A0">
        <w:t>1.1.15</w:t>
      </w:r>
      <w:r w:rsidR="00A40E14" w:rsidRPr="00BD6C5F">
        <w:fldChar w:fldCharType="end"/>
      </w:r>
      <w:r w:rsidRPr="00BD6C5F">
        <w:t xml:space="preserve"> for agreement by the Authority at the time of termination or expiry of this </w:t>
      </w:r>
      <w:r w:rsidR="00D264DB" w:rsidRPr="00BD6C5F">
        <w:t>Contract</w:t>
      </w:r>
      <w:r w:rsidRPr="00BD6C5F">
        <w:t>;</w:t>
      </w:r>
    </w:p>
    <w:p w14:paraId="729F1A15" w14:textId="7EFCD27F" w:rsidR="00BC7DDA" w:rsidRPr="00BD6C5F" w:rsidRDefault="009B03E9" w:rsidP="00BD6C5F">
      <w:pPr>
        <w:pStyle w:val="AppendixText3"/>
      </w:pPr>
      <w:r w:rsidRPr="00BD6C5F">
        <w:t>co-operate fully in the execution of the handover plan agreed pursuant to Paragraph</w:t>
      </w:r>
      <w:r w:rsidR="00A40E14" w:rsidRPr="00BD6C5F">
        <w:t> </w:t>
      </w:r>
      <w:r w:rsidR="00A40E14" w:rsidRPr="00BD6C5F">
        <w:fldChar w:fldCharType="begin"/>
      </w:r>
      <w:r w:rsidR="00A40E14" w:rsidRPr="00BD6C5F">
        <w:instrText xml:space="preserve"> REF _Ref98420421 \w \h </w:instrText>
      </w:r>
      <w:r w:rsidR="00AD7DD0" w:rsidRPr="00BD6C5F">
        <w:instrText xml:space="preserve"> \* MERGEFORMAT </w:instrText>
      </w:r>
      <w:r w:rsidR="00A40E14" w:rsidRPr="00BD6C5F">
        <w:fldChar w:fldCharType="separate"/>
      </w:r>
      <w:r w:rsidR="009749A0">
        <w:t>1.1.19</w:t>
      </w:r>
      <w:r w:rsidR="00A40E14" w:rsidRPr="00BD6C5F">
        <w:fldChar w:fldCharType="end"/>
      </w:r>
      <w:r w:rsidRPr="00BD6C5F">
        <w:t>, providing skills and expertise of a suitable standard; and</w:t>
      </w:r>
    </w:p>
    <w:p w14:paraId="5CB88493" w14:textId="3F72110C" w:rsidR="00BC7DDA" w:rsidRPr="00BD6C5F" w:rsidRDefault="009B03E9" w:rsidP="00BD6C5F">
      <w:pPr>
        <w:pStyle w:val="AppendixText3"/>
      </w:pPr>
      <w:r w:rsidRPr="00BD6C5F">
        <w:t>fully co-operate in the execution of the Authority Data migration plan agreed pursuant to Paragraph</w:t>
      </w:r>
      <w:r w:rsidR="00A40E14" w:rsidRPr="00BD6C5F">
        <w:t> </w:t>
      </w:r>
      <w:r w:rsidR="00A40E14" w:rsidRPr="00BD6C5F">
        <w:fldChar w:fldCharType="begin"/>
      </w:r>
      <w:r w:rsidR="00A40E14" w:rsidRPr="00BD6C5F">
        <w:instrText xml:space="preserve"> REF _Ref98420438 \w \h </w:instrText>
      </w:r>
      <w:r w:rsidR="00AD7DD0" w:rsidRPr="00BD6C5F">
        <w:instrText xml:space="preserve"> \* MERGEFORMAT </w:instrText>
      </w:r>
      <w:r w:rsidR="00A40E14" w:rsidRPr="00BD6C5F">
        <w:fldChar w:fldCharType="separate"/>
      </w:r>
      <w:r w:rsidR="009749A0">
        <w:t>1.1.27</w:t>
      </w:r>
      <w:r w:rsidR="00A40E14" w:rsidRPr="00BD6C5F">
        <w:fldChar w:fldCharType="end"/>
      </w:r>
      <w:r w:rsidRPr="00BD6C5F">
        <w:t>, providing skills and expertise of a reasonably acceptable standard.</w:t>
      </w:r>
    </w:p>
    <w:p w14:paraId="2DC2D970" w14:textId="77777777" w:rsidR="00BC7DDA" w:rsidRPr="00BD6C5F" w:rsidRDefault="009B03E9" w:rsidP="00BD6C5F">
      <w:pPr>
        <w:pStyle w:val="AppendixText2"/>
      </w:pPr>
      <w:bookmarkStart w:id="1293" w:name="_bookmark457"/>
      <w:bookmarkStart w:id="1294" w:name="_Ref141216468"/>
      <w:bookmarkEnd w:id="1293"/>
      <w:r w:rsidRPr="00BD6C5F">
        <w:lastRenderedPageBreak/>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bookmarkEnd w:id="1294"/>
    </w:p>
    <w:p w14:paraId="271C75F4" w14:textId="3B4D8926" w:rsidR="00BC7DDA" w:rsidRPr="00BD6C5F" w:rsidRDefault="009B03E9" w:rsidP="00272F4C">
      <w:pPr>
        <w:pStyle w:val="AppendixText2"/>
        <w:keepNext/>
      </w:pPr>
      <w:bookmarkStart w:id="1295" w:name="_bookmark458"/>
      <w:bookmarkStart w:id="1296" w:name="_Ref141216473"/>
      <w:bookmarkEnd w:id="1295"/>
      <w:r w:rsidRPr="00BD6C5F">
        <w:t>The information which the Supplier shall provide to the Authority and/or the Replacement Supplier pursuant to Paragraph</w:t>
      </w:r>
      <w:r w:rsidR="00C24032" w:rsidRPr="00BD6C5F">
        <w:t> </w:t>
      </w:r>
      <w:r w:rsidR="00C24032" w:rsidRPr="00BD6C5F">
        <w:fldChar w:fldCharType="begin"/>
      </w:r>
      <w:r w:rsidR="00C24032" w:rsidRPr="00BD6C5F">
        <w:instrText xml:space="preserve"> REF _Ref98420759 \w \h </w:instrText>
      </w:r>
      <w:r w:rsidR="00AD7DD0" w:rsidRPr="00BD6C5F">
        <w:instrText xml:space="preserve"> \* MERGEFORMAT </w:instrText>
      </w:r>
      <w:r w:rsidR="00C24032" w:rsidRPr="00BD6C5F">
        <w:fldChar w:fldCharType="separate"/>
      </w:r>
      <w:r w:rsidR="009749A0">
        <w:t>1.1.28</w:t>
      </w:r>
      <w:r w:rsidR="00C24032" w:rsidRPr="00BD6C5F">
        <w:fldChar w:fldCharType="end"/>
      </w:r>
      <w:r w:rsidRPr="00BD6C5F">
        <w:t xml:space="preserve"> shall include:</w:t>
      </w:r>
      <w:bookmarkEnd w:id="1296"/>
    </w:p>
    <w:p w14:paraId="09E5EA6F" w14:textId="77777777" w:rsidR="00BC7DDA" w:rsidRPr="00BD6C5F" w:rsidRDefault="009B03E9" w:rsidP="00BD6C5F">
      <w:pPr>
        <w:pStyle w:val="AppendixText3"/>
      </w:pPr>
      <w:r w:rsidRPr="00BD6C5F">
        <w:t>copies of up-to-date procedures and operations manuals;</w:t>
      </w:r>
    </w:p>
    <w:p w14:paraId="545F612A" w14:textId="77777777" w:rsidR="00BC7DDA" w:rsidRPr="00BD6C5F" w:rsidRDefault="009B03E9" w:rsidP="00BD6C5F">
      <w:pPr>
        <w:pStyle w:val="AppendixText3"/>
      </w:pPr>
      <w:r w:rsidRPr="00BD6C5F">
        <w:t>product information;</w:t>
      </w:r>
    </w:p>
    <w:p w14:paraId="6A1F74FA" w14:textId="77777777" w:rsidR="00BC7DDA" w:rsidRPr="00BD6C5F" w:rsidRDefault="009B03E9" w:rsidP="00BD6C5F">
      <w:pPr>
        <w:pStyle w:val="AppendixText3"/>
      </w:pPr>
      <w:r w:rsidRPr="00BD6C5F">
        <w:t>agreements with third party suppliers of goods and services which are to be transferred to the Authority and/or the Replacement Supplier;</w:t>
      </w:r>
    </w:p>
    <w:p w14:paraId="53D78A2A" w14:textId="220D74A9" w:rsidR="00BC7DDA" w:rsidRPr="00BD6C5F" w:rsidRDefault="009B03E9" w:rsidP="00BD6C5F">
      <w:pPr>
        <w:pStyle w:val="AppendixText3"/>
      </w:pPr>
      <w:r w:rsidRPr="00BD6C5F">
        <w:t xml:space="preserve">key support </w:t>
      </w:r>
      <w:r w:rsidRPr="0092630C">
        <w:t>contact details for third party supplier personnel under contracts which are to be</w:t>
      </w:r>
      <w:r w:rsidR="00410013">
        <w:t xml:space="preserve"> subjected to an</w:t>
      </w:r>
      <w:r w:rsidRPr="0092630C">
        <w:t xml:space="preserve"> assign</w:t>
      </w:r>
      <w:r w:rsidR="00410013">
        <w:t xml:space="preserve">ation </w:t>
      </w:r>
      <w:r w:rsidRPr="0092630C">
        <w:t xml:space="preserve"> or novated to the Authority pursuant to this Schedule;</w:t>
      </w:r>
    </w:p>
    <w:p w14:paraId="0EDC43F4" w14:textId="77777777" w:rsidR="00BC7DDA" w:rsidRPr="00BD6C5F" w:rsidRDefault="009B03E9" w:rsidP="00BD6C5F">
      <w:pPr>
        <w:pStyle w:val="AppendixText3"/>
      </w:pPr>
      <w:r w:rsidRPr="00BD6C5F">
        <w:t>information regarding any unresolved faults in progress at the commencement of the Termination Assistance Period as well as those expected to be in progress at the end of the Termination Assistance Period;</w:t>
      </w:r>
    </w:p>
    <w:p w14:paraId="3327A130" w14:textId="77777777" w:rsidR="00BC7DDA" w:rsidRPr="00BD6C5F" w:rsidRDefault="009B03E9" w:rsidP="00BD6C5F">
      <w:pPr>
        <w:pStyle w:val="AppendixText3"/>
      </w:pPr>
      <w:r w:rsidRPr="00BD6C5F">
        <w:t>details of physical and logical security processes and tools which will be available to the Authority; and</w:t>
      </w:r>
    </w:p>
    <w:p w14:paraId="125F7519" w14:textId="187E7335" w:rsidR="00BC7DDA" w:rsidRPr="00BD6C5F" w:rsidRDefault="009B03E9" w:rsidP="00BD6C5F">
      <w:pPr>
        <w:pStyle w:val="AppendixText3"/>
      </w:pPr>
      <w:r w:rsidRPr="00BD6C5F">
        <w:t>any relevant interface information.</w:t>
      </w:r>
    </w:p>
    <w:p w14:paraId="46167CD0" w14:textId="4A932864" w:rsidR="00D264DB" w:rsidRPr="00BD6C5F" w:rsidRDefault="00D264DB" w:rsidP="005815DD">
      <w:pPr>
        <w:pStyle w:val="ListParagraph"/>
        <w:tabs>
          <w:tab w:val="left" w:pos="2106"/>
          <w:tab w:val="left" w:pos="2107"/>
        </w:tabs>
        <w:spacing w:before="100" w:after="200"/>
        <w:ind w:left="720" w:firstLine="0"/>
        <w:rPr>
          <w:rFonts w:asciiTheme="minorHAnsi" w:hAnsiTheme="minorHAnsi" w:cstheme="minorHAnsi"/>
          <w:szCs w:val="24"/>
        </w:rPr>
      </w:pPr>
      <w:r w:rsidRPr="00BD6C5F">
        <w:rPr>
          <w:rFonts w:asciiTheme="minorHAnsi" w:hAnsiTheme="minorHAnsi" w:cstheme="minorHAnsi"/>
          <w:szCs w:val="24"/>
        </w:rPr>
        <w:t>and such information shall be updated by the Supplier at the end of the Termination Assistance Period.</w:t>
      </w:r>
    </w:p>
    <w:p w14:paraId="731BFE92" w14:textId="1C7E2E36" w:rsidR="00BC7DDA" w:rsidRPr="00BD6C5F" w:rsidRDefault="009B03E9" w:rsidP="00BD6C5F">
      <w:pPr>
        <w:pStyle w:val="AppendixText2"/>
      </w:pPr>
      <w:bookmarkStart w:id="1297" w:name="_bookmark459"/>
      <w:bookmarkStart w:id="1298" w:name="_Ref98422936"/>
      <w:bookmarkEnd w:id="1297"/>
      <w:r w:rsidRPr="00BD6C5F">
        <w:t xml:space="preserve">During the Termination Assistance Period the Supplier shall grant any agent or personnel (including employees, consultants and </w:t>
      </w:r>
      <w:r w:rsidR="005873D4" w:rsidRPr="00BD6C5F">
        <w:t>s</w:t>
      </w:r>
      <w:r w:rsidRPr="00BD6C5F">
        <w:t>uppliers) of the Replacement Supplier and/or the Authority access, during business hours and upon reasonable prior written notice, to any Sites for the purpose of effecting a prompt knowledge transfer provided that:</w:t>
      </w:r>
      <w:bookmarkEnd w:id="1298"/>
    </w:p>
    <w:p w14:paraId="1402139D" w14:textId="50CB4CD9" w:rsidR="00BC7DDA" w:rsidRPr="00BD6C5F" w:rsidRDefault="009B03E9" w:rsidP="00272F4C">
      <w:pPr>
        <w:pStyle w:val="AppendixText3"/>
        <w:keepNext/>
      </w:pPr>
      <w:r w:rsidRPr="00BD6C5F">
        <w:t>any such agent or personnel (including employees, consultants and suppliers) having access to any Sites pursuant to this Paragraph</w:t>
      </w:r>
      <w:r w:rsidR="004E4766" w:rsidRPr="00BD6C5F">
        <w:t> </w:t>
      </w:r>
      <w:r w:rsidR="004E4766" w:rsidRPr="00BD6C5F">
        <w:fldChar w:fldCharType="begin"/>
      </w:r>
      <w:r w:rsidR="004E4766" w:rsidRPr="00BD6C5F">
        <w:instrText xml:space="preserve"> REF _Ref98422936 \w \h </w:instrText>
      </w:r>
      <w:r w:rsidR="00AD7DD0" w:rsidRPr="00BD6C5F">
        <w:instrText xml:space="preserve"> \* MERGEFORMAT </w:instrText>
      </w:r>
      <w:r w:rsidR="004E4766" w:rsidRPr="00BD6C5F">
        <w:fldChar w:fldCharType="separate"/>
      </w:r>
      <w:r w:rsidR="009749A0">
        <w:t>1.5</w:t>
      </w:r>
      <w:r w:rsidR="004E4766" w:rsidRPr="00BD6C5F">
        <w:fldChar w:fldCharType="end"/>
      </w:r>
      <w:r w:rsidRPr="00BD6C5F">
        <w:t xml:space="preserve"> shall:</w:t>
      </w:r>
    </w:p>
    <w:p w14:paraId="2EB72928" w14:textId="77777777" w:rsidR="00BC7DDA" w:rsidRPr="00BD6C5F" w:rsidRDefault="009B03E9" w:rsidP="00DE03A4">
      <w:pPr>
        <w:pStyle w:val="AppendixText4"/>
      </w:pPr>
      <w:r w:rsidRPr="00BD6C5F">
        <w:t>sign a confidentiality undertaking in favour of the Supplier (in such form as the Supplier shall reasonably require); and</w:t>
      </w:r>
    </w:p>
    <w:p w14:paraId="65502FD7" w14:textId="11028FC2" w:rsidR="00BC7DDA" w:rsidRPr="00BD6C5F" w:rsidRDefault="009B03E9" w:rsidP="00DE03A4">
      <w:pPr>
        <w:pStyle w:val="AppendixText4"/>
      </w:pPr>
      <w:r w:rsidRPr="00BD6C5F">
        <w:t>during each period of access comply with the security, systems and facilities operating procedures of the Supplier</w:t>
      </w:r>
      <w:r w:rsidR="008D2790" w:rsidRPr="00BD6C5F">
        <w:t xml:space="preserve"> </w:t>
      </w:r>
      <w:r w:rsidRPr="00BD6C5F">
        <w:t>relevant to such Site and that the Authority deems reasonable; and</w:t>
      </w:r>
    </w:p>
    <w:p w14:paraId="50482F49" w14:textId="77777777" w:rsidR="00BC7DDA" w:rsidRPr="00BD6C5F" w:rsidRDefault="009B03E9" w:rsidP="00BD6C5F">
      <w:pPr>
        <w:pStyle w:val="AppendixText3"/>
      </w:pPr>
      <w:r w:rsidRPr="00BD6C5F">
        <w:t>the Authority and/or the Replacement Supplier shall pay the reasonable, proven and proper costs of the Supplier incurred in facilitating such access.</w:t>
      </w:r>
    </w:p>
    <w:p w14:paraId="01EE8776" w14:textId="77777777" w:rsidR="00E238E6" w:rsidRPr="00BD6C5F" w:rsidRDefault="00E238E6" w:rsidP="008D2790"/>
    <w:p w14:paraId="3E14C239" w14:textId="36CF6686" w:rsidR="00D27CFD" w:rsidRPr="00BD6C5F" w:rsidRDefault="00D27CFD" w:rsidP="008D2790">
      <w:r w:rsidRPr="00BD6C5F">
        <w:br w:type="page"/>
      </w:r>
    </w:p>
    <w:p w14:paraId="5E434DCB" w14:textId="591FE0A9" w:rsidR="00BC7DDA" w:rsidRPr="00BD6C5F" w:rsidRDefault="005815DD" w:rsidP="008D2790">
      <w:pPr>
        <w:pStyle w:val="Heading2"/>
      </w:pPr>
      <w:bookmarkStart w:id="1299" w:name="_Toc98332774"/>
      <w:bookmarkStart w:id="1300" w:name="_Ref98332807"/>
      <w:bookmarkStart w:id="1301" w:name="_Ref98344090"/>
      <w:bookmarkStart w:id="1302" w:name="_Toc98852950"/>
      <w:bookmarkStart w:id="1303" w:name="_Toc141721043"/>
      <w:r w:rsidRPr="00BD6C5F">
        <w:lastRenderedPageBreak/>
        <w:t xml:space="preserve">Annex </w:t>
      </w:r>
      <w:bookmarkStart w:id="1304" w:name="Schedule_25_Annex_2"/>
      <w:r w:rsidRPr="00BD6C5F">
        <w:t>2</w:t>
      </w:r>
      <w:bookmarkEnd w:id="1304"/>
      <w:r w:rsidRPr="00BD6C5F">
        <w:t>: Draft Ethical Wall Agreement</w:t>
      </w:r>
      <w:bookmarkEnd w:id="1299"/>
      <w:bookmarkEnd w:id="1300"/>
      <w:bookmarkEnd w:id="1301"/>
      <w:bookmarkEnd w:id="1302"/>
      <w:bookmarkEnd w:id="1303"/>
    </w:p>
    <w:p w14:paraId="570C4062" w14:textId="77777777" w:rsidR="00BC7DDA" w:rsidRPr="00BD6C5F" w:rsidRDefault="00BC7DDA" w:rsidP="008D2790"/>
    <w:p w14:paraId="2F2A5C06" w14:textId="77777777" w:rsidR="00BC7DDA" w:rsidRPr="00BD6C5F" w:rsidRDefault="00BC7DDA" w:rsidP="008D2790"/>
    <w:p w14:paraId="07192966" w14:textId="77777777" w:rsidR="00BC7DDA" w:rsidRPr="00BD6C5F" w:rsidRDefault="009B03E9">
      <w:pPr>
        <w:pStyle w:val="BodyText"/>
        <w:spacing w:before="92"/>
        <w:ind w:left="591" w:right="485"/>
        <w:jc w:val="center"/>
        <w:rPr>
          <w:rFonts w:asciiTheme="minorHAnsi" w:hAnsiTheme="minorHAnsi" w:cstheme="minorHAnsi"/>
        </w:rPr>
      </w:pPr>
      <w:r w:rsidRPr="00BD6C5F">
        <w:rPr>
          <w:rFonts w:asciiTheme="minorHAnsi" w:hAnsiTheme="minorHAnsi" w:cstheme="minorHAnsi"/>
          <w:shd w:val="clear" w:color="auto" w:fill="FFFF00"/>
        </w:rPr>
        <w:t>[THE AUTHORITY]</w:t>
      </w:r>
    </w:p>
    <w:p w14:paraId="5B3253A0" w14:textId="77777777" w:rsidR="00BC7DDA" w:rsidRPr="00BD6C5F" w:rsidRDefault="00BC7DDA" w:rsidP="008D2790"/>
    <w:p w14:paraId="34BF08C0" w14:textId="77777777" w:rsidR="00BC7DDA" w:rsidRPr="00BD6C5F" w:rsidRDefault="009B03E9" w:rsidP="008D2790">
      <w:pPr>
        <w:pStyle w:val="BodyText"/>
        <w:spacing w:before="92"/>
        <w:ind w:left="591" w:right="485"/>
        <w:jc w:val="center"/>
        <w:rPr>
          <w:rFonts w:asciiTheme="minorHAnsi" w:hAnsiTheme="minorHAnsi" w:cstheme="minorHAnsi"/>
          <w:b/>
          <w:bCs/>
        </w:rPr>
      </w:pPr>
      <w:r w:rsidRPr="00BD6C5F">
        <w:rPr>
          <w:rFonts w:asciiTheme="minorHAnsi" w:hAnsiTheme="minorHAnsi" w:cstheme="minorHAnsi"/>
          <w:b/>
          <w:bCs/>
        </w:rPr>
        <w:t>and</w:t>
      </w:r>
    </w:p>
    <w:p w14:paraId="12F50FB1" w14:textId="77777777" w:rsidR="00BC7DDA" w:rsidRPr="00BD6C5F" w:rsidRDefault="00BC7DDA" w:rsidP="008D2790"/>
    <w:p w14:paraId="5E67BFBB" w14:textId="77777777" w:rsidR="00BC7DDA" w:rsidRPr="00BD6C5F" w:rsidRDefault="009B03E9">
      <w:pPr>
        <w:pStyle w:val="BodyText"/>
        <w:spacing w:before="220"/>
        <w:ind w:left="591" w:right="480"/>
        <w:jc w:val="center"/>
        <w:rPr>
          <w:rFonts w:asciiTheme="minorHAnsi" w:hAnsiTheme="minorHAnsi" w:cstheme="minorHAnsi"/>
        </w:rPr>
      </w:pPr>
      <w:r w:rsidRPr="00BD6C5F">
        <w:rPr>
          <w:rFonts w:asciiTheme="minorHAnsi" w:hAnsiTheme="minorHAnsi" w:cstheme="minorHAnsi"/>
          <w:shd w:val="clear" w:color="auto" w:fill="FFFF00"/>
        </w:rPr>
        <w:t>[THE COUNTERPARTY]</w:t>
      </w:r>
    </w:p>
    <w:p w14:paraId="698B2C90" w14:textId="77777777" w:rsidR="00BC7DDA" w:rsidRPr="00BD6C5F" w:rsidRDefault="00BC7DDA" w:rsidP="008D2790"/>
    <w:p w14:paraId="1B397EC2" w14:textId="77777777" w:rsidR="00BC7DDA" w:rsidRPr="00BD6C5F" w:rsidRDefault="00BC7DDA" w:rsidP="008D2790"/>
    <w:p w14:paraId="07C0A847" w14:textId="77777777" w:rsidR="00BC7DDA" w:rsidRPr="00BD6C5F" w:rsidRDefault="00BC7DDA" w:rsidP="008D2790"/>
    <w:p w14:paraId="0504706E" w14:textId="77777777" w:rsidR="00BC7DDA" w:rsidRPr="00BD6C5F" w:rsidRDefault="009B03E9" w:rsidP="008D2790">
      <w:pPr>
        <w:pStyle w:val="BodyText"/>
        <w:spacing w:before="92"/>
        <w:ind w:left="591" w:right="485"/>
        <w:jc w:val="center"/>
        <w:rPr>
          <w:rFonts w:asciiTheme="minorHAnsi" w:hAnsiTheme="minorHAnsi" w:cstheme="minorHAnsi"/>
          <w:b/>
          <w:bCs/>
        </w:rPr>
      </w:pPr>
      <w:r w:rsidRPr="00BD6C5F">
        <w:rPr>
          <w:rFonts w:asciiTheme="minorHAnsi" w:hAnsiTheme="minorHAnsi" w:cstheme="minorHAnsi"/>
          <w:b/>
          <w:bCs/>
        </w:rPr>
        <w:t>ETHICAL WALL AGREEMENT</w:t>
      </w:r>
    </w:p>
    <w:p w14:paraId="788998A1" w14:textId="0EC6F108" w:rsidR="000333A4" w:rsidRPr="00BD6C5F" w:rsidRDefault="000333A4" w:rsidP="008D2790">
      <w:bookmarkStart w:id="1305" w:name="_9kR3WTr8E849FDB"/>
      <w:bookmarkStart w:id="1306" w:name="_9kR3WTr8E849GF"/>
      <w:bookmarkEnd w:id="1305"/>
      <w:bookmarkEnd w:id="1306"/>
    </w:p>
    <w:p w14:paraId="01DD0E71" w14:textId="77777777" w:rsidR="000333A4" w:rsidRPr="00BD6C5F" w:rsidRDefault="000333A4" w:rsidP="008D2790"/>
    <w:p w14:paraId="5D61FC50" w14:textId="77777777" w:rsidR="00705788" w:rsidRPr="00BD6C5F" w:rsidRDefault="00705788" w:rsidP="008D2790"/>
    <w:p w14:paraId="282F852D" w14:textId="1C4025A2" w:rsidR="009D6B58" w:rsidRPr="00BD6C5F" w:rsidRDefault="009D6B58" w:rsidP="008D2790">
      <w:pPr>
        <w:spacing w:before="100" w:after="200"/>
        <w:rPr>
          <w:rFonts w:asciiTheme="minorHAnsi" w:hAnsiTheme="minorHAnsi" w:cstheme="minorHAnsi"/>
          <w:szCs w:val="24"/>
        </w:rPr>
      </w:pPr>
      <w:r w:rsidRPr="00BD6C5F">
        <w:rPr>
          <w:rFonts w:asciiTheme="minorHAnsi" w:hAnsiTheme="minorHAnsi" w:cstheme="minorHAnsi"/>
          <w:szCs w:val="24"/>
        </w:rPr>
        <w:t xml:space="preserve">This Agreement is dated </w:t>
      </w:r>
      <w:r w:rsidRPr="00BD6C5F">
        <w:rPr>
          <w:rFonts w:asciiTheme="minorHAnsi" w:hAnsiTheme="minorHAnsi" w:cstheme="minorHAnsi"/>
          <w:szCs w:val="24"/>
          <w:highlight w:val="yellow"/>
        </w:rPr>
        <w:t>[</w:t>
      </w:r>
      <w:r w:rsidRPr="00BD6C5F">
        <w:rPr>
          <w:rFonts w:asciiTheme="minorHAnsi" w:hAnsiTheme="minorHAnsi" w:cstheme="minorHAnsi"/>
          <w:szCs w:val="24"/>
          <w:highlight w:val="yellow"/>
        </w:rPr>
        <w:tab/>
      </w:r>
      <w:r w:rsidRPr="00BD6C5F">
        <w:rPr>
          <w:rFonts w:asciiTheme="minorHAnsi" w:hAnsiTheme="minorHAnsi" w:cstheme="minorHAnsi"/>
          <w:szCs w:val="24"/>
          <w:highlight w:val="yellow"/>
        </w:rPr>
        <w:tab/>
      </w:r>
      <w:r w:rsidRPr="00BD6C5F">
        <w:rPr>
          <w:rFonts w:asciiTheme="minorHAnsi" w:hAnsiTheme="minorHAnsi" w:cstheme="minorHAnsi"/>
          <w:szCs w:val="24"/>
        </w:rPr>
        <w:t>] 20</w:t>
      </w:r>
      <w:r w:rsidRPr="00BD6C5F">
        <w:rPr>
          <w:rFonts w:asciiTheme="minorHAnsi" w:hAnsiTheme="minorHAnsi" w:cstheme="minorHAnsi"/>
          <w:szCs w:val="24"/>
          <w:highlight w:val="yellow"/>
        </w:rPr>
        <w:t>[ ]</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szCs w:val="24"/>
        </w:rPr>
        <w:t>Effective Date</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4214E870" w14:textId="4F48781D" w:rsidR="009D6B58" w:rsidRPr="00BD6C5F" w:rsidRDefault="00BD6C5F" w:rsidP="00272F4C">
      <w:pPr>
        <w:keepNext/>
        <w:spacing w:before="100" w:after="200"/>
        <w:rPr>
          <w:rFonts w:asciiTheme="minorHAnsi" w:hAnsiTheme="minorHAnsi" w:cstheme="minorHAnsi"/>
          <w:b/>
          <w:bCs/>
          <w:szCs w:val="24"/>
        </w:rPr>
      </w:pPr>
      <w:r w:rsidRPr="00BD6C5F">
        <w:rPr>
          <w:rFonts w:asciiTheme="minorHAnsi" w:hAnsiTheme="minorHAnsi" w:cstheme="minorHAnsi"/>
          <w:b/>
          <w:bCs/>
          <w:szCs w:val="24"/>
        </w:rPr>
        <w:t>BETWEEN:</w:t>
      </w:r>
    </w:p>
    <w:p w14:paraId="3725E967" w14:textId="6849F651" w:rsidR="009D6B58" w:rsidRPr="00BD6C5F" w:rsidRDefault="009D6B58" w:rsidP="008D2790">
      <w:pPr>
        <w:pStyle w:val="Parties"/>
        <w:spacing w:before="100" w:after="200" w:line="240" w:lineRule="auto"/>
        <w:rPr>
          <w:rFonts w:asciiTheme="minorHAnsi" w:hAnsiTheme="minorHAnsi" w:cstheme="minorHAnsi"/>
          <w:sz w:val="24"/>
          <w:szCs w:val="24"/>
        </w:rPr>
      </w:pPr>
      <w:r w:rsidRPr="00BD6C5F">
        <w:rPr>
          <w:rFonts w:asciiTheme="minorHAnsi" w:hAnsiTheme="minorHAnsi" w:cstheme="minorHAnsi"/>
          <w:b/>
          <w:sz w:val="24"/>
          <w:szCs w:val="24"/>
        </w:rPr>
        <w:t>[</w:t>
      </w:r>
      <w:r w:rsidRPr="00BD6C5F">
        <w:rPr>
          <w:rFonts w:asciiTheme="minorHAnsi" w:hAnsiTheme="minorHAnsi" w:cstheme="minorHAnsi"/>
          <w:b/>
          <w:sz w:val="24"/>
          <w:szCs w:val="24"/>
          <w:highlight w:val="yellow"/>
        </w:rPr>
        <w:t>INSERT NAME OF AUTHORITY</w:t>
      </w:r>
      <w:r w:rsidRPr="00BD6C5F">
        <w:rPr>
          <w:rFonts w:asciiTheme="minorHAnsi" w:hAnsiTheme="minorHAnsi" w:cstheme="minorHAnsi"/>
          <w:b/>
          <w:sz w:val="24"/>
          <w:szCs w:val="24"/>
        </w:rPr>
        <w:t>]</w:t>
      </w:r>
      <w:r w:rsidRPr="00BD6C5F">
        <w:rPr>
          <w:rFonts w:asciiTheme="minorHAnsi" w:hAnsiTheme="minorHAnsi" w:cstheme="minorHAnsi"/>
          <w:sz w:val="24"/>
          <w:szCs w:val="24"/>
        </w:rPr>
        <w:t xml:space="preserve"> (the </w:t>
      </w:r>
      <w:bookmarkStart w:id="1307" w:name="_9kR3WTr1BC48GOJ9xt4z2J"/>
      <w:r w:rsidR="00A4555C" w:rsidRPr="00BD6C5F">
        <w:rPr>
          <w:rFonts w:asciiTheme="minorHAnsi" w:hAnsiTheme="minorHAnsi" w:cstheme="minorHAnsi"/>
          <w:sz w:val="24"/>
          <w:szCs w:val="24"/>
        </w:rPr>
        <w:t>“</w:t>
      </w:r>
      <w:r w:rsidRPr="00BD6C5F">
        <w:rPr>
          <w:rFonts w:asciiTheme="minorHAnsi" w:hAnsiTheme="minorHAnsi" w:cstheme="minorHAnsi"/>
          <w:b/>
          <w:sz w:val="24"/>
          <w:szCs w:val="24"/>
        </w:rPr>
        <w:t>Authority</w:t>
      </w:r>
      <w:bookmarkEnd w:id="1307"/>
      <w:r w:rsidR="00A4555C" w:rsidRPr="00BD6C5F">
        <w:rPr>
          <w:rFonts w:asciiTheme="minorHAnsi" w:hAnsiTheme="minorHAnsi" w:cstheme="minorHAnsi"/>
          <w:sz w:val="24"/>
          <w:szCs w:val="24"/>
        </w:rPr>
        <w:t>”</w:t>
      </w:r>
      <w:r w:rsidRPr="00BD6C5F">
        <w:rPr>
          <w:rFonts w:asciiTheme="minorHAnsi" w:hAnsiTheme="minorHAnsi" w:cstheme="minorHAnsi"/>
          <w:sz w:val="24"/>
          <w:szCs w:val="24"/>
        </w:rPr>
        <w:t>)</w:t>
      </w:r>
      <w:r w:rsidR="003900DB" w:rsidRPr="00BD6C5F">
        <w:rPr>
          <w:rFonts w:asciiTheme="minorHAnsi" w:hAnsiTheme="minorHAnsi" w:cstheme="minorHAnsi"/>
          <w:sz w:val="24"/>
          <w:szCs w:val="24"/>
        </w:rPr>
        <w:t xml:space="preserve"> [</w:t>
      </w:r>
      <w:r w:rsidR="003900DB" w:rsidRPr="00BD6C5F">
        <w:rPr>
          <w:rFonts w:asciiTheme="minorHAnsi" w:hAnsiTheme="minorHAnsi" w:cstheme="minorHAnsi"/>
          <w:sz w:val="24"/>
          <w:szCs w:val="24"/>
          <w:highlight w:val="yellow"/>
        </w:rPr>
        <w:t>acting on behalf of the Crown</w:t>
      </w:r>
      <w:r w:rsidR="003900DB" w:rsidRPr="00BD6C5F">
        <w:rPr>
          <w:rFonts w:asciiTheme="minorHAnsi" w:hAnsiTheme="minorHAnsi" w:cstheme="minorHAnsi"/>
          <w:sz w:val="24"/>
          <w:szCs w:val="24"/>
        </w:rPr>
        <w:t>] of [</w:t>
      </w:r>
      <w:r w:rsidR="003900DB" w:rsidRPr="00012747">
        <w:rPr>
          <w:rFonts w:asciiTheme="minorHAnsi" w:hAnsiTheme="minorHAnsi" w:cstheme="minorHAnsi"/>
          <w:b/>
          <w:bCs/>
          <w:sz w:val="24"/>
          <w:szCs w:val="24"/>
          <w:highlight w:val="yellow"/>
        </w:rPr>
        <w:t>insert</w:t>
      </w:r>
      <w:r w:rsidR="003900DB" w:rsidRPr="00BD6C5F">
        <w:rPr>
          <w:rFonts w:asciiTheme="minorHAnsi" w:hAnsiTheme="minorHAnsi" w:cstheme="minorHAnsi"/>
          <w:sz w:val="24"/>
          <w:szCs w:val="24"/>
          <w:highlight w:val="yellow"/>
        </w:rPr>
        <w:t xml:space="preserve"> Authority’s address</w:t>
      </w:r>
      <w:r w:rsidR="003900DB" w:rsidRPr="00BD6C5F">
        <w:rPr>
          <w:rFonts w:asciiTheme="minorHAnsi" w:hAnsiTheme="minorHAnsi" w:cstheme="minorHAnsi"/>
          <w:sz w:val="24"/>
          <w:szCs w:val="24"/>
        </w:rPr>
        <w:t>]</w:t>
      </w:r>
      <w:r w:rsidRPr="00BD6C5F">
        <w:rPr>
          <w:rFonts w:asciiTheme="minorHAnsi" w:hAnsiTheme="minorHAnsi" w:cstheme="minorHAnsi"/>
          <w:sz w:val="24"/>
          <w:szCs w:val="24"/>
        </w:rPr>
        <w:t>; and</w:t>
      </w:r>
    </w:p>
    <w:p w14:paraId="4477F0A8" w14:textId="6F1EAF0B" w:rsidR="009D6B58" w:rsidRPr="00BD6C5F" w:rsidRDefault="009D6B58" w:rsidP="008D2790">
      <w:pPr>
        <w:pStyle w:val="Parties"/>
        <w:spacing w:before="100" w:after="200" w:line="240" w:lineRule="auto"/>
        <w:rPr>
          <w:rFonts w:asciiTheme="minorHAnsi" w:hAnsiTheme="minorHAnsi" w:cstheme="minorHAnsi"/>
          <w:sz w:val="24"/>
          <w:szCs w:val="24"/>
        </w:rPr>
      </w:pPr>
      <w:r w:rsidRPr="00BD6C5F">
        <w:rPr>
          <w:rFonts w:asciiTheme="minorHAnsi" w:hAnsiTheme="minorHAnsi" w:cstheme="minorHAnsi"/>
          <w:b/>
          <w:sz w:val="24"/>
          <w:szCs w:val="24"/>
        </w:rPr>
        <w:t>[</w:t>
      </w:r>
      <w:r w:rsidRPr="00BD6C5F">
        <w:rPr>
          <w:rFonts w:asciiTheme="minorHAnsi" w:hAnsiTheme="minorHAnsi" w:cstheme="minorHAnsi"/>
          <w:b/>
          <w:sz w:val="24"/>
          <w:szCs w:val="24"/>
          <w:highlight w:val="yellow"/>
        </w:rPr>
        <w:t>NAME OF COUNTERPARTY</w:t>
      </w:r>
      <w:r w:rsidRPr="00BD6C5F">
        <w:rPr>
          <w:rFonts w:asciiTheme="minorHAnsi" w:hAnsiTheme="minorHAnsi" w:cstheme="minorHAnsi"/>
          <w:b/>
          <w:sz w:val="24"/>
          <w:szCs w:val="24"/>
        </w:rPr>
        <w:t>]</w:t>
      </w:r>
      <w:r w:rsidRPr="00BD6C5F">
        <w:rPr>
          <w:rFonts w:asciiTheme="minorHAnsi" w:hAnsiTheme="minorHAnsi" w:cstheme="minorHAnsi"/>
          <w:bCs/>
          <w:sz w:val="24"/>
          <w:szCs w:val="24"/>
        </w:rPr>
        <w:t xml:space="preserve"> </w:t>
      </w:r>
      <w:r w:rsidRPr="00BD6C5F">
        <w:rPr>
          <w:rFonts w:asciiTheme="minorHAnsi" w:hAnsiTheme="minorHAnsi" w:cstheme="minorHAnsi"/>
          <w:sz w:val="24"/>
          <w:szCs w:val="24"/>
        </w:rPr>
        <w:t>a [</w:t>
      </w:r>
      <w:r w:rsidRPr="00BD6C5F">
        <w:rPr>
          <w:rFonts w:asciiTheme="minorHAnsi" w:hAnsiTheme="minorHAnsi" w:cstheme="minorHAnsi"/>
          <w:sz w:val="24"/>
          <w:szCs w:val="24"/>
          <w:highlight w:val="yellow"/>
        </w:rPr>
        <w:t>company</w:t>
      </w:r>
      <w:r w:rsidRPr="00BD6C5F">
        <w:rPr>
          <w:rFonts w:asciiTheme="minorHAnsi" w:hAnsiTheme="minorHAnsi" w:cstheme="minorHAnsi"/>
          <w:sz w:val="24"/>
          <w:szCs w:val="24"/>
        </w:rPr>
        <w:t>]/[</w:t>
      </w:r>
      <w:r w:rsidRPr="00BD6C5F">
        <w:rPr>
          <w:rFonts w:asciiTheme="minorHAnsi" w:hAnsiTheme="minorHAnsi" w:cstheme="minorHAnsi"/>
          <w:sz w:val="24"/>
          <w:szCs w:val="24"/>
          <w:highlight w:val="yellow"/>
        </w:rPr>
        <w:t>limited liability partnership</w:t>
      </w:r>
      <w:r w:rsidRPr="00BD6C5F">
        <w:rPr>
          <w:rFonts w:asciiTheme="minorHAnsi" w:hAnsiTheme="minorHAnsi" w:cstheme="minorHAnsi"/>
          <w:sz w:val="24"/>
          <w:szCs w:val="24"/>
        </w:rPr>
        <w:t xml:space="preserve">] registered in </w:t>
      </w:r>
      <w:r w:rsidR="005873D4" w:rsidRPr="00BD6C5F">
        <w:rPr>
          <w:rFonts w:asciiTheme="minorHAnsi" w:hAnsiTheme="minorHAnsi" w:cstheme="minorHAnsi"/>
          <w:sz w:val="24"/>
          <w:szCs w:val="24"/>
        </w:rPr>
        <w:t>[</w:t>
      </w:r>
      <w:r w:rsidRPr="00BD6C5F">
        <w:rPr>
          <w:rFonts w:asciiTheme="minorHAnsi" w:hAnsiTheme="minorHAnsi" w:cstheme="minorHAnsi"/>
          <w:sz w:val="24"/>
          <w:szCs w:val="24"/>
          <w:highlight w:val="yellow"/>
        </w:rPr>
        <w:t>England and Wales</w:t>
      </w:r>
      <w:r w:rsidR="005873D4" w:rsidRPr="00BD6C5F">
        <w:rPr>
          <w:rFonts w:asciiTheme="minorHAnsi" w:hAnsiTheme="minorHAnsi" w:cstheme="minorHAnsi"/>
          <w:sz w:val="24"/>
          <w:szCs w:val="24"/>
        </w:rPr>
        <w:t>]/[</w:t>
      </w:r>
      <w:r w:rsidR="005873D4" w:rsidRPr="00BD6C5F">
        <w:rPr>
          <w:rFonts w:asciiTheme="minorHAnsi" w:hAnsiTheme="minorHAnsi" w:cstheme="minorHAnsi"/>
          <w:sz w:val="24"/>
          <w:szCs w:val="24"/>
          <w:highlight w:val="yellow"/>
        </w:rPr>
        <w:t>Scotland</w:t>
      </w:r>
      <w:r w:rsidR="005873D4" w:rsidRPr="00BD6C5F">
        <w:rPr>
          <w:rFonts w:asciiTheme="minorHAnsi" w:hAnsiTheme="minorHAnsi" w:cstheme="minorHAnsi"/>
          <w:sz w:val="24"/>
          <w:szCs w:val="24"/>
        </w:rPr>
        <w:t>]</w:t>
      </w:r>
      <w:r w:rsidRPr="00BD6C5F">
        <w:rPr>
          <w:rFonts w:asciiTheme="minorHAnsi" w:hAnsiTheme="minorHAnsi" w:cstheme="minorHAnsi"/>
          <w:sz w:val="24"/>
          <w:szCs w:val="24"/>
        </w:rPr>
        <w:t xml:space="preserve"> under registered number [</w:t>
      </w:r>
      <w:r w:rsidRPr="00012747">
        <w:rPr>
          <w:rFonts w:asciiTheme="minorHAnsi" w:hAnsiTheme="minorHAnsi" w:cstheme="minorHAnsi"/>
          <w:b/>
          <w:bCs/>
          <w:sz w:val="24"/>
          <w:szCs w:val="24"/>
          <w:highlight w:val="yellow"/>
        </w:rPr>
        <w:t>insert</w:t>
      </w:r>
      <w:r w:rsidRPr="00BD6C5F">
        <w:rPr>
          <w:rFonts w:asciiTheme="minorHAnsi" w:hAnsiTheme="minorHAnsi" w:cstheme="minorHAnsi"/>
          <w:sz w:val="24"/>
          <w:szCs w:val="24"/>
          <w:highlight w:val="yellow"/>
        </w:rPr>
        <w:t xml:space="preserve"> registered number</w:t>
      </w:r>
      <w:r w:rsidRPr="00BD6C5F">
        <w:rPr>
          <w:rFonts w:asciiTheme="minorHAnsi" w:hAnsiTheme="minorHAnsi" w:cstheme="minorHAnsi"/>
          <w:sz w:val="24"/>
          <w:szCs w:val="24"/>
        </w:rPr>
        <w:t>] whose registered office is at [</w:t>
      </w:r>
      <w:r w:rsidRPr="00012747">
        <w:rPr>
          <w:rFonts w:asciiTheme="minorHAnsi" w:hAnsiTheme="minorHAnsi" w:cstheme="minorHAnsi"/>
          <w:b/>
          <w:bCs/>
          <w:sz w:val="24"/>
          <w:szCs w:val="24"/>
          <w:highlight w:val="yellow"/>
        </w:rPr>
        <w:t>insert</w:t>
      </w:r>
      <w:r w:rsidRPr="00BD6C5F">
        <w:rPr>
          <w:rFonts w:asciiTheme="minorHAnsi" w:hAnsiTheme="minorHAnsi" w:cstheme="minorHAnsi"/>
          <w:sz w:val="24"/>
          <w:szCs w:val="24"/>
          <w:highlight w:val="yellow"/>
        </w:rPr>
        <w:t xml:space="preserve"> </w:t>
      </w:r>
      <w:bookmarkStart w:id="1308" w:name="_9kMHG5YVt8956BJ"/>
      <w:r w:rsidRPr="00BD6C5F">
        <w:rPr>
          <w:rFonts w:asciiTheme="minorHAnsi" w:hAnsiTheme="minorHAnsi" w:cstheme="minorHAnsi"/>
          <w:sz w:val="24"/>
          <w:szCs w:val="24"/>
          <w:highlight w:val="yellow"/>
        </w:rPr>
        <w:t>Counterparty</w:t>
      </w:r>
      <w:r w:rsidR="00A4555C" w:rsidRPr="00BD6C5F">
        <w:rPr>
          <w:rFonts w:asciiTheme="minorHAnsi" w:hAnsiTheme="minorHAnsi" w:cstheme="minorHAnsi"/>
          <w:sz w:val="24"/>
          <w:szCs w:val="24"/>
          <w:highlight w:val="yellow"/>
        </w:rPr>
        <w:t>’</w:t>
      </w:r>
      <w:r w:rsidRPr="00BD6C5F">
        <w:rPr>
          <w:rFonts w:asciiTheme="minorHAnsi" w:hAnsiTheme="minorHAnsi" w:cstheme="minorHAnsi"/>
          <w:sz w:val="24"/>
          <w:szCs w:val="24"/>
          <w:highlight w:val="yellow"/>
        </w:rPr>
        <w:t>s</w:t>
      </w:r>
      <w:bookmarkEnd w:id="1308"/>
      <w:r w:rsidRPr="00BD6C5F">
        <w:rPr>
          <w:rFonts w:asciiTheme="minorHAnsi" w:hAnsiTheme="minorHAnsi" w:cstheme="minorHAnsi"/>
          <w:sz w:val="24"/>
          <w:szCs w:val="24"/>
          <w:highlight w:val="yellow"/>
        </w:rPr>
        <w:t xml:space="preserve"> registered address</w:t>
      </w:r>
      <w:r w:rsidRPr="00BD6C5F">
        <w:rPr>
          <w:rFonts w:asciiTheme="minorHAnsi" w:hAnsiTheme="minorHAnsi" w:cstheme="minorHAnsi"/>
          <w:sz w:val="24"/>
          <w:szCs w:val="24"/>
        </w:rPr>
        <w:t>]</w:t>
      </w:r>
      <w:r w:rsidRPr="00BD6C5F">
        <w:t xml:space="preserve"> </w:t>
      </w:r>
      <w:r w:rsidRPr="00BD6C5F">
        <w:rPr>
          <w:rFonts w:asciiTheme="minorHAnsi" w:hAnsiTheme="minorHAnsi" w:cstheme="minorHAnsi"/>
          <w:sz w:val="24"/>
          <w:szCs w:val="24"/>
        </w:rPr>
        <w:t xml:space="preserve">(the </w:t>
      </w:r>
      <w:bookmarkStart w:id="1309" w:name="_9kR3WTr24447CNF444wv7ruEM"/>
      <w:bookmarkStart w:id="1310" w:name="_9kR3WTr1BC48HRF444wv7ruEM"/>
      <w:r w:rsidR="00A4555C" w:rsidRPr="00BD6C5F">
        <w:rPr>
          <w:rFonts w:asciiTheme="minorHAnsi" w:hAnsiTheme="minorHAnsi" w:cstheme="minorHAnsi"/>
          <w:bCs/>
          <w:sz w:val="24"/>
          <w:szCs w:val="24"/>
        </w:rPr>
        <w:t>“</w:t>
      </w:r>
      <w:r w:rsidRPr="00BD6C5F">
        <w:rPr>
          <w:rFonts w:asciiTheme="minorHAnsi" w:hAnsiTheme="minorHAnsi" w:cstheme="minorHAnsi"/>
          <w:b/>
          <w:sz w:val="24"/>
          <w:szCs w:val="24"/>
        </w:rPr>
        <w:t>Counterparty</w:t>
      </w:r>
      <w:bookmarkEnd w:id="1309"/>
      <w:bookmarkEnd w:id="1310"/>
      <w:r w:rsidR="00A4555C" w:rsidRPr="00BD6C5F">
        <w:rPr>
          <w:rFonts w:asciiTheme="minorHAnsi" w:hAnsiTheme="minorHAnsi" w:cstheme="minorHAnsi"/>
          <w:sz w:val="24"/>
          <w:szCs w:val="24"/>
        </w:rPr>
        <w:t>”</w:t>
      </w:r>
      <w:r w:rsidRPr="00BD6C5F">
        <w:rPr>
          <w:rFonts w:asciiTheme="minorHAnsi" w:hAnsiTheme="minorHAnsi" w:cstheme="minorHAnsi"/>
          <w:sz w:val="24"/>
          <w:szCs w:val="24"/>
        </w:rPr>
        <w:t>),</w:t>
      </w:r>
    </w:p>
    <w:p w14:paraId="48582783" w14:textId="6865C0E7" w:rsidR="009D6B58" w:rsidRPr="00BD6C5F" w:rsidRDefault="009D6B58" w:rsidP="008D2790">
      <w:pPr>
        <w:spacing w:before="100" w:after="200"/>
        <w:rPr>
          <w:rFonts w:asciiTheme="minorHAnsi" w:hAnsiTheme="minorHAnsi" w:cstheme="minorHAnsi"/>
          <w:szCs w:val="24"/>
        </w:rPr>
      </w:pPr>
      <w:r w:rsidRPr="00BD6C5F">
        <w:rPr>
          <w:rFonts w:asciiTheme="minorHAnsi" w:hAnsiTheme="minorHAnsi" w:cstheme="minorHAnsi"/>
          <w:szCs w:val="24"/>
        </w:rPr>
        <w:t xml:space="preserve">together the </w:t>
      </w:r>
      <w:r w:rsidR="00A4555C" w:rsidRPr="00BD6C5F">
        <w:rPr>
          <w:rFonts w:asciiTheme="minorHAnsi" w:hAnsiTheme="minorHAnsi" w:cstheme="minorHAnsi"/>
          <w:szCs w:val="24"/>
        </w:rPr>
        <w:t>“</w:t>
      </w:r>
      <w:r w:rsidRPr="00BD6C5F">
        <w:rPr>
          <w:rFonts w:asciiTheme="minorHAnsi" w:hAnsiTheme="minorHAnsi" w:cstheme="minorHAnsi"/>
          <w:b/>
          <w:szCs w:val="24"/>
        </w:rPr>
        <w:t>Parties</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each a </w:t>
      </w:r>
      <w:bookmarkStart w:id="1311" w:name="_9kR3WTr244478WEn7F"/>
      <w:bookmarkStart w:id="1312" w:name="_9kR3WTr1BC48IfEn7F"/>
      <w:r w:rsidR="00A4555C" w:rsidRPr="00BD6C5F">
        <w:rPr>
          <w:rFonts w:asciiTheme="minorHAnsi" w:hAnsiTheme="minorHAnsi" w:cstheme="minorHAnsi"/>
          <w:szCs w:val="24"/>
        </w:rPr>
        <w:t>“</w:t>
      </w:r>
      <w:r w:rsidRPr="00BD6C5F">
        <w:rPr>
          <w:rFonts w:asciiTheme="minorHAnsi" w:hAnsiTheme="minorHAnsi" w:cstheme="minorHAnsi"/>
          <w:b/>
          <w:szCs w:val="24"/>
        </w:rPr>
        <w:t>Party</w:t>
      </w:r>
      <w:bookmarkEnd w:id="1311"/>
      <w:bookmarkEnd w:id="1312"/>
      <w:r w:rsidR="00A4555C" w:rsidRPr="00BD6C5F">
        <w:rPr>
          <w:rFonts w:asciiTheme="minorHAnsi" w:hAnsiTheme="minorHAnsi" w:cstheme="minorHAnsi"/>
          <w:szCs w:val="24"/>
        </w:rPr>
        <w:t>”</w:t>
      </w:r>
      <w:r w:rsidRPr="00BD6C5F">
        <w:rPr>
          <w:rFonts w:asciiTheme="minorHAnsi" w:hAnsiTheme="minorHAnsi" w:cstheme="minorHAnsi"/>
          <w:szCs w:val="24"/>
        </w:rPr>
        <w:t>.</w:t>
      </w:r>
    </w:p>
    <w:p w14:paraId="14EBFA34" w14:textId="77777777" w:rsidR="009D6B58" w:rsidRPr="00BD6C5F" w:rsidRDefault="009D6B58" w:rsidP="009F4A63">
      <w:pPr>
        <w:keepNext/>
        <w:spacing w:before="100" w:after="200"/>
        <w:rPr>
          <w:rFonts w:asciiTheme="minorHAnsi" w:hAnsiTheme="minorHAnsi" w:cstheme="minorHAnsi"/>
          <w:b/>
          <w:bCs/>
          <w:szCs w:val="24"/>
        </w:rPr>
      </w:pPr>
      <w:r w:rsidRPr="00BD6C5F">
        <w:rPr>
          <w:rFonts w:asciiTheme="minorHAnsi" w:hAnsiTheme="minorHAnsi" w:cstheme="minorHAnsi"/>
          <w:b/>
          <w:bCs/>
          <w:szCs w:val="24"/>
        </w:rPr>
        <w:t>BACKGROUND</w:t>
      </w:r>
    </w:p>
    <w:p w14:paraId="3BEA4B7F" w14:textId="180ED046" w:rsidR="009D6B58" w:rsidRPr="00BD6C5F" w:rsidRDefault="009D6B58" w:rsidP="0092397B">
      <w:pPr>
        <w:widowControl/>
        <w:numPr>
          <w:ilvl w:val="0"/>
          <w:numId w:val="16"/>
        </w:numPr>
        <w:autoSpaceDE/>
        <w:autoSpaceDN/>
        <w:spacing w:before="100" w:after="200"/>
        <w:ind w:left="720" w:hanging="720"/>
        <w:rPr>
          <w:rFonts w:asciiTheme="minorHAnsi" w:eastAsia="Calibri" w:hAnsiTheme="minorHAnsi" w:cstheme="minorHAnsi"/>
          <w:szCs w:val="24"/>
          <w:lang w:bidi="ar-SA"/>
        </w:rPr>
      </w:pPr>
      <w:r w:rsidRPr="00BD6C5F">
        <w:rPr>
          <w:rFonts w:asciiTheme="minorHAnsi" w:eastAsia="Calibri" w:hAnsiTheme="minorHAnsi" w:cstheme="minorHAnsi"/>
          <w:szCs w:val="24"/>
          <w:lang w:bidi="ar-SA"/>
        </w:rPr>
        <w:t xml:space="preserve">The Authority is obliged to ensure transparency, fairness, non-discrimination and equal treatment in relation to its </w:t>
      </w:r>
      <w:bookmarkStart w:id="1313" w:name="_9kMHG5YVt46669BZX3pwCxtuwCpiE0r8N"/>
      <w:bookmarkStart w:id="1314" w:name="_9kMHG5YVt4666BCYX3pwCxtuwCpiE0r8N"/>
      <w:bookmarkStart w:id="1315" w:name="_9kMHG5YVt4666BEaX3pwCxtuwCpiE0r8N"/>
      <w:r w:rsidRPr="00BD6C5F">
        <w:rPr>
          <w:rFonts w:asciiTheme="minorHAnsi" w:eastAsia="Calibri" w:hAnsiTheme="minorHAnsi" w:cstheme="minorHAnsi"/>
          <w:szCs w:val="24"/>
          <w:lang w:bidi="ar-SA"/>
        </w:rPr>
        <w:t>procurement process</w:t>
      </w:r>
      <w:bookmarkEnd w:id="1313"/>
      <w:bookmarkEnd w:id="1314"/>
      <w:bookmarkEnd w:id="1315"/>
      <w:r w:rsidRPr="00BD6C5F">
        <w:rPr>
          <w:rFonts w:asciiTheme="minorHAnsi" w:eastAsia="Calibri" w:hAnsiTheme="minorHAnsi" w:cstheme="minorHAnsi"/>
          <w:szCs w:val="24"/>
          <w:lang w:bidi="ar-SA"/>
        </w:rPr>
        <w:t xml:space="preserve"> pursuant to the Procurement Regulations (defined below). The </w:t>
      </w:r>
      <w:bookmarkStart w:id="1316" w:name="_9kMHG5YVt46669Fda9537y"/>
      <w:r w:rsidRPr="00BD6C5F">
        <w:rPr>
          <w:rFonts w:asciiTheme="minorHAnsi" w:eastAsia="Calibri" w:hAnsiTheme="minorHAnsi" w:cstheme="minorHAnsi"/>
          <w:szCs w:val="24"/>
          <w:lang w:bidi="ar-SA"/>
        </w:rPr>
        <w:t>purpose</w:t>
      </w:r>
      <w:bookmarkEnd w:id="1316"/>
      <w:r w:rsidRPr="00BD6C5F">
        <w:rPr>
          <w:rFonts w:asciiTheme="minorHAnsi" w:eastAsia="Calibri" w:hAnsiTheme="minorHAnsi" w:cstheme="minorHAnsi"/>
          <w:szCs w:val="24"/>
          <w:lang w:bidi="ar-SA"/>
        </w:rPr>
        <w:t xml:space="preserve"> of this document (</w:t>
      </w:r>
      <w:r w:rsidR="00A4555C" w:rsidRPr="00BD6C5F">
        <w:rPr>
          <w:rFonts w:asciiTheme="minorHAnsi" w:eastAsia="Calibri" w:hAnsiTheme="minorHAnsi" w:cstheme="minorHAnsi"/>
          <w:szCs w:val="24"/>
          <w:lang w:bidi="ar-SA"/>
        </w:rPr>
        <w:t>“</w:t>
      </w:r>
      <w:r w:rsidRPr="00BD6C5F">
        <w:rPr>
          <w:rFonts w:asciiTheme="minorHAnsi" w:eastAsia="Calibri" w:hAnsiTheme="minorHAnsi" w:cstheme="minorHAnsi"/>
          <w:b/>
          <w:szCs w:val="24"/>
          <w:lang w:bidi="ar-SA"/>
        </w:rPr>
        <w:t>Agreement</w:t>
      </w:r>
      <w:r w:rsidR="00A4555C" w:rsidRPr="00BD6C5F">
        <w:rPr>
          <w:rFonts w:asciiTheme="minorHAnsi" w:eastAsia="Calibri" w:hAnsiTheme="minorHAnsi" w:cstheme="minorHAnsi"/>
          <w:szCs w:val="24"/>
          <w:lang w:bidi="ar-SA"/>
        </w:rPr>
        <w:t>”</w:t>
      </w:r>
      <w:r w:rsidRPr="00BD6C5F">
        <w:rPr>
          <w:rFonts w:asciiTheme="minorHAnsi" w:eastAsia="Calibri" w:hAnsiTheme="minorHAnsi" w:cstheme="minorHAnsi"/>
          <w:szCs w:val="24"/>
          <w:lang w:bidi="ar-SA"/>
        </w:rPr>
        <w:t>) is to define the protocols to be followed to prevent, identify and remedy any conflict of interest (whether actual, potential or perceived) in the context of the Purpose (defined below).</w:t>
      </w:r>
    </w:p>
    <w:p w14:paraId="2A6429C9" w14:textId="40E9B805" w:rsidR="009D6B58" w:rsidRPr="00BD6C5F" w:rsidRDefault="009D6B58" w:rsidP="0092397B">
      <w:pPr>
        <w:widowControl/>
        <w:numPr>
          <w:ilvl w:val="0"/>
          <w:numId w:val="16"/>
        </w:numPr>
        <w:autoSpaceDE/>
        <w:autoSpaceDN/>
        <w:spacing w:before="100" w:after="200"/>
        <w:ind w:left="720" w:hanging="720"/>
        <w:rPr>
          <w:rFonts w:asciiTheme="minorHAnsi" w:eastAsia="Calibri" w:hAnsiTheme="minorHAnsi" w:cstheme="minorHAnsi"/>
          <w:szCs w:val="24"/>
          <w:lang w:bidi="ar-SA"/>
        </w:rPr>
      </w:pPr>
      <w:bookmarkStart w:id="1317" w:name="_Ref498070824"/>
      <w:r w:rsidRPr="00BD6C5F">
        <w:rPr>
          <w:rFonts w:asciiTheme="minorHAnsi" w:eastAsia="Calibri" w:hAnsiTheme="minorHAnsi" w:cstheme="minorHAnsi"/>
          <w:szCs w:val="24"/>
          <w:lang w:bidi="ar-SA"/>
        </w:rPr>
        <w:t>The Authority is conducting a procurement exercise for the [</w:t>
      </w:r>
      <w:r w:rsidRPr="00BD6C5F">
        <w:rPr>
          <w:rFonts w:asciiTheme="minorHAnsi" w:eastAsia="Calibri" w:hAnsiTheme="minorHAnsi" w:cstheme="minorHAnsi"/>
          <w:szCs w:val="24"/>
          <w:highlight w:val="yellow"/>
          <w:lang w:bidi="ar-SA"/>
        </w:rPr>
        <w:t>supply/purchase/provision</w:t>
      </w:r>
      <w:r w:rsidRPr="00BD6C5F">
        <w:rPr>
          <w:rFonts w:asciiTheme="minorHAnsi" w:eastAsia="Calibri" w:hAnsiTheme="minorHAnsi" w:cstheme="minorHAnsi"/>
          <w:szCs w:val="24"/>
          <w:lang w:bidi="ar-SA"/>
        </w:rPr>
        <w:t>] of [</w:t>
      </w:r>
      <w:r w:rsidRPr="00012747">
        <w:rPr>
          <w:rFonts w:asciiTheme="minorHAnsi" w:eastAsia="Calibri" w:hAnsiTheme="minorHAnsi" w:cstheme="minorHAnsi"/>
          <w:b/>
          <w:bCs/>
          <w:szCs w:val="24"/>
          <w:highlight w:val="yellow"/>
          <w:lang w:bidi="ar-SA"/>
        </w:rPr>
        <w:t>insert</w:t>
      </w:r>
      <w:r w:rsidRPr="00BD6C5F">
        <w:rPr>
          <w:rFonts w:asciiTheme="minorHAnsi" w:eastAsia="Calibri" w:hAnsiTheme="minorHAnsi" w:cstheme="minorHAnsi"/>
          <w:szCs w:val="24"/>
          <w:highlight w:val="yellow"/>
          <w:lang w:bidi="ar-SA"/>
        </w:rPr>
        <w:t xml:space="preserve"> details of project/goods/services</w:t>
      </w:r>
      <w:r w:rsidRPr="00BD6C5F">
        <w:rPr>
          <w:rFonts w:asciiTheme="minorHAnsi" w:eastAsia="Calibri" w:hAnsiTheme="minorHAnsi" w:cstheme="minorHAnsi"/>
          <w:szCs w:val="24"/>
          <w:lang w:bidi="ar-SA"/>
        </w:rPr>
        <w:t xml:space="preserve">] (the </w:t>
      </w:r>
      <w:bookmarkStart w:id="1318" w:name="_9kR3WTr24447DbY7315w"/>
      <w:r w:rsidR="00A4555C" w:rsidRPr="00BD6C5F">
        <w:rPr>
          <w:rFonts w:asciiTheme="minorHAnsi" w:eastAsia="Calibri" w:hAnsiTheme="minorHAnsi" w:cstheme="minorHAnsi"/>
          <w:bCs/>
          <w:szCs w:val="24"/>
          <w:lang w:bidi="ar-SA"/>
        </w:rPr>
        <w:t>“</w:t>
      </w:r>
      <w:r w:rsidRPr="00BD6C5F">
        <w:rPr>
          <w:rFonts w:asciiTheme="minorHAnsi" w:eastAsia="Calibri" w:hAnsiTheme="minorHAnsi" w:cstheme="minorHAnsi"/>
          <w:b/>
          <w:szCs w:val="24"/>
          <w:lang w:bidi="ar-SA"/>
        </w:rPr>
        <w:t>Purpose</w:t>
      </w:r>
      <w:bookmarkEnd w:id="1318"/>
      <w:r w:rsidR="00A4555C" w:rsidRPr="00BD6C5F">
        <w:rPr>
          <w:rFonts w:asciiTheme="minorHAnsi" w:eastAsia="Calibri" w:hAnsiTheme="minorHAnsi" w:cstheme="minorHAnsi"/>
          <w:bCs/>
          <w:szCs w:val="24"/>
          <w:lang w:bidi="ar-SA"/>
        </w:rPr>
        <w:t>”</w:t>
      </w:r>
      <w:r w:rsidRPr="00BD6C5F">
        <w:rPr>
          <w:rFonts w:asciiTheme="minorHAnsi" w:eastAsia="Calibri" w:hAnsiTheme="minorHAnsi" w:cstheme="minorHAnsi"/>
          <w:szCs w:val="24"/>
          <w:lang w:bidi="ar-SA"/>
        </w:rPr>
        <w:t>).</w:t>
      </w:r>
      <w:bookmarkEnd w:id="1317"/>
    </w:p>
    <w:p w14:paraId="2CDF0E75" w14:textId="77777777" w:rsidR="009D6B58" w:rsidRPr="00BD6C5F" w:rsidRDefault="009D6B58" w:rsidP="0092397B">
      <w:pPr>
        <w:widowControl/>
        <w:numPr>
          <w:ilvl w:val="0"/>
          <w:numId w:val="16"/>
        </w:numPr>
        <w:autoSpaceDE/>
        <w:autoSpaceDN/>
        <w:spacing w:before="100" w:after="200"/>
        <w:ind w:left="720" w:hanging="720"/>
        <w:rPr>
          <w:rFonts w:asciiTheme="minorHAnsi" w:eastAsia="Calibri" w:hAnsiTheme="minorHAnsi" w:cstheme="minorHAnsi"/>
          <w:szCs w:val="24"/>
          <w:lang w:bidi="ar-SA"/>
        </w:rPr>
      </w:pPr>
      <w:r w:rsidRPr="00BD6C5F">
        <w:rPr>
          <w:rFonts w:asciiTheme="minorHAnsi" w:eastAsia="Calibri" w:hAnsiTheme="minorHAnsi" w:cstheme="minorHAnsi"/>
          <w:szCs w:val="24"/>
          <w:lang w:bidi="ar-SA"/>
        </w:rPr>
        <w:t xml:space="preserve">The Parties wish to enter into this Agreement to ensure that a set of management processes, barriers and disciplines are put in place to ensure that conflicts of interest do not arise, and that the Counterparty does not obtain an unfair competitive advantage over </w:t>
      </w:r>
      <w:bookmarkStart w:id="1319" w:name="_9kMHG5YVt46669GdYykvTFokm1"/>
      <w:r w:rsidRPr="00BD6C5F">
        <w:rPr>
          <w:rFonts w:asciiTheme="minorHAnsi" w:eastAsia="Calibri" w:hAnsiTheme="minorHAnsi" w:cstheme="minorHAnsi"/>
          <w:szCs w:val="24"/>
          <w:lang w:bidi="ar-SA"/>
        </w:rPr>
        <w:t>Other Bidders</w:t>
      </w:r>
      <w:bookmarkEnd w:id="1319"/>
      <w:r w:rsidRPr="00BD6C5F">
        <w:rPr>
          <w:rFonts w:asciiTheme="minorHAnsi" w:eastAsia="Calibri" w:hAnsiTheme="minorHAnsi" w:cstheme="minorHAnsi"/>
          <w:szCs w:val="24"/>
          <w:lang w:bidi="ar-SA"/>
        </w:rPr>
        <w:t>.</w:t>
      </w:r>
    </w:p>
    <w:p w14:paraId="4F927763" w14:textId="77777777" w:rsidR="009D6B58" w:rsidRPr="00BD6C5F" w:rsidRDefault="009D6B58" w:rsidP="008D2790">
      <w:pPr>
        <w:keepNext/>
        <w:keepLines/>
        <w:spacing w:before="100" w:after="200"/>
        <w:rPr>
          <w:rFonts w:asciiTheme="minorHAnsi" w:hAnsiTheme="minorHAnsi" w:cstheme="minorHAnsi"/>
          <w:b/>
          <w:bCs/>
          <w:szCs w:val="24"/>
        </w:rPr>
      </w:pPr>
      <w:r w:rsidRPr="00BD6C5F">
        <w:rPr>
          <w:rFonts w:asciiTheme="minorHAnsi" w:hAnsiTheme="minorHAnsi" w:cstheme="minorHAnsi"/>
          <w:b/>
          <w:bCs/>
          <w:szCs w:val="24"/>
        </w:rPr>
        <w:lastRenderedPageBreak/>
        <w:t>IT IS AGREED:</w:t>
      </w:r>
    </w:p>
    <w:p w14:paraId="40FADF1E" w14:textId="265E43D3" w:rsidR="009D6B58" w:rsidRPr="00BD6C5F" w:rsidRDefault="007D549D" w:rsidP="00B71FC0">
      <w:pPr>
        <w:pStyle w:val="AppendixText1"/>
        <w:numPr>
          <w:ilvl w:val="0"/>
          <w:numId w:val="171"/>
        </w:numPr>
      </w:pPr>
      <w:bookmarkStart w:id="1320" w:name="_Toc378171386"/>
      <w:bookmarkStart w:id="1321" w:name="_Toc493689907"/>
      <w:r w:rsidRPr="00BD6C5F">
        <w:t xml:space="preserve">Definitions </w:t>
      </w:r>
      <w:r>
        <w:t>a</w:t>
      </w:r>
      <w:r w:rsidRPr="00BD6C5F">
        <w:t>nd Interpretation</w:t>
      </w:r>
      <w:bookmarkEnd w:id="1320"/>
      <w:bookmarkEnd w:id="1321"/>
    </w:p>
    <w:p w14:paraId="734E46AE" w14:textId="77777777" w:rsidR="009D6B58" w:rsidRPr="00BD6C5F" w:rsidRDefault="009D6B58" w:rsidP="009F4A63">
      <w:pPr>
        <w:pStyle w:val="AppendixText2"/>
        <w:keepNext/>
        <w:rPr>
          <w:rFonts w:asciiTheme="minorHAnsi" w:hAnsiTheme="minorHAnsi" w:cstheme="minorHAnsi"/>
        </w:rPr>
      </w:pPr>
      <w:r w:rsidRPr="00BD6C5F">
        <w:rPr>
          <w:rFonts w:asciiTheme="minorHAnsi" w:hAnsiTheme="minorHAnsi" w:cstheme="minorHAnsi"/>
        </w:rPr>
        <w:t>The following capitalised words and expressions shall have the following meanings in this Agreement and its recitals:</w:t>
      </w:r>
    </w:p>
    <w:p w14:paraId="1CFA77AD" w14:textId="41F69CE8"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Affiliate</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in relation to a body corporate, any other entity which directly or indirectly Controls, is Controlled by, or is under direct or indirect common Control of that body corporate from time to time; </w:t>
      </w:r>
    </w:p>
    <w:p w14:paraId="4FCDE211" w14:textId="1FA340F9" w:rsidR="009D6B58" w:rsidRPr="00BD6C5F" w:rsidRDefault="00A4555C" w:rsidP="005769E8">
      <w:pPr>
        <w:widowControl/>
        <w:autoSpaceDE/>
        <w:autoSpaceDN/>
        <w:spacing w:before="100" w:after="200"/>
        <w:ind w:left="720"/>
        <w:rPr>
          <w:rFonts w:asciiTheme="minorHAnsi" w:eastAsia="Calibri" w:hAnsiTheme="minorHAnsi" w:cstheme="minorHAnsi"/>
          <w:szCs w:val="24"/>
          <w:lang w:bidi="ar-SA"/>
        </w:rPr>
      </w:pPr>
      <w:r w:rsidRPr="00BD6C5F">
        <w:rPr>
          <w:rFonts w:asciiTheme="minorHAnsi" w:eastAsia="Calibri" w:hAnsiTheme="minorHAnsi" w:cstheme="minorHAnsi"/>
          <w:szCs w:val="24"/>
          <w:lang w:bidi="ar-SA"/>
        </w:rPr>
        <w:t>“</w:t>
      </w:r>
      <w:r w:rsidR="009D6B58" w:rsidRPr="00BD6C5F">
        <w:rPr>
          <w:rFonts w:asciiTheme="minorHAnsi" w:eastAsia="Calibri" w:hAnsiTheme="minorHAnsi" w:cstheme="minorHAnsi"/>
          <w:b/>
          <w:szCs w:val="24"/>
          <w:lang w:bidi="ar-SA"/>
        </w:rPr>
        <w:t>Agreement</w:t>
      </w:r>
      <w:r w:rsidRPr="00BD6C5F">
        <w:rPr>
          <w:rFonts w:asciiTheme="minorHAnsi" w:eastAsia="Calibri" w:hAnsiTheme="minorHAnsi" w:cstheme="minorHAnsi"/>
          <w:szCs w:val="24"/>
          <w:lang w:bidi="ar-SA"/>
        </w:rPr>
        <w:t>”</w:t>
      </w:r>
      <w:r w:rsidR="009D6B58" w:rsidRPr="00BD6C5F">
        <w:rPr>
          <w:rFonts w:asciiTheme="minorHAnsi" w:eastAsia="Calibri" w:hAnsiTheme="minorHAnsi" w:cstheme="minorHAnsi"/>
          <w:szCs w:val="24"/>
          <w:lang w:bidi="ar-SA"/>
        </w:rPr>
        <w:t xml:space="preserve"> means this ethical </w:t>
      </w:r>
      <w:r w:rsidR="009D6B58" w:rsidRPr="00BD6C5F">
        <w:rPr>
          <w:rFonts w:asciiTheme="minorHAnsi" w:hAnsiTheme="minorHAnsi" w:cstheme="minorHAnsi"/>
          <w:szCs w:val="24"/>
          <w:lang w:bidi="ar-SA"/>
        </w:rPr>
        <w:t>walls</w:t>
      </w:r>
      <w:r w:rsidR="009D6B58" w:rsidRPr="00BD6C5F">
        <w:rPr>
          <w:rFonts w:asciiTheme="minorHAnsi" w:eastAsia="Calibri" w:hAnsiTheme="minorHAnsi" w:cstheme="minorHAnsi"/>
          <w:szCs w:val="24"/>
          <w:lang w:bidi="ar-SA"/>
        </w:rPr>
        <w:t xml:space="preserve"> agreement duly executed by the Parties;</w:t>
      </w:r>
    </w:p>
    <w:p w14:paraId="28668530" w14:textId="4CF0FCCC"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Bid Team</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any Representatives of the Counterparty, any of its Affiliates and/or any Subcontractors connected to the preparation of an ITT Response; </w:t>
      </w:r>
    </w:p>
    <w:p w14:paraId="00104235" w14:textId="0E96D4B7" w:rsidR="009D6B58" w:rsidRPr="00BD6C5F" w:rsidRDefault="00A4555C" w:rsidP="009F4A63">
      <w:pPr>
        <w:keepNext/>
        <w:widowControl/>
        <w:autoSpaceDE/>
        <w:autoSpaceDN/>
        <w:spacing w:before="100" w:after="1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bCs/>
          <w:szCs w:val="24"/>
          <w:lang w:bidi="ar-SA"/>
        </w:rPr>
        <w:t>Central Government Body</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 body listed in one of the following sub-categories of the </w:t>
      </w:r>
      <w:bookmarkStart w:id="1322" w:name="_9kR3WTr26645CP5n38qlSQC30A6y0G"/>
      <w:r w:rsidR="009D6B58" w:rsidRPr="00BD6C5F">
        <w:rPr>
          <w:rFonts w:asciiTheme="minorHAnsi" w:hAnsiTheme="minorHAnsi" w:cstheme="minorHAnsi"/>
          <w:szCs w:val="24"/>
          <w:lang w:bidi="ar-SA"/>
        </w:rPr>
        <w:t>Central Government</w:t>
      </w:r>
      <w:bookmarkEnd w:id="1322"/>
      <w:r w:rsidR="009D6B58" w:rsidRPr="00BD6C5F">
        <w:rPr>
          <w:rFonts w:asciiTheme="minorHAnsi" w:hAnsiTheme="minorHAnsi" w:cstheme="minorHAnsi"/>
          <w:szCs w:val="24"/>
          <w:lang w:bidi="ar-SA"/>
        </w:rPr>
        <w:t xml:space="preserve"> classification of the </w:t>
      </w:r>
      <w:bookmarkStart w:id="1323" w:name="_9kR3WTr26645DdYrjrjURiyBAZOt1KBz0yr9IEK"/>
      <w:r w:rsidR="009D6B58" w:rsidRPr="00BD6C5F">
        <w:rPr>
          <w:rFonts w:asciiTheme="minorHAnsi" w:hAnsiTheme="minorHAnsi" w:cstheme="minorHAnsi"/>
          <w:szCs w:val="24"/>
          <w:lang w:bidi="ar-SA"/>
        </w:rPr>
        <w:t>Public Sector Classification Guide</w:t>
      </w:r>
      <w:bookmarkEnd w:id="1323"/>
      <w:r w:rsidR="009D6B58" w:rsidRPr="00BD6C5F">
        <w:rPr>
          <w:rFonts w:asciiTheme="minorHAnsi" w:hAnsiTheme="minorHAnsi" w:cstheme="minorHAnsi"/>
          <w:szCs w:val="24"/>
          <w:lang w:bidi="ar-SA"/>
        </w:rPr>
        <w:t>, as published and amended from time to time by the Office for National Statistics, including:</w:t>
      </w:r>
    </w:p>
    <w:p w14:paraId="0AC88E79" w14:textId="77777777" w:rsidR="009D6B58" w:rsidRPr="00BD6C5F" w:rsidRDefault="009D6B58" w:rsidP="009A3079">
      <w:pPr>
        <w:pStyle w:val="DefinitionNumbering1"/>
        <w:ind w:left="1440" w:hanging="720"/>
      </w:pPr>
      <w:r w:rsidRPr="00BD6C5F">
        <w:t>Government Departments;</w:t>
      </w:r>
    </w:p>
    <w:p w14:paraId="4B0E79AC" w14:textId="77777777" w:rsidR="009D6B58" w:rsidRPr="00BD6C5F" w:rsidRDefault="009D6B58" w:rsidP="009A3079">
      <w:pPr>
        <w:pStyle w:val="DefinitionNumbering1"/>
        <w:ind w:left="1440" w:hanging="720"/>
      </w:pPr>
      <w:r w:rsidRPr="00BD6C5F">
        <w:t>Non-</w:t>
      </w:r>
      <w:bookmarkStart w:id="1324" w:name="_9kR3WTr26645ES6pmp95rt9xqgk3v3vPW502DOO"/>
      <w:r w:rsidRPr="00BD6C5F">
        <w:t>Departmental Public Bodies or Assembly Sponsored Public Bodies</w:t>
      </w:r>
      <w:bookmarkEnd w:id="1324"/>
      <w:r w:rsidRPr="00BD6C5F">
        <w:t xml:space="preserve"> (advisory, executive, or tribunal);</w:t>
      </w:r>
    </w:p>
    <w:p w14:paraId="055E8815" w14:textId="77777777" w:rsidR="009D6B58" w:rsidRPr="00BD6C5F" w:rsidRDefault="009D6B58" w:rsidP="009A3079">
      <w:pPr>
        <w:pStyle w:val="DefinitionNumbering1"/>
        <w:ind w:left="1440" w:hanging="720"/>
      </w:pPr>
      <w:r w:rsidRPr="00BD6C5F">
        <w:t>Non-Ministerial Departments; or</w:t>
      </w:r>
    </w:p>
    <w:p w14:paraId="169751AB" w14:textId="77777777" w:rsidR="009D6B58" w:rsidRPr="00BD6C5F" w:rsidRDefault="009D6B58" w:rsidP="009A3079">
      <w:pPr>
        <w:pStyle w:val="DefinitionNumbering1"/>
        <w:ind w:left="1440" w:hanging="720"/>
      </w:pPr>
      <w:r w:rsidRPr="00BD6C5F">
        <w:t>Executive Agencies;</w:t>
      </w:r>
    </w:p>
    <w:p w14:paraId="4624BDE6" w14:textId="03FC4DA8" w:rsidR="009D6B58" w:rsidRPr="00BD6C5F" w:rsidRDefault="00A4555C" w:rsidP="009F4A63">
      <w:pPr>
        <w:keepNext/>
        <w:widowControl/>
        <w:autoSpaceDE/>
        <w:autoSpaceDN/>
        <w:spacing w:before="100" w:after="1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Conflicted Personnel</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any Representatives of:</w:t>
      </w:r>
    </w:p>
    <w:p w14:paraId="0A9603EA" w14:textId="77777777" w:rsidR="009D6B58" w:rsidRPr="00DE03A4" w:rsidRDefault="009D6B58" w:rsidP="00B71FC0">
      <w:pPr>
        <w:pStyle w:val="DefinitionNumbering1"/>
        <w:numPr>
          <w:ilvl w:val="2"/>
          <w:numId w:val="187"/>
        </w:numPr>
        <w:ind w:left="0"/>
      </w:pPr>
      <w:r w:rsidRPr="00BD6C5F">
        <w:t xml:space="preserve">the </w:t>
      </w:r>
      <w:r w:rsidRPr="00DE03A4">
        <w:t>Counterparty;</w:t>
      </w:r>
    </w:p>
    <w:p w14:paraId="3820D5F1" w14:textId="3097E37D" w:rsidR="009D6B58" w:rsidRPr="00DE03A4" w:rsidRDefault="009D6B58" w:rsidP="00B71FC0">
      <w:pPr>
        <w:pStyle w:val="DefinitionNumbering1"/>
        <w:numPr>
          <w:ilvl w:val="2"/>
          <w:numId w:val="187"/>
        </w:numPr>
        <w:ind w:left="0"/>
      </w:pPr>
      <w:r w:rsidRPr="00DE03A4">
        <w:t>any of the Counterparty</w:t>
      </w:r>
      <w:r w:rsidR="00A4555C" w:rsidRPr="00DE03A4">
        <w:t>’</w:t>
      </w:r>
      <w:r w:rsidRPr="00DE03A4">
        <w:t>s Affiliates; and/or</w:t>
      </w:r>
    </w:p>
    <w:p w14:paraId="5EBC3F4A" w14:textId="77777777" w:rsidR="009D6B58" w:rsidRPr="00BD6C5F" w:rsidRDefault="009D6B58" w:rsidP="00B71FC0">
      <w:pPr>
        <w:pStyle w:val="DefinitionNumbering1"/>
        <w:numPr>
          <w:ilvl w:val="2"/>
          <w:numId w:val="187"/>
        </w:numPr>
        <w:ind w:left="0"/>
      </w:pPr>
      <w:r w:rsidRPr="00DE03A4">
        <w:t>any S</w:t>
      </w:r>
      <w:r w:rsidRPr="00BD6C5F">
        <w:t>ubcontractors,</w:t>
      </w:r>
    </w:p>
    <w:p w14:paraId="76D4D152" w14:textId="6500EC66" w:rsidR="009D6B58" w:rsidRPr="00BD6C5F" w:rsidRDefault="009D6B58" w:rsidP="005769E8">
      <w:pPr>
        <w:widowControl/>
        <w:autoSpaceDE/>
        <w:autoSpaceDN/>
        <w:spacing w:before="100" w:after="200"/>
        <w:ind w:left="720"/>
        <w:rPr>
          <w:rFonts w:asciiTheme="minorHAnsi" w:hAnsiTheme="minorHAnsi" w:cstheme="minorHAnsi"/>
          <w:szCs w:val="24"/>
          <w:lang w:bidi="ar-SA"/>
        </w:rPr>
      </w:pPr>
      <w:r w:rsidRPr="00BD6C5F">
        <w:rPr>
          <w:rFonts w:asciiTheme="minorHAnsi" w:eastAsia="Calibri" w:hAnsiTheme="minorHAnsi" w:cstheme="minorHAnsi"/>
          <w:szCs w:val="24"/>
          <w:lang w:bidi="ar-SA"/>
        </w:rPr>
        <w:t>who, because of the Counterparty</w:t>
      </w:r>
      <w:r w:rsidR="00A4555C" w:rsidRPr="00BD6C5F">
        <w:rPr>
          <w:rFonts w:asciiTheme="minorHAnsi" w:eastAsia="Calibri" w:hAnsiTheme="minorHAnsi" w:cstheme="minorHAnsi"/>
          <w:szCs w:val="24"/>
          <w:lang w:bidi="ar-SA"/>
        </w:rPr>
        <w:t>’</w:t>
      </w:r>
      <w:r w:rsidRPr="00BD6C5F">
        <w:rPr>
          <w:rFonts w:asciiTheme="minorHAnsi" w:eastAsia="Calibri" w:hAnsiTheme="minorHAnsi" w:cstheme="minorHAnsi"/>
          <w:szCs w:val="24"/>
          <w:lang w:bidi="ar-SA"/>
        </w:rPr>
        <w:t>s, any of its Affiliates</w:t>
      </w:r>
      <w:r w:rsidR="00A4555C" w:rsidRPr="00BD6C5F">
        <w:rPr>
          <w:rFonts w:asciiTheme="minorHAnsi" w:eastAsia="Calibri" w:hAnsiTheme="minorHAnsi" w:cstheme="minorHAnsi"/>
          <w:szCs w:val="24"/>
          <w:lang w:bidi="ar-SA"/>
        </w:rPr>
        <w:t>’</w:t>
      </w:r>
      <w:r w:rsidRPr="00BD6C5F">
        <w:rPr>
          <w:rFonts w:asciiTheme="minorHAnsi" w:eastAsia="Calibri" w:hAnsiTheme="minorHAnsi" w:cstheme="minorHAnsi"/>
          <w:szCs w:val="24"/>
          <w:lang w:bidi="ar-SA"/>
        </w:rPr>
        <w:t xml:space="preserve"> and/or </w:t>
      </w:r>
      <w:r w:rsidRPr="00BD6C5F">
        <w:rPr>
          <w:rFonts w:asciiTheme="minorHAnsi" w:hAnsiTheme="minorHAnsi" w:cstheme="minorHAnsi"/>
          <w:szCs w:val="24"/>
          <w:lang w:bidi="ar-SA"/>
        </w:rPr>
        <w:t>any Subcontractors</w:t>
      </w:r>
      <w:r w:rsidR="00A4555C" w:rsidRPr="00BD6C5F">
        <w:rPr>
          <w:rFonts w:asciiTheme="minorHAnsi" w:hAnsiTheme="minorHAnsi" w:cstheme="minorHAnsi"/>
          <w:szCs w:val="24"/>
          <w:lang w:bidi="ar-SA"/>
        </w:rPr>
        <w:t>’</w:t>
      </w:r>
      <w:r w:rsidRPr="00BD6C5F">
        <w:rPr>
          <w:rFonts w:asciiTheme="minorHAnsi" w:eastAsia="Calibri" w:hAnsiTheme="minorHAnsi" w:cstheme="minorHAnsi"/>
          <w:szCs w:val="24"/>
          <w:lang w:bidi="ar-SA"/>
        </w:rPr>
        <w:t xml:space="preserve"> relationship with the Authority </w:t>
      </w:r>
      <w:r w:rsidRPr="00BD6C5F">
        <w:rPr>
          <w:rFonts w:asciiTheme="minorHAnsi" w:hAnsiTheme="minorHAnsi" w:cstheme="minorHAnsi"/>
          <w:szCs w:val="24"/>
          <w:lang w:bidi="ar-SA"/>
        </w:rPr>
        <w:t>under</w:t>
      </w:r>
      <w:r w:rsidRPr="00BD6C5F">
        <w:rPr>
          <w:rFonts w:asciiTheme="minorHAnsi" w:eastAsia="Calibri" w:hAnsiTheme="minorHAnsi" w:cstheme="minorHAnsi"/>
          <w:szCs w:val="24"/>
          <w:lang w:bidi="ar-SA"/>
        </w:rPr>
        <w:t xml:space="preserve"> any Contract</w:t>
      </w:r>
      <w:r w:rsidRPr="00BD6C5F">
        <w:rPr>
          <w:rFonts w:asciiTheme="minorHAnsi" w:hAnsiTheme="minorHAnsi" w:cstheme="minorHAnsi"/>
          <w:szCs w:val="24"/>
          <w:lang w:bidi="ar-SA"/>
        </w:rPr>
        <w:t>,</w:t>
      </w:r>
      <w:r w:rsidRPr="00BD6C5F">
        <w:rPr>
          <w:rFonts w:asciiTheme="minorHAnsi" w:eastAsia="Calibri" w:hAnsiTheme="minorHAnsi" w:cstheme="minorHAnsi"/>
          <w:szCs w:val="24"/>
          <w:lang w:bidi="ar-SA"/>
        </w:rPr>
        <w:t xml:space="preserve"> have or have had access to information which creates or may create a conflict of interest or provide the Bid Team with an unfair advantage as regards information </w:t>
      </w:r>
      <w:r w:rsidRPr="00BD6C5F">
        <w:rPr>
          <w:rFonts w:asciiTheme="minorHAnsi" w:hAnsiTheme="minorHAnsi" w:cstheme="minorHAnsi"/>
          <w:szCs w:val="24"/>
          <w:lang w:bidi="ar-SA"/>
        </w:rPr>
        <w:t>Other Bidders</w:t>
      </w:r>
      <w:r w:rsidRPr="00BD6C5F">
        <w:rPr>
          <w:rFonts w:asciiTheme="minorHAnsi" w:eastAsia="Calibri" w:hAnsiTheme="minorHAnsi" w:cstheme="minorHAnsi"/>
          <w:szCs w:val="24"/>
          <w:lang w:bidi="ar-SA"/>
        </w:rPr>
        <w:t xml:space="preserve"> would not have;</w:t>
      </w:r>
    </w:p>
    <w:p w14:paraId="5D6F3604" w14:textId="0AD2E713" w:rsidR="009D6B58" w:rsidRPr="00BD6C5F" w:rsidRDefault="00A4555C" w:rsidP="009F4A63">
      <w:pPr>
        <w:keepNext/>
        <w:widowControl/>
        <w:autoSpaceDE/>
        <w:autoSpaceDN/>
        <w:spacing w:before="100" w:after="100"/>
        <w:ind w:left="720"/>
        <w:rPr>
          <w:rFonts w:asciiTheme="minorHAnsi" w:hAnsiTheme="minorHAnsi" w:cstheme="minorHAnsi"/>
          <w:szCs w:val="24"/>
          <w:lang w:bidi="ar-SA"/>
        </w:rPr>
      </w:pPr>
      <w:bookmarkStart w:id="1325" w:name="_9kR3WTr244489JFx38qcw"/>
      <w:bookmarkStart w:id="1326" w:name="_9kR3WTr24449BKFx38qcw"/>
      <w:bookmarkStart w:id="1327" w:name="_9kR3WTr24449DMFx38qcw"/>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Contract</w:t>
      </w:r>
      <w:bookmarkEnd w:id="1325"/>
      <w:bookmarkEnd w:id="1326"/>
      <w:bookmarkEnd w:id="1327"/>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any pre-existing or previous contract between the Authority and:</w:t>
      </w:r>
    </w:p>
    <w:p w14:paraId="0E7821C8" w14:textId="77777777" w:rsidR="009D6B58" w:rsidRPr="00DE03A4" w:rsidRDefault="009D6B58" w:rsidP="00B71FC0">
      <w:pPr>
        <w:pStyle w:val="DefinitionNumbering1"/>
        <w:numPr>
          <w:ilvl w:val="2"/>
          <w:numId w:val="188"/>
        </w:numPr>
        <w:ind w:left="0"/>
      </w:pPr>
      <w:r w:rsidRPr="00BD6C5F">
        <w:t xml:space="preserve">the </w:t>
      </w:r>
      <w:r w:rsidRPr="00DE03A4">
        <w:t>Counterparty;</w:t>
      </w:r>
    </w:p>
    <w:p w14:paraId="31B49F78" w14:textId="35FF03FF" w:rsidR="009D6B58" w:rsidRPr="00DE03A4" w:rsidRDefault="009D6B58" w:rsidP="00B71FC0">
      <w:pPr>
        <w:pStyle w:val="DefinitionNumbering1"/>
        <w:numPr>
          <w:ilvl w:val="2"/>
          <w:numId w:val="188"/>
        </w:numPr>
        <w:ind w:left="0"/>
      </w:pPr>
      <w:r w:rsidRPr="00DE03A4">
        <w:t xml:space="preserve">any of the </w:t>
      </w:r>
      <w:bookmarkStart w:id="1328" w:name="_9kMIH5YVt8956BJ"/>
      <w:r w:rsidRPr="00DE03A4">
        <w:t>Counterparty</w:t>
      </w:r>
      <w:r w:rsidR="00A4555C" w:rsidRPr="00DE03A4">
        <w:t>’</w:t>
      </w:r>
      <w:r w:rsidRPr="00DE03A4">
        <w:t>s</w:t>
      </w:r>
      <w:bookmarkEnd w:id="1328"/>
      <w:r w:rsidRPr="00DE03A4">
        <w:t xml:space="preserve"> Affiliates; </w:t>
      </w:r>
    </w:p>
    <w:p w14:paraId="79567FB4" w14:textId="77777777" w:rsidR="009D6B58" w:rsidRPr="00DE03A4" w:rsidRDefault="009D6B58" w:rsidP="00B71FC0">
      <w:pPr>
        <w:pStyle w:val="DefinitionNumbering1"/>
        <w:numPr>
          <w:ilvl w:val="2"/>
          <w:numId w:val="188"/>
        </w:numPr>
        <w:ind w:left="0"/>
      </w:pPr>
      <w:r w:rsidRPr="00DE03A4">
        <w:t>any Subcontractor; and</w:t>
      </w:r>
    </w:p>
    <w:p w14:paraId="066E16AD" w14:textId="77777777" w:rsidR="009D6B58" w:rsidRPr="00BD6C5F" w:rsidRDefault="009D6B58" w:rsidP="00B71FC0">
      <w:pPr>
        <w:pStyle w:val="DefinitionNumbering1"/>
        <w:numPr>
          <w:ilvl w:val="2"/>
          <w:numId w:val="188"/>
        </w:numPr>
        <w:ind w:left="0"/>
      </w:pPr>
      <w:r w:rsidRPr="00DE03A4">
        <w:t>any other Third</w:t>
      </w:r>
      <w:r w:rsidRPr="00BD6C5F">
        <w:t xml:space="preserve"> Party,</w:t>
      </w:r>
    </w:p>
    <w:p w14:paraId="4868AF1B" w14:textId="77777777" w:rsidR="009D6B58" w:rsidRPr="00BD6C5F" w:rsidRDefault="009D6B58"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relating to the subject matter of the Purpose at the date of the commencement of the ITT Process;</w:t>
      </w:r>
    </w:p>
    <w:p w14:paraId="73128ADA" w14:textId="431BA011"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lastRenderedPageBreak/>
        <w:t>“</w:t>
      </w:r>
      <w:r w:rsidR="009D6B58" w:rsidRPr="00BD6C5F">
        <w:rPr>
          <w:rFonts w:asciiTheme="minorHAnsi" w:hAnsiTheme="minorHAnsi" w:cstheme="minorHAnsi"/>
          <w:b/>
          <w:szCs w:val="24"/>
          <w:lang w:bidi="ar-SA"/>
        </w:rPr>
        <w:t>Control</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the beneficial ownership of more than 50% of the issued share capital of a company or the legal power to direct or cause the direction of the management of the company and </w:t>
      </w: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Controls</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and </w:t>
      </w: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Controlled</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shall be interpreted accordingly;</w:t>
      </w:r>
    </w:p>
    <w:p w14:paraId="2965CA8D" w14:textId="0AF991F1"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Effective Date</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the date of this Agreement as set out above;</w:t>
      </w:r>
    </w:p>
    <w:p w14:paraId="411858B7" w14:textId="0D6908F8"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bookmarkStart w:id="1329" w:name="_9kR3WTr1AB45FYK40zst2y4ACnYzzr6"/>
      <w:r w:rsidR="009D6B58" w:rsidRPr="00BD6C5F">
        <w:rPr>
          <w:rFonts w:asciiTheme="minorHAnsi" w:hAnsiTheme="minorHAnsi" w:cstheme="minorHAnsi"/>
          <w:b/>
          <w:szCs w:val="24"/>
          <w:lang w:bidi="ar-SA"/>
        </w:rPr>
        <w:t>Invitation to Tender</w:t>
      </w:r>
      <w:bookmarkEnd w:id="1329"/>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or </w:t>
      </w: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ITT</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 invitation to submit tenders issued by the Authority as part of an ITT Process (and shall include an Invitation to Negotiate);</w:t>
      </w:r>
    </w:p>
    <w:p w14:paraId="5E1047FC" w14:textId="04E6581F"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ITT Process</w:t>
      </w: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 xml:space="preserve"> </w:t>
      </w:r>
      <w:r w:rsidR="009D6B58" w:rsidRPr="00BD6C5F">
        <w:rPr>
          <w:rFonts w:asciiTheme="minorHAnsi" w:hAnsiTheme="minorHAnsi" w:cstheme="minorHAnsi"/>
          <w:szCs w:val="24"/>
          <w:lang w:bidi="ar-SA"/>
        </w:rPr>
        <w:t xml:space="preserve">means, with regard to the Purpose, the relevant procedure provided for in the Procurement Regulations (as amended), which the Authority has elected to use to select a contractor or contractors, together with all relevant information, data, correspondence and/or documents issued and/or made available by or on behalf of the Authority as part of that procurement exercise and all information, correspondence and/or documents issued and/or made available by or on behalf of the bidders in response together with any resulting </w:t>
      </w:r>
      <w:bookmarkStart w:id="1330" w:name="_9kMHG5YVt4666ABLHz5Asey"/>
      <w:r w:rsidR="009D6B58" w:rsidRPr="00BD6C5F">
        <w:rPr>
          <w:rFonts w:asciiTheme="minorHAnsi" w:hAnsiTheme="minorHAnsi" w:cstheme="minorHAnsi"/>
          <w:szCs w:val="24"/>
          <w:lang w:bidi="ar-SA"/>
        </w:rPr>
        <w:t>contract</w:t>
      </w:r>
      <w:bookmarkEnd w:id="1330"/>
      <w:r w:rsidR="009D6B58" w:rsidRPr="00BD6C5F">
        <w:rPr>
          <w:rFonts w:asciiTheme="minorHAnsi" w:hAnsiTheme="minorHAnsi" w:cstheme="minorHAnsi"/>
          <w:szCs w:val="24"/>
          <w:lang w:bidi="ar-SA"/>
        </w:rPr>
        <w:t>s;</w:t>
      </w:r>
    </w:p>
    <w:p w14:paraId="31A670C7" w14:textId="0A81654A"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ITT Response</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the tender(s) submitted, or to be submitted, by the Counterparty, any of its Affiliates and/or any Subcontractors in response to any invitation(s) to submit bids under the ITT process;</w:t>
      </w:r>
    </w:p>
    <w:p w14:paraId="59416127" w14:textId="6132E08B" w:rsidR="009D6B58" w:rsidRPr="00BD6C5F" w:rsidRDefault="00A4555C" w:rsidP="005769E8">
      <w:pPr>
        <w:widowControl/>
        <w:autoSpaceDE/>
        <w:autoSpaceDN/>
        <w:spacing w:before="100" w:after="200"/>
        <w:ind w:left="720"/>
        <w:rPr>
          <w:rFonts w:asciiTheme="minorHAnsi" w:hAnsiTheme="minorHAnsi" w:cstheme="minorHAnsi"/>
          <w:szCs w:val="24"/>
          <w:lang w:bidi="ar-SA"/>
        </w:rPr>
      </w:pPr>
      <w:bookmarkStart w:id="1331" w:name="_9kR3WTr24447EbWwitRDmikz"/>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Other Bidder</w:t>
      </w:r>
      <w:bookmarkEnd w:id="1331"/>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 xml:space="preserve"> </w:t>
      </w:r>
      <w:r w:rsidR="009D6B58" w:rsidRPr="00BD6C5F">
        <w:rPr>
          <w:rFonts w:asciiTheme="minorHAnsi" w:hAnsiTheme="minorHAnsi" w:cstheme="minorHAnsi"/>
          <w:szCs w:val="24"/>
          <w:lang w:bidi="ar-SA"/>
        </w:rPr>
        <w:t>means any other bidder or potential bidder that is not the Counterparty or any of its Affiliates that has taken or is taking part in the ITT Process;</w:t>
      </w:r>
    </w:p>
    <w:p w14:paraId="3C38ED5C" w14:textId="7C85B4D5" w:rsidR="009D6B58" w:rsidRPr="00BD6C5F" w:rsidRDefault="00A4555C" w:rsidP="005769E8">
      <w:pPr>
        <w:widowControl/>
        <w:autoSpaceDE/>
        <w:autoSpaceDN/>
        <w:spacing w:before="100" w:after="200"/>
        <w:ind w:left="720"/>
        <w:rPr>
          <w:rFonts w:asciiTheme="minorHAnsi" w:hAnsiTheme="minorHAnsi" w:cstheme="minorHAnsi"/>
          <w:szCs w:val="24"/>
          <w:lang w:bidi="ar-SA"/>
        </w:rPr>
      </w:pPr>
      <w:bookmarkStart w:id="1332" w:name="_9kR3WTr24449AWV1nuAvrsuAngCyp6L"/>
      <w:bookmarkStart w:id="1333" w:name="_9kR3WTr24449CYV1nuAvrsuAngCyp6L"/>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Procurement Process</w:t>
      </w:r>
      <w:bookmarkEnd w:id="1332"/>
      <w:bookmarkEnd w:id="1333"/>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w:t>
      </w:r>
      <w:r w:rsidR="009D6B58" w:rsidRPr="00BD6C5F">
        <w:rPr>
          <w:rFonts w:asciiTheme="minorHAnsi" w:hAnsiTheme="minorHAnsi" w:cstheme="minorHAnsi"/>
          <w:iCs/>
          <w:szCs w:val="24"/>
          <w:lang w:bidi="ar-SA"/>
        </w:rPr>
        <w:t xml:space="preserve">means the period commencing on the earlier of: (a) the publication of the first notice in relation to the Purpose; and (b) the execution of this Agreement, and ending on the occurrence of: (i) the publication by the Authority of all </w:t>
      </w:r>
      <w:bookmarkStart w:id="1334" w:name="_9kMHG5YVt4666BDMHz5Asey"/>
      <w:bookmarkStart w:id="1335" w:name="_9kMHG5YVt4666BFOHz5Asey"/>
      <w:r w:rsidR="009D6B58" w:rsidRPr="00BD6C5F">
        <w:rPr>
          <w:rFonts w:asciiTheme="minorHAnsi" w:hAnsiTheme="minorHAnsi" w:cstheme="minorHAnsi"/>
          <w:iCs/>
          <w:szCs w:val="24"/>
          <w:lang w:bidi="ar-SA"/>
        </w:rPr>
        <w:t>contract</w:t>
      </w:r>
      <w:bookmarkEnd w:id="1334"/>
      <w:bookmarkEnd w:id="1335"/>
      <w:r w:rsidR="009D6B58" w:rsidRPr="00BD6C5F">
        <w:rPr>
          <w:rFonts w:asciiTheme="minorHAnsi" w:hAnsiTheme="minorHAnsi" w:cstheme="minorHAnsi"/>
          <w:iCs/>
          <w:szCs w:val="24"/>
          <w:lang w:bidi="ar-SA"/>
        </w:rPr>
        <w:t xml:space="preserve"> award notices that result from the ITT Process; or (ii) the abandonment or termination of the ITT Process as notified by the Authority</w:t>
      </w:r>
      <w:r w:rsidR="009D6B58" w:rsidRPr="00BD6C5F">
        <w:rPr>
          <w:rFonts w:asciiTheme="minorHAnsi" w:hAnsiTheme="minorHAnsi" w:cstheme="minorHAnsi"/>
          <w:szCs w:val="24"/>
          <w:lang w:bidi="ar-SA"/>
        </w:rPr>
        <w:t>;</w:t>
      </w:r>
    </w:p>
    <w:p w14:paraId="6EF6B43E" w14:textId="74FE0337" w:rsidR="009D6B58" w:rsidRPr="00BD6C5F" w:rsidRDefault="00A4555C" w:rsidP="005769E8">
      <w:pPr>
        <w:widowControl/>
        <w:autoSpaceDE/>
        <w:autoSpaceDN/>
        <w:spacing w:before="100" w:after="200"/>
        <w:ind w:left="720"/>
        <w:rPr>
          <w:rFonts w:asciiTheme="minorHAnsi" w:hAnsiTheme="minorHAnsi" w:cstheme="minorHAnsi"/>
          <w:szCs w:val="24"/>
          <w:shd w:val="clear" w:color="auto" w:fill="FFFFFF"/>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Procurement Regulations</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the Public Contracts </w:t>
      </w:r>
      <w:r w:rsidR="00882AD1" w:rsidRPr="00BD6C5F">
        <w:rPr>
          <w:rFonts w:asciiTheme="minorHAnsi" w:hAnsiTheme="minorHAnsi" w:cstheme="minorHAnsi"/>
          <w:szCs w:val="24"/>
          <w:lang w:bidi="ar-SA"/>
        </w:rPr>
        <w:t>(</w:t>
      </w:r>
      <w:r w:rsidR="005873D4" w:rsidRPr="00BD6C5F">
        <w:rPr>
          <w:rFonts w:asciiTheme="minorHAnsi" w:hAnsiTheme="minorHAnsi" w:cstheme="minorHAnsi"/>
          <w:szCs w:val="24"/>
          <w:lang w:bidi="ar-SA"/>
        </w:rPr>
        <w:t>Scotland</w:t>
      </w:r>
      <w:r w:rsidR="00882AD1" w:rsidRPr="00BD6C5F">
        <w:rPr>
          <w:rFonts w:asciiTheme="minorHAnsi" w:hAnsiTheme="minorHAnsi" w:cstheme="minorHAnsi"/>
          <w:szCs w:val="24"/>
          <w:lang w:bidi="ar-SA"/>
        </w:rPr>
        <w:t>)</w:t>
      </w:r>
      <w:r w:rsidR="005873D4" w:rsidRPr="00BD6C5F">
        <w:rPr>
          <w:rFonts w:asciiTheme="minorHAnsi" w:hAnsiTheme="minorHAnsi" w:cstheme="minorHAnsi"/>
          <w:szCs w:val="24"/>
          <w:lang w:bidi="ar-SA"/>
        </w:rPr>
        <w:t xml:space="preserve"> </w:t>
      </w:r>
      <w:r w:rsidR="009D6B58" w:rsidRPr="00BD6C5F">
        <w:rPr>
          <w:rFonts w:asciiTheme="minorHAnsi" w:hAnsiTheme="minorHAnsi" w:cstheme="minorHAnsi"/>
          <w:szCs w:val="24"/>
          <w:lang w:bidi="ar-SA"/>
        </w:rPr>
        <w:t xml:space="preserve">Regulations 2015, the </w:t>
      </w:r>
      <w:bookmarkStart w:id="1336" w:name="_9kR3WTr266467WYrjrjRb7t0G1xy0G"/>
      <w:r w:rsidR="009D6B58" w:rsidRPr="00BD6C5F">
        <w:rPr>
          <w:rFonts w:asciiTheme="minorHAnsi" w:hAnsiTheme="minorHAnsi" w:cstheme="minorHAnsi"/>
          <w:szCs w:val="24"/>
          <w:lang w:bidi="ar-SA"/>
        </w:rPr>
        <w:t>Public Procurement</w:t>
      </w:r>
      <w:bookmarkEnd w:id="1336"/>
      <w:r w:rsidR="009D6B58" w:rsidRPr="00BD6C5F">
        <w:rPr>
          <w:rFonts w:asciiTheme="minorHAnsi" w:hAnsiTheme="minorHAnsi" w:cstheme="minorHAnsi"/>
          <w:szCs w:val="24"/>
          <w:lang w:bidi="ar-SA"/>
        </w:rPr>
        <w:t xml:space="preserve"> (</w:t>
      </w:r>
      <w:bookmarkStart w:id="1337" w:name="_9kR3WTr266468IBmoooqs8"/>
      <w:r w:rsidR="009D6B58" w:rsidRPr="00BD6C5F">
        <w:rPr>
          <w:rFonts w:asciiTheme="minorHAnsi" w:hAnsiTheme="minorHAnsi" w:cstheme="minorHAnsi"/>
          <w:szCs w:val="24"/>
          <w:lang w:bidi="ar-SA"/>
        </w:rPr>
        <w:t>Amendment</w:t>
      </w:r>
      <w:bookmarkEnd w:id="1337"/>
      <w:r w:rsidR="009D6B58" w:rsidRPr="00BD6C5F">
        <w:rPr>
          <w:rFonts w:asciiTheme="minorHAnsi" w:hAnsiTheme="minorHAnsi" w:cstheme="minorHAnsi"/>
          <w:szCs w:val="24"/>
          <w:lang w:bidi="ar-SA"/>
        </w:rPr>
        <w:t xml:space="preserve"> etc.)(</w:t>
      </w:r>
      <w:bookmarkStart w:id="1338" w:name="_9kR3WTr266469NxyS30"/>
      <w:r w:rsidR="009D6B58" w:rsidRPr="00BD6C5F">
        <w:rPr>
          <w:rFonts w:asciiTheme="minorHAnsi" w:hAnsiTheme="minorHAnsi" w:cstheme="minorHAnsi"/>
          <w:szCs w:val="24"/>
          <w:lang w:bidi="ar-SA"/>
        </w:rPr>
        <w:t>EU Exit</w:t>
      </w:r>
      <w:bookmarkEnd w:id="1338"/>
      <w:r w:rsidR="009D6B58" w:rsidRPr="00BD6C5F">
        <w:rPr>
          <w:rFonts w:asciiTheme="minorHAnsi" w:hAnsiTheme="minorHAnsi" w:cstheme="minorHAnsi"/>
          <w:szCs w:val="24"/>
          <w:lang w:bidi="ar-SA"/>
        </w:rPr>
        <w:t xml:space="preserve">) </w:t>
      </w:r>
      <w:bookmarkStart w:id="1339" w:name="_9kR3WTr26646AbKgx3kt2y49PLMN"/>
      <w:r w:rsidR="009D6B58" w:rsidRPr="00BD6C5F">
        <w:rPr>
          <w:rFonts w:asciiTheme="minorHAnsi" w:hAnsiTheme="minorHAnsi" w:cstheme="minorHAnsi"/>
          <w:szCs w:val="24"/>
          <w:lang w:bidi="ar-SA"/>
        </w:rPr>
        <w:t>Regulations 2020</w:t>
      </w:r>
      <w:bookmarkEnd w:id="1339"/>
      <w:r w:rsidR="009D6B58" w:rsidRPr="00BD6C5F">
        <w:rPr>
          <w:rFonts w:asciiTheme="minorHAnsi" w:hAnsiTheme="minorHAnsi" w:cstheme="minorHAnsi"/>
          <w:szCs w:val="24"/>
          <w:lang w:bidi="ar-SA"/>
        </w:rPr>
        <w:t>, t</w:t>
      </w:r>
      <w:r w:rsidR="009D6B58" w:rsidRPr="00BD6C5F">
        <w:rPr>
          <w:rFonts w:asciiTheme="minorHAnsi" w:hAnsiTheme="minorHAnsi" w:cstheme="minorHAnsi"/>
          <w:szCs w:val="24"/>
          <w:shd w:val="clear" w:color="auto" w:fill="FFFFFF"/>
          <w:lang w:bidi="ar-SA"/>
        </w:rPr>
        <w:t xml:space="preserve">he Defence and Security Public Contracts Regulations 2011, the Utilities Contracts </w:t>
      </w:r>
      <w:r w:rsidR="00882AD1" w:rsidRPr="00BD6C5F">
        <w:rPr>
          <w:rFonts w:asciiTheme="minorHAnsi" w:hAnsiTheme="minorHAnsi" w:cstheme="minorHAnsi"/>
          <w:szCs w:val="24"/>
          <w:shd w:val="clear" w:color="auto" w:fill="FFFFFF"/>
          <w:lang w:bidi="ar-SA"/>
        </w:rPr>
        <w:t xml:space="preserve">(Scotland) </w:t>
      </w:r>
      <w:r w:rsidR="009D6B58" w:rsidRPr="00BD6C5F">
        <w:rPr>
          <w:rFonts w:asciiTheme="minorHAnsi" w:hAnsiTheme="minorHAnsi" w:cstheme="minorHAnsi"/>
          <w:szCs w:val="24"/>
          <w:shd w:val="clear" w:color="auto" w:fill="FFFFFF"/>
          <w:lang w:bidi="ar-SA"/>
        </w:rPr>
        <w:t>Regulations 2016, and the Concession Contracts</w:t>
      </w:r>
      <w:r w:rsidR="00882AD1" w:rsidRPr="00BD6C5F">
        <w:rPr>
          <w:rFonts w:asciiTheme="minorHAnsi" w:hAnsiTheme="minorHAnsi" w:cstheme="minorHAnsi"/>
          <w:szCs w:val="24"/>
          <w:shd w:val="clear" w:color="auto" w:fill="FFFFFF"/>
          <w:lang w:bidi="ar-SA"/>
        </w:rPr>
        <w:t xml:space="preserve"> (Scotland)</w:t>
      </w:r>
      <w:r w:rsidR="009D6B58" w:rsidRPr="00BD6C5F">
        <w:rPr>
          <w:rFonts w:asciiTheme="minorHAnsi" w:hAnsiTheme="minorHAnsi" w:cstheme="minorHAnsi"/>
          <w:szCs w:val="24"/>
          <w:shd w:val="clear" w:color="auto" w:fill="FFFFFF"/>
          <w:lang w:bidi="ar-SA"/>
        </w:rPr>
        <w:t xml:space="preserve"> Regulations 2016, each as amended from time to time;</w:t>
      </w:r>
      <w:r w:rsidR="009D6B58" w:rsidRPr="00BD6C5F" w:rsidDel="0047676E">
        <w:rPr>
          <w:rFonts w:asciiTheme="minorHAnsi" w:hAnsiTheme="minorHAnsi" w:cstheme="minorHAnsi"/>
          <w:szCs w:val="24"/>
          <w:shd w:val="clear" w:color="auto" w:fill="FFFFFF"/>
          <w:lang w:bidi="ar-SA"/>
        </w:rPr>
        <w:t xml:space="preserve"> </w:t>
      </w:r>
    </w:p>
    <w:p w14:paraId="096D95DA" w14:textId="21177D02"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Professional Advisor</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 supplier, subcontractor, advisor or consultant engaged by the Counterparty and/or any of its Affiliates under the auspices of compiling its ITT response;</w:t>
      </w:r>
    </w:p>
    <w:p w14:paraId="4C1A9241" w14:textId="1D238740"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Purpose</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has the meaning given to it in recital</w:t>
      </w:r>
      <w:r w:rsidR="00C24032" w:rsidRPr="00BD6C5F">
        <w:rPr>
          <w:rFonts w:asciiTheme="minorHAnsi" w:hAnsiTheme="minorHAnsi" w:cstheme="minorHAnsi"/>
          <w:szCs w:val="24"/>
          <w:lang w:bidi="ar-SA"/>
        </w:rPr>
        <w:t> </w:t>
      </w:r>
      <w:bookmarkStart w:id="1340" w:name="_9kR3WTr26646BMJ34yo0TC0znwxzF"/>
      <w:r w:rsidR="009D6B58" w:rsidRPr="00BD6C5F">
        <w:rPr>
          <w:rFonts w:asciiTheme="minorHAnsi" w:hAnsiTheme="minorHAnsi" w:cstheme="minorHAnsi"/>
          <w:szCs w:val="24"/>
          <w:lang w:bidi="ar-SA"/>
        </w:rPr>
        <w:t>B to this Agreement</w:t>
      </w:r>
      <w:bookmarkEnd w:id="1340"/>
      <w:r w:rsidR="009D6B58" w:rsidRPr="00BD6C5F">
        <w:rPr>
          <w:rFonts w:asciiTheme="minorHAnsi" w:hAnsiTheme="minorHAnsi" w:cstheme="minorHAnsi"/>
          <w:szCs w:val="24"/>
          <w:lang w:bidi="ar-SA"/>
        </w:rPr>
        <w:t>;</w:t>
      </w:r>
    </w:p>
    <w:p w14:paraId="32699B16" w14:textId="4A9F13D5" w:rsidR="009D6B58" w:rsidRPr="00BD6C5F" w:rsidRDefault="00A4555C" w:rsidP="005769E8">
      <w:pPr>
        <w:widowControl/>
        <w:autoSpaceDE/>
        <w:autoSpaceDN/>
        <w:spacing w:before="100" w:after="200"/>
        <w:ind w:left="720"/>
        <w:rPr>
          <w:rFonts w:asciiTheme="minorHAnsi" w:hAnsiTheme="minorHAnsi" w:cstheme="minorHAnsi"/>
          <w:szCs w:val="24"/>
          <w:lang w:bidi="ar-SA"/>
        </w:rPr>
      </w:pPr>
      <w:bookmarkStart w:id="1341" w:name="_9kR3WTr24448AZKp3tvws8wx696"/>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Representative</w:t>
      </w:r>
      <w:bookmarkEnd w:id="1341"/>
      <w:r w:rsidRPr="00BD6C5F">
        <w:rPr>
          <w:rFonts w:asciiTheme="minorHAnsi" w:hAnsiTheme="minorHAnsi" w:cstheme="minorHAnsi"/>
          <w:bCs/>
          <w:szCs w:val="24"/>
          <w:lang w:bidi="ar-SA"/>
        </w:rPr>
        <w:t>”</w:t>
      </w:r>
      <w:r w:rsidR="009D6B58" w:rsidRPr="00BD6C5F">
        <w:rPr>
          <w:rFonts w:asciiTheme="minorHAnsi" w:hAnsiTheme="minorHAnsi" w:cstheme="minorHAnsi"/>
          <w:b/>
          <w:szCs w:val="24"/>
          <w:lang w:bidi="ar-SA"/>
        </w:rPr>
        <w:t xml:space="preserve"> </w:t>
      </w:r>
      <w:r w:rsidR="009D6B58" w:rsidRPr="00BD6C5F">
        <w:rPr>
          <w:rFonts w:asciiTheme="minorHAnsi" w:hAnsiTheme="minorHAnsi" w:cstheme="minorHAnsi"/>
          <w:szCs w:val="24"/>
          <w:lang w:bidi="ar-SA"/>
        </w:rPr>
        <w:t>refers to a person</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s officers, directors, employees, advisers (including the officers, directors, employees, advisers and agents of any Professional Advisors), agents and, where the context admits, providers or potential providers of finance (including their representatives) to the Counterparty, any of its Affiliates and/or any subcontractors engaged in connection with the ITT Process;</w:t>
      </w:r>
    </w:p>
    <w:p w14:paraId="186F5BCF" w14:textId="749EB19A" w:rsidR="009D6B58" w:rsidRPr="00BD6C5F" w:rsidRDefault="00A4555C" w:rsidP="009F4A63">
      <w:pPr>
        <w:keepNext/>
        <w:widowControl/>
        <w:autoSpaceDE/>
        <w:autoSpaceDN/>
        <w:spacing w:before="100" w:after="100"/>
        <w:ind w:left="720"/>
        <w:rPr>
          <w:rFonts w:asciiTheme="minorHAnsi" w:eastAsia="Calibri" w:hAnsiTheme="minorHAnsi" w:cstheme="minorHAnsi"/>
          <w:szCs w:val="24"/>
          <w:lang w:bidi="ar-SA"/>
        </w:rPr>
      </w:pPr>
      <w:r w:rsidRPr="00BD6C5F">
        <w:rPr>
          <w:rFonts w:asciiTheme="minorHAnsi" w:eastAsia="Calibri" w:hAnsiTheme="minorHAnsi" w:cstheme="minorHAnsi"/>
          <w:szCs w:val="24"/>
          <w:lang w:bidi="ar-SA"/>
        </w:rPr>
        <w:t>“</w:t>
      </w:r>
      <w:r w:rsidR="009D6B58" w:rsidRPr="00BD6C5F">
        <w:rPr>
          <w:rFonts w:asciiTheme="minorHAnsi" w:eastAsia="Calibri" w:hAnsiTheme="minorHAnsi" w:cstheme="minorHAnsi"/>
          <w:b/>
          <w:szCs w:val="24"/>
          <w:lang w:bidi="ar-SA"/>
        </w:rPr>
        <w:t>Subcontractor</w:t>
      </w:r>
      <w:r w:rsidRPr="00BD6C5F">
        <w:rPr>
          <w:rFonts w:asciiTheme="minorHAnsi" w:eastAsia="Calibri" w:hAnsiTheme="minorHAnsi" w:cstheme="minorHAnsi"/>
          <w:szCs w:val="24"/>
          <w:lang w:bidi="ar-SA"/>
        </w:rPr>
        <w:t>”</w:t>
      </w:r>
      <w:r w:rsidR="009D6B58" w:rsidRPr="00BD6C5F">
        <w:rPr>
          <w:rFonts w:asciiTheme="minorHAnsi" w:eastAsia="Calibri" w:hAnsiTheme="minorHAnsi" w:cstheme="minorHAnsi"/>
          <w:szCs w:val="24"/>
          <w:lang w:bidi="ar-SA"/>
        </w:rPr>
        <w:t xml:space="preserve"> means an existing or </w:t>
      </w:r>
      <w:r w:rsidR="009D6B58" w:rsidRPr="00BD6C5F">
        <w:rPr>
          <w:rFonts w:asciiTheme="minorHAnsi" w:hAnsiTheme="minorHAnsi" w:cstheme="minorHAnsi"/>
          <w:szCs w:val="24"/>
          <w:lang w:bidi="ar-SA"/>
        </w:rPr>
        <w:t>proposed</w:t>
      </w:r>
      <w:r w:rsidR="009D6B58" w:rsidRPr="00BD6C5F">
        <w:rPr>
          <w:rFonts w:asciiTheme="minorHAnsi" w:eastAsia="Calibri" w:hAnsiTheme="minorHAnsi" w:cstheme="minorHAnsi"/>
          <w:szCs w:val="24"/>
          <w:lang w:bidi="ar-SA"/>
        </w:rPr>
        <w:t xml:space="preserve"> subcontractor of:</w:t>
      </w:r>
    </w:p>
    <w:p w14:paraId="0321CC40" w14:textId="77777777" w:rsidR="009D6B58" w:rsidRPr="00BD6C5F" w:rsidRDefault="009D6B58" w:rsidP="00B71FC0">
      <w:pPr>
        <w:pStyle w:val="DefinitionNumbering1"/>
        <w:numPr>
          <w:ilvl w:val="2"/>
          <w:numId w:val="189"/>
        </w:numPr>
        <w:ind w:left="0"/>
      </w:pPr>
      <w:r w:rsidRPr="00BD6C5F">
        <w:t>the Counterparty; and/or</w:t>
      </w:r>
    </w:p>
    <w:p w14:paraId="42A561A1" w14:textId="52CBE5CD" w:rsidR="009D6B58" w:rsidRPr="00BD6C5F" w:rsidRDefault="009D6B58" w:rsidP="00B71FC0">
      <w:pPr>
        <w:pStyle w:val="DefinitionNumbering1"/>
        <w:numPr>
          <w:ilvl w:val="2"/>
          <w:numId w:val="189"/>
        </w:numPr>
        <w:ind w:left="0"/>
      </w:pPr>
      <w:r w:rsidRPr="00BD6C5F">
        <w:t>any of the Counterparty</w:t>
      </w:r>
      <w:r w:rsidR="00A4555C" w:rsidRPr="00BD6C5F">
        <w:t>’</w:t>
      </w:r>
      <w:r w:rsidRPr="00BD6C5F">
        <w:t>s Affiliates,</w:t>
      </w:r>
    </w:p>
    <w:p w14:paraId="5D9F480A" w14:textId="77777777" w:rsidR="009D6B58" w:rsidRPr="00BD6C5F" w:rsidRDefault="009D6B58"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lastRenderedPageBreak/>
        <w:t>who is connected to the preparation of an ITT Response (including key subcontractors named in the ITT Response);</w:t>
      </w:r>
    </w:p>
    <w:p w14:paraId="429B7D5A" w14:textId="67DF890A" w:rsidR="009D6B58" w:rsidRPr="00BD6C5F" w:rsidRDefault="00A4555C" w:rsidP="005769E8">
      <w:pPr>
        <w:widowControl/>
        <w:autoSpaceDE/>
        <w:autoSpaceDN/>
        <w:spacing w:before="100" w:after="200"/>
        <w:ind w:left="720"/>
        <w:rPr>
          <w:rFonts w:asciiTheme="minorHAnsi" w:hAnsiTheme="minorHAnsi" w:cstheme="minorHAnsi"/>
          <w:szCs w:val="24"/>
          <w:lang w:bidi="ar-SA"/>
        </w:rPr>
      </w:pPr>
      <w:r w:rsidRPr="00BD6C5F">
        <w:rPr>
          <w:rFonts w:asciiTheme="minorHAnsi" w:hAnsiTheme="minorHAnsi" w:cstheme="minorHAnsi"/>
          <w:szCs w:val="24"/>
          <w:lang w:bidi="ar-SA"/>
        </w:rPr>
        <w:t>“</w:t>
      </w:r>
      <w:r w:rsidR="009D6B58" w:rsidRPr="00BD6C5F">
        <w:rPr>
          <w:rFonts w:asciiTheme="minorHAnsi" w:hAnsiTheme="minorHAnsi" w:cstheme="minorHAnsi"/>
          <w:b/>
          <w:szCs w:val="24"/>
          <w:lang w:bidi="ar-SA"/>
        </w:rPr>
        <w:t>Third Party</w:t>
      </w:r>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any person who is not a Party, including Other Bidders, their Affiliates and/or their Representatives; and</w:t>
      </w:r>
    </w:p>
    <w:p w14:paraId="6224B7BD" w14:textId="17440F3D" w:rsidR="009D6B58" w:rsidRPr="00BD6C5F" w:rsidRDefault="00A4555C" w:rsidP="005769E8">
      <w:pPr>
        <w:widowControl/>
        <w:autoSpaceDE/>
        <w:autoSpaceDN/>
        <w:spacing w:before="100" w:after="200"/>
        <w:ind w:left="720"/>
        <w:rPr>
          <w:rFonts w:asciiTheme="minorHAnsi" w:hAnsiTheme="minorHAnsi" w:cstheme="minorHAnsi"/>
          <w:szCs w:val="24"/>
          <w:lang w:bidi="ar-SA"/>
        </w:rPr>
      </w:pPr>
      <w:bookmarkStart w:id="1342" w:name="_9kR3WTr24448FjZ1yqutK91"/>
      <w:r w:rsidRPr="00BD6C5F">
        <w:rPr>
          <w:rFonts w:asciiTheme="minorHAnsi" w:hAnsiTheme="minorHAnsi" w:cstheme="minorHAnsi"/>
          <w:szCs w:val="24"/>
          <w:lang w:bidi="ar-SA"/>
        </w:rPr>
        <w:t>“</w:t>
      </w:r>
      <w:r w:rsidR="009D6B58" w:rsidRPr="00BD6C5F">
        <w:rPr>
          <w:rFonts w:asciiTheme="minorHAnsi" w:hAnsiTheme="minorHAnsi" w:cstheme="minorHAnsi"/>
          <w:b/>
          <w:bCs/>
          <w:szCs w:val="24"/>
          <w:lang w:bidi="ar-SA"/>
        </w:rPr>
        <w:t>Working Day</w:t>
      </w:r>
      <w:bookmarkEnd w:id="1342"/>
      <w:r w:rsidRPr="00BD6C5F">
        <w:rPr>
          <w:rFonts w:asciiTheme="minorHAnsi" w:hAnsiTheme="minorHAnsi" w:cstheme="minorHAnsi"/>
          <w:szCs w:val="24"/>
          <w:lang w:bidi="ar-SA"/>
        </w:rPr>
        <w:t>”</w:t>
      </w:r>
      <w:r w:rsidR="009D6B58" w:rsidRPr="00BD6C5F">
        <w:rPr>
          <w:rFonts w:asciiTheme="minorHAnsi" w:hAnsiTheme="minorHAnsi" w:cstheme="minorHAnsi"/>
          <w:szCs w:val="24"/>
          <w:lang w:bidi="ar-SA"/>
        </w:rPr>
        <w:t xml:space="preserve"> means any day of the week other than a weekend, when Banks in </w:t>
      </w:r>
      <w:r w:rsidR="00882AD1" w:rsidRPr="00BD6C5F">
        <w:rPr>
          <w:rFonts w:asciiTheme="minorHAnsi" w:hAnsiTheme="minorHAnsi" w:cstheme="minorHAnsi"/>
          <w:szCs w:val="24"/>
          <w:lang w:bidi="ar-SA"/>
        </w:rPr>
        <w:t>Scotland</w:t>
      </w:r>
      <w:r w:rsidR="009D6B58" w:rsidRPr="00BD6C5F">
        <w:rPr>
          <w:rFonts w:asciiTheme="minorHAnsi" w:hAnsiTheme="minorHAnsi" w:cstheme="minorHAnsi"/>
          <w:szCs w:val="24"/>
          <w:lang w:bidi="ar-SA"/>
        </w:rPr>
        <w:t xml:space="preserve"> are open for business.</w:t>
      </w:r>
    </w:p>
    <w:p w14:paraId="29095FEB" w14:textId="1A3426B2" w:rsidR="008D2790" w:rsidRPr="00BD6C5F" w:rsidRDefault="00D4497D" w:rsidP="00DE03A4">
      <w:pPr>
        <w:pStyle w:val="AppendixText1"/>
      </w:pPr>
      <w:r w:rsidRPr="00BD6C5F">
        <w:t>Introduction</w:t>
      </w:r>
    </w:p>
    <w:p w14:paraId="5B573915" w14:textId="77777777" w:rsidR="009D6B58" w:rsidRPr="00BD6C5F" w:rsidRDefault="009D6B58" w:rsidP="00821FA3">
      <w:pPr>
        <w:pStyle w:val="AppendixText2"/>
      </w:pPr>
      <w:r w:rsidRPr="00BD6C5F">
        <w:t>Reference to the disclosure of information includes any communication or making available information and includes both direct and indirect disclosure.</w:t>
      </w:r>
    </w:p>
    <w:p w14:paraId="3C35C46E" w14:textId="593069AB" w:rsidR="009D6B58" w:rsidRPr="00BD6C5F" w:rsidRDefault="009D6B58" w:rsidP="00821FA3">
      <w:pPr>
        <w:pStyle w:val="AppendixText2"/>
      </w:pPr>
      <w:r w:rsidRPr="00BD6C5F">
        <w:t>Reference to the disclosure of information, or provision of access, by or to the Authority, the Counterparty, any of the Counterparty</w:t>
      </w:r>
      <w:r w:rsidR="00A4555C" w:rsidRPr="00BD6C5F">
        <w:t>’</w:t>
      </w:r>
      <w:r w:rsidRPr="00BD6C5F">
        <w:t>s Affiliates and/or any Subcontractors includes disclosure, or provision of access, by or to the Representatives of the Authority, the Counterparty, any of its Affiliates and/or any Subcontractors (as the case may be).</w:t>
      </w:r>
    </w:p>
    <w:p w14:paraId="75BD75B7" w14:textId="77777777" w:rsidR="009D6B58" w:rsidRPr="00BD6C5F" w:rsidRDefault="009D6B58" w:rsidP="00821FA3">
      <w:pPr>
        <w:pStyle w:val="AppendixText2"/>
      </w:pPr>
      <w:r w:rsidRPr="00BD6C5F">
        <w:t>Reference to persons includes legal and natural persons.</w:t>
      </w:r>
    </w:p>
    <w:p w14:paraId="0059F1CF" w14:textId="77777777" w:rsidR="009D6B58" w:rsidRPr="00BD6C5F" w:rsidRDefault="009D6B58" w:rsidP="00821FA3">
      <w:pPr>
        <w:pStyle w:val="AppendixText2"/>
      </w:pPr>
      <w:r w:rsidRPr="00BD6C5F">
        <w:t>Reference to any enactment is to that enactment as amended, supplemented, re-enacted or replaced from time to time.</w:t>
      </w:r>
    </w:p>
    <w:p w14:paraId="159E3D49" w14:textId="77777777" w:rsidR="009D6B58" w:rsidRPr="00BD6C5F" w:rsidRDefault="009D6B58" w:rsidP="00821FA3">
      <w:pPr>
        <w:pStyle w:val="AppendixText2"/>
      </w:pPr>
      <w:r w:rsidRPr="00BD6C5F">
        <w:t>Reference to clauses and recitals is to clauses of and recitals to this Agreement.</w:t>
      </w:r>
    </w:p>
    <w:p w14:paraId="72A1DE01" w14:textId="2E238CE6" w:rsidR="009D6B58" w:rsidRPr="00BD6C5F" w:rsidRDefault="009D6B58" w:rsidP="00821FA3">
      <w:pPr>
        <w:pStyle w:val="AppendixText2"/>
      </w:pPr>
      <w:r w:rsidRPr="00BD6C5F">
        <w:t>Reference to any gender includes any other</w:t>
      </w:r>
      <w:r w:rsidR="00882AD1" w:rsidRPr="00BD6C5F">
        <w:t xml:space="preserve"> gender</w:t>
      </w:r>
      <w:r w:rsidRPr="00BD6C5F">
        <w:t>.</w:t>
      </w:r>
    </w:p>
    <w:p w14:paraId="46CEB552" w14:textId="77777777" w:rsidR="009D6B58" w:rsidRPr="00BD6C5F" w:rsidRDefault="009D6B58" w:rsidP="00821FA3">
      <w:pPr>
        <w:pStyle w:val="AppendixText2"/>
      </w:pPr>
      <w:r w:rsidRPr="00BD6C5F">
        <w:t>Reference to writing includes email.</w:t>
      </w:r>
    </w:p>
    <w:p w14:paraId="030ED87E" w14:textId="4F1432D3" w:rsidR="009D6B58" w:rsidRPr="00BD6C5F" w:rsidRDefault="009D6B58" w:rsidP="00821FA3">
      <w:pPr>
        <w:pStyle w:val="AppendixText2"/>
      </w:pPr>
      <w:r w:rsidRPr="00BD6C5F">
        <w:t xml:space="preserve">The terms </w:t>
      </w:r>
      <w:bookmarkStart w:id="1343" w:name="_9kR3WTr23347Fon63ojiuz"/>
      <w:r w:rsidR="00A4555C" w:rsidRPr="00BD6C5F">
        <w:t>“</w:t>
      </w:r>
      <w:r w:rsidRPr="00BD6C5F">
        <w:rPr>
          <w:b/>
          <w:bCs/>
        </w:rPr>
        <w:t>associate</w:t>
      </w:r>
      <w:bookmarkEnd w:id="1343"/>
      <w:r w:rsidR="00A4555C" w:rsidRPr="00BD6C5F">
        <w:t>”</w:t>
      </w:r>
      <w:r w:rsidRPr="00BD6C5F">
        <w:t xml:space="preserve">, </w:t>
      </w:r>
      <w:r w:rsidR="00A4555C" w:rsidRPr="00BD6C5F">
        <w:t>“</w:t>
      </w:r>
      <w:bookmarkStart w:id="1344" w:name="_9kR3WTr23347Gwqvljutjs35utI"/>
      <w:r w:rsidRPr="00BD6C5F">
        <w:rPr>
          <w:b/>
          <w:bCs/>
        </w:rPr>
        <w:t>holding company</w:t>
      </w:r>
      <w:bookmarkEnd w:id="1344"/>
      <w:r w:rsidR="00A4555C" w:rsidRPr="00BD6C5F">
        <w:t>”</w:t>
      </w:r>
      <w:r w:rsidRPr="00BD6C5F">
        <w:t xml:space="preserve">, </w:t>
      </w:r>
      <w:r w:rsidR="00A4555C" w:rsidRPr="00BD6C5F">
        <w:t>“</w:t>
      </w:r>
      <w:bookmarkStart w:id="1345" w:name="_9kR3WTr23348C27rqykljtI"/>
      <w:r w:rsidRPr="00BD6C5F">
        <w:rPr>
          <w:b/>
          <w:bCs/>
        </w:rPr>
        <w:t>subsidiary</w:t>
      </w:r>
      <w:bookmarkEnd w:id="1345"/>
      <w:r w:rsidR="00A4555C" w:rsidRPr="00BD6C5F">
        <w:t>”</w:t>
      </w:r>
      <w:r w:rsidRPr="00BD6C5F">
        <w:t xml:space="preserve">, </w:t>
      </w:r>
      <w:r w:rsidR="00A4555C" w:rsidRPr="00BD6C5F">
        <w:t>“</w:t>
      </w:r>
      <w:bookmarkStart w:id="1346" w:name="_9kR3WTr23348D37rqykljtIMCwo3J3v487"/>
      <w:r w:rsidRPr="00BD6C5F">
        <w:rPr>
          <w:b/>
          <w:bCs/>
        </w:rPr>
        <w:t>subsidiary undertaking</w:t>
      </w:r>
      <w:bookmarkEnd w:id="1346"/>
      <w:r w:rsidR="00A4555C" w:rsidRPr="00BD6C5F">
        <w:t>”</w:t>
      </w:r>
      <w:r w:rsidRPr="00BD6C5F">
        <w:t xml:space="preserve"> and </w:t>
      </w:r>
      <w:r w:rsidR="00A4555C" w:rsidRPr="00BD6C5F">
        <w:t>“</w:t>
      </w:r>
      <w:bookmarkStart w:id="1347" w:name="_9kR3WTr23348E8yrwu8CBBul0I219vwu4T"/>
      <w:r w:rsidRPr="00BD6C5F">
        <w:rPr>
          <w:b/>
          <w:bCs/>
        </w:rPr>
        <w:t>wholly owned subsidiary</w:t>
      </w:r>
      <w:bookmarkEnd w:id="1347"/>
      <w:r w:rsidR="00A4555C" w:rsidRPr="00BD6C5F">
        <w:t>”</w:t>
      </w:r>
      <w:r w:rsidRPr="00BD6C5F">
        <w:t xml:space="preserve"> have the meanings attributed to them in the Companies Act 2006, except that for the </w:t>
      </w:r>
      <w:bookmarkStart w:id="1348" w:name="_9kMIH5YVt46669Fda9537y"/>
      <w:r w:rsidRPr="00BD6C5F">
        <w:t>purposes</w:t>
      </w:r>
      <w:bookmarkEnd w:id="1348"/>
      <w:r w:rsidRPr="00BD6C5F">
        <w:t xml:space="preserve"> of section 1159(1)(a) of that Act, the words </w:t>
      </w:r>
      <w:r w:rsidR="00A4555C" w:rsidRPr="00BD6C5F">
        <w:t>‘</w:t>
      </w:r>
      <w:r w:rsidRPr="00BD6C5F">
        <w:t>holds a majority of the voting rights</w:t>
      </w:r>
      <w:r w:rsidR="00A4555C" w:rsidRPr="00BD6C5F">
        <w:t>’</w:t>
      </w:r>
      <w:r w:rsidRPr="00BD6C5F">
        <w:t xml:space="preserve"> shall be changed to </w:t>
      </w:r>
      <w:r w:rsidR="00A4555C" w:rsidRPr="00BD6C5F">
        <w:t>‘</w:t>
      </w:r>
      <w:r w:rsidRPr="00BD6C5F">
        <w:t>holds 30% or more of the voting rights</w:t>
      </w:r>
      <w:r w:rsidR="00A4555C" w:rsidRPr="00BD6C5F">
        <w:t>’</w:t>
      </w:r>
      <w:r w:rsidRPr="00BD6C5F">
        <w:t>, and other expressions shall be construed accordingly.</w:t>
      </w:r>
    </w:p>
    <w:p w14:paraId="6B941B1C" w14:textId="10619479" w:rsidR="009D6B58" w:rsidRPr="00BD6C5F" w:rsidRDefault="009D6B58" w:rsidP="00821FA3">
      <w:pPr>
        <w:pStyle w:val="AppendixText2"/>
      </w:pPr>
      <w:r w:rsidRPr="00BD6C5F">
        <w:t xml:space="preserve">The words </w:t>
      </w:r>
      <w:r w:rsidR="00A4555C" w:rsidRPr="00BD6C5F">
        <w:t>“</w:t>
      </w:r>
      <w:bookmarkStart w:id="1349" w:name="_9kR3WTr23347Hyqlk3wh"/>
      <w:r w:rsidRPr="00BD6C5F">
        <w:rPr>
          <w:b/>
          <w:bCs/>
        </w:rPr>
        <w:t>include</w:t>
      </w:r>
      <w:bookmarkEnd w:id="1349"/>
      <w:r w:rsidR="00A4555C" w:rsidRPr="00BD6C5F">
        <w:t>”</w:t>
      </w:r>
      <w:r w:rsidRPr="00BD6C5F">
        <w:t xml:space="preserve"> and </w:t>
      </w:r>
      <w:r w:rsidR="00A4555C" w:rsidRPr="00BD6C5F">
        <w:t>“</w:t>
      </w:r>
      <w:r w:rsidRPr="00BD6C5F">
        <w:rPr>
          <w:b/>
          <w:bCs/>
        </w:rPr>
        <w:t>including</w:t>
      </w:r>
      <w:r w:rsidR="00A4555C" w:rsidRPr="00BD6C5F">
        <w:t>”</w:t>
      </w:r>
      <w:r w:rsidRPr="00BD6C5F">
        <w:t xml:space="preserve"> are to be construed without limitation.</w:t>
      </w:r>
    </w:p>
    <w:p w14:paraId="2BE0EA00" w14:textId="77777777" w:rsidR="009D6B58" w:rsidRPr="00BD6C5F" w:rsidRDefault="009D6B58" w:rsidP="00821FA3">
      <w:pPr>
        <w:pStyle w:val="AppendixText2"/>
      </w:pPr>
      <w:r w:rsidRPr="00BD6C5F">
        <w:t>The singular includes the plural and vice versa.</w:t>
      </w:r>
    </w:p>
    <w:p w14:paraId="6E7DD0E6" w14:textId="77777777" w:rsidR="009D6B58" w:rsidRPr="00BD6C5F" w:rsidRDefault="009D6B58" w:rsidP="00821FA3">
      <w:pPr>
        <w:pStyle w:val="AppendixText2"/>
      </w:pPr>
      <w:r w:rsidRPr="00BD6C5F">
        <w:t>The headings contained in this Agreement shall not affect its construction or interpretation.</w:t>
      </w:r>
    </w:p>
    <w:p w14:paraId="6BC3EBA8" w14:textId="6A27F82A" w:rsidR="009D6B58" w:rsidRPr="00BD6C5F" w:rsidRDefault="00D4497D" w:rsidP="00821FA3">
      <w:pPr>
        <w:pStyle w:val="AppendixText1"/>
      </w:pPr>
      <w:bookmarkStart w:id="1350" w:name="_Toc493689908"/>
      <w:bookmarkStart w:id="1351" w:name="_Ref89439696"/>
      <w:bookmarkStart w:id="1352" w:name="_Ref89439702"/>
      <w:r w:rsidRPr="00BD6C5F">
        <w:t>Ethical Walls</w:t>
      </w:r>
      <w:bookmarkEnd w:id="1350"/>
      <w:bookmarkEnd w:id="1351"/>
      <w:bookmarkEnd w:id="1352"/>
    </w:p>
    <w:p w14:paraId="56347FA5" w14:textId="5F820592" w:rsidR="009D6B58" w:rsidRPr="00BD6C5F" w:rsidRDefault="00882AD1" w:rsidP="00821FA3">
      <w:pPr>
        <w:pStyle w:val="AppendixText2"/>
      </w:pPr>
      <w:bookmarkStart w:id="1353" w:name="_Ref393380618"/>
      <w:bookmarkStart w:id="1354" w:name="_Ref393358182"/>
      <w:r w:rsidRPr="00BD6C5F">
        <w:t>T</w:t>
      </w:r>
      <w:r w:rsidR="009D6B58" w:rsidRPr="00BD6C5F">
        <w:t>he Parties agree to be bound by the terms of this Agreement</w:t>
      </w:r>
      <w:r w:rsidR="002C26B6" w:rsidRPr="00BD6C5F">
        <w:t xml:space="preserve"> from the Effective Date</w:t>
      </w:r>
      <w:r w:rsidR="009D6B58" w:rsidRPr="00BD6C5F">
        <w:t>.</w:t>
      </w:r>
      <w:bookmarkEnd w:id="1353"/>
    </w:p>
    <w:p w14:paraId="3711C145" w14:textId="77777777" w:rsidR="009D6B58" w:rsidRPr="00BD6C5F" w:rsidRDefault="009D6B58" w:rsidP="00C2068A">
      <w:pPr>
        <w:keepNext/>
        <w:keepLines/>
        <w:spacing w:before="100" w:after="200"/>
        <w:ind w:left="720"/>
        <w:rPr>
          <w:b/>
          <w:bCs/>
        </w:rPr>
      </w:pPr>
      <w:r w:rsidRPr="00BD6C5F">
        <w:rPr>
          <w:b/>
          <w:bCs/>
        </w:rPr>
        <w:t>Conflicts of Interest</w:t>
      </w:r>
    </w:p>
    <w:p w14:paraId="3F305639" w14:textId="77777777" w:rsidR="009D6B58" w:rsidRPr="00BD6C5F" w:rsidRDefault="009D6B58" w:rsidP="009F4A63">
      <w:pPr>
        <w:pStyle w:val="AppendixText2"/>
        <w:keepNext/>
      </w:pPr>
      <w:bookmarkStart w:id="1355" w:name="_Ref76559368"/>
      <w:bookmarkStart w:id="1356" w:name="_Ref393378331"/>
      <w:r w:rsidRPr="00BD6C5F">
        <w:t>The Counterparty:</w:t>
      </w:r>
      <w:bookmarkEnd w:id="1355"/>
    </w:p>
    <w:p w14:paraId="3C68A099" w14:textId="77777777" w:rsidR="009D6B58" w:rsidRPr="00BD6C5F" w:rsidRDefault="009D6B58" w:rsidP="00821FA3">
      <w:pPr>
        <w:pStyle w:val="AppendixText3"/>
      </w:pPr>
      <w:r w:rsidRPr="00BD6C5F">
        <w:t xml:space="preserve">shall take all appropriate steps to ensure that neither the Counterparty, nor its Affiliates, nor any Subcontractors nor any Representatives are in a position where, in the reasonable opinion of the Authority, there is or may be an actual conflict, or a potential conflict, between the pecuniary or personal </w:t>
      </w:r>
      <w:r w:rsidRPr="00BD6C5F">
        <w:lastRenderedPageBreak/>
        <w:t xml:space="preserve">interests of the Counterparty, any of its Affiliates, any Subcontractors and/or any Representatives and the duties owed to the Authority under </w:t>
      </w:r>
      <w:bookmarkEnd w:id="1354"/>
      <w:r w:rsidRPr="00BD6C5F">
        <w:t>any Contract or pursuant to an open and transparent ITT Process;</w:t>
      </w:r>
      <w:bookmarkEnd w:id="1356"/>
      <w:r w:rsidRPr="00BD6C5F">
        <w:t xml:space="preserve"> and</w:t>
      </w:r>
    </w:p>
    <w:p w14:paraId="14E5E9E6" w14:textId="196568DC" w:rsidR="009D6B58" w:rsidRPr="00BD6C5F" w:rsidRDefault="009D6B58" w:rsidP="00821FA3">
      <w:pPr>
        <w:pStyle w:val="AppendixText3"/>
      </w:pPr>
      <w:r w:rsidRPr="00BD6C5F">
        <w:t xml:space="preserve">acknowledges and agrees that a conflict of interest may arise in situations where the Counterparty, any of its Affiliates, any Subcontractors and/or any Representatives intend to take part in the ITT Process and because of the </w:t>
      </w:r>
      <w:bookmarkStart w:id="1357" w:name="_9kMLK5YVt8956BJ"/>
      <w:r w:rsidRPr="00BD6C5F">
        <w:t>Counterparty</w:t>
      </w:r>
      <w:r w:rsidR="00A4555C" w:rsidRPr="00BD6C5F">
        <w:t>’</w:t>
      </w:r>
      <w:r w:rsidRPr="00BD6C5F">
        <w:t>s</w:t>
      </w:r>
      <w:bookmarkEnd w:id="1357"/>
      <w:r w:rsidRPr="00BD6C5F">
        <w:t xml:space="preserve">, any of its </w:t>
      </w:r>
      <w:bookmarkStart w:id="1358" w:name="_9kMML5YVt8956BJ"/>
      <w:r w:rsidRPr="00BD6C5F">
        <w:t>Affiliates</w:t>
      </w:r>
      <w:bookmarkEnd w:id="1358"/>
      <w:r w:rsidR="00A4555C" w:rsidRPr="00BD6C5F">
        <w:t>’</w:t>
      </w:r>
      <w:r w:rsidRPr="00BD6C5F">
        <w:t>, any Subcontractors</w:t>
      </w:r>
      <w:r w:rsidR="00A4555C" w:rsidRPr="00BD6C5F">
        <w:t>’</w:t>
      </w:r>
      <w:r w:rsidRPr="00BD6C5F">
        <w:t xml:space="preserve"> and/or any Representatives</w:t>
      </w:r>
      <w:r w:rsidR="00A4555C" w:rsidRPr="00BD6C5F">
        <w:t>’</w:t>
      </w:r>
      <w:r w:rsidRPr="00BD6C5F">
        <w:t xml:space="preserve"> relationship with the Authority under any Contract, the Counterparty, any of its Affiliates, any Subcontractors and/or any Representatives have or have had access to information which could provide the Counterparty, any of its Affiliates, any Subcontractors and/or any Representatives with an advantage and render unfair an otherwise genuine and open competitive ITT Process. </w:t>
      </w:r>
    </w:p>
    <w:p w14:paraId="534AC7A3" w14:textId="1D2F9933" w:rsidR="009D6B58" w:rsidRPr="00BD6C5F" w:rsidRDefault="009D6B58" w:rsidP="00821FA3">
      <w:pPr>
        <w:pStyle w:val="AppendixText2"/>
      </w:pPr>
      <w:bookmarkStart w:id="1359" w:name="_Ref76559254"/>
      <w:bookmarkStart w:id="1360" w:name="_Ref393358244"/>
      <w:bookmarkStart w:id="1361" w:name="_Ref493668015"/>
      <w:r w:rsidRPr="00BD6C5F">
        <w:t xml:space="preserve">Where there is or is likely to be a conflict of interest, or the perception of a conflict of interest, of any kind in relation to the ITT Process, the Counterparty shall take such steps that are necessary to eliminate the conflict of interest to the </w:t>
      </w:r>
      <w:bookmarkStart w:id="1362" w:name="_9kMNM5YVt8956BJ"/>
      <w:r w:rsidRPr="00BD6C5F">
        <w:t>Authority</w:t>
      </w:r>
      <w:r w:rsidR="00A4555C" w:rsidRPr="00BD6C5F">
        <w:t>’</w:t>
      </w:r>
      <w:r w:rsidRPr="00BD6C5F">
        <w:t>s</w:t>
      </w:r>
      <w:bookmarkEnd w:id="1362"/>
      <w:r w:rsidRPr="00BD6C5F">
        <w:t xml:space="preserve"> satisfaction, including one or more of the following:</w:t>
      </w:r>
      <w:bookmarkEnd w:id="1359"/>
      <w:bookmarkEnd w:id="1360"/>
      <w:bookmarkEnd w:id="1361"/>
      <w:r w:rsidRPr="00BD6C5F">
        <w:t xml:space="preserve"> </w:t>
      </w:r>
    </w:p>
    <w:p w14:paraId="76D9A30F" w14:textId="77777777" w:rsidR="009D6B58" w:rsidRPr="00BD6C5F" w:rsidRDefault="009D6B58" w:rsidP="00821FA3">
      <w:pPr>
        <w:pStyle w:val="AppendixText3"/>
      </w:pPr>
      <w:r w:rsidRPr="00BD6C5F">
        <w:t>not assigning any of the Conflicted Personnel to the Bid Team at any time;</w:t>
      </w:r>
    </w:p>
    <w:p w14:paraId="16517767" w14:textId="5276FFB6" w:rsidR="009D6B58" w:rsidRPr="00BD6C5F" w:rsidRDefault="009D6B58" w:rsidP="00821FA3">
      <w:pPr>
        <w:pStyle w:val="AppendixText3"/>
      </w:pPr>
      <w:r w:rsidRPr="00BD6C5F">
        <w:t>providing to the Authority promptly upon request a complete and up to date list of any Conflicted Personnel and the personnel comprising the Bid Team and reissue such list to the Authority promptly upon any change to it;</w:t>
      </w:r>
    </w:p>
    <w:p w14:paraId="4E5E751F" w14:textId="77777777" w:rsidR="009D6B58" w:rsidRPr="00BD6C5F" w:rsidRDefault="009D6B58" w:rsidP="009F4A63">
      <w:pPr>
        <w:pStyle w:val="AppendixText3"/>
        <w:keepNext/>
      </w:pPr>
      <w:r w:rsidRPr="00BD6C5F">
        <w:t xml:space="preserve">ensuring that no act or omission by itself, its Affiliates, any Subcontractors and/or </w:t>
      </w:r>
      <w:bookmarkStart w:id="1363" w:name="_9kR3WTr26649JQ4gkrsiuzznUzD3562I67GJGE"/>
      <w:r w:rsidRPr="00BD6C5F">
        <w:t>any Representatives</w:t>
      </w:r>
      <w:bookmarkEnd w:id="1363"/>
      <w:r w:rsidRPr="00BD6C5F">
        <w:t xml:space="preserve"> results in information of any kind, however conveyed, or in any format and however so stored:</w:t>
      </w:r>
    </w:p>
    <w:p w14:paraId="18C003C6" w14:textId="6122174B" w:rsidR="009D6B58" w:rsidRPr="00BD6C5F" w:rsidRDefault="009D6B58" w:rsidP="00DE03A4">
      <w:pPr>
        <w:pStyle w:val="AppendixText4"/>
      </w:pPr>
      <w:r w:rsidRPr="00BD6C5F">
        <w:t xml:space="preserve">about the ITT Process (gleaned from the performance of any Contract or otherwise); and/or </w:t>
      </w:r>
    </w:p>
    <w:p w14:paraId="195D90C8" w14:textId="77777777" w:rsidR="009D6B58" w:rsidRPr="00BD6C5F" w:rsidRDefault="009D6B58" w:rsidP="00DE03A4">
      <w:pPr>
        <w:pStyle w:val="AppendixText4"/>
      </w:pPr>
      <w:r w:rsidRPr="00BD6C5F">
        <w:t>which would or could in the opinion of the Authority confer an unfair advantage on the Counterparty in relation to its participation in the ITT Process,</w:t>
      </w:r>
    </w:p>
    <w:p w14:paraId="358817EE" w14:textId="77777777" w:rsidR="009D6B58" w:rsidRPr="00BD6C5F" w:rsidRDefault="009D6B58" w:rsidP="00C2068A">
      <w:pPr>
        <w:spacing w:before="100" w:after="200"/>
        <w:ind w:left="1803"/>
      </w:pPr>
      <w:r w:rsidRPr="00BD6C5F">
        <w:t>becoming available to the Bid Team where the Authority has not made generally available that information to Other Bidders;</w:t>
      </w:r>
    </w:p>
    <w:p w14:paraId="5A281301" w14:textId="77777777" w:rsidR="009D6B58" w:rsidRPr="00BD6C5F" w:rsidRDefault="009D6B58" w:rsidP="00821FA3">
      <w:pPr>
        <w:pStyle w:val="AppendixText3"/>
      </w:pPr>
      <w:r w:rsidRPr="00BD6C5F">
        <w:t>ensuring that by no act or omission by itself, its Affiliates, any Subcontractors and/or any Representatives and in particular the Bid Team results in information of any kind, however conveyed, in any format and however so stored about the ITT Process, its operation and all matters connected or ancillary to it becoming available to the Conflicted Personnel;</w:t>
      </w:r>
    </w:p>
    <w:p w14:paraId="4E6DF37D" w14:textId="78DBA1AC" w:rsidR="009D6B58" w:rsidRPr="00BD6C5F" w:rsidRDefault="009D6B58" w:rsidP="00821FA3">
      <w:pPr>
        <w:pStyle w:val="AppendixText3"/>
      </w:pPr>
      <w:r w:rsidRPr="00BD6C5F">
        <w:t xml:space="preserve">ensure that agreements that flow down the </w:t>
      </w:r>
      <w:bookmarkStart w:id="1364" w:name="_9kMPO5YVt8956BJ"/>
      <w:r w:rsidRPr="00BD6C5F">
        <w:t>Counterparty</w:t>
      </w:r>
      <w:r w:rsidR="00A4555C" w:rsidRPr="00BD6C5F">
        <w:t>’</w:t>
      </w:r>
      <w:r w:rsidRPr="00BD6C5F">
        <w:t>s</w:t>
      </w:r>
      <w:bookmarkEnd w:id="1364"/>
      <w:r w:rsidRPr="00BD6C5F">
        <w:t xml:space="preserve"> obligations in this Agreement, are entered into as necessary, between the Counterparty and its Affiliates and any Subcontractors [</w:t>
      </w:r>
      <w:r w:rsidRPr="00BD6C5F">
        <w:rPr>
          <w:highlight w:val="yellow"/>
        </w:rPr>
        <w:t>in a form to be approved by the Authority</w:t>
      </w:r>
      <w:r w:rsidRPr="00BD6C5F">
        <w:t>];</w:t>
      </w:r>
    </w:p>
    <w:p w14:paraId="6B22F25A" w14:textId="77777777" w:rsidR="009D6B58" w:rsidRPr="00BD6C5F" w:rsidRDefault="009D6B58" w:rsidP="00821FA3">
      <w:pPr>
        <w:pStyle w:val="AppendixText3"/>
      </w:pPr>
      <w:r w:rsidRPr="00BD6C5F">
        <w:t>physically separating the Conflicted Personnel and the Bid Team, either in separate buildings or in areas with restricted access;</w:t>
      </w:r>
    </w:p>
    <w:p w14:paraId="36B84EC6" w14:textId="77777777" w:rsidR="009D6B58" w:rsidRPr="00BD6C5F" w:rsidRDefault="009D6B58" w:rsidP="00821FA3">
      <w:pPr>
        <w:pStyle w:val="AppendixText3"/>
      </w:pPr>
      <w:r w:rsidRPr="00BD6C5F">
        <w:t xml:space="preserve">providing regular training to its Affiliates, any Subcontractors and/or </w:t>
      </w:r>
      <w:bookmarkStart w:id="1365" w:name="_9kR3WTr26646CM4gkrsiuzznUzD3562I67GJGE"/>
      <w:r w:rsidRPr="00BD6C5F">
        <w:t>Representatives</w:t>
      </w:r>
      <w:bookmarkEnd w:id="1365"/>
      <w:r w:rsidRPr="00BD6C5F">
        <w:t xml:space="preserve"> to ensure it is complying with this Agreement;</w:t>
      </w:r>
    </w:p>
    <w:p w14:paraId="57B2C0F1" w14:textId="77777777" w:rsidR="009D6B58" w:rsidRPr="00BD6C5F" w:rsidRDefault="009D6B58" w:rsidP="00821FA3">
      <w:pPr>
        <w:pStyle w:val="AppendixText3"/>
      </w:pPr>
      <w:r w:rsidRPr="00BD6C5F">
        <w:lastRenderedPageBreak/>
        <w:t>monitoring Conflicted Personnel movements within restricted areas (both physical and electronic online areas) to ensure it is complying with this Agreement and to ensure adherence to the ethical wall arrangements the Counterparty, its Affiliates, any Subcontractors and/or any Representatives have put in place in order to comply with this Agreement;</w:t>
      </w:r>
    </w:p>
    <w:p w14:paraId="7FA0D489" w14:textId="77777777" w:rsidR="009D6B58" w:rsidRPr="00BD6C5F" w:rsidRDefault="009D6B58" w:rsidP="00821FA3">
      <w:pPr>
        <w:pStyle w:val="AppendixText3"/>
      </w:pPr>
      <w:r w:rsidRPr="00BD6C5F">
        <w:t>ensuring that the Conflicted Personnel and the Bid Team are line managed and report independently of each other; and</w:t>
      </w:r>
    </w:p>
    <w:p w14:paraId="580676B1" w14:textId="77777777" w:rsidR="009D6B58" w:rsidRPr="00BD6C5F" w:rsidRDefault="009D6B58" w:rsidP="00821FA3">
      <w:pPr>
        <w:pStyle w:val="AppendixText3"/>
      </w:pPr>
      <w:r w:rsidRPr="00BD6C5F">
        <w:t>complying with any other action as the Authority, acting reasonably, may direct in connection with the ITT Process and/or this Agreement.</w:t>
      </w:r>
    </w:p>
    <w:p w14:paraId="0B0445F0" w14:textId="77777777" w:rsidR="009D6B58" w:rsidRPr="00BD6C5F" w:rsidRDefault="009D6B58" w:rsidP="00C2068A">
      <w:pPr>
        <w:keepNext/>
        <w:keepLines/>
        <w:spacing w:before="100" w:after="200"/>
        <w:ind w:left="720"/>
        <w:rPr>
          <w:b/>
          <w:bCs/>
        </w:rPr>
      </w:pPr>
      <w:r w:rsidRPr="00BD6C5F">
        <w:rPr>
          <w:b/>
          <w:bCs/>
        </w:rPr>
        <w:t>Notification of Conflicts of Interest</w:t>
      </w:r>
    </w:p>
    <w:p w14:paraId="3DFBAF4D" w14:textId="77777777" w:rsidR="009D6B58" w:rsidRPr="00BD6C5F" w:rsidRDefault="009D6B58" w:rsidP="009F4A63">
      <w:pPr>
        <w:pStyle w:val="AppendixText2"/>
        <w:keepNext/>
      </w:pPr>
      <w:bookmarkStart w:id="1366" w:name="_Ref89439569"/>
      <w:bookmarkStart w:id="1367" w:name="_Ref393358198"/>
      <w:r w:rsidRPr="00BD6C5F">
        <w:t>The Counterparty shall:</w:t>
      </w:r>
      <w:bookmarkEnd w:id="1366"/>
    </w:p>
    <w:p w14:paraId="7B80EFC4" w14:textId="77777777" w:rsidR="009D6B58" w:rsidRPr="00BD6C5F" w:rsidRDefault="009D6B58" w:rsidP="00821FA3">
      <w:pPr>
        <w:pStyle w:val="AppendixText3"/>
      </w:pPr>
      <w:r w:rsidRPr="00BD6C5F">
        <w:t>notify the Authority immediately in writing of all perceived, potential and/or actual conflicts of interest that arise or have arisen;</w:t>
      </w:r>
    </w:p>
    <w:p w14:paraId="1C7B2765" w14:textId="12ED1B87" w:rsidR="009D6B58" w:rsidRPr="00BD6C5F" w:rsidRDefault="009D6B58" w:rsidP="00821FA3">
      <w:pPr>
        <w:pStyle w:val="AppendixText3"/>
      </w:pPr>
      <w:r w:rsidRPr="00BD6C5F">
        <w:t xml:space="preserve">submit in writing to the Authority full details of the nature of the perceived, potential and/or actual conflict of interest including full details of the risk assessments undertaken, the impact or potential impact of the perceived, potential and/or actual conflict, the measures and arrangements that have been established and/or are due to be established, to eliminate the perceived, potential and/or actual conflict, and the </w:t>
      </w:r>
      <w:bookmarkStart w:id="1368" w:name="_9kMH0H6ZWu9A67CK"/>
      <w:r w:rsidRPr="00BD6C5F">
        <w:t>Counterparty</w:t>
      </w:r>
      <w:r w:rsidR="00A4555C" w:rsidRPr="00BD6C5F">
        <w:t>’</w:t>
      </w:r>
      <w:r w:rsidRPr="00BD6C5F">
        <w:t>s</w:t>
      </w:r>
      <w:bookmarkEnd w:id="1368"/>
      <w:r w:rsidRPr="00BD6C5F">
        <w:t xml:space="preserve"> plans to prevent potential conflicts of interests from arising</w:t>
      </w:r>
      <w:bookmarkEnd w:id="1367"/>
      <w:r w:rsidRPr="00BD6C5F">
        <w:t xml:space="preserve"> (</w:t>
      </w:r>
      <w:r w:rsidR="00A4555C" w:rsidRPr="00BD6C5F">
        <w:t>“</w:t>
      </w:r>
      <w:r w:rsidRPr="00BD6C5F">
        <w:rPr>
          <w:b/>
        </w:rPr>
        <w:t>Proposed Avoidance Measures</w:t>
      </w:r>
      <w:r w:rsidR="00A4555C" w:rsidRPr="00BD6C5F">
        <w:t>”</w:t>
      </w:r>
      <w:r w:rsidRPr="00BD6C5F">
        <w:t xml:space="preserve">); and </w:t>
      </w:r>
    </w:p>
    <w:p w14:paraId="3BA30477" w14:textId="62748B13" w:rsidR="009D6B58" w:rsidRPr="00BD6C5F" w:rsidRDefault="009D6B58" w:rsidP="00821FA3">
      <w:pPr>
        <w:pStyle w:val="AppendixText3"/>
      </w:pPr>
      <w:r w:rsidRPr="00BD6C5F">
        <w:t xml:space="preserve">seek the </w:t>
      </w:r>
      <w:bookmarkStart w:id="1369" w:name="_9kMH1I6ZWu9A67CK"/>
      <w:r w:rsidRPr="00BD6C5F">
        <w:t>Authority</w:t>
      </w:r>
      <w:r w:rsidR="00A4555C" w:rsidRPr="00BD6C5F">
        <w:t>’</w:t>
      </w:r>
      <w:r w:rsidRPr="00BD6C5F">
        <w:t>s</w:t>
      </w:r>
      <w:bookmarkEnd w:id="1369"/>
      <w:r w:rsidRPr="00BD6C5F">
        <w:t xml:space="preserve"> approval to the Proposed Avoidance Measures which the Authority shall have the right to grant, grant conditionally or deny (if the Authority rejects the Proposed Avoidance Measures the Counterparty shall repeat the process set out in this </w:t>
      </w:r>
      <w:r w:rsidR="005E736B" w:rsidRPr="00BD6C5F">
        <w:t>Clause </w:t>
      </w:r>
      <w:r w:rsidR="0010425E" w:rsidRPr="00BD6C5F">
        <w:rPr>
          <w:cs/>
        </w:rPr>
        <w:t>‎</w:t>
      </w:r>
      <w:r w:rsidR="0010425E" w:rsidRPr="00BD6C5F">
        <w:t>2.4</w:t>
      </w:r>
      <w:r w:rsidRPr="00BD6C5F">
        <w:t xml:space="preserve"> until such time as the Authority grants approval or the Counterparty withdraws from the ITT Process).</w:t>
      </w:r>
    </w:p>
    <w:p w14:paraId="77EF1A99" w14:textId="1911FC75" w:rsidR="009D6B58" w:rsidRPr="00BD6C5F" w:rsidRDefault="009D6B58" w:rsidP="00821FA3">
      <w:pPr>
        <w:pStyle w:val="AppendixText2"/>
      </w:pPr>
      <w:bookmarkStart w:id="1370" w:name="_Ref76559454"/>
      <w:r w:rsidRPr="00BD6C5F">
        <w:t xml:space="preserve">The Counterparty will provide to the Authority, on demand, any and all information in relation to its adherence with its obligations set out under Clauses </w:t>
      </w:r>
      <w:r w:rsidR="0010425E" w:rsidRPr="00BD6C5F">
        <w:rPr>
          <w:cs/>
        </w:rPr>
        <w:t>‎</w:t>
      </w:r>
      <w:r w:rsidR="0010425E" w:rsidRPr="00BD6C5F">
        <w:t>2.2</w:t>
      </w:r>
      <w:r w:rsidRPr="00BD6C5F">
        <w:t xml:space="preserve"> and </w:t>
      </w:r>
      <w:r w:rsidR="0010425E" w:rsidRPr="00BD6C5F">
        <w:rPr>
          <w:cs/>
        </w:rPr>
        <w:t>‎</w:t>
      </w:r>
      <w:r w:rsidR="0010425E" w:rsidRPr="00BD6C5F">
        <w:t>2.3</w:t>
      </w:r>
      <w:r w:rsidRPr="00BD6C5F">
        <w:t xml:space="preserve"> as reasonably requested by the Authority.</w:t>
      </w:r>
      <w:bookmarkEnd w:id="1370"/>
    </w:p>
    <w:p w14:paraId="2ADC69D4" w14:textId="38D76F59" w:rsidR="009D6B58" w:rsidRPr="00BD6C5F" w:rsidRDefault="009D6B58" w:rsidP="00821FA3">
      <w:pPr>
        <w:pStyle w:val="AppendixText2"/>
      </w:pPr>
      <w:bookmarkStart w:id="1371" w:name="_Ref76559471"/>
      <w:r w:rsidRPr="00BD6C5F">
        <w:t xml:space="preserve">The Authority reserves the right to require the Counterparty to demonstrate the measures put in place by the Counterparty under Clauses </w:t>
      </w:r>
      <w:r w:rsidR="0010425E" w:rsidRPr="00BD6C5F">
        <w:rPr>
          <w:cs/>
        </w:rPr>
        <w:t>‎</w:t>
      </w:r>
      <w:r w:rsidR="0010425E" w:rsidRPr="00BD6C5F">
        <w:t>2.2</w:t>
      </w:r>
      <w:r w:rsidRPr="00BD6C5F">
        <w:t xml:space="preserve"> and </w:t>
      </w:r>
      <w:r w:rsidR="0010425E" w:rsidRPr="00BD6C5F">
        <w:rPr>
          <w:cs/>
        </w:rPr>
        <w:t>‎</w:t>
      </w:r>
      <w:r w:rsidR="0010425E" w:rsidRPr="00BD6C5F">
        <w:t>2.3</w:t>
      </w:r>
      <w:r w:rsidRPr="00BD6C5F">
        <w:t>.</w:t>
      </w:r>
      <w:bookmarkEnd w:id="1371"/>
    </w:p>
    <w:p w14:paraId="64D4A26F" w14:textId="4217FDE0" w:rsidR="009D6B58" w:rsidRPr="00BD6C5F" w:rsidRDefault="009D6B58" w:rsidP="00821FA3">
      <w:pPr>
        <w:pStyle w:val="AppendixText2"/>
      </w:pPr>
      <w:r w:rsidRPr="00BD6C5F">
        <w:t xml:space="preserve">The Counterparty acknowledges that any provision of information or demonstration of measures, in accordance with Clauses </w:t>
      </w:r>
      <w:r w:rsidR="0010425E" w:rsidRPr="00BD6C5F">
        <w:rPr>
          <w:cs/>
        </w:rPr>
        <w:t>‎</w:t>
      </w:r>
      <w:r w:rsidR="0010425E" w:rsidRPr="00BD6C5F">
        <w:t>2.5</w:t>
      </w:r>
      <w:r w:rsidRPr="00BD6C5F">
        <w:t xml:space="preserve"> and </w:t>
      </w:r>
      <w:r w:rsidR="0010425E" w:rsidRPr="00BD6C5F">
        <w:rPr>
          <w:cs/>
        </w:rPr>
        <w:t>‎</w:t>
      </w:r>
      <w:r w:rsidR="0010425E" w:rsidRPr="00BD6C5F">
        <w:t>2.6</w:t>
      </w:r>
      <w:r w:rsidRPr="00BD6C5F">
        <w:t>, does not constitute acceptance by the Authority of the adequacy of such measures and does not discharge the Counterparty of its obligations or liability under this Agreement.</w:t>
      </w:r>
    </w:p>
    <w:p w14:paraId="4C6873E9" w14:textId="77777777" w:rsidR="009D6B58" w:rsidRPr="00BD6C5F" w:rsidRDefault="009D6B58" w:rsidP="00C2068A">
      <w:pPr>
        <w:keepNext/>
        <w:keepLines/>
        <w:spacing w:before="100" w:after="200"/>
        <w:ind w:left="720"/>
        <w:rPr>
          <w:b/>
          <w:bCs/>
        </w:rPr>
      </w:pPr>
      <w:r w:rsidRPr="00BD6C5F">
        <w:rPr>
          <w:b/>
          <w:bCs/>
        </w:rPr>
        <w:t>Exclusion from the ITT Process</w:t>
      </w:r>
    </w:p>
    <w:p w14:paraId="5E338796" w14:textId="60D445D5" w:rsidR="009D6B58" w:rsidRPr="00BD6C5F" w:rsidRDefault="009D6B58" w:rsidP="00821FA3">
      <w:pPr>
        <w:pStyle w:val="AppendixText2"/>
      </w:pPr>
      <w:bookmarkStart w:id="1372" w:name="_Ref393358217"/>
      <w:r w:rsidRPr="00BD6C5F">
        <w:t xml:space="preserve">Where, in the reasonable opinion of the Authority, there has been any breach by the Counterparty of Clauses </w:t>
      </w:r>
      <w:r w:rsidR="0010425E" w:rsidRPr="00BD6C5F">
        <w:rPr>
          <w:cs/>
        </w:rPr>
        <w:t>‎</w:t>
      </w:r>
      <w:r w:rsidR="0010425E" w:rsidRPr="00BD6C5F">
        <w:t>2.2</w:t>
      </w:r>
      <w:r w:rsidRPr="00BD6C5F">
        <w:t xml:space="preserve">, </w:t>
      </w:r>
      <w:r w:rsidR="0010425E" w:rsidRPr="00BD6C5F">
        <w:rPr>
          <w:cs/>
        </w:rPr>
        <w:t>‎</w:t>
      </w:r>
      <w:r w:rsidR="0010425E" w:rsidRPr="00BD6C5F">
        <w:t>2.3</w:t>
      </w:r>
      <w:r w:rsidRPr="00BD6C5F">
        <w:t xml:space="preserve">, or </w:t>
      </w:r>
      <w:r w:rsidR="0010425E" w:rsidRPr="00BD6C5F">
        <w:rPr>
          <w:cs/>
        </w:rPr>
        <w:t>‎</w:t>
      </w:r>
      <w:r w:rsidR="0010425E" w:rsidRPr="00BD6C5F">
        <w:t>2.4</w:t>
      </w:r>
      <w:r w:rsidRPr="00BD6C5F">
        <w:t xml:space="preserve"> or failure to obtain the Authority</w:t>
      </w:r>
      <w:r w:rsidR="00A4555C" w:rsidRPr="00BD6C5F">
        <w:t>’</w:t>
      </w:r>
      <w:r w:rsidRPr="00BD6C5F">
        <w:t>s approval of the Proposed Avoidance Measures</w:t>
      </w:r>
      <w:r w:rsidR="00DD4B89" w:rsidRPr="00BD6C5F">
        <w:t>,</w:t>
      </w:r>
      <w:r w:rsidRPr="00BD6C5F">
        <w:t xml:space="preserve"> the Authority shall be entitled to exclude the Counterparty, or any of its Affiliates and/or any Representatives, from the ITT Process, and the Authority may, in addition to the right to exclude, take such other steps as it deems necessary.</w:t>
      </w:r>
      <w:bookmarkEnd w:id="1372"/>
      <w:r w:rsidRPr="00BD6C5F">
        <w:t xml:space="preserve"> </w:t>
      </w:r>
    </w:p>
    <w:p w14:paraId="79E56C71" w14:textId="0EF3972A" w:rsidR="009D6B58" w:rsidRPr="00BD6C5F" w:rsidRDefault="009D6B58" w:rsidP="00821FA3">
      <w:pPr>
        <w:pStyle w:val="AppendixText2"/>
      </w:pPr>
      <w:bookmarkStart w:id="1373" w:name="_Ref393358236"/>
      <w:r w:rsidRPr="00BD6C5F">
        <w:lastRenderedPageBreak/>
        <w:t xml:space="preserve">The actions of the Authority pursuant to </w:t>
      </w:r>
      <w:r w:rsidR="005E736B" w:rsidRPr="00BD6C5F">
        <w:t>Clause </w:t>
      </w:r>
      <w:r w:rsidR="0010425E" w:rsidRPr="00BD6C5F">
        <w:rPr>
          <w:cs/>
        </w:rPr>
        <w:t>‎</w:t>
      </w:r>
      <w:r w:rsidR="0010425E" w:rsidRPr="00BD6C5F">
        <w:t>2.8</w:t>
      </w:r>
      <w:r w:rsidRPr="00BD6C5F">
        <w:t xml:space="preserve"> shall not prejudice or affect any right of action or remedy under this Agreement or at law which shall have accrued or shall thereafter accrue to the Authority</w:t>
      </w:r>
      <w:bookmarkEnd w:id="1373"/>
      <w:r w:rsidRPr="00BD6C5F">
        <w:t>.</w:t>
      </w:r>
    </w:p>
    <w:p w14:paraId="717E1AEB" w14:textId="77777777" w:rsidR="009D6B58" w:rsidRPr="00BD6C5F" w:rsidRDefault="009D6B58" w:rsidP="00C2068A">
      <w:pPr>
        <w:keepNext/>
        <w:keepLines/>
        <w:spacing w:before="100" w:after="200"/>
        <w:ind w:left="720"/>
        <w:rPr>
          <w:b/>
          <w:bCs/>
        </w:rPr>
      </w:pPr>
      <w:r w:rsidRPr="00BD6C5F">
        <w:rPr>
          <w:b/>
          <w:bCs/>
        </w:rPr>
        <w:t>Bid Costs</w:t>
      </w:r>
    </w:p>
    <w:p w14:paraId="0DDB8A8E" w14:textId="77777777" w:rsidR="009D6B58" w:rsidRPr="00BD6C5F" w:rsidRDefault="009D6B58" w:rsidP="009F4A63">
      <w:pPr>
        <w:pStyle w:val="AppendixText2"/>
        <w:keepNext/>
      </w:pPr>
      <w:r w:rsidRPr="00BD6C5F">
        <w:t>In no event shall the Authority be liable for any bid costs incurred by:</w:t>
      </w:r>
    </w:p>
    <w:p w14:paraId="3A5F33B1" w14:textId="77777777" w:rsidR="009D6B58" w:rsidRPr="00BD6C5F" w:rsidRDefault="009D6B58" w:rsidP="00821FA3">
      <w:pPr>
        <w:pStyle w:val="AppendixText3"/>
      </w:pPr>
      <w:r w:rsidRPr="00BD6C5F">
        <w:t>the Counterparty or any of its Affiliates, any Representatives and/or any Subcontractors; or</w:t>
      </w:r>
    </w:p>
    <w:p w14:paraId="714ED96D" w14:textId="77777777" w:rsidR="009D6B58" w:rsidRPr="00BD6C5F" w:rsidRDefault="009D6B58" w:rsidP="00821FA3">
      <w:pPr>
        <w:pStyle w:val="AppendixText3"/>
      </w:pPr>
      <w:r w:rsidRPr="00BD6C5F">
        <w:t>any Third Party,</w:t>
      </w:r>
    </w:p>
    <w:p w14:paraId="78F8196A" w14:textId="73322194" w:rsidR="009D6B58" w:rsidRPr="00BD6C5F" w:rsidRDefault="009D6B58" w:rsidP="00C2068A">
      <w:pPr>
        <w:spacing w:before="100" w:after="200"/>
        <w:ind w:left="720"/>
      </w:pPr>
      <w:r w:rsidRPr="00BD6C5F">
        <w:t>as a result of any breach of this Agreement by the Counterparty, any of its Affiliates, any Subcontractors and/or Representatives, including where the Counterparty, any of its Affiliates, any Subcontractors or Representatives, or any Third Party is or are excluded from the ITT Process.</w:t>
      </w:r>
    </w:p>
    <w:p w14:paraId="60F3EA39" w14:textId="77777777" w:rsidR="009D6B58" w:rsidRPr="00BD6C5F" w:rsidRDefault="009D6B58" w:rsidP="00C2068A">
      <w:pPr>
        <w:keepNext/>
        <w:keepLines/>
        <w:spacing w:before="100" w:after="200"/>
        <w:ind w:left="720"/>
        <w:rPr>
          <w:b/>
          <w:bCs/>
        </w:rPr>
      </w:pPr>
      <w:r w:rsidRPr="00BD6C5F">
        <w:rPr>
          <w:b/>
          <w:bCs/>
        </w:rPr>
        <w:t>Specific Remedies</w:t>
      </w:r>
    </w:p>
    <w:p w14:paraId="086D6A25" w14:textId="77777777" w:rsidR="009D6B58" w:rsidRPr="00BD6C5F" w:rsidRDefault="009D6B58" w:rsidP="009F4A63">
      <w:pPr>
        <w:pStyle w:val="AppendixText2"/>
        <w:keepNext/>
      </w:pPr>
      <w:r w:rsidRPr="00BD6C5F">
        <w:t>The Counterparty acknowledges and agrees that:</w:t>
      </w:r>
    </w:p>
    <w:p w14:paraId="688DD452" w14:textId="139DF301" w:rsidR="009D6B58" w:rsidRPr="00BD6C5F" w:rsidRDefault="009D6B58" w:rsidP="00821FA3">
      <w:pPr>
        <w:pStyle w:val="AppendixText3"/>
      </w:pPr>
      <w:r w:rsidRPr="00BD6C5F">
        <w:t xml:space="preserve">neither damages nor specific </w:t>
      </w:r>
      <w:r w:rsidR="00DD4B89" w:rsidRPr="00BD6C5F">
        <w:t xml:space="preserve">implement </w:t>
      </w:r>
      <w:r w:rsidRPr="00BD6C5F">
        <w:t xml:space="preserve">are adequate remedies in the event of a breach of the obligations in </w:t>
      </w:r>
      <w:r w:rsidR="005E736B" w:rsidRPr="00BD6C5F">
        <w:t>Clause </w:t>
      </w:r>
      <w:r w:rsidR="0010425E" w:rsidRPr="00BD6C5F">
        <w:rPr>
          <w:cs/>
        </w:rPr>
        <w:t>‎</w:t>
      </w:r>
      <w:r w:rsidR="0010425E" w:rsidRPr="00BD6C5F">
        <w:t>2</w:t>
      </w:r>
      <w:r w:rsidRPr="00BD6C5F">
        <w:t xml:space="preserve">; and </w:t>
      </w:r>
    </w:p>
    <w:p w14:paraId="2417478D" w14:textId="4FBF2CF6" w:rsidR="009D6B58" w:rsidRPr="00BD6C5F" w:rsidRDefault="009D6B58" w:rsidP="00821FA3">
      <w:pPr>
        <w:pStyle w:val="AppendixText3"/>
      </w:pPr>
      <w:r w:rsidRPr="00BD6C5F">
        <w:t xml:space="preserve">in the event of a breach of any of the obligations in </w:t>
      </w:r>
      <w:r w:rsidR="005E736B" w:rsidRPr="00BD6C5F">
        <w:t>Clause </w:t>
      </w:r>
      <w:r w:rsidR="0010425E" w:rsidRPr="00BD6C5F">
        <w:rPr>
          <w:cs/>
        </w:rPr>
        <w:t>‎</w:t>
      </w:r>
      <w:r w:rsidR="0010425E" w:rsidRPr="00BD6C5F">
        <w:t>2</w:t>
      </w:r>
      <w:r w:rsidRPr="00BD6C5F">
        <w:t xml:space="preserve"> which cannot be effectively remedied the Authority shall have the right to terminate both this Agreement and the </w:t>
      </w:r>
      <w:bookmarkStart w:id="1374" w:name="_9kMH2J6ZWu9A67CK"/>
      <w:r w:rsidRPr="00BD6C5F">
        <w:t>Counterparty</w:t>
      </w:r>
      <w:r w:rsidR="00A4555C" w:rsidRPr="00BD6C5F">
        <w:t>’</w:t>
      </w:r>
      <w:r w:rsidRPr="00BD6C5F">
        <w:t>s</w:t>
      </w:r>
      <w:bookmarkEnd w:id="1374"/>
      <w:r w:rsidRPr="00BD6C5F">
        <w:t xml:space="preserve"> participation in the ITT Process in each case with immediate effect on written notice.</w:t>
      </w:r>
    </w:p>
    <w:p w14:paraId="2C20A612" w14:textId="351382A1" w:rsidR="009D6B58" w:rsidRPr="00BD6C5F" w:rsidRDefault="00D4497D" w:rsidP="00821FA3">
      <w:pPr>
        <w:pStyle w:val="AppendixText1"/>
      </w:pPr>
      <w:bookmarkStart w:id="1375" w:name="_Toc493689909"/>
      <w:r w:rsidRPr="00BD6C5F">
        <w:t>Sole Responsibility</w:t>
      </w:r>
      <w:bookmarkEnd w:id="1375"/>
    </w:p>
    <w:p w14:paraId="7B8FBCB4" w14:textId="7670D19D" w:rsidR="009D6B58" w:rsidRPr="00BD6C5F" w:rsidRDefault="009D6B58" w:rsidP="00821FA3">
      <w:pPr>
        <w:pStyle w:val="AppendixText2"/>
      </w:pPr>
      <w:r w:rsidRPr="00BD6C5F">
        <w:t xml:space="preserve">It is the sole responsibility of the Counterparty to comply with the terms of this Agreement, including ensuring its Affiliates, any Subcontractors, and/or any Representatives comply with the terms of this Agreement. No approval by the Authority of any procedures, agreements or arrangements provided by the Counterparty, any of its Affiliates, any Subcontractors and/or their Representatives to the Authority shall discharge the </w:t>
      </w:r>
      <w:bookmarkStart w:id="1376" w:name="_9kMH3K6ZWu9A67CK"/>
      <w:r w:rsidRPr="00BD6C5F">
        <w:t>Counterparty</w:t>
      </w:r>
      <w:r w:rsidR="00A4555C" w:rsidRPr="00BD6C5F">
        <w:t>’</w:t>
      </w:r>
      <w:r w:rsidRPr="00BD6C5F">
        <w:t>s</w:t>
      </w:r>
      <w:bookmarkEnd w:id="1376"/>
      <w:r w:rsidRPr="00BD6C5F">
        <w:t xml:space="preserve"> obligations.</w:t>
      </w:r>
    </w:p>
    <w:p w14:paraId="5447401F" w14:textId="72A65341" w:rsidR="009D6B58" w:rsidRPr="00BD6C5F" w:rsidRDefault="00D4497D" w:rsidP="00821FA3">
      <w:pPr>
        <w:pStyle w:val="AppendixText1"/>
      </w:pPr>
      <w:bookmarkStart w:id="1377" w:name="_Toc378171404"/>
      <w:bookmarkStart w:id="1378" w:name="_Toc493689911"/>
      <w:bookmarkStart w:id="1379" w:name="_Toc378171408"/>
      <w:r w:rsidRPr="00BD6C5F">
        <w:t>Waiver and Invalidity</w:t>
      </w:r>
      <w:bookmarkEnd w:id="1377"/>
      <w:bookmarkEnd w:id="1378"/>
    </w:p>
    <w:p w14:paraId="4C73D37B" w14:textId="77777777" w:rsidR="009D6B58" w:rsidRPr="00BD6C5F" w:rsidRDefault="009D6B58" w:rsidP="00821FA3">
      <w:pPr>
        <w:pStyle w:val="AppendixText2"/>
      </w:pPr>
      <w:r w:rsidRPr="00BD6C5F">
        <w:t>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14:paraId="1284F6F2" w14:textId="275ECAF1" w:rsidR="009D6B58" w:rsidRPr="00BD6C5F" w:rsidRDefault="009D6B58" w:rsidP="00821FA3">
      <w:pPr>
        <w:pStyle w:val="AppendixText2"/>
      </w:pPr>
      <w:r w:rsidRPr="00BD6C5F">
        <w:t xml:space="preserve">If any provision of this Agreement </w:t>
      </w:r>
      <w:r w:rsidR="00617DB7" w:rsidRPr="00BD6C5F">
        <w:t>becomes invalid, illegal</w:t>
      </w:r>
      <w:r w:rsidRPr="00BD6C5F">
        <w:t xml:space="preserve"> or unenforceable in any jurisdiction in relation to any Party, such </w:t>
      </w:r>
      <w:r w:rsidR="00617DB7" w:rsidRPr="00BD6C5F">
        <w:t xml:space="preserve">invalidity, illegality </w:t>
      </w:r>
      <w:r w:rsidRPr="00BD6C5F">
        <w:t>or unenforceability will not invalidate the remaining provisions of this Agreement, or affect the validity or enforceability of the provisions of this Agreement in relation to any other Party or any other jurisdiction.</w:t>
      </w:r>
      <w:bookmarkStart w:id="1380" w:name="_Toc378171405"/>
      <w:bookmarkStart w:id="1381" w:name="_Toc493689912"/>
    </w:p>
    <w:p w14:paraId="12024C8D" w14:textId="0D866CAE" w:rsidR="009D6B58" w:rsidRPr="00BD6C5F" w:rsidRDefault="00D4497D" w:rsidP="00821FA3">
      <w:pPr>
        <w:pStyle w:val="AppendixText1"/>
      </w:pPr>
      <w:bookmarkStart w:id="1382" w:name="_9kR3WTrAG849EhZ1yqutK91XX2LC17E68OC7BCO"/>
      <w:r w:rsidRPr="00BD6C5F">
        <w:lastRenderedPageBreak/>
        <w:t>Assignation and Novation</w:t>
      </w:r>
      <w:bookmarkEnd w:id="1382"/>
    </w:p>
    <w:p w14:paraId="7D3F7E42" w14:textId="31D1B10A" w:rsidR="009D6B58" w:rsidRPr="00BD6C5F" w:rsidRDefault="009D6B58" w:rsidP="00821FA3">
      <w:pPr>
        <w:pStyle w:val="AppendixText2"/>
      </w:pPr>
      <w:r w:rsidRPr="00BD6C5F">
        <w:t>The Counterparty shall not</w:t>
      </w:r>
      <w:r w:rsidR="00BF7B96">
        <w:t xml:space="preserve"> carry out an</w:t>
      </w:r>
      <w:r w:rsidRPr="00BD6C5F">
        <w:t xml:space="preserve"> assign</w:t>
      </w:r>
      <w:r w:rsidR="00BF7B96">
        <w:t>ation</w:t>
      </w:r>
      <w:r w:rsidRPr="00BD6C5F">
        <w:t>, novate or otherwise dispose of or create any trust in relation to any or all of its rights, obligations or liabilities under this Agreement without the prior written consent of the Authority.</w:t>
      </w:r>
    </w:p>
    <w:p w14:paraId="07DB9D4C" w14:textId="5C1FFFEF" w:rsidR="009D6B58" w:rsidRPr="00BD6C5F" w:rsidRDefault="009D6B58" w:rsidP="009F4A63">
      <w:pPr>
        <w:pStyle w:val="AppendixText2"/>
        <w:keepNext/>
      </w:pPr>
      <w:bookmarkStart w:id="1383" w:name="_Ref34048060"/>
      <w:r w:rsidRPr="00BD6C5F">
        <w:t xml:space="preserve">The Authority may </w:t>
      </w:r>
      <w:r w:rsidR="00BF7B96">
        <w:t xml:space="preserve">carry out an </w:t>
      </w:r>
      <w:r w:rsidRPr="00BD6C5F">
        <w:t>assign</w:t>
      </w:r>
      <w:r w:rsidR="00BF7B96">
        <w:t>ation</w:t>
      </w:r>
      <w:r w:rsidRPr="00BD6C5F">
        <w:t>, novate or otherwise dispose of any or all of its rights, obligations and liabilities under this Agreement and/or any associated licences to:</w:t>
      </w:r>
      <w:bookmarkEnd w:id="1383"/>
    </w:p>
    <w:p w14:paraId="0F2E0EB4" w14:textId="66C04F59" w:rsidR="009D6B58" w:rsidRPr="00BD6C5F" w:rsidRDefault="009D6B58" w:rsidP="00821FA3">
      <w:pPr>
        <w:pStyle w:val="AppendixText3"/>
      </w:pPr>
      <w:r w:rsidRPr="00BD6C5F">
        <w:t>any Central Government Body; or</w:t>
      </w:r>
    </w:p>
    <w:p w14:paraId="74F6DBAA" w14:textId="77777777" w:rsidR="009D6B58" w:rsidRPr="00BD6C5F" w:rsidRDefault="009D6B58" w:rsidP="00821FA3">
      <w:pPr>
        <w:pStyle w:val="AppendixText3"/>
      </w:pPr>
      <w:r w:rsidRPr="00BD6C5F">
        <w:t xml:space="preserve">to a body other than a Central Government Body (including any private sector body) which performs any of the functions that previously had been performed by the Authority; and </w:t>
      </w:r>
    </w:p>
    <w:p w14:paraId="3D560584" w14:textId="6AB884C8" w:rsidR="009D6B58" w:rsidRPr="00BD6C5F" w:rsidRDefault="009D6B58" w:rsidP="00821FA3">
      <w:pPr>
        <w:pStyle w:val="AppendixText3"/>
      </w:pPr>
      <w:r w:rsidRPr="00BD6C5F">
        <w:t xml:space="preserve">the Counterparty shall, at the </w:t>
      </w:r>
      <w:bookmarkStart w:id="1384" w:name="_9kMH4L6ZWu9A67CK"/>
      <w:r w:rsidRPr="00BD6C5F">
        <w:t>Authority</w:t>
      </w:r>
      <w:r w:rsidR="00A4555C" w:rsidRPr="00BD6C5F">
        <w:t>’</w:t>
      </w:r>
      <w:r w:rsidRPr="00BD6C5F">
        <w:t>s</w:t>
      </w:r>
      <w:bookmarkEnd w:id="1384"/>
      <w:r w:rsidRPr="00BD6C5F">
        <w:t xml:space="preserve"> request, enter into a novation agreement in such form as the Authority may reasonably specify in order to enable the Authority to exercise its rights pursuant to this </w:t>
      </w:r>
      <w:bookmarkStart w:id="1385" w:name="_9kMHG5YVtCIA6BGjb30swvMB3ZZ4NE39G8AQE9D"/>
      <w:r w:rsidR="005E736B" w:rsidRPr="00BD6C5F">
        <w:t>Clause </w:t>
      </w:r>
      <w:r w:rsidRPr="00BD6C5F">
        <w:t>5</w:t>
      </w:r>
      <w:bookmarkEnd w:id="1385"/>
      <w:r w:rsidRPr="00BD6C5F">
        <w:t>.</w:t>
      </w:r>
    </w:p>
    <w:p w14:paraId="281E5D11" w14:textId="77777777" w:rsidR="009D6B58" w:rsidRPr="00BD6C5F" w:rsidRDefault="009D6B58" w:rsidP="00821FA3">
      <w:pPr>
        <w:pStyle w:val="AppendixText2"/>
      </w:pPr>
      <w:r w:rsidRPr="00BD6C5F">
        <w:t>A change in the legal status of the Authority such that it ceases to be a Central Government Body shall not affect the validity of this Agreement and this Agreement shall be binding on any successor body to the Authority.</w:t>
      </w:r>
    </w:p>
    <w:p w14:paraId="2FE50CEC" w14:textId="3947E1B6" w:rsidR="009D6B58" w:rsidRPr="00BD6C5F" w:rsidRDefault="00D4497D" w:rsidP="00821FA3">
      <w:pPr>
        <w:pStyle w:val="AppendixText1"/>
      </w:pPr>
      <w:bookmarkStart w:id="1386" w:name="_Toc378171406"/>
      <w:bookmarkStart w:id="1387" w:name="_Toc493689913"/>
      <w:bookmarkEnd w:id="1380"/>
      <w:bookmarkEnd w:id="1381"/>
      <w:r w:rsidRPr="00BD6C5F">
        <w:t>Contract (</w:t>
      </w:r>
      <w:bookmarkStart w:id="1388" w:name="_9kR3WTr1AB46Deyoo2EAy47x84314OG2D"/>
      <w:bookmarkStart w:id="1389" w:name="_9kR3WTr24448Bayoo2EAy47x84314OG2D"/>
      <w:r w:rsidRPr="00BD6C5F">
        <w:t>Third Party Rights</w:t>
      </w:r>
      <w:bookmarkEnd w:id="1388"/>
      <w:bookmarkEnd w:id="1389"/>
      <w:r w:rsidRPr="00BD6C5F">
        <w:t xml:space="preserve">) (Scotland) Act </w:t>
      </w:r>
      <w:bookmarkEnd w:id="1386"/>
      <w:bookmarkEnd w:id="1387"/>
      <w:r w:rsidRPr="00BD6C5F">
        <w:t>2017</w:t>
      </w:r>
    </w:p>
    <w:p w14:paraId="012D98F9" w14:textId="7397C752" w:rsidR="009D6B58" w:rsidRPr="00BD6C5F" w:rsidRDefault="00617DB7" w:rsidP="00821FA3">
      <w:pPr>
        <w:pStyle w:val="AppendixText2"/>
      </w:pPr>
      <w:r w:rsidRPr="00BD6C5F">
        <w:t>This</w:t>
      </w:r>
      <w:r w:rsidR="009D6B58" w:rsidRPr="00BD6C5F">
        <w:t xml:space="preserve"> Agreement </w:t>
      </w:r>
      <w:r w:rsidRPr="00BD6C5F">
        <w:t>does not give rise to any</w:t>
      </w:r>
      <w:r w:rsidR="009D6B58" w:rsidRPr="00BD6C5F">
        <w:t xml:space="preserve"> right</w:t>
      </w:r>
      <w:r w:rsidRPr="00BD6C5F">
        <w:t>s</w:t>
      </w:r>
      <w:r w:rsidR="009D6B58" w:rsidRPr="00BD6C5F">
        <w:t xml:space="preserve"> under the Contract (</w:t>
      </w:r>
      <w:bookmarkStart w:id="1390" w:name="_9kMHG5YVt4666ADc0qq4GC069zA6536QI4F"/>
      <w:r w:rsidRPr="00BD6C5F">
        <w:t xml:space="preserve">Third Party </w:t>
      </w:r>
      <w:r w:rsidR="009D6B58" w:rsidRPr="00BD6C5F">
        <w:t>Rights</w:t>
      </w:r>
      <w:bookmarkEnd w:id="1390"/>
      <w:r w:rsidR="009D6B58" w:rsidRPr="00BD6C5F">
        <w:t>)</w:t>
      </w:r>
      <w:r w:rsidRPr="00BD6C5F">
        <w:t xml:space="preserve"> (Scotland)</w:t>
      </w:r>
      <w:r w:rsidR="009D6B58" w:rsidRPr="00BD6C5F">
        <w:t xml:space="preserve"> Act </w:t>
      </w:r>
      <w:r w:rsidRPr="00BD6C5F">
        <w:t xml:space="preserve">2017 </w:t>
      </w:r>
      <w:r w:rsidR="009D6B58" w:rsidRPr="00BD6C5F">
        <w:t xml:space="preserve">(as amended, updated or replaced from time to time) </w:t>
      </w:r>
      <w:r w:rsidRPr="00BD6C5F">
        <w:t xml:space="preserve">for any third party </w:t>
      </w:r>
      <w:r w:rsidR="009D6B58" w:rsidRPr="00BD6C5F">
        <w:t xml:space="preserve">to enforce </w:t>
      </w:r>
      <w:r w:rsidRPr="00BD6C5F">
        <w:t xml:space="preserve">or otherwise invoke </w:t>
      </w:r>
      <w:r w:rsidR="009D6B58" w:rsidRPr="00BD6C5F">
        <w:t xml:space="preserve">any term of this Agreement, but this does not affect any right or remedy of any person which exists or is available otherwise than pursuant to that </w:t>
      </w:r>
      <w:bookmarkStart w:id="1391" w:name="_9kR3WTr26646EO1r"/>
      <w:r w:rsidR="009D6B58" w:rsidRPr="00BD6C5F">
        <w:t>Act</w:t>
      </w:r>
      <w:bookmarkEnd w:id="1391"/>
      <w:r w:rsidR="009D6B58" w:rsidRPr="00BD6C5F">
        <w:t>.</w:t>
      </w:r>
    </w:p>
    <w:bookmarkEnd w:id="1379"/>
    <w:p w14:paraId="4D5236C3" w14:textId="69F62C26" w:rsidR="009D6B58" w:rsidRPr="00BD6C5F" w:rsidRDefault="00D4497D" w:rsidP="00821FA3">
      <w:pPr>
        <w:pStyle w:val="AppendixText1"/>
      </w:pPr>
      <w:r w:rsidRPr="00BD6C5F">
        <w:t>Transparency</w:t>
      </w:r>
    </w:p>
    <w:p w14:paraId="660BBA6B" w14:textId="77777777" w:rsidR="009D6B58" w:rsidRPr="00BD6C5F" w:rsidRDefault="009D6B58" w:rsidP="00821FA3">
      <w:pPr>
        <w:pStyle w:val="AppendixText2"/>
      </w:pPr>
      <w:r w:rsidRPr="00BD6C5F">
        <w:t xml:space="preserve">The Parties acknowledge and agree that the Authority is under a legal duty pursuant to the Procurement Regulations to run transparent and fair </w:t>
      </w:r>
      <w:bookmarkStart w:id="1392" w:name="_9kMIH5YVt46669BZX3pwCxtuwCpiE0r8N"/>
      <w:bookmarkStart w:id="1393" w:name="_9kMIH5YVt4666BCYX3pwCxtuwCpiE0r8N"/>
      <w:bookmarkStart w:id="1394" w:name="_9kMIH5YVt4666BEaX3pwCxtuwCpiE0r8N"/>
      <w:r w:rsidRPr="00BD6C5F">
        <w:t>procurement processes</w:t>
      </w:r>
      <w:bookmarkEnd w:id="1392"/>
      <w:bookmarkEnd w:id="1393"/>
      <w:bookmarkEnd w:id="1394"/>
      <w:r w:rsidRPr="00BD6C5F">
        <w:t xml:space="preserve">. Accordingly, the Authority may disclose the contents of this Agreement to Other Bidders (and/or potential Other Bidders) for the </w:t>
      </w:r>
      <w:bookmarkStart w:id="1395" w:name="_9kMJI5YVt46669Fda9537y"/>
      <w:r w:rsidRPr="00BD6C5F">
        <w:t>purposes</w:t>
      </w:r>
      <w:bookmarkEnd w:id="1395"/>
      <w:r w:rsidRPr="00BD6C5F">
        <w:t xml:space="preserve"> of transparency and in order to evidence that a fair </w:t>
      </w:r>
      <w:bookmarkStart w:id="1396" w:name="_9kMJI5YVt46669BZX3pwCxtuwCpiE0r8N"/>
      <w:bookmarkStart w:id="1397" w:name="_9kMJI5YVt4666BCYX3pwCxtuwCpiE0r8N"/>
      <w:bookmarkStart w:id="1398" w:name="_9kMJI5YVt4666BEaX3pwCxtuwCpiE0r8N"/>
      <w:r w:rsidRPr="00BD6C5F">
        <w:t>procurement process</w:t>
      </w:r>
      <w:bookmarkEnd w:id="1396"/>
      <w:bookmarkEnd w:id="1397"/>
      <w:bookmarkEnd w:id="1398"/>
      <w:r w:rsidRPr="00BD6C5F">
        <w:t xml:space="preserve"> has been followed. </w:t>
      </w:r>
    </w:p>
    <w:p w14:paraId="57C95396" w14:textId="21B64EB5" w:rsidR="00697D25" w:rsidRPr="00BD6C5F" w:rsidRDefault="00D4497D" w:rsidP="00821FA3">
      <w:pPr>
        <w:pStyle w:val="AppendixText1"/>
      </w:pPr>
      <w:bookmarkStart w:id="1399" w:name="_Ref88044888"/>
      <w:bookmarkStart w:id="1400" w:name="_Toc127759121"/>
      <w:bookmarkStart w:id="1401" w:name="_Toc139080625"/>
      <w:bookmarkStart w:id="1402" w:name="_Toc359839020"/>
      <w:r w:rsidRPr="00BD6C5F">
        <w:t>Notices</w:t>
      </w:r>
      <w:bookmarkEnd w:id="1399"/>
      <w:bookmarkEnd w:id="1400"/>
      <w:bookmarkEnd w:id="1401"/>
      <w:bookmarkEnd w:id="1402"/>
    </w:p>
    <w:p w14:paraId="61987928" w14:textId="77777777" w:rsidR="00697D25" w:rsidRPr="00BD6C5F" w:rsidRDefault="00697D25" w:rsidP="00821FA3">
      <w:pPr>
        <w:pStyle w:val="AppendixText2"/>
      </w:pPr>
      <w:r w:rsidRPr="00BD6C5F">
        <w:t>Any notices sent under this Agreement must be in writing.</w:t>
      </w:r>
    </w:p>
    <w:p w14:paraId="316CE14D" w14:textId="77777777" w:rsidR="00697D25" w:rsidRPr="00BD6C5F" w:rsidRDefault="00697D25" w:rsidP="009F4A63">
      <w:pPr>
        <w:pStyle w:val="AppendixText2"/>
        <w:keepNext/>
      </w:pPr>
      <w:r w:rsidRPr="00BD6C5F">
        <w:t>The following table sets out the method by which notices may be served under this Agreement and the respective deemed time and proof of service:</w:t>
      </w:r>
    </w:p>
    <w:tbl>
      <w:tblPr>
        <w:tblStyle w:val="MSATable-header"/>
        <w:tblW w:w="9525" w:type="dxa"/>
        <w:tblInd w:w="720" w:type="dxa"/>
        <w:tblLook w:val="01E0" w:firstRow="1" w:lastRow="1" w:firstColumn="1" w:lastColumn="1" w:noHBand="0" w:noVBand="0"/>
      </w:tblPr>
      <w:tblGrid>
        <w:gridCol w:w="2268"/>
        <w:gridCol w:w="4082"/>
        <w:gridCol w:w="3175"/>
      </w:tblGrid>
      <w:tr w:rsidR="00B059A5" w:rsidRPr="00BD6C5F" w14:paraId="6748FA68" w14:textId="77777777" w:rsidTr="00B059A5">
        <w:trPr>
          <w:cnfStyle w:val="100000000000" w:firstRow="1" w:lastRow="0" w:firstColumn="0" w:lastColumn="0" w:oddVBand="0" w:evenVBand="0" w:oddHBand="0" w:evenHBand="0" w:firstRowFirstColumn="0" w:firstRowLastColumn="0" w:lastRowFirstColumn="0" w:lastRowLastColumn="0"/>
          <w:trHeight w:val="20"/>
          <w:tblHeader/>
        </w:trPr>
        <w:tc>
          <w:tcPr>
            <w:tcW w:w="2268" w:type="dxa"/>
          </w:tcPr>
          <w:p w14:paraId="390C24C9" w14:textId="77777777" w:rsidR="00697D25" w:rsidRPr="00BD6C5F" w:rsidRDefault="00697D25" w:rsidP="00B059A5">
            <w:pPr>
              <w:pStyle w:val="Tabletext"/>
            </w:pPr>
            <w:r w:rsidRPr="00BD6C5F">
              <w:t>Manner of Delivery</w:t>
            </w:r>
          </w:p>
        </w:tc>
        <w:tc>
          <w:tcPr>
            <w:tcW w:w="4082" w:type="dxa"/>
          </w:tcPr>
          <w:p w14:paraId="21EBF662" w14:textId="77777777" w:rsidR="00697D25" w:rsidRPr="00BD6C5F" w:rsidRDefault="00697D25" w:rsidP="00B059A5">
            <w:pPr>
              <w:pStyle w:val="Tabletext"/>
            </w:pPr>
            <w:r w:rsidRPr="00BD6C5F">
              <w:t xml:space="preserve">Deemed time of service </w:t>
            </w:r>
          </w:p>
        </w:tc>
        <w:tc>
          <w:tcPr>
            <w:tcW w:w="3175" w:type="dxa"/>
          </w:tcPr>
          <w:p w14:paraId="7457CC63" w14:textId="77777777" w:rsidR="00697D25" w:rsidRPr="00BD6C5F" w:rsidRDefault="00697D25" w:rsidP="00B059A5">
            <w:pPr>
              <w:pStyle w:val="Tabletext"/>
            </w:pPr>
            <w:r w:rsidRPr="00BD6C5F">
              <w:t>Proof of service</w:t>
            </w:r>
          </w:p>
        </w:tc>
      </w:tr>
      <w:tr w:rsidR="00B059A5" w:rsidRPr="00BD6C5F" w14:paraId="0B9A2B99" w14:textId="77777777" w:rsidTr="00B059A5">
        <w:trPr>
          <w:trHeight w:val="20"/>
        </w:trPr>
        <w:tc>
          <w:tcPr>
            <w:tcW w:w="2268" w:type="dxa"/>
          </w:tcPr>
          <w:p w14:paraId="75BB5F24" w14:textId="77777777" w:rsidR="00697D25" w:rsidRPr="00BD6C5F" w:rsidRDefault="00697D25" w:rsidP="00B059A5">
            <w:pPr>
              <w:pStyle w:val="Tabletext"/>
            </w:pPr>
            <w:r w:rsidRPr="00BD6C5F">
              <w:t>Email.</w:t>
            </w:r>
          </w:p>
        </w:tc>
        <w:tc>
          <w:tcPr>
            <w:tcW w:w="4082" w:type="dxa"/>
          </w:tcPr>
          <w:p w14:paraId="303DCF7B" w14:textId="77777777" w:rsidR="00697D25" w:rsidRPr="00BD6C5F" w:rsidRDefault="00697D25" w:rsidP="00B059A5">
            <w:pPr>
              <w:pStyle w:val="Tabletext"/>
            </w:pPr>
            <w:r w:rsidRPr="00BD6C5F">
              <w:t>9.00am on the first Working Day after sending</w:t>
            </w:r>
          </w:p>
        </w:tc>
        <w:tc>
          <w:tcPr>
            <w:tcW w:w="3175" w:type="dxa"/>
          </w:tcPr>
          <w:p w14:paraId="4E4D6EA2" w14:textId="77777777" w:rsidR="00697D25" w:rsidRPr="00BD6C5F" w:rsidRDefault="00697D25" w:rsidP="00B059A5">
            <w:pPr>
              <w:pStyle w:val="Tabletext"/>
            </w:pPr>
            <w:r w:rsidRPr="00BD6C5F">
              <w:t xml:space="preserve">Dispatched as a pdf attachment to an e-mail to the correct e-mail address without any error message. </w:t>
            </w:r>
          </w:p>
        </w:tc>
      </w:tr>
      <w:tr w:rsidR="00B059A5" w:rsidRPr="00BD6C5F" w14:paraId="182CC427" w14:textId="77777777" w:rsidTr="00B059A5">
        <w:trPr>
          <w:trHeight w:val="20"/>
        </w:trPr>
        <w:tc>
          <w:tcPr>
            <w:tcW w:w="2268" w:type="dxa"/>
          </w:tcPr>
          <w:p w14:paraId="348751E4" w14:textId="77777777" w:rsidR="00697D25" w:rsidRPr="00BD6C5F" w:rsidRDefault="00697D25" w:rsidP="00B059A5">
            <w:pPr>
              <w:pStyle w:val="Tabletext"/>
            </w:pPr>
            <w:r w:rsidRPr="00BD6C5F">
              <w:t>Personal delivery.</w:t>
            </w:r>
          </w:p>
        </w:tc>
        <w:tc>
          <w:tcPr>
            <w:tcW w:w="4082" w:type="dxa"/>
          </w:tcPr>
          <w:p w14:paraId="465D7257" w14:textId="77777777" w:rsidR="00697D25" w:rsidRPr="00BD6C5F" w:rsidRDefault="00697D25" w:rsidP="00B059A5">
            <w:pPr>
              <w:pStyle w:val="Tabletext"/>
            </w:pPr>
            <w:r w:rsidRPr="00BD6C5F">
              <w:t xml:space="preserve">On delivery, provided delivery is between 9.00am and 5.00pm on a </w:t>
            </w:r>
            <w:r w:rsidRPr="00BD6C5F">
              <w:lastRenderedPageBreak/>
              <w:t>Working Day. Otherwise, delivery will occur at 9.00am on the next Working Day.</w:t>
            </w:r>
          </w:p>
        </w:tc>
        <w:tc>
          <w:tcPr>
            <w:tcW w:w="3175" w:type="dxa"/>
          </w:tcPr>
          <w:p w14:paraId="09F85DA2" w14:textId="77777777" w:rsidR="00697D25" w:rsidRPr="00BD6C5F" w:rsidRDefault="00697D25" w:rsidP="00B059A5">
            <w:pPr>
              <w:pStyle w:val="Tabletext"/>
            </w:pPr>
            <w:r w:rsidRPr="00BD6C5F">
              <w:lastRenderedPageBreak/>
              <w:t xml:space="preserve">Properly addressed and delivered as evidenced by </w:t>
            </w:r>
            <w:r w:rsidRPr="00BD6C5F">
              <w:lastRenderedPageBreak/>
              <w:t xml:space="preserve">signature of a delivery receipt. </w:t>
            </w:r>
          </w:p>
        </w:tc>
      </w:tr>
      <w:tr w:rsidR="00B059A5" w:rsidRPr="00BD6C5F" w14:paraId="1CDFD36A" w14:textId="77777777" w:rsidTr="00B059A5">
        <w:trPr>
          <w:trHeight w:val="20"/>
        </w:trPr>
        <w:tc>
          <w:tcPr>
            <w:tcW w:w="2268" w:type="dxa"/>
          </w:tcPr>
          <w:p w14:paraId="086DDDC5" w14:textId="77777777" w:rsidR="00697D25" w:rsidRPr="00BD6C5F" w:rsidRDefault="00697D25" w:rsidP="00B059A5">
            <w:pPr>
              <w:pStyle w:val="Tabletext"/>
              <w:rPr>
                <w:rFonts w:asciiTheme="minorHAnsi" w:hAnsiTheme="minorHAnsi" w:cstheme="minorHAnsi"/>
                <w:bCs/>
                <w:iCs/>
              </w:rPr>
            </w:pPr>
            <w:r w:rsidRPr="00BD6C5F">
              <w:rPr>
                <w:rFonts w:asciiTheme="minorHAnsi" w:hAnsiTheme="minorHAnsi" w:cstheme="minorHAnsi"/>
                <w:bCs/>
                <w:iCs/>
              </w:rPr>
              <w:lastRenderedPageBreak/>
              <w:t xml:space="preserve">Prepaid, </w:t>
            </w:r>
            <w:bookmarkStart w:id="1403" w:name="_9kR3WTr26646FgU8vjWGjvgYtzypRXG"/>
            <w:r w:rsidRPr="00BD6C5F">
              <w:rPr>
                <w:rFonts w:asciiTheme="minorHAnsi" w:hAnsiTheme="minorHAnsi" w:cstheme="minorHAnsi"/>
              </w:rPr>
              <w:t>Royal Mail Signed For™</w:t>
            </w:r>
            <w:bookmarkEnd w:id="1403"/>
            <w:r w:rsidRPr="00BD6C5F">
              <w:rPr>
                <w:rFonts w:asciiTheme="minorHAnsi" w:hAnsiTheme="minorHAnsi" w:cstheme="minorHAnsi"/>
              </w:rPr>
              <w:t xml:space="preserve"> 1</w:t>
            </w:r>
            <w:r w:rsidRPr="00BD6C5F">
              <w:rPr>
                <w:rFonts w:asciiTheme="minorHAnsi" w:hAnsiTheme="minorHAnsi" w:cstheme="minorHAnsi"/>
                <w:vertAlign w:val="superscript"/>
              </w:rPr>
              <w:t>st</w:t>
            </w:r>
            <w:r w:rsidRPr="00BD6C5F">
              <w:rPr>
                <w:rFonts w:asciiTheme="minorHAnsi" w:hAnsiTheme="minorHAnsi" w:cstheme="minorHAnsi"/>
              </w:rPr>
              <w:t xml:space="preserve"> </w:t>
            </w:r>
            <w:bookmarkStart w:id="1404" w:name="_9kR3WTr26646GSChp8"/>
            <w:r w:rsidRPr="00BD6C5F">
              <w:rPr>
                <w:rFonts w:asciiTheme="minorHAnsi" w:hAnsiTheme="minorHAnsi" w:cstheme="minorHAnsi"/>
              </w:rPr>
              <w:t>Class</w:t>
            </w:r>
            <w:bookmarkEnd w:id="1404"/>
            <w:r w:rsidRPr="00BD6C5F">
              <w:rPr>
                <w:rFonts w:asciiTheme="minorHAnsi" w:hAnsiTheme="minorHAnsi" w:cstheme="minorHAnsi"/>
                <w:bCs/>
                <w:iCs/>
              </w:rPr>
              <w:t xml:space="preserve"> or other prepaid, next </w:t>
            </w:r>
            <w:bookmarkStart w:id="1405" w:name="_9kMHG5YVt4666AHlb30swvMB3"/>
            <w:r w:rsidRPr="00BD6C5F">
              <w:rPr>
                <w:rFonts w:asciiTheme="minorHAnsi" w:hAnsiTheme="minorHAnsi" w:cstheme="minorHAnsi"/>
                <w:bCs/>
                <w:iCs/>
              </w:rPr>
              <w:t>Working Day</w:t>
            </w:r>
            <w:bookmarkEnd w:id="1405"/>
            <w:r w:rsidRPr="00BD6C5F">
              <w:rPr>
                <w:rFonts w:asciiTheme="minorHAnsi" w:hAnsiTheme="minorHAnsi" w:cstheme="minorHAnsi"/>
                <w:bCs/>
                <w:iCs/>
              </w:rPr>
              <w:t xml:space="preserve"> service </w:t>
            </w:r>
            <w:r w:rsidRPr="00BD6C5F">
              <w:t>providing</w:t>
            </w:r>
            <w:r w:rsidRPr="00BD6C5F">
              <w:rPr>
                <w:rFonts w:asciiTheme="minorHAnsi" w:hAnsiTheme="minorHAnsi" w:cstheme="minorHAnsi"/>
                <w:bCs/>
                <w:iCs/>
              </w:rPr>
              <w:t xml:space="preserve"> proof of delivery.</w:t>
            </w:r>
          </w:p>
        </w:tc>
        <w:tc>
          <w:tcPr>
            <w:tcW w:w="4082" w:type="dxa"/>
          </w:tcPr>
          <w:p w14:paraId="79E17A9F" w14:textId="77777777" w:rsidR="00697D25" w:rsidRPr="00BD6C5F" w:rsidRDefault="00697D25" w:rsidP="00B059A5">
            <w:pPr>
              <w:pStyle w:val="Tabletext"/>
              <w:rPr>
                <w:rFonts w:asciiTheme="minorHAnsi" w:hAnsiTheme="minorHAnsi" w:cstheme="minorHAnsi"/>
                <w:bCs/>
                <w:iCs/>
              </w:rPr>
            </w:pPr>
            <w:r w:rsidRPr="00BD6C5F">
              <w:rPr>
                <w:rFonts w:asciiTheme="minorHAnsi" w:hAnsiTheme="minorHAnsi" w:cstheme="minorHAnsi"/>
                <w:bCs/>
                <w:iCs/>
              </w:rPr>
              <w:t xml:space="preserve">At the time recorded by the delivery service, provided that delivery is between 9.00am and 5.00pm on a Working Day. Otherwise, delivery will occur at 9.00am on the same Working </w:t>
            </w:r>
            <w:r w:rsidRPr="00BD6C5F">
              <w:t>Day</w:t>
            </w:r>
            <w:r w:rsidRPr="00BD6C5F">
              <w:rPr>
                <w:rFonts w:asciiTheme="minorHAnsi" w:hAnsiTheme="minorHAnsi" w:cstheme="minorHAnsi"/>
                <w:bCs/>
                <w:iCs/>
              </w:rPr>
              <w:t xml:space="preserve"> (if delivery before 9.00am) or on the next Working Day (if after 5.00pm).</w:t>
            </w:r>
          </w:p>
        </w:tc>
        <w:tc>
          <w:tcPr>
            <w:tcW w:w="3175" w:type="dxa"/>
          </w:tcPr>
          <w:p w14:paraId="5A2A1E78" w14:textId="77777777" w:rsidR="00697D25" w:rsidRPr="00BD6C5F" w:rsidRDefault="00697D25" w:rsidP="00B059A5">
            <w:pPr>
              <w:pStyle w:val="Tabletext"/>
              <w:rPr>
                <w:rFonts w:asciiTheme="minorHAnsi" w:hAnsiTheme="minorHAnsi" w:cstheme="minorHAnsi"/>
                <w:bCs/>
                <w:iCs/>
              </w:rPr>
            </w:pPr>
            <w:r w:rsidRPr="00BD6C5F">
              <w:rPr>
                <w:rFonts w:asciiTheme="minorHAnsi" w:hAnsiTheme="minorHAnsi" w:cstheme="minorHAnsi"/>
                <w:bCs/>
                <w:iCs/>
              </w:rPr>
              <w:t>Properly addressed prepaid and delivered as evidenced by signature of a delivery receipt.</w:t>
            </w:r>
          </w:p>
        </w:tc>
      </w:tr>
    </w:tbl>
    <w:p w14:paraId="51BE399C" w14:textId="77777777" w:rsidR="00697D25" w:rsidRPr="00BD6C5F" w:rsidRDefault="00697D25" w:rsidP="00CA416F"/>
    <w:p w14:paraId="09B5070B" w14:textId="77777777" w:rsidR="00697D25" w:rsidRPr="00BD6C5F" w:rsidRDefault="00697D25" w:rsidP="009F4A63">
      <w:pPr>
        <w:pStyle w:val="AppendixText2"/>
        <w:keepNext/>
      </w:pPr>
      <w:r w:rsidRPr="00BD6C5F">
        <w:t xml:space="preserve">Notices shall be sent to the addresses set out below or at such other address as the relevant Party may give notice to the other Party for the </w:t>
      </w:r>
      <w:bookmarkStart w:id="1406" w:name="_9kMKJ5YVt46669Fda9537y"/>
      <w:r w:rsidRPr="00BD6C5F">
        <w:t>purpose</w:t>
      </w:r>
      <w:bookmarkEnd w:id="1406"/>
      <w:r w:rsidRPr="00BD6C5F">
        <w:t xml:space="preserve"> of service of notices under this Agreement:</w:t>
      </w:r>
    </w:p>
    <w:tbl>
      <w:tblPr>
        <w:tblStyle w:val="MSATable-header"/>
        <w:tblW w:w="0" w:type="auto"/>
        <w:tblInd w:w="720" w:type="dxa"/>
        <w:tblLook w:val="06A0" w:firstRow="1" w:lastRow="0" w:firstColumn="1" w:lastColumn="0" w:noHBand="1" w:noVBand="1"/>
      </w:tblPr>
      <w:tblGrid>
        <w:gridCol w:w="2778"/>
        <w:gridCol w:w="3345"/>
        <w:gridCol w:w="3345"/>
      </w:tblGrid>
      <w:tr w:rsidR="00697D25" w:rsidRPr="00BD6C5F" w14:paraId="7491C303" w14:textId="77777777" w:rsidTr="00B059A5">
        <w:trPr>
          <w:cnfStyle w:val="100000000000" w:firstRow="1" w:lastRow="0" w:firstColumn="0" w:lastColumn="0" w:oddVBand="0" w:evenVBand="0" w:oddHBand="0" w:evenHBand="0" w:firstRowFirstColumn="0" w:firstRowLastColumn="0" w:lastRowFirstColumn="0" w:lastRowLastColumn="0"/>
          <w:tblHeader/>
        </w:trPr>
        <w:tc>
          <w:tcPr>
            <w:tcW w:w="2778" w:type="dxa"/>
            <w:tcBorders>
              <w:top w:val="nil"/>
              <w:left w:val="nil"/>
            </w:tcBorders>
            <w:shd w:val="clear" w:color="auto" w:fill="auto"/>
          </w:tcPr>
          <w:p w14:paraId="00DBDDA8" w14:textId="77777777" w:rsidR="00697D25" w:rsidRPr="00BD6C5F" w:rsidRDefault="00697D25" w:rsidP="00B059A5">
            <w:pPr>
              <w:pStyle w:val="Tabletext"/>
            </w:pPr>
          </w:p>
        </w:tc>
        <w:tc>
          <w:tcPr>
            <w:tcW w:w="3345" w:type="dxa"/>
          </w:tcPr>
          <w:p w14:paraId="0DD33367" w14:textId="77777777" w:rsidR="00697D25" w:rsidRPr="00BD6C5F" w:rsidRDefault="00697D25" w:rsidP="00B059A5">
            <w:pPr>
              <w:pStyle w:val="Tabletext"/>
            </w:pPr>
            <w:r w:rsidRPr="00BD6C5F">
              <w:t>Counterparty</w:t>
            </w:r>
          </w:p>
        </w:tc>
        <w:tc>
          <w:tcPr>
            <w:tcW w:w="3345" w:type="dxa"/>
          </w:tcPr>
          <w:p w14:paraId="7A67A0D3" w14:textId="77777777" w:rsidR="00697D25" w:rsidRPr="00BD6C5F" w:rsidRDefault="00697D25" w:rsidP="00B059A5">
            <w:pPr>
              <w:pStyle w:val="Tabletext"/>
            </w:pPr>
            <w:r w:rsidRPr="00BD6C5F">
              <w:t>Authority</w:t>
            </w:r>
          </w:p>
        </w:tc>
      </w:tr>
      <w:tr w:rsidR="00697D25" w:rsidRPr="00BD6C5F" w14:paraId="6312CFAA" w14:textId="77777777" w:rsidTr="00B059A5">
        <w:tc>
          <w:tcPr>
            <w:tcW w:w="2778" w:type="dxa"/>
            <w:shd w:val="clear" w:color="auto" w:fill="F0F0F0"/>
          </w:tcPr>
          <w:p w14:paraId="16F3322B" w14:textId="77777777" w:rsidR="00697D25" w:rsidRPr="00BD6C5F" w:rsidRDefault="00697D25" w:rsidP="00B059A5">
            <w:pPr>
              <w:pStyle w:val="Tabletext"/>
              <w:rPr>
                <w:b/>
                <w:bCs/>
              </w:rPr>
            </w:pPr>
            <w:r w:rsidRPr="00BD6C5F">
              <w:rPr>
                <w:b/>
                <w:bCs/>
              </w:rPr>
              <w:t>Contact</w:t>
            </w:r>
          </w:p>
        </w:tc>
        <w:tc>
          <w:tcPr>
            <w:tcW w:w="3345" w:type="dxa"/>
          </w:tcPr>
          <w:p w14:paraId="0AD85AA4" w14:textId="77777777" w:rsidR="00697D25" w:rsidRPr="00BD6C5F" w:rsidRDefault="00697D25" w:rsidP="00B059A5">
            <w:pPr>
              <w:pStyle w:val="Tabletext"/>
            </w:pPr>
          </w:p>
        </w:tc>
        <w:tc>
          <w:tcPr>
            <w:tcW w:w="3345" w:type="dxa"/>
          </w:tcPr>
          <w:p w14:paraId="2919EFD7" w14:textId="77777777" w:rsidR="00697D25" w:rsidRPr="00BD6C5F" w:rsidRDefault="00697D25" w:rsidP="00B059A5">
            <w:pPr>
              <w:pStyle w:val="Tabletext"/>
            </w:pPr>
          </w:p>
        </w:tc>
      </w:tr>
      <w:tr w:rsidR="00697D25" w:rsidRPr="00BD6C5F" w14:paraId="09AFA97A" w14:textId="77777777" w:rsidTr="00B059A5">
        <w:tc>
          <w:tcPr>
            <w:tcW w:w="2778" w:type="dxa"/>
            <w:shd w:val="clear" w:color="auto" w:fill="F0F0F0"/>
          </w:tcPr>
          <w:p w14:paraId="63B58E50" w14:textId="77777777" w:rsidR="00697D25" w:rsidRPr="00BD6C5F" w:rsidRDefault="00697D25" w:rsidP="00B059A5">
            <w:pPr>
              <w:pStyle w:val="Tabletext"/>
              <w:rPr>
                <w:b/>
                <w:bCs/>
              </w:rPr>
            </w:pPr>
            <w:r w:rsidRPr="00BD6C5F">
              <w:rPr>
                <w:b/>
                <w:bCs/>
              </w:rPr>
              <w:t>Address</w:t>
            </w:r>
          </w:p>
        </w:tc>
        <w:tc>
          <w:tcPr>
            <w:tcW w:w="3345" w:type="dxa"/>
          </w:tcPr>
          <w:p w14:paraId="47217FEF" w14:textId="77777777" w:rsidR="00697D25" w:rsidRPr="00BD6C5F" w:rsidRDefault="00697D25" w:rsidP="00B059A5">
            <w:pPr>
              <w:pStyle w:val="Tabletext"/>
            </w:pPr>
          </w:p>
        </w:tc>
        <w:tc>
          <w:tcPr>
            <w:tcW w:w="3345" w:type="dxa"/>
          </w:tcPr>
          <w:p w14:paraId="6B35CABD" w14:textId="77777777" w:rsidR="00697D25" w:rsidRPr="00BD6C5F" w:rsidRDefault="00697D25" w:rsidP="00B059A5">
            <w:pPr>
              <w:pStyle w:val="Tabletext"/>
            </w:pPr>
          </w:p>
        </w:tc>
      </w:tr>
      <w:tr w:rsidR="00697D25" w:rsidRPr="00BD6C5F" w14:paraId="10785251" w14:textId="77777777" w:rsidTr="00B059A5">
        <w:tc>
          <w:tcPr>
            <w:tcW w:w="2778" w:type="dxa"/>
            <w:shd w:val="clear" w:color="auto" w:fill="F0F0F0"/>
          </w:tcPr>
          <w:p w14:paraId="330567B1" w14:textId="77777777" w:rsidR="00697D25" w:rsidRPr="00BD6C5F" w:rsidRDefault="00697D25" w:rsidP="00B059A5">
            <w:pPr>
              <w:pStyle w:val="Tabletext"/>
              <w:rPr>
                <w:b/>
                <w:bCs/>
              </w:rPr>
            </w:pPr>
            <w:r w:rsidRPr="00BD6C5F">
              <w:rPr>
                <w:b/>
                <w:bCs/>
              </w:rPr>
              <w:t>Email</w:t>
            </w:r>
          </w:p>
        </w:tc>
        <w:tc>
          <w:tcPr>
            <w:tcW w:w="3345" w:type="dxa"/>
          </w:tcPr>
          <w:p w14:paraId="7167B7E1" w14:textId="77777777" w:rsidR="00697D25" w:rsidRPr="00BD6C5F" w:rsidRDefault="00697D25" w:rsidP="00B059A5">
            <w:pPr>
              <w:pStyle w:val="Tabletext"/>
            </w:pPr>
          </w:p>
        </w:tc>
        <w:tc>
          <w:tcPr>
            <w:tcW w:w="3345" w:type="dxa"/>
          </w:tcPr>
          <w:p w14:paraId="330636FD" w14:textId="77777777" w:rsidR="00697D25" w:rsidRPr="00BD6C5F" w:rsidRDefault="00697D25" w:rsidP="00B059A5">
            <w:pPr>
              <w:pStyle w:val="Tabletext"/>
            </w:pPr>
          </w:p>
        </w:tc>
      </w:tr>
    </w:tbl>
    <w:p w14:paraId="72FAAF0F" w14:textId="77777777" w:rsidR="00697D25" w:rsidRPr="00BD6C5F" w:rsidRDefault="00697D25" w:rsidP="00CA416F"/>
    <w:p w14:paraId="161AD726" w14:textId="4062433A" w:rsidR="00697D25" w:rsidRPr="00BD6C5F" w:rsidRDefault="00697D25" w:rsidP="00821FA3">
      <w:pPr>
        <w:pStyle w:val="AppendixText2"/>
      </w:pPr>
      <w:r w:rsidRPr="00BD6C5F">
        <w:t xml:space="preserve">This </w:t>
      </w:r>
      <w:r w:rsidR="005E736B" w:rsidRPr="00BD6C5F">
        <w:t>Clause </w:t>
      </w:r>
      <w:r w:rsidR="0010425E" w:rsidRPr="00BD6C5F">
        <w:rPr>
          <w:cs/>
        </w:rPr>
        <w:t>‎</w:t>
      </w:r>
      <w:r w:rsidR="0010425E" w:rsidRPr="00BD6C5F">
        <w:t>8</w:t>
      </w:r>
      <w:r w:rsidRPr="00BD6C5F">
        <w:t xml:space="preserve"> does not apply to the service of any proceedings or other documents in any legal action or other method of dispute resolution.</w:t>
      </w:r>
    </w:p>
    <w:p w14:paraId="1EBC9AA8" w14:textId="6B01BB55" w:rsidR="00697D25" w:rsidRPr="00BD6C5F" w:rsidRDefault="00D4497D" w:rsidP="00821FA3">
      <w:pPr>
        <w:pStyle w:val="AppendixText1"/>
      </w:pPr>
      <w:bookmarkStart w:id="1407" w:name="_Toc127759113"/>
      <w:bookmarkStart w:id="1408" w:name="_Toc139080597"/>
      <w:bookmarkStart w:id="1409" w:name="_Toc359839013"/>
      <w:bookmarkStart w:id="1410" w:name="_Ref46569849"/>
      <w:bookmarkStart w:id="1411" w:name="_Toc127759122"/>
      <w:bookmarkStart w:id="1412" w:name="_Toc139080633"/>
      <w:bookmarkStart w:id="1413" w:name="_Ref347425913"/>
      <w:bookmarkStart w:id="1414" w:name="_Toc359839022"/>
      <w:r w:rsidRPr="00BD6C5F">
        <w:t>Waiver and Cumulative Remedies</w:t>
      </w:r>
      <w:bookmarkEnd w:id="1407"/>
      <w:bookmarkEnd w:id="1408"/>
      <w:bookmarkEnd w:id="1409"/>
    </w:p>
    <w:p w14:paraId="4485EE4E" w14:textId="77777777" w:rsidR="00697D25" w:rsidRPr="00BD6C5F" w:rsidRDefault="00697D25" w:rsidP="00821FA3">
      <w:pPr>
        <w:pStyle w:val="AppendixText2"/>
      </w:pPr>
      <w:r w:rsidRPr="00BD6C5F">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611406EB" w14:textId="4B07EBF4" w:rsidR="00697D25" w:rsidRPr="00BD6C5F" w:rsidRDefault="00697D25" w:rsidP="00821FA3">
      <w:pPr>
        <w:pStyle w:val="AppendixText2"/>
      </w:pPr>
      <w:r w:rsidRPr="00BD6C5F">
        <w:t xml:space="preserve">Unless otherwise provided in this Agreement, rights and remedies under this Agreement are cumulative and do not exclude any </w:t>
      </w:r>
      <w:r w:rsidR="00617DB7" w:rsidRPr="00BD6C5F">
        <w:t xml:space="preserve">other </w:t>
      </w:r>
      <w:r w:rsidRPr="00BD6C5F">
        <w:t>rights or remedies provided by law.</w:t>
      </w:r>
    </w:p>
    <w:p w14:paraId="585A4461" w14:textId="28C18E79" w:rsidR="00697D25" w:rsidRPr="00BD6C5F" w:rsidRDefault="00D4497D" w:rsidP="00821FA3">
      <w:pPr>
        <w:pStyle w:val="AppendixText1"/>
      </w:pPr>
      <w:r w:rsidRPr="00BD6C5F">
        <w:t>Term</w:t>
      </w:r>
    </w:p>
    <w:p w14:paraId="19FE235E" w14:textId="422C39DF" w:rsidR="00697D25" w:rsidRPr="00BD6C5F" w:rsidRDefault="00697D25" w:rsidP="00821FA3">
      <w:pPr>
        <w:pStyle w:val="AppendixText2"/>
      </w:pPr>
      <w:bookmarkStart w:id="1415" w:name="_Ref89440700"/>
      <w:r w:rsidRPr="00BD6C5F">
        <w:t xml:space="preserve">Each </w:t>
      </w:r>
      <w:bookmarkStart w:id="1416" w:name="_9kMH5M6ZWu9A67CK"/>
      <w:r w:rsidRPr="00BD6C5F">
        <w:t>Party</w:t>
      </w:r>
      <w:r w:rsidR="00A4555C" w:rsidRPr="00BD6C5F">
        <w:t>’</w:t>
      </w:r>
      <w:r w:rsidRPr="00BD6C5F">
        <w:t>s</w:t>
      </w:r>
      <w:bookmarkEnd w:id="1416"/>
      <w:r w:rsidRPr="00BD6C5F">
        <w:t xml:space="preserve"> obligations under this Agreement shall continue in full force and effect for period of </w:t>
      </w:r>
      <w:r w:rsidRPr="00BD6C5F">
        <w:rPr>
          <w:highlight w:val="yellow"/>
        </w:rPr>
        <w:t>[</w:t>
      </w:r>
      <w:r w:rsidR="0000332A" w:rsidRPr="00BD6C5F">
        <w:rPr>
          <w:highlight w:val="yellow"/>
        </w:rPr>
        <w:t xml:space="preserve"> </w:t>
      </w:r>
      <w:r w:rsidRPr="00BD6C5F">
        <w:rPr>
          <w:highlight w:val="yellow"/>
        </w:rPr>
        <w:t xml:space="preserve"> ]</w:t>
      </w:r>
      <w:r w:rsidRPr="00BD6C5F">
        <w:t xml:space="preserve"> years from the Effective Date</w:t>
      </w:r>
      <w:r w:rsidRPr="00BD6C5F">
        <w:rPr>
          <w:highlight w:val="yellow"/>
        </w:rPr>
        <w:t>/[or for the period of the duration of the Procurement Process]</w:t>
      </w:r>
      <w:bookmarkEnd w:id="1415"/>
    </w:p>
    <w:p w14:paraId="459F96BA" w14:textId="14C7ED1C" w:rsidR="00697D25" w:rsidRPr="00BD6C5F" w:rsidRDefault="00D4497D" w:rsidP="00821FA3">
      <w:pPr>
        <w:pStyle w:val="AppendixText1"/>
      </w:pPr>
      <w:r w:rsidRPr="00BD6C5F">
        <w:lastRenderedPageBreak/>
        <w:t>Governing Law and Jurisdiction</w:t>
      </w:r>
      <w:bookmarkEnd w:id="1410"/>
      <w:bookmarkEnd w:id="1411"/>
      <w:bookmarkEnd w:id="1412"/>
      <w:bookmarkEnd w:id="1413"/>
      <w:bookmarkEnd w:id="1414"/>
    </w:p>
    <w:p w14:paraId="166645A6" w14:textId="17DCF746" w:rsidR="00697D25" w:rsidRPr="00BD6C5F" w:rsidRDefault="00697D25" w:rsidP="00821FA3">
      <w:pPr>
        <w:pStyle w:val="AppendixText2"/>
      </w:pPr>
      <w:r w:rsidRPr="00BD6C5F">
        <w:t xml:space="preserve">This Agreement and any issues, disputes or claims (whether contractual or non-contractual) arising out of or in connection with it or its subject matter or formation shall be governed by and construed in accordance with the laws of </w:t>
      </w:r>
      <w:r w:rsidR="00617DB7" w:rsidRPr="00BD6C5F">
        <w:t>Scotland</w:t>
      </w:r>
      <w:r w:rsidRPr="00BD6C5F">
        <w:t xml:space="preserve">. </w:t>
      </w:r>
    </w:p>
    <w:p w14:paraId="6C8AB03E" w14:textId="1306FD11" w:rsidR="00697D25" w:rsidRPr="00BD6C5F" w:rsidRDefault="00697D25" w:rsidP="00821FA3">
      <w:pPr>
        <w:pStyle w:val="AppendixText2"/>
      </w:pPr>
      <w:r w:rsidRPr="00BD6C5F">
        <w:t xml:space="preserve">The Parties agree that the </w:t>
      </w:r>
      <w:r w:rsidR="00617DB7" w:rsidRPr="00BD6C5F">
        <w:t>Court of Session</w:t>
      </w:r>
      <w:r w:rsidRPr="00BD6C5F">
        <w:t xml:space="preserve"> shall have exclusive jurisdiction to settle any dispute or claim (whether contractual or non-contractual) that arises out of or in connection with this Agreement or its subject matter or formation.</w:t>
      </w:r>
    </w:p>
    <w:p w14:paraId="7F937C50" w14:textId="68662CA1" w:rsidR="00617DB7" w:rsidRPr="00BD6C5F" w:rsidRDefault="00617DB7" w:rsidP="009A02DF">
      <w:pPr>
        <w:keepNext/>
        <w:keepLines/>
        <w:spacing w:before="100" w:after="200"/>
      </w:pPr>
      <w:r w:rsidRPr="00BD6C5F">
        <w:t>IN WITNESS WHEREOF this Agreement consisting of this and the preceding [</w:t>
      </w:r>
      <w:r w:rsidRPr="004C3F13">
        <w:rPr>
          <w:highlight w:val="yellow"/>
        </w:rPr>
        <w:t>number</w:t>
      </w:r>
      <w:r w:rsidRPr="00BD6C5F">
        <w:t>] pages is executed as follows:</w:t>
      </w:r>
    </w:p>
    <w:tbl>
      <w:tblPr>
        <w:tblW w:w="9388" w:type="dxa"/>
        <w:tblLayout w:type="fixed"/>
        <w:tblLook w:val="0400" w:firstRow="0" w:lastRow="0" w:firstColumn="0" w:lastColumn="0" w:noHBand="0" w:noVBand="1"/>
      </w:tblPr>
      <w:tblGrid>
        <w:gridCol w:w="2107"/>
        <w:gridCol w:w="2392"/>
        <w:gridCol w:w="284"/>
        <w:gridCol w:w="2050"/>
        <w:gridCol w:w="2555"/>
      </w:tblGrid>
      <w:tr w:rsidR="002D73E7" w14:paraId="26A9FD3B" w14:textId="77777777" w:rsidTr="00963796">
        <w:trPr>
          <w:cantSplit/>
        </w:trPr>
        <w:tc>
          <w:tcPr>
            <w:tcW w:w="4499" w:type="dxa"/>
            <w:gridSpan w:val="2"/>
          </w:tcPr>
          <w:p w14:paraId="2BEC7A90" w14:textId="41BF598E" w:rsidR="002D73E7" w:rsidRDefault="002D73E7" w:rsidP="00963796">
            <w:pPr>
              <w:keepNext/>
              <w:widowControl/>
              <w:pBdr>
                <w:top w:val="nil"/>
                <w:left w:val="nil"/>
                <w:bottom w:val="nil"/>
                <w:right w:val="nil"/>
                <w:between w:val="nil"/>
              </w:pBdr>
              <w:rPr>
                <w:color w:val="000000"/>
              </w:rPr>
            </w:pPr>
            <w:bookmarkStart w:id="1417" w:name="_heading=h.upglbi" w:colFirst="0" w:colLast="0"/>
            <w:bookmarkEnd w:id="1417"/>
            <w:r>
              <w:rPr>
                <w:b/>
                <w:color w:val="000000"/>
              </w:rPr>
              <w:t xml:space="preserve">SUBSCRIBED </w:t>
            </w:r>
            <w:r>
              <w:rPr>
                <w:color w:val="000000"/>
              </w:rPr>
              <w:t xml:space="preserve">for and on behalf of </w:t>
            </w:r>
            <w:r>
              <w:rPr>
                <w:color w:val="000000"/>
                <w:highlight w:val="yellow"/>
              </w:rPr>
              <w:t>[</w:t>
            </w:r>
            <w:r>
              <w:rPr>
                <w:b/>
                <w:smallCaps/>
                <w:color w:val="000000"/>
                <w:highlight w:val="yellow"/>
              </w:rPr>
              <w:t>NAME OF AUTHORITY</w:t>
            </w:r>
            <w:r>
              <w:rPr>
                <w:color w:val="000000"/>
                <w:highlight w:val="yellow"/>
              </w:rPr>
              <w:t>]</w:t>
            </w:r>
            <w:r>
              <w:rPr>
                <w:color w:val="000000"/>
              </w:rPr>
              <w:t xml:space="preserve"> by </w:t>
            </w:r>
            <w:r>
              <w:rPr>
                <w:color w:val="000000"/>
                <w:highlight w:val="yellow"/>
              </w:rPr>
              <w:t>[a director][the secretary][an authorised</w:t>
            </w:r>
            <w:r>
              <w:rPr>
                <w:b/>
                <w:color w:val="000000"/>
                <w:highlight w:val="yellow"/>
              </w:rPr>
              <w:t xml:space="preserve"> </w:t>
            </w:r>
            <w:r>
              <w:rPr>
                <w:color w:val="000000"/>
                <w:highlight w:val="yellow"/>
              </w:rPr>
              <w:t>signatory]</w:t>
            </w:r>
            <w:r>
              <w:rPr>
                <w:color w:val="000000"/>
              </w:rPr>
              <w:t xml:space="preserve"> in the presence of a witness on the </w:t>
            </w:r>
            <w:r>
              <w:rPr>
                <w:color w:val="000000"/>
                <w:highlight w:val="yellow"/>
              </w:rPr>
              <w:t>[</w:t>
            </w:r>
            <w:r>
              <w:rPr>
                <w:b/>
                <w:color w:val="000000"/>
                <w:highlight w:val="yellow"/>
              </w:rPr>
              <w:t>DATE</w:t>
            </w:r>
            <w:r>
              <w:rPr>
                <w:color w:val="000000"/>
                <w:highlight w:val="yellow"/>
              </w:rPr>
              <w:t>]</w:t>
            </w:r>
            <w:r>
              <w:rPr>
                <w:color w:val="000000"/>
              </w:rPr>
              <w:t xml:space="preserve"> day of </w:t>
            </w:r>
            <w:r>
              <w:rPr>
                <w:color w:val="000000"/>
                <w:highlight w:val="yellow"/>
              </w:rPr>
              <w:t>[</w:t>
            </w:r>
            <w:r>
              <w:rPr>
                <w:b/>
                <w:color w:val="000000"/>
                <w:highlight w:val="yellow"/>
              </w:rPr>
              <w:t>MONTH</w:t>
            </w:r>
            <w:r>
              <w:rPr>
                <w:color w:val="000000"/>
                <w:highlight w:val="yellow"/>
              </w:rPr>
              <w:t>] [</w:t>
            </w:r>
            <w:r>
              <w:rPr>
                <w:b/>
                <w:color w:val="000000"/>
                <w:highlight w:val="yellow"/>
              </w:rPr>
              <w:t>YEAR</w:t>
            </w:r>
            <w:r>
              <w:rPr>
                <w:color w:val="000000"/>
                <w:highlight w:val="yellow"/>
              </w:rPr>
              <w:t>]</w:t>
            </w:r>
            <w:r>
              <w:rPr>
                <w:color w:val="000000"/>
              </w:rPr>
              <w:t xml:space="preserve"> at </w:t>
            </w:r>
            <w:r>
              <w:rPr>
                <w:color w:val="000000"/>
                <w:highlight w:val="yellow"/>
              </w:rPr>
              <w:t>[</w:t>
            </w:r>
            <w:r>
              <w:rPr>
                <w:b/>
                <w:color w:val="000000"/>
                <w:highlight w:val="yellow"/>
              </w:rPr>
              <w:t>PLACE OF SUBSCRIPTION</w:t>
            </w:r>
            <w:r>
              <w:rPr>
                <w:color w:val="000000"/>
                <w:highlight w:val="yellow"/>
              </w:rPr>
              <w:t>]:</w:t>
            </w:r>
          </w:p>
        </w:tc>
        <w:tc>
          <w:tcPr>
            <w:tcW w:w="284" w:type="dxa"/>
          </w:tcPr>
          <w:p w14:paraId="2A26B1B1" w14:textId="1AFD0B1B" w:rsidR="002D73E7" w:rsidRDefault="002D73E7" w:rsidP="00963796">
            <w:pPr>
              <w:keepNext/>
              <w:widowControl/>
              <w:pBdr>
                <w:top w:val="nil"/>
                <w:left w:val="nil"/>
                <w:bottom w:val="nil"/>
                <w:right w:val="nil"/>
                <w:between w:val="nil"/>
              </w:pBdr>
              <w:rPr>
                <w:color w:val="000000"/>
              </w:rPr>
            </w:pPr>
          </w:p>
        </w:tc>
        <w:tc>
          <w:tcPr>
            <w:tcW w:w="2050" w:type="dxa"/>
            <w:vAlign w:val="bottom"/>
          </w:tcPr>
          <w:p w14:paraId="297BA2CD" w14:textId="6EFD6E05" w:rsidR="002D73E7" w:rsidRDefault="002D73E7" w:rsidP="00963796">
            <w:pPr>
              <w:keepNext/>
              <w:widowControl/>
              <w:pBdr>
                <w:top w:val="nil"/>
                <w:left w:val="nil"/>
                <w:bottom w:val="nil"/>
                <w:right w:val="nil"/>
                <w:between w:val="nil"/>
              </w:pBdr>
              <w:jc w:val="right"/>
              <w:rPr>
                <w:color w:val="000000"/>
              </w:rPr>
            </w:pPr>
            <w:r>
              <w:rPr>
                <w:color w:val="000000"/>
              </w:rPr>
              <w:t>Signature</w:t>
            </w:r>
          </w:p>
        </w:tc>
        <w:tc>
          <w:tcPr>
            <w:tcW w:w="2555" w:type="dxa"/>
            <w:tcBorders>
              <w:top w:val="nil"/>
              <w:left w:val="nil"/>
              <w:bottom w:val="dashed" w:sz="4" w:space="0" w:color="000000"/>
              <w:right w:val="nil"/>
            </w:tcBorders>
          </w:tcPr>
          <w:p w14:paraId="0721619A" w14:textId="6E0E9D8F" w:rsidR="002D73E7" w:rsidRDefault="002D73E7" w:rsidP="00963796">
            <w:pPr>
              <w:keepNext/>
              <w:widowControl/>
              <w:pBdr>
                <w:top w:val="nil"/>
                <w:left w:val="nil"/>
                <w:bottom w:val="nil"/>
                <w:right w:val="nil"/>
                <w:between w:val="nil"/>
              </w:pBdr>
              <w:rPr>
                <w:b/>
                <w:color w:val="000000"/>
              </w:rPr>
            </w:pPr>
          </w:p>
        </w:tc>
      </w:tr>
      <w:tr w:rsidR="002D73E7" w14:paraId="4B1045F8" w14:textId="77777777" w:rsidTr="00963796">
        <w:trPr>
          <w:cantSplit/>
        </w:trPr>
        <w:tc>
          <w:tcPr>
            <w:tcW w:w="4499" w:type="dxa"/>
            <w:gridSpan w:val="2"/>
          </w:tcPr>
          <w:p w14:paraId="62648152" w14:textId="25D64735" w:rsidR="002D73E7" w:rsidRDefault="002D73E7" w:rsidP="00963796">
            <w:pPr>
              <w:keepNext/>
              <w:widowControl/>
              <w:pBdr>
                <w:top w:val="nil"/>
                <w:left w:val="nil"/>
                <w:bottom w:val="nil"/>
                <w:right w:val="nil"/>
                <w:between w:val="nil"/>
              </w:pBdr>
              <w:rPr>
                <w:color w:val="000000"/>
              </w:rPr>
            </w:pPr>
          </w:p>
        </w:tc>
        <w:tc>
          <w:tcPr>
            <w:tcW w:w="284" w:type="dxa"/>
          </w:tcPr>
          <w:p w14:paraId="44C20C2B" w14:textId="55F62CAA" w:rsidR="002D73E7" w:rsidRDefault="002D73E7" w:rsidP="00963796">
            <w:pPr>
              <w:widowControl/>
              <w:pBdr>
                <w:top w:val="nil"/>
                <w:left w:val="nil"/>
                <w:bottom w:val="nil"/>
                <w:right w:val="nil"/>
                <w:between w:val="nil"/>
              </w:pBdr>
              <w:rPr>
                <w:color w:val="000000"/>
              </w:rPr>
            </w:pPr>
          </w:p>
        </w:tc>
        <w:tc>
          <w:tcPr>
            <w:tcW w:w="2050" w:type="dxa"/>
          </w:tcPr>
          <w:p w14:paraId="63599E3E" w14:textId="6F42EA19" w:rsidR="002D73E7" w:rsidRDefault="002D73E7" w:rsidP="00963796">
            <w:pPr>
              <w:widowControl/>
              <w:pBdr>
                <w:top w:val="nil"/>
                <w:left w:val="nil"/>
                <w:bottom w:val="nil"/>
                <w:right w:val="nil"/>
                <w:between w:val="nil"/>
              </w:pBdr>
              <w:jc w:val="right"/>
              <w:rPr>
                <w:color w:val="000000"/>
              </w:rPr>
            </w:pPr>
          </w:p>
        </w:tc>
        <w:tc>
          <w:tcPr>
            <w:tcW w:w="2555" w:type="dxa"/>
            <w:tcBorders>
              <w:top w:val="dashed" w:sz="4" w:space="0" w:color="000000"/>
              <w:left w:val="nil"/>
              <w:right w:val="nil"/>
            </w:tcBorders>
          </w:tcPr>
          <w:p w14:paraId="00189B73" w14:textId="20598880" w:rsidR="002D73E7" w:rsidRDefault="002D73E7" w:rsidP="00963796">
            <w:pPr>
              <w:widowControl/>
              <w:pBdr>
                <w:top w:val="nil"/>
                <w:left w:val="nil"/>
                <w:bottom w:val="nil"/>
                <w:right w:val="nil"/>
                <w:between w:val="nil"/>
              </w:pBdr>
              <w:rPr>
                <w:b/>
                <w:color w:val="000000"/>
              </w:rPr>
            </w:pPr>
          </w:p>
        </w:tc>
      </w:tr>
      <w:tr w:rsidR="002D73E7" w14:paraId="13B14373" w14:textId="77777777" w:rsidTr="00963796">
        <w:trPr>
          <w:cantSplit/>
        </w:trPr>
        <w:tc>
          <w:tcPr>
            <w:tcW w:w="4499" w:type="dxa"/>
            <w:gridSpan w:val="2"/>
          </w:tcPr>
          <w:p w14:paraId="4A5927F7" w14:textId="1FDECF51" w:rsidR="002D73E7" w:rsidRDefault="002D73E7" w:rsidP="00963796">
            <w:pPr>
              <w:keepNext/>
              <w:widowControl/>
              <w:pBdr>
                <w:top w:val="nil"/>
                <w:left w:val="nil"/>
                <w:bottom w:val="nil"/>
                <w:right w:val="nil"/>
                <w:between w:val="nil"/>
              </w:pBdr>
              <w:rPr>
                <w:color w:val="000000"/>
              </w:rPr>
            </w:pPr>
          </w:p>
        </w:tc>
        <w:tc>
          <w:tcPr>
            <w:tcW w:w="284" w:type="dxa"/>
          </w:tcPr>
          <w:p w14:paraId="595F1348" w14:textId="249FCD14" w:rsidR="002D73E7" w:rsidRDefault="002D73E7" w:rsidP="00963796">
            <w:pPr>
              <w:widowControl/>
              <w:pBdr>
                <w:top w:val="nil"/>
                <w:left w:val="nil"/>
                <w:bottom w:val="nil"/>
                <w:right w:val="nil"/>
                <w:between w:val="nil"/>
              </w:pBdr>
              <w:rPr>
                <w:color w:val="000000"/>
              </w:rPr>
            </w:pPr>
          </w:p>
        </w:tc>
        <w:tc>
          <w:tcPr>
            <w:tcW w:w="2050" w:type="dxa"/>
          </w:tcPr>
          <w:p w14:paraId="2F73A838" w14:textId="7E7925B4" w:rsidR="002D73E7" w:rsidRDefault="002D73E7" w:rsidP="00963796">
            <w:pPr>
              <w:widowControl/>
              <w:pBdr>
                <w:top w:val="nil"/>
                <w:left w:val="nil"/>
                <w:bottom w:val="nil"/>
                <w:right w:val="nil"/>
                <w:between w:val="nil"/>
              </w:pBdr>
              <w:spacing w:before="40"/>
              <w:jc w:val="right"/>
              <w:rPr>
                <w:color w:val="000000"/>
              </w:rPr>
            </w:pPr>
            <w:r>
              <w:rPr>
                <w:color w:val="000000"/>
              </w:rPr>
              <w:t>Name (block capitals)</w:t>
            </w:r>
          </w:p>
        </w:tc>
        <w:tc>
          <w:tcPr>
            <w:tcW w:w="2555" w:type="dxa"/>
            <w:tcBorders>
              <w:left w:val="nil"/>
              <w:bottom w:val="dashed" w:sz="4" w:space="0" w:color="000000"/>
              <w:right w:val="nil"/>
            </w:tcBorders>
          </w:tcPr>
          <w:p w14:paraId="030937E0" w14:textId="73DA7C48" w:rsidR="002D73E7" w:rsidRDefault="002D73E7" w:rsidP="00963796">
            <w:pPr>
              <w:widowControl/>
              <w:pBdr>
                <w:top w:val="nil"/>
                <w:left w:val="nil"/>
                <w:bottom w:val="nil"/>
                <w:right w:val="nil"/>
                <w:between w:val="nil"/>
              </w:pBdr>
              <w:rPr>
                <w:b/>
                <w:color w:val="000000"/>
              </w:rPr>
            </w:pPr>
          </w:p>
        </w:tc>
      </w:tr>
      <w:tr w:rsidR="002D73E7" w14:paraId="0B34E396" w14:textId="77777777" w:rsidTr="00963796">
        <w:trPr>
          <w:cantSplit/>
        </w:trPr>
        <w:tc>
          <w:tcPr>
            <w:tcW w:w="4499" w:type="dxa"/>
            <w:gridSpan w:val="2"/>
          </w:tcPr>
          <w:p w14:paraId="127559AA" w14:textId="667ED031" w:rsidR="002D73E7" w:rsidRDefault="002D73E7" w:rsidP="00963796">
            <w:pPr>
              <w:keepNext/>
              <w:widowControl/>
              <w:pBdr>
                <w:top w:val="nil"/>
                <w:left w:val="nil"/>
                <w:bottom w:val="nil"/>
                <w:right w:val="nil"/>
                <w:between w:val="nil"/>
              </w:pBdr>
              <w:rPr>
                <w:color w:val="000000"/>
              </w:rPr>
            </w:pPr>
          </w:p>
        </w:tc>
        <w:tc>
          <w:tcPr>
            <w:tcW w:w="284" w:type="dxa"/>
          </w:tcPr>
          <w:p w14:paraId="3AFD92CB" w14:textId="16FEC770" w:rsidR="002D73E7" w:rsidRDefault="002D73E7" w:rsidP="00963796">
            <w:pPr>
              <w:widowControl/>
              <w:pBdr>
                <w:top w:val="nil"/>
                <w:left w:val="nil"/>
                <w:bottom w:val="nil"/>
                <w:right w:val="nil"/>
                <w:between w:val="nil"/>
              </w:pBdr>
              <w:rPr>
                <w:color w:val="000000"/>
              </w:rPr>
            </w:pPr>
          </w:p>
        </w:tc>
        <w:tc>
          <w:tcPr>
            <w:tcW w:w="2050" w:type="dxa"/>
          </w:tcPr>
          <w:p w14:paraId="2CF54CE4" w14:textId="49EB86B9" w:rsidR="002D73E7" w:rsidRDefault="002D73E7" w:rsidP="00963796">
            <w:pPr>
              <w:widowControl/>
              <w:pBdr>
                <w:top w:val="nil"/>
                <w:left w:val="nil"/>
                <w:bottom w:val="nil"/>
                <w:right w:val="nil"/>
                <w:between w:val="nil"/>
              </w:pBdr>
              <w:rPr>
                <w:color w:val="000000"/>
              </w:rPr>
            </w:pPr>
          </w:p>
        </w:tc>
        <w:tc>
          <w:tcPr>
            <w:tcW w:w="2555" w:type="dxa"/>
            <w:tcBorders>
              <w:top w:val="dashed" w:sz="4" w:space="0" w:color="000000"/>
              <w:left w:val="nil"/>
              <w:right w:val="nil"/>
            </w:tcBorders>
          </w:tcPr>
          <w:p w14:paraId="599383D2" w14:textId="2C8ADE4C" w:rsidR="002D73E7" w:rsidRDefault="002D73E7" w:rsidP="00963796">
            <w:pPr>
              <w:widowControl/>
              <w:pBdr>
                <w:top w:val="nil"/>
                <w:left w:val="nil"/>
                <w:bottom w:val="nil"/>
                <w:right w:val="nil"/>
                <w:between w:val="nil"/>
              </w:pBdr>
              <w:spacing w:before="40"/>
              <w:rPr>
                <w:color w:val="000000"/>
                <w:highlight w:val="yellow"/>
              </w:rPr>
            </w:pPr>
            <w:r>
              <w:rPr>
                <w:color w:val="000000"/>
                <w:highlight w:val="yellow"/>
              </w:rPr>
              <w:t>[</w:t>
            </w:r>
            <w:r>
              <w:rPr>
                <w:b/>
                <w:color w:val="000000"/>
                <w:highlight w:val="yellow"/>
              </w:rPr>
              <w:t>Director</w:t>
            </w:r>
            <w:r>
              <w:rPr>
                <w:color w:val="000000"/>
                <w:highlight w:val="yellow"/>
              </w:rPr>
              <w:t>][</w:t>
            </w:r>
            <w:r>
              <w:rPr>
                <w:b/>
                <w:color w:val="000000"/>
                <w:highlight w:val="yellow"/>
              </w:rPr>
              <w:t>Secretary</w:t>
            </w:r>
            <w:r>
              <w:rPr>
                <w:color w:val="000000"/>
                <w:highlight w:val="yellow"/>
              </w:rPr>
              <w:t>]</w:t>
            </w:r>
            <w:r>
              <w:rPr>
                <w:color w:val="000000"/>
                <w:highlight w:val="yellow"/>
              </w:rPr>
              <w:br/>
              <w:t>[</w:t>
            </w:r>
            <w:r>
              <w:rPr>
                <w:b/>
                <w:color w:val="000000"/>
                <w:highlight w:val="yellow"/>
              </w:rPr>
              <w:t>Authorised Signatory</w:t>
            </w:r>
            <w:r>
              <w:rPr>
                <w:color w:val="000000"/>
                <w:highlight w:val="yellow"/>
              </w:rPr>
              <w:t>]</w:t>
            </w:r>
          </w:p>
        </w:tc>
      </w:tr>
      <w:tr w:rsidR="002D73E7" w14:paraId="7274A855" w14:textId="77777777" w:rsidTr="00963796">
        <w:trPr>
          <w:cantSplit/>
        </w:trPr>
        <w:tc>
          <w:tcPr>
            <w:tcW w:w="2107" w:type="dxa"/>
          </w:tcPr>
          <w:p w14:paraId="070BB23C" w14:textId="1B23F638" w:rsidR="002D73E7" w:rsidRDefault="002D73E7" w:rsidP="00963796">
            <w:pPr>
              <w:keepNext/>
              <w:widowControl/>
              <w:pBdr>
                <w:top w:val="nil"/>
                <w:left w:val="nil"/>
                <w:bottom w:val="nil"/>
                <w:right w:val="nil"/>
                <w:between w:val="nil"/>
              </w:pBdr>
              <w:spacing w:before="40"/>
              <w:rPr>
                <w:color w:val="000000"/>
              </w:rPr>
            </w:pPr>
            <w:r>
              <w:rPr>
                <w:color w:val="000000"/>
              </w:rPr>
              <w:t>Witness signature</w:t>
            </w:r>
          </w:p>
        </w:tc>
        <w:tc>
          <w:tcPr>
            <w:tcW w:w="2676" w:type="dxa"/>
            <w:gridSpan w:val="2"/>
            <w:tcBorders>
              <w:top w:val="nil"/>
              <w:left w:val="nil"/>
              <w:bottom w:val="dashed" w:sz="4" w:space="0" w:color="000000"/>
              <w:right w:val="nil"/>
            </w:tcBorders>
          </w:tcPr>
          <w:p w14:paraId="66C158DF" w14:textId="4C0C1A4A" w:rsidR="002D73E7" w:rsidRDefault="002D73E7" w:rsidP="00963796">
            <w:pPr>
              <w:widowControl/>
              <w:pBdr>
                <w:top w:val="nil"/>
                <w:left w:val="nil"/>
                <w:bottom w:val="nil"/>
                <w:right w:val="nil"/>
                <w:between w:val="nil"/>
              </w:pBdr>
              <w:rPr>
                <w:color w:val="000000"/>
              </w:rPr>
            </w:pPr>
          </w:p>
        </w:tc>
        <w:tc>
          <w:tcPr>
            <w:tcW w:w="4605" w:type="dxa"/>
            <w:gridSpan w:val="2"/>
          </w:tcPr>
          <w:p w14:paraId="227B623E" w14:textId="3478D8DA" w:rsidR="002D73E7" w:rsidRDefault="002D73E7" w:rsidP="00963796">
            <w:pPr>
              <w:widowControl/>
              <w:pBdr>
                <w:top w:val="nil"/>
                <w:left w:val="nil"/>
                <w:bottom w:val="nil"/>
                <w:right w:val="nil"/>
                <w:between w:val="nil"/>
              </w:pBdr>
              <w:rPr>
                <w:color w:val="000000"/>
              </w:rPr>
            </w:pPr>
          </w:p>
        </w:tc>
      </w:tr>
      <w:tr w:rsidR="002D73E7" w14:paraId="1FA3D8A5" w14:textId="77777777" w:rsidTr="00963796">
        <w:trPr>
          <w:cantSplit/>
        </w:trPr>
        <w:tc>
          <w:tcPr>
            <w:tcW w:w="2107" w:type="dxa"/>
          </w:tcPr>
          <w:p w14:paraId="006AAD7C" w14:textId="488D6D9B" w:rsidR="002D73E7" w:rsidRDefault="002D73E7" w:rsidP="00963796">
            <w:pPr>
              <w:keepNext/>
              <w:widowControl/>
              <w:pBdr>
                <w:top w:val="nil"/>
                <w:left w:val="nil"/>
                <w:bottom w:val="nil"/>
                <w:right w:val="nil"/>
                <w:between w:val="nil"/>
              </w:pBdr>
              <w:spacing w:before="40"/>
              <w:jc w:val="right"/>
              <w:rPr>
                <w:color w:val="000000"/>
              </w:rPr>
            </w:pPr>
          </w:p>
        </w:tc>
        <w:tc>
          <w:tcPr>
            <w:tcW w:w="2676" w:type="dxa"/>
            <w:gridSpan w:val="2"/>
          </w:tcPr>
          <w:p w14:paraId="178E110B" w14:textId="41F599F6" w:rsidR="002D73E7" w:rsidRDefault="002D73E7" w:rsidP="00963796">
            <w:pPr>
              <w:widowControl/>
              <w:pBdr>
                <w:top w:val="nil"/>
                <w:left w:val="nil"/>
                <w:bottom w:val="nil"/>
                <w:right w:val="nil"/>
                <w:between w:val="nil"/>
              </w:pBdr>
              <w:rPr>
                <w:color w:val="000000"/>
              </w:rPr>
            </w:pPr>
          </w:p>
        </w:tc>
        <w:tc>
          <w:tcPr>
            <w:tcW w:w="4605" w:type="dxa"/>
            <w:gridSpan w:val="2"/>
          </w:tcPr>
          <w:p w14:paraId="40307FCE" w14:textId="470FE9E9" w:rsidR="002D73E7" w:rsidRDefault="002D73E7" w:rsidP="00963796">
            <w:pPr>
              <w:widowControl/>
              <w:pBdr>
                <w:top w:val="nil"/>
                <w:left w:val="nil"/>
                <w:bottom w:val="nil"/>
                <w:right w:val="nil"/>
                <w:between w:val="nil"/>
              </w:pBdr>
              <w:rPr>
                <w:color w:val="000000"/>
              </w:rPr>
            </w:pPr>
          </w:p>
        </w:tc>
      </w:tr>
      <w:tr w:rsidR="002D73E7" w14:paraId="1BD4378B" w14:textId="77777777" w:rsidTr="00963796">
        <w:trPr>
          <w:cantSplit/>
        </w:trPr>
        <w:tc>
          <w:tcPr>
            <w:tcW w:w="2107" w:type="dxa"/>
          </w:tcPr>
          <w:p w14:paraId="6BBAE2CB" w14:textId="42C95FE2" w:rsidR="002D73E7" w:rsidRDefault="002D73E7" w:rsidP="00963796">
            <w:pPr>
              <w:keepNext/>
              <w:widowControl/>
              <w:pBdr>
                <w:top w:val="nil"/>
                <w:left w:val="nil"/>
                <w:bottom w:val="nil"/>
                <w:right w:val="nil"/>
                <w:between w:val="nil"/>
              </w:pBdr>
              <w:spacing w:before="40"/>
              <w:rPr>
                <w:color w:val="000000"/>
              </w:rPr>
            </w:pPr>
            <w:r>
              <w:rPr>
                <w:color w:val="000000"/>
              </w:rPr>
              <w:t xml:space="preserve">Witness name </w:t>
            </w:r>
          </w:p>
        </w:tc>
        <w:tc>
          <w:tcPr>
            <w:tcW w:w="2676" w:type="dxa"/>
            <w:gridSpan w:val="2"/>
            <w:tcBorders>
              <w:top w:val="nil"/>
              <w:left w:val="nil"/>
              <w:bottom w:val="dashed" w:sz="4" w:space="0" w:color="000000"/>
              <w:right w:val="nil"/>
            </w:tcBorders>
          </w:tcPr>
          <w:p w14:paraId="7B9B7011" w14:textId="0B4CA926" w:rsidR="002D73E7" w:rsidRDefault="002D73E7" w:rsidP="00963796">
            <w:pPr>
              <w:widowControl/>
              <w:pBdr>
                <w:top w:val="nil"/>
                <w:left w:val="nil"/>
                <w:bottom w:val="nil"/>
                <w:right w:val="nil"/>
                <w:between w:val="nil"/>
              </w:pBdr>
              <w:rPr>
                <w:color w:val="000000"/>
              </w:rPr>
            </w:pPr>
          </w:p>
        </w:tc>
        <w:tc>
          <w:tcPr>
            <w:tcW w:w="4605" w:type="dxa"/>
            <w:gridSpan w:val="2"/>
          </w:tcPr>
          <w:p w14:paraId="152732CA" w14:textId="5EAD8B64" w:rsidR="002D73E7" w:rsidRDefault="002D73E7" w:rsidP="00963796">
            <w:pPr>
              <w:widowControl/>
              <w:pBdr>
                <w:top w:val="nil"/>
                <w:left w:val="nil"/>
                <w:bottom w:val="nil"/>
                <w:right w:val="nil"/>
                <w:between w:val="nil"/>
              </w:pBdr>
              <w:rPr>
                <w:color w:val="000000"/>
              </w:rPr>
            </w:pPr>
          </w:p>
        </w:tc>
      </w:tr>
      <w:tr w:rsidR="002D73E7" w14:paraId="41737A26" w14:textId="77777777" w:rsidTr="00963796">
        <w:trPr>
          <w:cantSplit/>
        </w:trPr>
        <w:tc>
          <w:tcPr>
            <w:tcW w:w="2107" w:type="dxa"/>
          </w:tcPr>
          <w:p w14:paraId="37637FE7" w14:textId="725E233A" w:rsidR="002D73E7" w:rsidRDefault="002D73E7" w:rsidP="00963796">
            <w:pPr>
              <w:keepNext/>
              <w:widowControl/>
              <w:pBdr>
                <w:top w:val="nil"/>
                <w:left w:val="nil"/>
                <w:bottom w:val="nil"/>
                <w:right w:val="nil"/>
                <w:between w:val="nil"/>
              </w:pBdr>
              <w:rPr>
                <w:color w:val="000000"/>
              </w:rPr>
            </w:pPr>
            <w:r>
              <w:rPr>
                <w:color w:val="000000"/>
              </w:rPr>
              <w:t>(block capitals)</w:t>
            </w:r>
          </w:p>
        </w:tc>
        <w:tc>
          <w:tcPr>
            <w:tcW w:w="2676" w:type="dxa"/>
            <w:gridSpan w:val="2"/>
            <w:tcBorders>
              <w:top w:val="dashed" w:sz="4" w:space="0" w:color="000000"/>
              <w:left w:val="nil"/>
              <w:bottom w:val="nil"/>
              <w:right w:val="nil"/>
            </w:tcBorders>
          </w:tcPr>
          <w:p w14:paraId="7F2E816D" w14:textId="7A57B40F" w:rsidR="002D73E7" w:rsidRDefault="002D73E7" w:rsidP="00963796">
            <w:pPr>
              <w:widowControl/>
              <w:pBdr>
                <w:top w:val="nil"/>
                <w:left w:val="nil"/>
                <w:bottom w:val="nil"/>
                <w:right w:val="nil"/>
                <w:between w:val="nil"/>
              </w:pBdr>
              <w:rPr>
                <w:color w:val="000000"/>
              </w:rPr>
            </w:pPr>
          </w:p>
        </w:tc>
        <w:tc>
          <w:tcPr>
            <w:tcW w:w="4605" w:type="dxa"/>
            <w:gridSpan w:val="2"/>
          </w:tcPr>
          <w:p w14:paraId="362841DD" w14:textId="0B08F9A7" w:rsidR="002D73E7" w:rsidRDefault="002D73E7" w:rsidP="00963796">
            <w:pPr>
              <w:widowControl/>
              <w:pBdr>
                <w:top w:val="nil"/>
                <w:left w:val="nil"/>
                <w:bottom w:val="nil"/>
                <w:right w:val="nil"/>
                <w:between w:val="nil"/>
              </w:pBdr>
              <w:rPr>
                <w:color w:val="000000"/>
              </w:rPr>
            </w:pPr>
          </w:p>
        </w:tc>
      </w:tr>
      <w:tr w:rsidR="002D73E7" w14:paraId="728210FB" w14:textId="77777777" w:rsidTr="00963796">
        <w:trPr>
          <w:cantSplit/>
        </w:trPr>
        <w:tc>
          <w:tcPr>
            <w:tcW w:w="2107" w:type="dxa"/>
          </w:tcPr>
          <w:p w14:paraId="0621ECDC" w14:textId="2C77584D" w:rsidR="002D73E7" w:rsidRDefault="002D73E7" w:rsidP="00963796">
            <w:pPr>
              <w:keepNext/>
              <w:widowControl/>
              <w:pBdr>
                <w:top w:val="nil"/>
                <w:left w:val="nil"/>
                <w:bottom w:val="nil"/>
                <w:right w:val="nil"/>
                <w:between w:val="nil"/>
              </w:pBdr>
              <w:spacing w:before="40"/>
              <w:jc w:val="right"/>
              <w:rPr>
                <w:color w:val="000000"/>
              </w:rPr>
            </w:pPr>
          </w:p>
        </w:tc>
        <w:tc>
          <w:tcPr>
            <w:tcW w:w="2676" w:type="dxa"/>
            <w:gridSpan w:val="2"/>
          </w:tcPr>
          <w:p w14:paraId="5E885A5C" w14:textId="578D0482" w:rsidR="002D73E7" w:rsidRDefault="002D73E7" w:rsidP="00963796">
            <w:pPr>
              <w:widowControl/>
              <w:pBdr>
                <w:top w:val="nil"/>
                <w:left w:val="nil"/>
                <w:bottom w:val="nil"/>
                <w:right w:val="nil"/>
                <w:between w:val="nil"/>
              </w:pBdr>
              <w:rPr>
                <w:color w:val="000000"/>
              </w:rPr>
            </w:pPr>
          </w:p>
        </w:tc>
        <w:tc>
          <w:tcPr>
            <w:tcW w:w="4605" w:type="dxa"/>
            <w:gridSpan w:val="2"/>
          </w:tcPr>
          <w:p w14:paraId="2FFF5C3B" w14:textId="50A030A7" w:rsidR="002D73E7" w:rsidRDefault="002D73E7" w:rsidP="00963796">
            <w:pPr>
              <w:widowControl/>
              <w:pBdr>
                <w:top w:val="nil"/>
                <w:left w:val="nil"/>
                <w:bottom w:val="nil"/>
                <w:right w:val="nil"/>
                <w:between w:val="nil"/>
              </w:pBdr>
              <w:rPr>
                <w:color w:val="000000"/>
              </w:rPr>
            </w:pPr>
          </w:p>
        </w:tc>
      </w:tr>
      <w:tr w:rsidR="002D73E7" w14:paraId="6F98511D" w14:textId="77777777" w:rsidTr="00963796">
        <w:trPr>
          <w:cantSplit/>
        </w:trPr>
        <w:tc>
          <w:tcPr>
            <w:tcW w:w="2107" w:type="dxa"/>
          </w:tcPr>
          <w:p w14:paraId="02D26D51" w14:textId="59A31F49" w:rsidR="002D73E7" w:rsidRDefault="002D73E7" w:rsidP="00963796">
            <w:pPr>
              <w:keepNext/>
              <w:widowControl/>
              <w:pBdr>
                <w:top w:val="nil"/>
                <w:left w:val="nil"/>
                <w:bottom w:val="nil"/>
                <w:right w:val="nil"/>
                <w:between w:val="nil"/>
              </w:pBdr>
              <w:spacing w:before="40"/>
              <w:rPr>
                <w:color w:val="000000"/>
              </w:rPr>
            </w:pPr>
            <w:r>
              <w:rPr>
                <w:color w:val="000000"/>
              </w:rPr>
              <w:t>Witness address</w:t>
            </w:r>
          </w:p>
        </w:tc>
        <w:tc>
          <w:tcPr>
            <w:tcW w:w="2676" w:type="dxa"/>
            <w:gridSpan w:val="2"/>
            <w:tcBorders>
              <w:top w:val="nil"/>
              <w:left w:val="nil"/>
              <w:bottom w:val="dashed" w:sz="4" w:space="0" w:color="000000"/>
              <w:right w:val="nil"/>
            </w:tcBorders>
          </w:tcPr>
          <w:p w14:paraId="5DB860EA" w14:textId="69F1D1D5" w:rsidR="002D73E7" w:rsidRDefault="002D73E7" w:rsidP="00963796">
            <w:pPr>
              <w:widowControl/>
              <w:pBdr>
                <w:top w:val="nil"/>
                <w:left w:val="nil"/>
                <w:bottom w:val="nil"/>
                <w:right w:val="nil"/>
                <w:between w:val="nil"/>
              </w:pBdr>
              <w:rPr>
                <w:color w:val="000000"/>
              </w:rPr>
            </w:pPr>
          </w:p>
        </w:tc>
        <w:tc>
          <w:tcPr>
            <w:tcW w:w="4605" w:type="dxa"/>
            <w:gridSpan w:val="2"/>
          </w:tcPr>
          <w:p w14:paraId="056ADC76" w14:textId="13630AD4" w:rsidR="002D73E7" w:rsidRDefault="002D73E7" w:rsidP="00963796">
            <w:pPr>
              <w:widowControl/>
              <w:pBdr>
                <w:top w:val="nil"/>
                <w:left w:val="nil"/>
                <w:bottom w:val="nil"/>
                <w:right w:val="nil"/>
                <w:between w:val="nil"/>
              </w:pBdr>
              <w:rPr>
                <w:color w:val="000000"/>
              </w:rPr>
            </w:pPr>
          </w:p>
        </w:tc>
      </w:tr>
      <w:tr w:rsidR="002D73E7" w14:paraId="1DB73717" w14:textId="77777777" w:rsidTr="00963796">
        <w:trPr>
          <w:cantSplit/>
        </w:trPr>
        <w:tc>
          <w:tcPr>
            <w:tcW w:w="2107" w:type="dxa"/>
          </w:tcPr>
          <w:p w14:paraId="416CB2DB" w14:textId="746391E1" w:rsidR="002D73E7" w:rsidRDefault="002D73E7" w:rsidP="00963796">
            <w:pPr>
              <w:keepNext/>
              <w:widowControl/>
              <w:pBdr>
                <w:top w:val="nil"/>
                <w:left w:val="nil"/>
                <w:bottom w:val="nil"/>
                <w:right w:val="nil"/>
                <w:between w:val="nil"/>
              </w:pBdr>
              <w:spacing w:before="40"/>
              <w:jc w:val="right"/>
              <w:rPr>
                <w:color w:val="000000"/>
              </w:rPr>
            </w:pPr>
          </w:p>
        </w:tc>
        <w:tc>
          <w:tcPr>
            <w:tcW w:w="2676" w:type="dxa"/>
            <w:gridSpan w:val="2"/>
          </w:tcPr>
          <w:p w14:paraId="02165600" w14:textId="2A4E854B" w:rsidR="002D73E7" w:rsidRDefault="002D73E7" w:rsidP="00963796">
            <w:pPr>
              <w:widowControl/>
              <w:pBdr>
                <w:top w:val="nil"/>
                <w:left w:val="nil"/>
                <w:bottom w:val="nil"/>
                <w:right w:val="nil"/>
                <w:between w:val="nil"/>
              </w:pBdr>
              <w:rPr>
                <w:color w:val="000000"/>
              </w:rPr>
            </w:pPr>
          </w:p>
        </w:tc>
        <w:tc>
          <w:tcPr>
            <w:tcW w:w="4605" w:type="dxa"/>
            <w:gridSpan w:val="2"/>
          </w:tcPr>
          <w:p w14:paraId="2DEDFAB1" w14:textId="6ED17432" w:rsidR="002D73E7" w:rsidRDefault="002D73E7" w:rsidP="00963796">
            <w:pPr>
              <w:widowControl/>
              <w:pBdr>
                <w:top w:val="nil"/>
                <w:left w:val="nil"/>
                <w:bottom w:val="nil"/>
                <w:right w:val="nil"/>
                <w:between w:val="nil"/>
              </w:pBdr>
              <w:rPr>
                <w:color w:val="000000"/>
              </w:rPr>
            </w:pPr>
          </w:p>
        </w:tc>
      </w:tr>
      <w:tr w:rsidR="002D73E7" w14:paraId="788C6EC3" w14:textId="77777777" w:rsidTr="00963796">
        <w:trPr>
          <w:cantSplit/>
        </w:trPr>
        <w:tc>
          <w:tcPr>
            <w:tcW w:w="2107" w:type="dxa"/>
          </w:tcPr>
          <w:p w14:paraId="18C92F38" w14:textId="2E8E8CE0" w:rsidR="002D73E7" w:rsidRDefault="002D73E7" w:rsidP="00963796">
            <w:pPr>
              <w:keepNext/>
              <w:widowControl/>
              <w:pBdr>
                <w:top w:val="nil"/>
                <w:left w:val="nil"/>
                <w:bottom w:val="nil"/>
                <w:right w:val="nil"/>
                <w:between w:val="nil"/>
              </w:pBdr>
              <w:spacing w:before="40"/>
              <w:jc w:val="right"/>
              <w:rPr>
                <w:color w:val="000000"/>
              </w:rPr>
            </w:pPr>
          </w:p>
        </w:tc>
        <w:tc>
          <w:tcPr>
            <w:tcW w:w="2676" w:type="dxa"/>
            <w:gridSpan w:val="2"/>
            <w:tcBorders>
              <w:top w:val="nil"/>
              <w:left w:val="nil"/>
              <w:bottom w:val="dashed" w:sz="4" w:space="0" w:color="000000"/>
              <w:right w:val="nil"/>
            </w:tcBorders>
          </w:tcPr>
          <w:p w14:paraId="79254438" w14:textId="102807BA" w:rsidR="002D73E7" w:rsidRDefault="002D73E7" w:rsidP="00963796">
            <w:pPr>
              <w:widowControl/>
              <w:pBdr>
                <w:top w:val="nil"/>
                <w:left w:val="nil"/>
                <w:bottom w:val="nil"/>
                <w:right w:val="nil"/>
                <w:between w:val="nil"/>
              </w:pBdr>
              <w:rPr>
                <w:color w:val="000000"/>
              </w:rPr>
            </w:pPr>
          </w:p>
        </w:tc>
        <w:tc>
          <w:tcPr>
            <w:tcW w:w="4605" w:type="dxa"/>
            <w:gridSpan w:val="2"/>
          </w:tcPr>
          <w:p w14:paraId="25B7001F" w14:textId="4FD4B773" w:rsidR="002D73E7" w:rsidRDefault="002D73E7" w:rsidP="00963796">
            <w:pPr>
              <w:widowControl/>
              <w:pBdr>
                <w:top w:val="nil"/>
                <w:left w:val="nil"/>
                <w:bottom w:val="nil"/>
                <w:right w:val="nil"/>
                <w:between w:val="nil"/>
              </w:pBdr>
              <w:rPr>
                <w:color w:val="000000"/>
              </w:rPr>
            </w:pPr>
          </w:p>
        </w:tc>
      </w:tr>
      <w:tr w:rsidR="002D73E7" w14:paraId="4D74227C" w14:textId="77777777" w:rsidTr="00963796">
        <w:trPr>
          <w:cantSplit/>
        </w:trPr>
        <w:tc>
          <w:tcPr>
            <w:tcW w:w="2107" w:type="dxa"/>
          </w:tcPr>
          <w:p w14:paraId="3E823650" w14:textId="44FAE482" w:rsidR="002D73E7" w:rsidRDefault="002D73E7" w:rsidP="00963796">
            <w:pPr>
              <w:keepNext/>
              <w:widowControl/>
              <w:pBdr>
                <w:top w:val="nil"/>
                <w:left w:val="nil"/>
                <w:bottom w:val="nil"/>
                <w:right w:val="nil"/>
                <w:between w:val="nil"/>
              </w:pBdr>
              <w:spacing w:before="40"/>
              <w:jc w:val="right"/>
              <w:rPr>
                <w:color w:val="000000"/>
              </w:rPr>
            </w:pPr>
          </w:p>
        </w:tc>
        <w:tc>
          <w:tcPr>
            <w:tcW w:w="2676" w:type="dxa"/>
            <w:gridSpan w:val="2"/>
            <w:tcBorders>
              <w:top w:val="dashed" w:sz="4" w:space="0" w:color="000000"/>
              <w:left w:val="nil"/>
              <w:bottom w:val="nil"/>
              <w:right w:val="nil"/>
            </w:tcBorders>
          </w:tcPr>
          <w:p w14:paraId="246A5E20" w14:textId="759B389F" w:rsidR="002D73E7" w:rsidRDefault="002D73E7" w:rsidP="00963796">
            <w:pPr>
              <w:widowControl/>
              <w:pBdr>
                <w:top w:val="nil"/>
                <w:left w:val="nil"/>
                <w:bottom w:val="nil"/>
                <w:right w:val="nil"/>
                <w:between w:val="nil"/>
              </w:pBdr>
              <w:rPr>
                <w:color w:val="000000"/>
              </w:rPr>
            </w:pPr>
          </w:p>
        </w:tc>
        <w:tc>
          <w:tcPr>
            <w:tcW w:w="4605" w:type="dxa"/>
            <w:gridSpan w:val="2"/>
          </w:tcPr>
          <w:p w14:paraId="1FA9BAE8" w14:textId="1F98D39D" w:rsidR="002D73E7" w:rsidRDefault="002D73E7" w:rsidP="00963796">
            <w:pPr>
              <w:widowControl/>
              <w:pBdr>
                <w:top w:val="nil"/>
                <w:left w:val="nil"/>
                <w:bottom w:val="nil"/>
                <w:right w:val="nil"/>
                <w:between w:val="nil"/>
              </w:pBdr>
              <w:rPr>
                <w:color w:val="000000"/>
              </w:rPr>
            </w:pPr>
          </w:p>
        </w:tc>
      </w:tr>
      <w:tr w:rsidR="002D73E7" w14:paraId="6095D3B8" w14:textId="77777777" w:rsidTr="00963796">
        <w:trPr>
          <w:cantSplit/>
        </w:trPr>
        <w:tc>
          <w:tcPr>
            <w:tcW w:w="2107" w:type="dxa"/>
          </w:tcPr>
          <w:p w14:paraId="7B5BBE78" w14:textId="3FB71A54" w:rsidR="002D73E7" w:rsidRDefault="002D73E7" w:rsidP="00963796">
            <w:pPr>
              <w:widowControl/>
              <w:pBdr>
                <w:top w:val="nil"/>
                <w:left w:val="nil"/>
                <w:bottom w:val="nil"/>
                <w:right w:val="nil"/>
                <w:between w:val="nil"/>
              </w:pBdr>
              <w:spacing w:before="40"/>
              <w:jc w:val="right"/>
              <w:rPr>
                <w:color w:val="000000"/>
              </w:rPr>
            </w:pPr>
          </w:p>
        </w:tc>
        <w:tc>
          <w:tcPr>
            <w:tcW w:w="2676" w:type="dxa"/>
            <w:gridSpan w:val="2"/>
            <w:tcBorders>
              <w:top w:val="nil"/>
              <w:left w:val="nil"/>
              <w:bottom w:val="dashed" w:sz="4" w:space="0" w:color="000000"/>
              <w:right w:val="nil"/>
            </w:tcBorders>
          </w:tcPr>
          <w:p w14:paraId="09A6F01E" w14:textId="329A1A68" w:rsidR="002D73E7" w:rsidRDefault="002D73E7" w:rsidP="00963796">
            <w:pPr>
              <w:widowControl/>
              <w:pBdr>
                <w:top w:val="nil"/>
                <w:left w:val="nil"/>
                <w:bottom w:val="nil"/>
                <w:right w:val="nil"/>
                <w:between w:val="nil"/>
              </w:pBdr>
              <w:rPr>
                <w:color w:val="000000"/>
              </w:rPr>
            </w:pPr>
          </w:p>
        </w:tc>
        <w:tc>
          <w:tcPr>
            <w:tcW w:w="4605" w:type="dxa"/>
            <w:gridSpan w:val="2"/>
          </w:tcPr>
          <w:p w14:paraId="64565F60" w14:textId="4DC95462" w:rsidR="002D73E7" w:rsidRDefault="002D73E7" w:rsidP="00963796">
            <w:pPr>
              <w:widowControl/>
              <w:pBdr>
                <w:top w:val="nil"/>
                <w:left w:val="nil"/>
                <w:bottom w:val="nil"/>
                <w:right w:val="nil"/>
                <w:between w:val="nil"/>
              </w:pBdr>
              <w:rPr>
                <w:color w:val="000000"/>
              </w:rPr>
            </w:pPr>
          </w:p>
        </w:tc>
      </w:tr>
    </w:tbl>
    <w:p w14:paraId="6EE81E9F" w14:textId="77777777" w:rsidR="002D73E7" w:rsidRDefault="002D73E7" w:rsidP="002D73E7">
      <w:pPr>
        <w:widowControl/>
        <w:pBdr>
          <w:top w:val="nil"/>
          <w:left w:val="nil"/>
          <w:bottom w:val="nil"/>
          <w:right w:val="nil"/>
          <w:between w:val="nil"/>
        </w:pBdr>
        <w:spacing w:after="240"/>
        <w:jc w:val="both"/>
        <w:rPr>
          <w:color w:val="000000"/>
        </w:rPr>
      </w:pPr>
    </w:p>
    <w:tbl>
      <w:tblPr>
        <w:tblW w:w="9378" w:type="dxa"/>
        <w:tblLayout w:type="fixed"/>
        <w:tblLook w:val="0000" w:firstRow="0" w:lastRow="0" w:firstColumn="0" w:lastColumn="0" w:noHBand="0" w:noVBand="0"/>
      </w:tblPr>
      <w:tblGrid>
        <w:gridCol w:w="2070"/>
        <w:gridCol w:w="2160"/>
        <w:gridCol w:w="270"/>
        <w:gridCol w:w="2340"/>
        <w:gridCol w:w="2538"/>
      </w:tblGrid>
      <w:tr w:rsidR="002D73E7" w14:paraId="12EEDA5C" w14:textId="77777777" w:rsidTr="00963796">
        <w:trPr>
          <w:cantSplit/>
        </w:trPr>
        <w:tc>
          <w:tcPr>
            <w:tcW w:w="4230" w:type="dxa"/>
            <w:gridSpan w:val="2"/>
          </w:tcPr>
          <w:p w14:paraId="59EB9F5D" w14:textId="6DD7933E" w:rsidR="002D73E7" w:rsidRDefault="002D73E7" w:rsidP="00963796">
            <w:pPr>
              <w:keepNext/>
              <w:widowControl/>
              <w:pBdr>
                <w:top w:val="nil"/>
                <w:left w:val="nil"/>
                <w:bottom w:val="nil"/>
                <w:right w:val="nil"/>
                <w:between w:val="nil"/>
              </w:pBdr>
              <w:rPr>
                <w:color w:val="000000"/>
              </w:rPr>
            </w:pPr>
            <w:bookmarkStart w:id="1418" w:name="_heading=h.3ep43zb" w:colFirst="0" w:colLast="0"/>
            <w:bookmarkEnd w:id="1418"/>
            <w:r>
              <w:rPr>
                <w:b/>
                <w:color w:val="000000"/>
              </w:rPr>
              <w:lastRenderedPageBreak/>
              <w:t xml:space="preserve">SUBSCRIBED </w:t>
            </w:r>
            <w:r>
              <w:rPr>
                <w:color w:val="000000"/>
              </w:rPr>
              <w:t xml:space="preserve">for and on behalf of </w:t>
            </w:r>
            <w:r>
              <w:rPr>
                <w:color w:val="000000"/>
                <w:highlight w:val="yellow"/>
              </w:rPr>
              <w:t>[</w:t>
            </w:r>
            <w:r>
              <w:rPr>
                <w:b/>
                <w:smallCaps/>
                <w:color w:val="000000"/>
                <w:highlight w:val="yellow"/>
              </w:rPr>
              <w:t>NAME OF COUNTERPARTY</w:t>
            </w:r>
            <w:r>
              <w:rPr>
                <w:color w:val="000000"/>
                <w:highlight w:val="yellow"/>
              </w:rPr>
              <w:t>]</w:t>
            </w:r>
            <w:r>
              <w:rPr>
                <w:color w:val="000000"/>
              </w:rPr>
              <w:t xml:space="preserve"> by </w:t>
            </w:r>
            <w:r>
              <w:rPr>
                <w:color w:val="000000"/>
                <w:highlight w:val="yellow"/>
              </w:rPr>
              <w:t>[a director][the secretary][an authorised</w:t>
            </w:r>
            <w:r>
              <w:rPr>
                <w:b/>
                <w:color w:val="000000"/>
                <w:highlight w:val="yellow"/>
              </w:rPr>
              <w:t xml:space="preserve"> </w:t>
            </w:r>
            <w:r>
              <w:rPr>
                <w:color w:val="000000"/>
                <w:highlight w:val="yellow"/>
              </w:rPr>
              <w:t>signatory]</w:t>
            </w:r>
            <w:r>
              <w:rPr>
                <w:color w:val="000000"/>
              </w:rPr>
              <w:t xml:space="preserve"> in the presence of a witness on the </w:t>
            </w:r>
            <w:r>
              <w:rPr>
                <w:color w:val="000000"/>
                <w:highlight w:val="yellow"/>
              </w:rPr>
              <w:t>[</w:t>
            </w:r>
            <w:r>
              <w:rPr>
                <w:b/>
                <w:color w:val="000000"/>
                <w:highlight w:val="yellow"/>
              </w:rPr>
              <w:t>DATE</w:t>
            </w:r>
            <w:r>
              <w:rPr>
                <w:color w:val="000000"/>
                <w:highlight w:val="yellow"/>
              </w:rPr>
              <w:t>]</w:t>
            </w:r>
            <w:r>
              <w:rPr>
                <w:color w:val="000000"/>
              </w:rPr>
              <w:t xml:space="preserve"> day of </w:t>
            </w:r>
            <w:r>
              <w:rPr>
                <w:color w:val="000000"/>
                <w:highlight w:val="yellow"/>
              </w:rPr>
              <w:t>[</w:t>
            </w:r>
            <w:r>
              <w:rPr>
                <w:b/>
                <w:color w:val="000000"/>
                <w:highlight w:val="yellow"/>
              </w:rPr>
              <w:t>MONTH</w:t>
            </w:r>
            <w:r>
              <w:rPr>
                <w:color w:val="000000"/>
                <w:highlight w:val="yellow"/>
              </w:rPr>
              <w:t>][</w:t>
            </w:r>
            <w:r>
              <w:rPr>
                <w:b/>
                <w:color w:val="000000"/>
                <w:highlight w:val="yellow"/>
              </w:rPr>
              <w:t>YEAR</w:t>
            </w:r>
            <w:r>
              <w:rPr>
                <w:color w:val="000000"/>
                <w:highlight w:val="yellow"/>
              </w:rPr>
              <w:t>]</w:t>
            </w:r>
            <w:r>
              <w:rPr>
                <w:color w:val="000000"/>
              </w:rPr>
              <w:t xml:space="preserve"> at </w:t>
            </w:r>
            <w:r>
              <w:rPr>
                <w:color w:val="000000"/>
                <w:highlight w:val="yellow"/>
              </w:rPr>
              <w:t>[</w:t>
            </w:r>
            <w:r>
              <w:rPr>
                <w:b/>
                <w:color w:val="000000"/>
                <w:highlight w:val="yellow"/>
              </w:rPr>
              <w:t>PLACE OF SUBSCRIPTION</w:t>
            </w:r>
            <w:r>
              <w:rPr>
                <w:color w:val="000000"/>
                <w:highlight w:val="yellow"/>
              </w:rPr>
              <w:t>]:</w:t>
            </w:r>
          </w:p>
        </w:tc>
        <w:tc>
          <w:tcPr>
            <w:tcW w:w="270" w:type="dxa"/>
          </w:tcPr>
          <w:p w14:paraId="3F4D9850" w14:textId="1E6948A3" w:rsidR="002D73E7" w:rsidRDefault="002D73E7" w:rsidP="00963796">
            <w:pPr>
              <w:keepNext/>
              <w:widowControl/>
              <w:pBdr>
                <w:top w:val="nil"/>
                <w:left w:val="nil"/>
                <w:bottom w:val="nil"/>
                <w:right w:val="nil"/>
                <w:between w:val="nil"/>
              </w:pBdr>
              <w:rPr>
                <w:color w:val="000000"/>
              </w:rPr>
            </w:pPr>
            <w:r>
              <w:rPr>
                <w:color w:val="000000"/>
              </w:rPr>
              <w:t>))))))</w:t>
            </w:r>
          </w:p>
        </w:tc>
        <w:tc>
          <w:tcPr>
            <w:tcW w:w="2340" w:type="dxa"/>
            <w:vAlign w:val="bottom"/>
          </w:tcPr>
          <w:p w14:paraId="1ED913A0" w14:textId="5B5C6804" w:rsidR="002D73E7" w:rsidRDefault="002D73E7" w:rsidP="00963796">
            <w:pPr>
              <w:keepNext/>
              <w:widowControl/>
              <w:pBdr>
                <w:top w:val="nil"/>
                <w:left w:val="nil"/>
                <w:bottom w:val="nil"/>
                <w:right w:val="nil"/>
                <w:between w:val="nil"/>
              </w:pBdr>
              <w:jc w:val="right"/>
              <w:rPr>
                <w:color w:val="000000"/>
              </w:rPr>
            </w:pPr>
            <w:r>
              <w:rPr>
                <w:color w:val="000000"/>
              </w:rPr>
              <w:t>Signature</w:t>
            </w:r>
          </w:p>
        </w:tc>
        <w:tc>
          <w:tcPr>
            <w:tcW w:w="2538" w:type="dxa"/>
            <w:tcBorders>
              <w:top w:val="nil"/>
              <w:left w:val="nil"/>
              <w:bottom w:val="dashed" w:sz="4" w:space="0" w:color="000000"/>
              <w:right w:val="nil"/>
            </w:tcBorders>
          </w:tcPr>
          <w:p w14:paraId="08D29D72" w14:textId="691F38EC" w:rsidR="002D73E7" w:rsidRDefault="002D73E7" w:rsidP="00963796">
            <w:pPr>
              <w:keepNext/>
              <w:widowControl/>
              <w:pBdr>
                <w:top w:val="nil"/>
                <w:left w:val="nil"/>
                <w:bottom w:val="nil"/>
                <w:right w:val="nil"/>
                <w:between w:val="nil"/>
              </w:pBdr>
              <w:rPr>
                <w:b/>
                <w:color w:val="000000"/>
              </w:rPr>
            </w:pPr>
          </w:p>
        </w:tc>
      </w:tr>
      <w:tr w:rsidR="002D73E7" w14:paraId="25401172" w14:textId="77777777" w:rsidTr="00963796">
        <w:trPr>
          <w:cantSplit/>
        </w:trPr>
        <w:tc>
          <w:tcPr>
            <w:tcW w:w="4230" w:type="dxa"/>
            <w:gridSpan w:val="2"/>
          </w:tcPr>
          <w:p w14:paraId="703BBAE2" w14:textId="641D7E79" w:rsidR="002D73E7" w:rsidRDefault="002D73E7" w:rsidP="00963796">
            <w:pPr>
              <w:keepNext/>
              <w:widowControl/>
              <w:pBdr>
                <w:top w:val="nil"/>
                <w:left w:val="nil"/>
                <w:bottom w:val="nil"/>
                <w:right w:val="nil"/>
                <w:between w:val="nil"/>
              </w:pBdr>
              <w:rPr>
                <w:color w:val="000000"/>
              </w:rPr>
            </w:pPr>
          </w:p>
        </w:tc>
        <w:tc>
          <w:tcPr>
            <w:tcW w:w="270" w:type="dxa"/>
          </w:tcPr>
          <w:p w14:paraId="3E7D6A89" w14:textId="40527A98" w:rsidR="002D73E7" w:rsidRDefault="002D73E7" w:rsidP="00963796">
            <w:pPr>
              <w:widowControl/>
              <w:pBdr>
                <w:top w:val="nil"/>
                <w:left w:val="nil"/>
                <w:bottom w:val="nil"/>
                <w:right w:val="nil"/>
                <w:between w:val="nil"/>
              </w:pBdr>
              <w:rPr>
                <w:color w:val="000000"/>
              </w:rPr>
            </w:pPr>
          </w:p>
        </w:tc>
        <w:tc>
          <w:tcPr>
            <w:tcW w:w="2340" w:type="dxa"/>
          </w:tcPr>
          <w:p w14:paraId="6C6CDC1D" w14:textId="1EA721C9" w:rsidR="002D73E7" w:rsidRDefault="002D73E7" w:rsidP="00963796">
            <w:pPr>
              <w:widowControl/>
              <w:pBdr>
                <w:top w:val="nil"/>
                <w:left w:val="nil"/>
                <w:bottom w:val="nil"/>
                <w:right w:val="nil"/>
                <w:between w:val="nil"/>
              </w:pBdr>
              <w:jc w:val="right"/>
              <w:rPr>
                <w:color w:val="000000"/>
              </w:rPr>
            </w:pPr>
          </w:p>
        </w:tc>
        <w:tc>
          <w:tcPr>
            <w:tcW w:w="2538" w:type="dxa"/>
            <w:tcBorders>
              <w:top w:val="dashed" w:sz="4" w:space="0" w:color="000000"/>
              <w:left w:val="nil"/>
              <w:right w:val="nil"/>
            </w:tcBorders>
          </w:tcPr>
          <w:p w14:paraId="27453647" w14:textId="0751B1C5" w:rsidR="002D73E7" w:rsidRDefault="002D73E7" w:rsidP="00963796">
            <w:pPr>
              <w:widowControl/>
              <w:pBdr>
                <w:top w:val="nil"/>
                <w:left w:val="nil"/>
                <w:bottom w:val="nil"/>
                <w:right w:val="nil"/>
                <w:between w:val="nil"/>
              </w:pBdr>
              <w:rPr>
                <w:b/>
                <w:color w:val="000000"/>
              </w:rPr>
            </w:pPr>
          </w:p>
        </w:tc>
      </w:tr>
      <w:tr w:rsidR="002D73E7" w14:paraId="61C8F6B4" w14:textId="77777777" w:rsidTr="00963796">
        <w:trPr>
          <w:cantSplit/>
        </w:trPr>
        <w:tc>
          <w:tcPr>
            <w:tcW w:w="4230" w:type="dxa"/>
            <w:gridSpan w:val="2"/>
          </w:tcPr>
          <w:p w14:paraId="25E9F91D" w14:textId="2D6267D5" w:rsidR="002D73E7" w:rsidRDefault="002D73E7" w:rsidP="00963796">
            <w:pPr>
              <w:keepNext/>
              <w:widowControl/>
              <w:pBdr>
                <w:top w:val="nil"/>
                <w:left w:val="nil"/>
                <w:bottom w:val="nil"/>
                <w:right w:val="nil"/>
                <w:between w:val="nil"/>
              </w:pBdr>
              <w:rPr>
                <w:color w:val="000000"/>
              </w:rPr>
            </w:pPr>
          </w:p>
        </w:tc>
        <w:tc>
          <w:tcPr>
            <w:tcW w:w="270" w:type="dxa"/>
          </w:tcPr>
          <w:p w14:paraId="1C0697F1" w14:textId="16D27877" w:rsidR="002D73E7" w:rsidRDefault="002D73E7" w:rsidP="00963796">
            <w:pPr>
              <w:widowControl/>
              <w:pBdr>
                <w:top w:val="nil"/>
                <w:left w:val="nil"/>
                <w:bottom w:val="nil"/>
                <w:right w:val="nil"/>
                <w:between w:val="nil"/>
              </w:pBdr>
              <w:rPr>
                <w:color w:val="000000"/>
              </w:rPr>
            </w:pPr>
          </w:p>
        </w:tc>
        <w:tc>
          <w:tcPr>
            <w:tcW w:w="2340" w:type="dxa"/>
          </w:tcPr>
          <w:p w14:paraId="43FFBA30" w14:textId="2A78634B" w:rsidR="002D73E7" w:rsidRDefault="002D73E7" w:rsidP="00963796">
            <w:pPr>
              <w:widowControl/>
              <w:pBdr>
                <w:top w:val="nil"/>
                <w:left w:val="nil"/>
                <w:bottom w:val="nil"/>
                <w:right w:val="nil"/>
                <w:between w:val="nil"/>
              </w:pBdr>
              <w:spacing w:before="40"/>
              <w:jc w:val="right"/>
              <w:rPr>
                <w:color w:val="000000"/>
              </w:rPr>
            </w:pPr>
            <w:r>
              <w:rPr>
                <w:color w:val="000000"/>
              </w:rPr>
              <w:t>Name (block capitals)</w:t>
            </w:r>
          </w:p>
        </w:tc>
        <w:tc>
          <w:tcPr>
            <w:tcW w:w="2538" w:type="dxa"/>
            <w:tcBorders>
              <w:left w:val="nil"/>
              <w:bottom w:val="dashed" w:sz="4" w:space="0" w:color="000000"/>
              <w:right w:val="nil"/>
            </w:tcBorders>
          </w:tcPr>
          <w:p w14:paraId="4496A1C6" w14:textId="327E2BC8" w:rsidR="002D73E7" w:rsidRDefault="002D73E7" w:rsidP="00963796">
            <w:pPr>
              <w:widowControl/>
              <w:pBdr>
                <w:top w:val="nil"/>
                <w:left w:val="nil"/>
                <w:bottom w:val="nil"/>
                <w:right w:val="nil"/>
                <w:between w:val="nil"/>
              </w:pBdr>
              <w:rPr>
                <w:b/>
                <w:color w:val="000000"/>
              </w:rPr>
            </w:pPr>
          </w:p>
        </w:tc>
      </w:tr>
      <w:tr w:rsidR="002D73E7" w14:paraId="61121D72" w14:textId="77777777" w:rsidTr="00963796">
        <w:trPr>
          <w:cantSplit/>
        </w:trPr>
        <w:tc>
          <w:tcPr>
            <w:tcW w:w="4230" w:type="dxa"/>
            <w:gridSpan w:val="2"/>
          </w:tcPr>
          <w:p w14:paraId="75AD460F" w14:textId="2031E169" w:rsidR="002D73E7" w:rsidRDefault="002D73E7" w:rsidP="00963796">
            <w:pPr>
              <w:keepNext/>
              <w:widowControl/>
              <w:pBdr>
                <w:top w:val="nil"/>
                <w:left w:val="nil"/>
                <w:bottom w:val="nil"/>
                <w:right w:val="nil"/>
                <w:between w:val="nil"/>
              </w:pBdr>
              <w:rPr>
                <w:color w:val="000000"/>
              </w:rPr>
            </w:pPr>
          </w:p>
        </w:tc>
        <w:tc>
          <w:tcPr>
            <w:tcW w:w="270" w:type="dxa"/>
          </w:tcPr>
          <w:p w14:paraId="13659228" w14:textId="396E5AC6" w:rsidR="002D73E7" w:rsidRDefault="002D73E7" w:rsidP="00963796">
            <w:pPr>
              <w:widowControl/>
              <w:pBdr>
                <w:top w:val="nil"/>
                <w:left w:val="nil"/>
                <w:bottom w:val="nil"/>
                <w:right w:val="nil"/>
                <w:between w:val="nil"/>
              </w:pBdr>
              <w:rPr>
                <w:color w:val="000000"/>
              </w:rPr>
            </w:pPr>
          </w:p>
        </w:tc>
        <w:tc>
          <w:tcPr>
            <w:tcW w:w="2340" w:type="dxa"/>
          </w:tcPr>
          <w:p w14:paraId="3AA4C0CE" w14:textId="02EF7FB3" w:rsidR="002D73E7" w:rsidRDefault="002D73E7" w:rsidP="00963796">
            <w:pPr>
              <w:widowControl/>
              <w:pBdr>
                <w:top w:val="nil"/>
                <w:left w:val="nil"/>
                <w:bottom w:val="nil"/>
                <w:right w:val="nil"/>
                <w:between w:val="nil"/>
              </w:pBdr>
              <w:rPr>
                <w:color w:val="000000"/>
              </w:rPr>
            </w:pPr>
          </w:p>
        </w:tc>
        <w:tc>
          <w:tcPr>
            <w:tcW w:w="2538" w:type="dxa"/>
            <w:tcBorders>
              <w:top w:val="dashed" w:sz="4" w:space="0" w:color="000000"/>
              <w:left w:val="nil"/>
              <w:right w:val="nil"/>
            </w:tcBorders>
          </w:tcPr>
          <w:p w14:paraId="5D85621F" w14:textId="5C0E0064" w:rsidR="002D73E7" w:rsidRDefault="002D73E7" w:rsidP="00963796">
            <w:pPr>
              <w:widowControl/>
              <w:pBdr>
                <w:top w:val="nil"/>
                <w:left w:val="nil"/>
                <w:bottom w:val="nil"/>
                <w:right w:val="nil"/>
                <w:between w:val="nil"/>
              </w:pBdr>
              <w:spacing w:before="40"/>
              <w:rPr>
                <w:color w:val="000000"/>
                <w:highlight w:val="yellow"/>
              </w:rPr>
            </w:pPr>
            <w:r>
              <w:rPr>
                <w:color w:val="000000"/>
                <w:highlight w:val="yellow"/>
              </w:rPr>
              <w:t>[</w:t>
            </w:r>
            <w:r>
              <w:rPr>
                <w:b/>
                <w:color w:val="000000"/>
                <w:highlight w:val="yellow"/>
              </w:rPr>
              <w:t>Director</w:t>
            </w:r>
            <w:r>
              <w:rPr>
                <w:color w:val="000000"/>
                <w:highlight w:val="yellow"/>
              </w:rPr>
              <w:t>][</w:t>
            </w:r>
            <w:r>
              <w:rPr>
                <w:b/>
                <w:color w:val="000000"/>
                <w:highlight w:val="yellow"/>
              </w:rPr>
              <w:t>Secretary</w:t>
            </w:r>
            <w:r>
              <w:rPr>
                <w:color w:val="000000"/>
                <w:highlight w:val="yellow"/>
              </w:rPr>
              <w:t>]</w:t>
            </w:r>
            <w:r>
              <w:rPr>
                <w:color w:val="000000"/>
                <w:highlight w:val="yellow"/>
              </w:rPr>
              <w:br/>
              <w:t>[</w:t>
            </w:r>
            <w:r>
              <w:rPr>
                <w:b/>
                <w:color w:val="000000"/>
                <w:highlight w:val="yellow"/>
              </w:rPr>
              <w:t>Authorised Signatory</w:t>
            </w:r>
            <w:r>
              <w:rPr>
                <w:color w:val="000000"/>
                <w:highlight w:val="yellow"/>
              </w:rPr>
              <w:t>]</w:t>
            </w:r>
          </w:p>
        </w:tc>
      </w:tr>
      <w:tr w:rsidR="002D73E7" w14:paraId="48E50E53" w14:textId="77777777" w:rsidTr="00963796">
        <w:trPr>
          <w:cantSplit/>
        </w:trPr>
        <w:tc>
          <w:tcPr>
            <w:tcW w:w="2070" w:type="dxa"/>
          </w:tcPr>
          <w:p w14:paraId="0F00849F" w14:textId="5DA918F1" w:rsidR="002D73E7" w:rsidRDefault="002D73E7" w:rsidP="00963796">
            <w:pPr>
              <w:keepNext/>
              <w:widowControl/>
              <w:pBdr>
                <w:top w:val="nil"/>
                <w:left w:val="nil"/>
                <w:bottom w:val="nil"/>
                <w:right w:val="nil"/>
                <w:between w:val="nil"/>
              </w:pBdr>
              <w:spacing w:before="40"/>
              <w:rPr>
                <w:color w:val="000000"/>
              </w:rPr>
            </w:pPr>
            <w:r>
              <w:rPr>
                <w:color w:val="000000"/>
              </w:rPr>
              <w:t>Witness signature</w:t>
            </w:r>
          </w:p>
        </w:tc>
        <w:tc>
          <w:tcPr>
            <w:tcW w:w="2430" w:type="dxa"/>
            <w:gridSpan w:val="2"/>
            <w:tcBorders>
              <w:top w:val="nil"/>
              <w:left w:val="nil"/>
              <w:bottom w:val="dashed" w:sz="4" w:space="0" w:color="000000"/>
              <w:right w:val="nil"/>
            </w:tcBorders>
          </w:tcPr>
          <w:p w14:paraId="21EC71F3" w14:textId="5D898394" w:rsidR="002D73E7" w:rsidRDefault="002D73E7" w:rsidP="00963796">
            <w:pPr>
              <w:widowControl/>
              <w:pBdr>
                <w:top w:val="nil"/>
                <w:left w:val="nil"/>
                <w:bottom w:val="nil"/>
                <w:right w:val="nil"/>
                <w:between w:val="nil"/>
              </w:pBdr>
              <w:rPr>
                <w:color w:val="000000"/>
              </w:rPr>
            </w:pPr>
          </w:p>
        </w:tc>
        <w:tc>
          <w:tcPr>
            <w:tcW w:w="4878" w:type="dxa"/>
            <w:gridSpan w:val="2"/>
          </w:tcPr>
          <w:p w14:paraId="06DC34DF" w14:textId="36AB1DF5" w:rsidR="002D73E7" w:rsidRDefault="002D73E7" w:rsidP="00963796">
            <w:pPr>
              <w:widowControl/>
              <w:pBdr>
                <w:top w:val="nil"/>
                <w:left w:val="nil"/>
                <w:bottom w:val="nil"/>
                <w:right w:val="nil"/>
                <w:between w:val="nil"/>
              </w:pBdr>
              <w:rPr>
                <w:color w:val="000000"/>
              </w:rPr>
            </w:pPr>
          </w:p>
        </w:tc>
      </w:tr>
      <w:tr w:rsidR="002D73E7" w14:paraId="24B08E0E" w14:textId="77777777" w:rsidTr="00963796">
        <w:trPr>
          <w:cantSplit/>
        </w:trPr>
        <w:tc>
          <w:tcPr>
            <w:tcW w:w="2070" w:type="dxa"/>
          </w:tcPr>
          <w:p w14:paraId="166372A7" w14:textId="009BC184" w:rsidR="002D73E7" w:rsidRDefault="002D73E7" w:rsidP="00963796">
            <w:pPr>
              <w:keepNext/>
              <w:widowControl/>
              <w:pBdr>
                <w:top w:val="nil"/>
                <w:left w:val="nil"/>
                <w:bottom w:val="nil"/>
                <w:right w:val="nil"/>
                <w:between w:val="nil"/>
              </w:pBdr>
              <w:spacing w:before="40"/>
              <w:jc w:val="right"/>
              <w:rPr>
                <w:color w:val="000000"/>
              </w:rPr>
            </w:pPr>
          </w:p>
        </w:tc>
        <w:tc>
          <w:tcPr>
            <w:tcW w:w="2430" w:type="dxa"/>
            <w:gridSpan w:val="2"/>
          </w:tcPr>
          <w:p w14:paraId="003224BF" w14:textId="425B2E52" w:rsidR="002D73E7" w:rsidRDefault="002D73E7" w:rsidP="00963796">
            <w:pPr>
              <w:widowControl/>
              <w:pBdr>
                <w:top w:val="nil"/>
                <w:left w:val="nil"/>
                <w:bottom w:val="nil"/>
                <w:right w:val="nil"/>
                <w:between w:val="nil"/>
              </w:pBdr>
              <w:rPr>
                <w:color w:val="000000"/>
              </w:rPr>
            </w:pPr>
          </w:p>
        </w:tc>
        <w:tc>
          <w:tcPr>
            <w:tcW w:w="4878" w:type="dxa"/>
            <w:gridSpan w:val="2"/>
          </w:tcPr>
          <w:p w14:paraId="1EB87015" w14:textId="2FF261B9" w:rsidR="002D73E7" w:rsidRDefault="002D73E7" w:rsidP="00963796">
            <w:pPr>
              <w:widowControl/>
              <w:pBdr>
                <w:top w:val="nil"/>
                <w:left w:val="nil"/>
                <w:bottom w:val="nil"/>
                <w:right w:val="nil"/>
                <w:between w:val="nil"/>
              </w:pBdr>
              <w:rPr>
                <w:color w:val="000000"/>
              </w:rPr>
            </w:pPr>
          </w:p>
        </w:tc>
      </w:tr>
      <w:tr w:rsidR="002D73E7" w14:paraId="0331C808" w14:textId="77777777" w:rsidTr="00963796">
        <w:trPr>
          <w:cantSplit/>
        </w:trPr>
        <w:tc>
          <w:tcPr>
            <w:tcW w:w="2070" w:type="dxa"/>
          </w:tcPr>
          <w:p w14:paraId="24466855" w14:textId="1D017721" w:rsidR="002D73E7" w:rsidRDefault="002D73E7" w:rsidP="00963796">
            <w:pPr>
              <w:keepNext/>
              <w:widowControl/>
              <w:pBdr>
                <w:top w:val="nil"/>
                <w:left w:val="nil"/>
                <w:bottom w:val="nil"/>
                <w:right w:val="nil"/>
                <w:between w:val="nil"/>
              </w:pBdr>
              <w:spacing w:before="40"/>
              <w:rPr>
                <w:color w:val="000000"/>
              </w:rPr>
            </w:pPr>
            <w:r>
              <w:rPr>
                <w:color w:val="000000"/>
              </w:rPr>
              <w:t xml:space="preserve">Witness name </w:t>
            </w:r>
          </w:p>
        </w:tc>
        <w:tc>
          <w:tcPr>
            <w:tcW w:w="2430" w:type="dxa"/>
            <w:gridSpan w:val="2"/>
            <w:tcBorders>
              <w:top w:val="nil"/>
              <w:left w:val="nil"/>
              <w:bottom w:val="dashed" w:sz="4" w:space="0" w:color="000000"/>
              <w:right w:val="nil"/>
            </w:tcBorders>
          </w:tcPr>
          <w:p w14:paraId="3C1D5607" w14:textId="15D2669A" w:rsidR="002D73E7" w:rsidRDefault="002D73E7" w:rsidP="00963796">
            <w:pPr>
              <w:widowControl/>
              <w:pBdr>
                <w:top w:val="nil"/>
                <w:left w:val="nil"/>
                <w:bottom w:val="nil"/>
                <w:right w:val="nil"/>
                <w:between w:val="nil"/>
              </w:pBdr>
              <w:rPr>
                <w:color w:val="000000"/>
              </w:rPr>
            </w:pPr>
          </w:p>
        </w:tc>
        <w:tc>
          <w:tcPr>
            <w:tcW w:w="4878" w:type="dxa"/>
            <w:gridSpan w:val="2"/>
          </w:tcPr>
          <w:p w14:paraId="4C7A1984" w14:textId="5C72039D" w:rsidR="002D73E7" w:rsidRDefault="002D73E7" w:rsidP="00963796">
            <w:pPr>
              <w:widowControl/>
              <w:pBdr>
                <w:top w:val="nil"/>
                <w:left w:val="nil"/>
                <w:bottom w:val="nil"/>
                <w:right w:val="nil"/>
                <w:between w:val="nil"/>
              </w:pBdr>
              <w:rPr>
                <w:color w:val="000000"/>
              </w:rPr>
            </w:pPr>
          </w:p>
        </w:tc>
      </w:tr>
      <w:tr w:rsidR="002D73E7" w14:paraId="7B4A2EAA" w14:textId="77777777" w:rsidTr="00963796">
        <w:trPr>
          <w:cantSplit/>
        </w:trPr>
        <w:tc>
          <w:tcPr>
            <w:tcW w:w="2070" w:type="dxa"/>
          </w:tcPr>
          <w:p w14:paraId="27D37DAD" w14:textId="7B3D3532" w:rsidR="002D73E7" w:rsidRDefault="002D73E7" w:rsidP="00963796">
            <w:pPr>
              <w:keepNext/>
              <w:widowControl/>
              <w:pBdr>
                <w:top w:val="nil"/>
                <w:left w:val="nil"/>
                <w:bottom w:val="nil"/>
                <w:right w:val="nil"/>
                <w:between w:val="nil"/>
              </w:pBdr>
              <w:rPr>
                <w:color w:val="000000"/>
              </w:rPr>
            </w:pPr>
            <w:r>
              <w:rPr>
                <w:color w:val="000000"/>
              </w:rPr>
              <w:t>(block capitals)</w:t>
            </w:r>
          </w:p>
        </w:tc>
        <w:tc>
          <w:tcPr>
            <w:tcW w:w="2430" w:type="dxa"/>
            <w:gridSpan w:val="2"/>
            <w:tcBorders>
              <w:top w:val="dashed" w:sz="4" w:space="0" w:color="000000"/>
              <w:left w:val="nil"/>
              <w:bottom w:val="nil"/>
              <w:right w:val="nil"/>
            </w:tcBorders>
          </w:tcPr>
          <w:p w14:paraId="7789141D" w14:textId="468CCD18" w:rsidR="002D73E7" w:rsidRDefault="002D73E7" w:rsidP="00963796">
            <w:pPr>
              <w:widowControl/>
              <w:pBdr>
                <w:top w:val="nil"/>
                <w:left w:val="nil"/>
                <w:bottom w:val="nil"/>
                <w:right w:val="nil"/>
                <w:between w:val="nil"/>
              </w:pBdr>
              <w:rPr>
                <w:color w:val="000000"/>
              </w:rPr>
            </w:pPr>
          </w:p>
        </w:tc>
        <w:tc>
          <w:tcPr>
            <w:tcW w:w="4878" w:type="dxa"/>
            <w:gridSpan w:val="2"/>
          </w:tcPr>
          <w:p w14:paraId="60D58B34" w14:textId="1E45EA60" w:rsidR="002D73E7" w:rsidRDefault="002D73E7" w:rsidP="00963796">
            <w:pPr>
              <w:widowControl/>
              <w:pBdr>
                <w:top w:val="nil"/>
                <w:left w:val="nil"/>
                <w:bottom w:val="nil"/>
                <w:right w:val="nil"/>
                <w:between w:val="nil"/>
              </w:pBdr>
              <w:rPr>
                <w:color w:val="000000"/>
              </w:rPr>
            </w:pPr>
          </w:p>
        </w:tc>
      </w:tr>
      <w:tr w:rsidR="002D73E7" w14:paraId="40D68B3D" w14:textId="77777777" w:rsidTr="00963796">
        <w:trPr>
          <w:cantSplit/>
        </w:trPr>
        <w:tc>
          <w:tcPr>
            <w:tcW w:w="2070" w:type="dxa"/>
          </w:tcPr>
          <w:p w14:paraId="67ED3BB9" w14:textId="2BE6A8C9" w:rsidR="002D73E7" w:rsidRDefault="002D73E7" w:rsidP="00963796">
            <w:pPr>
              <w:keepNext/>
              <w:widowControl/>
              <w:pBdr>
                <w:top w:val="nil"/>
                <w:left w:val="nil"/>
                <w:bottom w:val="nil"/>
                <w:right w:val="nil"/>
                <w:between w:val="nil"/>
              </w:pBdr>
              <w:spacing w:before="40"/>
              <w:jc w:val="right"/>
              <w:rPr>
                <w:color w:val="000000"/>
              </w:rPr>
            </w:pPr>
          </w:p>
        </w:tc>
        <w:tc>
          <w:tcPr>
            <w:tcW w:w="2430" w:type="dxa"/>
            <w:gridSpan w:val="2"/>
          </w:tcPr>
          <w:p w14:paraId="13190DBD" w14:textId="6EF73243" w:rsidR="002D73E7" w:rsidRDefault="002D73E7" w:rsidP="00963796">
            <w:pPr>
              <w:widowControl/>
              <w:pBdr>
                <w:top w:val="nil"/>
                <w:left w:val="nil"/>
                <w:bottom w:val="nil"/>
                <w:right w:val="nil"/>
                <w:between w:val="nil"/>
              </w:pBdr>
              <w:rPr>
                <w:color w:val="000000"/>
              </w:rPr>
            </w:pPr>
          </w:p>
        </w:tc>
        <w:tc>
          <w:tcPr>
            <w:tcW w:w="4878" w:type="dxa"/>
            <w:gridSpan w:val="2"/>
          </w:tcPr>
          <w:p w14:paraId="4330C3DB" w14:textId="5255428B" w:rsidR="002D73E7" w:rsidRDefault="002D73E7" w:rsidP="00963796">
            <w:pPr>
              <w:widowControl/>
              <w:pBdr>
                <w:top w:val="nil"/>
                <w:left w:val="nil"/>
                <w:bottom w:val="nil"/>
                <w:right w:val="nil"/>
                <w:between w:val="nil"/>
              </w:pBdr>
              <w:rPr>
                <w:color w:val="000000"/>
              </w:rPr>
            </w:pPr>
          </w:p>
        </w:tc>
      </w:tr>
      <w:tr w:rsidR="002D73E7" w14:paraId="7BCF1EF9" w14:textId="77777777" w:rsidTr="00963796">
        <w:trPr>
          <w:cantSplit/>
        </w:trPr>
        <w:tc>
          <w:tcPr>
            <w:tcW w:w="2070" w:type="dxa"/>
          </w:tcPr>
          <w:p w14:paraId="01A88578" w14:textId="37FB14D2" w:rsidR="002D73E7" w:rsidRDefault="002D73E7" w:rsidP="00963796">
            <w:pPr>
              <w:keepNext/>
              <w:widowControl/>
              <w:pBdr>
                <w:top w:val="nil"/>
                <w:left w:val="nil"/>
                <w:bottom w:val="nil"/>
                <w:right w:val="nil"/>
                <w:between w:val="nil"/>
              </w:pBdr>
              <w:spacing w:before="40"/>
              <w:rPr>
                <w:color w:val="000000"/>
              </w:rPr>
            </w:pPr>
            <w:r>
              <w:rPr>
                <w:color w:val="000000"/>
              </w:rPr>
              <w:t>Witness address</w:t>
            </w:r>
          </w:p>
        </w:tc>
        <w:tc>
          <w:tcPr>
            <w:tcW w:w="2430" w:type="dxa"/>
            <w:gridSpan w:val="2"/>
            <w:tcBorders>
              <w:top w:val="nil"/>
              <w:left w:val="nil"/>
              <w:bottom w:val="dashed" w:sz="4" w:space="0" w:color="000000"/>
              <w:right w:val="nil"/>
            </w:tcBorders>
          </w:tcPr>
          <w:p w14:paraId="39150C0F" w14:textId="39B346CA" w:rsidR="002D73E7" w:rsidRDefault="002D73E7" w:rsidP="00963796">
            <w:pPr>
              <w:widowControl/>
              <w:pBdr>
                <w:top w:val="nil"/>
                <w:left w:val="nil"/>
                <w:bottom w:val="nil"/>
                <w:right w:val="nil"/>
                <w:between w:val="nil"/>
              </w:pBdr>
              <w:rPr>
                <w:color w:val="000000"/>
              </w:rPr>
            </w:pPr>
          </w:p>
        </w:tc>
        <w:tc>
          <w:tcPr>
            <w:tcW w:w="4878" w:type="dxa"/>
            <w:gridSpan w:val="2"/>
          </w:tcPr>
          <w:p w14:paraId="777C6F84" w14:textId="70102F7F" w:rsidR="002D73E7" w:rsidRDefault="002D73E7" w:rsidP="00963796">
            <w:pPr>
              <w:widowControl/>
              <w:pBdr>
                <w:top w:val="nil"/>
                <w:left w:val="nil"/>
                <w:bottom w:val="nil"/>
                <w:right w:val="nil"/>
                <w:between w:val="nil"/>
              </w:pBdr>
              <w:rPr>
                <w:color w:val="000000"/>
              </w:rPr>
            </w:pPr>
          </w:p>
        </w:tc>
      </w:tr>
      <w:tr w:rsidR="002D73E7" w14:paraId="0840849F" w14:textId="77777777" w:rsidTr="00963796">
        <w:trPr>
          <w:cantSplit/>
        </w:trPr>
        <w:tc>
          <w:tcPr>
            <w:tcW w:w="2070" w:type="dxa"/>
          </w:tcPr>
          <w:p w14:paraId="53E438C2" w14:textId="376A8053" w:rsidR="002D73E7" w:rsidRDefault="002D73E7" w:rsidP="00963796">
            <w:pPr>
              <w:keepNext/>
              <w:widowControl/>
              <w:pBdr>
                <w:top w:val="nil"/>
                <w:left w:val="nil"/>
                <w:bottom w:val="nil"/>
                <w:right w:val="nil"/>
                <w:between w:val="nil"/>
              </w:pBdr>
              <w:spacing w:before="40"/>
              <w:jc w:val="right"/>
              <w:rPr>
                <w:color w:val="000000"/>
              </w:rPr>
            </w:pPr>
          </w:p>
        </w:tc>
        <w:tc>
          <w:tcPr>
            <w:tcW w:w="2430" w:type="dxa"/>
            <w:gridSpan w:val="2"/>
          </w:tcPr>
          <w:p w14:paraId="75623F84" w14:textId="4040A9EC" w:rsidR="002D73E7" w:rsidRDefault="002D73E7" w:rsidP="00963796">
            <w:pPr>
              <w:widowControl/>
              <w:pBdr>
                <w:top w:val="nil"/>
                <w:left w:val="nil"/>
                <w:bottom w:val="nil"/>
                <w:right w:val="nil"/>
                <w:between w:val="nil"/>
              </w:pBdr>
              <w:rPr>
                <w:color w:val="000000"/>
              </w:rPr>
            </w:pPr>
          </w:p>
        </w:tc>
        <w:tc>
          <w:tcPr>
            <w:tcW w:w="4878" w:type="dxa"/>
            <w:gridSpan w:val="2"/>
          </w:tcPr>
          <w:p w14:paraId="552BB160" w14:textId="7781536D" w:rsidR="002D73E7" w:rsidRDefault="002D73E7" w:rsidP="00963796">
            <w:pPr>
              <w:widowControl/>
              <w:pBdr>
                <w:top w:val="nil"/>
                <w:left w:val="nil"/>
                <w:bottom w:val="nil"/>
                <w:right w:val="nil"/>
                <w:between w:val="nil"/>
              </w:pBdr>
              <w:rPr>
                <w:color w:val="000000"/>
              </w:rPr>
            </w:pPr>
          </w:p>
        </w:tc>
      </w:tr>
      <w:tr w:rsidR="002D73E7" w14:paraId="4C142902" w14:textId="77777777" w:rsidTr="00963796">
        <w:trPr>
          <w:cantSplit/>
        </w:trPr>
        <w:tc>
          <w:tcPr>
            <w:tcW w:w="2070" w:type="dxa"/>
          </w:tcPr>
          <w:p w14:paraId="2E2C8BF3" w14:textId="386D0A65" w:rsidR="002D73E7" w:rsidRDefault="002D73E7" w:rsidP="00963796">
            <w:pPr>
              <w:keepNext/>
              <w:widowControl/>
              <w:pBdr>
                <w:top w:val="nil"/>
                <w:left w:val="nil"/>
                <w:bottom w:val="nil"/>
                <w:right w:val="nil"/>
                <w:between w:val="nil"/>
              </w:pBdr>
              <w:spacing w:before="40"/>
              <w:jc w:val="right"/>
              <w:rPr>
                <w:color w:val="000000"/>
              </w:rPr>
            </w:pPr>
          </w:p>
        </w:tc>
        <w:tc>
          <w:tcPr>
            <w:tcW w:w="2430" w:type="dxa"/>
            <w:gridSpan w:val="2"/>
            <w:tcBorders>
              <w:top w:val="nil"/>
              <w:left w:val="nil"/>
              <w:bottom w:val="dashed" w:sz="4" w:space="0" w:color="000000"/>
              <w:right w:val="nil"/>
            </w:tcBorders>
          </w:tcPr>
          <w:p w14:paraId="7E01A7FD" w14:textId="2273D5B6" w:rsidR="002D73E7" w:rsidRDefault="002D73E7" w:rsidP="00963796">
            <w:pPr>
              <w:widowControl/>
              <w:pBdr>
                <w:top w:val="nil"/>
                <w:left w:val="nil"/>
                <w:bottom w:val="nil"/>
                <w:right w:val="nil"/>
                <w:between w:val="nil"/>
              </w:pBdr>
              <w:rPr>
                <w:color w:val="000000"/>
              </w:rPr>
            </w:pPr>
          </w:p>
        </w:tc>
        <w:tc>
          <w:tcPr>
            <w:tcW w:w="4878" w:type="dxa"/>
            <w:gridSpan w:val="2"/>
          </w:tcPr>
          <w:p w14:paraId="20969663" w14:textId="434B3CEC" w:rsidR="002D73E7" w:rsidRDefault="002D73E7" w:rsidP="00963796">
            <w:pPr>
              <w:widowControl/>
              <w:pBdr>
                <w:top w:val="nil"/>
                <w:left w:val="nil"/>
                <w:bottom w:val="nil"/>
                <w:right w:val="nil"/>
                <w:between w:val="nil"/>
              </w:pBdr>
              <w:rPr>
                <w:color w:val="000000"/>
              </w:rPr>
            </w:pPr>
          </w:p>
        </w:tc>
      </w:tr>
      <w:tr w:rsidR="002D73E7" w14:paraId="23C5BE44" w14:textId="77777777" w:rsidTr="00963796">
        <w:trPr>
          <w:cantSplit/>
        </w:trPr>
        <w:tc>
          <w:tcPr>
            <w:tcW w:w="2070" w:type="dxa"/>
          </w:tcPr>
          <w:p w14:paraId="3C7611C9" w14:textId="7B50F24E" w:rsidR="002D73E7" w:rsidRDefault="002D73E7" w:rsidP="00963796">
            <w:pPr>
              <w:keepNext/>
              <w:widowControl/>
              <w:pBdr>
                <w:top w:val="nil"/>
                <w:left w:val="nil"/>
                <w:bottom w:val="nil"/>
                <w:right w:val="nil"/>
                <w:between w:val="nil"/>
              </w:pBdr>
              <w:spacing w:before="40"/>
              <w:jc w:val="right"/>
              <w:rPr>
                <w:color w:val="000000"/>
              </w:rPr>
            </w:pPr>
          </w:p>
        </w:tc>
        <w:tc>
          <w:tcPr>
            <w:tcW w:w="2430" w:type="dxa"/>
            <w:gridSpan w:val="2"/>
            <w:tcBorders>
              <w:top w:val="dashed" w:sz="4" w:space="0" w:color="000000"/>
              <w:left w:val="nil"/>
              <w:bottom w:val="nil"/>
              <w:right w:val="nil"/>
            </w:tcBorders>
          </w:tcPr>
          <w:p w14:paraId="1895209E" w14:textId="6DCB5F8F" w:rsidR="002D73E7" w:rsidRDefault="002D73E7" w:rsidP="00963796">
            <w:pPr>
              <w:widowControl/>
              <w:pBdr>
                <w:top w:val="nil"/>
                <w:left w:val="nil"/>
                <w:bottom w:val="nil"/>
                <w:right w:val="nil"/>
                <w:between w:val="nil"/>
              </w:pBdr>
              <w:rPr>
                <w:color w:val="000000"/>
              </w:rPr>
            </w:pPr>
          </w:p>
        </w:tc>
        <w:tc>
          <w:tcPr>
            <w:tcW w:w="4878" w:type="dxa"/>
            <w:gridSpan w:val="2"/>
          </w:tcPr>
          <w:p w14:paraId="2C1103A6" w14:textId="6CFB2F42" w:rsidR="002D73E7" w:rsidRDefault="002D73E7" w:rsidP="00963796">
            <w:pPr>
              <w:widowControl/>
              <w:pBdr>
                <w:top w:val="nil"/>
                <w:left w:val="nil"/>
                <w:bottom w:val="nil"/>
                <w:right w:val="nil"/>
                <w:between w:val="nil"/>
              </w:pBdr>
              <w:rPr>
                <w:color w:val="000000"/>
              </w:rPr>
            </w:pPr>
          </w:p>
        </w:tc>
      </w:tr>
      <w:tr w:rsidR="002D73E7" w14:paraId="14C8CFCB" w14:textId="77777777" w:rsidTr="00963796">
        <w:trPr>
          <w:cantSplit/>
        </w:trPr>
        <w:tc>
          <w:tcPr>
            <w:tcW w:w="2070" w:type="dxa"/>
          </w:tcPr>
          <w:p w14:paraId="7420EAB3" w14:textId="7EA26F51" w:rsidR="002D73E7" w:rsidRDefault="002D73E7" w:rsidP="00963796">
            <w:pPr>
              <w:widowControl/>
              <w:pBdr>
                <w:top w:val="nil"/>
                <w:left w:val="nil"/>
                <w:bottom w:val="nil"/>
                <w:right w:val="nil"/>
                <w:between w:val="nil"/>
              </w:pBdr>
              <w:spacing w:before="40"/>
              <w:jc w:val="right"/>
              <w:rPr>
                <w:color w:val="000000"/>
              </w:rPr>
            </w:pPr>
          </w:p>
        </w:tc>
        <w:tc>
          <w:tcPr>
            <w:tcW w:w="2430" w:type="dxa"/>
            <w:gridSpan w:val="2"/>
            <w:tcBorders>
              <w:top w:val="nil"/>
              <w:left w:val="nil"/>
              <w:bottom w:val="dashed" w:sz="4" w:space="0" w:color="000000"/>
              <w:right w:val="nil"/>
            </w:tcBorders>
          </w:tcPr>
          <w:p w14:paraId="2DD8D77B" w14:textId="6106C1A9" w:rsidR="002D73E7" w:rsidRDefault="002D73E7" w:rsidP="00963796">
            <w:pPr>
              <w:widowControl/>
              <w:pBdr>
                <w:top w:val="nil"/>
                <w:left w:val="nil"/>
                <w:bottom w:val="nil"/>
                <w:right w:val="nil"/>
                <w:between w:val="nil"/>
              </w:pBdr>
              <w:rPr>
                <w:color w:val="000000"/>
              </w:rPr>
            </w:pPr>
          </w:p>
        </w:tc>
        <w:tc>
          <w:tcPr>
            <w:tcW w:w="4878" w:type="dxa"/>
            <w:gridSpan w:val="2"/>
          </w:tcPr>
          <w:p w14:paraId="72CF464C" w14:textId="37E8F241" w:rsidR="002D73E7" w:rsidRDefault="002D73E7" w:rsidP="00963796">
            <w:pPr>
              <w:widowControl/>
              <w:pBdr>
                <w:top w:val="nil"/>
                <w:left w:val="nil"/>
                <w:bottom w:val="nil"/>
                <w:right w:val="nil"/>
                <w:between w:val="nil"/>
              </w:pBdr>
              <w:rPr>
                <w:color w:val="000000"/>
              </w:rPr>
            </w:pPr>
          </w:p>
        </w:tc>
      </w:tr>
    </w:tbl>
    <w:p w14:paraId="7660D576" w14:textId="77777777" w:rsidR="009D6B58" w:rsidRPr="00BD6C5F" w:rsidRDefault="009D6B58" w:rsidP="00C2068A"/>
    <w:p w14:paraId="4AE19CA6" w14:textId="461A36B4" w:rsidR="009A02DF" w:rsidRPr="00BD6C5F" w:rsidRDefault="001E6D0D" w:rsidP="00E238E6">
      <w:pPr>
        <w:rPr>
          <w:rFonts w:asciiTheme="minorHAnsi" w:hAnsiTheme="minorHAnsi" w:cstheme="minorHAnsi"/>
        </w:rPr>
      </w:pPr>
      <w:bookmarkStart w:id="1419" w:name="_bookmark461"/>
      <w:bookmarkStart w:id="1420" w:name="_bookmark462"/>
      <w:bookmarkStart w:id="1421" w:name="_bookmark463"/>
      <w:bookmarkStart w:id="1422" w:name="_bookmark464"/>
      <w:bookmarkStart w:id="1423" w:name="_bookmark465"/>
      <w:bookmarkStart w:id="1424" w:name="_bookmark466"/>
      <w:bookmarkStart w:id="1425" w:name="_bookmark467"/>
      <w:bookmarkStart w:id="1426" w:name="_bookmark468"/>
      <w:bookmarkStart w:id="1427" w:name="_bookmark469"/>
      <w:bookmarkStart w:id="1428" w:name="_bookmark470"/>
      <w:bookmarkStart w:id="1429" w:name="_bookmark471"/>
      <w:bookmarkStart w:id="1430" w:name="_bookmark472"/>
      <w:bookmarkStart w:id="1431" w:name="_bookmark473"/>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BD6C5F">
        <w:rPr>
          <w:highlight w:val="yellow"/>
        </w:rPr>
        <w:t>[</w:t>
      </w:r>
      <w:r w:rsidRPr="004C60F6">
        <w:rPr>
          <w:b/>
          <w:bCs/>
          <w:i/>
          <w:iCs/>
          <w:highlight w:val="yellow"/>
        </w:rPr>
        <w:t>Guidance: In order for the Agreement to be capable of being used as evidence of its contents before the courts two signatories, or one signatory and a witness, are required for each party. Where the counterparty is a company, it should be signed by two directors or a director and company secretary</w:t>
      </w:r>
      <w:r w:rsidRPr="00BD6C5F">
        <w:rPr>
          <w:highlight w:val="yellow"/>
        </w:rPr>
        <w:t>.]</w:t>
      </w:r>
    </w:p>
    <w:p w14:paraId="6B0F5784" w14:textId="1C0BD1EC" w:rsidR="00E238E6" w:rsidRPr="00BD6C5F" w:rsidRDefault="00E238E6" w:rsidP="00E238E6">
      <w:pPr>
        <w:rPr>
          <w:rFonts w:asciiTheme="minorHAnsi" w:hAnsiTheme="minorHAnsi" w:cstheme="minorHAnsi"/>
        </w:rPr>
        <w:sectPr w:rsidR="00E238E6" w:rsidRPr="00BD6C5F" w:rsidSect="00EA65BF">
          <w:headerReference w:type="default" r:id="rId107"/>
          <w:footerReference w:type="default" r:id="rId108"/>
          <w:pgSz w:w="11910" w:h="16840"/>
          <w:pgMar w:top="1701" w:right="851" w:bottom="1134" w:left="851" w:header="567" w:footer="567" w:gutter="0"/>
          <w:cols w:space="720"/>
        </w:sectPr>
      </w:pPr>
    </w:p>
    <w:p w14:paraId="1C82EA5A" w14:textId="5DEA16DA" w:rsidR="00713E2F" w:rsidRDefault="00713E2F" w:rsidP="00713E2F">
      <w:pPr>
        <w:pStyle w:val="Dividername"/>
      </w:pPr>
      <w:bookmarkStart w:id="1432" w:name="_bookmark474"/>
      <w:bookmarkStart w:id="1433" w:name="_bookmark475"/>
      <w:bookmarkStart w:id="1434" w:name="_Ref98252842"/>
      <w:bookmarkStart w:id="1435" w:name="_Ref98253055"/>
      <w:bookmarkEnd w:id="1432"/>
      <w:bookmarkEnd w:id="1433"/>
      <w:r>
        <w:lastRenderedPageBreak/>
        <w:t xml:space="preserve">Schedule </w:t>
      </w:r>
      <w:bookmarkStart w:id="1436" w:name="Schedule_26"/>
      <w:r>
        <w:t>26</w:t>
      </w:r>
      <w:bookmarkEnd w:id="1436"/>
    </w:p>
    <w:p w14:paraId="65653DC8" w14:textId="1A06B2A5" w:rsidR="00713E2F" w:rsidRDefault="00713E2F" w:rsidP="00713E2F">
      <w:pPr>
        <w:pStyle w:val="Dividername"/>
      </w:pPr>
      <w:r w:rsidRPr="00713E2F">
        <w:t>Service Continuity Plan and Corporate Resolution Planning</w:t>
      </w:r>
    </w:p>
    <w:p w14:paraId="78001F9C" w14:textId="77777777" w:rsidR="00713E2F" w:rsidRDefault="00713E2F" w:rsidP="00713E2F"/>
    <w:p w14:paraId="21059BDB" w14:textId="1B964886" w:rsidR="00BC7DDA" w:rsidRPr="00BD6C5F" w:rsidRDefault="00C2068A" w:rsidP="00713E2F">
      <w:pPr>
        <w:pStyle w:val="Heading1"/>
        <w:pageBreakBefore/>
      </w:pPr>
      <w:bookmarkStart w:id="1437" w:name="_Toc141721044"/>
      <w:r w:rsidRPr="00BD6C5F">
        <w:lastRenderedPageBreak/>
        <w:t>Schedule 26</w:t>
      </w:r>
      <w:r w:rsidR="001475FD" w:rsidRPr="00BD6C5F">
        <w:t>:</w:t>
      </w:r>
      <w:r w:rsidRPr="00BD6C5F">
        <w:t xml:space="preserve"> </w:t>
      </w:r>
      <w:bookmarkStart w:id="1438" w:name="_Ref98256442"/>
      <w:bookmarkStart w:id="1439" w:name="_Toc98332775"/>
      <w:bookmarkStart w:id="1440" w:name="_Toc98852951"/>
      <w:r w:rsidRPr="00BD6C5F">
        <w:t>Service Continuity Plan and Corporate Resolution Planning</w:t>
      </w:r>
      <w:bookmarkEnd w:id="1434"/>
      <w:bookmarkEnd w:id="1435"/>
      <w:bookmarkEnd w:id="1438"/>
      <w:bookmarkEnd w:id="1439"/>
      <w:bookmarkEnd w:id="1440"/>
      <w:bookmarkEnd w:id="1437"/>
    </w:p>
    <w:p w14:paraId="245C1567" w14:textId="01A2C2BC" w:rsidR="00A655B3" w:rsidRPr="00BD6C5F" w:rsidRDefault="00A655B3" w:rsidP="00C2068A">
      <w:pPr>
        <w:jc w:val="center"/>
      </w:pPr>
      <w:bookmarkStart w:id="1441" w:name="_bookmark476"/>
      <w:bookmarkStart w:id="1442" w:name="_Ref98256186"/>
      <w:bookmarkStart w:id="1443" w:name="_Ref98256202"/>
      <w:bookmarkStart w:id="1444" w:name="_Toc98332776"/>
      <w:bookmarkStart w:id="1445" w:name="_Toc98852952"/>
      <w:bookmarkEnd w:id="1441"/>
      <w:r w:rsidRPr="00BD6C5F">
        <w:t>This is the schedule referred to in the foregoing agreement betwe</w:t>
      </w:r>
      <w:r w:rsidR="00D4497D" w:rsidRPr="00BD6C5F">
        <w:t>en [</w:t>
      </w:r>
      <w:r w:rsidR="00D4497D" w:rsidRPr="00BD6C5F">
        <w:rPr>
          <w:highlight w:val="yellow"/>
        </w:rPr>
        <w:t>name of party</w:t>
      </w:r>
      <w:r w:rsidR="00D4497D" w:rsidRPr="00BD6C5F">
        <w:t>] and [</w:t>
      </w:r>
      <w:r w:rsidR="00D4497D" w:rsidRPr="00BD6C5F">
        <w:rPr>
          <w:highlight w:val="yellow"/>
        </w:rPr>
        <w:t>name of party</w:t>
      </w:r>
      <w:r w:rsidR="00D4497D" w:rsidRPr="00BD6C5F">
        <w:t>] dated [</w:t>
      </w:r>
      <w:r w:rsidR="00D4497D" w:rsidRPr="00BD6C5F">
        <w:rPr>
          <w:highlight w:val="yellow"/>
        </w:rPr>
        <w:t>date</w:t>
      </w:r>
      <w:r w:rsidR="00D4497D" w:rsidRPr="00BD6C5F">
        <w:t>]</w:t>
      </w:r>
    </w:p>
    <w:p w14:paraId="4B738DFC" w14:textId="77777777" w:rsidR="00C2068A" w:rsidRPr="00BD6C5F" w:rsidRDefault="00C2068A" w:rsidP="00C2068A"/>
    <w:p w14:paraId="758F47E2" w14:textId="1D226B43" w:rsidR="00BC7DDA" w:rsidRPr="00BD6C5F" w:rsidRDefault="00D4497D" w:rsidP="00C2068A">
      <w:pPr>
        <w:pStyle w:val="Heading2"/>
      </w:pPr>
      <w:bookmarkStart w:id="1446" w:name="_Toc141721045"/>
      <w:r w:rsidRPr="00BD6C5F">
        <w:t xml:space="preserve">Part </w:t>
      </w:r>
      <w:bookmarkStart w:id="1447" w:name="Schedule_26_Part_A"/>
      <w:r w:rsidRPr="00BD6C5F">
        <w:t>A</w:t>
      </w:r>
      <w:bookmarkEnd w:id="1447"/>
      <w:r w:rsidRPr="00BD6C5F">
        <w:t>: Service Continuity Plan</w:t>
      </w:r>
      <w:bookmarkEnd w:id="1442"/>
      <w:bookmarkEnd w:id="1443"/>
      <w:bookmarkEnd w:id="1444"/>
      <w:bookmarkEnd w:id="1445"/>
      <w:bookmarkEnd w:id="1446"/>
    </w:p>
    <w:p w14:paraId="14C597EC" w14:textId="74982085" w:rsidR="00BC7DDA" w:rsidRPr="00BD6C5F" w:rsidRDefault="00D4497D" w:rsidP="00B71FC0">
      <w:pPr>
        <w:pStyle w:val="Numbered1"/>
        <w:numPr>
          <w:ilvl w:val="0"/>
          <w:numId w:val="112"/>
        </w:numPr>
      </w:pPr>
      <w:bookmarkStart w:id="1448" w:name="_Ref98256267"/>
      <w:r w:rsidRPr="00BD6C5F">
        <w:t>Definitions</w:t>
      </w:r>
      <w:bookmarkEnd w:id="1448"/>
    </w:p>
    <w:p w14:paraId="7A69FA5A" w14:textId="77777777" w:rsidR="00BC7DDA" w:rsidRPr="00BD6C5F" w:rsidRDefault="009B03E9" w:rsidP="009F4A63">
      <w:pPr>
        <w:pStyle w:val="Numbered11"/>
        <w:keepNext/>
      </w:pPr>
      <w:r w:rsidRPr="00BD6C5F">
        <w:t>In this Schedule, the following definitions shall apply:</w:t>
      </w:r>
    </w:p>
    <w:tbl>
      <w:tblPr>
        <w:tblW w:w="9525" w:type="dxa"/>
        <w:tblInd w:w="720" w:type="dxa"/>
        <w:tblLayout w:type="fixed"/>
        <w:tblCellMar>
          <w:left w:w="0" w:type="dxa"/>
          <w:bottom w:w="170" w:type="dxa"/>
          <w:right w:w="113" w:type="dxa"/>
        </w:tblCellMar>
        <w:tblLook w:val="01E0" w:firstRow="1" w:lastRow="1" w:firstColumn="1" w:lastColumn="1" w:noHBand="0" w:noVBand="0"/>
      </w:tblPr>
      <w:tblGrid>
        <w:gridCol w:w="3572"/>
        <w:gridCol w:w="5953"/>
      </w:tblGrid>
      <w:tr w:rsidR="00BC7DDA" w:rsidRPr="00BD6C5F" w14:paraId="1CAD1A3C" w14:textId="77777777" w:rsidTr="00061D4C">
        <w:tc>
          <w:tcPr>
            <w:tcW w:w="3572" w:type="dxa"/>
          </w:tcPr>
          <w:p w14:paraId="3F20CBCA" w14:textId="60CDA12D"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Business Continuity Plan</w:t>
            </w:r>
            <w:r w:rsidRPr="00BD6C5F">
              <w:rPr>
                <w:rFonts w:asciiTheme="minorHAnsi" w:hAnsiTheme="minorHAnsi" w:cstheme="minorHAnsi"/>
                <w:b/>
              </w:rPr>
              <w:t>”</w:t>
            </w:r>
          </w:p>
        </w:tc>
        <w:tc>
          <w:tcPr>
            <w:tcW w:w="5953" w:type="dxa"/>
          </w:tcPr>
          <w:p w14:paraId="6836E2F1" w14:textId="713C4B0F" w:rsidR="00BC7DDA" w:rsidRPr="00BD6C5F" w:rsidRDefault="009B03E9" w:rsidP="00061D4C">
            <w:pPr>
              <w:pStyle w:val="Tabletext"/>
            </w:pPr>
            <w:r w:rsidRPr="00BD6C5F">
              <w:t>has the meaning given in Paragraph</w:t>
            </w:r>
            <w:r w:rsidR="004E4766" w:rsidRPr="00BD6C5F">
              <w:t> </w:t>
            </w:r>
            <w:r w:rsidR="004E4766" w:rsidRPr="00BD6C5F">
              <w:fldChar w:fldCharType="begin"/>
            </w:r>
            <w:r w:rsidR="004E4766" w:rsidRPr="00BD6C5F">
              <w:instrText xml:space="preserve"> REF _Ref98423028 \w \h </w:instrText>
            </w:r>
            <w:r w:rsidR="00AD7DD0" w:rsidRPr="00BD6C5F">
              <w:instrText xml:space="preserve"> \* MERGEFORMAT </w:instrText>
            </w:r>
            <w:r w:rsidR="004E4766" w:rsidRPr="00BD6C5F">
              <w:fldChar w:fldCharType="separate"/>
            </w:r>
            <w:r w:rsidR="009749A0">
              <w:t>2.2.1(b)</w:t>
            </w:r>
            <w:r w:rsidR="004E4766" w:rsidRPr="00BD6C5F">
              <w:fldChar w:fldCharType="end"/>
            </w:r>
            <w:r w:rsidRPr="00BD6C5F">
              <w:t>;</w:t>
            </w:r>
          </w:p>
        </w:tc>
      </w:tr>
      <w:tr w:rsidR="00BC7DDA" w:rsidRPr="00BD6C5F" w14:paraId="25BDAA7B" w14:textId="77777777" w:rsidTr="00061D4C">
        <w:tc>
          <w:tcPr>
            <w:tcW w:w="3572" w:type="dxa"/>
          </w:tcPr>
          <w:p w14:paraId="37D42BBE" w14:textId="1818631B"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Business Continuity Services</w:t>
            </w:r>
            <w:r w:rsidRPr="00BD6C5F">
              <w:rPr>
                <w:rFonts w:asciiTheme="minorHAnsi" w:hAnsiTheme="minorHAnsi" w:cstheme="minorHAnsi"/>
                <w:b/>
              </w:rPr>
              <w:t>”</w:t>
            </w:r>
          </w:p>
        </w:tc>
        <w:tc>
          <w:tcPr>
            <w:tcW w:w="5953" w:type="dxa"/>
          </w:tcPr>
          <w:p w14:paraId="619ED77C" w14:textId="12414FB1"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has the meaning given in Paragraph</w:t>
            </w:r>
            <w:r w:rsidR="004E4766" w:rsidRPr="00BD6C5F">
              <w:rPr>
                <w:rFonts w:asciiTheme="minorHAnsi" w:hAnsiTheme="minorHAnsi" w:cstheme="minorHAnsi"/>
              </w:rPr>
              <w:t>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_Ref98423058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4.2.2</w:t>
            </w:r>
            <w:r w:rsidR="004E4766"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60250075" w14:textId="77777777" w:rsidTr="00061D4C">
        <w:tc>
          <w:tcPr>
            <w:tcW w:w="3572" w:type="dxa"/>
          </w:tcPr>
          <w:p w14:paraId="784202E0" w14:textId="3BF65F02"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Department</w:t>
            </w:r>
            <w:r w:rsidRPr="00BD6C5F">
              <w:rPr>
                <w:rFonts w:asciiTheme="minorHAnsi" w:hAnsiTheme="minorHAnsi" w:cstheme="minorHAnsi"/>
                <w:b/>
              </w:rPr>
              <w:t>”</w:t>
            </w:r>
          </w:p>
        </w:tc>
        <w:tc>
          <w:tcPr>
            <w:tcW w:w="5953" w:type="dxa"/>
          </w:tcPr>
          <w:p w14:paraId="1775558C" w14:textId="77777777"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a body listed in one of the following sub-categories of the Central Government classification of the Public Sector Classification Guide, as published and amended from time to time by the Office for National Statistics:</w:t>
            </w:r>
          </w:p>
          <w:p w14:paraId="0B5F8D3E" w14:textId="77777777" w:rsidR="00BC7DDA" w:rsidRPr="00BD6C5F" w:rsidRDefault="009B03E9" w:rsidP="00DE03A4">
            <w:pPr>
              <w:pStyle w:val="Tablea"/>
            </w:pPr>
            <w:r w:rsidRPr="00BD6C5F">
              <w:t>Government Department; or</w:t>
            </w:r>
          </w:p>
          <w:p w14:paraId="6BBA2B88" w14:textId="77777777" w:rsidR="00BC7DDA" w:rsidRPr="00BD6C5F" w:rsidRDefault="009B03E9" w:rsidP="003A5D4B">
            <w:pPr>
              <w:pStyle w:val="Tablea"/>
            </w:pPr>
            <w:r w:rsidRPr="00BD6C5F">
              <w:t>Non-Ministerial Department.</w:t>
            </w:r>
          </w:p>
        </w:tc>
      </w:tr>
      <w:tr w:rsidR="00BC7DDA" w:rsidRPr="00BD6C5F" w14:paraId="57A1E822" w14:textId="77777777" w:rsidTr="00061D4C">
        <w:tc>
          <w:tcPr>
            <w:tcW w:w="3572" w:type="dxa"/>
          </w:tcPr>
          <w:p w14:paraId="068F72AE" w14:textId="0888294C"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Disaster</w:t>
            </w:r>
            <w:r w:rsidRPr="00BD6C5F">
              <w:rPr>
                <w:rFonts w:asciiTheme="minorHAnsi" w:hAnsiTheme="minorHAnsi" w:cstheme="minorHAnsi"/>
                <w:b/>
              </w:rPr>
              <w:t>”</w:t>
            </w:r>
          </w:p>
        </w:tc>
        <w:tc>
          <w:tcPr>
            <w:tcW w:w="5953" w:type="dxa"/>
          </w:tcPr>
          <w:p w14:paraId="482F3F73" w14:textId="77777777"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 xml:space="preserve">the occurrence of one or more events which, either separately or cumulatively, mean that the Services, or a material part of the Services will be unavailable for a period of </w:t>
            </w:r>
            <w:r w:rsidRPr="004C3F13">
              <w:rPr>
                <w:rFonts w:asciiTheme="minorHAnsi" w:hAnsiTheme="minorHAnsi" w:cstheme="minorHAnsi"/>
                <w:bCs/>
                <w:shd w:val="clear" w:color="auto" w:fill="FFFF00"/>
              </w:rPr>
              <w:t>[</w:t>
            </w:r>
            <w:r w:rsidRPr="00012747">
              <w:rPr>
                <w:rFonts w:asciiTheme="minorHAnsi" w:hAnsiTheme="minorHAnsi" w:cstheme="minorHAnsi"/>
                <w:b/>
                <w:shd w:val="clear" w:color="auto" w:fill="FFFF00"/>
              </w:rPr>
              <w:t>insert</w:t>
            </w:r>
            <w:r w:rsidRPr="004C3F13">
              <w:rPr>
                <w:rFonts w:asciiTheme="minorHAnsi" w:hAnsiTheme="minorHAnsi" w:cstheme="minorHAnsi"/>
                <w:bCs/>
                <w:shd w:val="clear" w:color="auto" w:fill="FFFF00"/>
              </w:rPr>
              <w:t xml:space="preserve"> details]</w:t>
            </w:r>
            <w:r w:rsidRPr="004C3F13">
              <w:rPr>
                <w:rFonts w:asciiTheme="minorHAnsi" w:hAnsiTheme="minorHAnsi" w:cstheme="minorHAnsi"/>
                <w:bCs/>
              </w:rPr>
              <w:t xml:space="preserve"> </w:t>
            </w:r>
            <w:r w:rsidRPr="00BD6C5F">
              <w:rPr>
                <w:rFonts w:asciiTheme="minorHAnsi" w:hAnsiTheme="minorHAnsi" w:cstheme="minorHAnsi"/>
              </w:rPr>
              <w:t>or which is reasonably anticipated will mean that the Services or a material part of the Services will be unavailable for that period;</w:t>
            </w:r>
          </w:p>
        </w:tc>
      </w:tr>
      <w:tr w:rsidR="00BC7DDA" w:rsidRPr="00BD6C5F" w14:paraId="13379A28" w14:textId="77777777" w:rsidTr="00061D4C">
        <w:tc>
          <w:tcPr>
            <w:tcW w:w="3572" w:type="dxa"/>
          </w:tcPr>
          <w:p w14:paraId="79533385" w14:textId="16750F26"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Disaster Recovery Plan</w:t>
            </w:r>
            <w:r w:rsidRPr="00BD6C5F">
              <w:rPr>
                <w:rFonts w:asciiTheme="minorHAnsi" w:hAnsiTheme="minorHAnsi" w:cstheme="minorHAnsi"/>
                <w:b/>
              </w:rPr>
              <w:t>”</w:t>
            </w:r>
          </w:p>
        </w:tc>
        <w:tc>
          <w:tcPr>
            <w:tcW w:w="5953" w:type="dxa"/>
          </w:tcPr>
          <w:p w14:paraId="07EC66FD" w14:textId="4C2655AD"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has the meaning given in Paragraph</w:t>
            </w:r>
            <w:r w:rsidR="004E4766" w:rsidRPr="00BD6C5F">
              <w:rPr>
                <w:rFonts w:asciiTheme="minorHAnsi" w:hAnsiTheme="minorHAnsi" w:cstheme="minorHAnsi"/>
              </w:rPr>
              <w:t>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_Ref98423085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2.2.1(c)</w:t>
            </w:r>
            <w:r w:rsidR="004E4766"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2431DDE6" w14:textId="77777777" w:rsidTr="00061D4C">
        <w:tc>
          <w:tcPr>
            <w:tcW w:w="3572" w:type="dxa"/>
          </w:tcPr>
          <w:p w14:paraId="5721A461" w14:textId="07D746EE"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Disaster Recovery Services</w:t>
            </w:r>
            <w:r w:rsidRPr="00BD6C5F">
              <w:rPr>
                <w:rFonts w:asciiTheme="minorHAnsi" w:hAnsiTheme="minorHAnsi" w:cstheme="minorHAnsi"/>
                <w:b/>
              </w:rPr>
              <w:t>”</w:t>
            </w:r>
          </w:p>
        </w:tc>
        <w:tc>
          <w:tcPr>
            <w:tcW w:w="5953" w:type="dxa"/>
          </w:tcPr>
          <w:p w14:paraId="40AC11C1" w14:textId="77777777"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the services embodied in the processes and procedures for restoring the Services following the occurrence of a Disaster;</w:t>
            </w:r>
          </w:p>
        </w:tc>
      </w:tr>
      <w:tr w:rsidR="00BC7DDA" w:rsidRPr="00BD6C5F" w14:paraId="214D9164" w14:textId="77777777" w:rsidTr="00061D4C">
        <w:tc>
          <w:tcPr>
            <w:tcW w:w="3572" w:type="dxa"/>
          </w:tcPr>
          <w:p w14:paraId="281A90A8" w14:textId="5AFE6C10"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Disaster Recovery System</w:t>
            </w:r>
            <w:r w:rsidRPr="00BD6C5F">
              <w:rPr>
                <w:rFonts w:asciiTheme="minorHAnsi" w:hAnsiTheme="minorHAnsi" w:cstheme="minorHAnsi"/>
                <w:b/>
              </w:rPr>
              <w:t>”</w:t>
            </w:r>
          </w:p>
        </w:tc>
        <w:tc>
          <w:tcPr>
            <w:tcW w:w="5953" w:type="dxa"/>
          </w:tcPr>
          <w:p w14:paraId="1E2C372E" w14:textId="77777777"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the system identified by the Supplier in the Supplier Solution which shall be used for the purpose of delivering the Disaster Recovery Services;</w:t>
            </w:r>
          </w:p>
        </w:tc>
      </w:tr>
      <w:tr w:rsidR="00BC7DDA" w:rsidRPr="00BD6C5F" w14:paraId="591716AC" w14:textId="77777777" w:rsidTr="00061D4C">
        <w:tc>
          <w:tcPr>
            <w:tcW w:w="3572" w:type="dxa"/>
          </w:tcPr>
          <w:p w14:paraId="37CF6D37" w14:textId="49585615"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Insolvency Continuity Plan</w:t>
            </w:r>
            <w:r w:rsidRPr="00BD6C5F">
              <w:rPr>
                <w:rFonts w:asciiTheme="minorHAnsi" w:hAnsiTheme="minorHAnsi" w:cstheme="minorHAnsi"/>
                <w:b/>
              </w:rPr>
              <w:t>”</w:t>
            </w:r>
          </w:p>
        </w:tc>
        <w:tc>
          <w:tcPr>
            <w:tcW w:w="5953" w:type="dxa"/>
          </w:tcPr>
          <w:p w14:paraId="2B9DA030" w14:textId="3AB1A5AA"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 xml:space="preserve">has the meaning given in </w:t>
            </w:r>
            <w:r w:rsidR="004E4766" w:rsidRPr="00BD6C5F">
              <w:rPr>
                <w:rFonts w:asciiTheme="minorHAnsi" w:hAnsiTheme="minorHAnsi" w:cstheme="minorHAnsi"/>
              </w:rPr>
              <w:t>P</w:t>
            </w:r>
            <w:r w:rsidRPr="00BD6C5F">
              <w:rPr>
                <w:rFonts w:asciiTheme="minorHAnsi" w:hAnsiTheme="minorHAnsi" w:cstheme="minorHAnsi"/>
              </w:rPr>
              <w:t>aragraph</w:t>
            </w:r>
            <w:r w:rsidR="004E4766" w:rsidRPr="00BD6C5F">
              <w:rPr>
                <w:rFonts w:asciiTheme="minorHAnsi" w:hAnsiTheme="minorHAnsi" w:cstheme="minorHAnsi"/>
              </w:rPr>
              <w:t>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_Ref98423106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2.2.1(d)</w:t>
            </w:r>
            <w:r w:rsidR="004E4766"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4440DA30" w14:textId="77777777" w:rsidTr="00061D4C">
        <w:tc>
          <w:tcPr>
            <w:tcW w:w="3572" w:type="dxa"/>
          </w:tcPr>
          <w:p w14:paraId="65CD9807" w14:textId="6C0C89B5"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Related Service Provider</w:t>
            </w:r>
            <w:r w:rsidRPr="00BD6C5F">
              <w:rPr>
                <w:rFonts w:asciiTheme="minorHAnsi" w:hAnsiTheme="minorHAnsi" w:cstheme="minorHAnsi"/>
                <w:b/>
              </w:rPr>
              <w:t>”</w:t>
            </w:r>
          </w:p>
        </w:tc>
        <w:tc>
          <w:tcPr>
            <w:tcW w:w="5953" w:type="dxa"/>
          </w:tcPr>
          <w:p w14:paraId="1B4E32B1" w14:textId="3F579F55" w:rsidR="00BC7DDA" w:rsidRPr="004C3F13" w:rsidRDefault="009B03E9" w:rsidP="00061D4C">
            <w:pPr>
              <w:pStyle w:val="Tabletext"/>
              <w:rPr>
                <w:rFonts w:asciiTheme="minorHAnsi" w:hAnsiTheme="minorHAnsi" w:cstheme="minorHAnsi"/>
              </w:rPr>
            </w:pPr>
            <w:r w:rsidRPr="004C3F13">
              <w:rPr>
                <w:rFonts w:asciiTheme="minorHAnsi" w:hAnsiTheme="minorHAnsi" w:cstheme="minorHAnsi"/>
              </w:rPr>
              <w:t xml:space="preserve">any person who provides services to the Authority in relation to this </w:t>
            </w:r>
            <w:r w:rsidR="00EC13C9" w:rsidRPr="004C3F13">
              <w:rPr>
                <w:rFonts w:asciiTheme="minorHAnsi" w:hAnsiTheme="minorHAnsi" w:cstheme="minorHAnsi"/>
              </w:rPr>
              <w:t xml:space="preserve">Contract </w:t>
            </w:r>
            <w:r w:rsidRPr="004C3F13">
              <w:rPr>
                <w:rFonts w:asciiTheme="minorHAnsi" w:hAnsiTheme="minorHAnsi" w:cstheme="minorHAnsi"/>
              </w:rPr>
              <w:t xml:space="preserve">from time to time, which </w:t>
            </w:r>
            <w:r w:rsidRPr="004C3F13">
              <w:rPr>
                <w:rFonts w:asciiTheme="minorHAnsi" w:hAnsiTheme="minorHAnsi" w:cstheme="minorHAnsi"/>
              </w:rPr>
              <w:lastRenderedPageBreak/>
              <w:t>persons include as at the Effective Date</w:t>
            </w:r>
          </w:p>
          <w:p w14:paraId="21FB643A" w14:textId="77777777" w:rsidR="00BC7DDA" w:rsidRPr="004C3F13" w:rsidRDefault="009B03E9" w:rsidP="00061D4C">
            <w:pPr>
              <w:pStyle w:val="Tabletext"/>
              <w:rPr>
                <w:rFonts w:asciiTheme="minorHAnsi" w:hAnsiTheme="minorHAnsi" w:cstheme="minorHAnsi"/>
              </w:rPr>
            </w:pPr>
            <w:r w:rsidRPr="004C3F13">
              <w:rPr>
                <w:rFonts w:asciiTheme="minorHAnsi" w:hAnsiTheme="minorHAnsi" w:cstheme="minorHAnsi"/>
                <w:shd w:val="clear" w:color="auto" w:fill="FFFF00"/>
              </w:rPr>
              <w:t>[</w:t>
            </w:r>
            <w:r w:rsidRPr="00276991">
              <w:rPr>
                <w:rFonts w:asciiTheme="minorHAnsi" w:hAnsiTheme="minorHAnsi" w:cstheme="minorHAnsi"/>
                <w:b/>
                <w:bCs/>
                <w:shd w:val="clear" w:color="auto" w:fill="FFFF00"/>
              </w:rPr>
              <w:t>insert</w:t>
            </w:r>
            <w:r w:rsidRPr="004C3F13">
              <w:rPr>
                <w:rFonts w:asciiTheme="minorHAnsi" w:hAnsiTheme="minorHAnsi" w:cstheme="minorHAnsi"/>
                <w:shd w:val="clear" w:color="auto" w:fill="FFFF00"/>
              </w:rPr>
              <w:t xml:space="preserve"> details]</w:t>
            </w:r>
            <w:r w:rsidRPr="004C3F13">
              <w:rPr>
                <w:rFonts w:asciiTheme="minorHAnsi" w:hAnsiTheme="minorHAnsi" w:cstheme="minorHAnsi"/>
              </w:rPr>
              <w:t>;</w:t>
            </w:r>
          </w:p>
        </w:tc>
      </w:tr>
      <w:tr w:rsidR="00BC7DDA" w:rsidRPr="00BD6C5F" w14:paraId="7B0509AC" w14:textId="77777777" w:rsidTr="00061D4C">
        <w:tc>
          <w:tcPr>
            <w:tcW w:w="3572" w:type="dxa"/>
          </w:tcPr>
          <w:p w14:paraId="0AD887B5" w14:textId="278FD3FE"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Review Report</w:t>
            </w:r>
            <w:r w:rsidRPr="00BD6C5F">
              <w:rPr>
                <w:rFonts w:asciiTheme="minorHAnsi" w:hAnsiTheme="minorHAnsi" w:cstheme="minorHAnsi"/>
                <w:b/>
              </w:rPr>
              <w:t>”</w:t>
            </w:r>
          </w:p>
        </w:tc>
        <w:tc>
          <w:tcPr>
            <w:tcW w:w="5953" w:type="dxa"/>
          </w:tcPr>
          <w:p w14:paraId="2FDAE161" w14:textId="27A32791"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has the meaning given in Paragraphs</w:t>
            </w:r>
            <w:r w:rsidR="004E4766" w:rsidRPr="00BD6C5F">
              <w:rPr>
                <w:rFonts w:asciiTheme="minorHAnsi" w:hAnsiTheme="minorHAnsi" w:cstheme="minorHAnsi"/>
              </w:rPr>
              <w:t>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_Ref98423133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7.2.1</w:t>
            </w:r>
            <w:r w:rsidR="004E4766" w:rsidRPr="00BD6C5F">
              <w:rPr>
                <w:rFonts w:asciiTheme="minorHAnsi" w:hAnsiTheme="minorHAnsi" w:cstheme="minorHAnsi"/>
              </w:rPr>
              <w:fldChar w:fldCharType="end"/>
            </w:r>
            <w:r w:rsidRPr="00BD6C5F">
              <w:rPr>
                <w:rFonts w:asciiTheme="minorHAnsi" w:hAnsiTheme="minorHAnsi" w:cstheme="minorHAnsi"/>
              </w:rPr>
              <w:t xml:space="preserve"> to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_Ref98423147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7.2.3</w:t>
            </w:r>
            <w:r w:rsidR="004E4766" w:rsidRPr="00BD6C5F">
              <w:rPr>
                <w:rFonts w:asciiTheme="minorHAnsi" w:hAnsiTheme="minorHAnsi" w:cstheme="minorHAnsi"/>
              </w:rPr>
              <w:fldChar w:fldCharType="end"/>
            </w:r>
            <w:r w:rsidRPr="00BD6C5F">
              <w:rPr>
                <w:rFonts w:asciiTheme="minorHAnsi" w:hAnsiTheme="minorHAnsi" w:cstheme="minorHAnsi"/>
              </w:rPr>
              <w:t>;</w:t>
            </w:r>
          </w:p>
        </w:tc>
      </w:tr>
      <w:tr w:rsidR="00BC7DDA" w:rsidRPr="00BD6C5F" w14:paraId="3C566996" w14:textId="77777777" w:rsidTr="00061D4C">
        <w:tc>
          <w:tcPr>
            <w:tcW w:w="3572" w:type="dxa"/>
          </w:tcPr>
          <w:p w14:paraId="0B50F79C" w14:textId="19F6CBBB" w:rsidR="00BC7DDA" w:rsidRPr="00BD6C5F" w:rsidRDefault="00A4555C" w:rsidP="00061D4C">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Service Continuity Plan</w:t>
            </w:r>
            <w:r w:rsidRPr="00BD6C5F">
              <w:rPr>
                <w:rFonts w:asciiTheme="minorHAnsi" w:hAnsiTheme="minorHAnsi" w:cstheme="minorHAnsi"/>
                <w:b/>
              </w:rPr>
              <w:t>”</w:t>
            </w:r>
          </w:p>
        </w:tc>
        <w:tc>
          <w:tcPr>
            <w:tcW w:w="5953" w:type="dxa"/>
          </w:tcPr>
          <w:p w14:paraId="44B3AF3C" w14:textId="443F601E" w:rsidR="00BC7DDA" w:rsidRPr="00BD6C5F" w:rsidRDefault="009B03E9" w:rsidP="00061D4C">
            <w:pPr>
              <w:pStyle w:val="Tabletext"/>
              <w:rPr>
                <w:rFonts w:asciiTheme="minorHAnsi" w:hAnsiTheme="minorHAnsi" w:cstheme="minorHAnsi"/>
              </w:rPr>
            </w:pPr>
            <w:r w:rsidRPr="00BD6C5F">
              <w:rPr>
                <w:rFonts w:asciiTheme="minorHAnsi" w:hAnsiTheme="minorHAnsi" w:cstheme="minorHAnsi"/>
              </w:rPr>
              <w:t>means the plan prepared pursuant to Paragraph</w:t>
            </w:r>
            <w:r w:rsidR="004E4766" w:rsidRPr="00BD6C5F">
              <w:rPr>
                <w:rFonts w:asciiTheme="minorHAnsi" w:hAnsiTheme="minorHAnsi" w:cstheme="minorHAnsi"/>
              </w:rPr>
              <w:t> </w:t>
            </w:r>
            <w:r w:rsidR="004E4766" w:rsidRPr="00BD6C5F">
              <w:rPr>
                <w:rFonts w:asciiTheme="minorHAnsi" w:hAnsiTheme="minorHAnsi" w:cstheme="minorHAnsi"/>
              </w:rPr>
              <w:fldChar w:fldCharType="begin"/>
            </w:r>
            <w:r w:rsidR="004E4766" w:rsidRPr="00BD6C5F">
              <w:rPr>
                <w:rFonts w:asciiTheme="minorHAnsi" w:hAnsiTheme="minorHAnsi" w:cstheme="minorHAnsi"/>
              </w:rPr>
              <w:instrText xml:space="preserve"> REF _Ref98319013 \w \h </w:instrText>
            </w:r>
            <w:r w:rsidR="00AD7DD0" w:rsidRPr="00BD6C5F">
              <w:rPr>
                <w:rFonts w:asciiTheme="minorHAnsi" w:hAnsiTheme="minorHAnsi" w:cstheme="minorHAnsi"/>
              </w:rPr>
              <w:instrText xml:space="preserve"> \* MERGEFORMAT </w:instrText>
            </w:r>
            <w:r w:rsidR="004E4766" w:rsidRPr="00BD6C5F">
              <w:rPr>
                <w:rFonts w:asciiTheme="minorHAnsi" w:hAnsiTheme="minorHAnsi" w:cstheme="minorHAnsi"/>
              </w:rPr>
            </w:r>
            <w:r w:rsidR="004E4766" w:rsidRPr="00BD6C5F">
              <w:rPr>
                <w:rFonts w:asciiTheme="minorHAnsi" w:hAnsiTheme="minorHAnsi" w:cstheme="minorHAnsi"/>
              </w:rPr>
              <w:fldChar w:fldCharType="separate"/>
            </w:r>
            <w:r w:rsidR="009749A0">
              <w:rPr>
                <w:rFonts w:asciiTheme="minorHAnsi" w:hAnsiTheme="minorHAnsi" w:cstheme="minorHAnsi"/>
              </w:rPr>
              <w:t>2</w:t>
            </w:r>
            <w:r w:rsidR="004E4766" w:rsidRPr="00BD6C5F">
              <w:rPr>
                <w:rFonts w:asciiTheme="minorHAnsi" w:hAnsiTheme="minorHAnsi" w:cstheme="minorHAnsi"/>
              </w:rPr>
              <w:fldChar w:fldCharType="end"/>
            </w:r>
            <w:r w:rsidRPr="00BD6C5F">
              <w:rPr>
                <w:rFonts w:asciiTheme="minorHAnsi" w:hAnsiTheme="minorHAnsi" w:cstheme="minorHAnsi"/>
              </w:rPr>
              <w:t xml:space="preserve"> of this Schedule which incorporates the Business Continuity Plan, Disaster Recovery Plan and the</w:t>
            </w:r>
            <w:r w:rsidR="00061D4C" w:rsidRPr="00BD6C5F">
              <w:rPr>
                <w:rFonts w:asciiTheme="minorHAnsi" w:hAnsiTheme="minorHAnsi" w:cstheme="minorHAnsi"/>
              </w:rPr>
              <w:t xml:space="preserve"> </w:t>
            </w:r>
            <w:r w:rsidRPr="00BD6C5F">
              <w:rPr>
                <w:rFonts w:asciiTheme="minorHAnsi" w:hAnsiTheme="minorHAnsi" w:cstheme="minorHAnsi"/>
              </w:rPr>
              <w:t>Insolvency Continuity Plan;</w:t>
            </w:r>
          </w:p>
        </w:tc>
      </w:tr>
    </w:tbl>
    <w:p w14:paraId="392BD363" w14:textId="65B59D76" w:rsidR="00BC7DDA" w:rsidRPr="00BD6C5F" w:rsidRDefault="00D4497D" w:rsidP="00C5057A">
      <w:pPr>
        <w:pStyle w:val="Numbered1"/>
      </w:pPr>
      <w:bookmarkStart w:id="1449" w:name="_bookmark477"/>
      <w:bookmarkStart w:id="1450" w:name="_Ref98319013"/>
      <w:bookmarkEnd w:id="1449"/>
      <w:r w:rsidRPr="00BD6C5F">
        <w:t>Service Continuity Plan</w:t>
      </w:r>
      <w:bookmarkEnd w:id="1450"/>
    </w:p>
    <w:p w14:paraId="615945F1" w14:textId="548D13E1" w:rsidR="00BC7DDA" w:rsidRPr="00BD6C5F" w:rsidRDefault="009B03E9" w:rsidP="009F4A63">
      <w:pPr>
        <w:pStyle w:val="Numbered11"/>
        <w:keepNext/>
      </w:pPr>
      <w:r w:rsidRPr="00BD6C5F">
        <w:t>Within 40 Working Days from the Effective Date the Supplier shall prepare and deliver to the Authority for the Authority</w:t>
      </w:r>
      <w:r w:rsidR="00A4555C" w:rsidRPr="00BD6C5F">
        <w:t>’</w:t>
      </w:r>
      <w:r w:rsidRPr="00BD6C5F">
        <w:t>s written approval a plan, which shall detail the processes and arrangements that the Supplier shall follow to:</w:t>
      </w:r>
    </w:p>
    <w:p w14:paraId="38DD2B9B" w14:textId="77777777" w:rsidR="00BC7DDA" w:rsidRPr="00BD6C5F" w:rsidRDefault="009B03E9" w:rsidP="00D4497D">
      <w:pPr>
        <w:pStyle w:val="Numbered111"/>
      </w:pPr>
      <w:r w:rsidRPr="00BD6C5F">
        <w:t>ensure continuity of the business processes and operations supported by the Services following any failure or disruption of any element of the Services (including where caused by an Insolvency Event of the Supplier, any Key Sub-contractor and/or any Supplier Group member); and</w:t>
      </w:r>
    </w:p>
    <w:p w14:paraId="17DEB938" w14:textId="77777777" w:rsidR="00BC7DDA" w:rsidRPr="00BD6C5F" w:rsidRDefault="009B03E9" w:rsidP="00D4497D">
      <w:pPr>
        <w:pStyle w:val="Numbered111"/>
      </w:pPr>
      <w:r w:rsidRPr="00BD6C5F">
        <w:t>the recovery of the Services in the event of a Disaster.</w:t>
      </w:r>
    </w:p>
    <w:p w14:paraId="56746000" w14:textId="77777777" w:rsidR="00BC7DDA" w:rsidRPr="00BD6C5F" w:rsidRDefault="009B03E9" w:rsidP="009F4A63">
      <w:pPr>
        <w:pStyle w:val="Numbered11"/>
        <w:keepNext/>
      </w:pPr>
      <w:bookmarkStart w:id="1451" w:name="_bookmark478"/>
      <w:bookmarkStart w:id="1452" w:name="_Ref141216536"/>
      <w:bookmarkEnd w:id="1451"/>
      <w:r w:rsidRPr="00BD6C5F">
        <w:t>The Service Continuity Plan shall:</w:t>
      </w:r>
      <w:bookmarkEnd w:id="1452"/>
    </w:p>
    <w:p w14:paraId="4993C4DA" w14:textId="77777777" w:rsidR="00BC7DDA" w:rsidRPr="00BD6C5F" w:rsidRDefault="009B03E9" w:rsidP="009F4A63">
      <w:pPr>
        <w:pStyle w:val="Numbered111"/>
        <w:keepNext/>
      </w:pPr>
      <w:r w:rsidRPr="00BD6C5F">
        <w:t>be divided into four parts:</w:t>
      </w:r>
    </w:p>
    <w:p w14:paraId="44F3CBC4" w14:textId="77777777" w:rsidR="00BC7DDA" w:rsidRPr="00BD6C5F" w:rsidRDefault="009B03E9" w:rsidP="00DE03A4">
      <w:pPr>
        <w:pStyle w:val="Numbered111a"/>
      </w:pPr>
      <w:r w:rsidRPr="00BD6C5F">
        <w:t>Part A which shall set out general principles applicable to the Service Continuity Plan;</w:t>
      </w:r>
    </w:p>
    <w:p w14:paraId="57DCFF9C" w14:textId="3DCA5C16" w:rsidR="00BC7DDA" w:rsidRPr="00BD6C5F" w:rsidRDefault="009B03E9" w:rsidP="00D4497D">
      <w:pPr>
        <w:pStyle w:val="Numbered111a"/>
        <w:rPr>
          <w:lang w:val="en-GB"/>
        </w:rPr>
      </w:pPr>
      <w:bookmarkStart w:id="1453" w:name="_bookmark479"/>
      <w:bookmarkStart w:id="1454" w:name="_Ref98423028"/>
      <w:bookmarkEnd w:id="1453"/>
      <w:r w:rsidRPr="00BD6C5F">
        <w:rPr>
          <w:lang w:val="en-GB"/>
        </w:rPr>
        <w:t xml:space="preserve">Part B which shall relate to business continuity (the </w:t>
      </w:r>
      <w:r w:rsidR="00A4555C" w:rsidRPr="00BD6C5F">
        <w:rPr>
          <w:lang w:val="en-GB"/>
        </w:rPr>
        <w:t>“</w:t>
      </w:r>
      <w:r w:rsidRPr="00BD6C5F">
        <w:rPr>
          <w:b/>
          <w:lang w:val="en-GB"/>
        </w:rPr>
        <w:t>Business Continuity Plan</w:t>
      </w:r>
      <w:r w:rsidR="00A4555C" w:rsidRPr="00BD6C5F">
        <w:rPr>
          <w:lang w:val="en-GB"/>
        </w:rPr>
        <w:t>”</w:t>
      </w:r>
      <w:r w:rsidRPr="00BD6C5F">
        <w:rPr>
          <w:lang w:val="en-GB"/>
        </w:rPr>
        <w:t>);</w:t>
      </w:r>
      <w:bookmarkEnd w:id="1454"/>
    </w:p>
    <w:p w14:paraId="5446E29B" w14:textId="65CECAFB" w:rsidR="00BC7DDA" w:rsidRPr="00BD6C5F" w:rsidRDefault="009B03E9" w:rsidP="00D4497D">
      <w:pPr>
        <w:pStyle w:val="Numbered111a"/>
        <w:rPr>
          <w:lang w:val="en-GB"/>
        </w:rPr>
      </w:pPr>
      <w:bookmarkStart w:id="1455" w:name="_bookmark480"/>
      <w:bookmarkStart w:id="1456" w:name="_Ref98423085"/>
      <w:bookmarkEnd w:id="1455"/>
      <w:r w:rsidRPr="00BD6C5F">
        <w:rPr>
          <w:lang w:val="en-GB"/>
        </w:rPr>
        <w:t xml:space="preserve">Part C which shall relate to disaster recovery (the </w:t>
      </w:r>
      <w:r w:rsidR="00A4555C" w:rsidRPr="00BD6C5F">
        <w:rPr>
          <w:lang w:val="en-GB"/>
        </w:rPr>
        <w:t>“</w:t>
      </w:r>
      <w:r w:rsidRPr="00BD6C5F">
        <w:rPr>
          <w:b/>
          <w:lang w:val="en-GB"/>
        </w:rPr>
        <w:t>Disaster Recovery Plan</w:t>
      </w:r>
      <w:r w:rsidR="00A4555C" w:rsidRPr="00BD6C5F">
        <w:rPr>
          <w:lang w:val="en-GB"/>
        </w:rPr>
        <w:t>”</w:t>
      </w:r>
      <w:r w:rsidRPr="00BD6C5F">
        <w:rPr>
          <w:lang w:val="en-GB"/>
        </w:rPr>
        <w:t>);</w:t>
      </w:r>
      <w:bookmarkEnd w:id="1456"/>
    </w:p>
    <w:p w14:paraId="3E703378" w14:textId="62B1909F" w:rsidR="00BC7DDA" w:rsidRPr="00BD6C5F" w:rsidRDefault="009B03E9" w:rsidP="00D4497D">
      <w:pPr>
        <w:pStyle w:val="Numbered111a"/>
        <w:rPr>
          <w:lang w:val="en-GB"/>
        </w:rPr>
      </w:pPr>
      <w:bookmarkStart w:id="1457" w:name="_bookmark481"/>
      <w:bookmarkStart w:id="1458" w:name="_Ref98423106"/>
      <w:bookmarkEnd w:id="1457"/>
      <w:r w:rsidRPr="00BD6C5F">
        <w:rPr>
          <w:lang w:val="en-GB"/>
        </w:rPr>
        <w:t xml:space="preserve">Part D which shall relate to an Insolvency Event of the Supplier, any Key Sub-contractors and/or any Supplier Group member (the </w:t>
      </w:r>
      <w:r w:rsidR="00A4555C" w:rsidRPr="00BD6C5F">
        <w:rPr>
          <w:lang w:val="en-GB"/>
        </w:rPr>
        <w:t>“</w:t>
      </w:r>
      <w:r w:rsidRPr="00BD6C5F">
        <w:rPr>
          <w:b/>
          <w:lang w:val="en-GB"/>
        </w:rPr>
        <w:t>Insolvency Continuity Plan</w:t>
      </w:r>
      <w:r w:rsidR="00A4555C" w:rsidRPr="00BD6C5F">
        <w:rPr>
          <w:lang w:val="en-GB"/>
        </w:rPr>
        <w:t>”</w:t>
      </w:r>
      <w:r w:rsidRPr="00BD6C5F">
        <w:rPr>
          <w:lang w:val="en-GB"/>
        </w:rPr>
        <w:t>); and</w:t>
      </w:r>
      <w:bookmarkEnd w:id="1458"/>
    </w:p>
    <w:p w14:paraId="7173504B" w14:textId="1320D58C" w:rsidR="00BC7DDA" w:rsidRPr="00BD6C5F" w:rsidRDefault="009B03E9" w:rsidP="00D4497D">
      <w:pPr>
        <w:pStyle w:val="Numbered111"/>
      </w:pPr>
      <w:r w:rsidRPr="00BD6C5F">
        <w:t>unless otherwise required by the Authority in writing, be based upon and be consistent with the provisions of Paragraphs</w:t>
      </w:r>
      <w:r w:rsidR="004E4766" w:rsidRPr="00BD6C5F">
        <w:t> </w:t>
      </w:r>
      <w:r w:rsidR="004E4766" w:rsidRPr="00BD6C5F">
        <w:fldChar w:fldCharType="begin"/>
      </w:r>
      <w:r w:rsidR="004E4766" w:rsidRPr="00BD6C5F">
        <w:instrText xml:space="preserve"> REF _Ref98423200 \w \h </w:instrText>
      </w:r>
      <w:r w:rsidR="00AD7DD0" w:rsidRPr="00BD6C5F">
        <w:instrText xml:space="preserve"> \* MERGEFORMAT </w:instrText>
      </w:r>
      <w:r w:rsidR="004E4766" w:rsidRPr="00BD6C5F">
        <w:fldChar w:fldCharType="separate"/>
      </w:r>
      <w:r w:rsidR="009749A0">
        <w:t>3</w:t>
      </w:r>
      <w:r w:rsidR="004E4766" w:rsidRPr="00BD6C5F">
        <w:fldChar w:fldCharType="end"/>
      </w:r>
      <w:r w:rsidRPr="00BD6C5F">
        <w:t xml:space="preserve">, </w:t>
      </w:r>
      <w:r w:rsidR="004E4766" w:rsidRPr="00BD6C5F">
        <w:fldChar w:fldCharType="begin"/>
      </w:r>
      <w:r w:rsidR="004E4766" w:rsidRPr="00BD6C5F">
        <w:instrText xml:space="preserve"> REF _Ref98423220 \w \h </w:instrText>
      </w:r>
      <w:r w:rsidR="00AD7DD0" w:rsidRPr="00BD6C5F">
        <w:instrText xml:space="preserve"> \* MERGEFORMAT </w:instrText>
      </w:r>
      <w:r w:rsidR="004E4766" w:rsidRPr="00BD6C5F">
        <w:fldChar w:fldCharType="separate"/>
      </w:r>
      <w:r w:rsidR="009749A0">
        <w:t>4</w:t>
      </w:r>
      <w:r w:rsidR="004E4766" w:rsidRPr="00BD6C5F">
        <w:fldChar w:fldCharType="end"/>
      </w:r>
      <w:r w:rsidRPr="00BD6C5F">
        <w:t xml:space="preserve">, </w:t>
      </w:r>
      <w:r w:rsidR="004E4766" w:rsidRPr="00BD6C5F">
        <w:fldChar w:fldCharType="begin"/>
      </w:r>
      <w:r w:rsidR="004E4766" w:rsidRPr="00BD6C5F">
        <w:instrText xml:space="preserve"> REF _Ref98423228 \w \h </w:instrText>
      </w:r>
      <w:r w:rsidR="00AD7DD0" w:rsidRPr="00BD6C5F">
        <w:instrText xml:space="preserve"> \* MERGEFORMAT </w:instrText>
      </w:r>
      <w:r w:rsidR="004E4766" w:rsidRPr="00BD6C5F">
        <w:fldChar w:fldCharType="separate"/>
      </w:r>
      <w:r w:rsidR="009749A0">
        <w:t>5</w:t>
      </w:r>
      <w:r w:rsidR="004E4766" w:rsidRPr="00BD6C5F">
        <w:fldChar w:fldCharType="end"/>
      </w:r>
      <w:r w:rsidRPr="00BD6C5F">
        <w:t xml:space="preserve"> and </w:t>
      </w:r>
      <w:r w:rsidR="004E4766" w:rsidRPr="00BD6C5F">
        <w:fldChar w:fldCharType="begin"/>
      </w:r>
      <w:r w:rsidR="004E4766" w:rsidRPr="00BD6C5F">
        <w:instrText xml:space="preserve"> REF _Ref98423242 \w \h </w:instrText>
      </w:r>
      <w:r w:rsidR="00AD7DD0" w:rsidRPr="00BD6C5F">
        <w:instrText xml:space="preserve"> \* MERGEFORMAT </w:instrText>
      </w:r>
      <w:r w:rsidR="004E4766" w:rsidRPr="00BD6C5F">
        <w:fldChar w:fldCharType="separate"/>
      </w:r>
      <w:r w:rsidR="009749A0">
        <w:t>6</w:t>
      </w:r>
      <w:r w:rsidR="004E4766" w:rsidRPr="00BD6C5F">
        <w:fldChar w:fldCharType="end"/>
      </w:r>
      <w:r w:rsidRPr="00BD6C5F">
        <w:t>.</w:t>
      </w:r>
    </w:p>
    <w:p w14:paraId="6FDC34F2" w14:textId="77777777" w:rsidR="00BC7DDA" w:rsidRPr="00BD6C5F" w:rsidRDefault="009B03E9" w:rsidP="009F4A63">
      <w:pPr>
        <w:pStyle w:val="Numbered11"/>
        <w:keepNext/>
      </w:pPr>
      <w:bookmarkStart w:id="1459" w:name="_bookmark482"/>
      <w:bookmarkStart w:id="1460" w:name="_Ref98423261"/>
      <w:bookmarkEnd w:id="1459"/>
      <w:r w:rsidRPr="00BD6C5F">
        <w:t>Following receipt of the draft Service Continuity Plan from the Supplier, the Authority shall:</w:t>
      </w:r>
      <w:bookmarkEnd w:id="1460"/>
    </w:p>
    <w:p w14:paraId="6DE810BC" w14:textId="77777777" w:rsidR="00BC7DDA" w:rsidRPr="00BD6C5F" w:rsidRDefault="009B03E9" w:rsidP="00D4497D">
      <w:pPr>
        <w:pStyle w:val="Numbered111"/>
      </w:pPr>
      <w:r w:rsidRPr="00BD6C5F">
        <w:t>review and comment on the draft Service Continuity Plan as soon as reasonably practicable; and</w:t>
      </w:r>
    </w:p>
    <w:p w14:paraId="7AD700FE" w14:textId="77777777" w:rsidR="00BC7DDA" w:rsidRPr="00BD6C5F" w:rsidRDefault="009B03E9" w:rsidP="00D4497D">
      <w:pPr>
        <w:pStyle w:val="Numbered111"/>
      </w:pPr>
      <w:r w:rsidRPr="00BD6C5F">
        <w:t>notify the Supplier in writing that it approves or rejects the draft Service Continuity Plan no later than 20 Working Days after the date on which the draft Service Continuity Plan is first delivered to the Authority.</w:t>
      </w:r>
    </w:p>
    <w:p w14:paraId="254E047D" w14:textId="77777777" w:rsidR="00BC7DDA" w:rsidRPr="00BD6C5F" w:rsidRDefault="009B03E9" w:rsidP="009F4A63">
      <w:pPr>
        <w:pStyle w:val="Numbered11"/>
        <w:keepNext/>
      </w:pPr>
      <w:bookmarkStart w:id="1461" w:name="_bookmark483"/>
      <w:bookmarkStart w:id="1462" w:name="_Ref98423274"/>
      <w:bookmarkEnd w:id="1461"/>
      <w:r w:rsidRPr="00BD6C5F">
        <w:lastRenderedPageBreak/>
        <w:t>If the Authority rejects the draft Service Continuity Plan:</w:t>
      </w:r>
      <w:bookmarkEnd w:id="1462"/>
    </w:p>
    <w:p w14:paraId="03504008" w14:textId="4C141185" w:rsidR="00BC7DDA" w:rsidRPr="00BD6C5F" w:rsidRDefault="009B03E9" w:rsidP="00D4497D">
      <w:pPr>
        <w:pStyle w:val="Numbered111"/>
      </w:pPr>
      <w:r w:rsidRPr="00BD6C5F">
        <w:t>the Authority shall inform the Supplier in writing of its reasons for its rejection; and</w:t>
      </w:r>
    </w:p>
    <w:p w14:paraId="38B5276F" w14:textId="6FA141F9" w:rsidR="00BC7DDA" w:rsidRPr="00BD6C5F" w:rsidRDefault="009B03E9" w:rsidP="00D4497D">
      <w:pPr>
        <w:pStyle w:val="Numbered111"/>
      </w:pPr>
      <w:r w:rsidRPr="00BD6C5F">
        <w:t>the Supplier shall then revise the draft Service Continuity Plan (taking reasonable account of the Authority</w:t>
      </w:r>
      <w:r w:rsidR="00A4555C" w:rsidRPr="00BD6C5F">
        <w:t>’</w:t>
      </w:r>
      <w:r w:rsidRPr="00BD6C5F">
        <w:t>s comments) and shall re-submit a revised draft Service Continuity Plan to the Authority for the Authority</w:t>
      </w:r>
      <w:r w:rsidR="00A4555C" w:rsidRPr="00BD6C5F">
        <w:t>’</w:t>
      </w:r>
      <w:r w:rsidRPr="00BD6C5F">
        <w:t>s approval within 20 Working Days of the date of the Authority</w:t>
      </w:r>
      <w:r w:rsidR="00A4555C" w:rsidRPr="00BD6C5F">
        <w:t>’</w:t>
      </w:r>
      <w:r w:rsidRPr="00BD6C5F">
        <w:t>s notice of rejection. The provisions of Paragraph</w:t>
      </w:r>
      <w:r w:rsidR="004E4766" w:rsidRPr="00BD6C5F">
        <w:t> </w:t>
      </w:r>
      <w:r w:rsidR="004E4766" w:rsidRPr="00BD6C5F">
        <w:fldChar w:fldCharType="begin"/>
      </w:r>
      <w:r w:rsidR="004E4766" w:rsidRPr="00BD6C5F">
        <w:instrText xml:space="preserve"> REF _Ref98423261 \w \h </w:instrText>
      </w:r>
      <w:r w:rsidR="00AD7DD0" w:rsidRPr="00BD6C5F">
        <w:instrText xml:space="preserve"> \* MERGEFORMAT </w:instrText>
      </w:r>
      <w:r w:rsidR="004E4766" w:rsidRPr="00BD6C5F">
        <w:fldChar w:fldCharType="separate"/>
      </w:r>
      <w:r w:rsidR="009749A0">
        <w:t>2.3</w:t>
      </w:r>
      <w:r w:rsidR="004E4766" w:rsidRPr="00BD6C5F">
        <w:fldChar w:fldCharType="end"/>
      </w:r>
      <w:r w:rsidRPr="00BD6C5F">
        <w:t xml:space="preserve"> and this Paragraph</w:t>
      </w:r>
      <w:r w:rsidR="004E4766" w:rsidRPr="00BD6C5F">
        <w:t> </w:t>
      </w:r>
      <w:r w:rsidR="004E4766" w:rsidRPr="00BD6C5F">
        <w:fldChar w:fldCharType="begin"/>
      </w:r>
      <w:r w:rsidR="004E4766" w:rsidRPr="00BD6C5F">
        <w:instrText xml:space="preserve"> REF _Ref98423274 \w \h </w:instrText>
      </w:r>
      <w:r w:rsidR="00AD7DD0" w:rsidRPr="00BD6C5F">
        <w:instrText xml:space="preserve"> \* MERGEFORMAT </w:instrText>
      </w:r>
      <w:r w:rsidR="004E4766" w:rsidRPr="00BD6C5F">
        <w:fldChar w:fldCharType="separate"/>
      </w:r>
      <w:r w:rsidR="009749A0">
        <w:t>2.4</w:t>
      </w:r>
      <w:r w:rsidR="004E4766" w:rsidRPr="00BD6C5F">
        <w:fldChar w:fldCharType="end"/>
      </w:r>
      <w:r w:rsidRPr="00BD6C5F">
        <w:t xml:space="preserve"> shall apply again to any resubmitted draft Service Continuity Plan, provided that either Party may refer any disputed matters for resolution by the Dispute Resolution Procedure at any</w:t>
      </w:r>
      <w:r w:rsidR="00061D4C" w:rsidRPr="00BD6C5F">
        <w:t> </w:t>
      </w:r>
      <w:r w:rsidRPr="00BD6C5F">
        <w:t>time.</w:t>
      </w:r>
    </w:p>
    <w:p w14:paraId="18B68D78" w14:textId="32B061FC" w:rsidR="00BC7DDA" w:rsidRPr="00BD6C5F" w:rsidRDefault="00D4497D" w:rsidP="00C5057A">
      <w:pPr>
        <w:pStyle w:val="Numbered1"/>
      </w:pPr>
      <w:bookmarkStart w:id="1463" w:name="_bookmark484"/>
      <w:bookmarkStart w:id="1464" w:name="_Ref98423200"/>
      <w:bookmarkEnd w:id="1463"/>
      <w:r w:rsidRPr="00BD6C5F">
        <w:t>Service Continuity Plan: Part A – General Principles and Requirements</w:t>
      </w:r>
      <w:bookmarkEnd w:id="1464"/>
    </w:p>
    <w:p w14:paraId="2E5DEB4B" w14:textId="77777777" w:rsidR="00BC7DDA" w:rsidRPr="00BD6C5F" w:rsidRDefault="009B03E9" w:rsidP="009F4A63">
      <w:pPr>
        <w:pStyle w:val="Numbered11"/>
        <w:keepNext/>
      </w:pPr>
      <w:r w:rsidRPr="00BD6C5F">
        <w:t>Part A of the Service Continuity Plan shall:</w:t>
      </w:r>
    </w:p>
    <w:p w14:paraId="641866A6" w14:textId="77777777" w:rsidR="00BC7DDA" w:rsidRPr="00BD6C5F" w:rsidRDefault="009B03E9" w:rsidP="00D4497D">
      <w:pPr>
        <w:pStyle w:val="Numbered111"/>
      </w:pPr>
      <w:r w:rsidRPr="00BD6C5F">
        <w:t>set out how the business continuity, disaster recovery and insolvency continuity elements of the plan link to each other;</w:t>
      </w:r>
    </w:p>
    <w:p w14:paraId="1726D64F" w14:textId="77777777" w:rsidR="00BC7DDA" w:rsidRPr="00BD6C5F" w:rsidRDefault="009B03E9" w:rsidP="00D4497D">
      <w:pPr>
        <w:pStyle w:val="Numbered111"/>
      </w:pPr>
      <w:r w:rsidRPr="00BD6C5F">
        <w:t>provide details of how the invocation of any element of the Service Continuity Plan may impact upon the operation of the Services and any services provided to the Authority by a Related Service Provider;</w:t>
      </w:r>
    </w:p>
    <w:p w14:paraId="47F84CAC" w14:textId="185FF765" w:rsidR="00BC7DDA" w:rsidRPr="00BD6C5F" w:rsidRDefault="009B03E9" w:rsidP="00D4497D">
      <w:pPr>
        <w:pStyle w:val="Numbered111"/>
      </w:pPr>
      <w:r w:rsidRPr="00BD6C5F">
        <w:t>contain an obligation upon the Supplier to liaise with the Authority and (at the Authority</w:t>
      </w:r>
      <w:r w:rsidR="00A4555C" w:rsidRPr="00BD6C5F">
        <w:t>’</w:t>
      </w:r>
      <w:r w:rsidRPr="00BD6C5F">
        <w:t>s request) any Related Service Provider with respect to issues concerning business continuity, disaster recovery and insolvency continuity where applicable;</w:t>
      </w:r>
    </w:p>
    <w:p w14:paraId="1BA23043" w14:textId="77777777" w:rsidR="00BC7DDA" w:rsidRPr="00BD6C5F" w:rsidRDefault="009B03E9" w:rsidP="00D4497D">
      <w:pPr>
        <w:pStyle w:val="Numbered111"/>
      </w:pPr>
      <w:r w:rsidRPr="00BD6C5F">
        <w:t>detail how the Service Continuity Plan links and interoperates with any overarching and/or connected disaster recovery, business continuity and/or insolvency continuity plan of the Authority and any of its other Related Service Providers in each case as notified to the Supplier by the Authority from time to time;</w:t>
      </w:r>
    </w:p>
    <w:p w14:paraId="382242A5" w14:textId="77777777" w:rsidR="00BC7DDA" w:rsidRPr="00BD6C5F" w:rsidRDefault="009B03E9" w:rsidP="00D4497D">
      <w:pPr>
        <w:pStyle w:val="Numbered111"/>
      </w:pPr>
      <w:bookmarkStart w:id="1465" w:name="_Ref98423206"/>
      <w:r w:rsidRPr="00BD6C5F">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bookmarkEnd w:id="1465"/>
    </w:p>
    <w:p w14:paraId="156398A6" w14:textId="77777777" w:rsidR="00BC7DDA" w:rsidRPr="00BD6C5F" w:rsidRDefault="009B03E9" w:rsidP="00D4497D">
      <w:pPr>
        <w:pStyle w:val="Numbered111"/>
      </w:pPr>
      <w:r w:rsidRPr="00BD6C5F">
        <w:t>contain a risk analysis, including:</w:t>
      </w:r>
    </w:p>
    <w:p w14:paraId="28E3D094" w14:textId="77777777" w:rsidR="00BC7DDA" w:rsidRPr="00BD6C5F" w:rsidRDefault="009B03E9" w:rsidP="009F4A63">
      <w:pPr>
        <w:pStyle w:val="Numbered111"/>
        <w:keepNext/>
      </w:pPr>
      <w:r w:rsidRPr="00BD6C5F">
        <w:t>failure or disruption scenarios and assessments and estimates of frequency of occurrence;</w:t>
      </w:r>
    </w:p>
    <w:p w14:paraId="46C5810D" w14:textId="77777777" w:rsidR="00BC7DDA" w:rsidRPr="00BD6C5F" w:rsidRDefault="009B03E9" w:rsidP="00DE03A4">
      <w:pPr>
        <w:pStyle w:val="Numbered111a"/>
      </w:pPr>
      <w:r w:rsidRPr="00BD6C5F">
        <w:t>identification of any single points of failure within the Services and processes for managing the risks arising therefrom;</w:t>
      </w:r>
    </w:p>
    <w:p w14:paraId="42C0837C" w14:textId="5A2A4176" w:rsidR="00BC7DDA" w:rsidRPr="00BD6C5F" w:rsidRDefault="00DB2677" w:rsidP="00D4497D">
      <w:pPr>
        <w:pStyle w:val="Numbered111a"/>
        <w:rPr>
          <w:lang w:val="en-GB"/>
        </w:rPr>
      </w:pPr>
      <w:r w:rsidRPr="00BD6C5F">
        <w:rPr>
          <w:lang w:val="en-GB"/>
        </w:rPr>
        <w:t xml:space="preserve"> </w:t>
      </w:r>
      <w:r w:rsidR="009B03E9" w:rsidRPr="00BD6C5F">
        <w:rPr>
          <w:lang w:val="en-GB"/>
        </w:rPr>
        <w:t>identification of risks arising from the interaction of the Services with the services provided by a Related Service Provider;</w:t>
      </w:r>
    </w:p>
    <w:p w14:paraId="6E80FC98" w14:textId="77777777" w:rsidR="00BC7DDA" w:rsidRPr="00BD6C5F" w:rsidRDefault="009B03E9" w:rsidP="00D4497D">
      <w:pPr>
        <w:pStyle w:val="Numbered111a"/>
        <w:rPr>
          <w:lang w:val="en-GB"/>
        </w:rPr>
      </w:pPr>
      <w:r w:rsidRPr="00BD6C5F">
        <w:rPr>
          <w:lang w:val="en-GB"/>
        </w:rPr>
        <w:t xml:space="preserve">identification of risks arising from an Insolvency Event of the Supplier, </w:t>
      </w:r>
      <w:r w:rsidRPr="00BD6C5F">
        <w:rPr>
          <w:lang w:val="en-GB"/>
        </w:rPr>
        <w:lastRenderedPageBreak/>
        <w:t>any Key Sub-contractors and/or Supplier Group member; and</w:t>
      </w:r>
    </w:p>
    <w:p w14:paraId="6567372C" w14:textId="77777777" w:rsidR="00BC7DDA" w:rsidRPr="00BD6C5F" w:rsidRDefault="009B03E9" w:rsidP="00D4497D">
      <w:pPr>
        <w:pStyle w:val="Numbered111a"/>
        <w:rPr>
          <w:lang w:val="en-GB"/>
        </w:rPr>
      </w:pPr>
      <w:r w:rsidRPr="00BD6C5F">
        <w:rPr>
          <w:lang w:val="en-GB"/>
        </w:rPr>
        <w:t>a business impact analysis (detailing the impact on business processes and operations) of different anticipated failures or disruptions;</w:t>
      </w:r>
    </w:p>
    <w:p w14:paraId="43BC78D0" w14:textId="77777777" w:rsidR="00BC7DDA" w:rsidRPr="00BD6C5F" w:rsidRDefault="009B03E9" w:rsidP="00CE51D0">
      <w:pPr>
        <w:pStyle w:val="Numbered111a"/>
        <w:rPr>
          <w:lang w:val="en-GB"/>
        </w:rPr>
      </w:pPr>
      <w:r w:rsidRPr="00BD6C5F">
        <w:rPr>
          <w:lang w:val="en-GB"/>
        </w:rPr>
        <w:t>provide for documentation of processes, including business processes, and procedures;</w:t>
      </w:r>
    </w:p>
    <w:p w14:paraId="307397A2" w14:textId="77777777" w:rsidR="00BC7DDA" w:rsidRPr="00BD6C5F" w:rsidRDefault="009B03E9" w:rsidP="00D4497D">
      <w:pPr>
        <w:pStyle w:val="Numbered111"/>
      </w:pPr>
      <w:r w:rsidRPr="00BD6C5F">
        <w:t>set out key contact details (including roles and responsibilities) for the Supplier (and any Sub-contractors) and for the Authority;</w:t>
      </w:r>
    </w:p>
    <w:p w14:paraId="5D8CF40C" w14:textId="785CAAAF" w:rsidR="00BC7DDA" w:rsidRPr="00BD6C5F" w:rsidRDefault="009B03E9" w:rsidP="00D4497D">
      <w:pPr>
        <w:pStyle w:val="Numbered111"/>
      </w:pPr>
      <w:r w:rsidRPr="00BD6C5F">
        <w:t xml:space="preserve">identify the procedures for reverting to </w:t>
      </w:r>
      <w:r w:rsidR="00A4555C" w:rsidRPr="00BD6C5F">
        <w:t>“</w:t>
      </w:r>
      <w:r w:rsidRPr="00BD6C5F">
        <w:t>normal service</w:t>
      </w:r>
      <w:r w:rsidR="00A4555C" w:rsidRPr="00BD6C5F">
        <w:t>”</w:t>
      </w:r>
      <w:r w:rsidRPr="00BD6C5F">
        <w:t>;</w:t>
      </w:r>
    </w:p>
    <w:p w14:paraId="037B542B" w14:textId="77777777" w:rsidR="00BC7DDA" w:rsidRPr="00BD6C5F" w:rsidRDefault="009B03E9" w:rsidP="00D4497D">
      <w:pPr>
        <w:pStyle w:val="Numbered111"/>
      </w:pPr>
      <w:r w:rsidRPr="00BD6C5F">
        <w:t>set out method(s) of recovering or updating data collected (or which ought to have been collected) during a failure or disruption to ensure that there is no more than the accepted amount of data loss and to preserve data integrity;</w:t>
      </w:r>
    </w:p>
    <w:p w14:paraId="2D58A700" w14:textId="77777777" w:rsidR="00BC7DDA" w:rsidRPr="00BD6C5F" w:rsidRDefault="009B03E9" w:rsidP="00D4497D">
      <w:pPr>
        <w:pStyle w:val="Numbered111"/>
      </w:pPr>
      <w:r w:rsidRPr="00BD6C5F">
        <w:t>identify the responsibilities (if any) that the Authority has agreed it will assume in the event of the invocation of the Service Continuity Plan; and</w:t>
      </w:r>
    </w:p>
    <w:p w14:paraId="3D0B7960" w14:textId="5C9F252B" w:rsidR="00BC7DDA" w:rsidRPr="00BD6C5F" w:rsidRDefault="009B03E9" w:rsidP="00D4497D">
      <w:pPr>
        <w:pStyle w:val="Numbered111"/>
      </w:pPr>
      <w:r w:rsidRPr="00BD6C5F">
        <w:t>provide for the provision of technical advice and assistance to key contacts at the Authority as notified by the Authority from time to time to inform decisions in support of the Authority</w:t>
      </w:r>
      <w:r w:rsidR="00A4555C" w:rsidRPr="00BD6C5F">
        <w:t>’</w:t>
      </w:r>
      <w:r w:rsidRPr="00BD6C5F">
        <w:t>s business continuity plans.</w:t>
      </w:r>
    </w:p>
    <w:p w14:paraId="7C3C3190" w14:textId="77777777" w:rsidR="00BC7DDA" w:rsidRPr="00BD6C5F" w:rsidRDefault="009B03E9" w:rsidP="009F4A63">
      <w:pPr>
        <w:pStyle w:val="Numbered11"/>
        <w:keepNext/>
      </w:pPr>
      <w:r w:rsidRPr="00BD6C5F">
        <w:t>The Service Continuity Plan shall be designed so as to ensure that:</w:t>
      </w:r>
    </w:p>
    <w:p w14:paraId="2C464B6A" w14:textId="1F884F88" w:rsidR="00BC7DDA" w:rsidRPr="00BD6C5F" w:rsidRDefault="009B03E9" w:rsidP="00D4497D">
      <w:pPr>
        <w:pStyle w:val="Numbered111"/>
      </w:pPr>
      <w:r w:rsidRPr="00BD6C5F">
        <w:t xml:space="preserve">the Services are provided in accordance with this </w:t>
      </w:r>
      <w:r w:rsidR="00EC13C9" w:rsidRPr="00BD6C5F">
        <w:t xml:space="preserve">Contract </w:t>
      </w:r>
      <w:r w:rsidRPr="00BD6C5F">
        <w:t>at all times during and after the invocation of the Service Continuity Plan;</w:t>
      </w:r>
    </w:p>
    <w:p w14:paraId="1FC7DCC7" w14:textId="77777777" w:rsidR="00BC7DDA" w:rsidRPr="00BD6C5F" w:rsidRDefault="009B03E9" w:rsidP="00D4497D">
      <w:pPr>
        <w:pStyle w:val="Numbered111"/>
      </w:pPr>
      <w:r w:rsidRPr="00BD6C5F">
        <w:t>the adverse impact of any Disaster; service failure; an Insolvency Event of the Supplier, any Key Sub-contractor and/or any Supplier Group member; or disruption on the operations of the Authority, is minimal as far as reasonably possible;</w:t>
      </w:r>
    </w:p>
    <w:p w14:paraId="516D8BC5" w14:textId="77777777" w:rsidR="00BC7DDA" w:rsidRPr="00BD6C5F" w:rsidRDefault="009B03E9" w:rsidP="00D4497D">
      <w:pPr>
        <w:pStyle w:val="Numbered111"/>
      </w:pPr>
      <w:r w:rsidRPr="00BD6C5F">
        <w:t>it complies with the relevant provisions of ISO/IEC 22301 and all other industry standards from time to time in force; and</w:t>
      </w:r>
    </w:p>
    <w:p w14:paraId="7297D75C" w14:textId="77777777" w:rsidR="00BC7DDA" w:rsidRPr="00BD6C5F" w:rsidRDefault="009B03E9" w:rsidP="00D4497D">
      <w:pPr>
        <w:pStyle w:val="Numbered111"/>
      </w:pPr>
      <w:r w:rsidRPr="00BD6C5F">
        <w:t>there is a process for the management of disaster recovery testing detailed in the Service Continuity Plan.</w:t>
      </w:r>
    </w:p>
    <w:p w14:paraId="462DD99C" w14:textId="77777777" w:rsidR="00BC7DDA" w:rsidRPr="00BD6C5F" w:rsidRDefault="009B03E9" w:rsidP="00C5057A">
      <w:pPr>
        <w:pStyle w:val="Numbered11"/>
      </w:pPr>
      <w:r w:rsidRPr="00BD6C5F">
        <w:t>The Service Continuity Plan shall be upgradeable and sufficiently flexible to support any changes to the Services, to the business processes facilitated by and the business operations supported by the Services, and/or changes to the Supplier Group structure.</w:t>
      </w:r>
    </w:p>
    <w:p w14:paraId="32986093" w14:textId="44653FDB" w:rsidR="00BC7DDA" w:rsidRPr="00BD6C5F" w:rsidRDefault="009B03E9" w:rsidP="00C5057A">
      <w:pPr>
        <w:pStyle w:val="Numbered11"/>
      </w:pPr>
      <w:r w:rsidRPr="00BD6C5F">
        <w:t xml:space="preserve">The Supplier shall not be entitled to any relief from its obligations under the Performance Indicators or to any increase in the Charges to the extent that a Disaster occurs as a consequence of any breach by the Supplier of this </w:t>
      </w:r>
      <w:r w:rsidR="00EC13C9" w:rsidRPr="00BD6C5F">
        <w:t>Contract</w:t>
      </w:r>
      <w:r w:rsidRPr="00BD6C5F">
        <w:t>.</w:t>
      </w:r>
    </w:p>
    <w:p w14:paraId="1ABDA4EC" w14:textId="2F8672C9" w:rsidR="00BC7DDA" w:rsidRPr="00BD6C5F" w:rsidRDefault="00D4497D" w:rsidP="00C5057A">
      <w:pPr>
        <w:pStyle w:val="Numbered1"/>
      </w:pPr>
      <w:bookmarkStart w:id="1466" w:name="_bookmark485"/>
      <w:bookmarkStart w:id="1467" w:name="_Ref98423220"/>
      <w:bookmarkEnd w:id="1466"/>
      <w:r w:rsidRPr="00BD6C5F">
        <w:t>Service Continuity Plan: Part B – Business Continuity Principles and Contents</w:t>
      </w:r>
      <w:bookmarkEnd w:id="1467"/>
    </w:p>
    <w:p w14:paraId="786CAA14" w14:textId="77777777" w:rsidR="00BC7DDA" w:rsidRPr="00BD6C5F" w:rsidRDefault="009B03E9" w:rsidP="00C5057A">
      <w:pPr>
        <w:pStyle w:val="Numbered11"/>
      </w:pPr>
      <w:r w:rsidRPr="00BD6C5F">
        <w:t>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Authority expressly states otherwise in writing:</w:t>
      </w:r>
    </w:p>
    <w:p w14:paraId="7BC5B1E1" w14:textId="77777777" w:rsidR="00BC7DDA" w:rsidRPr="00BD6C5F" w:rsidRDefault="009B03E9" w:rsidP="00D4497D">
      <w:pPr>
        <w:pStyle w:val="Numbered111"/>
      </w:pPr>
      <w:r w:rsidRPr="00BD6C5F">
        <w:lastRenderedPageBreak/>
        <w:t>the alternative processes (including business processes), options and responsibilities that may be adopted in the event of a failure in or disruption to the Services; and</w:t>
      </w:r>
    </w:p>
    <w:p w14:paraId="6A46053D" w14:textId="77777777" w:rsidR="00BC7DDA" w:rsidRPr="00BD6C5F" w:rsidRDefault="009B03E9" w:rsidP="00D4497D">
      <w:pPr>
        <w:pStyle w:val="Numbered111"/>
      </w:pPr>
      <w:r w:rsidRPr="00BD6C5F">
        <w:t>the steps to be taken by the Supplier upon resumption of the Services in order to address any prevailing effect of the failure or disruption including a root cause analysis of the failure or disruption.</w:t>
      </w:r>
    </w:p>
    <w:p w14:paraId="1B43E2C8" w14:textId="77777777" w:rsidR="00BC7DDA" w:rsidRPr="00BD6C5F" w:rsidRDefault="009B03E9" w:rsidP="00C5057A">
      <w:pPr>
        <w:pStyle w:val="Numbered11"/>
      </w:pPr>
      <w:bookmarkStart w:id="1468" w:name="_Ref98423050"/>
      <w:r w:rsidRPr="00BD6C5F">
        <w:t>The Business Continuity Plan shall:</w:t>
      </w:r>
      <w:bookmarkEnd w:id="1468"/>
    </w:p>
    <w:p w14:paraId="165FE288" w14:textId="77777777" w:rsidR="00BC7DDA" w:rsidRPr="00BD6C5F" w:rsidRDefault="009B03E9" w:rsidP="00D4497D">
      <w:pPr>
        <w:pStyle w:val="Numbered111"/>
      </w:pPr>
      <w:r w:rsidRPr="00BD6C5F">
        <w:t>address the various possible levels of failures of or disruptions to the Services;</w:t>
      </w:r>
    </w:p>
    <w:p w14:paraId="77824701" w14:textId="07C40ECC" w:rsidR="00BC7DDA" w:rsidRPr="00BD6C5F" w:rsidRDefault="009B03E9" w:rsidP="00D4497D">
      <w:pPr>
        <w:pStyle w:val="Numbered111"/>
      </w:pPr>
      <w:bookmarkStart w:id="1469" w:name="_bookmark486"/>
      <w:bookmarkStart w:id="1470" w:name="_Ref98423058"/>
      <w:bookmarkEnd w:id="1469"/>
      <w:r w:rsidRPr="00BD6C5F">
        <w:t xml:space="preserve">set out the services to be provided and the steps to be taken to remedy the different levels of failures of and disruption to the Services (such services and steps, the </w:t>
      </w:r>
      <w:r w:rsidR="00A4555C" w:rsidRPr="00BD6C5F">
        <w:t>“</w:t>
      </w:r>
      <w:r w:rsidRPr="00BD6C5F">
        <w:rPr>
          <w:b/>
        </w:rPr>
        <w:t>Business Continuity Services</w:t>
      </w:r>
      <w:r w:rsidR="00A4555C" w:rsidRPr="00BD6C5F">
        <w:t>”</w:t>
      </w:r>
      <w:r w:rsidRPr="00BD6C5F">
        <w:t>);</w:t>
      </w:r>
      <w:bookmarkEnd w:id="1470"/>
    </w:p>
    <w:p w14:paraId="5BEAFC21" w14:textId="77777777" w:rsidR="00BC7DDA" w:rsidRPr="00BD6C5F" w:rsidRDefault="009B03E9" w:rsidP="00D4497D">
      <w:pPr>
        <w:pStyle w:val="Numbered111"/>
      </w:pPr>
      <w:r w:rsidRPr="00BD6C5F">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60D7671C" w14:textId="77777777" w:rsidR="00BC7DDA" w:rsidRPr="00BD6C5F" w:rsidRDefault="009B03E9" w:rsidP="00D4497D">
      <w:pPr>
        <w:pStyle w:val="Numbered111"/>
      </w:pPr>
      <w:r w:rsidRPr="00BD6C5F">
        <w:t>clearly set out the conditions and/or circumstances under which the Business Continuity Plan is invoked.</w:t>
      </w:r>
    </w:p>
    <w:p w14:paraId="429B974E" w14:textId="63DE8679" w:rsidR="00BC7DDA" w:rsidRPr="00BD6C5F" w:rsidRDefault="00D4497D" w:rsidP="00C5057A">
      <w:pPr>
        <w:pStyle w:val="Numbered1"/>
      </w:pPr>
      <w:bookmarkStart w:id="1471" w:name="_bookmark487"/>
      <w:bookmarkStart w:id="1472" w:name="_Ref98423228"/>
      <w:bookmarkEnd w:id="1471"/>
      <w:r w:rsidRPr="00BD6C5F">
        <w:t>Service Continuity Plan: Part C – Disaster Recovery Principles and Contents</w:t>
      </w:r>
      <w:bookmarkEnd w:id="1472"/>
    </w:p>
    <w:p w14:paraId="66086805" w14:textId="77777777" w:rsidR="00BC7DDA" w:rsidRPr="00BD6C5F" w:rsidRDefault="009B03E9" w:rsidP="00C5057A">
      <w:pPr>
        <w:pStyle w:val="Numbered11"/>
      </w:pPr>
      <w:r w:rsidRPr="00BD6C5F">
        <w:t>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p>
    <w:p w14:paraId="6B8B7C1A" w14:textId="77777777" w:rsidR="00BC7DDA" w:rsidRPr="00BD6C5F" w:rsidRDefault="009B03E9" w:rsidP="00C5057A">
      <w:pPr>
        <w:pStyle w:val="Numbered11"/>
      </w:pPr>
      <w:r w:rsidRPr="00BD6C5F">
        <w:t>The Disaster Recovery Plan shall be invoked only upon the occurrence of a Disaster.</w:t>
      </w:r>
    </w:p>
    <w:p w14:paraId="60CD4542" w14:textId="13F63B66" w:rsidR="00BC7DDA" w:rsidRPr="00BD6C5F" w:rsidRDefault="009B03E9" w:rsidP="009F4A63">
      <w:pPr>
        <w:pStyle w:val="Numbered11"/>
        <w:keepNext/>
      </w:pPr>
      <w:r w:rsidRPr="00BD6C5F">
        <w:t>The Disaster Recovery Plan shall include the following:</w:t>
      </w:r>
    </w:p>
    <w:p w14:paraId="3DE6DB54" w14:textId="77777777" w:rsidR="00BC7DDA" w:rsidRPr="00BD6C5F" w:rsidRDefault="009B03E9" w:rsidP="00D4497D">
      <w:pPr>
        <w:pStyle w:val="Numbered111"/>
      </w:pPr>
      <w:r w:rsidRPr="00BD6C5F">
        <w:t>the technical design and build specification of the Disaster Recovery System;</w:t>
      </w:r>
    </w:p>
    <w:p w14:paraId="5C790400" w14:textId="77777777" w:rsidR="00BC7DDA" w:rsidRPr="00BD6C5F" w:rsidRDefault="009B03E9" w:rsidP="00D4497D">
      <w:pPr>
        <w:pStyle w:val="Numbered111"/>
      </w:pPr>
      <w:r w:rsidRPr="00BD6C5F">
        <w:t>details of the procedures and processes to be put in place by the Supplier in relation to the Disaster Recovery System and the provision of the Disaster Recovery Services and any testing of the same including but not limited to the following:</w:t>
      </w:r>
    </w:p>
    <w:p w14:paraId="299B4FB7" w14:textId="77777777" w:rsidR="00BC7DDA" w:rsidRPr="00BD6C5F" w:rsidRDefault="009B03E9" w:rsidP="00DE03A4">
      <w:pPr>
        <w:pStyle w:val="Numbered111a"/>
      </w:pPr>
      <w:r w:rsidRPr="00BD6C5F">
        <w:t>data centre and disaster recovery site audits;</w:t>
      </w:r>
    </w:p>
    <w:p w14:paraId="464DDF8B" w14:textId="24D79AE1" w:rsidR="00BC7DDA" w:rsidRPr="00BD6C5F" w:rsidRDefault="009B03E9" w:rsidP="00D4497D">
      <w:pPr>
        <w:pStyle w:val="Numbered111a"/>
        <w:rPr>
          <w:lang w:val="en-GB"/>
        </w:rPr>
      </w:pPr>
      <w:r w:rsidRPr="00BD6C5F">
        <w:rPr>
          <w:lang w:val="en-GB"/>
        </w:rPr>
        <w:t>backup methodology and details of the Supplier</w:t>
      </w:r>
      <w:r w:rsidR="00A4555C" w:rsidRPr="00BD6C5F">
        <w:rPr>
          <w:lang w:val="en-GB"/>
        </w:rPr>
        <w:t>’</w:t>
      </w:r>
      <w:r w:rsidRPr="00BD6C5F">
        <w:rPr>
          <w:lang w:val="en-GB"/>
        </w:rPr>
        <w:t>s approach to data back-up and data verification;</w:t>
      </w:r>
    </w:p>
    <w:p w14:paraId="3485BCF3" w14:textId="77777777" w:rsidR="00BC7DDA" w:rsidRPr="00BD6C5F" w:rsidRDefault="009B03E9" w:rsidP="00D4497D">
      <w:pPr>
        <w:pStyle w:val="Numbered111a"/>
        <w:rPr>
          <w:lang w:val="en-GB"/>
        </w:rPr>
      </w:pPr>
      <w:r w:rsidRPr="00BD6C5F">
        <w:rPr>
          <w:lang w:val="en-GB"/>
        </w:rPr>
        <w:t>identification of all potential disaster scenarios;</w:t>
      </w:r>
    </w:p>
    <w:p w14:paraId="09AE8DDF" w14:textId="77777777" w:rsidR="00BC7DDA" w:rsidRPr="00BD6C5F" w:rsidRDefault="009B03E9" w:rsidP="00D4497D">
      <w:pPr>
        <w:pStyle w:val="Numbered111a"/>
        <w:rPr>
          <w:lang w:val="en-GB"/>
        </w:rPr>
      </w:pPr>
      <w:r w:rsidRPr="00BD6C5F">
        <w:rPr>
          <w:lang w:val="en-GB"/>
        </w:rPr>
        <w:t>risk analysis;</w:t>
      </w:r>
    </w:p>
    <w:p w14:paraId="08856474" w14:textId="77777777" w:rsidR="00BC7DDA" w:rsidRPr="00BD6C5F" w:rsidRDefault="009B03E9" w:rsidP="00D4497D">
      <w:pPr>
        <w:pStyle w:val="Numbered111a"/>
        <w:rPr>
          <w:lang w:val="en-GB"/>
        </w:rPr>
      </w:pPr>
      <w:r w:rsidRPr="00BD6C5F">
        <w:rPr>
          <w:lang w:val="en-GB"/>
        </w:rPr>
        <w:t>documentation of processes and procedures;</w:t>
      </w:r>
    </w:p>
    <w:p w14:paraId="006B71B6" w14:textId="77777777" w:rsidR="00BC7DDA" w:rsidRPr="00BD6C5F" w:rsidRDefault="009B03E9" w:rsidP="00D4497D">
      <w:pPr>
        <w:pStyle w:val="Numbered111a"/>
        <w:rPr>
          <w:lang w:val="en-GB"/>
        </w:rPr>
      </w:pPr>
      <w:r w:rsidRPr="00BD6C5F">
        <w:rPr>
          <w:lang w:val="en-GB"/>
        </w:rPr>
        <w:t>hardware configuration details;</w:t>
      </w:r>
    </w:p>
    <w:p w14:paraId="34F6161B" w14:textId="77777777" w:rsidR="00BC7DDA" w:rsidRPr="00BD6C5F" w:rsidRDefault="009B03E9" w:rsidP="00D4497D">
      <w:pPr>
        <w:pStyle w:val="Numbered111a"/>
        <w:rPr>
          <w:lang w:val="en-GB"/>
        </w:rPr>
      </w:pPr>
      <w:r w:rsidRPr="00BD6C5F">
        <w:rPr>
          <w:lang w:val="en-GB"/>
        </w:rPr>
        <w:lastRenderedPageBreak/>
        <w:t>network planning including details of all relevant data networks and communication links;</w:t>
      </w:r>
    </w:p>
    <w:p w14:paraId="5FBACC1F" w14:textId="77777777" w:rsidR="00BC7DDA" w:rsidRPr="00BD6C5F" w:rsidRDefault="009B03E9" w:rsidP="00D4497D">
      <w:pPr>
        <w:pStyle w:val="Numbered111a"/>
        <w:rPr>
          <w:lang w:val="en-GB"/>
        </w:rPr>
      </w:pPr>
      <w:r w:rsidRPr="00BD6C5F">
        <w:rPr>
          <w:lang w:val="en-GB"/>
        </w:rPr>
        <w:t>invocation rules;</w:t>
      </w:r>
    </w:p>
    <w:p w14:paraId="1C359D17" w14:textId="77777777" w:rsidR="00BC7DDA" w:rsidRPr="00BD6C5F" w:rsidRDefault="009B03E9" w:rsidP="00D4497D">
      <w:pPr>
        <w:pStyle w:val="Numbered111a"/>
        <w:rPr>
          <w:lang w:val="en-GB"/>
        </w:rPr>
      </w:pPr>
      <w:r w:rsidRPr="00BD6C5F">
        <w:rPr>
          <w:lang w:val="en-GB"/>
        </w:rPr>
        <w:t>Service recovery procedures; and</w:t>
      </w:r>
    </w:p>
    <w:p w14:paraId="4FD832A7" w14:textId="77777777" w:rsidR="00BC7DDA" w:rsidRPr="00BD6C5F" w:rsidRDefault="009B03E9" w:rsidP="00D4497D">
      <w:pPr>
        <w:pStyle w:val="Numbered111a"/>
        <w:rPr>
          <w:lang w:val="en-GB"/>
        </w:rPr>
      </w:pPr>
      <w:r w:rsidRPr="00BD6C5F">
        <w:rPr>
          <w:lang w:val="en-GB"/>
        </w:rPr>
        <w:t>steps to be taken upon resumption of the Services to address any prevailing effect of the failure or disruption of the Services;</w:t>
      </w:r>
    </w:p>
    <w:p w14:paraId="341C0C75" w14:textId="77777777" w:rsidR="00BC7DDA" w:rsidRPr="00BD6C5F" w:rsidRDefault="009B03E9" w:rsidP="00D4497D">
      <w:pPr>
        <w:pStyle w:val="Numbered111"/>
      </w:pPr>
      <w:r w:rsidRPr="00BD6C5F">
        <w:t>any applicable Performance Indicators with respect to the provision of the Disaster Recovery Services and details of any agreed relaxation to the Performance Indicators in respect of other Services during any period of invocation of the Disaster Recovery Plan;</w:t>
      </w:r>
    </w:p>
    <w:p w14:paraId="3316AB89" w14:textId="77777777" w:rsidR="00BC7DDA" w:rsidRPr="00BD6C5F" w:rsidRDefault="009B03E9" w:rsidP="00D4497D">
      <w:pPr>
        <w:pStyle w:val="Numbered111"/>
      </w:pPr>
      <w:r w:rsidRPr="00BD6C5F">
        <w:t>details of how the Supplier shall ensure compliance with security standards ensuring that compliance is maintained for any period during which the Disaster Recovery Plan is invoked;</w:t>
      </w:r>
    </w:p>
    <w:p w14:paraId="07BF881B" w14:textId="77777777" w:rsidR="00BC7DDA" w:rsidRPr="00BD6C5F" w:rsidRDefault="009B03E9" w:rsidP="00D4497D">
      <w:pPr>
        <w:pStyle w:val="Numbered111"/>
      </w:pPr>
      <w:r w:rsidRPr="00BD6C5F">
        <w:t>access controls to any disaster recovery sites used by the Supplier in relation to its obligations pursuant to this Schedule; and</w:t>
      </w:r>
    </w:p>
    <w:p w14:paraId="59D52569" w14:textId="77777777" w:rsidR="00BC7DDA" w:rsidRPr="00BD6C5F" w:rsidRDefault="009B03E9" w:rsidP="00D4497D">
      <w:pPr>
        <w:pStyle w:val="Numbered111"/>
      </w:pPr>
      <w:r w:rsidRPr="00BD6C5F">
        <w:t>testing and management arrangements.</w:t>
      </w:r>
    </w:p>
    <w:p w14:paraId="33C7F2ED" w14:textId="5C8BC8C1" w:rsidR="00BC7DDA" w:rsidRPr="00BD6C5F" w:rsidRDefault="00D4497D" w:rsidP="00C5057A">
      <w:pPr>
        <w:pStyle w:val="Numbered1"/>
      </w:pPr>
      <w:bookmarkStart w:id="1473" w:name="_bookmark488"/>
      <w:bookmarkStart w:id="1474" w:name="_Ref98423242"/>
      <w:bookmarkEnd w:id="1473"/>
      <w:r w:rsidRPr="00BD6C5F">
        <w:t>Service Continuity Plan: Part D – Insolvency Continuity Plan</w:t>
      </w:r>
      <w:bookmarkEnd w:id="1474"/>
      <w:r w:rsidRPr="00BD6C5F">
        <w:t xml:space="preserve"> Principles and Contents</w:t>
      </w:r>
    </w:p>
    <w:p w14:paraId="3B2C66ED" w14:textId="050ED936" w:rsidR="00BC7DDA" w:rsidRPr="00BD6C5F" w:rsidRDefault="009B03E9" w:rsidP="00C5057A">
      <w:pPr>
        <w:pStyle w:val="Numbered11"/>
      </w:pPr>
      <w:r w:rsidRPr="00BD6C5F">
        <w:t>The Insolvency Continuity Plan shall be designed by the Supplier to permit continuity of the business operations of the Authority supported by the</w:t>
      </w:r>
      <w:r w:rsidR="00DB2677" w:rsidRPr="00BD6C5F">
        <w:t xml:space="preserve"> </w:t>
      </w:r>
      <w:r w:rsidRPr="00BD6C5F">
        <w:t>Services through continued provision of the Services following an Insolvency Event of the Supplier, any Key Sub-contractor and/or any Supplier Group member with, as far as reasonably possible, minimal adverse impact.</w:t>
      </w:r>
    </w:p>
    <w:p w14:paraId="31756A97" w14:textId="77777777" w:rsidR="00BC7DDA" w:rsidRPr="00BD6C5F" w:rsidRDefault="009B03E9" w:rsidP="009F4A63">
      <w:pPr>
        <w:pStyle w:val="Numbered11"/>
        <w:keepNext/>
      </w:pPr>
      <w:bookmarkStart w:id="1475" w:name="_bookmark489"/>
      <w:bookmarkStart w:id="1476" w:name="_Ref141216523"/>
      <w:bookmarkEnd w:id="1475"/>
      <w:r w:rsidRPr="00BD6C5F">
        <w:t>The Insolvency Continuity Plan shall include the following:</w:t>
      </w:r>
      <w:bookmarkEnd w:id="1476"/>
    </w:p>
    <w:p w14:paraId="0086EA31" w14:textId="77777777" w:rsidR="00BC7DDA" w:rsidRPr="00BD6C5F" w:rsidRDefault="009B03E9" w:rsidP="00D4497D">
      <w:pPr>
        <w:pStyle w:val="Numbered111"/>
      </w:pPr>
      <w:r w:rsidRPr="00BD6C5F">
        <w:t>communication strategies which are designed to minimise the potential disruption to the provision of the Services, including key contact details in respect of the supply chain and key contact details for operational and contract Supplier Personnel, Key Sub-contractor personnel and Supplier Group member personnel;</w:t>
      </w:r>
    </w:p>
    <w:p w14:paraId="52D30A47" w14:textId="76C229E2" w:rsidR="00BC7DDA" w:rsidRPr="00BD6C5F" w:rsidRDefault="009B03E9" w:rsidP="00D4497D">
      <w:pPr>
        <w:pStyle w:val="Numbered111"/>
      </w:pPr>
      <w:r w:rsidRPr="00BD6C5F">
        <w:t>identification, explanation, assessment and an impact analysis of risks in respect of dependencies between the Supplier, Key Sub-contractors and Supplier Group members where failure of those dependencies could reasonably have an adverse impact on the Services;</w:t>
      </w:r>
    </w:p>
    <w:p w14:paraId="053E33A5" w14:textId="77777777" w:rsidR="00BC7DDA" w:rsidRPr="00BD6C5F" w:rsidRDefault="009B03E9" w:rsidP="00D4497D">
      <w:pPr>
        <w:pStyle w:val="Numbered111"/>
      </w:pPr>
      <w:r w:rsidRPr="00BD6C5F">
        <w:t>plans to manage and mitigate identified risks;</w:t>
      </w:r>
    </w:p>
    <w:p w14:paraId="3E4FE475" w14:textId="29AC41A3" w:rsidR="00BC7DDA" w:rsidRPr="00BD6C5F" w:rsidRDefault="009B03E9" w:rsidP="00D4497D">
      <w:pPr>
        <w:pStyle w:val="Numbered111"/>
      </w:pPr>
      <w:r w:rsidRPr="00BD6C5F">
        <w:t>details of the roles and responsibilities of the Supplier, Key Sub-contractors and/or Supplier Group members to minimise and mitigate the effects of an Insolvency Event of such persons on the Services;</w:t>
      </w:r>
    </w:p>
    <w:p w14:paraId="19FC3A18" w14:textId="505EC362" w:rsidR="00BC7DDA" w:rsidRPr="00BD6C5F" w:rsidRDefault="009B03E9" w:rsidP="00D4497D">
      <w:pPr>
        <w:pStyle w:val="Numbered111"/>
      </w:pPr>
      <w:r w:rsidRPr="00BD6C5F">
        <w:t xml:space="preserve">details of the recovery team to be put in place by the Supplier (which may include representatives of the Supplier, Key Sub-contractors and Supplier </w:t>
      </w:r>
      <w:r w:rsidRPr="00BD6C5F">
        <w:lastRenderedPageBreak/>
        <w:t>Group members); and</w:t>
      </w:r>
    </w:p>
    <w:p w14:paraId="7C4D592C" w14:textId="77777777" w:rsidR="00BC7DDA" w:rsidRPr="00BD6C5F" w:rsidRDefault="009B03E9" w:rsidP="00D4497D">
      <w:pPr>
        <w:pStyle w:val="Numbered111"/>
      </w:pPr>
      <w:r w:rsidRPr="00BD6C5F">
        <w:t>sufficient detail to enable an appointed insolvency practitioner to invoke the plan in the event of an Insolvency Event of the Supplier.</w:t>
      </w:r>
    </w:p>
    <w:p w14:paraId="3E62DE80" w14:textId="6CE437EE" w:rsidR="00BC7DDA" w:rsidRPr="00BD6C5F" w:rsidRDefault="00D4497D" w:rsidP="00C5057A">
      <w:pPr>
        <w:pStyle w:val="Numbered1"/>
      </w:pPr>
      <w:r w:rsidRPr="00BD6C5F">
        <w:t>Review and Amendment of the Service Continuity Plan</w:t>
      </w:r>
    </w:p>
    <w:p w14:paraId="71FEB588" w14:textId="77777777" w:rsidR="00BC7DDA" w:rsidRPr="00BD6C5F" w:rsidRDefault="009B03E9" w:rsidP="009F4A63">
      <w:pPr>
        <w:pStyle w:val="Numbered11"/>
        <w:keepNext/>
      </w:pPr>
      <w:bookmarkStart w:id="1477" w:name="_bookmark490"/>
      <w:bookmarkStart w:id="1478" w:name="_Ref98423527"/>
      <w:bookmarkEnd w:id="1477"/>
      <w:r w:rsidRPr="00BD6C5F">
        <w:t>The Supplier shall review and update the Service Continuity Plan (and the risk analysis on which it is based):</w:t>
      </w:r>
      <w:bookmarkEnd w:id="1478"/>
    </w:p>
    <w:p w14:paraId="538704DC" w14:textId="66B7BE8D" w:rsidR="00BC7DDA" w:rsidRPr="00BD6C5F" w:rsidRDefault="009B03E9" w:rsidP="00D4497D">
      <w:pPr>
        <w:pStyle w:val="Numbered111"/>
      </w:pPr>
      <w:bookmarkStart w:id="1479" w:name="_bookmark491"/>
      <w:bookmarkStart w:id="1480" w:name="_Ref98423493"/>
      <w:bookmarkEnd w:id="1479"/>
      <w:r w:rsidRPr="00BD6C5F">
        <w:t xml:space="preserve">on a regular basis and as a minimum once every </w:t>
      </w:r>
      <w:r w:rsidR="00EC13C9" w:rsidRPr="00BD6C5F">
        <w:t>[</w:t>
      </w:r>
      <w:r w:rsidRPr="00BD6C5F">
        <w:rPr>
          <w:highlight w:val="yellow"/>
        </w:rPr>
        <w:t>6 months</w:t>
      </w:r>
      <w:r w:rsidR="00EC13C9" w:rsidRPr="00BD6C5F">
        <w:rPr>
          <w:highlight w:val="yellow"/>
        </w:rPr>
        <w:t xml:space="preserve">/12 </w:t>
      </w:r>
      <w:r w:rsidR="004C3F13">
        <w:rPr>
          <w:highlight w:val="yellow"/>
        </w:rPr>
        <w:t>m</w:t>
      </w:r>
      <w:r w:rsidR="00EC13C9" w:rsidRPr="00BD6C5F">
        <w:rPr>
          <w:highlight w:val="yellow"/>
        </w:rPr>
        <w:t>onths</w:t>
      </w:r>
      <w:r w:rsidR="00EC13C9" w:rsidRPr="00BD6C5F">
        <w:t>]</w:t>
      </w:r>
      <w:r w:rsidRPr="00BD6C5F">
        <w:t>;</w:t>
      </w:r>
      <w:bookmarkEnd w:id="1480"/>
    </w:p>
    <w:p w14:paraId="7DD25FD5" w14:textId="245F4FBB" w:rsidR="00BC7DDA" w:rsidRPr="00BD6C5F" w:rsidRDefault="009B03E9" w:rsidP="00D4497D">
      <w:pPr>
        <w:pStyle w:val="Numbered111"/>
      </w:pPr>
      <w:r w:rsidRPr="00BD6C5F">
        <w:t>within three calendar months of the Service Continuity Plan (or any part) having been invoked pursuant to Paragraph</w:t>
      </w:r>
      <w:r w:rsidR="004E4766" w:rsidRPr="00BD6C5F">
        <w:t> </w:t>
      </w:r>
      <w:r w:rsidR="004E4766" w:rsidRPr="00BD6C5F">
        <w:fldChar w:fldCharType="begin"/>
      </w:r>
      <w:r w:rsidR="004E4766" w:rsidRPr="00BD6C5F">
        <w:instrText xml:space="preserve"> REF _Ref98423451 \w \h </w:instrText>
      </w:r>
      <w:r w:rsidR="00AD7DD0" w:rsidRPr="00BD6C5F">
        <w:instrText xml:space="preserve"> \* MERGEFORMAT </w:instrText>
      </w:r>
      <w:r w:rsidR="004E4766" w:rsidRPr="00BD6C5F">
        <w:fldChar w:fldCharType="separate"/>
      </w:r>
      <w:r w:rsidR="009749A0">
        <w:t>9</w:t>
      </w:r>
      <w:r w:rsidR="004E4766" w:rsidRPr="00BD6C5F">
        <w:fldChar w:fldCharType="end"/>
      </w:r>
      <w:r w:rsidRPr="00BD6C5F">
        <w:t>;</w:t>
      </w:r>
    </w:p>
    <w:p w14:paraId="0AB36E83" w14:textId="77777777" w:rsidR="00BC7DDA" w:rsidRPr="00BD6C5F" w:rsidRDefault="009B03E9" w:rsidP="00D4497D">
      <w:pPr>
        <w:pStyle w:val="Numbered111"/>
      </w:pPr>
      <w:r w:rsidRPr="00BD6C5F">
        <w:t>within 14 days of a Financial Distress Event;</w:t>
      </w:r>
    </w:p>
    <w:p w14:paraId="20A33C15" w14:textId="6600B637" w:rsidR="00BC7DDA" w:rsidRPr="00BD6C5F" w:rsidRDefault="009B03E9" w:rsidP="00D4497D">
      <w:pPr>
        <w:pStyle w:val="Numbered111"/>
      </w:pPr>
      <w:bookmarkStart w:id="1481" w:name="_bookmark492"/>
      <w:bookmarkStart w:id="1482" w:name="_Ref98423515"/>
      <w:bookmarkEnd w:id="1481"/>
      <w:r w:rsidRPr="00BD6C5F">
        <w:t>within 30 days of a Corporate Change Event</w:t>
      </w:r>
      <w:r w:rsidR="00C113A7" w:rsidRPr="00BD6C5F">
        <w:t xml:space="preserve"> (unless the Relevant Authority (acting reasonably) agrees to a Corporate Change Event Grace Period, as set out in Paragraph</w:t>
      </w:r>
      <w:r w:rsidR="004E4766" w:rsidRPr="00BD6C5F">
        <w:t xml:space="preserve"> </w:t>
      </w:r>
      <w:r w:rsidR="00675677">
        <w:fldChar w:fldCharType="begin"/>
      </w:r>
      <w:r w:rsidR="00675677">
        <w:instrText xml:space="preserve"> REF _Ref141219750 \w \h </w:instrText>
      </w:r>
      <w:r w:rsidR="00675677">
        <w:fldChar w:fldCharType="separate"/>
      </w:r>
      <w:r w:rsidR="009749A0">
        <w:t>2.8.2(a)</w:t>
      </w:r>
      <w:r w:rsidR="00675677">
        <w:fldChar w:fldCharType="end"/>
      </w:r>
      <w:r w:rsidR="00C113A7" w:rsidRPr="00BD6C5F">
        <w:t>, in which case that Corporate Change Event Grace Period will apply)</w:t>
      </w:r>
      <w:r w:rsidRPr="00BD6C5F">
        <w:t>; and</w:t>
      </w:r>
      <w:bookmarkEnd w:id="1482"/>
    </w:p>
    <w:p w14:paraId="23675262" w14:textId="7BC40628" w:rsidR="00BC7DDA" w:rsidRPr="00BD6C5F" w:rsidRDefault="009B03E9" w:rsidP="00D4497D">
      <w:pPr>
        <w:pStyle w:val="Numbered111"/>
      </w:pPr>
      <w:r w:rsidRPr="00BD6C5F">
        <w:t>where the Authority requests any additional reviews (over and above those provided for in Paragraphs</w:t>
      </w:r>
      <w:r w:rsidR="004E4766" w:rsidRPr="00BD6C5F">
        <w:t> </w:t>
      </w:r>
      <w:r w:rsidR="004E4766" w:rsidRPr="00BD6C5F">
        <w:fldChar w:fldCharType="begin"/>
      </w:r>
      <w:r w:rsidR="004E4766" w:rsidRPr="00BD6C5F">
        <w:instrText xml:space="preserve"> REF _Ref98423493 \w \h </w:instrText>
      </w:r>
      <w:r w:rsidR="00AD7DD0" w:rsidRPr="00BD6C5F">
        <w:instrText xml:space="preserve"> \* MERGEFORMAT </w:instrText>
      </w:r>
      <w:r w:rsidR="004E4766" w:rsidRPr="00BD6C5F">
        <w:fldChar w:fldCharType="separate"/>
      </w:r>
      <w:r w:rsidR="009749A0">
        <w:t>7.1.1</w:t>
      </w:r>
      <w:r w:rsidR="004E4766" w:rsidRPr="00BD6C5F">
        <w:fldChar w:fldCharType="end"/>
      </w:r>
      <w:r w:rsidRPr="00BD6C5F">
        <w:t xml:space="preserve"> to </w:t>
      </w:r>
      <w:r w:rsidR="004E4766" w:rsidRPr="00BD6C5F">
        <w:fldChar w:fldCharType="begin"/>
      </w:r>
      <w:r w:rsidR="004E4766" w:rsidRPr="00BD6C5F">
        <w:instrText xml:space="preserve"> REF _Ref98423515 \w \h </w:instrText>
      </w:r>
      <w:r w:rsidR="00AD7DD0" w:rsidRPr="00BD6C5F">
        <w:instrText xml:space="preserve"> \* MERGEFORMAT </w:instrText>
      </w:r>
      <w:r w:rsidR="004E4766" w:rsidRPr="00BD6C5F">
        <w:fldChar w:fldCharType="separate"/>
      </w:r>
      <w:r w:rsidR="009749A0">
        <w:t>7.1.4</w:t>
      </w:r>
      <w:r w:rsidR="004E4766" w:rsidRPr="00BD6C5F">
        <w:fldChar w:fldCharType="end"/>
      </w:r>
      <w:r w:rsidRPr="00BD6C5F">
        <w:t>) by notifying the Supplier to such effect in writing, whereupon the Supplier shall conduct such reviews in accordance with the Authority</w:t>
      </w:r>
      <w:r w:rsidR="00A4555C" w:rsidRPr="00BD6C5F">
        <w:t>’</w:t>
      </w:r>
      <w:r w:rsidRPr="00BD6C5F">
        <w:t>s written requirements. Prior to starting its review, the Supplier shall provide an accurate written estimate of the total costs payable by the Authority for the Authority</w:t>
      </w:r>
      <w:r w:rsidR="00A4555C" w:rsidRPr="00BD6C5F">
        <w:t>’</w:t>
      </w:r>
      <w:r w:rsidRPr="00BD6C5F">
        <w:t>s approval. The costs of both Parties of any such additional reviews shall be met by the Authority except</w:t>
      </w:r>
      <w:r w:rsidR="00F054D2" w:rsidRPr="00BD6C5F">
        <w:t xml:space="preserve"> </w:t>
      </w:r>
      <w:r w:rsidRPr="00BD6C5F">
        <w:t>that the Supplier shall not be entitled to charge the Authority for any costs that it may incur above any estimate without the Authority</w:t>
      </w:r>
      <w:r w:rsidR="00A4555C" w:rsidRPr="00BD6C5F">
        <w:t>’</w:t>
      </w:r>
      <w:r w:rsidRPr="00BD6C5F">
        <w:t>s prior written approval.</w:t>
      </w:r>
    </w:p>
    <w:p w14:paraId="4DD02CC7" w14:textId="139375F5" w:rsidR="00BC7DDA" w:rsidRPr="00BD6C5F" w:rsidRDefault="009B03E9" w:rsidP="00C5057A">
      <w:pPr>
        <w:pStyle w:val="Numbered11"/>
      </w:pPr>
      <w:bookmarkStart w:id="1483" w:name="_Ref141216512"/>
      <w:r w:rsidRPr="00BD6C5F">
        <w:t>Each review of the Service Continuity Plan pursuant to Paragraph</w:t>
      </w:r>
      <w:r w:rsidR="004E4766" w:rsidRPr="00BD6C5F">
        <w:t> </w:t>
      </w:r>
      <w:r w:rsidR="004E4766" w:rsidRPr="00BD6C5F">
        <w:fldChar w:fldCharType="begin"/>
      </w:r>
      <w:r w:rsidR="004E4766" w:rsidRPr="00BD6C5F">
        <w:instrText xml:space="preserve"> REF _Ref98423527 \w \h </w:instrText>
      </w:r>
      <w:r w:rsidR="00AD7DD0" w:rsidRPr="00BD6C5F">
        <w:instrText xml:space="preserve"> \* MERGEFORMAT </w:instrText>
      </w:r>
      <w:r w:rsidR="004E4766" w:rsidRPr="00BD6C5F">
        <w:fldChar w:fldCharType="separate"/>
      </w:r>
      <w:r w:rsidR="009749A0">
        <w:t>7.1</w:t>
      </w:r>
      <w:r w:rsidR="004E4766" w:rsidRPr="00BD6C5F">
        <w:fldChar w:fldCharType="end"/>
      </w:r>
      <w:r w:rsidRPr="00BD6C5F">
        <w:t xml:space="preserve"> shall be a review of the procedures and methodologies set out in the Service Continuity Plan and shall assess their suitability having regard to any change to the Services or any underlying business processes and operations facilitated by or supported by the Services which have taken place since the later of the original approval of the Service Continuity Plan or the last review of the Service Continuity Plan and shall also have regard to any occurrence of any event since that date (or the likelihood of any such event taking place in the foreseeable future) which may increase the likelihood of the need to invoke the Service Continuity Plan. The review shall be completed by the Supplier within the period required by the Service Continuity Plan or, if no such period is required, within such period as the Authority shall reasonably require. The Supplier shall, within 20 Working Days of the conclusion of each such review of the Service Continuity Plan, provide to the Authority a report (a </w:t>
      </w:r>
      <w:r w:rsidR="00A4555C" w:rsidRPr="00BD6C5F">
        <w:t>“</w:t>
      </w:r>
      <w:r w:rsidRPr="00BD6C5F">
        <w:rPr>
          <w:b/>
        </w:rPr>
        <w:t>Review Report</w:t>
      </w:r>
      <w:r w:rsidR="00A4555C" w:rsidRPr="00BD6C5F">
        <w:t>”</w:t>
      </w:r>
      <w:r w:rsidRPr="00BD6C5F">
        <w:t>) setting out:</w:t>
      </w:r>
      <w:bookmarkEnd w:id="1483"/>
    </w:p>
    <w:p w14:paraId="4652AA74" w14:textId="77777777" w:rsidR="00BC7DDA" w:rsidRPr="00BD6C5F" w:rsidRDefault="009B03E9" w:rsidP="00D4497D">
      <w:pPr>
        <w:pStyle w:val="Numbered111"/>
      </w:pPr>
      <w:bookmarkStart w:id="1484" w:name="_bookmark493"/>
      <w:bookmarkStart w:id="1485" w:name="_Ref98423133"/>
      <w:bookmarkEnd w:id="1484"/>
      <w:r w:rsidRPr="00BD6C5F">
        <w:t>the findings of the review;</w:t>
      </w:r>
      <w:bookmarkEnd w:id="1485"/>
    </w:p>
    <w:p w14:paraId="6C620E03" w14:textId="77777777" w:rsidR="00BC7DDA" w:rsidRPr="00BD6C5F" w:rsidRDefault="009B03E9" w:rsidP="00D4497D">
      <w:pPr>
        <w:pStyle w:val="Numbered111"/>
      </w:pPr>
      <w:r w:rsidRPr="00BD6C5F">
        <w:t>any changes in the risk profile associated with the Services; and</w:t>
      </w:r>
    </w:p>
    <w:p w14:paraId="08C07C2F" w14:textId="7E02F20C" w:rsidR="00BC7DDA" w:rsidRPr="00BD6C5F" w:rsidRDefault="009B03E9" w:rsidP="00D4497D">
      <w:pPr>
        <w:pStyle w:val="Numbered111"/>
      </w:pPr>
      <w:bookmarkStart w:id="1486" w:name="_bookmark494"/>
      <w:bookmarkStart w:id="1487" w:name="_Ref98423147"/>
      <w:bookmarkEnd w:id="1486"/>
      <w:r w:rsidRPr="00BD6C5F">
        <w:t>the Supplier</w:t>
      </w:r>
      <w:r w:rsidR="00A4555C" w:rsidRPr="00BD6C5F">
        <w:t>’</w:t>
      </w:r>
      <w:r w:rsidRPr="00BD6C5F">
        <w:t xml:space="preserve">s proposals (the </w:t>
      </w:r>
      <w:r w:rsidR="00A4555C" w:rsidRPr="00BD6C5F">
        <w:t>“</w:t>
      </w:r>
      <w:r w:rsidRPr="00BD6C5F">
        <w:rPr>
          <w:b/>
        </w:rPr>
        <w:t>Supplier</w:t>
      </w:r>
      <w:r w:rsidR="00A4555C" w:rsidRPr="00BD6C5F">
        <w:rPr>
          <w:b/>
        </w:rPr>
        <w:t>’</w:t>
      </w:r>
      <w:r w:rsidRPr="00BD6C5F">
        <w:rPr>
          <w:b/>
        </w:rPr>
        <w:t>s Proposals</w:t>
      </w:r>
      <w:r w:rsidR="00A4555C" w:rsidRPr="00BD6C5F">
        <w:t>”</w:t>
      </w:r>
      <w:r w:rsidRPr="00BD6C5F">
        <w:t xml:space="preserve">) for addressing any changes in the risk profile and its proposals for amendments to the Service Continuity Plan following the review detailing the impact (if any and to the </w:t>
      </w:r>
      <w:r w:rsidRPr="00BD6C5F">
        <w:lastRenderedPageBreak/>
        <w:t>extent that the Supplier can reasonably be expected to be aware of the same) that the implementation of such proposals may have on any services or systems provided by a third party.</w:t>
      </w:r>
      <w:bookmarkEnd w:id="1487"/>
    </w:p>
    <w:p w14:paraId="5B68CA8C" w14:textId="6B3E6F7A" w:rsidR="00BC7DDA" w:rsidRPr="00BD6C5F" w:rsidRDefault="009B03E9" w:rsidP="009F4A63">
      <w:pPr>
        <w:pStyle w:val="Numbered11"/>
        <w:keepNext/>
      </w:pPr>
      <w:bookmarkStart w:id="1488" w:name="_bookmark495"/>
      <w:bookmarkStart w:id="1489" w:name="_Ref98423538"/>
      <w:bookmarkEnd w:id="1488"/>
      <w:r w:rsidRPr="00BD6C5F">
        <w:t>Following receipt of the Review Report and the Supplier</w:t>
      </w:r>
      <w:r w:rsidR="00A4555C" w:rsidRPr="00BD6C5F">
        <w:t>’</w:t>
      </w:r>
      <w:r w:rsidRPr="00BD6C5F">
        <w:t>s Proposals, the Authority shall:</w:t>
      </w:r>
      <w:bookmarkEnd w:id="1489"/>
    </w:p>
    <w:p w14:paraId="5E2F54E5" w14:textId="151F75ED" w:rsidR="00BC7DDA" w:rsidRPr="00BD6C5F" w:rsidRDefault="009B03E9" w:rsidP="00D4497D">
      <w:pPr>
        <w:pStyle w:val="Numbered111"/>
      </w:pPr>
      <w:r w:rsidRPr="00BD6C5F">
        <w:t>review and comment on the Review Report and the Supplier</w:t>
      </w:r>
      <w:r w:rsidR="00A4555C" w:rsidRPr="00BD6C5F">
        <w:t>’</w:t>
      </w:r>
      <w:r w:rsidRPr="00BD6C5F">
        <w:t>s Proposals as soon as reasonably practicable; and</w:t>
      </w:r>
    </w:p>
    <w:p w14:paraId="58D8AE94" w14:textId="3DF3106E" w:rsidR="00BC7DDA" w:rsidRPr="00BD6C5F" w:rsidRDefault="009B03E9" w:rsidP="00D4497D">
      <w:pPr>
        <w:pStyle w:val="Numbered111"/>
      </w:pPr>
      <w:r w:rsidRPr="00BD6C5F">
        <w:t>notify the Supplier in writing that it approves or rejects the Review Report and the Supplier</w:t>
      </w:r>
      <w:r w:rsidR="00A4555C" w:rsidRPr="00BD6C5F">
        <w:t>’</w:t>
      </w:r>
      <w:r w:rsidRPr="00BD6C5F">
        <w:t>s Proposals no later than 20 Working Days after the date on which they are first delivered to the Authority.</w:t>
      </w:r>
    </w:p>
    <w:p w14:paraId="0BAE585C" w14:textId="52F41F5B" w:rsidR="00BC7DDA" w:rsidRPr="00BD6C5F" w:rsidRDefault="009B03E9" w:rsidP="009F4A63">
      <w:pPr>
        <w:pStyle w:val="Numbered11"/>
        <w:keepNext/>
      </w:pPr>
      <w:bookmarkStart w:id="1490" w:name="_bookmark496"/>
      <w:bookmarkStart w:id="1491" w:name="_Ref98423548"/>
      <w:bookmarkEnd w:id="1490"/>
      <w:r w:rsidRPr="00BD6C5F">
        <w:t>If the Authority rejects the Review Report and/or the Supplier</w:t>
      </w:r>
      <w:r w:rsidR="00A4555C" w:rsidRPr="00BD6C5F">
        <w:t>’</w:t>
      </w:r>
      <w:r w:rsidRPr="00BD6C5F">
        <w:t>s Proposals:</w:t>
      </w:r>
      <w:bookmarkEnd w:id="1491"/>
    </w:p>
    <w:p w14:paraId="3A8066D0" w14:textId="77777777" w:rsidR="00BC7DDA" w:rsidRPr="00BD6C5F" w:rsidRDefault="009B03E9" w:rsidP="00D4497D">
      <w:pPr>
        <w:pStyle w:val="Numbered111"/>
      </w:pPr>
      <w:r w:rsidRPr="00BD6C5F">
        <w:t>the Authority shall inform the Supplier in writing of its reasons for its rejection; and</w:t>
      </w:r>
    </w:p>
    <w:p w14:paraId="0B8A4E0D" w14:textId="633FA5B5" w:rsidR="00BC7DDA" w:rsidRPr="00BD6C5F" w:rsidRDefault="009B03E9" w:rsidP="00D4497D">
      <w:pPr>
        <w:pStyle w:val="Numbered111"/>
      </w:pPr>
      <w:r w:rsidRPr="00BD6C5F">
        <w:t>the Supplier shall then revise the Review Report and/or the Supplier</w:t>
      </w:r>
      <w:r w:rsidR="00A4555C" w:rsidRPr="00BD6C5F">
        <w:t>’</w:t>
      </w:r>
      <w:r w:rsidRPr="00BD6C5F">
        <w:t>s Proposals as the case may be (taking reasonable account of the Authority</w:t>
      </w:r>
      <w:r w:rsidR="00A4555C" w:rsidRPr="00BD6C5F">
        <w:t>’</w:t>
      </w:r>
      <w:r w:rsidRPr="00BD6C5F">
        <w:t>s comments and carrying out any necessary actions in connection with the revision) and shall re-submit a revised Review Report and/or revised Supplier</w:t>
      </w:r>
      <w:r w:rsidR="00A4555C" w:rsidRPr="00BD6C5F">
        <w:t>’</w:t>
      </w:r>
      <w:r w:rsidRPr="00BD6C5F">
        <w:t>s Proposals to the Authority for the Authority</w:t>
      </w:r>
      <w:r w:rsidR="00A4555C" w:rsidRPr="00BD6C5F">
        <w:t>’</w:t>
      </w:r>
      <w:r w:rsidRPr="00BD6C5F">
        <w:t>s approval within 20 Working Days of the date of</w:t>
      </w:r>
      <w:r w:rsidR="00DB2677" w:rsidRPr="00BD6C5F">
        <w:t xml:space="preserve"> </w:t>
      </w:r>
      <w:r w:rsidRPr="00BD6C5F">
        <w:t>the Authority</w:t>
      </w:r>
      <w:r w:rsidR="00A4555C" w:rsidRPr="00BD6C5F">
        <w:t>’</w:t>
      </w:r>
      <w:r w:rsidRPr="00BD6C5F">
        <w:t>s notice of rejection. The provisions of Paragraph</w:t>
      </w:r>
      <w:r w:rsidR="004E4766" w:rsidRPr="00BD6C5F">
        <w:t> </w:t>
      </w:r>
      <w:r w:rsidR="004E4766" w:rsidRPr="00BD6C5F">
        <w:fldChar w:fldCharType="begin"/>
      </w:r>
      <w:r w:rsidR="004E4766" w:rsidRPr="00BD6C5F">
        <w:instrText xml:space="preserve"> REF _Ref98423538 \w \h </w:instrText>
      </w:r>
      <w:r w:rsidR="00AD7DD0" w:rsidRPr="00BD6C5F">
        <w:instrText xml:space="preserve"> \* MERGEFORMAT </w:instrText>
      </w:r>
      <w:r w:rsidR="004E4766" w:rsidRPr="00BD6C5F">
        <w:fldChar w:fldCharType="separate"/>
      </w:r>
      <w:r w:rsidR="009749A0">
        <w:t>7.3</w:t>
      </w:r>
      <w:r w:rsidR="004E4766" w:rsidRPr="00BD6C5F">
        <w:fldChar w:fldCharType="end"/>
      </w:r>
      <w:r w:rsidRPr="00BD6C5F">
        <w:t xml:space="preserve"> and this Paragraph</w:t>
      </w:r>
      <w:r w:rsidR="004E4766" w:rsidRPr="00BD6C5F">
        <w:t> </w:t>
      </w:r>
      <w:r w:rsidR="004E4766" w:rsidRPr="00BD6C5F">
        <w:fldChar w:fldCharType="begin"/>
      </w:r>
      <w:r w:rsidR="004E4766" w:rsidRPr="00BD6C5F">
        <w:instrText xml:space="preserve"> REF _Ref98423548 \w \h </w:instrText>
      </w:r>
      <w:r w:rsidR="00AD7DD0" w:rsidRPr="00BD6C5F">
        <w:instrText xml:space="preserve"> \* MERGEFORMAT </w:instrText>
      </w:r>
      <w:r w:rsidR="004E4766" w:rsidRPr="00BD6C5F">
        <w:fldChar w:fldCharType="separate"/>
      </w:r>
      <w:r w:rsidR="009749A0">
        <w:t>7.4</w:t>
      </w:r>
      <w:r w:rsidR="004E4766" w:rsidRPr="00BD6C5F">
        <w:fldChar w:fldCharType="end"/>
      </w:r>
      <w:r w:rsidR="004E4766" w:rsidRPr="00BD6C5F">
        <w:t xml:space="preserve"> </w:t>
      </w:r>
      <w:r w:rsidRPr="00BD6C5F">
        <w:t>shall apply again to any resubmitted Review Report and Supplier</w:t>
      </w:r>
      <w:r w:rsidR="00A4555C" w:rsidRPr="00BD6C5F">
        <w:t>’</w:t>
      </w:r>
      <w:r w:rsidRPr="00BD6C5F">
        <w:t>s Proposals, provided that either Party may refer any disputed matters for resolution by the Dispute Resolution Procedure at any time.</w:t>
      </w:r>
    </w:p>
    <w:p w14:paraId="53E0FEF8" w14:textId="056F7C23" w:rsidR="00BC7DDA" w:rsidRPr="00BD6C5F" w:rsidRDefault="009B03E9" w:rsidP="00C5057A">
      <w:pPr>
        <w:pStyle w:val="Numbered11"/>
      </w:pPr>
      <w:r w:rsidRPr="00BD6C5F">
        <w:t>The Supplier shall as soon as is reasonably practicable after receiving the Authority</w:t>
      </w:r>
      <w:r w:rsidR="00A4555C" w:rsidRPr="00BD6C5F">
        <w:t>’</w:t>
      </w:r>
      <w:r w:rsidRPr="00BD6C5F">
        <w:t>s approval of the Supplier</w:t>
      </w:r>
      <w:r w:rsidR="00A4555C" w:rsidRPr="00BD6C5F">
        <w:t>’</w:t>
      </w:r>
      <w:r w:rsidRPr="00BD6C5F">
        <w:t>s Proposals (having regard to the significance of any risks highlighted in the Review Report) effect any change in its practices or procedures necessary so as to give effect to the Supplier</w:t>
      </w:r>
      <w:r w:rsidR="00A4555C" w:rsidRPr="00BD6C5F">
        <w:t>’</w:t>
      </w:r>
      <w:r w:rsidRPr="00BD6C5F">
        <w:t>s Proposals. Any such change shall be at the Supplier</w:t>
      </w:r>
      <w:r w:rsidR="00A4555C" w:rsidRPr="00BD6C5F">
        <w:t>’</w:t>
      </w:r>
      <w:r w:rsidRPr="00BD6C5F">
        <w:t>s expense unless it can be reasonably shown that the changes are required because of a material change to the risk profile of the Services.</w:t>
      </w:r>
    </w:p>
    <w:p w14:paraId="79A25D69" w14:textId="1BB5BE32" w:rsidR="00BC7DDA" w:rsidRPr="00BD6C5F" w:rsidRDefault="00D4497D" w:rsidP="00C5057A">
      <w:pPr>
        <w:pStyle w:val="Numbered1"/>
      </w:pPr>
      <w:r w:rsidRPr="00BD6C5F">
        <w:t>Testing of the Service Continuity Plan</w:t>
      </w:r>
    </w:p>
    <w:p w14:paraId="64E685DF" w14:textId="6D237DF2" w:rsidR="00BC7DDA" w:rsidRPr="00BD6C5F" w:rsidRDefault="009B03E9" w:rsidP="00C5057A">
      <w:pPr>
        <w:pStyle w:val="Numbered11"/>
      </w:pPr>
      <w:r w:rsidRPr="00BD6C5F">
        <w:t>The Supplier shall test the Service Continuity Plan on a regular basis (and in any event not less than once in every Contract Year). Subject to Paragraph</w:t>
      </w:r>
      <w:r w:rsidR="004E4766" w:rsidRPr="00BD6C5F">
        <w:t> </w:t>
      </w:r>
      <w:r w:rsidR="004E4766" w:rsidRPr="00BD6C5F">
        <w:fldChar w:fldCharType="begin"/>
      </w:r>
      <w:r w:rsidR="004E4766" w:rsidRPr="00BD6C5F">
        <w:instrText xml:space="preserve"> REF _Ref98423568 \w \h </w:instrText>
      </w:r>
      <w:r w:rsidR="00AD7DD0" w:rsidRPr="00BD6C5F">
        <w:instrText xml:space="preserve"> \* MERGEFORMAT </w:instrText>
      </w:r>
      <w:r w:rsidR="004E4766" w:rsidRPr="00BD6C5F">
        <w:fldChar w:fldCharType="separate"/>
      </w:r>
      <w:r w:rsidR="009749A0">
        <w:t>8.2</w:t>
      </w:r>
      <w:r w:rsidR="004E4766" w:rsidRPr="00BD6C5F">
        <w:fldChar w:fldCharType="end"/>
      </w:r>
      <w:r w:rsidRPr="00BD6C5F">
        <w:t>, the Authority may require the Supplier to conduct additional tests of some or all aspects of the Service Continuity Plan at any time where the Authority considers it necessary, including where there has been any change to the Services or any underlying business processes, or on the occurrence of any event which may increase the likelihood of the need to implement the Service Continuity Plan.</w:t>
      </w:r>
    </w:p>
    <w:p w14:paraId="7AAA983F" w14:textId="74101B18" w:rsidR="00BC7DDA" w:rsidRPr="00BD6C5F" w:rsidRDefault="009B03E9" w:rsidP="00C5057A">
      <w:pPr>
        <w:pStyle w:val="Numbered11"/>
      </w:pPr>
      <w:bookmarkStart w:id="1492" w:name="_bookmark497"/>
      <w:bookmarkStart w:id="1493" w:name="_Ref98423568"/>
      <w:bookmarkEnd w:id="1492"/>
      <w:r w:rsidRPr="00BD6C5F">
        <w:t>If the Authority requires an additional test of the Service Continuity Plan, it shall give the Supplier written notice and the Supplier shall conduct the test in accordance with the Authority</w:t>
      </w:r>
      <w:r w:rsidR="00A4555C" w:rsidRPr="00BD6C5F">
        <w:t>’</w:t>
      </w:r>
      <w:r w:rsidRPr="00BD6C5F">
        <w:t>s requirements and the relevant provisions of the Service Continuity Plan. The Supplier</w:t>
      </w:r>
      <w:r w:rsidR="00A4555C" w:rsidRPr="00BD6C5F">
        <w:t>’</w:t>
      </w:r>
      <w:r w:rsidRPr="00BD6C5F">
        <w:t>s costs of the additional test shall be borne by the Authority unless the Service Continuity Plan fails the additional test in which case the Supplier</w:t>
      </w:r>
      <w:r w:rsidR="00A4555C" w:rsidRPr="00BD6C5F">
        <w:t>’</w:t>
      </w:r>
      <w:r w:rsidRPr="00BD6C5F">
        <w:t>s costs of that failed test shall be borne by the Supplier.</w:t>
      </w:r>
      <w:bookmarkEnd w:id="1493"/>
    </w:p>
    <w:p w14:paraId="7D9F99BA" w14:textId="77777777" w:rsidR="00BC7DDA" w:rsidRPr="00BD6C5F" w:rsidRDefault="009B03E9" w:rsidP="00C5057A">
      <w:pPr>
        <w:pStyle w:val="Numbered11"/>
      </w:pPr>
      <w:r w:rsidRPr="00BD6C5F">
        <w:lastRenderedPageBreak/>
        <w:t>The Supplier shall undertake and manage testing of the Service Continuity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14:paraId="6ED963B0" w14:textId="4DEEAE7C" w:rsidR="00BC7DDA" w:rsidRPr="00BD6C5F" w:rsidRDefault="009B03E9" w:rsidP="00C5057A">
      <w:pPr>
        <w:pStyle w:val="Numbered11"/>
      </w:pPr>
      <w:r w:rsidRPr="00BD6C5F">
        <w:t xml:space="preserve">The Supplier shall ensure that any use by it or any Sub-contractor of </w:t>
      </w:r>
      <w:r w:rsidR="00A4555C" w:rsidRPr="00BD6C5F">
        <w:t>“</w:t>
      </w:r>
      <w:r w:rsidRPr="00BD6C5F">
        <w:t>live</w:t>
      </w:r>
      <w:r w:rsidR="00A4555C" w:rsidRPr="00BD6C5F">
        <w:t>”</w:t>
      </w:r>
      <w:r w:rsidRPr="00BD6C5F">
        <w:t xml:space="preserve"> data in such testing is first approved with the Authority. Copies of live test data used in any such testing shall be (if so required by the Authority) destroyed or returned to the Authority on completion of the test.</w:t>
      </w:r>
    </w:p>
    <w:p w14:paraId="24D23F2A" w14:textId="77777777" w:rsidR="00BC7DDA" w:rsidRPr="00BD6C5F" w:rsidRDefault="009B03E9" w:rsidP="009F4A63">
      <w:pPr>
        <w:pStyle w:val="Numbered11"/>
        <w:keepNext/>
      </w:pPr>
      <w:r w:rsidRPr="00BD6C5F">
        <w:t>The Supplier shall, within 20 Working Days of the conclusion of each test, provide to the Authority a report setting out:</w:t>
      </w:r>
    </w:p>
    <w:p w14:paraId="30CDFB36" w14:textId="77777777" w:rsidR="00BC7DDA" w:rsidRPr="00BD6C5F" w:rsidRDefault="009B03E9" w:rsidP="00D4497D">
      <w:pPr>
        <w:pStyle w:val="Numbered111"/>
      </w:pPr>
      <w:r w:rsidRPr="00BD6C5F">
        <w:t>the outcome of the test;</w:t>
      </w:r>
    </w:p>
    <w:p w14:paraId="692B0EFF" w14:textId="1B44BDFA" w:rsidR="00BC7DDA" w:rsidRPr="00BD6C5F" w:rsidRDefault="009B03E9" w:rsidP="00D4497D">
      <w:pPr>
        <w:pStyle w:val="Numbered111"/>
      </w:pPr>
      <w:r w:rsidRPr="00BD6C5F">
        <w:t>any failures in the Service Continuity Plan (including the Service Continuity Plan</w:t>
      </w:r>
      <w:r w:rsidR="00A4555C" w:rsidRPr="00BD6C5F">
        <w:t>’</w:t>
      </w:r>
      <w:r w:rsidRPr="00BD6C5F">
        <w:t>s procedures) revealed by the test; and</w:t>
      </w:r>
    </w:p>
    <w:p w14:paraId="33EB384F" w14:textId="1DC6517A" w:rsidR="00BC7DDA" w:rsidRPr="00BD6C5F" w:rsidRDefault="009B03E9" w:rsidP="00D4497D">
      <w:pPr>
        <w:pStyle w:val="Numbered111"/>
      </w:pPr>
      <w:r w:rsidRPr="00BD6C5F">
        <w:t>the Supplier</w:t>
      </w:r>
      <w:r w:rsidR="00A4555C" w:rsidRPr="00BD6C5F">
        <w:t>’</w:t>
      </w:r>
      <w:r w:rsidRPr="00BD6C5F">
        <w:t>s proposals for remedying any such failures.</w:t>
      </w:r>
    </w:p>
    <w:p w14:paraId="515A46A4" w14:textId="05B1B578" w:rsidR="00BC7DDA" w:rsidRPr="00BD6C5F" w:rsidRDefault="009B03E9" w:rsidP="00C5057A">
      <w:pPr>
        <w:pStyle w:val="Numbered11"/>
      </w:pPr>
      <w:r w:rsidRPr="00BD6C5F">
        <w:t>Following each test, the Supplier shall take all measures requested by the Authority, (including requests for the re-testing of the Service Continuity Plan) to remedy any failures in the Service Continuity Plan and such remedial activity and re-testing shall be completed by the Supplier, at no additional cost to the Authority, by the date reasonably required by the Authority and set out in such notice.</w:t>
      </w:r>
    </w:p>
    <w:p w14:paraId="0F54DC3F" w14:textId="4AAC6F33" w:rsidR="00BC7DDA" w:rsidRPr="00BD6C5F" w:rsidRDefault="009B03E9" w:rsidP="00C5057A">
      <w:pPr>
        <w:pStyle w:val="Numbered11"/>
      </w:pPr>
      <w:r w:rsidRPr="00BD6C5F">
        <w:t>For the avoidance of doubt, the carrying out of a test of the Service Continuity Plan (including a test of the Service Continuity Plan</w:t>
      </w:r>
      <w:r w:rsidR="00A4555C" w:rsidRPr="00BD6C5F">
        <w:t>’</w:t>
      </w:r>
      <w:r w:rsidRPr="00BD6C5F">
        <w:t xml:space="preserve">s procedures) shall not relieve the Supplier of any of its obligations under this </w:t>
      </w:r>
      <w:r w:rsidR="00C113A7" w:rsidRPr="00BD6C5F">
        <w:t>Contract</w:t>
      </w:r>
      <w:r w:rsidRPr="00BD6C5F">
        <w:t>.</w:t>
      </w:r>
    </w:p>
    <w:p w14:paraId="4592081F" w14:textId="77777777" w:rsidR="00BC7DDA" w:rsidRPr="00BD6C5F" w:rsidRDefault="009B03E9" w:rsidP="00C5057A">
      <w:pPr>
        <w:pStyle w:val="Numbered11"/>
      </w:pPr>
      <w:r w:rsidRPr="00BD6C5F">
        <w:t>The Supplier shall also perform a test of the Service Continuity Plan in the event of any major reconfiguration of the Services or as otherwise reasonably requested by the Authority.</w:t>
      </w:r>
    </w:p>
    <w:p w14:paraId="0E4E5FB0" w14:textId="2FF952D9" w:rsidR="00BC7DDA" w:rsidRPr="00BD6C5F" w:rsidRDefault="00D4497D" w:rsidP="00C5057A">
      <w:pPr>
        <w:pStyle w:val="Numbered1"/>
      </w:pPr>
      <w:bookmarkStart w:id="1494" w:name="_bookmark498"/>
      <w:bookmarkStart w:id="1495" w:name="_Ref98423451"/>
      <w:bookmarkEnd w:id="1494"/>
      <w:r w:rsidRPr="00BD6C5F">
        <w:t>Invocation of the Service Continuity Plan</w:t>
      </w:r>
      <w:bookmarkEnd w:id="1495"/>
    </w:p>
    <w:p w14:paraId="6FB98EEB" w14:textId="77777777" w:rsidR="00BC7DDA" w:rsidRPr="00BD6C5F" w:rsidRDefault="009B03E9" w:rsidP="00C5057A">
      <w:pPr>
        <w:pStyle w:val="Numbered11"/>
      </w:pPr>
      <w:r w:rsidRPr="00BD6C5F">
        <w:t>In the event of a loss of any critical part of the Service or a Disaster, the Supplier shall immediately invoke the business continuity and disaster recovery provisions in the Service Continuity Plan, including any linked elements in other parts of the Service Continuity Plan, and shall inform the Authority promptly of such invocation. In all other instances the Supplier shall invoke the business continuity and disaster recovery plan elements only with the prior consent of the Authority.</w:t>
      </w:r>
    </w:p>
    <w:p w14:paraId="3CACBF1D" w14:textId="77777777" w:rsidR="00BC7DDA" w:rsidRPr="00BD6C5F" w:rsidRDefault="009B03E9" w:rsidP="009F4A63">
      <w:pPr>
        <w:pStyle w:val="Numbered11"/>
        <w:keepNext/>
      </w:pPr>
      <w:r w:rsidRPr="00BD6C5F">
        <w:t>The Insolvency Continuity Plan element of the Service Continuity Plans, including any linked elements in other parts of the Service Continuity Plan, shall be invoked by the Supplier:</w:t>
      </w:r>
    </w:p>
    <w:p w14:paraId="4A2C8B2F" w14:textId="77777777" w:rsidR="00BC7DDA" w:rsidRPr="00BD6C5F" w:rsidRDefault="009B03E9" w:rsidP="00D4497D">
      <w:pPr>
        <w:pStyle w:val="Numbered111"/>
      </w:pPr>
      <w:r w:rsidRPr="00BD6C5F">
        <w:t>where an Insolvency Event of a Key Sub-contractor and/or Supplier Group member (other than the Supplier) could reasonably be expected to adversely affect delivery of the Services; and/or</w:t>
      </w:r>
    </w:p>
    <w:p w14:paraId="29E46723" w14:textId="77777777" w:rsidR="00BC7DDA" w:rsidRPr="00BD6C5F" w:rsidRDefault="009B03E9" w:rsidP="00D4497D">
      <w:pPr>
        <w:pStyle w:val="Numbered111"/>
      </w:pPr>
      <w:r w:rsidRPr="00BD6C5F">
        <w:t>where there is an Insolvency Event of the Supplier and the insolvency arrangements enable the Supplier to invoke the plan;</w:t>
      </w:r>
    </w:p>
    <w:p w14:paraId="7B548AE5" w14:textId="5F2C61F9" w:rsidR="00BC7DDA" w:rsidRPr="00BD6C5F" w:rsidRDefault="00D4497D" w:rsidP="00D4497D">
      <w:pPr>
        <w:pStyle w:val="Heading2"/>
        <w:pageBreakBefore/>
      </w:pPr>
      <w:bookmarkStart w:id="1496" w:name="_bookmark499"/>
      <w:bookmarkStart w:id="1497" w:name="_Toc141721046"/>
      <w:bookmarkEnd w:id="1496"/>
      <w:r w:rsidRPr="00BD6C5F">
        <w:lastRenderedPageBreak/>
        <w:t xml:space="preserve">Part </w:t>
      </w:r>
      <w:bookmarkStart w:id="1498" w:name="Schedule_26_Part_B"/>
      <w:r w:rsidRPr="00BD6C5F">
        <w:t>B</w:t>
      </w:r>
      <w:bookmarkEnd w:id="1498"/>
      <w:r w:rsidRPr="00BD6C5F">
        <w:t>: Corporate Resolution Planning</w:t>
      </w:r>
      <w:bookmarkEnd w:id="1497"/>
    </w:p>
    <w:p w14:paraId="756177E3" w14:textId="77777777" w:rsidR="00BC7DDA" w:rsidRPr="00BD6C5F" w:rsidRDefault="009B03E9" w:rsidP="00B71FC0">
      <w:pPr>
        <w:pStyle w:val="Numbered1"/>
        <w:numPr>
          <w:ilvl w:val="0"/>
          <w:numId w:val="113"/>
        </w:numPr>
      </w:pPr>
      <w:r w:rsidRPr="00BD6C5F">
        <w:t>Service Status and Supplier Status</w:t>
      </w:r>
    </w:p>
    <w:p w14:paraId="374133AE" w14:textId="6A7E2559" w:rsidR="00BC7DDA" w:rsidRPr="00BD6C5F" w:rsidRDefault="009B03E9" w:rsidP="009F4A63">
      <w:pPr>
        <w:pStyle w:val="Numbered11"/>
        <w:keepNext/>
      </w:pPr>
      <w:bookmarkStart w:id="1499" w:name="_bookmark500"/>
      <w:bookmarkStart w:id="1500" w:name="_Ref98362077"/>
      <w:bookmarkEnd w:id="1499"/>
      <w:r w:rsidRPr="00BD6C5F">
        <w:t xml:space="preserve">This </w:t>
      </w:r>
      <w:r w:rsidR="00C113A7" w:rsidRPr="00BD6C5F">
        <w:t xml:space="preserve">Contract </w:t>
      </w:r>
      <w:r w:rsidRPr="007A513E">
        <w:rPr>
          <w:shd w:val="clear" w:color="auto" w:fill="FFFF00"/>
        </w:rPr>
        <w:t>[</w:t>
      </w:r>
      <w:r w:rsidRPr="00276991">
        <w:rPr>
          <w:b/>
          <w:bCs/>
          <w:shd w:val="clear" w:color="auto" w:fill="FFFF00"/>
        </w:rPr>
        <w:t>insert</w:t>
      </w:r>
      <w:r w:rsidRPr="007A513E">
        <w:rPr>
          <w:shd w:val="clear" w:color="auto" w:fill="FFFF00"/>
        </w:rPr>
        <w:t xml:space="preserve"> </w:t>
      </w:r>
      <w:r w:rsidR="00A4555C" w:rsidRPr="007A513E">
        <w:rPr>
          <w:shd w:val="clear" w:color="auto" w:fill="FFFF00"/>
        </w:rPr>
        <w:t>‘</w:t>
      </w:r>
      <w:r w:rsidRPr="007A513E">
        <w:rPr>
          <w:shd w:val="clear" w:color="auto" w:fill="FFFF00"/>
        </w:rPr>
        <w:t>is</w:t>
      </w:r>
      <w:r w:rsidR="00A4555C" w:rsidRPr="007A513E">
        <w:rPr>
          <w:shd w:val="clear" w:color="auto" w:fill="FFFF00"/>
        </w:rPr>
        <w:t>’</w:t>
      </w:r>
      <w:r w:rsidRPr="007A513E">
        <w:rPr>
          <w:shd w:val="clear" w:color="auto" w:fill="FFFF00"/>
        </w:rPr>
        <w:t xml:space="preserve"> or </w:t>
      </w:r>
      <w:r w:rsidR="00A4555C" w:rsidRPr="007A513E">
        <w:rPr>
          <w:shd w:val="clear" w:color="auto" w:fill="FFFF00"/>
        </w:rPr>
        <w:t>‘</w:t>
      </w:r>
      <w:r w:rsidRPr="007A513E">
        <w:rPr>
          <w:shd w:val="clear" w:color="auto" w:fill="FFFF00"/>
        </w:rPr>
        <w:t>is not</w:t>
      </w:r>
      <w:r w:rsidR="00A4555C" w:rsidRPr="007A513E">
        <w:rPr>
          <w:shd w:val="clear" w:color="auto" w:fill="FFFF00"/>
        </w:rPr>
        <w:t>’</w:t>
      </w:r>
      <w:r w:rsidRPr="007A513E">
        <w:rPr>
          <w:shd w:val="clear" w:color="auto" w:fill="FFFF00"/>
        </w:rPr>
        <w:t>]</w:t>
      </w:r>
      <w:r w:rsidRPr="00BD6C5F">
        <w:t xml:space="preserve"> a Critical Service Contract.</w:t>
      </w:r>
      <w:bookmarkEnd w:id="1500"/>
    </w:p>
    <w:p w14:paraId="5B68698F" w14:textId="445D3A14" w:rsidR="00BC7DDA" w:rsidRPr="00BD6C5F" w:rsidRDefault="009B03E9" w:rsidP="00605547">
      <w:pPr>
        <w:spacing w:before="100" w:after="200"/>
        <w:ind w:left="720"/>
      </w:pPr>
      <w:r w:rsidRPr="00BD6C5F">
        <w:rPr>
          <w:highlight w:val="yellow"/>
        </w:rPr>
        <w:t>[</w:t>
      </w:r>
      <w:r w:rsidRPr="004C60F6">
        <w:rPr>
          <w:b/>
          <w:bCs/>
          <w:i/>
          <w:iCs/>
          <w:highlight w:val="yellow"/>
        </w:rPr>
        <w:t xml:space="preserve">Guidance: A Critical Service Contract is a service contract which the Authority has categorised as a Gold contract using the Cabinet Office Contract Tiering Tool available on the Knowledge Hub or which the Authority </w:t>
      </w:r>
      <w:r w:rsidR="00C113A7" w:rsidRPr="004C60F6">
        <w:rPr>
          <w:b/>
          <w:bCs/>
          <w:i/>
          <w:iCs/>
          <w:highlight w:val="yellow"/>
        </w:rPr>
        <w:t xml:space="preserve">in consultation with the Cabinet Office Markets and Suppliers Team if appropriate </w:t>
      </w:r>
      <w:r w:rsidRPr="004C60F6">
        <w:rPr>
          <w:b/>
          <w:bCs/>
          <w:i/>
          <w:iCs/>
          <w:highlight w:val="yellow"/>
        </w:rPr>
        <w:t>otherwise considers should be classed as a Critical Service Contract</w:t>
      </w:r>
      <w:r w:rsidRPr="00BD6C5F">
        <w:rPr>
          <w:highlight w:val="yellow"/>
        </w:rPr>
        <w:t>.]</w:t>
      </w:r>
    </w:p>
    <w:p w14:paraId="4FA67A80" w14:textId="720A3718" w:rsidR="00BC7DDA" w:rsidRPr="00BD6C5F" w:rsidRDefault="009B03E9" w:rsidP="00C5057A">
      <w:pPr>
        <w:pStyle w:val="Numbered11"/>
      </w:pPr>
      <w:r w:rsidRPr="00BD6C5F">
        <w:t xml:space="preserve">The Supplier shall notify the Authority </w:t>
      </w:r>
      <w:r w:rsidR="00C113A7" w:rsidRPr="00BD6C5F">
        <w:t>and the Cabinet Office Markets and Suppliers Team (</w:t>
      </w:r>
      <w:hyperlink r:id="rId109" w:history="1">
        <w:r w:rsidR="00605547" w:rsidRPr="00BD6C5F">
          <w:rPr>
            <w:rStyle w:val="Hyperlink"/>
          </w:rPr>
          <w:t>Resolution.planning@cabinetoffice.gov.uk</w:t>
        </w:r>
      </w:hyperlink>
      <w:r w:rsidR="00C113A7" w:rsidRPr="00BD6C5F">
        <w:t xml:space="preserve">) </w:t>
      </w:r>
      <w:r w:rsidRPr="00BD6C5F">
        <w:t>in writing within 5 Working Days of the Effective Date and throughout the Term within 120 days after each Accounting Reference Date as to whether or not it is a Public Sector Dependent Supplier.</w:t>
      </w:r>
    </w:p>
    <w:p w14:paraId="6C05CD53" w14:textId="77777777" w:rsidR="00C113A7" w:rsidRPr="00BD6C5F" w:rsidRDefault="009B03E9" w:rsidP="00C5057A">
      <w:pPr>
        <w:pStyle w:val="Numbered1"/>
      </w:pPr>
      <w:bookmarkStart w:id="1501" w:name="_bookmark501"/>
      <w:bookmarkStart w:id="1502" w:name="_Ref98351440"/>
      <w:bookmarkEnd w:id="1501"/>
      <w:r w:rsidRPr="00BD6C5F">
        <w:t>Provision of Corporate Resolution Planning Information</w:t>
      </w:r>
      <w:r w:rsidR="00C113A7" w:rsidRPr="00BD6C5F">
        <w:t xml:space="preserve"> (CRP Information)</w:t>
      </w:r>
      <w:bookmarkEnd w:id="1502"/>
    </w:p>
    <w:p w14:paraId="2EDCCB78" w14:textId="20D70F71" w:rsidR="00BC7DDA" w:rsidRPr="00BD6C5F" w:rsidRDefault="009B03E9" w:rsidP="00C5057A">
      <w:pPr>
        <w:pStyle w:val="Numbered11"/>
      </w:pPr>
      <w:r w:rsidRPr="00BD6C5F">
        <w:t>Paragraphs</w:t>
      </w:r>
      <w:r w:rsidR="004E4766" w:rsidRPr="00BD6C5F">
        <w:t> </w:t>
      </w:r>
      <w:r w:rsidR="004E4766" w:rsidRPr="00BD6C5F">
        <w:fldChar w:fldCharType="begin"/>
      </w:r>
      <w:r w:rsidR="004E4766" w:rsidRPr="00BD6C5F">
        <w:instrText xml:space="preserve"> REF _Ref98351440 \w \h </w:instrText>
      </w:r>
      <w:r w:rsidR="00AD7DD0" w:rsidRPr="00BD6C5F">
        <w:instrText xml:space="preserve"> \* MERGEFORMAT </w:instrText>
      </w:r>
      <w:r w:rsidR="004E4766" w:rsidRPr="00BD6C5F">
        <w:fldChar w:fldCharType="separate"/>
      </w:r>
      <w:r w:rsidR="009749A0">
        <w:t>2</w:t>
      </w:r>
      <w:r w:rsidR="004E4766" w:rsidRPr="00BD6C5F">
        <w:fldChar w:fldCharType="end"/>
      </w:r>
      <w:r w:rsidRPr="00BD6C5F">
        <w:t xml:space="preserve"> to </w:t>
      </w:r>
      <w:r w:rsidR="004E4766" w:rsidRPr="00BD6C5F">
        <w:fldChar w:fldCharType="begin"/>
      </w:r>
      <w:r w:rsidR="004E4766" w:rsidRPr="00BD6C5F">
        <w:instrText xml:space="preserve"> REF _Ref98423642 \w \h </w:instrText>
      </w:r>
      <w:r w:rsidR="00AD7DD0" w:rsidRPr="00BD6C5F">
        <w:instrText xml:space="preserve"> \* MERGEFORMAT </w:instrText>
      </w:r>
      <w:r w:rsidR="004E4766" w:rsidRPr="00BD6C5F">
        <w:fldChar w:fldCharType="separate"/>
      </w:r>
      <w:r w:rsidR="009749A0">
        <w:t>4</w:t>
      </w:r>
      <w:r w:rsidR="004E4766"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xml:space="preserve"> shall apply if this </w:t>
      </w:r>
      <w:r w:rsidR="0061305B" w:rsidRPr="00BD6C5F">
        <w:t xml:space="preserve">Contract </w:t>
      </w:r>
      <w:r w:rsidRPr="00BD6C5F">
        <w:t>has been specified as a Critical Service Contract under Paragraph</w:t>
      </w:r>
      <w:r w:rsidR="004E4766" w:rsidRPr="00BD6C5F">
        <w:t> </w:t>
      </w:r>
      <w:r w:rsidR="004E4766" w:rsidRPr="00BD6C5F">
        <w:fldChar w:fldCharType="begin"/>
      </w:r>
      <w:r w:rsidR="004E4766" w:rsidRPr="00BD6C5F">
        <w:instrText xml:space="preserve"> REF _Ref98362077 \w \h </w:instrText>
      </w:r>
      <w:r w:rsidR="00AD7DD0" w:rsidRPr="00BD6C5F">
        <w:instrText xml:space="preserve"> \* MERGEFORMAT </w:instrText>
      </w:r>
      <w:r w:rsidR="004E4766" w:rsidRPr="00BD6C5F">
        <w:fldChar w:fldCharType="separate"/>
      </w:r>
      <w:r w:rsidR="009749A0">
        <w:t>1.1</w:t>
      </w:r>
      <w:r w:rsidR="004E4766"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xml:space="preserve"> or the Supplier is or becomes a Public Sector Dependent Supplier.</w:t>
      </w:r>
    </w:p>
    <w:p w14:paraId="677680A6" w14:textId="59B7E181" w:rsidR="00BC7DDA" w:rsidRPr="00BD6C5F" w:rsidRDefault="009B03E9" w:rsidP="009F4A63">
      <w:pPr>
        <w:pStyle w:val="Numbered11"/>
        <w:keepNext/>
      </w:pPr>
      <w:bookmarkStart w:id="1503" w:name="_bookmark502"/>
      <w:bookmarkStart w:id="1504" w:name="_Ref98424109"/>
      <w:bookmarkEnd w:id="1503"/>
      <w:r w:rsidRPr="00BD6C5F">
        <w:t>Subject to Paragraphs</w:t>
      </w:r>
      <w:r w:rsidR="004E4766" w:rsidRPr="00BD6C5F">
        <w:t> </w:t>
      </w:r>
      <w:r w:rsidR="004E4766" w:rsidRPr="00BD6C5F">
        <w:fldChar w:fldCharType="begin"/>
      </w:r>
      <w:r w:rsidR="004E4766" w:rsidRPr="00BD6C5F">
        <w:instrText xml:space="preserve"> REF _Ref98424053 \w \h </w:instrText>
      </w:r>
      <w:r w:rsidR="00AD7DD0" w:rsidRPr="00BD6C5F">
        <w:instrText xml:space="preserve"> \* MERGEFORMAT </w:instrText>
      </w:r>
      <w:r w:rsidR="004E4766" w:rsidRPr="00BD6C5F">
        <w:fldChar w:fldCharType="separate"/>
      </w:r>
      <w:r w:rsidR="009749A0">
        <w:t>2.6</w:t>
      </w:r>
      <w:r w:rsidR="004E4766" w:rsidRPr="00BD6C5F">
        <w:fldChar w:fldCharType="end"/>
      </w:r>
      <w:r w:rsidRPr="00BD6C5F">
        <w:t xml:space="preserve">, </w:t>
      </w:r>
      <w:r w:rsidR="004E4766" w:rsidRPr="00BD6C5F">
        <w:fldChar w:fldCharType="begin"/>
      </w:r>
      <w:r w:rsidR="004E4766" w:rsidRPr="00BD6C5F">
        <w:instrText xml:space="preserve"> REF _Ref98424065 \w \h </w:instrText>
      </w:r>
      <w:r w:rsidR="00AD7DD0" w:rsidRPr="00BD6C5F">
        <w:instrText xml:space="preserve"> \* MERGEFORMAT </w:instrText>
      </w:r>
      <w:r w:rsidR="004E4766" w:rsidRPr="00BD6C5F">
        <w:fldChar w:fldCharType="separate"/>
      </w:r>
      <w:r w:rsidR="009749A0">
        <w:t>2.10</w:t>
      </w:r>
      <w:r w:rsidR="004E4766" w:rsidRPr="00BD6C5F">
        <w:fldChar w:fldCharType="end"/>
      </w:r>
      <w:r w:rsidRPr="00BD6C5F">
        <w:t xml:space="preserve"> and </w:t>
      </w:r>
      <w:r w:rsidR="004E4766" w:rsidRPr="00BD6C5F">
        <w:fldChar w:fldCharType="begin"/>
      </w:r>
      <w:r w:rsidR="004E4766" w:rsidRPr="00BD6C5F">
        <w:instrText xml:space="preserve"> REF _Ref98424076 \w \h </w:instrText>
      </w:r>
      <w:r w:rsidR="00AD7DD0" w:rsidRPr="00BD6C5F">
        <w:instrText xml:space="preserve"> \* MERGEFORMAT </w:instrText>
      </w:r>
      <w:r w:rsidR="004E4766" w:rsidRPr="00BD6C5F">
        <w:fldChar w:fldCharType="separate"/>
      </w:r>
      <w:r w:rsidR="009749A0">
        <w:t>2.11</w:t>
      </w:r>
      <w:r w:rsidR="004E4766" w:rsidRPr="00BD6C5F">
        <w:fldChar w:fldCharType="end"/>
      </w:r>
      <w:r w:rsidR="004E4766" w:rsidRPr="00BD6C5F">
        <w:t xml:space="preserve"> </w:t>
      </w:r>
      <w:r w:rsidRPr="00BD6C5F">
        <w:t xml:space="preserve">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w:t>
      </w:r>
      <w:bookmarkEnd w:id="1504"/>
    </w:p>
    <w:p w14:paraId="48325A23" w14:textId="48C4B6CC" w:rsidR="00BC7DDA" w:rsidRPr="00BD6C5F" w:rsidRDefault="009B03E9" w:rsidP="00D4497D">
      <w:pPr>
        <w:pStyle w:val="Numbered111"/>
      </w:pPr>
      <w:bookmarkStart w:id="1505" w:name="_bookmark503"/>
      <w:bookmarkStart w:id="1506" w:name="_Ref98424095"/>
      <w:bookmarkEnd w:id="1505"/>
      <w:r w:rsidRPr="00BD6C5F">
        <w:t xml:space="preserve">where this </w:t>
      </w:r>
      <w:r w:rsidR="0061305B" w:rsidRPr="00BD6C5F">
        <w:t xml:space="preserve">Contract </w:t>
      </w:r>
      <w:r w:rsidRPr="00BD6C5F">
        <w:t>is a Critical Service Contract, the Supplier shall provide the Relevant Authority or Relevant Authorities with CRP Information within 60 days of the Effective Date; and</w:t>
      </w:r>
      <w:bookmarkEnd w:id="1506"/>
    </w:p>
    <w:p w14:paraId="4EB8D7E4" w14:textId="6DC5008B" w:rsidR="00BC7DDA" w:rsidRPr="00BD6C5F" w:rsidRDefault="009B03E9" w:rsidP="00D4497D">
      <w:pPr>
        <w:pStyle w:val="Numbered111"/>
      </w:pPr>
      <w:r w:rsidRPr="00BD6C5F">
        <w:t>except where it has already been provided in accordance with Paragraph</w:t>
      </w:r>
      <w:r w:rsidR="004E4766" w:rsidRPr="00BD6C5F">
        <w:t> </w:t>
      </w:r>
      <w:r w:rsidR="004E4766" w:rsidRPr="00BD6C5F">
        <w:fldChar w:fldCharType="begin"/>
      </w:r>
      <w:r w:rsidR="004E4766" w:rsidRPr="00BD6C5F">
        <w:instrText xml:space="preserve"> REF _Ref98424095 \w \h </w:instrText>
      </w:r>
      <w:r w:rsidR="00AD7DD0" w:rsidRPr="00BD6C5F">
        <w:instrText xml:space="preserve"> \* MERGEFORMAT </w:instrText>
      </w:r>
      <w:r w:rsidR="004E4766" w:rsidRPr="00BD6C5F">
        <w:fldChar w:fldCharType="separate"/>
      </w:r>
      <w:r w:rsidR="009749A0">
        <w:t>2.2.1</w:t>
      </w:r>
      <w:r w:rsidR="004E4766"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where the Supplier is a Public Sector Dependent Supplier, it shall provide the Relevant Authority or Relevant Authorities with the CRP Information within 60 days of the date of the Relevant Authority</w:t>
      </w:r>
      <w:r w:rsidR="00A4555C" w:rsidRPr="00BD6C5F">
        <w:t>’</w:t>
      </w:r>
      <w:r w:rsidRPr="00BD6C5F">
        <w:t>s or Relevant Authorities</w:t>
      </w:r>
      <w:r w:rsidR="00A4555C" w:rsidRPr="00BD6C5F">
        <w:t>’</w:t>
      </w:r>
      <w:r w:rsidRPr="00BD6C5F">
        <w:t xml:space="preserve"> request.</w:t>
      </w:r>
    </w:p>
    <w:p w14:paraId="243F243D" w14:textId="1127AB4A" w:rsidR="00BC7DDA" w:rsidRPr="00BD6C5F" w:rsidRDefault="009B03E9" w:rsidP="009F4A63">
      <w:pPr>
        <w:pStyle w:val="Numbered11"/>
        <w:keepNext/>
      </w:pPr>
      <w:bookmarkStart w:id="1507" w:name="_bookmark504"/>
      <w:bookmarkStart w:id="1508" w:name="_Ref98424211"/>
      <w:bookmarkEnd w:id="1507"/>
      <w:r w:rsidRPr="00BD6C5F">
        <w:t>The Supplier shall ensure that the CRP Information provided pursuant to Paragraphs</w:t>
      </w:r>
      <w:r w:rsidR="004E4766" w:rsidRPr="00BD6C5F">
        <w:t> </w:t>
      </w:r>
      <w:r w:rsidR="004E4766" w:rsidRPr="00BD6C5F">
        <w:fldChar w:fldCharType="begin"/>
      </w:r>
      <w:r w:rsidR="004E4766" w:rsidRPr="00BD6C5F">
        <w:instrText xml:space="preserve"> REF _Ref98424109 \w \h </w:instrText>
      </w:r>
      <w:r w:rsidR="00AD7DD0" w:rsidRPr="00BD6C5F">
        <w:instrText xml:space="preserve"> \* MERGEFORMAT </w:instrText>
      </w:r>
      <w:r w:rsidR="004E4766" w:rsidRPr="00BD6C5F">
        <w:fldChar w:fldCharType="separate"/>
      </w:r>
      <w:r w:rsidR="009749A0">
        <w:t>2.2</w:t>
      </w:r>
      <w:r w:rsidR="004E4766" w:rsidRPr="00BD6C5F">
        <w:fldChar w:fldCharType="end"/>
      </w:r>
      <w:r w:rsidRPr="00BD6C5F">
        <w:t xml:space="preserve">, </w:t>
      </w:r>
      <w:r w:rsidR="004E4766" w:rsidRPr="00BD6C5F">
        <w:fldChar w:fldCharType="begin"/>
      </w:r>
      <w:r w:rsidR="004E4766" w:rsidRPr="00BD6C5F">
        <w:instrText xml:space="preserve"> REF _Ref98424133 \w \h </w:instrText>
      </w:r>
      <w:r w:rsidR="00AD7DD0" w:rsidRPr="00BD6C5F">
        <w:instrText xml:space="preserve"> \* MERGEFORMAT </w:instrText>
      </w:r>
      <w:r w:rsidR="004E4766" w:rsidRPr="00BD6C5F">
        <w:fldChar w:fldCharType="separate"/>
      </w:r>
      <w:r w:rsidR="009749A0">
        <w:t>2.8</w:t>
      </w:r>
      <w:r w:rsidR="004E4766" w:rsidRPr="00BD6C5F">
        <w:fldChar w:fldCharType="end"/>
      </w:r>
      <w:r w:rsidRPr="00BD6C5F">
        <w:t xml:space="preserve"> and </w:t>
      </w:r>
      <w:r w:rsidR="004E4766" w:rsidRPr="00BD6C5F">
        <w:fldChar w:fldCharType="begin"/>
      </w:r>
      <w:r w:rsidR="004E4766" w:rsidRPr="00BD6C5F">
        <w:instrText xml:space="preserve"> REF _Ref98424145 \w \h </w:instrText>
      </w:r>
      <w:r w:rsidR="00AD7DD0" w:rsidRPr="00BD6C5F">
        <w:instrText xml:space="preserve"> \* MERGEFORMAT </w:instrText>
      </w:r>
      <w:r w:rsidR="004E4766" w:rsidRPr="00BD6C5F">
        <w:fldChar w:fldCharType="separate"/>
      </w:r>
      <w:r w:rsidR="009749A0">
        <w:t>2.8.4(b)</w:t>
      </w:r>
      <w:r w:rsidR="004E4766"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w:t>
      </w:r>
      <w:bookmarkEnd w:id="1508"/>
    </w:p>
    <w:p w14:paraId="255E0CE8" w14:textId="77777777" w:rsidR="00BC7DDA" w:rsidRPr="00BD6C5F" w:rsidRDefault="009B03E9" w:rsidP="00D4497D">
      <w:pPr>
        <w:pStyle w:val="Numbered111"/>
      </w:pPr>
      <w:r w:rsidRPr="00BD6C5F">
        <w:t>is full, comprehensive, accurate and up to date;</w:t>
      </w:r>
    </w:p>
    <w:p w14:paraId="2421E478" w14:textId="3DA583BB" w:rsidR="00BC7DDA" w:rsidRPr="00BD6C5F" w:rsidRDefault="009B03E9" w:rsidP="009F4A63">
      <w:pPr>
        <w:pStyle w:val="Numbered111"/>
        <w:keepNext/>
      </w:pPr>
      <w:r w:rsidRPr="00BD6C5F">
        <w:t xml:space="preserve">is split into </w:t>
      </w:r>
      <w:r w:rsidR="0061305B" w:rsidRPr="00BD6C5F">
        <w:t>three</w:t>
      </w:r>
      <w:r w:rsidRPr="00BD6C5F">
        <w:t xml:space="preserve"> parts:</w:t>
      </w:r>
    </w:p>
    <w:p w14:paraId="7A5A05BD" w14:textId="498413C8" w:rsidR="0061305B" w:rsidRPr="00BD6C5F" w:rsidRDefault="0061305B" w:rsidP="0041215F">
      <w:pPr>
        <w:pStyle w:val="Numbered111a"/>
      </w:pPr>
      <w:r w:rsidRPr="00BD6C5F">
        <w:t>Exposure Information (Contracts List);</w:t>
      </w:r>
    </w:p>
    <w:p w14:paraId="79809C4D" w14:textId="54630B71" w:rsidR="0061305B" w:rsidRPr="00BD6C5F" w:rsidRDefault="0061305B" w:rsidP="0041215F">
      <w:pPr>
        <w:pStyle w:val="Numbered111a"/>
      </w:pPr>
      <w:r w:rsidRPr="00BD6C5F">
        <w:t>C</w:t>
      </w:r>
      <w:r w:rsidR="00712F19" w:rsidRPr="00BD6C5F">
        <w:t>orporate Resolvability Assessment (Structural Review);</w:t>
      </w:r>
    </w:p>
    <w:p w14:paraId="43468E4F" w14:textId="5E1EEEBE" w:rsidR="00BC7DDA" w:rsidRPr="00BD6C5F" w:rsidRDefault="00712F19" w:rsidP="0041215F">
      <w:pPr>
        <w:pStyle w:val="Numbered111a"/>
      </w:pPr>
      <w:r w:rsidRPr="00BD6C5F">
        <w:t xml:space="preserve">Financial Information and </w:t>
      </w:r>
      <w:r w:rsidR="009B03E9" w:rsidRPr="00BD6C5F">
        <w:t>Commentary;</w:t>
      </w:r>
    </w:p>
    <w:p w14:paraId="0B80D95F" w14:textId="54C29631" w:rsidR="00BC7DDA" w:rsidRPr="00BD6C5F" w:rsidRDefault="00F16A67" w:rsidP="00605547">
      <w:pPr>
        <w:pStyle w:val="BodyText"/>
        <w:spacing w:before="100" w:after="200"/>
        <w:ind w:left="1803"/>
        <w:rPr>
          <w:rFonts w:asciiTheme="minorHAnsi" w:hAnsiTheme="minorHAnsi" w:cstheme="minorHAnsi"/>
        </w:rPr>
      </w:pPr>
      <w:r w:rsidRPr="00BD6C5F">
        <w:rPr>
          <w:rFonts w:asciiTheme="minorHAnsi" w:hAnsiTheme="minorHAnsi" w:cstheme="minorHAnsi"/>
        </w:rPr>
        <w:t xml:space="preserve">and is structured and presented in accordance with the </w:t>
      </w:r>
      <w:r w:rsidR="009B03E9" w:rsidRPr="00BD6C5F">
        <w:rPr>
          <w:rFonts w:asciiTheme="minorHAnsi" w:hAnsiTheme="minorHAnsi" w:cstheme="minorHAnsi"/>
        </w:rPr>
        <w:t>requirements and explanatory notes set out at</w:t>
      </w:r>
      <w:r w:rsidR="00712F19" w:rsidRPr="00BD6C5F">
        <w:rPr>
          <w:rFonts w:asciiTheme="minorHAnsi" w:hAnsiTheme="minorHAnsi" w:cstheme="minorHAnsi"/>
        </w:rPr>
        <w:t xml:space="preserve"> the relevant </w:t>
      </w:r>
      <w:r w:rsidR="009B03E9" w:rsidRPr="00BD6C5F">
        <w:rPr>
          <w:rFonts w:asciiTheme="minorHAnsi" w:hAnsiTheme="minorHAnsi" w:cstheme="minorHAnsi"/>
        </w:rPr>
        <w:t>Annex I of the latest</w:t>
      </w:r>
      <w:r w:rsidR="007C7F06" w:rsidRPr="00BD6C5F">
        <w:rPr>
          <w:rFonts w:asciiTheme="minorHAnsi" w:hAnsiTheme="minorHAnsi" w:cstheme="minorHAnsi"/>
        </w:rPr>
        <w:t xml:space="preserve"> </w:t>
      </w:r>
      <w:r w:rsidR="009B03E9" w:rsidRPr="00BD6C5F">
        <w:rPr>
          <w:rFonts w:asciiTheme="minorHAnsi" w:hAnsiTheme="minorHAnsi" w:cstheme="minorHAnsi"/>
        </w:rPr>
        <w:t>published version</w:t>
      </w:r>
      <w:r w:rsidR="00712F19" w:rsidRPr="00BD6C5F">
        <w:rPr>
          <w:rFonts w:asciiTheme="minorHAnsi" w:hAnsiTheme="minorHAnsi" w:cstheme="minorHAnsi"/>
        </w:rPr>
        <w:t>s</w:t>
      </w:r>
      <w:r w:rsidR="009B03E9" w:rsidRPr="00BD6C5F">
        <w:rPr>
          <w:rFonts w:asciiTheme="minorHAnsi" w:hAnsiTheme="minorHAnsi" w:cstheme="minorHAnsi"/>
        </w:rPr>
        <w:t xml:space="preserve"> of the Resolution Planning Guidance published by the Cabinet Office Government Commercial Function and available at </w:t>
      </w:r>
      <w:hyperlink r:id="rId110" w:history="1">
        <w:r w:rsidR="00605547" w:rsidRPr="00BD6C5F">
          <w:rPr>
            <w:rStyle w:val="Hyperlink"/>
          </w:rPr>
          <w:t>https://www.gov.uk/government/publications/the-sourcing-and-consultancy-playbooks</w:t>
        </w:r>
      </w:hyperlink>
      <w:r w:rsidR="00605547" w:rsidRPr="00BD6C5F">
        <w:rPr>
          <w:rFonts w:asciiTheme="minorHAnsi" w:hAnsiTheme="minorHAnsi" w:cstheme="minorHAnsi"/>
        </w:rPr>
        <w:t xml:space="preserve"> </w:t>
      </w:r>
      <w:r w:rsidR="009B03E9" w:rsidRPr="00BD6C5F">
        <w:rPr>
          <w:rFonts w:asciiTheme="minorHAnsi" w:hAnsiTheme="minorHAnsi" w:cstheme="minorHAnsi"/>
        </w:rPr>
        <w:t xml:space="preserve">and contains the level of detail required (adapted as necessary to </w:t>
      </w:r>
      <w:r w:rsidR="009B03E9" w:rsidRPr="00BD6C5F">
        <w:rPr>
          <w:rFonts w:asciiTheme="minorHAnsi" w:hAnsiTheme="minorHAnsi" w:cstheme="minorHAnsi"/>
        </w:rPr>
        <w:lastRenderedPageBreak/>
        <w:t>the Supplier</w:t>
      </w:r>
      <w:r w:rsidR="00A4555C" w:rsidRPr="00BD6C5F">
        <w:rPr>
          <w:rFonts w:asciiTheme="minorHAnsi" w:hAnsiTheme="minorHAnsi" w:cstheme="minorHAnsi"/>
        </w:rPr>
        <w:t>’</w:t>
      </w:r>
      <w:r w:rsidR="009B03E9" w:rsidRPr="00BD6C5F">
        <w:rPr>
          <w:rFonts w:asciiTheme="minorHAnsi" w:hAnsiTheme="minorHAnsi" w:cstheme="minorHAnsi"/>
        </w:rPr>
        <w:t>s circumstances);</w:t>
      </w:r>
    </w:p>
    <w:p w14:paraId="02117861" w14:textId="1F5F8E76" w:rsidR="00BC7DDA" w:rsidRPr="00BD6C5F" w:rsidRDefault="009B03E9" w:rsidP="00D4497D">
      <w:pPr>
        <w:pStyle w:val="Numbered111"/>
      </w:pPr>
      <w:r w:rsidRPr="00BD6C5F">
        <w:t>incorporates any additional commentary, supporting documents and evidence which would reasonably be required by the Relevant Authority or Relevant Authorities to understand and consider the information for approval;</w:t>
      </w:r>
    </w:p>
    <w:p w14:paraId="7343DFF3" w14:textId="5BEDCCC5" w:rsidR="00BC7DDA" w:rsidRPr="00BD6C5F" w:rsidRDefault="009B03E9" w:rsidP="00D4497D">
      <w:pPr>
        <w:pStyle w:val="Numbered111"/>
      </w:pPr>
      <w:r w:rsidRPr="00BD6C5F">
        <w:t xml:space="preserve">provides a clear description and explanation of the Supplier Group members that have agreements for goods, services or works provision in respect of UK Public Sector Business and/or </w:t>
      </w:r>
      <w:r w:rsidR="00E2003E" w:rsidRPr="00BD6C5F">
        <w:t>CNI</w:t>
      </w:r>
      <w:r w:rsidRPr="00BD6C5F">
        <w:t xml:space="preserve"> and the nature of those agreements; and</w:t>
      </w:r>
    </w:p>
    <w:p w14:paraId="0DF36EC2" w14:textId="565885FA" w:rsidR="00BC7DDA" w:rsidRPr="00BD6C5F" w:rsidRDefault="009B03E9" w:rsidP="00D4497D">
      <w:pPr>
        <w:pStyle w:val="Numbered111"/>
      </w:pPr>
      <w:r w:rsidRPr="00BD6C5F">
        <w:t xml:space="preserve">complies with the requirements set out at </w:t>
      </w:r>
      <w:r w:rsidR="000E1EDB">
        <w:t>Annex </w:t>
      </w:r>
      <w:r w:rsidR="000E1EDB">
        <w:fldChar w:fldCharType="begin"/>
      </w:r>
      <w:r w:rsidR="000E1EDB">
        <w:instrText xml:space="preserve"> REF Schedule_26_Part_B_Annex_1 \h </w:instrText>
      </w:r>
      <w:r w:rsidR="000E1EDB">
        <w:fldChar w:fldCharType="separate"/>
      </w:r>
      <w:r w:rsidR="009749A0" w:rsidRPr="00F63080">
        <w:rPr>
          <w:lang w:val="fr-FR"/>
        </w:rPr>
        <w:t>1</w:t>
      </w:r>
      <w:r w:rsidR="000E1EDB">
        <w:fldChar w:fldCharType="end"/>
      </w:r>
      <w:r w:rsidRPr="00BD6C5F">
        <w:t xml:space="preserve"> (</w:t>
      </w:r>
      <w:r w:rsidR="00E2003E" w:rsidRPr="000E1EDB">
        <w:rPr>
          <w:i/>
          <w:iCs/>
        </w:rPr>
        <w:t>Exposure Information (Contracts List)</w:t>
      </w:r>
      <w:r w:rsidRPr="00BD6C5F">
        <w:t>) and Annex</w:t>
      </w:r>
      <w:r w:rsidR="000E1EDB">
        <w:t> </w:t>
      </w:r>
      <w:r w:rsidR="000E1EDB">
        <w:fldChar w:fldCharType="begin"/>
      </w:r>
      <w:r w:rsidR="000E1EDB">
        <w:instrText xml:space="preserve"> REF Schedule_26_Part_B_Annex_2 \h </w:instrText>
      </w:r>
      <w:r w:rsidR="000E1EDB">
        <w:fldChar w:fldCharType="separate"/>
      </w:r>
      <w:r w:rsidR="009749A0" w:rsidRPr="00BD6C5F">
        <w:t>2</w:t>
      </w:r>
      <w:r w:rsidR="000E1EDB">
        <w:fldChar w:fldCharType="end"/>
      </w:r>
      <w:r w:rsidR="000E1EDB">
        <w:t xml:space="preserve"> </w:t>
      </w:r>
      <w:r w:rsidRPr="00BD6C5F">
        <w:t>(</w:t>
      </w:r>
      <w:r w:rsidR="00307A0D" w:rsidRPr="000E1EDB">
        <w:rPr>
          <w:i/>
          <w:iCs/>
        </w:rPr>
        <w:t>Corporate Resolvability Assessment (Structural Review)</w:t>
      </w:r>
      <w:r w:rsidR="00307A0D" w:rsidRPr="00BD6C5F">
        <w:t xml:space="preserve">) and </w:t>
      </w:r>
      <w:r w:rsidR="000E1EDB">
        <w:t>Annex </w:t>
      </w:r>
      <w:r w:rsidR="000E1EDB">
        <w:fldChar w:fldCharType="begin"/>
      </w:r>
      <w:r w:rsidR="000E1EDB">
        <w:instrText xml:space="preserve"> REF Schedule_26_Part_B_Annex_3 \h </w:instrText>
      </w:r>
      <w:r w:rsidR="000E1EDB">
        <w:fldChar w:fldCharType="separate"/>
      </w:r>
      <w:r w:rsidR="009749A0" w:rsidRPr="00BD6C5F">
        <w:t>3</w:t>
      </w:r>
      <w:r w:rsidR="000E1EDB">
        <w:fldChar w:fldCharType="end"/>
      </w:r>
      <w:r w:rsidR="00307A0D" w:rsidRPr="00BD6C5F">
        <w:t xml:space="preserve"> (</w:t>
      </w:r>
      <w:r w:rsidR="00307A0D" w:rsidRPr="000E1EDB">
        <w:rPr>
          <w:i/>
          <w:iCs/>
        </w:rPr>
        <w:t>Financial Information and Commentary</w:t>
      </w:r>
      <w:r w:rsidR="00307A0D" w:rsidRPr="00BD6C5F">
        <w:t>)</w:t>
      </w:r>
      <w:r w:rsidR="000E1EDB">
        <w:t xml:space="preserve"> of Part </w:t>
      </w:r>
      <w:r w:rsidR="000E1EDB">
        <w:fldChar w:fldCharType="begin"/>
      </w:r>
      <w:r w:rsidR="000E1EDB">
        <w:instrText xml:space="preserve"> REF Schedule_26_Part_B \h </w:instrText>
      </w:r>
      <w:r w:rsidR="000E1EDB">
        <w:fldChar w:fldCharType="separate"/>
      </w:r>
      <w:r w:rsidR="009749A0" w:rsidRPr="00BD6C5F">
        <w:t>B</w:t>
      </w:r>
      <w:r w:rsidR="000E1EDB">
        <w:fldChar w:fldCharType="end"/>
      </w:r>
      <w:r w:rsidR="000E1EDB">
        <w:t xml:space="preserve"> </w:t>
      </w:r>
      <w:r w:rsidRPr="00BD6C5F">
        <w:t>respectively.</w:t>
      </w:r>
    </w:p>
    <w:p w14:paraId="4EECCE3C" w14:textId="7012C54F" w:rsidR="00BC7DDA" w:rsidRPr="00BD6C5F" w:rsidRDefault="009B03E9" w:rsidP="00C5057A">
      <w:pPr>
        <w:pStyle w:val="Numbered11"/>
      </w:pPr>
      <w:r w:rsidRPr="00BD6C5F">
        <w:t>Following receipt by the Relevant Authority or Relevant Authorities of the CRP Information pursuant to Paragraphs</w:t>
      </w:r>
      <w:r w:rsidR="004E4766" w:rsidRPr="00BD6C5F">
        <w:t> </w:t>
      </w:r>
      <w:r w:rsidR="004E4766" w:rsidRPr="00BD6C5F">
        <w:fldChar w:fldCharType="begin"/>
      </w:r>
      <w:r w:rsidR="004E4766" w:rsidRPr="00BD6C5F">
        <w:instrText xml:space="preserve"> REF _Ref98424109 \w \h </w:instrText>
      </w:r>
      <w:r w:rsidR="00AD7DD0" w:rsidRPr="00BD6C5F">
        <w:instrText xml:space="preserve"> \* MERGEFORMAT </w:instrText>
      </w:r>
      <w:r w:rsidR="004E4766" w:rsidRPr="00BD6C5F">
        <w:fldChar w:fldCharType="separate"/>
      </w:r>
      <w:r w:rsidR="009749A0">
        <w:t>2.2</w:t>
      </w:r>
      <w:r w:rsidR="004E4766" w:rsidRPr="00BD6C5F">
        <w:fldChar w:fldCharType="end"/>
      </w:r>
      <w:r w:rsidR="004E4766" w:rsidRPr="00BD6C5F">
        <w:t xml:space="preserve">, </w:t>
      </w:r>
      <w:r w:rsidR="004E4766" w:rsidRPr="00BD6C5F">
        <w:fldChar w:fldCharType="begin"/>
      </w:r>
      <w:r w:rsidR="004E4766" w:rsidRPr="00BD6C5F">
        <w:instrText xml:space="preserve"> REF _Ref98424133 \w \h </w:instrText>
      </w:r>
      <w:r w:rsidR="00AD7DD0" w:rsidRPr="00BD6C5F">
        <w:instrText xml:space="preserve"> \* MERGEFORMAT </w:instrText>
      </w:r>
      <w:r w:rsidR="004E4766" w:rsidRPr="00BD6C5F">
        <w:fldChar w:fldCharType="separate"/>
      </w:r>
      <w:r w:rsidR="009749A0">
        <w:t>2.8</w:t>
      </w:r>
      <w:r w:rsidR="004E4766" w:rsidRPr="00BD6C5F">
        <w:fldChar w:fldCharType="end"/>
      </w:r>
      <w:r w:rsidR="004E4766" w:rsidRPr="00BD6C5F">
        <w:t xml:space="preserve"> and </w:t>
      </w:r>
      <w:r w:rsidR="004E4766" w:rsidRPr="00BD6C5F">
        <w:fldChar w:fldCharType="begin"/>
      </w:r>
      <w:r w:rsidR="004E4766" w:rsidRPr="00BD6C5F">
        <w:instrText xml:space="preserve"> REF _Ref98424145 \w \h </w:instrText>
      </w:r>
      <w:r w:rsidR="00AD7DD0" w:rsidRPr="00BD6C5F">
        <w:instrText xml:space="preserve"> \* MERGEFORMAT </w:instrText>
      </w:r>
      <w:r w:rsidR="004E4766" w:rsidRPr="00BD6C5F">
        <w:fldChar w:fldCharType="separate"/>
      </w:r>
      <w:r w:rsidR="009749A0">
        <w:t>2.8.4(b)</w:t>
      </w:r>
      <w:r w:rsidR="004E4766"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the Authority shall procure that the Relevant Authority or Relevant Authorities discuss in good faith the contents of the CRP Information with the Supplier and no later than 60 days after the date on which the CRP Information was delivered by the Supplier either provide an Assurance to the Supplier that Relevant Authority or Relevant Authorities approve the CRP Information or that Relevant Authority or Relevant Authorities reject the CRP Information.</w:t>
      </w:r>
    </w:p>
    <w:p w14:paraId="6DB0B1C1" w14:textId="77777777" w:rsidR="00BC7DDA" w:rsidRPr="00BD6C5F" w:rsidRDefault="009B03E9" w:rsidP="009F4A63">
      <w:pPr>
        <w:pStyle w:val="Numbered11"/>
        <w:keepNext/>
      </w:pPr>
      <w:bookmarkStart w:id="1509" w:name="_bookmark505"/>
      <w:bookmarkStart w:id="1510" w:name="_Ref98424221"/>
      <w:bookmarkEnd w:id="1509"/>
      <w:r w:rsidRPr="00BD6C5F">
        <w:t>If the Relevant Authority or Relevant Authorities reject the CRP Information:</w:t>
      </w:r>
      <w:bookmarkEnd w:id="1510"/>
    </w:p>
    <w:p w14:paraId="2EA030C6" w14:textId="77777777" w:rsidR="00BC7DDA" w:rsidRPr="00BD6C5F" w:rsidRDefault="009B03E9" w:rsidP="00D4497D">
      <w:pPr>
        <w:pStyle w:val="Numbered111"/>
      </w:pPr>
      <w:r w:rsidRPr="00BD6C5F">
        <w:t>the Authority shall (and shall procure that the Cabinet Office Markets and Suppliers Team shall) inform the Supplier in writing of its reasons for its rejection; and</w:t>
      </w:r>
    </w:p>
    <w:p w14:paraId="527BF8EA" w14:textId="59BA0757" w:rsidR="00BC7DDA" w:rsidRPr="00BD6C5F" w:rsidRDefault="009B03E9" w:rsidP="00D4497D">
      <w:pPr>
        <w:pStyle w:val="Numbered111"/>
      </w:pPr>
      <w:r w:rsidRPr="00BD6C5F">
        <w:t>the Supplier shall revise the CRP Information, taking reasonable account of the Relevant Authority</w:t>
      </w:r>
      <w:r w:rsidR="00A4555C" w:rsidRPr="00BD6C5F">
        <w:t>’</w:t>
      </w:r>
      <w:r w:rsidRPr="00BD6C5F">
        <w:t>s or Relevant Authorities</w:t>
      </w:r>
      <w:r w:rsidR="00A4555C" w:rsidRPr="00BD6C5F">
        <w:t>’</w:t>
      </w:r>
      <w:r w:rsidRPr="00BD6C5F">
        <w:t xml:space="preserve"> comments, and shall re-submit the CRP Information to the Relevant Authority or Relevant Authorities for approval within 30 days of the date of the Relevant Authority</w:t>
      </w:r>
      <w:r w:rsidR="00A4555C" w:rsidRPr="00BD6C5F">
        <w:t>’</w:t>
      </w:r>
      <w:r w:rsidRPr="00BD6C5F">
        <w:t>s or Relevant Authorities</w:t>
      </w:r>
      <w:r w:rsidR="00A4555C" w:rsidRPr="00BD6C5F">
        <w:t>’</w:t>
      </w:r>
      <w:r w:rsidRPr="00BD6C5F">
        <w:t xml:space="preserve"> rejection. The provisions of paragraph</w:t>
      </w:r>
      <w:r w:rsidR="004E4766" w:rsidRPr="00BD6C5F">
        <w:t> </w:t>
      </w:r>
      <w:r w:rsidR="004E4766" w:rsidRPr="00BD6C5F">
        <w:fldChar w:fldCharType="begin"/>
      </w:r>
      <w:r w:rsidR="004E4766" w:rsidRPr="00BD6C5F">
        <w:instrText xml:space="preserve"> REF _Ref98424211 \w \h </w:instrText>
      </w:r>
      <w:r w:rsidR="00AD7DD0" w:rsidRPr="00BD6C5F">
        <w:instrText xml:space="preserve"> \* MERGEFORMAT </w:instrText>
      </w:r>
      <w:r w:rsidR="004E4766" w:rsidRPr="00BD6C5F">
        <w:fldChar w:fldCharType="separate"/>
      </w:r>
      <w:r w:rsidR="009749A0">
        <w:t>2.3</w:t>
      </w:r>
      <w:r w:rsidR="004E4766" w:rsidRPr="00BD6C5F">
        <w:fldChar w:fldCharType="end"/>
      </w:r>
      <w:r w:rsidRPr="00BD6C5F">
        <w:t xml:space="preserve"> to </w:t>
      </w:r>
      <w:r w:rsidR="007A2ACA" w:rsidRPr="00BD6C5F">
        <w:fldChar w:fldCharType="begin"/>
      </w:r>
      <w:r w:rsidR="007A2ACA" w:rsidRPr="00BD6C5F">
        <w:instrText xml:space="preserve"> REF _Ref98424221 \w \h </w:instrText>
      </w:r>
      <w:r w:rsidR="00AD7DD0" w:rsidRPr="00BD6C5F">
        <w:instrText xml:space="preserve"> \* MERGEFORMAT </w:instrText>
      </w:r>
      <w:r w:rsidR="007A2ACA" w:rsidRPr="00BD6C5F">
        <w:fldChar w:fldCharType="separate"/>
      </w:r>
      <w:r w:rsidR="009749A0">
        <w:t>2.5</w:t>
      </w:r>
      <w:r w:rsidR="007A2ACA"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xml:space="preserve"> shall apply again to any resubmitted CRP Information provided that either Party may refer any disputed matters for resolution by the Dispute Resolution Procedure at any time.</w:t>
      </w:r>
    </w:p>
    <w:p w14:paraId="790912CE" w14:textId="0EBDE746" w:rsidR="00BC7DDA" w:rsidRPr="00BD6C5F" w:rsidRDefault="009B03E9" w:rsidP="00C5057A">
      <w:pPr>
        <w:pStyle w:val="Numbered11"/>
      </w:pPr>
      <w:bookmarkStart w:id="1511" w:name="_bookmark506"/>
      <w:bookmarkStart w:id="1512" w:name="_Ref98424053"/>
      <w:bookmarkEnd w:id="1511"/>
      <w:r w:rsidRPr="00BD6C5F">
        <w:t>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on the date by which the CRP Information would otherwise be required, the Supplier shall not be required to provide the CRP Information under Paragraph</w:t>
      </w:r>
      <w:r w:rsidR="007A2ACA" w:rsidRPr="00BD6C5F">
        <w:t> </w:t>
      </w:r>
      <w:r w:rsidR="007A2ACA" w:rsidRPr="00BD6C5F">
        <w:fldChar w:fldCharType="begin"/>
      </w:r>
      <w:r w:rsidR="007A2ACA" w:rsidRPr="00BD6C5F">
        <w:instrText xml:space="preserve"> REF _Ref98424109 \w \h </w:instrText>
      </w:r>
      <w:r w:rsidR="00AD7DD0" w:rsidRPr="00BD6C5F">
        <w:instrText xml:space="preserve"> \* MERGEFORMAT </w:instrText>
      </w:r>
      <w:r w:rsidR="007A2ACA" w:rsidRPr="00BD6C5F">
        <w:fldChar w:fldCharType="separate"/>
      </w:r>
      <w:r w:rsidR="009749A0">
        <w:t>2.2</w:t>
      </w:r>
      <w:r w:rsidR="007A2ACA" w:rsidRPr="00BD6C5F">
        <w:fldChar w:fldCharType="end"/>
      </w:r>
      <w:r w:rsidRPr="00BD6C5F">
        <w:t xml:space="preserve"> if it provides a copy of the Valid Assurance to the Relevant Authority or Relevant Authorities on or before the date on which the CRP Information would otherwise have been required.</w:t>
      </w:r>
      <w:bookmarkEnd w:id="1512"/>
    </w:p>
    <w:p w14:paraId="227F190B" w14:textId="67B44B62" w:rsidR="00BC7DDA" w:rsidRPr="00BD6C5F" w:rsidRDefault="009B03E9" w:rsidP="009F4A63">
      <w:pPr>
        <w:pStyle w:val="Numbered11"/>
        <w:keepNext/>
      </w:pPr>
      <w:bookmarkStart w:id="1513" w:name="_bookmark507"/>
      <w:bookmarkStart w:id="1514" w:name="_Ref141213645"/>
      <w:bookmarkEnd w:id="1513"/>
      <w:r w:rsidRPr="00BD6C5F">
        <w:lastRenderedPageBreak/>
        <w:t>An Assurance shall be deemed Valid for the purposes of Paragraph</w:t>
      </w:r>
      <w:r w:rsidR="007A2ACA" w:rsidRPr="00BD6C5F">
        <w:t> </w:t>
      </w:r>
      <w:r w:rsidR="007A2ACA" w:rsidRPr="00BD6C5F">
        <w:fldChar w:fldCharType="begin"/>
      </w:r>
      <w:r w:rsidR="007A2ACA" w:rsidRPr="00BD6C5F">
        <w:instrText xml:space="preserve"> REF _Ref98424053 \w \h </w:instrText>
      </w:r>
      <w:r w:rsidR="00AD7DD0" w:rsidRPr="00BD6C5F">
        <w:instrText xml:space="preserve"> \* MERGEFORMAT </w:instrText>
      </w:r>
      <w:r w:rsidR="007A2ACA" w:rsidRPr="00BD6C5F">
        <w:fldChar w:fldCharType="separate"/>
      </w:r>
      <w:r w:rsidR="009749A0">
        <w:t>2.6</w:t>
      </w:r>
      <w:r w:rsidR="007A2ACA"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xml:space="preserve"> if:</w:t>
      </w:r>
      <w:bookmarkEnd w:id="1514"/>
    </w:p>
    <w:p w14:paraId="00F06CFA" w14:textId="77777777" w:rsidR="00BC7DDA" w:rsidRPr="00BD6C5F" w:rsidRDefault="009B03E9" w:rsidP="00D4497D">
      <w:pPr>
        <w:pStyle w:val="Numbered111"/>
      </w:pPr>
      <w:r w:rsidRPr="00BD6C5F">
        <w:t>the Assurance is within the validity period stated in the Assurance (or, if no validity period is stated, no more than 12 months has elapsed since it was issued and no more than 18 months has elapsed since the Accounting Reference Date on which the CRP Information was based); and</w:t>
      </w:r>
    </w:p>
    <w:p w14:paraId="22916C38" w14:textId="703FCA6E" w:rsidR="00BC7DDA" w:rsidRPr="00BD6C5F" w:rsidRDefault="009B03E9" w:rsidP="00D4497D">
      <w:pPr>
        <w:pStyle w:val="Numbered111"/>
      </w:pPr>
      <w:r w:rsidRPr="00BD6C5F">
        <w:t xml:space="preserve">no Corporate Change Events or Financial Distress Events (or events which would be deemed to be Corporate Change Events or Financial Distress Events if this </w:t>
      </w:r>
      <w:r w:rsidR="00307A0D" w:rsidRPr="00BD6C5F">
        <w:t xml:space="preserve">Contract </w:t>
      </w:r>
      <w:r w:rsidRPr="00BD6C5F">
        <w:t>had then been in force) have occurred since the date of issue of the Assurance.</w:t>
      </w:r>
    </w:p>
    <w:p w14:paraId="3FF15911" w14:textId="619D4671" w:rsidR="00BC7DDA" w:rsidRPr="00BD6C5F" w:rsidRDefault="009B03E9" w:rsidP="009F4A63">
      <w:pPr>
        <w:pStyle w:val="Numbered11"/>
        <w:keepNext/>
      </w:pPr>
      <w:bookmarkStart w:id="1515" w:name="_bookmark508"/>
      <w:bookmarkStart w:id="1516" w:name="_Ref98424133"/>
      <w:bookmarkEnd w:id="1515"/>
      <w:r w:rsidRPr="00BD6C5F">
        <w:t xml:space="preserve">If this </w:t>
      </w:r>
      <w:r w:rsidR="00307A0D" w:rsidRPr="00BD6C5F">
        <w:t xml:space="preserve">Contract </w:t>
      </w:r>
      <w:r w:rsidRPr="00BD6C5F">
        <w:t>is a Critical Service Contract, the Supplier shall provide an updated version of the CRP Information (or, in the case of Paragraph</w:t>
      </w:r>
      <w:r w:rsidR="007A2ACA" w:rsidRPr="00BD6C5F">
        <w:t> </w:t>
      </w:r>
      <w:r w:rsidR="007A2ACA" w:rsidRPr="00BD6C5F">
        <w:fldChar w:fldCharType="begin"/>
      </w:r>
      <w:r w:rsidR="007A2ACA" w:rsidRPr="00BD6C5F">
        <w:instrText xml:space="preserve"> REF _Ref98424403 \w \h </w:instrText>
      </w:r>
      <w:r w:rsidR="00AD7DD0" w:rsidRPr="00BD6C5F">
        <w:instrText xml:space="preserve"> \* MERGEFORMAT </w:instrText>
      </w:r>
      <w:r w:rsidR="007A2ACA" w:rsidRPr="00BD6C5F">
        <w:fldChar w:fldCharType="separate"/>
      </w:r>
      <w:r w:rsidR="009749A0">
        <w:t>2.8.3</w:t>
      </w:r>
      <w:r w:rsidR="007A2ACA"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xml:space="preserve"> its initial CRP Information) to the Relevant Authority or Relevant Authorities:</w:t>
      </w:r>
      <w:bookmarkEnd w:id="1516"/>
    </w:p>
    <w:p w14:paraId="28F2B369" w14:textId="47C66DE2" w:rsidR="00BC7DDA" w:rsidRPr="00BD6C5F" w:rsidRDefault="009B03E9" w:rsidP="00D4497D">
      <w:pPr>
        <w:pStyle w:val="Numbered111"/>
      </w:pPr>
      <w:bookmarkStart w:id="1517" w:name="_bookmark509"/>
      <w:bookmarkStart w:id="1518" w:name="_Ref98424605"/>
      <w:bookmarkEnd w:id="1517"/>
      <w:r w:rsidRPr="00BD6C5F">
        <w:t>within 14 days of the occurrence of a Financial Distress Event (along with any additional highly confidential information no longer exempted from disclosure under Paragraph</w:t>
      </w:r>
      <w:r w:rsidR="007A2ACA" w:rsidRPr="00BD6C5F">
        <w:t> </w:t>
      </w:r>
      <w:r w:rsidR="007A2ACA" w:rsidRPr="00BD6C5F">
        <w:fldChar w:fldCharType="begin"/>
      </w:r>
      <w:r w:rsidR="007A2ACA" w:rsidRPr="00BD6C5F">
        <w:instrText xml:space="preserve"> REF _Ref98424076 \w \h </w:instrText>
      </w:r>
      <w:r w:rsidR="00AD7DD0" w:rsidRPr="00BD6C5F">
        <w:instrText xml:space="preserve"> \* MERGEFORMAT </w:instrText>
      </w:r>
      <w:r w:rsidR="007A2ACA" w:rsidRPr="00BD6C5F">
        <w:fldChar w:fldCharType="separate"/>
      </w:r>
      <w:r w:rsidR="009749A0">
        <w:t>2.11</w:t>
      </w:r>
      <w:r w:rsidR="007A2ACA"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unless the Supplier is relieved of the consequences of the Financial Distress Event under Paragraph</w:t>
      </w:r>
      <w:r w:rsidR="007A2ACA" w:rsidRPr="00BD6C5F">
        <w:t> </w:t>
      </w:r>
      <w:r w:rsidR="007A2ACA" w:rsidRPr="00BD6C5F">
        <w:fldChar w:fldCharType="begin"/>
      </w:r>
      <w:r w:rsidR="007A2ACA" w:rsidRPr="00BD6C5F">
        <w:instrText xml:space="preserve"> REF _Ref98423527 \w \h </w:instrText>
      </w:r>
      <w:r w:rsidR="00AD7DD0" w:rsidRPr="00BD6C5F">
        <w:instrText xml:space="preserve"> \* MERGEFORMAT </w:instrText>
      </w:r>
      <w:r w:rsidR="007A2ACA" w:rsidRPr="00BD6C5F">
        <w:fldChar w:fldCharType="separate"/>
      </w:r>
      <w:r w:rsidR="009749A0">
        <w:t>7.1</w:t>
      </w:r>
      <w:r w:rsidR="007A2ACA" w:rsidRPr="00BD6C5F">
        <w:fldChar w:fldCharType="end"/>
      </w:r>
      <w:r w:rsidRPr="00BD6C5F">
        <w:t xml:space="preserve"> of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Schedule_18 \h </w:instrText>
      </w:r>
      <w:r w:rsidR="00346653">
        <w:rPr>
          <w:rFonts w:asciiTheme="minorHAnsi" w:hAnsiTheme="minorHAnsi" w:cstheme="minorHAnsi"/>
        </w:rPr>
      </w:r>
      <w:r w:rsidR="00346653">
        <w:rPr>
          <w:rFonts w:asciiTheme="minorHAnsi" w:hAnsiTheme="minorHAnsi" w:cstheme="minorHAnsi"/>
        </w:rPr>
        <w:fldChar w:fldCharType="separate"/>
      </w:r>
      <w:r w:rsidR="009749A0">
        <w:t>18</w:t>
      </w:r>
      <w:r w:rsidR="00346653">
        <w:rPr>
          <w:rFonts w:asciiTheme="minorHAnsi" w:hAnsiTheme="minorHAnsi" w:cstheme="minorHAnsi"/>
        </w:rPr>
        <w:fldChar w:fldCharType="end"/>
      </w:r>
      <w:r w:rsidRPr="00BD6C5F">
        <w:t xml:space="preserve"> (</w:t>
      </w:r>
      <w:r w:rsidRPr="00BD6C5F">
        <w:rPr>
          <w:i/>
        </w:rPr>
        <w:t>Financial Distress</w:t>
      </w:r>
      <w:r w:rsidRPr="00BD6C5F">
        <w:t>)</w:t>
      </w:r>
      <w:bookmarkEnd w:id="1518"/>
    </w:p>
    <w:p w14:paraId="308A918E" w14:textId="77777777" w:rsidR="00307A0D" w:rsidRPr="00BD6C5F" w:rsidRDefault="009B03E9" w:rsidP="009F4A63">
      <w:pPr>
        <w:pStyle w:val="Numbered111"/>
        <w:keepNext/>
      </w:pPr>
      <w:bookmarkStart w:id="1519" w:name="_bookmark510"/>
      <w:bookmarkStart w:id="1520" w:name="_Ref98424620"/>
      <w:bookmarkEnd w:id="1519"/>
      <w:r w:rsidRPr="00BD6C5F">
        <w:t>within 30 days of a Corporate Change Event unless</w:t>
      </w:r>
      <w:bookmarkEnd w:id="1520"/>
      <w:r w:rsidRPr="00BD6C5F">
        <w:t xml:space="preserve"> </w:t>
      </w:r>
    </w:p>
    <w:p w14:paraId="0DBFFA8F" w14:textId="527A2B69" w:rsidR="00307A0D" w:rsidRPr="00BD6C5F" w:rsidRDefault="00307A0D" w:rsidP="0041215F">
      <w:pPr>
        <w:pStyle w:val="Numbered111a"/>
      </w:pPr>
      <w:bookmarkStart w:id="1521" w:name="_Ref141219750"/>
      <w:r w:rsidRPr="00BD6C5F">
        <w:t>the Supplier requests and the Relevant Authority (acting reasonably) agrees to a Corporate Change Event Grace Period, in the event of which the time period for the Supplier to comply with this Paragraph shall be extended as determined by the Relevant Authority (acting reasonably) but shall in any case be no longer than six months after the Corporate Change Event. During a Corporate Change Event Grace Period the Supplier shall regularly and fully engage with the Relevant Authority to enable it to understand the nature of the Corporate Change Event and the Relevant Authority shall reserve the right to terminate a Corporate Change Event Grace Period at any time if the Supplier fails to comply with this Paragraph; or</w:t>
      </w:r>
      <w:bookmarkEnd w:id="1521"/>
    </w:p>
    <w:p w14:paraId="1576D8DB" w14:textId="15BD890E" w:rsidR="00CF53AA" w:rsidRPr="00BD6C5F" w:rsidRDefault="00CF53AA" w:rsidP="00D4497D">
      <w:pPr>
        <w:pStyle w:val="Numbered111a"/>
        <w:rPr>
          <w:lang w:val="en-GB"/>
        </w:rPr>
      </w:pPr>
      <w:r w:rsidRPr="00BD6C5F">
        <w:rPr>
          <w:lang w:val="en-GB"/>
        </w:rPr>
        <w:t xml:space="preserve">not required pursuant to Paragraph </w:t>
      </w:r>
      <w:r w:rsidRPr="00BD6C5F">
        <w:rPr>
          <w:lang w:val="en-GB"/>
        </w:rPr>
        <w:fldChar w:fldCharType="begin"/>
      </w:r>
      <w:r w:rsidRPr="00BD6C5F">
        <w:rPr>
          <w:lang w:val="en-GB"/>
        </w:rPr>
        <w:instrText xml:space="preserve"> REF _Ref98424065 \w \h </w:instrText>
      </w:r>
      <w:r w:rsidR="00AD7DD0" w:rsidRPr="00BD6C5F">
        <w:rPr>
          <w:lang w:val="en-GB"/>
        </w:rPr>
        <w:instrText xml:space="preserve"> \* MERGEFORMAT </w:instrText>
      </w:r>
      <w:r w:rsidRPr="00BD6C5F">
        <w:rPr>
          <w:lang w:val="en-GB"/>
        </w:rPr>
      </w:r>
      <w:r w:rsidRPr="00BD6C5F">
        <w:rPr>
          <w:lang w:val="en-GB"/>
        </w:rPr>
        <w:fldChar w:fldCharType="separate"/>
      </w:r>
      <w:r w:rsidR="009749A0">
        <w:rPr>
          <w:lang w:val="en-GB"/>
        </w:rPr>
        <w:t>2.10</w:t>
      </w:r>
      <w:r w:rsidRPr="00BD6C5F">
        <w:rPr>
          <w:lang w:val="en-GB"/>
        </w:rPr>
        <w:fldChar w:fldCharType="end"/>
      </w:r>
    </w:p>
    <w:p w14:paraId="138AEB2E" w14:textId="77777777" w:rsidR="00BC7DDA" w:rsidRPr="00BD6C5F" w:rsidRDefault="009B03E9" w:rsidP="009F4A63">
      <w:pPr>
        <w:pStyle w:val="Numbered111"/>
        <w:keepNext/>
      </w:pPr>
      <w:bookmarkStart w:id="1522" w:name="_bookmark511"/>
      <w:bookmarkStart w:id="1523" w:name="_Ref98424403"/>
      <w:bookmarkEnd w:id="1522"/>
      <w:r w:rsidRPr="00BD6C5F">
        <w:t>within 30 days of the date that:</w:t>
      </w:r>
      <w:bookmarkEnd w:id="1523"/>
    </w:p>
    <w:p w14:paraId="536D0127" w14:textId="59A048E5" w:rsidR="00BC7DDA" w:rsidRPr="00BD6C5F" w:rsidRDefault="009B03E9" w:rsidP="0041215F">
      <w:pPr>
        <w:pStyle w:val="Numbered111a"/>
      </w:pPr>
      <w:r w:rsidRPr="00BD6C5F">
        <w:t>the credit rating(s) of each of the Supplier and its Parent Undertakings fail to meet any of the criteria specified in Paragraph</w:t>
      </w:r>
      <w:r w:rsidR="007A2ACA" w:rsidRPr="00BD6C5F">
        <w:t> </w:t>
      </w:r>
      <w:r w:rsidR="007A2ACA" w:rsidRPr="00BD6C5F">
        <w:fldChar w:fldCharType="begin"/>
      </w:r>
      <w:r w:rsidR="007A2ACA" w:rsidRPr="00BD6C5F">
        <w:instrText xml:space="preserve"> REF _Ref98424065 \w \h </w:instrText>
      </w:r>
      <w:r w:rsidR="00AD7DD0" w:rsidRPr="00BD6C5F">
        <w:instrText xml:space="preserve"> \* MERGEFORMAT </w:instrText>
      </w:r>
      <w:r w:rsidR="007A2ACA" w:rsidRPr="00BD6C5F">
        <w:fldChar w:fldCharType="separate"/>
      </w:r>
      <w:r w:rsidR="009749A0">
        <w:t>2.10</w:t>
      </w:r>
      <w:r w:rsidR="007A2ACA" w:rsidRPr="00BD6C5F">
        <w:fldChar w:fldCharType="end"/>
      </w:r>
      <w:r w:rsidRPr="00BD6C5F">
        <w:t>; or</w:t>
      </w:r>
    </w:p>
    <w:p w14:paraId="73B88D50" w14:textId="6B14033A" w:rsidR="00BC7DDA" w:rsidRPr="00BD6C5F" w:rsidRDefault="009B03E9" w:rsidP="00D4497D">
      <w:pPr>
        <w:pStyle w:val="Numbered111a"/>
        <w:rPr>
          <w:lang w:val="en-GB"/>
        </w:rPr>
      </w:pPr>
      <w:r w:rsidRPr="00BD6C5F">
        <w:rPr>
          <w:lang w:val="en-GB"/>
        </w:rPr>
        <w:t>none of the credit rating agencies specified at Paragraph</w:t>
      </w:r>
      <w:r w:rsidR="007A2ACA" w:rsidRPr="00BD6C5F">
        <w:rPr>
          <w:lang w:val="en-GB"/>
        </w:rPr>
        <w:t> </w:t>
      </w:r>
      <w:r w:rsidR="007A2ACA" w:rsidRPr="00BD6C5F">
        <w:rPr>
          <w:lang w:val="en-GB"/>
        </w:rPr>
        <w:fldChar w:fldCharType="begin"/>
      </w:r>
      <w:r w:rsidR="007A2ACA" w:rsidRPr="00BD6C5F">
        <w:rPr>
          <w:lang w:val="en-GB"/>
        </w:rPr>
        <w:instrText xml:space="preserve"> REF _Ref98424065 \w \h </w:instrText>
      </w:r>
      <w:r w:rsidR="00AD7DD0" w:rsidRPr="00BD6C5F">
        <w:rPr>
          <w:lang w:val="en-GB"/>
        </w:rPr>
        <w:instrText xml:space="preserve"> \* MERGEFORMAT </w:instrText>
      </w:r>
      <w:r w:rsidR="007A2ACA" w:rsidRPr="00BD6C5F">
        <w:rPr>
          <w:lang w:val="en-GB"/>
        </w:rPr>
      </w:r>
      <w:r w:rsidR="007A2ACA" w:rsidRPr="00BD6C5F">
        <w:rPr>
          <w:lang w:val="en-GB"/>
        </w:rPr>
        <w:fldChar w:fldCharType="separate"/>
      </w:r>
      <w:r w:rsidR="009749A0">
        <w:rPr>
          <w:lang w:val="en-GB"/>
        </w:rPr>
        <w:t>2.10</w:t>
      </w:r>
      <w:r w:rsidR="007A2ACA" w:rsidRPr="00BD6C5F">
        <w:rPr>
          <w:lang w:val="en-GB"/>
        </w:rPr>
        <w:fldChar w:fldCharType="end"/>
      </w:r>
      <w:r w:rsidRPr="00BD6C5F">
        <w:rPr>
          <w:lang w:val="en-GB"/>
        </w:rPr>
        <w:t xml:space="preserve"> hold a public credit rating for the Supplier or any of its Parent Undertakings; and</w:t>
      </w:r>
    </w:p>
    <w:p w14:paraId="0A1236F1" w14:textId="77777777" w:rsidR="00BC7DDA" w:rsidRPr="00BD6C5F" w:rsidRDefault="009B03E9" w:rsidP="009F4A63">
      <w:pPr>
        <w:pStyle w:val="Numbered111"/>
        <w:keepNext/>
      </w:pPr>
      <w:bookmarkStart w:id="1524" w:name="_bookmark512"/>
      <w:bookmarkStart w:id="1525" w:name="_Ref98424662"/>
      <w:bookmarkEnd w:id="1524"/>
      <w:r w:rsidRPr="00BD6C5F">
        <w:t>in any event, within 6 months after each Accounting Reference Date or within 15 months of the date of the previous Assurance received from the Relevant Authority (whichever is the earlier), unless:</w:t>
      </w:r>
      <w:bookmarkEnd w:id="1525"/>
    </w:p>
    <w:p w14:paraId="77D27F35" w14:textId="1834D13A" w:rsidR="00BC7DDA" w:rsidRPr="00BD6C5F" w:rsidRDefault="009B03E9" w:rsidP="0041215F">
      <w:pPr>
        <w:pStyle w:val="Numbered111a"/>
      </w:pPr>
      <w:r w:rsidRPr="00BD6C5F">
        <w:t>updated CRP Information has been provided under any of Paragraphs</w:t>
      </w:r>
      <w:r w:rsidR="007A2ACA" w:rsidRPr="00BD6C5F">
        <w:t> </w:t>
      </w:r>
      <w:r w:rsidR="007A2ACA" w:rsidRPr="00BD6C5F">
        <w:fldChar w:fldCharType="begin"/>
      </w:r>
      <w:r w:rsidR="007A2ACA" w:rsidRPr="00BD6C5F">
        <w:instrText xml:space="preserve"> REF _Ref98424605 \w \h </w:instrText>
      </w:r>
      <w:r w:rsidR="00AD7DD0" w:rsidRPr="00BD6C5F">
        <w:instrText xml:space="preserve"> \* MERGEFORMAT </w:instrText>
      </w:r>
      <w:r w:rsidR="007A2ACA" w:rsidRPr="00BD6C5F">
        <w:fldChar w:fldCharType="separate"/>
      </w:r>
      <w:r w:rsidR="009749A0">
        <w:t>2.8.1</w:t>
      </w:r>
      <w:r w:rsidR="007A2ACA" w:rsidRPr="00BD6C5F">
        <w:fldChar w:fldCharType="end"/>
      </w:r>
      <w:r w:rsidR="007A2ACA" w:rsidRPr="00BD6C5F">
        <w:t>,</w:t>
      </w:r>
      <w:r w:rsidRPr="00BD6C5F">
        <w:t xml:space="preserve"> </w:t>
      </w:r>
      <w:r w:rsidR="007A2ACA" w:rsidRPr="00BD6C5F">
        <w:fldChar w:fldCharType="begin"/>
      </w:r>
      <w:r w:rsidR="007A2ACA" w:rsidRPr="00BD6C5F">
        <w:instrText xml:space="preserve"> REF _Ref98424620 \w \h </w:instrText>
      </w:r>
      <w:r w:rsidR="00AD7DD0" w:rsidRPr="00BD6C5F">
        <w:instrText xml:space="preserve"> \* MERGEFORMAT </w:instrText>
      </w:r>
      <w:r w:rsidR="007A2ACA" w:rsidRPr="00BD6C5F">
        <w:fldChar w:fldCharType="separate"/>
      </w:r>
      <w:r w:rsidR="009749A0">
        <w:t>2.8.2</w:t>
      </w:r>
      <w:r w:rsidR="007A2ACA" w:rsidRPr="00BD6C5F">
        <w:fldChar w:fldCharType="end"/>
      </w:r>
      <w:r w:rsidRPr="00BD6C5F">
        <w:t xml:space="preserve"> or </w:t>
      </w:r>
      <w:r w:rsidR="007A2ACA" w:rsidRPr="00BD6C5F">
        <w:fldChar w:fldCharType="begin"/>
      </w:r>
      <w:r w:rsidR="007A2ACA" w:rsidRPr="00BD6C5F">
        <w:instrText xml:space="preserve"> REF _Ref98424403 \w \h </w:instrText>
      </w:r>
      <w:r w:rsidR="00AD7DD0" w:rsidRPr="00BD6C5F">
        <w:instrText xml:space="preserve"> \* MERGEFORMAT </w:instrText>
      </w:r>
      <w:r w:rsidR="007A2ACA" w:rsidRPr="00BD6C5F">
        <w:fldChar w:fldCharType="separate"/>
      </w:r>
      <w:r w:rsidR="009749A0">
        <w:t>2.8.3</w:t>
      </w:r>
      <w:r w:rsidR="007A2ACA" w:rsidRPr="00BD6C5F">
        <w:fldChar w:fldCharType="end"/>
      </w:r>
      <w:r w:rsidRPr="00BD6C5F">
        <w:t xml:space="preserve"> since the most recent Accounting </w:t>
      </w:r>
      <w:r w:rsidRPr="00BD6C5F">
        <w:lastRenderedPageBreak/>
        <w:t>Reference Date (being no more than 12</w:t>
      </w:r>
      <w:r w:rsidR="007A2ACA" w:rsidRPr="00BD6C5F">
        <w:t> </w:t>
      </w:r>
      <w:r w:rsidRPr="00BD6C5F">
        <w:t>months previously) within the timescales that would ordinarily be required for the provision of that information under this Paragraph</w:t>
      </w:r>
      <w:r w:rsidR="007A2ACA" w:rsidRPr="00BD6C5F">
        <w:t> </w:t>
      </w:r>
      <w:r w:rsidR="007A2ACA" w:rsidRPr="00BD6C5F">
        <w:fldChar w:fldCharType="begin"/>
      </w:r>
      <w:r w:rsidR="007A2ACA" w:rsidRPr="00BD6C5F">
        <w:instrText xml:space="preserve"> REF _Ref98424662 \w \h </w:instrText>
      </w:r>
      <w:r w:rsidR="00AD7DD0" w:rsidRPr="00BD6C5F">
        <w:instrText xml:space="preserve"> \* MERGEFORMAT </w:instrText>
      </w:r>
      <w:r w:rsidR="007A2ACA" w:rsidRPr="00BD6C5F">
        <w:fldChar w:fldCharType="separate"/>
      </w:r>
      <w:r w:rsidR="009749A0">
        <w:t>2.8.4</w:t>
      </w:r>
      <w:r w:rsidR="007A2ACA" w:rsidRPr="00BD6C5F">
        <w:fldChar w:fldCharType="end"/>
      </w:r>
      <w:r w:rsidRPr="00BD6C5F">
        <w:t>; or</w:t>
      </w:r>
    </w:p>
    <w:p w14:paraId="321B49C8" w14:textId="0DA6B7FC" w:rsidR="00B93D73" w:rsidRPr="00BD6C5F" w:rsidRDefault="009B03E9" w:rsidP="00D4497D">
      <w:pPr>
        <w:pStyle w:val="Numbered111a"/>
        <w:rPr>
          <w:lang w:val="en-GB"/>
        </w:rPr>
      </w:pPr>
      <w:r w:rsidRPr="00BD6C5F">
        <w:rPr>
          <w:lang w:val="en-GB"/>
        </w:rPr>
        <w:t>unless not required pursuant to Paragraph</w:t>
      </w:r>
      <w:r w:rsidR="007A2ACA" w:rsidRPr="00BD6C5F">
        <w:rPr>
          <w:lang w:val="en-GB"/>
        </w:rPr>
        <w:t> </w:t>
      </w:r>
      <w:r w:rsidR="007A2ACA" w:rsidRPr="00BD6C5F">
        <w:rPr>
          <w:lang w:val="en-GB"/>
        </w:rPr>
        <w:fldChar w:fldCharType="begin"/>
      </w:r>
      <w:r w:rsidR="007A2ACA" w:rsidRPr="00BD6C5F">
        <w:rPr>
          <w:lang w:val="en-GB"/>
        </w:rPr>
        <w:instrText xml:space="preserve"> REF _Ref98424065 \w \h </w:instrText>
      </w:r>
      <w:r w:rsidR="00AD7DD0" w:rsidRPr="00BD6C5F">
        <w:rPr>
          <w:lang w:val="en-GB"/>
        </w:rPr>
        <w:instrText xml:space="preserve"> \* MERGEFORMAT </w:instrText>
      </w:r>
      <w:r w:rsidR="007A2ACA" w:rsidRPr="00BD6C5F">
        <w:rPr>
          <w:lang w:val="en-GB"/>
        </w:rPr>
      </w:r>
      <w:r w:rsidR="007A2ACA" w:rsidRPr="00BD6C5F">
        <w:rPr>
          <w:lang w:val="en-GB"/>
        </w:rPr>
        <w:fldChar w:fldCharType="separate"/>
      </w:r>
      <w:r w:rsidR="009749A0">
        <w:rPr>
          <w:lang w:val="en-GB"/>
        </w:rPr>
        <w:t>2.10</w:t>
      </w:r>
      <w:r w:rsidR="007A2ACA" w:rsidRPr="00BD6C5F">
        <w:rPr>
          <w:lang w:val="en-GB"/>
        </w:rPr>
        <w:fldChar w:fldCharType="end"/>
      </w:r>
      <w:r w:rsidRPr="00BD6C5F">
        <w:rPr>
          <w:lang w:val="en-GB"/>
        </w:rPr>
        <w:t>.</w:t>
      </w:r>
      <w:bookmarkStart w:id="1526" w:name="_bookmark513"/>
      <w:bookmarkStart w:id="1527" w:name="_Ref98424145"/>
      <w:bookmarkEnd w:id="1526"/>
    </w:p>
    <w:p w14:paraId="1E6F4FE6" w14:textId="1312D023" w:rsidR="00BC7DDA" w:rsidRPr="00BD6C5F" w:rsidRDefault="009B03E9" w:rsidP="00C5057A">
      <w:pPr>
        <w:pStyle w:val="Numbered11"/>
      </w:pPr>
      <w:r w:rsidRPr="00BD6C5F">
        <w:t>Where the Supplier is a Public Sector Dependent Supplier and this</w:t>
      </w:r>
      <w:r w:rsidR="00AD2370" w:rsidRPr="00BD6C5F">
        <w:t xml:space="preserve"> Contract</w:t>
      </w:r>
      <w:r w:rsidRPr="00BD6C5F">
        <w:t xml:space="preserve"> is not a Critical Service Contract, then on the occurrence of any of the events</w:t>
      </w:r>
      <w:bookmarkEnd w:id="1527"/>
      <w:r w:rsidR="00F16A67" w:rsidRPr="00BD6C5F">
        <w:t xml:space="preserve"> </w:t>
      </w:r>
      <w:r w:rsidRPr="00BD6C5F">
        <w:t>specified in Paragraphs</w:t>
      </w:r>
      <w:r w:rsidR="007A2ACA" w:rsidRPr="00BD6C5F">
        <w:t> </w:t>
      </w:r>
      <w:r w:rsidR="007A2ACA" w:rsidRPr="00BD6C5F">
        <w:fldChar w:fldCharType="begin"/>
      </w:r>
      <w:r w:rsidR="007A2ACA" w:rsidRPr="00BD6C5F">
        <w:instrText xml:space="preserve"> REF _Ref98424605 \w \h </w:instrText>
      </w:r>
      <w:r w:rsidR="00FE55FF" w:rsidRPr="00BD6C5F">
        <w:instrText xml:space="preserve"> \* MERGEFORMAT </w:instrText>
      </w:r>
      <w:r w:rsidR="007A2ACA" w:rsidRPr="00BD6C5F">
        <w:fldChar w:fldCharType="separate"/>
      </w:r>
      <w:r w:rsidR="009749A0">
        <w:t>2.8.1</w:t>
      </w:r>
      <w:r w:rsidR="007A2ACA" w:rsidRPr="00BD6C5F">
        <w:fldChar w:fldCharType="end"/>
      </w:r>
      <w:r w:rsidRPr="00BD6C5F">
        <w:t xml:space="preserve"> to </w:t>
      </w:r>
      <w:r w:rsidR="007A2ACA" w:rsidRPr="00BD6C5F">
        <w:fldChar w:fldCharType="begin"/>
      </w:r>
      <w:r w:rsidR="007A2ACA" w:rsidRPr="00BD6C5F">
        <w:instrText xml:space="preserve"> REF _Ref98424662 \n \h </w:instrText>
      </w:r>
      <w:r w:rsidR="00FE55FF" w:rsidRPr="00BD6C5F">
        <w:instrText xml:space="preserve"> \* MERGEFORMAT </w:instrText>
      </w:r>
      <w:r w:rsidR="007A2ACA" w:rsidRPr="00BD6C5F">
        <w:fldChar w:fldCharType="separate"/>
      </w:r>
      <w:r w:rsidR="009749A0">
        <w:t>2.8.4</w:t>
      </w:r>
      <w:r w:rsidR="007A2ACA" w:rsidRPr="00BD6C5F">
        <w:fldChar w:fldCharType="end"/>
      </w:r>
      <w:r w:rsidRPr="00BD6C5F">
        <w:t xml:space="preserve"> of this Part </w:t>
      </w:r>
      <w:r w:rsidR="009722E3">
        <w:fldChar w:fldCharType="begin"/>
      </w:r>
      <w:r w:rsidR="009722E3">
        <w:instrText xml:space="preserve"> REF Schedule_26_Part_B \h </w:instrText>
      </w:r>
      <w:r w:rsidR="009722E3">
        <w:fldChar w:fldCharType="separate"/>
      </w:r>
      <w:r w:rsidR="009749A0" w:rsidRPr="00BD6C5F">
        <w:t>B</w:t>
      </w:r>
      <w:r w:rsidR="009722E3">
        <w:fldChar w:fldCharType="end"/>
      </w:r>
      <w:r w:rsidRPr="00BD6C5F">
        <w:t>, the Supplier shall provide at the request of the Relevant Authority or Relevant Authorities and within the applicable timescales for each event as set out in Paragraph</w:t>
      </w:r>
      <w:r w:rsidR="007A2ACA" w:rsidRPr="00BD6C5F">
        <w:t> </w:t>
      </w:r>
      <w:r w:rsidR="007A2ACA" w:rsidRPr="00BD6C5F">
        <w:fldChar w:fldCharType="begin"/>
      </w:r>
      <w:r w:rsidR="007A2ACA" w:rsidRPr="00BD6C5F">
        <w:instrText xml:space="preserve"> REF _Ref98424133 \w \h </w:instrText>
      </w:r>
      <w:r w:rsidR="00FE55FF" w:rsidRPr="00BD6C5F">
        <w:instrText xml:space="preserve"> \* MERGEFORMAT </w:instrText>
      </w:r>
      <w:r w:rsidR="007A2ACA" w:rsidRPr="00BD6C5F">
        <w:fldChar w:fldCharType="separate"/>
      </w:r>
      <w:r w:rsidR="009749A0">
        <w:t>2.8</w:t>
      </w:r>
      <w:r w:rsidR="007A2ACA" w:rsidRPr="00BD6C5F">
        <w:fldChar w:fldCharType="end"/>
      </w:r>
      <w:r w:rsidRPr="00BD6C5F">
        <w:t xml:space="preserve"> (or such longer timescales as may be notified to the Supplier by the Authority), the CRP Information to the Relevant Authority or Relevant Authorities.</w:t>
      </w:r>
    </w:p>
    <w:p w14:paraId="2F58F6AF" w14:textId="77777777" w:rsidR="00BC7DDA" w:rsidRPr="00BD6C5F" w:rsidRDefault="009B03E9" w:rsidP="009F4A63">
      <w:pPr>
        <w:pStyle w:val="Numbered11"/>
        <w:keepNext/>
      </w:pPr>
      <w:bookmarkStart w:id="1528" w:name="_bookmark514"/>
      <w:bookmarkStart w:id="1529" w:name="_Ref98424065"/>
      <w:bookmarkEnd w:id="1528"/>
      <w:r w:rsidRPr="00BD6C5F">
        <w:t>Where the Supplier or a Parent Undertaking of the Supplier has a credit rating of either:</w:t>
      </w:r>
      <w:bookmarkEnd w:id="1529"/>
    </w:p>
    <w:p w14:paraId="02FC6009" w14:textId="3C19BB73" w:rsidR="00BC7DDA" w:rsidRPr="00BD6C5F" w:rsidRDefault="009B03E9" w:rsidP="00D4497D">
      <w:pPr>
        <w:pStyle w:val="Numbered111"/>
      </w:pPr>
      <w:r w:rsidRPr="00BD6C5F">
        <w:t>Aa3 or better from Moody</w:t>
      </w:r>
      <w:r w:rsidR="00A4555C" w:rsidRPr="00BD6C5F">
        <w:t>’</w:t>
      </w:r>
      <w:r w:rsidRPr="00BD6C5F">
        <w:t>s;</w:t>
      </w:r>
      <w:r w:rsidR="00AD2370" w:rsidRPr="00BD6C5F">
        <w:t xml:space="preserve"> or</w:t>
      </w:r>
    </w:p>
    <w:p w14:paraId="26FCDF2F" w14:textId="21086C59" w:rsidR="00BC7DDA" w:rsidRPr="00BD6C5F" w:rsidRDefault="009B03E9" w:rsidP="00D4497D">
      <w:pPr>
        <w:pStyle w:val="Numbered111"/>
      </w:pPr>
      <w:r w:rsidRPr="00BD6C5F">
        <w:t>AA- or better from Standard and Poor</w:t>
      </w:r>
      <w:r w:rsidR="00A4555C" w:rsidRPr="00BD6C5F">
        <w:t>’</w:t>
      </w:r>
      <w:r w:rsidRPr="00BD6C5F">
        <w:t>s;</w:t>
      </w:r>
      <w:r w:rsidR="00AD2370" w:rsidRPr="00BD6C5F">
        <w:t xml:space="preserve"> or</w:t>
      </w:r>
    </w:p>
    <w:p w14:paraId="4E0AE478" w14:textId="77777777" w:rsidR="00BC7DDA" w:rsidRPr="00BD6C5F" w:rsidRDefault="009B03E9" w:rsidP="00D4497D">
      <w:pPr>
        <w:pStyle w:val="Numbered111"/>
      </w:pPr>
      <w:r w:rsidRPr="00BD6C5F">
        <w:t>AA- or better from Fitch;</w:t>
      </w:r>
    </w:p>
    <w:p w14:paraId="12EBAAA2" w14:textId="72C8F244" w:rsidR="00BC7DDA" w:rsidRPr="00BD6C5F" w:rsidRDefault="009B03E9" w:rsidP="0063557C">
      <w:pPr>
        <w:spacing w:before="100" w:after="200"/>
        <w:ind w:left="720"/>
      </w:pPr>
      <w:r w:rsidRPr="00BD6C5F">
        <w:t>the Supplier will not be required to provide any CRP Information unless or until either (i) a Financial Distress Event occurs (unless the Supplier is relieved of the consequences of the Financial Distress Event under Paragraph</w:t>
      </w:r>
      <w:r w:rsidR="007A2ACA" w:rsidRPr="00BD6C5F">
        <w:t> </w:t>
      </w:r>
      <w:r w:rsidR="007A2ACA" w:rsidRPr="00BD6C5F">
        <w:fldChar w:fldCharType="begin"/>
      </w:r>
      <w:r w:rsidR="007A2ACA" w:rsidRPr="00BD6C5F">
        <w:instrText xml:space="preserve"> REF _Ref98414478 \w \h </w:instrText>
      </w:r>
      <w:r w:rsidR="00AD7DD0" w:rsidRPr="00BD6C5F">
        <w:instrText xml:space="preserve"> \* MERGEFORMAT </w:instrText>
      </w:r>
      <w:r w:rsidR="007A2ACA" w:rsidRPr="00BD6C5F">
        <w:fldChar w:fldCharType="separate"/>
      </w:r>
      <w:r w:rsidR="009749A0">
        <w:t>7.1</w:t>
      </w:r>
      <w:r w:rsidR="007A2ACA" w:rsidRPr="00BD6C5F">
        <w:fldChar w:fldCharType="end"/>
      </w:r>
      <w:r w:rsidRPr="00BD6C5F">
        <w:t xml:space="preserve"> of </w:t>
      </w:r>
      <w:r w:rsidR="00346653" w:rsidRPr="00BD6C5F">
        <w:rPr>
          <w:rFonts w:asciiTheme="minorHAnsi" w:hAnsiTheme="minorHAnsi" w:cstheme="minorHAnsi"/>
        </w:rPr>
        <w:t>Schedule </w:t>
      </w:r>
      <w:r w:rsidR="00346653">
        <w:rPr>
          <w:rFonts w:asciiTheme="minorHAnsi" w:hAnsiTheme="minorHAnsi" w:cstheme="minorHAnsi"/>
        </w:rPr>
        <w:fldChar w:fldCharType="begin"/>
      </w:r>
      <w:r w:rsidR="00346653">
        <w:rPr>
          <w:rFonts w:asciiTheme="minorHAnsi" w:hAnsiTheme="minorHAnsi" w:cstheme="minorHAnsi"/>
        </w:rPr>
        <w:instrText xml:space="preserve"> REF Schedule_18 \h </w:instrText>
      </w:r>
      <w:r w:rsidR="00346653">
        <w:rPr>
          <w:rFonts w:asciiTheme="minorHAnsi" w:hAnsiTheme="minorHAnsi" w:cstheme="minorHAnsi"/>
        </w:rPr>
      </w:r>
      <w:r w:rsidR="00346653">
        <w:rPr>
          <w:rFonts w:asciiTheme="minorHAnsi" w:hAnsiTheme="minorHAnsi" w:cstheme="minorHAnsi"/>
        </w:rPr>
        <w:fldChar w:fldCharType="separate"/>
      </w:r>
      <w:r w:rsidR="009749A0">
        <w:t>18</w:t>
      </w:r>
      <w:r w:rsidR="00346653">
        <w:rPr>
          <w:rFonts w:asciiTheme="minorHAnsi" w:hAnsiTheme="minorHAnsi" w:cstheme="minorHAnsi"/>
        </w:rPr>
        <w:fldChar w:fldCharType="end"/>
      </w:r>
      <w:r w:rsidRPr="00BD6C5F">
        <w:t xml:space="preserve"> (</w:t>
      </w:r>
      <w:r w:rsidRPr="00BD6C5F">
        <w:rPr>
          <w:i/>
        </w:rPr>
        <w:t>Financial Distress</w:t>
      </w:r>
      <w:r w:rsidRPr="00BD6C5F">
        <w:t>)) or (ii) the Supplier and its Parent Undertakings cease to fulfil the criteria set out in this Paragraph</w:t>
      </w:r>
      <w:r w:rsidR="007A2ACA" w:rsidRPr="00BD6C5F">
        <w:t> </w:t>
      </w:r>
      <w:r w:rsidR="007A2ACA" w:rsidRPr="00BD6C5F">
        <w:fldChar w:fldCharType="begin"/>
      </w:r>
      <w:r w:rsidR="007A2ACA" w:rsidRPr="00BD6C5F">
        <w:instrText xml:space="preserve"> REF _Ref98424065 \w \h </w:instrText>
      </w:r>
      <w:r w:rsidR="00AD7DD0" w:rsidRPr="00BD6C5F">
        <w:instrText xml:space="preserve"> \* MERGEFORMAT </w:instrText>
      </w:r>
      <w:r w:rsidR="007A2ACA" w:rsidRPr="00BD6C5F">
        <w:fldChar w:fldCharType="separate"/>
      </w:r>
      <w:r w:rsidR="009749A0">
        <w:t>2.10</w:t>
      </w:r>
      <w:r w:rsidR="007A2ACA" w:rsidRPr="00BD6C5F">
        <w:fldChar w:fldCharType="end"/>
      </w:r>
      <w:r w:rsidRPr="00BD6C5F">
        <w:t xml:space="preserve">, in which cases the Supplier shall provide the updated version of the CRP Information in accordance with </w:t>
      </w:r>
      <w:r w:rsidR="007C62CA" w:rsidRPr="00BD6C5F">
        <w:t>P</w:t>
      </w:r>
      <w:r w:rsidRPr="00BD6C5F">
        <w:t>aragraph</w:t>
      </w:r>
      <w:r w:rsidR="007A2ACA" w:rsidRPr="00BD6C5F">
        <w:t> </w:t>
      </w:r>
      <w:r w:rsidR="007A2ACA" w:rsidRPr="00BD6C5F">
        <w:fldChar w:fldCharType="begin"/>
      </w:r>
      <w:r w:rsidR="007A2ACA" w:rsidRPr="00BD6C5F">
        <w:instrText xml:space="preserve"> REF _Ref98424133 \w \h </w:instrText>
      </w:r>
      <w:r w:rsidR="00AD7DD0" w:rsidRPr="00BD6C5F">
        <w:instrText xml:space="preserve"> \* MERGEFORMAT </w:instrText>
      </w:r>
      <w:r w:rsidR="007A2ACA" w:rsidRPr="00BD6C5F">
        <w:fldChar w:fldCharType="separate"/>
      </w:r>
      <w:r w:rsidR="009749A0">
        <w:t>2.8</w:t>
      </w:r>
      <w:r w:rsidR="007A2ACA" w:rsidRPr="00BD6C5F">
        <w:fldChar w:fldCharType="end"/>
      </w:r>
      <w:r w:rsidRPr="00BD6C5F">
        <w:t>.</w:t>
      </w:r>
    </w:p>
    <w:p w14:paraId="75FDD6ED" w14:textId="6052A707" w:rsidR="00BC7DDA" w:rsidRPr="00BD6C5F" w:rsidRDefault="009B03E9" w:rsidP="00C5057A">
      <w:pPr>
        <w:pStyle w:val="Numbered11"/>
      </w:pPr>
      <w:bookmarkStart w:id="1530" w:name="_bookmark515"/>
      <w:bookmarkStart w:id="1531" w:name="_Ref98424076"/>
      <w:bookmarkEnd w:id="1530"/>
      <w:r w:rsidRPr="00BD6C5F">
        <w:t>Subject to Paragraph</w:t>
      </w:r>
      <w:r w:rsidR="007A2ACA" w:rsidRPr="00BD6C5F">
        <w:t> </w:t>
      </w:r>
      <w:r w:rsidR="007A2ACA" w:rsidRPr="00BD6C5F">
        <w:fldChar w:fldCharType="begin"/>
      </w:r>
      <w:r w:rsidR="007A2ACA" w:rsidRPr="00BD6C5F">
        <w:instrText xml:space="preserve"> REF _Ref98423642 \w \h </w:instrText>
      </w:r>
      <w:r w:rsidR="00AD7DD0" w:rsidRPr="00BD6C5F">
        <w:instrText xml:space="preserve"> \* MERGEFORMAT </w:instrText>
      </w:r>
      <w:r w:rsidR="007A2ACA" w:rsidRPr="00BD6C5F">
        <w:fldChar w:fldCharType="separate"/>
      </w:r>
      <w:r w:rsidR="009749A0">
        <w:t>4</w:t>
      </w:r>
      <w:r w:rsidR="007A2ACA" w:rsidRPr="00BD6C5F">
        <w:fldChar w:fldCharType="end"/>
      </w:r>
      <w:r w:rsidRPr="00BD6C5F">
        <w:t>, where the Supplier demonstrates to the reasonable satisfaction of the Relevant Authority or Relevant Authorities that a particular item of CRP Information is highly confidential, the Supplier may, having orally disclosed and discussed that information with the Relevant Authority or Relevant Authorities, redact or omit that information from the CRP Information provided that if a Financial Distress Event occurs, this exemption shall no longer apply and the Supplier shall promptly provide the relevant information to the Relevant Authority or Relevant Authorities to the extent required under Paragraph</w:t>
      </w:r>
      <w:r w:rsidR="007A2ACA" w:rsidRPr="00BD6C5F">
        <w:t> </w:t>
      </w:r>
      <w:r w:rsidR="007A2ACA" w:rsidRPr="00BD6C5F">
        <w:fldChar w:fldCharType="begin"/>
      </w:r>
      <w:r w:rsidR="007A2ACA" w:rsidRPr="00BD6C5F">
        <w:instrText xml:space="preserve"> REF _Ref98424133 \w \h </w:instrText>
      </w:r>
      <w:r w:rsidR="00AD7DD0" w:rsidRPr="00BD6C5F">
        <w:instrText xml:space="preserve"> \* MERGEFORMAT </w:instrText>
      </w:r>
      <w:r w:rsidR="007A2ACA" w:rsidRPr="00BD6C5F">
        <w:fldChar w:fldCharType="separate"/>
      </w:r>
      <w:r w:rsidR="009749A0">
        <w:t>2.8</w:t>
      </w:r>
      <w:r w:rsidR="007A2ACA" w:rsidRPr="00BD6C5F">
        <w:fldChar w:fldCharType="end"/>
      </w:r>
      <w:r w:rsidRPr="00BD6C5F">
        <w:t>.</w:t>
      </w:r>
      <w:bookmarkEnd w:id="1531"/>
    </w:p>
    <w:p w14:paraId="262B2647" w14:textId="77777777" w:rsidR="00BC7DDA" w:rsidRPr="00BD6C5F" w:rsidRDefault="009B03E9" w:rsidP="00C5057A">
      <w:pPr>
        <w:pStyle w:val="Numbered1"/>
      </w:pPr>
      <w:bookmarkStart w:id="1532" w:name="_bookmark516"/>
      <w:bookmarkEnd w:id="1532"/>
      <w:r w:rsidRPr="00BD6C5F">
        <w:t>Termination Rights</w:t>
      </w:r>
    </w:p>
    <w:p w14:paraId="60684616" w14:textId="3F7E2472" w:rsidR="00BC7DDA" w:rsidRPr="00BD6C5F" w:rsidRDefault="009B03E9" w:rsidP="009F4A63">
      <w:pPr>
        <w:pStyle w:val="Numbered11"/>
        <w:keepNext/>
      </w:pPr>
      <w:r w:rsidRPr="00BD6C5F">
        <w:t xml:space="preserve">The Authority shall be entitled to terminate this </w:t>
      </w:r>
      <w:r w:rsidR="00AD2370" w:rsidRPr="00BD6C5F">
        <w:t xml:space="preserve">Contract </w:t>
      </w:r>
      <w:r w:rsidRPr="00BD6C5F">
        <w:t xml:space="preserve">under </w:t>
      </w:r>
      <w:r w:rsidR="005E736B" w:rsidRPr="00BD6C5F">
        <w:t>Clause </w:t>
      </w:r>
      <w:r w:rsidRPr="00BD6C5F">
        <w:t>3</w:t>
      </w:r>
      <w:r w:rsidR="00FE55FF" w:rsidRPr="00BD6C5F">
        <w:t>1</w:t>
      </w:r>
      <w:r w:rsidRPr="00BD6C5F">
        <w:t>.1</w:t>
      </w:r>
      <w:r w:rsidR="00C20F85">
        <w:t>.2</w:t>
      </w:r>
      <w:r w:rsidRPr="00BD6C5F">
        <w:t xml:space="preserve"> (</w:t>
      </w:r>
      <w:r w:rsidRPr="00BD6C5F">
        <w:rPr>
          <w:i/>
        </w:rPr>
        <w:t>Termination by the Authority</w:t>
      </w:r>
      <w:r w:rsidRPr="00BD6C5F">
        <w:t>) if the Supplier is required to provide CRP Information under Paragraph</w:t>
      </w:r>
      <w:r w:rsidR="007A2ACA" w:rsidRPr="00BD6C5F">
        <w:t> </w:t>
      </w:r>
      <w:r w:rsidR="007A2ACA" w:rsidRPr="00BD6C5F">
        <w:fldChar w:fldCharType="begin"/>
      </w:r>
      <w:r w:rsidR="007A2ACA" w:rsidRPr="00BD6C5F">
        <w:instrText xml:space="preserve"> REF _Ref98351440 \w \h </w:instrText>
      </w:r>
      <w:r w:rsidR="00AD7DD0" w:rsidRPr="00BD6C5F">
        <w:instrText xml:space="preserve"> \* MERGEFORMAT </w:instrText>
      </w:r>
      <w:r w:rsidR="007A2ACA" w:rsidRPr="00BD6C5F">
        <w:fldChar w:fldCharType="separate"/>
      </w:r>
      <w:r w:rsidR="009749A0">
        <w:t>2</w:t>
      </w:r>
      <w:r w:rsidR="007A2ACA" w:rsidRPr="00BD6C5F">
        <w:fldChar w:fldCharType="end"/>
      </w:r>
      <w:r w:rsidR="007A2ACA" w:rsidRPr="00BD6C5F">
        <w:t xml:space="preserve"> </w:t>
      </w:r>
      <w:r w:rsidRPr="00BD6C5F">
        <w:t>of this</w:t>
      </w:r>
      <w:r w:rsidR="007C62CA" w:rsidRPr="00BD6C5F">
        <w:t> </w:t>
      </w:r>
      <w:r w:rsidR="006451D3">
        <w:t>Schedule </w:t>
      </w:r>
      <w:r w:rsidR="006451D3">
        <w:fldChar w:fldCharType="begin"/>
      </w:r>
      <w:r w:rsidR="006451D3">
        <w:instrText xml:space="preserve"> REF Schedule_26 \h </w:instrText>
      </w:r>
      <w:r w:rsidR="006451D3">
        <w:fldChar w:fldCharType="separate"/>
      </w:r>
      <w:r w:rsidR="009749A0">
        <w:t>26</w:t>
      </w:r>
      <w:r w:rsidR="006451D3">
        <w:fldChar w:fldCharType="end"/>
      </w:r>
      <w:r w:rsidRPr="00BD6C5F">
        <w:t xml:space="preserve"> and either:</w:t>
      </w:r>
    </w:p>
    <w:p w14:paraId="1B55A119" w14:textId="01B2DA6B" w:rsidR="00BC7DDA" w:rsidRPr="00BD6C5F" w:rsidRDefault="009B03E9" w:rsidP="00D4497D">
      <w:pPr>
        <w:pStyle w:val="Numbered111"/>
      </w:pPr>
      <w:r w:rsidRPr="00BD6C5F">
        <w:t>the Supplier fails to provide the CRP Information within 4 months of the Effective Date if this is a Critical Service Contract or otherwise within 4 months of the Relevant Authority</w:t>
      </w:r>
      <w:r w:rsidR="00A4555C" w:rsidRPr="00BD6C5F">
        <w:t>’</w:t>
      </w:r>
      <w:r w:rsidRPr="00BD6C5F">
        <w:t>s or Relevant Authorities</w:t>
      </w:r>
      <w:r w:rsidR="00A4555C" w:rsidRPr="00BD6C5F">
        <w:t>’</w:t>
      </w:r>
      <w:r w:rsidRPr="00BD6C5F">
        <w:t xml:space="preserve"> request; or</w:t>
      </w:r>
    </w:p>
    <w:p w14:paraId="3F11ED29" w14:textId="58C7A484" w:rsidR="00BC7DDA" w:rsidRPr="00BD6C5F" w:rsidRDefault="009B03E9" w:rsidP="00D4497D">
      <w:pPr>
        <w:pStyle w:val="Numbered111"/>
      </w:pPr>
      <w:r w:rsidRPr="00BD6C5F">
        <w:t xml:space="preserve">the Supplier fails to obtain an Assurance from the Relevant Authority or Relevant Authorities within 4 months of the date that it was first required to provide the CRP Information under this </w:t>
      </w:r>
      <w:r w:rsidR="00AD2370" w:rsidRPr="00BD6C5F">
        <w:t>Contract</w:t>
      </w:r>
      <w:r w:rsidRPr="00BD6C5F">
        <w:t>.</w:t>
      </w:r>
    </w:p>
    <w:p w14:paraId="2DC416C3" w14:textId="6C498D6B" w:rsidR="00BC7DDA" w:rsidRPr="00BD6C5F" w:rsidRDefault="009B03E9" w:rsidP="00C5057A">
      <w:pPr>
        <w:pStyle w:val="Numbered1"/>
      </w:pPr>
      <w:bookmarkStart w:id="1533" w:name="_bookmark517"/>
      <w:bookmarkStart w:id="1534" w:name="_Ref98423642"/>
      <w:bookmarkEnd w:id="1533"/>
      <w:r w:rsidRPr="00BD6C5F">
        <w:lastRenderedPageBreak/>
        <w:t>Confidentiality and usage of CRP Information</w:t>
      </w:r>
      <w:bookmarkEnd w:id="1534"/>
    </w:p>
    <w:p w14:paraId="56A9FAA6" w14:textId="18E186D1" w:rsidR="00BC7DDA" w:rsidRPr="00BD6C5F" w:rsidRDefault="009B03E9" w:rsidP="00C5057A">
      <w:pPr>
        <w:pStyle w:val="Numbered11"/>
      </w:pPr>
      <w:bookmarkStart w:id="1535" w:name="_bookmark518"/>
      <w:bookmarkStart w:id="1536" w:name="_Ref98425199"/>
      <w:bookmarkEnd w:id="1535"/>
      <w:r w:rsidRPr="00BD6C5F">
        <w:t>The Authority agrees to keep the CRP Information confidential and use it only to understand the implications of an Insolvency Event of the Supplier and/or Supplier Group members on its UK Public Sector Business and/or services in</w:t>
      </w:r>
      <w:bookmarkEnd w:id="1536"/>
      <w:r w:rsidR="00FE55FF" w:rsidRPr="00BD6C5F">
        <w:t xml:space="preserve"> respect of CNI and to enable contingency planning to maintain service continuity for end users and protect CNI in such eventuality </w:t>
      </w:r>
    </w:p>
    <w:p w14:paraId="024D6364" w14:textId="571CAB67" w:rsidR="00BC7DDA" w:rsidRPr="00BD6C5F" w:rsidRDefault="009B03E9" w:rsidP="00C5057A">
      <w:pPr>
        <w:pStyle w:val="Numbered11"/>
      </w:pPr>
      <w:r w:rsidRPr="00BD6C5F">
        <w:t>Where the Relevant Authority is the Cabinet Office Markets and Suppliers Team, at the Supplier</w:t>
      </w:r>
      <w:r w:rsidR="00A4555C" w:rsidRPr="00BD6C5F">
        <w:t>’</w:t>
      </w:r>
      <w:r w:rsidRPr="00BD6C5F">
        <w:t xml:space="preserve">s request, the Authority shall use reasonable endeavours to procure that the Cabinet Office enters into a confidentiality and usage agreement with the Supplier containing terms no less stringent than those placed on the Authority under </w:t>
      </w:r>
      <w:r w:rsidR="007C62CA" w:rsidRPr="00BD6C5F">
        <w:t>P</w:t>
      </w:r>
      <w:r w:rsidRPr="00BD6C5F">
        <w:t>aragraph</w:t>
      </w:r>
      <w:r w:rsidR="007A2ACA" w:rsidRPr="00BD6C5F">
        <w:t> </w:t>
      </w:r>
      <w:r w:rsidR="009451E5" w:rsidRPr="00BD6C5F">
        <w:fldChar w:fldCharType="begin"/>
      </w:r>
      <w:r w:rsidR="009451E5" w:rsidRPr="00BD6C5F">
        <w:instrText xml:space="preserve"> REF _Ref98425199 \w \h </w:instrText>
      </w:r>
      <w:r w:rsidR="00F16A67" w:rsidRPr="00BD6C5F">
        <w:instrText xml:space="preserve"> \* MERGEFORMAT </w:instrText>
      </w:r>
      <w:r w:rsidR="009451E5" w:rsidRPr="00BD6C5F">
        <w:fldChar w:fldCharType="separate"/>
      </w:r>
      <w:r w:rsidR="009749A0">
        <w:t>4.1</w:t>
      </w:r>
      <w:r w:rsidR="009451E5" w:rsidRPr="00BD6C5F">
        <w:fldChar w:fldCharType="end"/>
      </w:r>
      <w:r w:rsidRPr="00BD6C5F">
        <w:t xml:space="preserve"> of this </w:t>
      </w:r>
      <w:r w:rsidR="00DD14E4">
        <w:t>Schedule </w:t>
      </w:r>
      <w:r w:rsidR="00DD14E4">
        <w:fldChar w:fldCharType="begin"/>
      </w:r>
      <w:r w:rsidR="00DD14E4">
        <w:instrText xml:space="preserve"> REF Schedule_26 \h </w:instrText>
      </w:r>
      <w:r w:rsidR="00DD14E4">
        <w:fldChar w:fldCharType="separate"/>
      </w:r>
      <w:r w:rsidR="009749A0">
        <w:t>26</w:t>
      </w:r>
      <w:r w:rsidR="00DD14E4">
        <w:fldChar w:fldCharType="end"/>
      </w:r>
      <w:r w:rsidRPr="00BD6C5F">
        <w:t xml:space="preserve"> and </w:t>
      </w:r>
      <w:r w:rsidR="005E736B" w:rsidRPr="00BD6C5F">
        <w:t>Clause </w:t>
      </w:r>
      <w:r w:rsidR="00FE55FF" w:rsidRPr="00BD6C5F">
        <w:t>19</w:t>
      </w:r>
      <w:r w:rsidR="00605547" w:rsidRPr="00BD6C5F">
        <w:t xml:space="preserve"> </w:t>
      </w:r>
      <w:r w:rsidR="00AD2370" w:rsidRPr="00BD6C5F">
        <w:t>(</w:t>
      </w:r>
      <w:r w:rsidR="00AD2370" w:rsidRPr="00BD6C5F">
        <w:rPr>
          <w:i/>
          <w:iCs/>
        </w:rPr>
        <w:t>Confidentiality</w:t>
      </w:r>
      <w:r w:rsidR="00AD2370" w:rsidRPr="00BD6C5F">
        <w:t>).</w:t>
      </w:r>
    </w:p>
    <w:p w14:paraId="6DEA9844" w14:textId="4A26D435" w:rsidR="00BC7DDA" w:rsidRPr="00BD6C5F" w:rsidRDefault="009B03E9" w:rsidP="00C5057A">
      <w:pPr>
        <w:pStyle w:val="Numbered11"/>
      </w:pPr>
      <w:bookmarkStart w:id="1537" w:name="_bookmark519"/>
      <w:bookmarkStart w:id="1538" w:name="_Ref98425238"/>
      <w:bookmarkEnd w:id="1537"/>
      <w:r w:rsidRPr="00BD6C5F">
        <w:t>The Supplier shall use reasonable endeavours to obtain consent from any third party which has restricted the disclosure of the CRP Information to enable disclosure of that information to the Relevant Authority or Relevant Authorities pursuant to Paragraph</w:t>
      </w:r>
      <w:r w:rsidR="009451E5" w:rsidRPr="00BD6C5F">
        <w:t> </w:t>
      </w:r>
      <w:r w:rsidR="009451E5" w:rsidRPr="00BD6C5F">
        <w:fldChar w:fldCharType="begin"/>
      </w:r>
      <w:r w:rsidR="009451E5" w:rsidRPr="00BD6C5F">
        <w:instrText xml:space="preserve"> REF _Ref98351440 \w \h </w:instrText>
      </w:r>
      <w:r w:rsidR="00AD7DD0" w:rsidRPr="00BD6C5F">
        <w:instrText xml:space="preserve"> \* MERGEFORMAT </w:instrText>
      </w:r>
      <w:r w:rsidR="009451E5" w:rsidRPr="00BD6C5F">
        <w:fldChar w:fldCharType="separate"/>
      </w:r>
      <w:r w:rsidR="009749A0">
        <w:t>2</w:t>
      </w:r>
      <w:r w:rsidR="009451E5" w:rsidRPr="00BD6C5F">
        <w:fldChar w:fldCharType="end"/>
      </w:r>
      <w:r w:rsidRPr="00BD6C5F">
        <w:t xml:space="preserve"> of this </w:t>
      </w:r>
      <w:r w:rsidR="006451D3">
        <w:t>Schedule </w:t>
      </w:r>
      <w:r w:rsidR="006451D3">
        <w:fldChar w:fldCharType="begin"/>
      </w:r>
      <w:r w:rsidR="006451D3">
        <w:instrText xml:space="preserve"> REF Schedule_26 \h </w:instrText>
      </w:r>
      <w:r w:rsidR="006451D3">
        <w:fldChar w:fldCharType="separate"/>
      </w:r>
      <w:r w:rsidR="009749A0">
        <w:t>26</w:t>
      </w:r>
      <w:r w:rsidR="006451D3">
        <w:fldChar w:fldCharType="end"/>
      </w:r>
      <w:r w:rsidRPr="00BD6C5F">
        <w:t xml:space="preserve"> subject, where necessary, to the Relevant Authority or Relevant Authorities entering into an appropriate confidentiality agreement in the form required by the third party.</w:t>
      </w:r>
      <w:bookmarkEnd w:id="1538"/>
    </w:p>
    <w:p w14:paraId="5BE05799" w14:textId="2DEB99E9" w:rsidR="00BC7DDA" w:rsidRPr="00BD6C5F" w:rsidRDefault="009B03E9" w:rsidP="009F4A63">
      <w:pPr>
        <w:pStyle w:val="Numbered11"/>
        <w:keepNext/>
      </w:pPr>
      <w:r w:rsidRPr="00BD6C5F">
        <w:t>Where the Supplier is unable to procure consent pursuant to Paragraph</w:t>
      </w:r>
      <w:r w:rsidR="009451E5" w:rsidRPr="00BD6C5F">
        <w:t> </w:t>
      </w:r>
      <w:r w:rsidR="009451E5" w:rsidRPr="00BD6C5F">
        <w:fldChar w:fldCharType="begin"/>
      </w:r>
      <w:r w:rsidR="009451E5" w:rsidRPr="00BD6C5F">
        <w:instrText xml:space="preserve"> REF _Ref98425238 \w \h </w:instrText>
      </w:r>
      <w:r w:rsidR="00AD7DD0" w:rsidRPr="00BD6C5F">
        <w:instrText xml:space="preserve"> \* MERGEFORMAT </w:instrText>
      </w:r>
      <w:r w:rsidR="009451E5" w:rsidRPr="00BD6C5F">
        <w:fldChar w:fldCharType="separate"/>
      </w:r>
      <w:r w:rsidR="009749A0">
        <w:t>4.3</w:t>
      </w:r>
      <w:r w:rsidR="009451E5" w:rsidRPr="00BD6C5F">
        <w:fldChar w:fldCharType="end"/>
      </w:r>
      <w:r w:rsidRPr="00BD6C5F">
        <w:t xml:space="preserve"> of this </w:t>
      </w:r>
      <w:r w:rsidR="006451D3">
        <w:t>Schedule </w:t>
      </w:r>
      <w:r w:rsidR="006451D3">
        <w:fldChar w:fldCharType="begin"/>
      </w:r>
      <w:r w:rsidR="006451D3">
        <w:instrText xml:space="preserve"> REF Schedule_26 \h </w:instrText>
      </w:r>
      <w:r w:rsidR="006451D3">
        <w:fldChar w:fldCharType="separate"/>
      </w:r>
      <w:r w:rsidR="009749A0">
        <w:t>26</w:t>
      </w:r>
      <w:r w:rsidR="006451D3">
        <w:fldChar w:fldCharType="end"/>
      </w:r>
      <w:r w:rsidRPr="00BD6C5F">
        <w:t>, the Supplier shall use all reasonable endeavours to disclose the CRP Information to the fullest extent possible by limiting the amount of information it withholds including by:</w:t>
      </w:r>
    </w:p>
    <w:p w14:paraId="488D72E8" w14:textId="77777777" w:rsidR="00BC7DDA" w:rsidRPr="00BD6C5F" w:rsidRDefault="009B03E9" w:rsidP="00D4497D">
      <w:pPr>
        <w:pStyle w:val="Numbered111"/>
      </w:pPr>
      <w:r w:rsidRPr="00BD6C5F">
        <w:t>redacting only those parts of the information which are subject to such obligations of confidentiality</w:t>
      </w:r>
    </w:p>
    <w:p w14:paraId="757DFE74" w14:textId="77777777" w:rsidR="00BC7DDA" w:rsidRPr="00BD6C5F" w:rsidRDefault="009B03E9" w:rsidP="009F4A63">
      <w:pPr>
        <w:pStyle w:val="Numbered111"/>
        <w:keepNext/>
      </w:pPr>
      <w:r w:rsidRPr="00BD6C5F">
        <w:t>providing the information in a form that does not breach its obligations of confidentiality including (where possible) by:</w:t>
      </w:r>
    </w:p>
    <w:p w14:paraId="7D978F9D" w14:textId="77777777" w:rsidR="00BC7DDA" w:rsidRPr="00BD6C5F" w:rsidRDefault="009B03E9" w:rsidP="0041215F">
      <w:pPr>
        <w:pStyle w:val="Numbered111a"/>
      </w:pPr>
      <w:r w:rsidRPr="00BD6C5F">
        <w:t>summarising the information;</w:t>
      </w:r>
    </w:p>
    <w:p w14:paraId="3A6D7465" w14:textId="77777777" w:rsidR="00BC7DDA" w:rsidRPr="00BD6C5F" w:rsidRDefault="009B03E9" w:rsidP="00D4497D">
      <w:pPr>
        <w:pStyle w:val="Numbered111a"/>
        <w:rPr>
          <w:lang w:val="en-GB"/>
        </w:rPr>
      </w:pPr>
      <w:r w:rsidRPr="00BD6C5F">
        <w:rPr>
          <w:lang w:val="en-GB"/>
        </w:rPr>
        <w:t>grouping the information;</w:t>
      </w:r>
    </w:p>
    <w:p w14:paraId="141711FF" w14:textId="77777777" w:rsidR="00BC7DDA" w:rsidRPr="00BD6C5F" w:rsidRDefault="009B03E9" w:rsidP="00D4497D">
      <w:pPr>
        <w:pStyle w:val="Numbered111a"/>
        <w:rPr>
          <w:lang w:val="en-GB"/>
        </w:rPr>
      </w:pPr>
      <w:r w:rsidRPr="00BD6C5F">
        <w:rPr>
          <w:lang w:val="en-GB"/>
        </w:rPr>
        <w:t>anonymising the information; and</w:t>
      </w:r>
    </w:p>
    <w:p w14:paraId="541A2C2B" w14:textId="77777777" w:rsidR="00BC7DDA" w:rsidRPr="00BD6C5F" w:rsidRDefault="009B03E9" w:rsidP="00D4497D">
      <w:pPr>
        <w:pStyle w:val="Numbered111a"/>
        <w:rPr>
          <w:lang w:val="en-GB"/>
        </w:rPr>
      </w:pPr>
      <w:r w:rsidRPr="00BD6C5F">
        <w:rPr>
          <w:lang w:val="en-GB"/>
        </w:rPr>
        <w:t>presenting the information in general terms</w:t>
      </w:r>
    </w:p>
    <w:p w14:paraId="0B1D40DF" w14:textId="77777777" w:rsidR="00BC7DDA" w:rsidRPr="00BD6C5F" w:rsidRDefault="009B03E9" w:rsidP="00C5057A">
      <w:pPr>
        <w:pStyle w:val="Numbered11"/>
      </w:pPr>
      <w:r w:rsidRPr="00BD6C5F">
        <w:t>The Supplier shall provide the Relevant Authority or Relevant Authorities with contact details of any third party which has not provided consent to disclose CRP Information where that third party is also a public sector body and where the Supplier is legally permitted to do so.</w:t>
      </w:r>
    </w:p>
    <w:p w14:paraId="193D0FD1" w14:textId="77777777" w:rsidR="00BC7DDA" w:rsidRPr="00BD6C5F" w:rsidRDefault="00BC7DDA" w:rsidP="00C470C7"/>
    <w:p w14:paraId="074049D8" w14:textId="77777777" w:rsidR="00D27CFD" w:rsidRPr="00BD6C5F" w:rsidRDefault="00D27CFD" w:rsidP="00C470C7">
      <w:bookmarkStart w:id="1539" w:name="_bookmark522"/>
      <w:bookmarkStart w:id="1540" w:name="_bookmark523"/>
      <w:bookmarkEnd w:id="1539"/>
      <w:bookmarkEnd w:id="1540"/>
      <w:r w:rsidRPr="00BD6C5F">
        <w:br w:type="page"/>
      </w:r>
    </w:p>
    <w:p w14:paraId="569487FC" w14:textId="3B94836B" w:rsidR="00BC7DDA" w:rsidRPr="00F63080" w:rsidRDefault="00BA3C57" w:rsidP="00CA6E6F">
      <w:pPr>
        <w:pStyle w:val="Heading2"/>
        <w:rPr>
          <w:lang w:val="fr-FR"/>
        </w:rPr>
      </w:pPr>
      <w:bookmarkStart w:id="1541" w:name="_Toc98332778"/>
      <w:bookmarkStart w:id="1542" w:name="_Ref98333279"/>
      <w:bookmarkStart w:id="1543" w:name="_Ref98344393"/>
      <w:bookmarkStart w:id="1544" w:name="_Ref98344425"/>
      <w:bookmarkStart w:id="1545" w:name="_Toc141721047"/>
      <w:r w:rsidRPr="00F63080">
        <w:rPr>
          <w:lang w:val="fr-FR"/>
        </w:rPr>
        <w:lastRenderedPageBreak/>
        <w:t xml:space="preserve">Annex </w:t>
      </w:r>
      <w:bookmarkStart w:id="1546" w:name="Schedule_26_Part_B_Annex_1"/>
      <w:r w:rsidRPr="00F63080">
        <w:rPr>
          <w:lang w:val="fr-FR"/>
        </w:rPr>
        <w:t>1</w:t>
      </w:r>
      <w:bookmarkEnd w:id="1546"/>
      <w:r w:rsidRPr="00F63080">
        <w:rPr>
          <w:lang w:val="fr-FR"/>
        </w:rPr>
        <w:t xml:space="preserve">: </w:t>
      </w:r>
      <w:bookmarkStart w:id="1547" w:name="_Ref98344263"/>
      <w:r w:rsidRPr="00F63080">
        <w:rPr>
          <w:lang w:val="fr-FR"/>
        </w:rPr>
        <w:t>Exposure Information (Contracts List)</w:t>
      </w:r>
      <w:bookmarkEnd w:id="1541"/>
      <w:bookmarkEnd w:id="1542"/>
      <w:bookmarkEnd w:id="1543"/>
      <w:bookmarkEnd w:id="1544"/>
      <w:bookmarkEnd w:id="1547"/>
      <w:bookmarkEnd w:id="1545"/>
    </w:p>
    <w:p w14:paraId="5E5A2A00" w14:textId="77777777" w:rsidR="00BC7DDA" w:rsidRPr="0041215F" w:rsidRDefault="009B03E9" w:rsidP="00B71FC0">
      <w:pPr>
        <w:pStyle w:val="AppendixText1"/>
        <w:numPr>
          <w:ilvl w:val="0"/>
          <w:numId w:val="160"/>
        </w:numPr>
        <w:rPr>
          <w:b w:val="0"/>
          <w:bCs/>
        </w:rPr>
      </w:pPr>
      <w:r w:rsidRPr="0041215F">
        <w:rPr>
          <w:b w:val="0"/>
          <w:bCs/>
        </w:rPr>
        <w:t>The Supplier shall:</w:t>
      </w:r>
    </w:p>
    <w:p w14:paraId="440A37CA" w14:textId="77777777" w:rsidR="00BC7DDA" w:rsidRPr="00BD6C5F" w:rsidRDefault="009B03E9" w:rsidP="009F4A63">
      <w:pPr>
        <w:pStyle w:val="AppendixText2"/>
        <w:keepNext/>
      </w:pPr>
      <w:r w:rsidRPr="00BD6C5F">
        <w:t>provide details of all agreements held by members of the Supplier Group where those agreements are for goods, services or works provision and:</w:t>
      </w:r>
    </w:p>
    <w:p w14:paraId="570B088A" w14:textId="3C305DCF" w:rsidR="00BC7DDA" w:rsidRPr="00BD6C5F" w:rsidRDefault="009B03E9" w:rsidP="00F762C3">
      <w:pPr>
        <w:pStyle w:val="AppendixText3"/>
      </w:pPr>
      <w:bookmarkStart w:id="1548" w:name="_bookmark524"/>
      <w:bookmarkStart w:id="1549" w:name="_Ref98425276"/>
      <w:bookmarkEnd w:id="1548"/>
      <w:r w:rsidRPr="00BD6C5F">
        <w:t xml:space="preserve">are with any UK public sector bodies including: </w:t>
      </w:r>
      <w:r w:rsidR="00321521">
        <w:t>Crown Bodies</w:t>
      </w:r>
      <w:r w:rsidRPr="00BD6C5F">
        <w:t xml:space="preserve"> and their arms-length bodies and agencies, non- departmental public bodies, NHS bodies, local authorities, health bodies, police fire and rescue, education bodies and the devolved administrations;</w:t>
      </w:r>
      <w:bookmarkEnd w:id="1549"/>
    </w:p>
    <w:p w14:paraId="5D536CE6" w14:textId="2DA34CFA" w:rsidR="00BC7DDA" w:rsidRPr="00BD6C5F" w:rsidRDefault="009B03E9" w:rsidP="00F762C3">
      <w:pPr>
        <w:pStyle w:val="AppendixText3"/>
      </w:pPr>
      <w:r w:rsidRPr="00BD6C5F">
        <w:t xml:space="preserve">are with any private sector entities where the end recipient of the service, goods or works provision is any of the bodies set out in </w:t>
      </w:r>
      <w:r w:rsidR="007C62CA" w:rsidRPr="00BD6C5F">
        <w:t>P</w:t>
      </w:r>
      <w:r w:rsidRPr="00BD6C5F">
        <w:t>aragraph</w:t>
      </w:r>
      <w:r w:rsidR="009451E5" w:rsidRPr="00BD6C5F">
        <w:t> </w:t>
      </w:r>
      <w:r w:rsidR="009451E5" w:rsidRPr="00BD6C5F">
        <w:fldChar w:fldCharType="begin"/>
      </w:r>
      <w:r w:rsidR="009451E5" w:rsidRPr="00BD6C5F">
        <w:instrText xml:space="preserve"> REF _Ref98425276 \w \h </w:instrText>
      </w:r>
      <w:r w:rsidR="00FE55FF" w:rsidRPr="00BD6C5F">
        <w:instrText xml:space="preserve"> \* MERGEFORMAT </w:instrText>
      </w:r>
      <w:r w:rsidR="009451E5" w:rsidRPr="00BD6C5F">
        <w:fldChar w:fldCharType="separate"/>
      </w:r>
      <w:r w:rsidR="009749A0">
        <w:t>1.1.1</w:t>
      </w:r>
      <w:r w:rsidR="009451E5" w:rsidRPr="00BD6C5F">
        <w:fldChar w:fldCharType="end"/>
      </w:r>
      <w:r w:rsidRPr="00BD6C5F">
        <w:t xml:space="preserve"> of this </w:t>
      </w:r>
      <w:r w:rsidR="000E1EDB">
        <w:t>Annex </w:t>
      </w:r>
      <w:r w:rsidR="000E1EDB">
        <w:fldChar w:fldCharType="begin"/>
      </w:r>
      <w:r w:rsidR="000E1EDB">
        <w:instrText xml:space="preserve"> REF Schedule_26_Part_B_Annex_1 \h </w:instrText>
      </w:r>
      <w:r w:rsidR="000E1EDB">
        <w:fldChar w:fldCharType="separate"/>
      </w:r>
      <w:r w:rsidR="009749A0" w:rsidRPr="00F63080">
        <w:rPr>
          <w:lang w:val="fr-FR"/>
        </w:rPr>
        <w:t>1</w:t>
      </w:r>
      <w:r w:rsidR="000E1EDB">
        <w:fldChar w:fldCharType="end"/>
      </w:r>
      <w:r w:rsidR="000E1EDB">
        <w:t xml:space="preserve"> of Part </w:t>
      </w:r>
      <w:r w:rsidR="000E1EDB">
        <w:fldChar w:fldCharType="begin"/>
      </w:r>
      <w:r w:rsidR="000E1EDB">
        <w:instrText xml:space="preserve"> REF Schedule_26_Part_B \h </w:instrText>
      </w:r>
      <w:r w:rsidR="000E1EDB">
        <w:fldChar w:fldCharType="separate"/>
      </w:r>
      <w:r w:rsidR="009749A0" w:rsidRPr="00BD6C5F">
        <w:t>B</w:t>
      </w:r>
      <w:r w:rsidR="000E1EDB">
        <w:fldChar w:fldCharType="end"/>
      </w:r>
      <w:r w:rsidRPr="00BD6C5F">
        <w:t xml:space="preserve"> and where the member of the Supplier Group is acting as a key sub-contractor under the agreement with the end recipient; or</w:t>
      </w:r>
    </w:p>
    <w:p w14:paraId="64859A6E" w14:textId="77777777" w:rsidR="00BC7DDA" w:rsidRPr="00BD6C5F" w:rsidRDefault="009B03E9" w:rsidP="00F762C3">
      <w:pPr>
        <w:pStyle w:val="AppendixText3"/>
      </w:pPr>
      <w:r w:rsidRPr="00BD6C5F">
        <w:t>involve or could reasonably be considered to involve CNI;</w:t>
      </w:r>
    </w:p>
    <w:p w14:paraId="748256DC" w14:textId="77777777" w:rsidR="00BC7DDA" w:rsidRPr="00BD6C5F" w:rsidRDefault="009B03E9" w:rsidP="00F762C3">
      <w:pPr>
        <w:pStyle w:val="AppendixText2"/>
      </w:pPr>
      <w:r w:rsidRPr="00BD6C5F">
        <w:t>provide the Relevant Authority with a copy of the latest version of each underlying contract worth more than £5m per contract year and their related key sub-contracts, which shall be included as embedded documents within the CRP Information or via a directly accessible link.</w:t>
      </w:r>
    </w:p>
    <w:p w14:paraId="474B1B26" w14:textId="730C823C" w:rsidR="00BC7DDA" w:rsidRPr="00BD6C5F" w:rsidRDefault="00BC7DDA" w:rsidP="00494085"/>
    <w:p w14:paraId="68D6A4BE" w14:textId="77777777" w:rsidR="00D27CFD" w:rsidRPr="00BD6C5F" w:rsidRDefault="00D27CFD" w:rsidP="00494085">
      <w:r w:rsidRPr="00BD6C5F">
        <w:br w:type="page"/>
      </w:r>
    </w:p>
    <w:p w14:paraId="28ADB6B7" w14:textId="15F77872" w:rsidR="00AD529F" w:rsidRPr="00BD6C5F" w:rsidRDefault="00BA3C57" w:rsidP="00CA6E6F">
      <w:pPr>
        <w:pStyle w:val="Heading2"/>
      </w:pPr>
      <w:bookmarkStart w:id="1550" w:name="_Toc98332779"/>
      <w:bookmarkStart w:id="1551" w:name="_Ref98333251"/>
      <w:bookmarkStart w:id="1552" w:name="_Ref98336056"/>
      <w:bookmarkStart w:id="1553" w:name="_Ref98344437"/>
      <w:bookmarkStart w:id="1554" w:name="_Toc141721048"/>
      <w:r w:rsidRPr="00BD6C5F">
        <w:lastRenderedPageBreak/>
        <w:t xml:space="preserve">Annex </w:t>
      </w:r>
      <w:bookmarkStart w:id="1555" w:name="Schedule_26_Part_B_Annex_2"/>
      <w:r w:rsidRPr="00BD6C5F">
        <w:t>2</w:t>
      </w:r>
      <w:bookmarkEnd w:id="1555"/>
      <w:r w:rsidRPr="00BD6C5F">
        <w:t>: Corporate Resolvability Assessment (Structural Review)</w:t>
      </w:r>
      <w:bookmarkEnd w:id="1550"/>
      <w:bookmarkEnd w:id="1551"/>
      <w:bookmarkEnd w:id="1552"/>
      <w:bookmarkEnd w:id="1553"/>
      <w:bookmarkEnd w:id="1554"/>
    </w:p>
    <w:p w14:paraId="6C9892B1" w14:textId="77777777" w:rsidR="00AD529F" w:rsidRPr="0041215F" w:rsidRDefault="00AD529F" w:rsidP="00B71FC0">
      <w:pPr>
        <w:pStyle w:val="AppendixText1"/>
        <w:numPr>
          <w:ilvl w:val="0"/>
          <w:numId w:val="161"/>
        </w:numPr>
        <w:rPr>
          <w:b w:val="0"/>
          <w:bCs/>
        </w:rPr>
      </w:pPr>
      <w:r w:rsidRPr="0041215F">
        <w:rPr>
          <w:b w:val="0"/>
          <w:bCs/>
        </w:rPr>
        <w:t>The Supplier shall:</w:t>
      </w:r>
    </w:p>
    <w:p w14:paraId="344083FE" w14:textId="5328646C" w:rsidR="00AD529F" w:rsidRPr="00BD6C5F" w:rsidRDefault="00AD529F" w:rsidP="00F762C3">
      <w:pPr>
        <w:pStyle w:val="AppendixText2"/>
      </w:pPr>
      <w:r w:rsidRPr="00BD6C5F">
        <w:t>provide sufficient information to allow the Relevant Authority to understand the implications on the Supplier Group</w:t>
      </w:r>
      <w:r w:rsidR="00A4555C" w:rsidRPr="00BD6C5F">
        <w:t>’</w:t>
      </w:r>
      <w:r w:rsidRPr="00BD6C5F">
        <w:t xml:space="preserve">s UK Public Sector Business and CNI contracts listed pursuant to </w:t>
      </w:r>
      <w:r w:rsidR="000E1EDB">
        <w:t>Annex </w:t>
      </w:r>
      <w:r w:rsidR="000E1EDB">
        <w:fldChar w:fldCharType="begin"/>
      </w:r>
      <w:r w:rsidR="000E1EDB">
        <w:instrText xml:space="preserve"> REF Schedule_26_Part_B_Annex_1 \h </w:instrText>
      </w:r>
      <w:r w:rsidR="000E1EDB">
        <w:fldChar w:fldCharType="separate"/>
      </w:r>
      <w:r w:rsidR="009749A0" w:rsidRPr="00F63080">
        <w:rPr>
          <w:lang w:val="fr-FR"/>
        </w:rPr>
        <w:t>1</w:t>
      </w:r>
      <w:r w:rsidR="000E1EDB">
        <w:fldChar w:fldCharType="end"/>
      </w:r>
      <w:r w:rsidR="000E1EDB">
        <w:t xml:space="preserve"> of Part </w:t>
      </w:r>
      <w:r w:rsidR="000E1EDB">
        <w:fldChar w:fldCharType="begin"/>
      </w:r>
      <w:r w:rsidR="000E1EDB">
        <w:instrText xml:space="preserve"> REF Schedule_26_Part_B \h </w:instrText>
      </w:r>
      <w:r w:rsidR="000E1EDB">
        <w:fldChar w:fldCharType="separate"/>
      </w:r>
      <w:r w:rsidR="009749A0" w:rsidRPr="00BD6C5F">
        <w:t>B</w:t>
      </w:r>
      <w:r w:rsidR="000E1EDB">
        <w:fldChar w:fldCharType="end"/>
      </w:r>
      <w:r w:rsidRPr="00BD6C5F">
        <w:t xml:space="preserve"> if the Supplier or another member of the Supplier Group is subject to an Insolvency Event.</w:t>
      </w:r>
    </w:p>
    <w:p w14:paraId="2A146C22" w14:textId="77777777" w:rsidR="00AD529F" w:rsidRPr="00BD6C5F" w:rsidRDefault="00AD529F" w:rsidP="00F762C3">
      <w:pPr>
        <w:pStyle w:val="AppendixText2"/>
      </w:pPr>
      <w:r w:rsidRPr="00BD6C5F">
        <w:t>ensure that the information is presented so as to provide a simple, effective and easily understood overview of the Supplier Group; and</w:t>
      </w:r>
    </w:p>
    <w:p w14:paraId="6C852B6A" w14:textId="295A61E1" w:rsidR="00AD529F" w:rsidRPr="00BD6C5F" w:rsidRDefault="00AD529F" w:rsidP="00F762C3">
      <w:pPr>
        <w:pStyle w:val="AppendixText2"/>
      </w:pPr>
      <w:r w:rsidRPr="00BD6C5F">
        <w:t>provide full details of the importance of each member of the Supplier Group to the Supplier Group</w:t>
      </w:r>
      <w:r w:rsidR="00A4555C" w:rsidRPr="00BD6C5F">
        <w:t>’</w:t>
      </w:r>
      <w:r w:rsidRPr="00BD6C5F">
        <w:t xml:space="preserve">s UK Public Sector Business and CNI contracts listed pursuant to </w:t>
      </w:r>
      <w:r w:rsidR="000E1EDB">
        <w:t>Annex </w:t>
      </w:r>
      <w:r w:rsidR="000E1EDB">
        <w:fldChar w:fldCharType="begin"/>
      </w:r>
      <w:r w:rsidR="000E1EDB">
        <w:instrText xml:space="preserve"> REF Schedule_26_Part_B_Annex_2 \h </w:instrText>
      </w:r>
      <w:r w:rsidR="000E1EDB">
        <w:fldChar w:fldCharType="separate"/>
      </w:r>
      <w:r w:rsidR="009749A0" w:rsidRPr="00BD6C5F">
        <w:t>2</w:t>
      </w:r>
      <w:r w:rsidR="000E1EDB">
        <w:fldChar w:fldCharType="end"/>
      </w:r>
      <w:r w:rsidR="000E1EDB">
        <w:t xml:space="preserve"> of Part </w:t>
      </w:r>
      <w:r w:rsidR="000E1EDB">
        <w:fldChar w:fldCharType="begin"/>
      </w:r>
      <w:r w:rsidR="000E1EDB">
        <w:instrText xml:space="preserve"> REF Schedule_26_Part_B \h </w:instrText>
      </w:r>
      <w:r w:rsidR="000E1EDB">
        <w:fldChar w:fldCharType="separate"/>
      </w:r>
      <w:r w:rsidR="009749A0" w:rsidRPr="00BD6C5F">
        <w:t>B</w:t>
      </w:r>
      <w:r w:rsidR="000E1EDB">
        <w:fldChar w:fldCharType="end"/>
      </w:r>
      <w:r w:rsidRPr="00BD6C5F">
        <w:t xml:space="preserve"> and the dependencies between each.</w:t>
      </w:r>
    </w:p>
    <w:p w14:paraId="41ED37C6" w14:textId="77928C3A" w:rsidR="00AD529F" w:rsidRPr="00BD6C5F" w:rsidRDefault="00AD529F" w:rsidP="00494085"/>
    <w:p w14:paraId="43754A3A" w14:textId="77777777" w:rsidR="00D27CFD" w:rsidRPr="00BD6C5F" w:rsidRDefault="00D27CFD" w:rsidP="00494085">
      <w:bookmarkStart w:id="1556" w:name="_Ref92451004"/>
      <w:r w:rsidRPr="00BD6C5F">
        <w:br w:type="page"/>
      </w:r>
    </w:p>
    <w:p w14:paraId="6CC082FF" w14:textId="34674D24" w:rsidR="00F52A06" w:rsidRPr="00BD6C5F" w:rsidRDefault="00BA3C57" w:rsidP="00CA6E6F">
      <w:pPr>
        <w:pStyle w:val="Heading2"/>
      </w:pPr>
      <w:bookmarkStart w:id="1557" w:name="_Toc98332780"/>
      <w:bookmarkStart w:id="1558" w:name="_Ref98333318"/>
      <w:bookmarkStart w:id="1559" w:name="_Ref98344346"/>
      <w:bookmarkStart w:id="1560" w:name="_Ref98344457"/>
      <w:bookmarkStart w:id="1561" w:name="_Toc141721049"/>
      <w:r w:rsidRPr="00BD6C5F">
        <w:lastRenderedPageBreak/>
        <w:t xml:space="preserve">Annex </w:t>
      </w:r>
      <w:bookmarkStart w:id="1562" w:name="Schedule_26_Part_B_Annex_3"/>
      <w:r w:rsidRPr="00BD6C5F">
        <w:t>3</w:t>
      </w:r>
      <w:bookmarkEnd w:id="1562"/>
      <w:r w:rsidRPr="00BD6C5F">
        <w:t>: Financial Information and Commentary</w:t>
      </w:r>
      <w:bookmarkEnd w:id="1556"/>
      <w:bookmarkEnd w:id="1557"/>
      <w:bookmarkEnd w:id="1558"/>
      <w:bookmarkEnd w:id="1559"/>
      <w:bookmarkEnd w:id="1560"/>
      <w:bookmarkEnd w:id="1561"/>
    </w:p>
    <w:p w14:paraId="306E5844" w14:textId="77777777" w:rsidR="00F52A06" w:rsidRPr="0041215F" w:rsidRDefault="00F52A06" w:rsidP="00B71FC0">
      <w:pPr>
        <w:pStyle w:val="AppendixText1"/>
        <w:numPr>
          <w:ilvl w:val="0"/>
          <w:numId w:val="162"/>
        </w:numPr>
        <w:rPr>
          <w:b w:val="0"/>
          <w:bCs/>
        </w:rPr>
      </w:pPr>
      <w:bookmarkStart w:id="1563" w:name="_Ref98425332"/>
      <w:r w:rsidRPr="0041215F">
        <w:rPr>
          <w:b w:val="0"/>
          <w:bCs/>
        </w:rPr>
        <w:t>The Supplier shall:</w:t>
      </w:r>
      <w:bookmarkEnd w:id="1563"/>
    </w:p>
    <w:p w14:paraId="143CE446" w14:textId="55B89F30" w:rsidR="00F52A06" w:rsidRPr="00BD6C5F" w:rsidRDefault="00F52A06" w:rsidP="00F762C3">
      <w:pPr>
        <w:pStyle w:val="AppendixText2"/>
      </w:pPr>
      <w:r w:rsidRPr="00BD6C5F">
        <w:t>provide sufficient financial information for the Supplier Group level, contracting operating entities level, and shared services entities</w:t>
      </w:r>
      <w:r w:rsidR="00A4555C" w:rsidRPr="00BD6C5F">
        <w:t>’</w:t>
      </w:r>
      <w:r w:rsidRPr="00BD6C5F">
        <w:t xml:space="preserve"> level to allow the Relevant Authority to understand the current financial interconnectedness of the Supplier Group and the current performance of the Supplier as a standalone entity; and</w:t>
      </w:r>
    </w:p>
    <w:p w14:paraId="7F0E1469" w14:textId="77777777" w:rsidR="00F52A06" w:rsidRPr="00BD6C5F" w:rsidRDefault="00F52A06" w:rsidP="00F762C3">
      <w:pPr>
        <w:pStyle w:val="AppendixText2"/>
      </w:pPr>
      <w:r w:rsidRPr="00BD6C5F">
        <w:t>ensure that the information is presented in a simple, effective and easily understood manner.</w:t>
      </w:r>
    </w:p>
    <w:p w14:paraId="5A320F2E" w14:textId="7B1C0D52" w:rsidR="00F52A06" w:rsidRPr="00F762C3" w:rsidRDefault="00F52A06" w:rsidP="00F762C3">
      <w:pPr>
        <w:pStyle w:val="AppendixText1"/>
        <w:rPr>
          <w:b w:val="0"/>
          <w:bCs/>
        </w:rPr>
      </w:pPr>
      <w:r w:rsidRPr="00F762C3">
        <w:rPr>
          <w:b w:val="0"/>
          <w:bCs/>
        </w:rPr>
        <w:t>For the avoidance of doubt the financial information to be provided pursuant to Paragraph</w:t>
      </w:r>
      <w:r w:rsidR="009451E5" w:rsidRPr="00F762C3">
        <w:rPr>
          <w:b w:val="0"/>
          <w:bCs/>
        </w:rPr>
        <w:t> </w:t>
      </w:r>
      <w:r w:rsidR="009451E5" w:rsidRPr="00F762C3">
        <w:rPr>
          <w:b w:val="0"/>
          <w:bCs/>
        </w:rPr>
        <w:fldChar w:fldCharType="begin"/>
      </w:r>
      <w:r w:rsidR="009451E5" w:rsidRPr="00F762C3">
        <w:rPr>
          <w:b w:val="0"/>
          <w:bCs/>
        </w:rPr>
        <w:instrText xml:space="preserve"> REF _Ref98425332 \w \h </w:instrText>
      </w:r>
      <w:r w:rsidR="00FE55FF" w:rsidRPr="00F762C3">
        <w:rPr>
          <w:b w:val="0"/>
          <w:bCs/>
        </w:rPr>
        <w:instrText xml:space="preserve"> \* MERGEFORMAT </w:instrText>
      </w:r>
      <w:r w:rsidR="009451E5" w:rsidRPr="00F762C3">
        <w:rPr>
          <w:b w:val="0"/>
          <w:bCs/>
        </w:rPr>
      </w:r>
      <w:r w:rsidR="009451E5" w:rsidRPr="00F762C3">
        <w:rPr>
          <w:b w:val="0"/>
          <w:bCs/>
        </w:rPr>
        <w:fldChar w:fldCharType="separate"/>
      </w:r>
      <w:r w:rsidR="009749A0">
        <w:rPr>
          <w:b w:val="0"/>
          <w:bCs/>
        </w:rPr>
        <w:t>1</w:t>
      </w:r>
      <w:r w:rsidR="009451E5" w:rsidRPr="00F762C3">
        <w:rPr>
          <w:b w:val="0"/>
          <w:bCs/>
        </w:rPr>
        <w:fldChar w:fldCharType="end"/>
      </w:r>
      <w:r w:rsidRPr="00F762C3">
        <w:rPr>
          <w:b w:val="0"/>
          <w:bCs/>
        </w:rPr>
        <w:t xml:space="preserve"> of this </w:t>
      </w:r>
      <w:r w:rsidR="000E1EDB">
        <w:rPr>
          <w:b w:val="0"/>
          <w:bCs/>
        </w:rPr>
        <w:t>Annex </w:t>
      </w:r>
      <w:r w:rsidR="000E1EDB" w:rsidRPr="000E1EDB">
        <w:rPr>
          <w:b w:val="0"/>
          <w:bCs/>
        </w:rPr>
        <w:fldChar w:fldCharType="begin"/>
      </w:r>
      <w:r w:rsidR="000E1EDB" w:rsidRPr="000E1EDB">
        <w:rPr>
          <w:b w:val="0"/>
          <w:bCs/>
        </w:rPr>
        <w:instrText xml:space="preserve"> REF Schedule_26_Part_B_Annex_3 \h  \* MERGEFORMAT </w:instrText>
      </w:r>
      <w:r w:rsidR="000E1EDB" w:rsidRPr="000E1EDB">
        <w:rPr>
          <w:b w:val="0"/>
          <w:bCs/>
        </w:rPr>
      </w:r>
      <w:r w:rsidR="000E1EDB" w:rsidRPr="000E1EDB">
        <w:rPr>
          <w:b w:val="0"/>
          <w:bCs/>
        </w:rPr>
        <w:fldChar w:fldCharType="separate"/>
      </w:r>
      <w:r w:rsidR="009749A0" w:rsidRPr="00B664D1">
        <w:rPr>
          <w:b w:val="0"/>
          <w:bCs/>
        </w:rPr>
        <w:t>3</w:t>
      </w:r>
      <w:r w:rsidR="000E1EDB" w:rsidRPr="000E1EDB">
        <w:rPr>
          <w:b w:val="0"/>
          <w:bCs/>
        </w:rPr>
        <w:fldChar w:fldCharType="end"/>
      </w:r>
      <w:r w:rsidR="000E1EDB">
        <w:rPr>
          <w:b w:val="0"/>
          <w:bCs/>
        </w:rPr>
        <w:t xml:space="preserve"> of Part </w:t>
      </w:r>
      <w:r w:rsidR="000E1EDB" w:rsidRPr="009722E3">
        <w:rPr>
          <w:b w:val="0"/>
          <w:bCs/>
        </w:rPr>
        <w:fldChar w:fldCharType="begin"/>
      </w:r>
      <w:r w:rsidR="000E1EDB" w:rsidRPr="009722E3">
        <w:rPr>
          <w:b w:val="0"/>
          <w:bCs/>
        </w:rPr>
        <w:instrText xml:space="preserve"> REF Schedule_26_Part_B \h </w:instrText>
      </w:r>
      <w:r w:rsidR="009722E3" w:rsidRPr="009722E3">
        <w:rPr>
          <w:b w:val="0"/>
          <w:bCs/>
        </w:rPr>
        <w:instrText xml:space="preserve"> \* MERGEFORMAT </w:instrText>
      </w:r>
      <w:r w:rsidR="000E1EDB" w:rsidRPr="009722E3">
        <w:rPr>
          <w:b w:val="0"/>
          <w:bCs/>
        </w:rPr>
      </w:r>
      <w:r w:rsidR="000E1EDB" w:rsidRPr="009722E3">
        <w:rPr>
          <w:b w:val="0"/>
          <w:bCs/>
        </w:rPr>
        <w:fldChar w:fldCharType="separate"/>
      </w:r>
      <w:r w:rsidR="009749A0" w:rsidRPr="00B664D1">
        <w:rPr>
          <w:b w:val="0"/>
          <w:bCs/>
        </w:rPr>
        <w:t>B</w:t>
      </w:r>
      <w:r w:rsidR="000E1EDB" w:rsidRPr="009722E3">
        <w:rPr>
          <w:b w:val="0"/>
          <w:bCs/>
        </w:rPr>
        <w:fldChar w:fldCharType="end"/>
      </w:r>
      <w:r w:rsidR="008E4A56" w:rsidRPr="00F762C3">
        <w:rPr>
          <w:b w:val="0"/>
          <w:bCs/>
        </w:rPr>
        <w:t xml:space="preserve"> </w:t>
      </w:r>
      <w:r w:rsidRPr="00F762C3">
        <w:rPr>
          <w:b w:val="0"/>
          <w:bCs/>
        </w:rPr>
        <w:t>should be based on the most recent audited accounts for the relevant entities (or interim accounts where available) updated for any material changes since the Accounting Reference Date provided that such accounts are available in a reasonable timeframe to allow the Supplier to comply with its obligations under this Schedule</w:t>
      </w:r>
      <w:r w:rsidR="00C527AC" w:rsidRPr="00F762C3">
        <w:rPr>
          <w:b w:val="0"/>
          <w:bCs/>
        </w:rPr>
        <w:t> </w:t>
      </w:r>
      <w:r w:rsidR="00242E2D" w:rsidRPr="00F84BF5">
        <w:rPr>
          <w:b w:val="0"/>
          <w:bCs/>
        </w:rPr>
        <w:fldChar w:fldCharType="begin"/>
      </w:r>
      <w:r w:rsidR="00242E2D" w:rsidRPr="00F84BF5">
        <w:rPr>
          <w:b w:val="0"/>
          <w:bCs/>
        </w:rPr>
        <w:instrText xml:space="preserve"> REF Schedule_26 \h </w:instrText>
      </w:r>
      <w:r w:rsidR="00F84BF5" w:rsidRPr="00F84BF5">
        <w:rPr>
          <w:b w:val="0"/>
          <w:bCs/>
        </w:rPr>
        <w:instrText xml:space="preserve"> \* MERGEFORMAT </w:instrText>
      </w:r>
      <w:r w:rsidR="00242E2D" w:rsidRPr="00F84BF5">
        <w:rPr>
          <w:b w:val="0"/>
          <w:bCs/>
        </w:rPr>
      </w:r>
      <w:r w:rsidR="00242E2D" w:rsidRPr="00F84BF5">
        <w:rPr>
          <w:b w:val="0"/>
          <w:bCs/>
        </w:rPr>
        <w:fldChar w:fldCharType="separate"/>
      </w:r>
      <w:r w:rsidR="009749A0" w:rsidRPr="00B664D1">
        <w:rPr>
          <w:b w:val="0"/>
          <w:bCs/>
        </w:rPr>
        <w:t>26</w:t>
      </w:r>
      <w:r w:rsidR="00242E2D" w:rsidRPr="00F84BF5">
        <w:rPr>
          <w:b w:val="0"/>
          <w:bCs/>
        </w:rPr>
        <w:fldChar w:fldCharType="end"/>
      </w:r>
      <w:r w:rsidRPr="00F762C3">
        <w:rPr>
          <w:b w:val="0"/>
          <w:bCs/>
        </w:rPr>
        <w:t>. If such accounts are not available in that timeframe, financial information should be based on unpublished unaudited accounts or management accounts (disclosure of which to the Cabinet Office Markets and Suppliers Team remains protected by confidentiality).</w:t>
      </w:r>
    </w:p>
    <w:p w14:paraId="23FED19A" w14:textId="01BBCAC1" w:rsidR="00E238E6" w:rsidRPr="00BD6C5F" w:rsidRDefault="00E238E6" w:rsidP="00494085"/>
    <w:p w14:paraId="1C5E09DF" w14:textId="77777777" w:rsidR="00E238E6" w:rsidRPr="00BD6C5F" w:rsidRDefault="00E238E6" w:rsidP="00494085"/>
    <w:p w14:paraId="35A461C3" w14:textId="77777777" w:rsidR="00D27CFD" w:rsidRPr="00BD6C5F" w:rsidRDefault="00D27CFD" w:rsidP="00494085">
      <w:pPr>
        <w:sectPr w:rsidR="00D27CFD" w:rsidRPr="00BD6C5F" w:rsidSect="00EA65BF">
          <w:headerReference w:type="default" r:id="rId111"/>
          <w:footerReference w:type="default" r:id="rId112"/>
          <w:pgSz w:w="11910" w:h="16840"/>
          <w:pgMar w:top="1701" w:right="851" w:bottom="1134" w:left="851" w:header="567" w:footer="567" w:gutter="0"/>
          <w:cols w:space="720"/>
        </w:sectPr>
      </w:pPr>
    </w:p>
    <w:p w14:paraId="0B2B8188" w14:textId="16D014A2" w:rsidR="00713E2F" w:rsidRDefault="00713E2F" w:rsidP="00713E2F">
      <w:pPr>
        <w:pStyle w:val="Dividername"/>
      </w:pPr>
      <w:bookmarkStart w:id="1564" w:name="_bookmark525"/>
      <w:bookmarkEnd w:id="1564"/>
      <w:r>
        <w:lastRenderedPageBreak/>
        <w:t xml:space="preserve">Schedule </w:t>
      </w:r>
      <w:bookmarkStart w:id="1565" w:name="Schedule_27"/>
      <w:r>
        <w:t>27</w:t>
      </w:r>
      <w:bookmarkEnd w:id="1565"/>
    </w:p>
    <w:p w14:paraId="1F14FA93" w14:textId="69032DE9" w:rsidR="00713E2F" w:rsidRDefault="00713E2F" w:rsidP="00713E2F">
      <w:pPr>
        <w:pStyle w:val="Dividername"/>
      </w:pPr>
      <w:r w:rsidRPr="00713E2F">
        <w:t>Conduct of Claims</w:t>
      </w:r>
    </w:p>
    <w:p w14:paraId="02DDADC7" w14:textId="77777777" w:rsidR="00713E2F" w:rsidRDefault="00713E2F" w:rsidP="00713E2F"/>
    <w:p w14:paraId="05D911DF" w14:textId="3863661C" w:rsidR="00BC7DDA" w:rsidRPr="00BD6C5F" w:rsidRDefault="00494085" w:rsidP="00713E2F">
      <w:pPr>
        <w:pStyle w:val="Heading1"/>
        <w:pageBreakBefore/>
      </w:pPr>
      <w:bookmarkStart w:id="1566" w:name="_Toc141721050"/>
      <w:r w:rsidRPr="00BD6C5F">
        <w:lastRenderedPageBreak/>
        <w:t>Schedule 27</w:t>
      </w:r>
      <w:r w:rsidR="001475FD" w:rsidRPr="00BD6C5F">
        <w:t>:</w:t>
      </w:r>
      <w:r w:rsidRPr="00BD6C5F">
        <w:t xml:space="preserve"> </w:t>
      </w:r>
      <w:bookmarkStart w:id="1567" w:name="_Toc98332781"/>
      <w:bookmarkStart w:id="1568" w:name="_Toc98852954"/>
      <w:r w:rsidRPr="00BD6C5F">
        <w:t>Conduct of Claims</w:t>
      </w:r>
      <w:bookmarkEnd w:id="1567"/>
      <w:bookmarkEnd w:id="1568"/>
      <w:bookmarkEnd w:id="1566"/>
    </w:p>
    <w:p w14:paraId="203EA789" w14:textId="6A136F3B" w:rsidR="00A655B3" w:rsidRPr="00BD6C5F" w:rsidRDefault="00A655B3" w:rsidP="00494085">
      <w:pPr>
        <w:jc w:val="center"/>
      </w:pPr>
      <w:r w:rsidRPr="00BD6C5F">
        <w:t>This is the schedule referred to in the foregoing agreement betwe</w:t>
      </w:r>
      <w:r w:rsidR="00BA3C57" w:rsidRPr="00BD6C5F">
        <w:t>en [</w:t>
      </w:r>
      <w:r w:rsidR="00BA3C57" w:rsidRPr="00BD6C5F">
        <w:rPr>
          <w:highlight w:val="yellow"/>
        </w:rPr>
        <w:t>name of party</w:t>
      </w:r>
      <w:r w:rsidR="00BA3C57" w:rsidRPr="00BD6C5F">
        <w:t>] and [</w:t>
      </w:r>
      <w:r w:rsidR="00BA3C57" w:rsidRPr="00BD6C5F">
        <w:rPr>
          <w:highlight w:val="yellow"/>
        </w:rPr>
        <w:t>name of party</w:t>
      </w:r>
      <w:r w:rsidR="00BA3C57" w:rsidRPr="00BD6C5F">
        <w:t>] dated [</w:t>
      </w:r>
      <w:r w:rsidR="00BA3C57" w:rsidRPr="00BD6C5F">
        <w:rPr>
          <w:highlight w:val="yellow"/>
        </w:rPr>
        <w:t>date</w:t>
      </w:r>
      <w:r w:rsidR="00BA3C57" w:rsidRPr="00BD6C5F">
        <w:t>]</w:t>
      </w:r>
    </w:p>
    <w:p w14:paraId="2E334FFD" w14:textId="77777777" w:rsidR="00494085" w:rsidRPr="00BD6C5F" w:rsidRDefault="00494085" w:rsidP="00494085"/>
    <w:p w14:paraId="5CA01CF3" w14:textId="200BC53B" w:rsidR="00BC7DDA" w:rsidRPr="00BD6C5F" w:rsidRDefault="00BA3C57" w:rsidP="00B71FC0">
      <w:pPr>
        <w:pStyle w:val="Numbered1"/>
        <w:numPr>
          <w:ilvl w:val="0"/>
          <w:numId w:val="114"/>
        </w:numPr>
      </w:pPr>
      <w:r w:rsidRPr="00BD6C5F">
        <w:t>Indemnities</w:t>
      </w:r>
    </w:p>
    <w:p w14:paraId="0583804E" w14:textId="2D357689" w:rsidR="00BC7DDA" w:rsidRPr="00BD6C5F" w:rsidRDefault="009B03E9" w:rsidP="00C5057A">
      <w:pPr>
        <w:pStyle w:val="Numbered11"/>
      </w:pPr>
      <w:r w:rsidRPr="00BD6C5F">
        <w:t xml:space="preserve">This Schedule shall apply to the conduct, by a Party from whom an indemnity is sought under this </w:t>
      </w:r>
      <w:r w:rsidR="00F52A06" w:rsidRPr="00BD6C5F">
        <w:t xml:space="preserve">Contract </w:t>
      </w:r>
      <w:r w:rsidRPr="00BD6C5F">
        <w:t xml:space="preserve">(the </w:t>
      </w:r>
      <w:r w:rsidR="00A4555C" w:rsidRPr="00BD6C5F">
        <w:t>“</w:t>
      </w:r>
      <w:r w:rsidRPr="00BD6C5F">
        <w:rPr>
          <w:b/>
        </w:rPr>
        <w:t>Indemnifier</w:t>
      </w:r>
      <w:r w:rsidR="00A4555C" w:rsidRPr="00BD6C5F">
        <w:t>”</w:t>
      </w:r>
      <w:r w:rsidRPr="00BD6C5F">
        <w:t xml:space="preserve">), of claims made by a third person against a party having (or claiming to have) the benefit of the indemnity (the </w:t>
      </w:r>
      <w:r w:rsidR="00A4555C" w:rsidRPr="00BD6C5F">
        <w:t>“</w:t>
      </w:r>
      <w:r w:rsidRPr="00BD6C5F">
        <w:rPr>
          <w:b/>
        </w:rPr>
        <w:t>Beneficiary</w:t>
      </w:r>
      <w:r w:rsidR="00A4555C" w:rsidRPr="00BD6C5F">
        <w:t>”</w:t>
      </w:r>
      <w:r w:rsidRPr="00BD6C5F">
        <w:t>).</w:t>
      </w:r>
    </w:p>
    <w:p w14:paraId="20DDE4A3" w14:textId="67B86B61" w:rsidR="00BC7DDA" w:rsidRPr="00BD6C5F" w:rsidRDefault="009B03E9" w:rsidP="00C5057A">
      <w:pPr>
        <w:pStyle w:val="Numbered11"/>
      </w:pPr>
      <w:r w:rsidRPr="00BD6C5F">
        <w:t xml:space="preserve">If the Beneficiary receives any notice of any claim for which it appears that the Beneficiary is, or may become, entitled to indemnification under this </w:t>
      </w:r>
      <w:r w:rsidR="00F52A06" w:rsidRPr="00BD6C5F">
        <w:t xml:space="preserve">Contract </w:t>
      </w:r>
      <w:r w:rsidRPr="00BD6C5F">
        <w:t xml:space="preserve">(a </w:t>
      </w:r>
      <w:r w:rsidR="00A4555C" w:rsidRPr="00BD6C5F">
        <w:t>“</w:t>
      </w:r>
      <w:r w:rsidRPr="00BD6C5F">
        <w:rPr>
          <w:b/>
        </w:rPr>
        <w:t>Claim</w:t>
      </w:r>
      <w:r w:rsidR="00A4555C" w:rsidRPr="00BD6C5F">
        <w:t>”</w:t>
      </w:r>
      <w:r w:rsidRPr="00BD6C5F">
        <w:t>), the Beneficiary shall give notice in writing to the Indemnifier as soon as reasonably practicable and in any event within 10 Working Days of receipt of the same.</w:t>
      </w:r>
    </w:p>
    <w:p w14:paraId="7B9912CF" w14:textId="59344F55" w:rsidR="00BC7DDA" w:rsidRPr="00BD6C5F" w:rsidRDefault="009B03E9" w:rsidP="00C5057A">
      <w:pPr>
        <w:pStyle w:val="Numbered11"/>
      </w:pPr>
      <w:bookmarkStart w:id="1569" w:name="_bookmark526"/>
      <w:bookmarkStart w:id="1570" w:name="_Ref98425420"/>
      <w:bookmarkEnd w:id="1569"/>
      <w:r w:rsidRPr="00BD6C5F">
        <w:t>Subject to Paragraph</w:t>
      </w:r>
      <w:r w:rsidR="009451E5" w:rsidRPr="00BD6C5F">
        <w:t> </w:t>
      </w:r>
      <w:r w:rsidR="009451E5" w:rsidRPr="00BD6C5F">
        <w:fldChar w:fldCharType="begin"/>
      </w:r>
      <w:r w:rsidR="009451E5" w:rsidRPr="00BD6C5F">
        <w:instrText xml:space="preserve"> REF _Ref98425398 \w \h </w:instrText>
      </w:r>
      <w:r w:rsidR="00AD7DD0" w:rsidRPr="00BD6C5F">
        <w:instrText xml:space="preserve"> \* MERGEFORMAT </w:instrText>
      </w:r>
      <w:r w:rsidR="009451E5" w:rsidRPr="00BD6C5F">
        <w:fldChar w:fldCharType="separate"/>
      </w:r>
      <w:r w:rsidR="009749A0">
        <w:t>2</w:t>
      </w:r>
      <w:r w:rsidR="009451E5" w:rsidRPr="00BD6C5F">
        <w:fldChar w:fldCharType="end"/>
      </w:r>
      <w:r w:rsidRPr="00BD6C5F">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w:t>
      </w:r>
      <w:r w:rsidR="00A4555C" w:rsidRPr="00BD6C5F">
        <w:t>’</w:t>
      </w:r>
      <w:r w:rsidRPr="00BD6C5F">
        <w:t>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subject to Paragraph</w:t>
      </w:r>
      <w:r w:rsidR="009451E5" w:rsidRPr="00BD6C5F">
        <w:t> </w:t>
      </w:r>
      <w:r w:rsidR="009451E5" w:rsidRPr="00BD6C5F">
        <w:fldChar w:fldCharType="begin"/>
      </w:r>
      <w:r w:rsidR="009451E5" w:rsidRPr="00BD6C5F">
        <w:instrText xml:space="preserve"> REF _Ref98425408 \w \h </w:instrText>
      </w:r>
      <w:r w:rsidR="00AD7DD0" w:rsidRPr="00BD6C5F">
        <w:instrText xml:space="preserve"> \* MERGEFORMAT </w:instrText>
      </w:r>
      <w:r w:rsidR="009451E5" w:rsidRPr="00BD6C5F">
        <w:fldChar w:fldCharType="separate"/>
      </w:r>
      <w:r w:rsidR="009749A0">
        <w:t>2.2</w:t>
      </w:r>
      <w:r w:rsidR="009451E5" w:rsidRPr="00BD6C5F">
        <w:fldChar w:fldCharType="end"/>
      </w:r>
      <w:r w:rsidRPr="00BD6C5F">
        <w:t>, the Beneficiary shall not make any admission which could be prejudicial to the defence or settlement of the Claim without the prior written consent of the Indemnifier.</w:t>
      </w:r>
      <w:bookmarkEnd w:id="1570"/>
    </w:p>
    <w:p w14:paraId="3A7387FC" w14:textId="5B533009" w:rsidR="00BC7DDA" w:rsidRPr="00BD6C5F" w:rsidRDefault="009B03E9" w:rsidP="009F4A63">
      <w:pPr>
        <w:pStyle w:val="Numbered11"/>
        <w:keepNext/>
      </w:pPr>
      <w:bookmarkStart w:id="1571" w:name="_bookmark527"/>
      <w:bookmarkStart w:id="1572" w:name="_Ref98425467"/>
      <w:bookmarkEnd w:id="1571"/>
      <w:r w:rsidRPr="00BD6C5F">
        <w:t>With respect to any Claim conducted by the Indemnifier pursuant to Paragraph</w:t>
      </w:r>
      <w:r w:rsidR="009451E5" w:rsidRPr="00BD6C5F">
        <w:t> </w:t>
      </w:r>
      <w:r w:rsidR="009451E5" w:rsidRPr="00BD6C5F">
        <w:fldChar w:fldCharType="begin"/>
      </w:r>
      <w:r w:rsidR="009451E5" w:rsidRPr="00BD6C5F">
        <w:instrText xml:space="preserve"> REF _Ref98425420 \w \h </w:instrText>
      </w:r>
      <w:r w:rsidR="00AD7DD0" w:rsidRPr="00BD6C5F">
        <w:instrText xml:space="preserve"> \* MERGEFORMAT </w:instrText>
      </w:r>
      <w:r w:rsidR="009451E5" w:rsidRPr="00BD6C5F">
        <w:fldChar w:fldCharType="separate"/>
      </w:r>
      <w:r w:rsidR="009749A0">
        <w:t>1.3</w:t>
      </w:r>
      <w:r w:rsidR="009451E5" w:rsidRPr="00BD6C5F">
        <w:fldChar w:fldCharType="end"/>
      </w:r>
      <w:r w:rsidRPr="00BD6C5F">
        <w:t>:</w:t>
      </w:r>
      <w:bookmarkEnd w:id="1572"/>
    </w:p>
    <w:p w14:paraId="7D34A0E4" w14:textId="77777777" w:rsidR="00BC7DDA" w:rsidRPr="00BD6C5F" w:rsidRDefault="009B03E9" w:rsidP="00BA3C57">
      <w:pPr>
        <w:pStyle w:val="Numbered111"/>
      </w:pPr>
      <w:r w:rsidRPr="00BD6C5F">
        <w:t>the Indemnifier shall keep the Beneficiary fully informed and consult with it about material elements of the conduct of the Claim;</w:t>
      </w:r>
    </w:p>
    <w:p w14:paraId="670D3C91" w14:textId="77777777" w:rsidR="00BC7DDA" w:rsidRPr="00BD6C5F" w:rsidRDefault="009B03E9" w:rsidP="00BA3C57">
      <w:pPr>
        <w:pStyle w:val="Numbered111"/>
      </w:pPr>
      <w:r w:rsidRPr="00BD6C5F">
        <w:t>the Indemnifier shall not bring the name of the Beneficiary into disrepute;</w:t>
      </w:r>
    </w:p>
    <w:p w14:paraId="01D97CB1" w14:textId="77777777" w:rsidR="00BC7DDA" w:rsidRPr="00BD6C5F" w:rsidRDefault="009B03E9" w:rsidP="00BA3C57">
      <w:pPr>
        <w:pStyle w:val="Numbered111"/>
      </w:pPr>
      <w:r w:rsidRPr="00BD6C5F">
        <w:t>the Indemnifier shall not pay or settle such Claim without the prior written consent of the Beneficiary, such consent not to be unreasonably withheld or delayed; and</w:t>
      </w:r>
    </w:p>
    <w:p w14:paraId="0F914900" w14:textId="77264841" w:rsidR="00BC7DDA" w:rsidRPr="00BD6C5F" w:rsidRDefault="009B03E9" w:rsidP="00BA3C57">
      <w:pPr>
        <w:pStyle w:val="Numbered111"/>
      </w:pPr>
      <w:r w:rsidRPr="00BD6C5F">
        <w:t>the Indemnifier shall conduct the Claim with all due diligence.</w:t>
      </w:r>
    </w:p>
    <w:p w14:paraId="53AA4F68" w14:textId="5116598D" w:rsidR="00BC7DDA" w:rsidRPr="00BD6C5F" w:rsidRDefault="009B03E9" w:rsidP="009F4A63">
      <w:pPr>
        <w:pStyle w:val="Numbered11"/>
        <w:keepNext/>
      </w:pPr>
      <w:r w:rsidRPr="00BD6C5F">
        <w:t xml:space="preserve">The Beneficiary shall be entitled to have conduct of the Claim and shall be free to pay or settle any Claim on such terms as it thinks fit and without prejudice to its rights and remedies under this </w:t>
      </w:r>
      <w:r w:rsidR="00F52A06" w:rsidRPr="00BD6C5F">
        <w:t xml:space="preserve">Contract </w:t>
      </w:r>
      <w:r w:rsidRPr="00BD6C5F">
        <w:t>if:</w:t>
      </w:r>
    </w:p>
    <w:p w14:paraId="47B5216C" w14:textId="7E4C2423" w:rsidR="00BC7DDA" w:rsidRPr="00BD6C5F" w:rsidRDefault="009B03E9" w:rsidP="00BA3C57">
      <w:pPr>
        <w:pStyle w:val="Numbered111"/>
      </w:pPr>
      <w:r w:rsidRPr="00BD6C5F">
        <w:t>the Indemnifier is not entitled to take conduct of the Claim in accordance with Paragraph</w:t>
      </w:r>
      <w:r w:rsidR="009451E5" w:rsidRPr="00BD6C5F">
        <w:t> </w:t>
      </w:r>
      <w:r w:rsidR="009451E5" w:rsidRPr="00BD6C5F">
        <w:fldChar w:fldCharType="begin"/>
      </w:r>
      <w:r w:rsidR="009451E5" w:rsidRPr="00BD6C5F">
        <w:instrText xml:space="preserve"> REF _Ref98425420 \w \h </w:instrText>
      </w:r>
      <w:r w:rsidR="00147ABC" w:rsidRPr="00BD6C5F">
        <w:instrText xml:space="preserve"> \* MERGEFORMAT </w:instrText>
      </w:r>
      <w:r w:rsidR="009451E5" w:rsidRPr="00BD6C5F">
        <w:fldChar w:fldCharType="separate"/>
      </w:r>
      <w:r w:rsidR="009749A0">
        <w:t>1.3</w:t>
      </w:r>
      <w:r w:rsidR="009451E5" w:rsidRPr="00BD6C5F">
        <w:fldChar w:fldCharType="end"/>
      </w:r>
      <w:r w:rsidRPr="00BD6C5F">
        <w:t>;</w:t>
      </w:r>
    </w:p>
    <w:p w14:paraId="080B1D77" w14:textId="28269FC3" w:rsidR="00BC7DDA" w:rsidRPr="00BD6C5F" w:rsidRDefault="009B03E9" w:rsidP="00BA3C57">
      <w:pPr>
        <w:pStyle w:val="Numbered111"/>
      </w:pPr>
      <w:r w:rsidRPr="00BD6C5F">
        <w:t>the Indemnifier fails to notify the Beneficiary in writing of its intention to take conduct of the relevant Claim within 10 Working Days of the notice from the Beneficiary or if the Indemnifier notifies the</w:t>
      </w:r>
      <w:r w:rsidR="009451E5" w:rsidRPr="00BD6C5F">
        <w:t xml:space="preserve"> </w:t>
      </w:r>
      <w:r w:rsidRPr="00BD6C5F">
        <w:t xml:space="preserve">Beneficiary in writing that it does </w:t>
      </w:r>
      <w:r w:rsidRPr="00BD6C5F">
        <w:lastRenderedPageBreak/>
        <w:t>not intend to take conduct of the Claim; or</w:t>
      </w:r>
    </w:p>
    <w:p w14:paraId="2D76159B" w14:textId="5FC8D0EA" w:rsidR="00BC7DDA" w:rsidRPr="00BD6C5F" w:rsidRDefault="009B03E9" w:rsidP="00BA3C57">
      <w:pPr>
        <w:pStyle w:val="Numbered111"/>
      </w:pPr>
      <w:r w:rsidRPr="00BD6C5F">
        <w:t>the Indemnifier fails to comply in any material respect with the provisions of Paragraph</w:t>
      </w:r>
      <w:r w:rsidR="009451E5" w:rsidRPr="00BD6C5F">
        <w:t> </w:t>
      </w:r>
      <w:r w:rsidR="009451E5" w:rsidRPr="00BD6C5F">
        <w:fldChar w:fldCharType="begin"/>
      </w:r>
      <w:r w:rsidR="009451E5" w:rsidRPr="00BD6C5F">
        <w:instrText xml:space="preserve"> REF _Ref98425467 \w \h </w:instrText>
      </w:r>
      <w:r w:rsidR="00AD7DD0" w:rsidRPr="00BD6C5F">
        <w:instrText xml:space="preserve"> \* MERGEFORMAT </w:instrText>
      </w:r>
      <w:r w:rsidR="009451E5" w:rsidRPr="00BD6C5F">
        <w:fldChar w:fldCharType="separate"/>
      </w:r>
      <w:r w:rsidR="009749A0">
        <w:t>1.4</w:t>
      </w:r>
      <w:r w:rsidR="009451E5" w:rsidRPr="00BD6C5F">
        <w:fldChar w:fldCharType="end"/>
      </w:r>
      <w:r w:rsidRPr="00BD6C5F">
        <w:t>.</w:t>
      </w:r>
    </w:p>
    <w:p w14:paraId="262797B4" w14:textId="3EC02932" w:rsidR="00BC7DDA" w:rsidRPr="00BD6C5F" w:rsidRDefault="00BA3C57" w:rsidP="00C5057A">
      <w:pPr>
        <w:pStyle w:val="Numbered1"/>
      </w:pPr>
      <w:bookmarkStart w:id="1573" w:name="_bookmark528"/>
      <w:bookmarkStart w:id="1574" w:name="_Ref98425398"/>
      <w:bookmarkEnd w:id="1573"/>
      <w:r w:rsidRPr="00BD6C5F">
        <w:t>Sensitive Claims</w:t>
      </w:r>
      <w:bookmarkEnd w:id="1574"/>
    </w:p>
    <w:p w14:paraId="57F3974D" w14:textId="0DDD7ED6" w:rsidR="00BC7DDA" w:rsidRPr="00BD6C5F" w:rsidRDefault="009B03E9" w:rsidP="00C5057A">
      <w:pPr>
        <w:pStyle w:val="Numbered11"/>
      </w:pPr>
      <w:r w:rsidRPr="00BD6C5F">
        <w:t>With respect to any Claim which the Beneficiary, acting reasonably, considers is likely to have an adverse impact on the general public</w:t>
      </w:r>
      <w:r w:rsidR="00A4555C" w:rsidRPr="00BD6C5F">
        <w:t>’</w:t>
      </w:r>
      <w:r w:rsidRPr="00BD6C5F">
        <w:t xml:space="preserve">s perception of the Beneficiary (a </w:t>
      </w:r>
      <w:r w:rsidR="00A4555C" w:rsidRPr="00BD6C5F">
        <w:t>“</w:t>
      </w:r>
      <w:r w:rsidRPr="00BD6C5F">
        <w:rPr>
          <w:b/>
        </w:rPr>
        <w:t>Sensitive Claim</w:t>
      </w:r>
      <w:r w:rsidR="00A4555C" w:rsidRPr="00BD6C5F">
        <w:t>”</w:t>
      </w:r>
      <w:r w:rsidRPr="00BD6C5F">
        <w:t>), the Indemnifier shall be entitled to take conduct of any defence, dispute, compromise or appeal of the Sensitive Claim only with the Beneficiary</w:t>
      </w:r>
      <w:r w:rsidR="00A4555C" w:rsidRPr="00BD6C5F">
        <w:t>’</w:t>
      </w:r>
      <w:r w:rsidRPr="00BD6C5F">
        <w:t>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370046AE" w14:textId="432A135A" w:rsidR="00BC7DDA" w:rsidRPr="00BD6C5F" w:rsidRDefault="009B03E9" w:rsidP="00C5057A">
      <w:pPr>
        <w:pStyle w:val="Numbered11"/>
      </w:pPr>
      <w:bookmarkStart w:id="1575" w:name="_bookmark529"/>
      <w:bookmarkStart w:id="1576" w:name="_Ref98425408"/>
      <w:bookmarkEnd w:id="1575"/>
      <w:r w:rsidRPr="00BD6C5F">
        <w:t>The Beneficiary shall be free at any time to give written notice to the Indemnifier that it is retaining or taking over (as the case may be) the conduct of any Claim, to which Paragraph</w:t>
      </w:r>
      <w:r w:rsidR="009451E5" w:rsidRPr="00BD6C5F">
        <w:t> </w:t>
      </w:r>
      <w:r w:rsidR="009451E5" w:rsidRPr="00BD6C5F">
        <w:fldChar w:fldCharType="begin"/>
      </w:r>
      <w:r w:rsidR="009451E5" w:rsidRPr="00BD6C5F">
        <w:instrText xml:space="preserve"> REF _Ref98425420 \w \h </w:instrText>
      </w:r>
      <w:r w:rsidR="00AD7DD0" w:rsidRPr="00BD6C5F">
        <w:instrText xml:space="preserve"> \* MERGEFORMAT </w:instrText>
      </w:r>
      <w:r w:rsidR="009451E5" w:rsidRPr="00BD6C5F">
        <w:fldChar w:fldCharType="separate"/>
      </w:r>
      <w:r w:rsidR="009749A0">
        <w:t>1.3</w:t>
      </w:r>
      <w:r w:rsidR="009451E5" w:rsidRPr="00BD6C5F">
        <w:fldChar w:fldCharType="end"/>
      </w:r>
      <w:r w:rsidRPr="00BD6C5F">
        <w:t xml:space="preserve"> applies if, in the reasonable opinion of the Beneficiary, the Claim is, or has become, a Sensitive Claim.</w:t>
      </w:r>
      <w:bookmarkEnd w:id="1576"/>
    </w:p>
    <w:p w14:paraId="20A455A8" w14:textId="2FCBAADD" w:rsidR="00BC7DDA" w:rsidRPr="00BD6C5F" w:rsidRDefault="00BA3C57" w:rsidP="00C5057A">
      <w:pPr>
        <w:pStyle w:val="Numbered1"/>
      </w:pPr>
      <w:r w:rsidRPr="00BD6C5F">
        <w:t>Recovery of Sums</w:t>
      </w:r>
    </w:p>
    <w:p w14:paraId="5B76DCB4" w14:textId="77777777" w:rsidR="00BC7DDA" w:rsidRPr="00BD6C5F" w:rsidRDefault="009B03E9" w:rsidP="00C5057A">
      <w:pPr>
        <w:pStyle w:val="Numbered11"/>
      </w:pPr>
      <w:r w:rsidRPr="00BD6C5F">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79FDDAF3" w14:textId="77777777" w:rsidR="00BC7DDA" w:rsidRPr="00BD6C5F" w:rsidRDefault="009B03E9" w:rsidP="00BA3C57">
      <w:pPr>
        <w:pStyle w:val="Numbered111"/>
      </w:pPr>
      <w:r w:rsidRPr="00BD6C5F">
        <w:t>an amount equal to the sum recovered (or the value of the discount, credit, saving, relief, other benefit or amount otherwise obtained) less any out-of-pocket costs and expenses properly incurred by the Beneficiary in recovering or obtaining the same; and</w:t>
      </w:r>
    </w:p>
    <w:p w14:paraId="1AC59C42" w14:textId="77777777" w:rsidR="00BC7DDA" w:rsidRPr="00BD6C5F" w:rsidRDefault="009B03E9" w:rsidP="00BA3C57">
      <w:pPr>
        <w:pStyle w:val="Numbered111"/>
      </w:pPr>
      <w:r w:rsidRPr="00BD6C5F">
        <w:t>the amount paid to the Beneficiary by the Indemnifier in respect of the Claim under the relevant indemnity.</w:t>
      </w:r>
    </w:p>
    <w:p w14:paraId="2A084CBF" w14:textId="07E524F4" w:rsidR="00BC7DDA" w:rsidRPr="00BD6C5F" w:rsidRDefault="00BA3C57" w:rsidP="00C5057A">
      <w:pPr>
        <w:pStyle w:val="Numbered1"/>
      </w:pPr>
      <w:r w:rsidRPr="00BD6C5F">
        <w:t>Mitigation</w:t>
      </w:r>
    </w:p>
    <w:p w14:paraId="1B74FAC7" w14:textId="59880B01" w:rsidR="00BC7DDA" w:rsidRPr="00BD6C5F" w:rsidRDefault="009B03E9" w:rsidP="00C5057A">
      <w:pPr>
        <w:pStyle w:val="Numbered11"/>
      </w:pPr>
      <w:r w:rsidRPr="00BD6C5F">
        <w:t>Each of the Authority and the Supplier shall at all times take all reasonable steps to minimise and mitigate any loss for which the relevant Party is entitled to bring a claim against the other Party pursuant to the indemnities in this Schedule.</w:t>
      </w:r>
    </w:p>
    <w:p w14:paraId="531B0ABE" w14:textId="4F77EBA5" w:rsidR="00E238E6" w:rsidRPr="00BD6C5F" w:rsidRDefault="00E238E6" w:rsidP="00494085"/>
    <w:p w14:paraId="469803DD" w14:textId="77777777" w:rsidR="00E238E6" w:rsidRPr="00BD6C5F" w:rsidRDefault="00E238E6" w:rsidP="00494085"/>
    <w:p w14:paraId="3757E070" w14:textId="77777777" w:rsidR="00D27CFD" w:rsidRPr="00BD6C5F" w:rsidRDefault="00D27CFD" w:rsidP="00494085">
      <w:pPr>
        <w:sectPr w:rsidR="00D27CFD" w:rsidRPr="00BD6C5F" w:rsidSect="00EA65BF">
          <w:headerReference w:type="default" r:id="rId113"/>
          <w:footerReference w:type="default" r:id="rId114"/>
          <w:pgSz w:w="11910" w:h="16840"/>
          <w:pgMar w:top="1701" w:right="851" w:bottom="1134" w:left="851" w:header="567" w:footer="567" w:gutter="0"/>
          <w:cols w:space="720"/>
        </w:sectPr>
      </w:pPr>
    </w:p>
    <w:p w14:paraId="3D534922" w14:textId="5B505103" w:rsidR="00713E2F" w:rsidRDefault="00713E2F" w:rsidP="00713E2F">
      <w:pPr>
        <w:pStyle w:val="Dividername"/>
      </w:pPr>
      <w:bookmarkStart w:id="1577" w:name="_bookmark531"/>
      <w:bookmarkStart w:id="1578" w:name="_bookmark532"/>
      <w:bookmarkEnd w:id="1577"/>
      <w:bookmarkEnd w:id="1578"/>
      <w:r>
        <w:lastRenderedPageBreak/>
        <w:t xml:space="preserve">Schedule </w:t>
      </w:r>
      <w:bookmarkStart w:id="1579" w:name="Schedule_28"/>
      <w:r>
        <w:t>28</w:t>
      </w:r>
      <w:bookmarkEnd w:id="1579"/>
    </w:p>
    <w:p w14:paraId="3F29820E" w14:textId="238866FD" w:rsidR="00713E2F" w:rsidRDefault="00713E2F" w:rsidP="00713E2F">
      <w:pPr>
        <w:pStyle w:val="Dividername"/>
      </w:pPr>
      <w:r w:rsidRPr="00713E2F">
        <w:t>Staff Transfer</w:t>
      </w:r>
    </w:p>
    <w:p w14:paraId="366F31B9" w14:textId="77777777" w:rsidR="00713E2F" w:rsidRDefault="00713E2F" w:rsidP="00713E2F"/>
    <w:p w14:paraId="0A182BB5" w14:textId="00CE92BC" w:rsidR="00BC7DDA" w:rsidRPr="00BD6C5F" w:rsidRDefault="00187547" w:rsidP="00713E2F">
      <w:pPr>
        <w:pStyle w:val="Heading1"/>
        <w:pageBreakBefore/>
      </w:pPr>
      <w:bookmarkStart w:id="1580" w:name="_Toc141721051"/>
      <w:r w:rsidRPr="00BD6C5F">
        <w:lastRenderedPageBreak/>
        <w:t>Schedule 28</w:t>
      </w:r>
      <w:r w:rsidR="001475FD" w:rsidRPr="00BD6C5F">
        <w:t>:</w:t>
      </w:r>
      <w:r w:rsidR="00D27CFD" w:rsidRPr="00BD6C5F">
        <w:t xml:space="preserve"> </w:t>
      </w:r>
      <w:bookmarkStart w:id="1581" w:name="_Ref98252240"/>
      <w:bookmarkStart w:id="1582" w:name="_Toc98332782"/>
      <w:bookmarkStart w:id="1583" w:name="_Toc98852955"/>
      <w:r w:rsidRPr="00BD6C5F">
        <w:t>Staff Transfer</w:t>
      </w:r>
      <w:bookmarkEnd w:id="1581"/>
      <w:bookmarkEnd w:id="1582"/>
      <w:bookmarkEnd w:id="1583"/>
      <w:bookmarkEnd w:id="1580"/>
    </w:p>
    <w:p w14:paraId="70CAE01C" w14:textId="03CC68D6" w:rsidR="00A655B3" w:rsidRPr="00BD6C5F" w:rsidRDefault="00A655B3" w:rsidP="00187547">
      <w:pPr>
        <w:jc w:val="center"/>
      </w:pPr>
      <w:r w:rsidRPr="00BD6C5F">
        <w:t>This is the schedule referred to in the foregoing agreement betwee</w:t>
      </w:r>
      <w:r w:rsidR="00BA3C57" w:rsidRPr="00BD6C5F">
        <w:t>n [</w:t>
      </w:r>
      <w:r w:rsidR="00BA3C57" w:rsidRPr="00BD6C5F">
        <w:rPr>
          <w:highlight w:val="yellow"/>
        </w:rPr>
        <w:t>name of party</w:t>
      </w:r>
      <w:r w:rsidR="00BA3C57" w:rsidRPr="00BD6C5F">
        <w:t>] and [</w:t>
      </w:r>
      <w:r w:rsidR="00BA3C57" w:rsidRPr="00BD6C5F">
        <w:rPr>
          <w:highlight w:val="yellow"/>
        </w:rPr>
        <w:t>name of party</w:t>
      </w:r>
      <w:r w:rsidR="00BA3C57" w:rsidRPr="00BD6C5F">
        <w:t>] dated [</w:t>
      </w:r>
      <w:r w:rsidR="00BA3C57" w:rsidRPr="00BD6C5F">
        <w:rPr>
          <w:highlight w:val="yellow"/>
        </w:rPr>
        <w:t>date</w:t>
      </w:r>
      <w:r w:rsidR="00BA3C57" w:rsidRPr="00BD6C5F">
        <w:t>]</w:t>
      </w:r>
    </w:p>
    <w:p w14:paraId="05302918" w14:textId="77777777" w:rsidR="00187547" w:rsidRPr="00BD6C5F" w:rsidRDefault="00187547" w:rsidP="00187547"/>
    <w:p w14:paraId="7A26724B" w14:textId="462258A8" w:rsidR="00F52A06" w:rsidRPr="004C60F6" w:rsidRDefault="00F52A06" w:rsidP="00187547">
      <w:pPr>
        <w:spacing w:before="100" w:after="200"/>
        <w:rPr>
          <w:rFonts w:asciiTheme="minorHAnsi" w:eastAsia="Calibri" w:hAnsiTheme="minorHAnsi" w:cstheme="minorHAnsi"/>
          <w:b/>
          <w:i/>
          <w:szCs w:val="24"/>
          <w:highlight w:val="yellow"/>
          <w:lang w:eastAsia="en-GB"/>
        </w:rPr>
      </w:pPr>
      <w:r w:rsidRPr="00BD6C5F">
        <w:rPr>
          <w:rFonts w:asciiTheme="minorHAnsi" w:eastAsia="Calibri" w:hAnsiTheme="minorHAnsi" w:cstheme="minorHAnsi"/>
          <w:bCs/>
          <w:iCs/>
          <w:szCs w:val="24"/>
          <w:highlight w:val="yellow"/>
          <w:lang w:eastAsia="en-GB"/>
        </w:rPr>
        <w:t>[</w:t>
      </w:r>
      <w:r w:rsidRPr="004C60F6">
        <w:rPr>
          <w:rFonts w:asciiTheme="minorHAnsi" w:eastAsia="Calibri" w:hAnsiTheme="minorHAnsi" w:cstheme="minorHAnsi"/>
          <w:b/>
          <w:i/>
          <w:szCs w:val="24"/>
          <w:highlight w:val="yellow"/>
          <w:lang w:eastAsia="en-GB"/>
        </w:rPr>
        <w:t xml:space="preserve">Guidance: Authorities will </w:t>
      </w:r>
      <w:r w:rsidRPr="00AF7321">
        <w:rPr>
          <w:rFonts w:asciiTheme="minorHAnsi" w:eastAsia="Calibri" w:hAnsiTheme="minorHAnsi" w:cstheme="minorHAnsi"/>
          <w:b/>
          <w:i/>
          <w:szCs w:val="24"/>
          <w:highlight w:val="yellow"/>
          <w:lang w:eastAsia="en-GB"/>
        </w:rPr>
        <w:t>need to take their own legal advice on this Schedule</w:t>
      </w:r>
      <w:r w:rsidR="00C527AC" w:rsidRPr="00AF7321">
        <w:rPr>
          <w:rFonts w:asciiTheme="minorHAnsi" w:eastAsia="Calibri" w:hAnsiTheme="minorHAnsi" w:cstheme="minorHAnsi"/>
          <w:b/>
          <w:i/>
          <w:szCs w:val="24"/>
          <w:highlight w:val="yellow"/>
          <w:lang w:eastAsia="en-GB"/>
        </w:rPr>
        <w:t> </w:t>
      </w:r>
      <w:r w:rsidR="00242E2D" w:rsidRPr="00AF7321">
        <w:rPr>
          <w:rFonts w:asciiTheme="minorHAnsi" w:eastAsia="Calibri" w:hAnsiTheme="minorHAnsi" w:cstheme="minorHAnsi"/>
          <w:b/>
          <w:i/>
          <w:szCs w:val="24"/>
          <w:highlight w:val="yellow"/>
          <w:lang w:eastAsia="en-GB"/>
        </w:rPr>
        <w:fldChar w:fldCharType="begin"/>
      </w:r>
      <w:r w:rsidR="00242E2D" w:rsidRPr="00AF7321">
        <w:rPr>
          <w:rFonts w:asciiTheme="minorHAnsi" w:eastAsia="Calibri" w:hAnsiTheme="minorHAnsi" w:cstheme="minorHAnsi"/>
          <w:b/>
          <w:i/>
          <w:szCs w:val="24"/>
          <w:highlight w:val="yellow"/>
          <w:lang w:eastAsia="en-GB"/>
        </w:rPr>
        <w:instrText xml:space="preserve"> REF Schedule_28 \h  \* MERGEFORMAT </w:instrText>
      </w:r>
      <w:r w:rsidR="00242E2D" w:rsidRPr="00AF7321">
        <w:rPr>
          <w:rFonts w:asciiTheme="minorHAnsi" w:eastAsia="Calibri" w:hAnsiTheme="minorHAnsi" w:cstheme="minorHAnsi"/>
          <w:b/>
          <w:i/>
          <w:szCs w:val="24"/>
          <w:highlight w:val="yellow"/>
          <w:lang w:eastAsia="en-GB"/>
        </w:rPr>
      </w:r>
      <w:r w:rsidR="00242E2D" w:rsidRPr="00AF7321">
        <w:rPr>
          <w:rFonts w:asciiTheme="minorHAnsi" w:eastAsia="Calibri" w:hAnsiTheme="minorHAnsi" w:cstheme="minorHAnsi"/>
          <w:b/>
          <w:i/>
          <w:szCs w:val="24"/>
          <w:highlight w:val="yellow"/>
          <w:lang w:eastAsia="en-GB"/>
        </w:rPr>
        <w:fldChar w:fldCharType="separate"/>
      </w:r>
      <w:r w:rsidR="009749A0" w:rsidRPr="00B664D1">
        <w:rPr>
          <w:b/>
          <w:i/>
          <w:highlight w:val="yellow"/>
        </w:rPr>
        <w:t>28</w:t>
      </w:r>
      <w:r w:rsidR="00242E2D"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and, in particular, on Part </w:t>
      </w:r>
      <w:r w:rsidR="009722E3" w:rsidRPr="00AF7321">
        <w:rPr>
          <w:rFonts w:asciiTheme="minorHAnsi" w:eastAsia="Calibri" w:hAnsiTheme="minorHAnsi" w:cstheme="minorHAnsi"/>
          <w:b/>
          <w:i/>
          <w:szCs w:val="24"/>
          <w:highlight w:val="yellow"/>
          <w:lang w:eastAsia="en-GB"/>
        </w:rPr>
        <w:fldChar w:fldCharType="begin"/>
      </w:r>
      <w:r w:rsidR="009722E3" w:rsidRPr="00AF7321">
        <w:rPr>
          <w:rFonts w:asciiTheme="minorHAnsi" w:eastAsia="Calibri" w:hAnsiTheme="minorHAnsi" w:cstheme="minorHAnsi"/>
          <w:b/>
          <w:i/>
          <w:szCs w:val="24"/>
          <w:highlight w:val="yellow"/>
          <w:lang w:eastAsia="en-GB"/>
        </w:rPr>
        <w:instrText xml:space="preserve"> REF Schedule_28_Part_D \h </w:instrText>
      </w:r>
      <w:r w:rsidR="004C60F6" w:rsidRPr="00AF7321">
        <w:rPr>
          <w:rFonts w:asciiTheme="minorHAnsi" w:eastAsia="Calibri" w:hAnsiTheme="minorHAnsi" w:cstheme="minorHAnsi"/>
          <w:b/>
          <w:i/>
          <w:szCs w:val="24"/>
          <w:highlight w:val="yellow"/>
          <w:lang w:eastAsia="en-GB"/>
        </w:rPr>
        <w:instrText xml:space="preserve"> \* MERGEFORMAT </w:instrText>
      </w:r>
      <w:r w:rsidR="009722E3" w:rsidRPr="00AF7321">
        <w:rPr>
          <w:rFonts w:asciiTheme="minorHAnsi" w:eastAsia="Calibri" w:hAnsiTheme="minorHAnsi" w:cstheme="minorHAnsi"/>
          <w:b/>
          <w:i/>
          <w:szCs w:val="24"/>
          <w:highlight w:val="yellow"/>
          <w:lang w:eastAsia="en-GB"/>
        </w:rPr>
      </w:r>
      <w:r w:rsidR="009722E3" w:rsidRPr="00AF7321">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009722E3"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w:t>
      </w:r>
      <w:r w:rsidRPr="004C60F6">
        <w:rPr>
          <w:rFonts w:asciiTheme="minorHAnsi" w:eastAsia="Calibri" w:hAnsiTheme="minorHAnsi" w:cstheme="minorHAnsi"/>
          <w:b/>
          <w:i/>
          <w:szCs w:val="24"/>
          <w:highlight w:val="yellow"/>
          <w:lang w:eastAsia="en-GB"/>
        </w:rPr>
        <w:t xml:space="preserve">Pensions). </w:t>
      </w:r>
    </w:p>
    <w:p w14:paraId="60B34238" w14:textId="6FC2AD7C" w:rsidR="00F52A06" w:rsidRPr="004C60F6" w:rsidRDefault="00F52A06" w:rsidP="00187547">
      <w:pPr>
        <w:spacing w:before="100" w:after="200"/>
        <w:rPr>
          <w:rFonts w:asciiTheme="minorHAnsi" w:eastAsia="Calibri" w:hAnsiTheme="minorHAnsi" w:cstheme="minorHAnsi"/>
          <w:b/>
          <w:i/>
          <w:szCs w:val="24"/>
          <w:highlight w:val="yellow"/>
          <w:lang w:eastAsia="en-GB"/>
        </w:rPr>
      </w:pPr>
      <w:r w:rsidRPr="004C60F6">
        <w:rPr>
          <w:rFonts w:asciiTheme="minorHAnsi" w:eastAsia="Calibri" w:hAnsiTheme="minorHAnsi" w:cstheme="minorHAnsi"/>
          <w:b/>
          <w:i/>
          <w:szCs w:val="24"/>
          <w:highlight w:val="yellow"/>
          <w:lang w:eastAsia="en-GB"/>
        </w:rPr>
        <w:t>Authorities will need to ensure that appropriate provisions are included to deal with staff transfer on both entry and exit</w:t>
      </w:r>
      <w:r w:rsidR="00B71FC0">
        <w:rPr>
          <w:rFonts w:asciiTheme="minorHAnsi" w:eastAsia="Calibri" w:hAnsiTheme="minorHAnsi" w:cstheme="minorHAnsi"/>
          <w:b/>
          <w:i/>
          <w:szCs w:val="24"/>
          <w:highlight w:val="yellow"/>
          <w:lang w:eastAsia="en-GB"/>
        </w:rPr>
        <w:t>. I</w:t>
      </w:r>
      <w:r w:rsidRPr="004C60F6">
        <w:rPr>
          <w:rFonts w:asciiTheme="minorHAnsi" w:eastAsia="Calibri" w:hAnsiTheme="minorHAnsi" w:cstheme="minorHAnsi"/>
          <w:b/>
          <w:i/>
          <w:szCs w:val="24"/>
          <w:highlight w:val="yellow"/>
          <w:lang w:eastAsia="en-GB"/>
        </w:rPr>
        <w:t>rrespective of whether TUPE does apply on entry if there are employees eligible for New Fair Deal pension protection then the appropriate pensions provisions will also need to be selected.</w:t>
      </w:r>
    </w:p>
    <w:p w14:paraId="1F69275B" w14:textId="05D3EA5C" w:rsidR="00F52A06" w:rsidRPr="00AF7321" w:rsidRDefault="00F52A06" w:rsidP="00187547">
      <w:pPr>
        <w:spacing w:before="100" w:after="200"/>
        <w:rPr>
          <w:rFonts w:asciiTheme="minorHAnsi" w:eastAsia="Calibri" w:hAnsiTheme="minorHAnsi" w:cstheme="minorHAnsi"/>
          <w:b/>
          <w:i/>
          <w:szCs w:val="24"/>
          <w:highlight w:val="yellow"/>
          <w:lang w:eastAsia="en-GB"/>
        </w:rPr>
      </w:pPr>
      <w:r w:rsidRPr="004C60F6">
        <w:rPr>
          <w:rFonts w:asciiTheme="minorHAnsi" w:eastAsia="Calibri" w:hAnsiTheme="minorHAnsi" w:cstheme="minorHAnsi"/>
          <w:b/>
          <w:i/>
          <w:szCs w:val="24"/>
          <w:highlight w:val="yellow"/>
          <w:lang w:eastAsia="en-GB"/>
        </w:rPr>
        <w:t xml:space="preserve">If there is a staff transfer from the Authority on entry </w:t>
      </w:r>
      <w:r w:rsidRPr="00AF7321">
        <w:rPr>
          <w:rFonts w:asciiTheme="minorHAnsi" w:eastAsia="Calibri" w:hAnsiTheme="minorHAnsi" w:cstheme="minorHAnsi"/>
          <w:b/>
          <w:i/>
          <w:szCs w:val="24"/>
          <w:highlight w:val="yellow"/>
          <w:lang w:eastAsia="en-GB"/>
        </w:rPr>
        <w:t>(1st generation) then Part </w:t>
      </w:r>
      <w:r w:rsidR="009722E3" w:rsidRPr="00AF7321">
        <w:rPr>
          <w:rFonts w:asciiTheme="minorHAnsi" w:eastAsia="Calibri" w:hAnsiTheme="minorHAnsi" w:cstheme="minorHAnsi"/>
          <w:b/>
          <w:i/>
          <w:szCs w:val="24"/>
          <w:highlight w:val="yellow"/>
          <w:lang w:eastAsia="en-GB"/>
        </w:rPr>
        <w:fldChar w:fldCharType="begin"/>
      </w:r>
      <w:r w:rsidR="009722E3" w:rsidRPr="00AF7321">
        <w:rPr>
          <w:rFonts w:asciiTheme="minorHAnsi" w:eastAsia="Calibri" w:hAnsiTheme="minorHAnsi" w:cstheme="minorHAnsi"/>
          <w:b/>
          <w:i/>
          <w:szCs w:val="24"/>
          <w:highlight w:val="yellow"/>
          <w:lang w:eastAsia="en-GB"/>
        </w:rPr>
        <w:instrText xml:space="preserve"> REF Schedule_28_Part_A \h </w:instrText>
      </w:r>
      <w:r w:rsidR="004C60F6" w:rsidRPr="00AF7321">
        <w:rPr>
          <w:rFonts w:asciiTheme="minorHAnsi" w:eastAsia="Calibri" w:hAnsiTheme="minorHAnsi" w:cstheme="minorHAnsi"/>
          <w:b/>
          <w:i/>
          <w:szCs w:val="24"/>
          <w:highlight w:val="yellow"/>
          <w:lang w:eastAsia="en-GB"/>
        </w:rPr>
        <w:instrText xml:space="preserve"> \* MERGEFORMAT </w:instrText>
      </w:r>
      <w:r w:rsidR="009722E3" w:rsidRPr="00AF7321">
        <w:rPr>
          <w:rFonts w:asciiTheme="minorHAnsi" w:eastAsia="Calibri" w:hAnsiTheme="minorHAnsi" w:cstheme="minorHAnsi"/>
          <w:b/>
          <w:i/>
          <w:szCs w:val="24"/>
          <w:highlight w:val="yellow"/>
          <w:lang w:eastAsia="en-GB"/>
        </w:rPr>
      </w:r>
      <w:r w:rsidR="009722E3" w:rsidRPr="00AF7321">
        <w:rPr>
          <w:rFonts w:asciiTheme="minorHAnsi" w:eastAsia="Calibri" w:hAnsiTheme="minorHAnsi" w:cstheme="minorHAnsi"/>
          <w:b/>
          <w:i/>
          <w:szCs w:val="24"/>
          <w:highlight w:val="yellow"/>
          <w:lang w:eastAsia="en-GB"/>
        </w:rPr>
        <w:fldChar w:fldCharType="separate"/>
      </w:r>
      <w:r w:rsidR="009749A0" w:rsidRPr="00AF7321">
        <w:rPr>
          <w:b/>
          <w:i/>
          <w:highlight w:val="yellow"/>
        </w:rPr>
        <w:t>A</w:t>
      </w:r>
      <w:r w:rsidR="009722E3"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shall apply.</w:t>
      </w:r>
    </w:p>
    <w:p w14:paraId="427203B0" w14:textId="480C7D39" w:rsidR="00F52A06" w:rsidRPr="00AF7321" w:rsidRDefault="00F52A06" w:rsidP="00187547">
      <w:pPr>
        <w:spacing w:before="100" w:after="200"/>
        <w:rPr>
          <w:rFonts w:asciiTheme="minorHAnsi" w:eastAsia="Calibri" w:hAnsiTheme="minorHAnsi" w:cstheme="minorHAnsi"/>
          <w:b/>
          <w:i/>
          <w:szCs w:val="24"/>
          <w:highlight w:val="yellow"/>
          <w:lang w:eastAsia="en-GB"/>
        </w:rPr>
      </w:pPr>
      <w:r w:rsidRPr="00AF7321">
        <w:rPr>
          <w:rFonts w:asciiTheme="minorHAnsi" w:eastAsia="Calibri" w:hAnsiTheme="minorHAnsi" w:cstheme="minorHAnsi"/>
          <w:b/>
          <w:i/>
          <w:szCs w:val="24"/>
          <w:highlight w:val="yellow"/>
          <w:lang w:eastAsia="en-GB"/>
        </w:rPr>
        <w:t>If there is a staff transfer from former/incumbent supplier on entry (2nd generation), Part </w:t>
      </w:r>
      <w:r w:rsidR="009722E3" w:rsidRPr="00AF7321">
        <w:rPr>
          <w:rFonts w:asciiTheme="minorHAnsi" w:eastAsia="Calibri" w:hAnsiTheme="minorHAnsi" w:cstheme="minorHAnsi"/>
          <w:b/>
          <w:i/>
          <w:szCs w:val="24"/>
          <w:highlight w:val="yellow"/>
          <w:lang w:eastAsia="en-GB"/>
        </w:rPr>
        <w:fldChar w:fldCharType="begin"/>
      </w:r>
      <w:r w:rsidR="009722E3" w:rsidRPr="00AF7321">
        <w:rPr>
          <w:rFonts w:asciiTheme="minorHAnsi" w:eastAsia="Calibri" w:hAnsiTheme="minorHAnsi" w:cstheme="minorHAnsi"/>
          <w:b/>
          <w:i/>
          <w:szCs w:val="24"/>
          <w:highlight w:val="yellow"/>
          <w:lang w:eastAsia="en-GB"/>
        </w:rPr>
        <w:instrText xml:space="preserve"> REF Schedule_28_Part_B \h </w:instrText>
      </w:r>
      <w:r w:rsidR="004C60F6" w:rsidRPr="00AF7321">
        <w:rPr>
          <w:rFonts w:asciiTheme="minorHAnsi" w:eastAsia="Calibri" w:hAnsiTheme="minorHAnsi" w:cstheme="minorHAnsi"/>
          <w:b/>
          <w:i/>
          <w:szCs w:val="24"/>
          <w:highlight w:val="yellow"/>
          <w:lang w:eastAsia="en-GB"/>
        </w:rPr>
        <w:instrText xml:space="preserve"> \* MERGEFORMAT </w:instrText>
      </w:r>
      <w:r w:rsidR="009722E3" w:rsidRPr="00AF7321">
        <w:rPr>
          <w:rFonts w:asciiTheme="minorHAnsi" w:eastAsia="Calibri" w:hAnsiTheme="minorHAnsi" w:cstheme="minorHAnsi"/>
          <w:b/>
          <w:i/>
          <w:szCs w:val="24"/>
          <w:highlight w:val="yellow"/>
          <w:lang w:eastAsia="en-GB"/>
        </w:rPr>
      </w:r>
      <w:r w:rsidR="009722E3" w:rsidRPr="00AF7321">
        <w:rPr>
          <w:rFonts w:asciiTheme="minorHAnsi" w:eastAsia="Calibri" w:hAnsiTheme="minorHAnsi" w:cstheme="minorHAnsi"/>
          <w:b/>
          <w:i/>
          <w:szCs w:val="24"/>
          <w:highlight w:val="yellow"/>
          <w:lang w:eastAsia="en-GB"/>
        </w:rPr>
        <w:fldChar w:fldCharType="separate"/>
      </w:r>
      <w:r w:rsidR="009749A0" w:rsidRPr="00B664D1">
        <w:rPr>
          <w:b/>
          <w:i/>
          <w:highlight w:val="yellow"/>
        </w:rPr>
        <w:t>B</w:t>
      </w:r>
      <w:r w:rsidR="009722E3"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shall apply.</w:t>
      </w:r>
      <w:r w:rsidR="00163F02" w:rsidRPr="00AF7321">
        <w:rPr>
          <w:rFonts w:asciiTheme="minorHAnsi" w:eastAsia="Calibri" w:hAnsiTheme="minorHAnsi" w:cstheme="minorHAnsi"/>
          <w:b/>
          <w:i/>
          <w:szCs w:val="24"/>
          <w:highlight w:val="yellow"/>
          <w:lang w:eastAsia="en-GB"/>
        </w:rPr>
        <w:t xml:space="preserve">  </w:t>
      </w:r>
      <w:r w:rsidR="00163F02" w:rsidRPr="00AF7321">
        <w:rPr>
          <w:b/>
          <w:i/>
          <w:highlight w:val="yellow"/>
        </w:rPr>
        <w:t>Part </w:t>
      </w:r>
      <w:r w:rsidR="00163F02" w:rsidRPr="00AF7321">
        <w:rPr>
          <w:b/>
          <w:i/>
          <w:highlight w:val="yellow"/>
        </w:rPr>
        <w:fldChar w:fldCharType="begin"/>
      </w:r>
      <w:r w:rsidR="00163F02" w:rsidRPr="00AF7321">
        <w:rPr>
          <w:b/>
          <w:i/>
          <w:highlight w:val="yellow"/>
        </w:rPr>
        <w:instrText xml:space="preserve"> REF Schedule_28_Part_B \h  \* MERGEFORMAT </w:instrText>
      </w:r>
      <w:r w:rsidR="00163F02" w:rsidRPr="00AF7321">
        <w:rPr>
          <w:b/>
          <w:i/>
          <w:highlight w:val="yellow"/>
        </w:rPr>
      </w:r>
      <w:r w:rsidR="00163F02" w:rsidRPr="00AF7321">
        <w:rPr>
          <w:b/>
          <w:i/>
          <w:highlight w:val="yellow"/>
        </w:rPr>
        <w:fldChar w:fldCharType="separate"/>
      </w:r>
      <w:r w:rsidR="009749A0" w:rsidRPr="00B664D1">
        <w:rPr>
          <w:b/>
          <w:i/>
          <w:highlight w:val="yellow"/>
        </w:rPr>
        <w:t>B</w:t>
      </w:r>
      <w:r w:rsidR="00163F02" w:rsidRPr="00AF7321">
        <w:rPr>
          <w:b/>
          <w:i/>
          <w:highlight w:val="yellow"/>
        </w:rPr>
        <w:fldChar w:fldCharType="end"/>
      </w:r>
      <w:r w:rsidR="00163F02" w:rsidRPr="00AF7321">
        <w:rPr>
          <w:b/>
          <w:i/>
          <w:highlight w:val="yellow"/>
        </w:rPr>
        <w:t xml:space="preserve"> contains an obligation on the Authority to procure indemnities from a Former Supplier in so far as it is reasonably able to do.  Legal advice is recommended if using this Part </w:t>
      </w:r>
      <w:r w:rsidR="00163F02" w:rsidRPr="00AF7321">
        <w:rPr>
          <w:b/>
          <w:i/>
          <w:highlight w:val="yellow"/>
        </w:rPr>
        <w:fldChar w:fldCharType="begin"/>
      </w:r>
      <w:r w:rsidR="00163F02" w:rsidRPr="00AF7321">
        <w:rPr>
          <w:b/>
          <w:i/>
          <w:highlight w:val="yellow"/>
        </w:rPr>
        <w:instrText xml:space="preserve"> REF Schedule_28_Part_B \h  \* MERGEFORMAT </w:instrText>
      </w:r>
      <w:r w:rsidR="00163F02" w:rsidRPr="00AF7321">
        <w:rPr>
          <w:b/>
          <w:i/>
          <w:highlight w:val="yellow"/>
        </w:rPr>
      </w:r>
      <w:r w:rsidR="00163F02" w:rsidRPr="00AF7321">
        <w:rPr>
          <w:b/>
          <w:i/>
          <w:highlight w:val="yellow"/>
        </w:rPr>
        <w:fldChar w:fldCharType="separate"/>
      </w:r>
      <w:r w:rsidR="009749A0" w:rsidRPr="00B664D1">
        <w:rPr>
          <w:b/>
          <w:i/>
          <w:highlight w:val="yellow"/>
        </w:rPr>
        <w:t>B</w:t>
      </w:r>
      <w:r w:rsidR="00163F02" w:rsidRPr="00AF7321">
        <w:rPr>
          <w:b/>
          <w:i/>
          <w:highlight w:val="yellow"/>
        </w:rPr>
        <w:fldChar w:fldCharType="end"/>
      </w:r>
      <w:r w:rsidR="00163F02" w:rsidRPr="00AF7321">
        <w:rPr>
          <w:b/>
          <w:i/>
          <w:highlight w:val="yellow"/>
        </w:rPr>
        <w:t xml:space="preserve">. </w:t>
      </w:r>
    </w:p>
    <w:p w14:paraId="61FA38AD" w14:textId="5DB99844" w:rsidR="00F52A06" w:rsidRPr="004C60F6" w:rsidRDefault="00F52A06" w:rsidP="00187547">
      <w:pPr>
        <w:spacing w:before="100" w:after="200"/>
        <w:rPr>
          <w:rFonts w:asciiTheme="minorHAnsi" w:eastAsia="Calibri" w:hAnsiTheme="minorHAnsi" w:cstheme="minorHAnsi"/>
          <w:b/>
          <w:i/>
          <w:szCs w:val="24"/>
          <w:highlight w:val="yellow"/>
          <w:lang w:eastAsia="en-GB"/>
        </w:rPr>
      </w:pPr>
      <w:r w:rsidRPr="004C60F6">
        <w:rPr>
          <w:rFonts w:asciiTheme="minorHAnsi" w:eastAsia="Calibri" w:hAnsiTheme="minorHAnsi" w:cstheme="minorHAnsi"/>
          <w:b/>
          <w:i/>
          <w:szCs w:val="24"/>
          <w:highlight w:val="yellow"/>
          <w:lang w:eastAsia="en-GB"/>
        </w:rPr>
        <w:t>If there is both a 1s</w:t>
      </w:r>
      <w:r w:rsidRPr="00AF7321">
        <w:rPr>
          <w:rFonts w:asciiTheme="minorHAnsi" w:eastAsia="Calibri" w:hAnsiTheme="minorHAnsi" w:cstheme="minorHAnsi"/>
          <w:b/>
          <w:i/>
          <w:szCs w:val="24"/>
          <w:highlight w:val="yellow"/>
          <w:lang w:eastAsia="en-GB"/>
        </w:rPr>
        <w:t>t and 2nd generation staff transfer on entry, then both Part </w:t>
      </w:r>
      <w:r w:rsidR="009722E3" w:rsidRPr="00AF7321">
        <w:rPr>
          <w:rFonts w:asciiTheme="minorHAnsi" w:eastAsia="Calibri" w:hAnsiTheme="minorHAnsi" w:cstheme="minorHAnsi"/>
          <w:b/>
          <w:i/>
          <w:szCs w:val="24"/>
          <w:highlight w:val="yellow"/>
          <w:lang w:eastAsia="en-GB"/>
        </w:rPr>
        <w:fldChar w:fldCharType="begin"/>
      </w:r>
      <w:r w:rsidR="009722E3" w:rsidRPr="00AF7321">
        <w:rPr>
          <w:rFonts w:asciiTheme="minorHAnsi" w:eastAsia="Calibri" w:hAnsiTheme="minorHAnsi" w:cstheme="minorHAnsi"/>
          <w:b/>
          <w:i/>
          <w:szCs w:val="24"/>
          <w:highlight w:val="yellow"/>
          <w:lang w:eastAsia="en-GB"/>
        </w:rPr>
        <w:instrText xml:space="preserve"> REF Schedule_28_Part_A \h </w:instrText>
      </w:r>
      <w:r w:rsidR="004C60F6" w:rsidRPr="00AF7321">
        <w:rPr>
          <w:rFonts w:asciiTheme="minorHAnsi" w:eastAsia="Calibri" w:hAnsiTheme="minorHAnsi" w:cstheme="minorHAnsi"/>
          <w:b/>
          <w:i/>
          <w:szCs w:val="24"/>
          <w:highlight w:val="yellow"/>
          <w:lang w:eastAsia="en-GB"/>
        </w:rPr>
        <w:instrText xml:space="preserve"> \* MERGEFORMAT </w:instrText>
      </w:r>
      <w:r w:rsidR="009722E3" w:rsidRPr="00AF7321">
        <w:rPr>
          <w:rFonts w:asciiTheme="minorHAnsi" w:eastAsia="Calibri" w:hAnsiTheme="minorHAnsi" w:cstheme="minorHAnsi"/>
          <w:b/>
          <w:i/>
          <w:szCs w:val="24"/>
          <w:highlight w:val="yellow"/>
          <w:lang w:eastAsia="en-GB"/>
        </w:rPr>
      </w:r>
      <w:r w:rsidR="009722E3" w:rsidRPr="00AF7321">
        <w:rPr>
          <w:rFonts w:asciiTheme="minorHAnsi" w:eastAsia="Calibri" w:hAnsiTheme="minorHAnsi" w:cstheme="minorHAnsi"/>
          <w:b/>
          <w:i/>
          <w:szCs w:val="24"/>
          <w:highlight w:val="yellow"/>
          <w:lang w:eastAsia="en-GB"/>
        </w:rPr>
        <w:fldChar w:fldCharType="separate"/>
      </w:r>
      <w:r w:rsidR="009749A0" w:rsidRPr="00B664D1">
        <w:rPr>
          <w:b/>
          <w:i/>
          <w:highlight w:val="yellow"/>
        </w:rPr>
        <w:t>A</w:t>
      </w:r>
      <w:r w:rsidR="009722E3"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and Part </w:t>
      </w:r>
      <w:r w:rsidR="009722E3" w:rsidRPr="00AF7321">
        <w:rPr>
          <w:rFonts w:asciiTheme="minorHAnsi" w:eastAsia="Calibri" w:hAnsiTheme="minorHAnsi" w:cstheme="minorHAnsi"/>
          <w:b/>
          <w:i/>
          <w:szCs w:val="24"/>
          <w:highlight w:val="yellow"/>
          <w:lang w:eastAsia="en-GB"/>
        </w:rPr>
        <w:fldChar w:fldCharType="begin"/>
      </w:r>
      <w:r w:rsidR="009722E3" w:rsidRPr="00AF7321">
        <w:rPr>
          <w:rFonts w:asciiTheme="minorHAnsi" w:eastAsia="Calibri" w:hAnsiTheme="minorHAnsi" w:cstheme="minorHAnsi"/>
          <w:b/>
          <w:i/>
          <w:szCs w:val="24"/>
          <w:highlight w:val="yellow"/>
          <w:lang w:eastAsia="en-GB"/>
        </w:rPr>
        <w:instrText xml:space="preserve"> REF Schedule_28_Part_B \h </w:instrText>
      </w:r>
      <w:r w:rsidR="004C60F6" w:rsidRPr="00AF7321">
        <w:rPr>
          <w:rFonts w:asciiTheme="minorHAnsi" w:eastAsia="Calibri" w:hAnsiTheme="minorHAnsi" w:cstheme="minorHAnsi"/>
          <w:b/>
          <w:i/>
          <w:szCs w:val="24"/>
          <w:highlight w:val="yellow"/>
          <w:lang w:eastAsia="en-GB"/>
        </w:rPr>
        <w:instrText xml:space="preserve"> \* MERGEFORMAT </w:instrText>
      </w:r>
      <w:r w:rsidR="009722E3" w:rsidRPr="00AF7321">
        <w:rPr>
          <w:rFonts w:asciiTheme="minorHAnsi" w:eastAsia="Calibri" w:hAnsiTheme="minorHAnsi" w:cstheme="minorHAnsi"/>
          <w:b/>
          <w:i/>
          <w:szCs w:val="24"/>
          <w:highlight w:val="yellow"/>
          <w:lang w:eastAsia="en-GB"/>
        </w:rPr>
      </w:r>
      <w:r w:rsidR="009722E3" w:rsidRPr="00AF7321">
        <w:rPr>
          <w:rFonts w:asciiTheme="minorHAnsi" w:eastAsia="Calibri" w:hAnsiTheme="minorHAnsi" w:cstheme="minorHAnsi"/>
          <w:b/>
          <w:i/>
          <w:szCs w:val="24"/>
          <w:highlight w:val="yellow"/>
          <w:lang w:eastAsia="en-GB"/>
        </w:rPr>
        <w:fldChar w:fldCharType="separate"/>
      </w:r>
      <w:r w:rsidR="009749A0" w:rsidRPr="00B664D1">
        <w:rPr>
          <w:b/>
          <w:i/>
          <w:highlight w:val="yellow"/>
        </w:rPr>
        <w:t>B</w:t>
      </w:r>
      <w:r w:rsidR="009722E3" w:rsidRPr="00AF7321">
        <w:rPr>
          <w:rFonts w:asciiTheme="minorHAnsi" w:eastAsia="Calibri" w:hAnsiTheme="minorHAnsi" w:cstheme="minorHAnsi"/>
          <w:b/>
          <w:i/>
          <w:szCs w:val="24"/>
          <w:highlight w:val="yellow"/>
          <w:lang w:eastAsia="en-GB"/>
        </w:rPr>
        <w:fldChar w:fldCharType="end"/>
      </w:r>
      <w:r w:rsidRPr="00AF7321">
        <w:rPr>
          <w:rFonts w:asciiTheme="minorHAnsi" w:eastAsia="Calibri" w:hAnsiTheme="minorHAnsi" w:cstheme="minorHAnsi"/>
          <w:b/>
          <w:i/>
          <w:szCs w:val="24"/>
          <w:highlight w:val="yellow"/>
          <w:lang w:eastAsia="en-GB"/>
        </w:rPr>
        <w:t xml:space="preserve"> shall apply.</w:t>
      </w:r>
    </w:p>
    <w:p w14:paraId="2A05E738" w14:textId="440B4346" w:rsidR="00163F02" w:rsidRPr="00EA528A" w:rsidRDefault="00163F02" w:rsidP="00163F02">
      <w:pPr>
        <w:spacing w:before="100" w:after="200"/>
        <w:rPr>
          <w:rFonts w:asciiTheme="minorHAnsi" w:eastAsia="Calibri" w:hAnsiTheme="minorHAnsi" w:cstheme="minorHAnsi"/>
          <w:b/>
          <w:i/>
          <w:szCs w:val="24"/>
          <w:highlight w:val="yellow"/>
          <w:lang w:eastAsia="en-GB"/>
        </w:rPr>
      </w:pPr>
      <w:r w:rsidRPr="00EA528A">
        <w:rPr>
          <w:rFonts w:asciiTheme="minorHAnsi" w:eastAsia="Calibri" w:hAnsiTheme="minorHAnsi" w:cstheme="minorHAnsi"/>
          <w:b/>
          <w:i/>
          <w:szCs w:val="24"/>
          <w:highlight w:val="yellow"/>
          <w:lang w:eastAsia="en-GB"/>
        </w:rPr>
        <w:t xml:space="preserve">If the Parties agree that TUPE is not expected to apply at the Operational Service Commencement DateStart Date, on either a 1st generation or a 2nd generation transfer, then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shall apply. In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the Authority is stating that it believes TUPE will not apply and is both (i) giving indemnities and (ii) agreeing to procure indemnities from the Former Supplier, should this prove incorrect and TUPE does apply.  Legal advice should be sought before the Authority gives such indemnities/uses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w:t>
      </w:r>
    </w:p>
    <w:p w14:paraId="3F8406B7" w14:textId="7F20B3CF" w:rsidR="00163F02" w:rsidRPr="00EA528A" w:rsidRDefault="00163F02" w:rsidP="00163F02">
      <w:pPr>
        <w:spacing w:before="100" w:after="200"/>
        <w:rPr>
          <w:rFonts w:asciiTheme="minorHAnsi" w:eastAsia="Calibri" w:hAnsiTheme="minorHAnsi" w:cstheme="minorHAnsi"/>
          <w:b/>
          <w:i/>
          <w:szCs w:val="24"/>
          <w:highlight w:val="yellow"/>
          <w:lang w:eastAsia="en-GB"/>
        </w:rPr>
      </w:pPr>
      <w:r w:rsidRPr="00EA528A">
        <w:rPr>
          <w:rFonts w:asciiTheme="minorHAnsi" w:eastAsia="Calibri" w:hAnsiTheme="minorHAnsi" w:cstheme="minorHAnsi"/>
          <w:b/>
          <w:i/>
          <w:szCs w:val="24"/>
          <w:highlight w:val="yellow"/>
          <w:lang w:eastAsia="en-GB"/>
        </w:rPr>
        <w:t xml:space="preserve">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(Pensions) may also apply should staff transfer or claim to have transferred.</w:t>
      </w:r>
    </w:p>
    <w:p w14:paraId="47027D3C" w14:textId="59F5686B" w:rsidR="00163F02" w:rsidRPr="00EA528A" w:rsidRDefault="00163F02" w:rsidP="00163F02">
      <w:pPr>
        <w:spacing w:before="100" w:after="200"/>
        <w:rPr>
          <w:rFonts w:asciiTheme="minorHAnsi" w:eastAsia="Calibri" w:hAnsiTheme="minorHAnsi" w:cstheme="minorHAnsi"/>
          <w:b/>
          <w:i/>
          <w:szCs w:val="24"/>
          <w:highlight w:val="yellow"/>
          <w:lang w:eastAsia="en-GB"/>
        </w:rPr>
      </w:pPr>
      <w:r w:rsidRPr="00EA528A">
        <w:rPr>
          <w:rFonts w:asciiTheme="minorHAnsi" w:eastAsia="Calibri" w:hAnsiTheme="minorHAnsi" w:cstheme="minorHAnsi"/>
          <w:b/>
          <w:i/>
          <w:szCs w:val="24"/>
          <w:highlight w:val="yellow"/>
          <w:lang w:eastAsia="en-GB"/>
        </w:rPr>
        <w:t xml:space="preserve">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will apply where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Schedule_28_Part_A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A</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applies, is likely to apply where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Schedule_28_Part_B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B</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applies, and may apply where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applies. Please note that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may also apply where there is not a TUPE transfer, for example, where the incumbent provider is successful and becomes the new Supplier. Authorities will need to select which Annex shall apply (either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Schedule_28_Part_D_Annex_1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1</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(CSPS),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Schedule_28_Part_D_Annex_2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2</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(NHSPS),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Schedule_28_Part_D_Annex_3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3</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(LGPS) or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D</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Schedule_28_Part_D_Annex_4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4</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(Other Schemes)).</w:t>
      </w:r>
    </w:p>
    <w:p w14:paraId="458B5012" w14:textId="6550A7F6" w:rsidR="00163F02" w:rsidRPr="00EA528A" w:rsidRDefault="00163F02" w:rsidP="00163F02">
      <w:pPr>
        <w:spacing w:before="100" w:after="200"/>
        <w:rPr>
          <w:rFonts w:asciiTheme="minorHAnsi" w:eastAsia="Calibri" w:hAnsiTheme="minorHAnsi" w:cstheme="minorHAnsi"/>
          <w:b/>
          <w:i/>
          <w:szCs w:val="24"/>
          <w:highlight w:val="yellow"/>
          <w:lang w:eastAsia="en-GB"/>
        </w:rPr>
      </w:pPr>
      <w:r w:rsidRPr="00EA528A">
        <w:rPr>
          <w:rFonts w:asciiTheme="minorHAnsi" w:eastAsia="Calibri" w:hAnsiTheme="minorHAnsi" w:cstheme="minorHAnsi"/>
          <w:b/>
          <w:i/>
          <w:szCs w:val="24"/>
          <w:highlight w:val="yellow"/>
          <w:lang w:eastAsia="en-GB"/>
        </w:rPr>
        <w:t>Please note that the Authority is giving indemnities in Parts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Schedule_28_Part_A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A</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and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and is agreeing to procure indemnities in Parts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Schedule_28_Part_B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B</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Schedule_28_Part_C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C</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and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Schedule_28_Part_E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E</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Legal advice is required, therefore, to ensure that the Authority understands the scope of its liability under these indemnities.</w:t>
      </w:r>
    </w:p>
    <w:p w14:paraId="6A658FBF" w14:textId="74173937" w:rsidR="00163F02" w:rsidRPr="00204B05" w:rsidRDefault="00163F02" w:rsidP="00163F02">
      <w:pPr>
        <w:spacing w:before="100" w:after="200"/>
        <w:rPr>
          <w:rFonts w:asciiTheme="minorHAnsi" w:eastAsia="Calibri" w:hAnsiTheme="minorHAnsi" w:cstheme="minorHAnsi"/>
          <w:b/>
          <w:i/>
          <w:szCs w:val="24"/>
          <w:lang w:eastAsia="en-GB"/>
        </w:rPr>
      </w:pPr>
      <w:r w:rsidRPr="00EA528A">
        <w:rPr>
          <w:rFonts w:asciiTheme="minorHAnsi" w:eastAsia="Calibri" w:hAnsiTheme="minorHAnsi" w:cstheme="minorHAnsi"/>
          <w:b/>
          <w:i/>
          <w:szCs w:val="24"/>
          <w:highlight w:val="yellow"/>
          <w:lang w:eastAsia="en-GB"/>
        </w:rPr>
        <w:t>Please note the MSC at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Schedule_28_Part_E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E</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contains exit provisions and indemnities including, at Part </w:t>
      </w:r>
      <w:r w:rsidRPr="00EA528A">
        <w:rPr>
          <w:rFonts w:asciiTheme="minorHAnsi" w:eastAsia="Calibri" w:hAnsiTheme="minorHAnsi" w:cstheme="minorHAnsi"/>
          <w:b/>
          <w:i/>
          <w:szCs w:val="24"/>
          <w:highlight w:val="yellow"/>
          <w:lang w:eastAsia="en-GB"/>
        </w:rPr>
        <w:fldChar w:fldCharType="begin"/>
      </w:r>
      <w:r w:rsidRPr="00EA528A">
        <w:rPr>
          <w:rFonts w:asciiTheme="minorHAnsi" w:eastAsia="Calibri" w:hAnsiTheme="minorHAnsi" w:cstheme="minorHAnsi"/>
          <w:b/>
          <w:i/>
          <w:szCs w:val="24"/>
          <w:highlight w:val="yellow"/>
          <w:lang w:eastAsia="en-GB"/>
        </w:rPr>
        <w:instrText xml:space="preserve"> REF Schedule_28_Part_E \h </w:instrText>
      </w:r>
      <w:r w:rsidR="00204B05" w:rsidRPr="00EA528A">
        <w:rPr>
          <w:rFonts w:asciiTheme="minorHAnsi" w:eastAsia="Calibri" w:hAnsiTheme="minorHAnsi" w:cstheme="minorHAnsi"/>
          <w:b/>
          <w:i/>
          <w:szCs w:val="24"/>
          <w:highlight w:val="yellow"/>
          <w:lang w:eastAsia="en-GB"/>
        </w:rPr>
        <w:instrText xml:space="preserve"> \* MERGEFORMAT </w:instrText>
      </w:r>
      <w:r w:rsidRPr="00EA528A">
        <w:rPr>
          <w:rFonts w:asciiTheme="minorHAnsi" w:eastAsia="Calibri" w:hAnsiTheme="minorHAnsi" w:cstheme="minorHAnsi"/>
          <w:b/>
          <w:i/>
          <w:szCs w:val="24"/>
          <w:highlight w:val="yellow"/>
          <w:lang w:eastAsia="en-GB"/>
        </w:rPr>
      </w:r>
      <w:r w:rsidRPr="00EA528A">
        <w:rPr>
          <w:rFonts w:asciiTheme="minorHAnsi" w:eastAsia="Calibri" w:hAnsiTheme="minorHAnsi" w:cstheme="minorHAnsi"/>
          <w:b/>
          <w:i/>
          <w:szCs w:val="24"/>
          <w:highlight w:val="yellow"/>
          <w:lang w:eastAsia="en-GB"/>
        </w:rPr>
        <w:fldChar w:fldCharType="separate"/>
      </w:r>
      <w:r w:rsidR="009749A0" w:rsidRPr="00B664D1">
        <w:rPr>
          <w:b/>
          <w:i/>
          <w:highlight w:val="yellow"/>
        </w:rPr>
        <w:t>E</w:t>
      </w:r>
      <w:r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xml:space="preserve"> paragraph</w:t>
      </w:r>
      <w:r w:rsidR="00204B05" w:rsidRPr="00EA528A">
        <w:rPr>
          <w:rFonts w:asciiTheme="minorHAnsi" w:eastAsia="Calibri" w:hAnsiTheme="minorHAnsi" w:cstheme="minorHAnsi"/>
          <w:b/>
          <w:i/>
          <w:szCs w:val="24"/>
          <w:highlight w:val="yellow"/>
          <w:lang w:eastAsia="en-GB"/>
        </w:rPr>
        <w:t> </w:t>
      </w:r>
      <w:r w:rsidR="00204B05" w:rsidRPr="00EA528A">
        <w:rPr>
          <w:rFonts w:asciiTheme="minorHAnsi" w:eastAsia="Calibri" w:hAnsiTheme="minorHAnsi" w:cstheme="minorHAnsi"/>
          <w:b/>
          <w:i/>
          <w:szCs w:val="24"/>
          <w:highlight w:val="yellow"/>
          <w:lang w:eastAsia="en-GB"/>
        </w:rPr>
        <w:fldChar w:fldCharType="begin"/>
      </w:r>
      <w:r w:rsidR="00204B05" w:rsidRPr="00EA528A">
        <w:rPr>
          <w:rFonts w:asciiTheme="minorHAnsi" w:eastAsia="Calibri" w:hAnsiTheme="minorHAnsi" w:cstheme="minorHAnsi"/>
          <w:b/>
          <w:i/>
          <w:szCs w:val="24"/>
          <w:highlight w:val="yellow"/>
          <w:lang w:eastAsia="en-GB"/>
        </w:rPr>
        <w:instrText xml:space="preserve"> REF _Ref98429911 \w \h  \* MERGEFORMAT </w:instrText>
      </w:r>
      <w:r w:rsidR="00204B05" w:rsidRPr="00EA528A">
        <w:rPr>
          <w:rFonts w:asciiTheme="minorHAnsi" w:eastAsia="Calibri" w:hAnsiTheme="minorHAnsi" w:cstheme="minorHAnsi"/>
          <w:b/>
          <w:i/>
          <w:szCs w:val="24"/>
          <w:highlight w:val="yellow"/>
          <w:lang w:eastAsia="en-GB"/>
        </w:rPr>
      </w:r>
      <w:r w:rsidR="00204B05" w:rsidRPr="00EA528A">
        <w:rPr>
          <w:rFonts w:asciiTheme="minorHAnsi" w:eastAsia="Calibri" w:hAnsiTheme="minorHAnsi" w:cstheme="minorHAnsi"/>
          <w:b/>
          <w:i/>
          <w:szCs w:val="24"/>
          <w:highlight w:val="yellow"/>
          <w:lang w:eastAsia="en-GB"/>
        </w:rPr>
        <w:fldChar w:fldCharType="separate"/>
      </w:r>
      <w:r w:rsidR="009749A0">
        <w:rPr>
          <w:rFonts w:asciiTheme="minorHAnsi" w:eastAsia="Calibri" w:hAnsiTheme="minorHAnsi" w:cstheme="minorHAnsi"/>
          <w:b/>
          <w:i/>
          <w:szCs w:val="24"/>
          <w:highlight w:val="yellow"/>
          <w:lang w:eastAsia="en-GB"/>
        </w:rPr>
        <w:t>2.12</w:t>
      </w:r>
      <w:r w:rsidR="00204B05" w:rsidRPr="00EA528A">
        <w:rPr>
          <w:rFonts w:asciiTheme="minorHAnsi" w:eastAsia="Calibri" w:hAnsiTheme="minorHAnsi" w:cstheme="minorHAnsi"/>
          <w:b/>
          <w:i/>
          <w:szCs w:val="24"/>
          <w:highlight w:val="yellow"/>
          <w:lang w:eastAsia="en-GB"/>
        </w:rPr>
        <w:fldChar w:fldCharType="end"/>
      </w:r>
      <w:r w:rsidRPr="00EA528A">
        <w:rPr>
          <w:rFonts w:asciiTheme="minorHAnsi" w:eastAsia="Calibri" w:hAnsiTheme="minorHAnsi" w:cstheme="minorHAnsi"/>
          <w:b/>
          <w:i/>
          <w:szCs w:val="24"/>
          <w:highlight w:val="yellow"/>
          <w:lang w:eastAsia="en-GB"/>
        </w:rPr>
        <w:t>, the obligation on the Authority to procure indemnities from a Replacement Supplier in favour of the Supplier.  If the Authority is co-commissioning these Services or commissioning on behalf of another part of the Crown, consideration should be given as to whether the Authority will be able to procure such indemnities or whether the obligation should be to use “reasonable endeavours” to procure.</w:t>
      </w:r>
    </w:p>
    <w:p w14:paraId="2A267628" w14:textId="030BABA6" w:rsidR="00F52A06" w:rsidRPr="004C60F6" w:rsidRDefault="00F52A06" w:rsidP="00163F02">
      <w:pPr>
        <w:spacing w:before="100" w:after="200"/>
        <w:rPr>
          <w:rFonts w:asciiTheme="minorHAnsi" w:eastAsia="Calibri" w:hAnsiTheme="minorHAnsi" w:cstheme="minorHAnsi"/>
          <w:b/>
          <w:i/>
          <w:szCs w:val="24"/>
          <w:highlight w:val="yellow"/>
          <w:lang w:eastAsia="en-GB"/>
        </w:rPr>
      </w:pPr>
      <w:r w:rsidRPr="004C60F6">
        <w:rPr>
          <w:rFonts w:asciiTheme="minorHAnsi" w:eastAsia="Calibri" w:hAnsiTheme="minorHAnsi" w:cstheme="minorHAnsi"/>
          <w:b/>
          <w:i/>
          <w:szCs w:val="24"/>
          <w:highlight w:val="yellow"/>
          <w:lang w:eastAsia="en-GB"/>
        </w:rPr>
        <w:t>Part</w:t>
      </w:r>
      <w:r w:rsidRPr="000D10B1">
        <w:rPr>
          <w:rFonts w:asciiTheme="minorHAnsi" w:eastAsia="Calibri" w:hAnsiTheme="minorHAnsi" w:cstheme="minorHAnsi"/>
          <w:b/>
          <w:i/>
          <w:szCs w:val="24"/>
          <w:highlight w:val="yellow"/>
          <w:lang w:eastAsia="en-GB"/>
        </w:rPr>
        <w:t> </w:t>
      </w:r>
      <w:r w:rsidR="00B8001B" w:rsidRPr="000D10B1">
        <w:rPr>
          <w:rFonts w:asciiTheme="minorHAnsi" w:eastAsia="Calibri" w:hAnsiTheme="minorHAnsi" w:cstheme="minorHAnsi"/>
          <w:b/>
          <w:i/>
          <w:szCs w:val="24"/>
          <w:highlight w:val="yellow"/>
          <w:lang w:eastAsia="en-GB"/>
        </w:rPr>
        <w:fldChar w:fldCharType="begin"/>
      </w:r>
      <w:r w:rsidR="00B8001B" w:rsidRPr="000D10B1">
        <w:rPr>
          <w:rFonts w:asciiTheme="minorHAnsi" w:eastAsia="Calibri" w:hAnsiTheme="minorHAnsi" w:cstheme="minorHAnsi"/>
          <w:b/>
          <w:i/>
          <w:szCs w:val="24"/>
          <w:highlight w:val="yellow"/>
          <w:lang w:eastAsia="en-GB"/>
        </w:rPr>
        <w:instrText xml:space="preserve"> REF Schedule_28_Part_E \h </w:instrText>
      </w:r>
      <w:r w:rsidR="004C60F6" w:rsidRPr="000D10B1">
        <w:rPr>
          <w:rFonts w:asciiTheme="minorHAnsi" w:eastAsia="Calibri" w:hAnsiTheme="minorHAnsi" w:cstheme="minorHAnsi"/>
          <w:b/>
          <w:i/>
          <w:szCs w:val="24"/>
          <w:highlight w:val="yellow"/>
          <w:lang w:eastAsia="en-GB"/>
        </w:rPr>
        <w:instrText xml:space="preserve"> \* MERGEFORMAT </w:instrText>
      </w:r>
      <w:r w:rsidR="00B8001B" w:rsidRPr="000D10B1">
        <w:rPr>
          <w:rFonts w:asciiTheme="minorHAnsi" w:eastAsia="Calibri" w:hAnsiTheme="minorHAnsi" w:cstheme="minorHAnsi"/>
          <w:b/>
          <w:i/>
          <w:szCs w:val="24"/>
          <w:highlight w:val="yellow"/>
          <w:lang w:eastAsia="en-GB"/>
        </w:rPr>
      </w:r>
      <w:r w:rsidR="00B8001B" w:rsidRPr="000D10B1">
        <w:rPr>
          <w:rFonts w:asciiTheme="minorHAnsi" w:eastAsia="Calibri" w:hAnsiTheme="minorHAnsi" w:cstheme="minorHAnsi"/>
          <w:b/>
          <w:i/>
          <w:szCs w:val="24"/>
          <w:highlight w:val="yellow"/>
          <w:lang w:eastAsia="en-GB"/>
        </w:rPr>
        <w:fldChar w:fldCharType="separate"/>
      </w:r>
      <w:r w:rsidR="009749A0" w:rsidRPr="000D10B1">
        <w:rPr>
          <w:b/>
          <w:i/>
          <w:highlight w:val="yellow"/>
        </w:rPr>
        <w:t>E</w:t>
      </w:r>
      <w:r w:rsidR="00B8001B" w:rsidRPr="000D10B1">
        <w:rPr>
          <w:rFonts w:asciiTheme="minorHAnsi" w:eastAsia="Calibri" w:hAnsiTheme="minorHAnsi" w:cstheme="minorHAnsi"/>
          <w:b/>
          <w:i/>
          <w:szCs w:val="24"/>
          <w:highlight w:val="yellow"/>
          <w:lang w:eastAsia="en-GB"/>
        </w:rPr>
        <w:fldChar w:fldCharType="end"/>
      </w:r>
      <w:r w:rsidRPr="000D10B1">
        <w:rPr>
          <w:rFonts w:asciiTheme="minorHAnsi" w:eastAsia="Calibri" w:hAnsiTheme="minorHAnsi" w:cstheme="minorHAnsi"/>
          <w:b/>
          <w:i/>
          <w:szCs w:val="24"/>
          <w:highlight w:val="yellow"/>
          <w:lang w:eastAsia="en-GB"/>
        </w:rPr>
        <w:t xml:space="preserve"> </w:t>
      </w:r>
      <w:r w:rsidRPr="004C60F6">
        <w:rPr>
          <w:rFonts w:asciiTheme="minorHAnsi" w:eastAsia="Calibri" w:hAnsiTheme="minorHAnsi" w:cstheme="minorHAnsi"/>
          <w:b/>
          <w:i/>
          <w:szCs w:val="24"/>
          <w:highlight w:val="yellow"/>
          <w:lang w:eastAsia="en-GB"/>
        </w:rPr>
        <w:t xml:space="preserve">(dealing with staff transfer on exit) shall apply to </w:t>
      </w:r>
      <w:r w:rsidRPr="00EA528A">
        <w:rPr>
          <w:rFonts w:asciiTheme="minorHAnsi" w:eastAsia="Calibri" w:hAnsiTheme="minorHAnsi" w:cstheme="minorHAnsi"/>
          <w:b/>
          <w:iCs/>
          <w:szCs w:val="24"/>
          <w:highlight w:val="yellow"/>
          <w:u w:val="single"/>
          <w:lang w:eastAsia="en-GB"/>
        </w:rPr>
        <w:t>every</w:t>
      </w:r>
      <w:r w:rsidRPr="004C60F6">
        <w:rPr>
          <w:rFonts w:asciiTheme="minorHAnsi" w:eastAsia="Calibri" w:hAnsiTheme="minorHAnsi" w:cstheme="minorHAnsi"/>
          <w:b/>
          <w:i/>
          <w:szCs w:val="24"/>
          <w:highlight w:val="yellow"/>
          <w:lang w:eastAsia="en-GB"/>
        </w:rPr>
        <w:t xml:space="preserve"> Contract</w:t>
      </w:r>
      <w:r w:rsidR="00204B05">
        <w:rPr>
          <w:b/>
          <w:i/>
          <w:highlight w:val="yellow"/>
        </w:rPr>
        <w:t xml:space="preserve">, even if TUPE </w:t>
      </w:r>
      <w:r w:rsidR="00204B05">
        <w:rPr>
          <w:b/>
          <w:i/>
          <w:highlight w:val="yellow"/>
        </w:rPr>
        <w:lastRenderedPageBreak/>
        <w:t>does not apply on entry</w:t>
      </w:r>
      <w:r w:rsidRPr="004C60F6">
        <w:rPr>
          <w:rFonts w:asciiTheme="minorHAnsi" w:eastAsia="Calibri" w:hAnsiTheme="minorHAnsi" w:cstheme="minorHAnsi"/>
          <w:b/>
          <w:i/>
          <w:szCs w:val="24"/>
          <w:highlight w:val="yellow"/>
          <w:lang w:eastAsia="en-GB"/>
        </w:rPr>
        <w:t>.</w:t>
      </w:r>
    </w:p>
    <w:p w14:paraId="208FADC1" w14:textId="0C4240F9" w:rsidR="00F52A06" w:rsidRPr="00BD6C5F" w:rsidRDefault="00F52A06" w:rsidP="00187547">
      <w:pPr>
        <w:spacing w:before="100" w:after="200"/>
        <w:rPr>
          <w:rFonts w:asciiTheme="minorHAnsi" w:eastAsia="Calibri" w:hAnsiTheme="minorHAnsi" w:cstheme="minorHAnsi"/>
          <w:bCs/>
          <w:iCs/>
          <w:szCs w:val="24"/>
          <w:lang w:eastAsia="en-GB"/>
        </w:rPr>
      </w:pPr>
      <w:r w:rsidRPr="004C60F6">
        <w:rPr>
          <w:rFonts w:asciiTheme="minorHAnsi" w:eastAsia="Calibri" w:hAnsiTheme="minorHAnsi" w:cstheme="minorHAnsi"/>
          <w:b/>
          <w:i/>
          <w:szCs w:val="24"/>
          <w:highlight w:val="yellow"/>
          <w:lang w:eastAsia="en-GB"/>
        </w:rPr>
        <w:t>For further guidance on this Schedule contact Government Legal Department</w:t>
      </w:r>
      <w:r w:rsidR="00A4555C" w:rsidRPr="004C60F6">
        <w:rPr>
          <w:rFonts w:asciiTheme="minorHAnsi" w:eastAsia="Calibri" w:hAnsiTheme="minorHAnsi" w:cstheme="minorHAnsi"/>
          <w:b/>
          <w:i/>
          <w:szCs w:val="24"/>
          <w:highlight w:val="yellow"/>
          <w:lang w:eastAsia="en-GB"/>
        </w:rPr>
        <w:t>’</w:t>
      </w:r>
      <w:r w:rsidRPr="004C60F6">
        <w:rPr>
          <w:rFonts w:asciiTheme="minorHAnsi" w:eastAsia="Calibri" w:hAnsiTheme="minorHAnsi" w:cstheme="minorHAnsi"/>
          <w:b/>
          <w:i/>
          <w:szCs w:val="24"/>
          <w:highlight w:val="yellow"/>
          <w:lang w:eastAsia="en-GB"/>
        </w:rPr>
        <w:t>s Employment Law Group</w:t>
      </w:r>
      <w:r w:rsidRPr="00BD6C5F">
        <w:rPr>
          <w:rFonts w:asciiTheme="minorHAnsi" w:eastAsia="Calibri" w:hAnsiTheme="minorHAnsi" w:cstheme="minorHAnsi"/>
          <w:bCs/>
          <w:iCs/>
          <w:szCs w:val="24"/>
          <w:highlight w:val="yellow"/>
          <w:lang w:eastAsia="en-GB"/>
        </w:rPr>
        <w:t>]</w:t>
      </w:r>
    </w:p>
    <w:p w14:paraId="528B50AB" w14:textId="52572249" w:rsidR="00F52A06" w:rsidRPr="00BD6C5F" w:rsidRDefault="00F52A06" w:rsidP="00187547"/>
    <w:p w14:paraId="38886A73" w14:textId="1B6C5410" w:rsidR="00BC7DDA" w:rsidRPr="00BD6C5F" w:rsidRDefault="00BA3C57" w:rsidP="00B71FC0">
      <w:pPr>
        <w:pStyle w:val="Numbered1"/>
        <w:numPr>
          <w:ilvl w:val="0"/>
          <w:numId w:val="115"/>
        </w:numPr>
      </w:pPr>
      <w:r w:rsidRPr="00BD6C5F">
        <w:t>Definitions</w:t>
      </w:r>
    </w:p>
    <w:p w14:paraId="1AB5C3C6" w14:textId="77777777" w:rsidR="00BC7DDA" w:rsidRPr="00BD6C5F" w:rsidRDefault="009B03E9" w:rsidP="009F4A63">
      <w:pPr>
        <w:pStyle w:val="Numbered11"/>
        <w:keepNext/>
      </w:pPr>
      <w:r w:rsidRPr="00BD6C5F">
        <w:t>In this Schedule, the following definitions shall apply:</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F52A06" w:rsidRPr="00BD6C5F" w14:paraId="1C00696D" w14:textId="77777777" w:rsidTr="0041215F">
        <w:tc>
          <w:tcPr>
            <w:tcW w:w="3572" w:type="dxa"/>
          </w:tcPr>
          <w:p w14:paraId="387C2F34" w14:textId="4BBB93CD" w:rsidR="00F52A06" w:rsidRPr="00BD6C5F" w:rsidRDefault="00A4555C" w:rsidP="00187547">
            <w:pPr>
              <w:pStyle w:val="Tabletext"/>
              <w:rPr>
                <w:rFonts w:asciiTheme="minorHAnsi" w:hAnsiTheme="minorHAnsi" w:cstheme="minorHAnsi"/>
                <w:b/>
                <w:bCs/>
              </w:rPr>
            </w:pPr>
            <w:r w:rsidRPr="00BD6C5F">
              <w:rPr>
                <w:rFonts w:asciiTheme="minorHAnsi" w:hAnsiTheme="minorHAnsi" w:cstheme="minorHAnsi"/>
                <w:b/>
                <w:bCs/>
                <w:color w:val="000000"/>
              </w:rPr>
              <w:t>“</w:t>
            </w:r>
            <w:r w:rsidR="00F52A06" w:rsidRPr="00BD6C5F">
              <w:rPr>
                <w:rFonts w:asciiTheme="minorHAnsi" w:hAnsiTheme="minorHAnsi" w:cstheme="minorHAnsi"/>
                <w:b/>
                <w:bCs/>
                <w:color w:val="000000"/>
              </w:rPr>
              <w:t>Admission Agreement</w:t>
            </w:r>
            <w:r w:rsidRPr="00BD6C5F">
              <w:rPr>
                <w:rFonts w:asciiTheme="minorHAnsi" w:hAnsiTheme="minorHAnsi" w:cstheme="minorHAnsi"/>
                <w:b/>
                <w:bCs/>
                <w:color w:val="000000"/>
              </w:rPr>
              <w:t>”</w:t>
            </w:r>
          </w:p>
        </w:tc>
        <w:tc>
          <w:tcPr>
            <w:tcW w:w="5953" w:type="dxa"/>
          </w:tcPr>
          <w:p w14:paraId="0F2BBD0E" w14:textId="75F73533" w:rsidR="00F52A06" w:rsidRPr="00BD6C5F" w:rsidRDefault="00204B05" w:rsidP="00187547">
            <w:pPr>
              <w:pStyle w:val="Tabletext"/>
            </w:pPr>
            <w:r w:rsidRPr="00204B05">
              <w:t xml:space="preserve">either or both of the CSPS Admission Agreement (as defined in Annex </w:t>
            </w:r>
            <w:r>
              <w:fldChar w:fldCharType="begin"/>
            </w:r>
            <w:r>
              <w:instrText xml:space="preserve"> REF Schedule_28_Part_D \h </w:instrText>
            </w:r>
            <w:r>
              <w:fldChar w:fldCharType="separate"/>
            </w:r>
            <w:r w:rsidR="009749A0" w:rsidRPr="00BD6C5F">
              <w:t>D</w:t>
            </w:r>
            <w:r>
              <w:fldChar w:fldCharType="end"/>
            </w:r>
            <w:r>
              <w:fldChar w:fldCharType="begin"/>
            </w:r>
            <w:r>
              <w:instrText xml:space="preserve"> REF Schedule_28_Part_D_Annex_1 \h </w:instrText>
            </w:r>
            <w:r>
              <w:fldChar w:fldCharType="separate"/>
            </w:r>
            <w:r w:rsidR="009749A0" w:rsidRPr="00BD6C5F">
              <w:t>1</w:t>
            </w:r>
            <w:r>
              <w:fldChar w:fldCharType="end"/>
            </w:r>
            <w:r w:rsidRPr="00204B05">
              <w:t xml:space="preserve">: CSPS) or the LGPS Admission Agreement) as defined in Annex </w:t>
            </w:r>
            <w:r>
              <w:fldChar w:fldCharType="begin"/>
            </w:r>
            <w:r>
              <w:instrText xml:space="preserve"> REF Schedule_28_Part_D \h </w:instrText>
            </w:r>
            <w:r>
              <w:fldChar w:fldCharType="separate"/>
            </w:r>
            <w:r w:rsidR="009749A0" w:rsidRPr="00BD6C5F">
              <w:t>D</w:t>
            </w:r>
            <w:r>
              <w:fldChar w:fldCharType="end"/>
            </w:r>
            <w:r>
              <w:fldChar w:fldCharType="begin"/>
            </w:r>
            <w:r>
              <w:instrText xml:space="preserve"> REF Schedule_28_Part_D_Annex_3 \h </w:instrText>
            </w:r>
            <w:r>
              <w:fldChar w:fldCharType="separate"/>
            </w:r>
            <w:r w:rsidR="009749A0" w:rsidRPr="00BD6C5F">
              <w:t>3</w:t>
            </w:r>
            <w:r>
              <w:fldChar w:fldCharType="end"/>
            </w:r>
            <w:r w:rsidRPr="00204B05">
              <w:t>: LGPS), as the context requires</w:t>
            </w:r>
            <w:r w:rsidR="00F52A06" w:rsidRPr="00BD6C5F">
              <w:t>;</w:t>
            </w:r>
          </w:p>
        </w:tc>
      </w:tr>
      <w:tr w:rsidR="00F52A06" w:rsidRPr="00BD6C5F" w14:paraId="2950B34D" w14:textId="77777777" w:rsidTr="0041215F">
        <w:tc>
          <w:tcPr>
            <w:tcW w:w="3572" w:type="dxa"/>
          </w:tcPr>
          <w:p w14:paraId="2E57D6C5" w14:textId="386BAEB3" w:rsidR="00F52A06" w:rsidRPr="00BD6C5F" w:rsidRDefault="00A4555C" w:rsidP="00187547">
            <w:pPr>
              <w:pStyle w:val="Tabletext"/>
              <w:rPr>
                <w:rFonts w:asciiTheme="minorHAnsi" w:hAnsiTheme="minorHAnsi" w:cstheme="minorHAnsi"/>
                <w:b/>
                <w:bCs/>
              </w:rPr>
            </w:pPr>
            <w:r w:rsidRPr="00BD6C5F">
              <w:rPr>
                <w:rFonts w:asciiTheme="minorHAnsi" w:hAnsiTheme="minorHAnsi" w:cstheme="minorHAnsi"/>
                <w:b/>
                <w:bCs/>
                <w:color w:val="000000"/>
              </w:rPr>
              <w:t>“</w:t>
            </w:r>
            <w:r w:rsidR="00F52A06" w:rsidRPr="00BD6C5F">
              <w:rPr>
                <w:rFonts w:asciiTheme="minorHAnsi" w:hAnsiTheme="minorHAnsi" w:cstheme="minorHAnsi"/>
                <w:b/>
                <w:bCs/>
                <w:color w:val="000000"/>
              </w:rPr>
              <w:t>Fair Deal Employees</w:t>
            </w:r>
            <w:r w:rsidRPr="00BD6C5F">
              <w:rPr>
                <w:rFonts w:asciiTheme="minorHAnsi" w:hAnsiTheme="minorHAnsi" w:cstheme="minorHAnsi"/>
                <w:b/>
                <w:bCs/>
                <w:color w:val="000000"/>
              </w:rPr>
              <w:t>”</w:t>
            </w:r>
          </w:p>
        </w:tc>
        <w:tc>
          <w:tcPr>
            <w:tcW w:w="5953" w:type="dxa"/>
          </w:tcPr>
          <w:p w14:paraId="7AD71BC1" w14:textId="67C40B23" w:rsidR="00F52A06" w:rsidRPr="00BD6C5F" w:rsidRDefault="00F52A06" w:rsidP="00187547">
            <w:pPr>
              <w:pStyle w:val="Tabletext"/>
              <w:rPr>
                <w:rFonts w:asciiTheme="minorHAnsi" w:hAnsiTheme="minorHAnsi" w:cstheme="minorHAnsi"/>
              </w:rPr>
            </w:pPr>
            <w:r w:rsidRPr="00BD6C5F">
              <w:rPr>
                <w:rFonts w:asciiTheme="minorHAnsi" w:hAnsiTheme="minorHAnsi" w:cstheme="minorHAnsi"/>
                <w:color w:val="000000"/>
              </w:rPr>
              <w:t xml:space="preserve">as defined in </w:t>
            </w:r>
            <w:r w:rsidR="00C101F7">
              <w:rPr>
                <w:rFonts w:asciiTheme="minorHAnsi" w:hAnsiTheme="minorHAnsi" w:cstheme="minorHAnsi"/>
                <w:color w:val="000000"/>
              </w:rPr>
              <w:t>Part </w:t>
            </w:r>
            <w:r w:rsidR="00C101F7">
              <w:rPr>
                <w:rFonts w:asciiTheme="minorHAnsi" w:hAnsiTheme="minorHAnsi" w:cstheme="minorHAnsi"/>
                <w:color w:val="000000"/>
              </w:rPr>
              <w:fldChar w:fldCharType="begin"/>
            </w:r>
            <w:r w:rsidR="00C101F7">
              <w:rPr>
                <w:rFonts w:asciiTheme="minorHAnsi" w:hAnsiTheme="minorHAnsi" w:cstheme="minorHAnsi"/>
                <w:color w:val="000000"/>
              </w:rPr>
              <w:instrText xml:space="preserve"> REF Schedule_28_Part_D \h </w:instrText>
            </w:r>
            <w:r w:rsidR="00C101F7">
              <w:rPr>
                <w:rFonts w:asciiTheme="minorHAnsi" w:hAnsiTheme="minorHAnsi" w:cstheme="minorHAnsi"/>
                <w:color w:val="000000"/>
              </w:rPr>
            </w:r>
            <w:r w:rsidR="00C101F7">
              <w:rPr>
                <w:rFonts w:asciiTheme="minorHAnsi" w:hAnsiTheme="minorHAnsi" w:cstheme="minorHAnsi"/>
                <w:color w:val="000000"/>
              </w:rPr>
              <w:fldChar w:fldCharType="separate"/>
            </w:r>
            <w:r w:rsidR="009749A0" w:rsidRPr="00BD6C5F">
              <w:t>D</w:t>
            </w:r>
            <w:r w:rsidR="00C101F7">
              <w:rPr>
                <w:rFonts w:asciiTheme="minorHAnsi" w:hAnsiTheme="minorHAnsi" w:cstheme="minorHAnsi"/>
                <w:color w:val="000000"/>
              </w:rPr>
              <w:fldChar w:fldCharType="end"/>
            </w:r>
            <w:r w:rsidRPr="00BD6C5F">
              <w:rPr>
                <w:rFonts w:asciiTheme="minorHAnsi" w:hAnsiTheme="minorHAnsi" w:cstheme="minorHAnsi"/>
                <w:color w:val="000000"/>
              </w:rPr>
              <w:t>;</w:t>
            </w:r>
          </w:p>
        </w:tc>
      </w:tr>
      <w:tr w:rsidR="00BC7DDA" w:rsidRPr="00BD6C5F" w14:paraId="16F6C04C" w14:textId="77777777" w:rsidTr="0041215F">
        <w:tc>
          <w:tcPr>
            <w:tcW w:w="3572" w:type="dxa"/>
          </w:tcPr>
          <w:p w14:paraId="6A8A227A" w14:textId="05781D2F"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Former Supplier</w:t>
            </w:r>
            <w:r w:rsidRPr="00BD6C5F">
              <w:rPr>
                <w:rFonts w:asciiTheme="minorHAnsi" w:hAnsiTheme="minorHAnsi" w:cstheme="minorHAnsi"/>
                <w:b/>
              </w:rPr>
              <w:t>”</w:t>
            </w:r>
          </w:p>
        </w:tc>
        <w:tc>
          <w:tcPr>
            <w:tcW w:w="5953" w:type="dxa"/>
          </w:tcPr>
          <w:p w14:paraId="50599004" w14:textId="1373349A"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 xml:space="preserve">a supplier supplying services to the Authority before </w:t>
            </w:r>
            <w:r w:rsidR="00204B05">
              <w:rPr>
                <w:rFonts w:asciiTheme="minorHAnsi" w:hAnsiTheme="minorHAnsi" w:cstheme="minorHAnsi"/>
              </w:rPr>
              <w:t>any</w:t>
            </w:r>
            <w:r w:rsidR="00204B05" w:rsidRPr="00BD6C5F">
              <w:rPr>
                <w:rFonts w:asciiTheme="minorHAnsi" w:hAnsiTheme="minorHAnsi" w:cstheme="minorHAnsi"/>
              </w:rPr>
              <w:t xml:space="preserve"> </w:t>
            </w:r>
            <w:r w:rsidRPr="00BD6C5F">
              <w:rPr>
                <w:rFonts w:asciiTheme="minorHAnsi" w:hAnsiTheme="minorHAnsi" w:cstheme="minorHAnsi"/>
              </w:rPr>
              <w:t>Relevant Transfer Date that are the same as or substantially similar to the Services (or any part of the Services) and shall include any sub-contractor of such supplier (or any sub-contractor of any such sub-contractor);</w:t>
            </w:r>
          </w:p>
        </w:tc>
      </w:tr>
      <w:tr w:rsidR="00BC7DDA" w:rsidRPr="00BD6C5F" w14:paraId="4F39612E" w14:textId="77777777" w:rsidTr="0041215F">
        <w:tc>
          <w:tcPr>
            <w:tcW w:w="3572" w:type="dxa"/>
          </w:tcPr>
          <w:p w14:paraId="133BEB18" w14:textId="34575E00"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New Fair Deal</w:t>
            </w:r>
            <w:r w:rsidRPr="00BD6C5F">
              <w:rPr>
                <w:rFonts w:asciiTheme="minorHAnsi" w:hAnsiTheme="minorHAnsi" w:cstheme="minorHAnsi"/>
                <w:b/>
              </w:rPr>
              <w:t>”</w:t>
            </w:r>
          </w:p>
        </w:tc>
        <w:tc>
          <w:tcPr>
            <w:tcW w:w="5953" w:type="dxa"/>
          </w:tcPr>
          <w:p w14:paraId="7CB6B621" w14:textId="44FAEC54"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 xml:space="preserve">the revised Fair Deal position set out in the HM Treasury guidance: </w:t>
            </w:r>
            <w:r w:rsidR="00A4555C" w:rsidRPr="00BD6C5F">
              <w:rPr>
                <w:rFonts w:asciiTheme="minorHAnsi" w:hAnsiTheme="minorHAnsi" w:cstheme="minorHAnsi"/>
                <w:i/>
              </w:rPr>
              <w:t>“</w:t>
            </w:r>
            <w:r w:rsidRPr="00BD6C5F">
              <w:rPr>
                <w:rFonts w:asciiTheme="minorHAnsi" w:hAnsiTheme="minorHAnsi" w:cstheme="minorHAnsi"/>
                <w:i/>
              </w:rPr>
              <w:t>Fair Deal for staff pensions: staff transfer from central government</w:t>
            </w:r>
            <w:r w:rsidR="00A4555C" w:rsidRPr="00BD6C5F">
              <w:rPr>
                <w:rFonts w:asciiTheme="minorHAnsi" w:hAnsiTheme="minorHAnsi" w:cstheme="minorHAnsi"/>
                <w:i/>
              </w:rPr>
              <w:t>”</w:t>
            </w:r>
            <w:r w:rsidRPr="00BD6C5F">
              <w:rPr>
                <w:rFonts w:asciiTheme="minorHAnsi" w:hAnsiTheme="minorHAnsi" w:cstheme="minorHAnsi"/>
                <w:i/>
              </w:rPr>
              <w:t xml:space="preserve"> </w:t>
            </w:r>
            <w:r w:rsidRPr="00BD6C5F">
              <w:rPr>
                <w:rFonts w:asciiTheme="minorHAnsi" w:hAnsiTheme="minorHAnsi" w:cstheme="minorHAnsi"/>
              </w:rPr>
              <w:t>issued in October 2013 including:</w:t>
            </w:r>
          </w:p>
          <w:p w14:paraId="08761BF5" w14:textId="77777777" w:rsidR="00BC7DDA" w:rsidRPr="00BD6C5F" w:rsidRDefault="009B03E9" w:rsidP="0041215F">
            <w:pPr>
              <w:pStyle w:val="Tablea"/>
            </w:pPr>
            <w:r w:rsidRPr="00BD6C5F">
              <w:t>any amendments to that document immediately prior to the Relevant Transfer Date;</w:t>
            </w:r>
          </w:p>
          <w:p w14:paraId="361B452B" w14:textId="4604BD88" w:rsidR="00BC7DDA" w:rsidRPr="00BD6C5F" w:rsidRDefault="009B03E9" w:rsidP="003A5D4B">
            <w:pPr>
              <w:pStyle w:val="Tablea"/>
            </w:pPr>
            <w:r w:rsidRPr="00BD6C5F">
              <w:t xml:space="preserve">any similar pension protection in accordance with </w:t>
            </w:r>
            <w:r w:rsidR="00C101F7">
              <w:t>Annex </w:t>
            </w:r>
            <w:r w:rsidR="00C101F7">
              <w:fldChar w:fldCharType="begin"/>
            </w:r>
            <w:r w:rsidR="00C101F7">
              <w:instrText xml:space="preserve"> REF Schedule_28_Part_D_Annex_1 \h </w:instrText>
            </w:r>
            <w:r w:rsidR="00C101F7">
              <w:fldChar w:fldCharType="separate"/>
            </w:r>
            <w:r w:rsidR="009749A0" w:rsidRPr="00BD6C5F">
              <w:t>1</w:t>
            </w:r>
            <w:r w:rsidR="00C101F7">
              <w:fldChar w:fldCharType="end"/>
            </w:r>
            <w:r w:rsidRPr="00BD6C5F">
              <w:t>-</w:t>
            </w:r>
            <w:r w:rsidR="00C101F7">
              <w:t>Annex </w:t>
            </w:r>
            <w:r w:rsidR="00C101F7">
              <w:fldChar w:fldCharType="begin"/>
            </w:r>
            <w:r w:rsidR="00C101F7">
              <w:instrText xml:space="preserve"> REF Schedule_28_Part_D_Annex_3 \h </w:instrText>
            </w:r>
            <w:r w:rsidR="00C101F7">
              <w:fldChar w:fldCharType="separate"/>
            </w:r>
            <w:r w:rsidR="009749A0" w:rsidRPr="00BD6C5F">
              <w:t>3</w:t>
            </w:r>
            <w:r w:rsidR="00C101F7">
              <w:fldChar w:fldCharType="end"/>
            </w:r>
            <w:r w:rsidR="00DC638C" w:rsidRPr="00BD6C5F">
              <w:t xml:space="preserve"> </w:t>
            </w:r>
            <w:r w:rsidRPr="00BD6C5F">
              <w:t xml:space="preserve">inclusive to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of this Schedule as notified to the Supplier by the Authority;</w:t>
            </w:r>
          </w:p>
        </w:tc>
      </w:tr>
      <w:tr w:rsidR="00BC7DDA" w:rsidRPr="00BD6C5F" w14:paraId="3F91F6AE" w14:textId="77777777" w:rsidTr="0041215F">
        <w:tc>
          <w:tcPr>
            <w:tcW w:w="3572" w:type="dxa"/>
          </w:tcPr>
          <w:p w14:paraId="67520464" w14:textId="45C775A5"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Notified Sub-contractor</w:t>
            </w:r>
            <w:r w:rsidRPr="00BD6C5F">
              <w:rPr>
                <w:rFonts w:asciiTheme="minorHAnsi" w:hAnsiTheme="minorHAnsi" w:cstheme="minorHAnsi"/>
                <w:b/>
              </w:rPr>
              <w:t>”</w:t>
            </w:r>
          </w:p>
        </w:tc>
        <w:tc>
          <w:tcPr>
            <w:tcW w:w="5953" w:type="dxa"/>
          </w:tcPr>
          <w:p w14:paraId="507F52A2" w14:textId="77777777"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a Sub-contractor identified in the Annex to this Schedule to whom Transferring Authority Employees and/or Transferring Former Supplier Employees will transfer on a Relevant Transfer Date;</w:t>
            </w:r>
          </w:p>
        </w:tc>
      </w:tr>
      <w:tr w:rsidR="00BC7DDA" w:rsidRPr="00BD6C5F" w14:paraId="5EF63980" w14:textId="77777777" w:rsidTr="0041215F">
        <w:tc>
          <w:tcPr>
            <w:tcW w:w="3572" w:type="dxa"/>
          </w:tcPr>
          <w:p w14:paraId="5DB14547" w14:textId="79ABB40F"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Old Fair Deal</w:t>
            </w:r>
            <w:r w:rsidRPr="00BD6C5F">
              <w:rPr>
                <w:rFonts w:asciiTheme="minorHAnsi" w:hAnsiTheme="minorHAnsi" w:cstheme="minorHAnsi"/>
                <w:b/>
              </w:rPr>
              <w:t>”</w:t>
            </w:r>
          </w:p>
        </w:tc>
        <w:tc>
          <w:tcPr>
            <w:tcW w:w="5953" w:type="dxa"/>
          </w:tcPr>
          <w:p w14:paraId="74BBAD5A" w14:textId="4A75730C"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 xml:space="preserve">HM Treasury Guidance </w:t>
            </w:r>
            <w:r w:rsidR="00A4555C" w:rsidRPr="00BD6C5F">
              <w:rPr>
                <w:rFonts w:asciiTheme="minorHAnsi" w:hAnsiTheme="minorHAnsi" w:cstheme="minorHAnsi"/>
                <w:i/>
              </w:rPr>
              <w:t>“</w:t>
            </w:r>
            <w:r w:rsidRPr="00BD6C5F">
              <w:rPr>
                <w:rFonts w:asciiTheme="minorHAnsi" w:hAnsiTheme="minorHAnsi" w:cstheme="minorHAnsi"/>
                <w:i/>
              </w:rPr>
              <w:t>Staff Transfers from Central Government: A Fair Deal for Staff Pensions</w:t>
            </w:r>
            <w:r w:rsidR="00A4555C" w:rsidRPr="00BD6C5F">
              <w:rPr>
                <w:rFonts w:asciiTheme="minorHAnsi" w:hAnsiTheme="minorHAnsi" w:cstheme="minorHAnsi"/>
                <w:i/>
              </w:rPr>
              <w:t>”</w:t>
            </w:r>
            <w:r w:rsidRPr="00BD6C5F">
              <w:rPr>
                <w:rFonts w:asciiTheme="minorHAnsi" w:hAnsiTheme="minorHAnsi" w:cstheme="minorHAnsi"/>
                <w:i/>
              </w:rPr>
              <w:t xml:space="preserve"> </w:t>
            </w:r>
            <w:r w:rsidRPr="00BD6C5F">
              <w:rPr>
                <w:rFonts w:asciiTheme="minorHAnsi" w:hAnsiTheme="minorHAnsi" w:cstheme="minorHAnsi"/>
              </w:rPr>
              <w:t xml:space="preserve">issued in June 1999 including the supplementary guidance </w:t>
            </w:r>
            <w:r w:rsidR="00A4555C" w:rsidRPr="00BD6C5F">
              <w:rPr>
                <w:rFonts w:asciiTheme="minorHAnsi" w:hAnsiTheme="minorHAnsi" w:cstheme="minorHAnsi"/>
                <w:i/>
              </w:rPr>
              <w:t>“</w:t>
            </w:r>
            <w:r w:rsidRPr="00BD6C5F">
              <w:rPr>
                <w:rFonts w:asciiTheme="minorHAnsi" w:hAnsiTheme="minorHAnsi" w:cstheme="minorHAnsi"/>
                <w:i/>
              </w:rPr>
              <w:t>Fair Deal for Staff pensions: Procurement of Bulk Transfer Agreements and Related Issues</w:t>
            </w:r>
            <w:r w:rsidR="00A4555C" w:rsidRPr="00BD6C5F">
              <w:rPr>
                <w:rFonts w:asciiTheme="minorHAnsi" w:hAnsiTheme="minorHAnsi" w:cstheme="minorHAnsi"/>
                <w:i/>
              </w:rPr>
              <w:t>”</w:t>
            </w:r>
            <w:r w:rsidRPr="00BD6C5F">
              <w:rPr>
                <w:rFonts w:asciiTheme="minorHAnsi" w:hAnsiTheme="minorHAnsi" w:cstheme="minorHAnsi"/>
                <w:i/>
              </w:rPr>
              <w:t xml:space="preserve"> </w:t>
            </w:r>
            <w:r w:rsidRPr="00BD6C5F">
              <w:rPr>
                <w:rFonts w:asciiTheme="minorHAnsi" w:hAnsiTheme="minorHAnsi" w:cstheme="minorHAnsi"/>
              </w:rPr>
              <w:t>issued in June 2004;</w:t>
            </w:r>
          </w:p>
        </w:tc>
      </w:tr>
      <w:tr w:rsidR="00BC7DDA" w:rsidRPr="00BD6C5F" w14:paraId="56AFDC3E" w14:textId="77777777" w:rsidTr="0041215F">
        <w:tc>
          <w:tcPr>
            <w:tcW w:w="3572" w:type="dxa"/>
          </w:tcPr>
          <w:p w14:paraId="2708BB3E" w14:textId="19E20617"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Replacement Sub-contractor</w:t>
            </w:r>
            <w:r w:rsidRPr="00BD6C5F">
              <w:rPr>
                <w:rFonts w:asciiTheme="minorHAnsi" w:hAnsiTheme="minorHAnsi" w:cstheme="minorHAnsi"/>
                <w:b/>
              </w:rPr>
              <w:t>”</w:t>
            </w:r>
          </w:p>
        </w:tc>
        <w:tc>
          <w:tcPr>
            <w:tcW w:w="5953" w:type="dxa"/>
          </w:tcPr>
          <w:p w14:paraId="150407E7" w14:textId="0F10690A"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a sub-contractor of the Replacement Supplier to whom Transferring Supplier Employees will transfer on a Service Transfer Date (or any sub-contractor of any such sub-contractor);</w:t>
            </w:r>
          </w:p>
        </w:tc>
      </w:tr>
      <w:tr w:rsidR="00BC7DDA" w:rsidRPr="00BD6C5F" w14:paraId="4871D12B" w14:textId="77777777" w:rsidTr="0041215F">
        <w:tc>
          <w:tcPr>
            <w:tcW w:w="3572" w:type="dxa"/>
          </w:tcPr>
          <w:p w14:paraId="33A1209F" w14:textId="61B41D22" w:rsidR="00BC7DDA" w:rsidRPr="00BD6C5F" w:rsidRDefault="00A4555C" w:rsidP="00187547">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Relevant Transfer</w:t>
            </w:r>
            <w:r w:rsidRPr="00BD6C5F">
              <w:rPr>
                <w:rFonts w:asciiTheme="minorHAnsi" w:hAnsiTheme="minorHAnsi" w:cstheme="minorHAnsi"/>
                <w:b/>
              </w:rPr>
              <w:t>”</w:t>
            </w:r>
          </w:p>
        </w:tc>
        <w:tc>
          <w:tcPr>
            <w:tcW w:w="5953" w:type="dxa"/>
          </w:tcPr>
          <w:p w14:paraId="476D5565" w14:textId="77777777" w:rsidR="00BC7DDA" w:rsidRPr="00BD6C5F" w:rsidRDefault="009B03E9" w:rsidP="00187547">
            <w:pPr>
              <w:pStyle w:val="Tabletext"/>
              <w:rPr>
                <w:rFonts w:asciiTheme="minorHAnsi" w:hAnsiTheme="minorHAnsi" w:cstheme="minorHAnsi"/>
              </w:rPr>
            </w:pPr>
            <w:r w:rsidRPr="00BD6C5F">
              <w:rPr>
                <w:rFonts w:asciiTheme="minorHAnsi" w:hAnsiTheme="minorHAnsi" w:cstheme="minorHAnsi"/>
              </w:rPr>
              <w:t>a transfer of employment to which the Employment Regulations applies;</w:t>
            </w:r>
          </w:p>
        </w:tc>
      </w:tr>
      <w:tr w:rsidR="00187547" w:rsidRPr="00BD6C5F" w14:paraId="74D3D440" w14:textId="77777777" w:rsidTr="0041215F">
        <w:tc>
          <w:tcPr>
            <w:tcW w:w="3572" w:type="dxa"/>
          </w:tcPr>
          <w:p w14:paraId="29B39AF0" w14:textId="650A3B33"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“Relevant Transfer Date”</w:t>
            </w:r>
          </w:p>
        </w:tc>
        <w:tc>
          <w:tcPr>
            <w:tcW w:w="5953" w:type="dxa"/>
          </w:tcPr>
          <w:p w14:paraId="6A4BB10B" w14:textId="10E92CE4"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 xml:space="preserve">in </w:t>
            </w:r>
            <w:r w:rsidRPr="00BD6C5F">
              <w:t>relation</w:t>
            </w:r>
            <w:r w:rsidRPr="00BD6C5F">
              <w:rPr>
                <w:rFonts w:asciiTheme="minorHAnsi" w:hAnsiTheme="minorHAnsi" w:cstheme="minorHAnsi"/>
              </w:rPr>
              <w:t xml:space="preserve"> to a Relevant Transfer, the date upon which the Relevant Transfer takes place. For the purposes of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Schedule_28_Part_D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D</w:t>
            </w:r>
            <w:r w:rsidR="00C101F7">
              <w:rPr>
                <w:rFonts w:asciiTheme="minorHAnsi" w:hAnsiTheme="minorHAnsi" w:cstheme="minorHAnsi"/>
              </w:rPr>
              <w:fldChar w:fldCharType="end"/>
            </w:r>
            <w:r w:rsidRPr="00BD6C5F">
              <w:rPr>
                <w:rFonts w:asciiTheme="minorHAnsi" w:hAnsiTheme="minorHAnsi" w:cstheme="minorHAnsi"/>
              </w:rPr>
              <w:t xml:space="preserve">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Operational Service Commencement Date;</w:t>
            </w:r>
          </w:p>
        </w:tc>
      </w:tr>
      <w:tr w:rsidR="00187547" w:rsidRPr="00BD6C5F" w14:paraId="4C0F81E1" w14:textId="77777777" w:rsidTr="0041215F">
        <w:tc>
          <w:tcPr>
            <w:tcW w:w="3572" w:type="dxa"/>
          </w:tcPr>
          <w:p w14:paraId="0A7EFB36" w14:textId="62D0AA01"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“Service Transfer”</w:t>
            </w:r>
          </w:p>
        </w:tc>
        <w:tc>
          <w:tcPr>
            <w:tcW w:w="5953" w:type="dxa"/>
          </w:tcPr>
          <w:p w14:paraId="44780974" w14:textId="03FDA931"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any transfer of the Services (or any part of the Services), for whatever reason, from the Supplier or any Sub-contractor to a Replacement Supplier or a Replacement Sub-contractor;</w:t>
            </w:r>
          </w:p>
        </w:tc>
      </w:tr>
      <w:tr w:rsidR="00187547" w:rsidRPr="00BD6C5F" w14:paraId="6D871848" w14:textId="77777777" w:rsidTr="0041215F">
        <w:tc>
          <w:tcPr>
            <w:tcW w:w="3572" w:type="dxa"/>
          </w:tcPr>
          <w:p w14:paraId="7D84D944" w14:textId="5ED0D390"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“Service Transfer Date”</w:t>
            </w:r>
          </w:p>
        </w:tc>
        <w:tc>
          <w:tcPr>
            <w:tcW w:w="5953" w:type="dxa"/>
          </w:tcPr>
          <w:p w14:paraId="6C900E72" w14:textId="31F62F50"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the date of a Service Transfer or, if more than one, the date of the relevant Service Transfer as the context requires;</w:t>
            </w:r>
          </w:p>
        </w:tc>
      </w:tr>
      <w:tr w:rsidR="00187547" w:rsidRPr="00BD6C5F" w14:paraId="7E0C0814" w14:textId="77777777" w:rsidTr="0041215F">
        <w:tc>
          <w:tcPr>
            <w:tcW w:w="3572" w:type="dxa"/>
          </w:tcPr>
          <w:p w14:paraId="4C0561FA" w14:textId="21BB7E3C"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“Staffing Information”</w:t>
            </w:r>
          </w:p>
        </w:tc>
        <w:tc>
          <w:tcPr>
            <w:tcW w:w="5953" w:type="dxa"/>
          </w:tcPr>
          <w:p w14:paraId="058C9A67" w14:textId="5DC8E7CD"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 xml:space="preserve">in relation to all persons identified on the Supplier’s Provisional Supplier Personnel List or Supplier’s Final Supplier Personnel List, as the case may be, all information required in Annex </w:t>
            </w:r>
            <w:r w:rsidR="00464636">
              <w:rPr>
                <w:rFonts w:asciiTheme="minorHAnsi" w:hAnsiTheme="minorHAnsi" w:cstheme="minorHAnsi"/>
              </w:rPr>
              <w:fldChar w:fldCharType="begin"/>
            </w:r>
            <w:r w:rsidR="00464636">
              <w:rPr>
                <w:rFonts w:asciiTheme="minorHAnsi" w:hAnsiTheme="minorHAnsi" w:cstheme="minorHAnsi"/>
              </w:rPr>
              <w:instrText xml:space="preserve"> REF Schedule_28_Part_E_Annex_E2 \h </w:instrText>
            </w:r>
            <w:r w:rsidR="00464636">
              <w:rPr>
                <w:rFonts w:asciiTheme="minorHAnsi" w:hAnsiTheme="minorHAnsi" w:cstheme="minorHAnsi"/>
              </w:rPr>
            </w:r>
            <w:r w:rsidR="00464636">
              <w:rPr>
                <w:rFonts w:asciiTheme="minorHAnsi" w:hAnsiTheme="minorHAnsi" w:cstheme="minorHAnsi"/>
              </w:rPr>
              <w:fldChar w:fldCharType="separate"/>
            </w:r>
            <w:r w:rsidR="009749A0" w:rsidRPr="00BD6C5F">
              <w:t>E2</w:t>
            </w:r>
            <w:r w:rsidR="00464636">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hAnsiTheme="minorHAnsi" w:cstheme="minorHAnsi"/>
                <w:i/>
              </w:rPr>
              <w:t>Table of Staffing Information</w:t>
            </w:r>
            <w:r w:rsidRPr="00BD6C5F">
              <w:rPr>
                <w:rFonts w:asciiTheme="minorHAnsi" w:hAnsiTheme="minorHAnsi" w:cstheme="minorHAnsi"/>
              </w:rPr>
              <w:t xml:space="preserve">) in the format specified and with the identities of Data Subjects anonymised where possible. The Authority may acting reasonably make changes to the format or information requested in Annex </w:t>
            </w:r>
            <w:r w:rsidR="00464636">
              <w:rPr>
                <w:rFonts w:asciiTheme="minorHAnsi" w:hAnsiTheme="minorHAnsi" w:cstheme="minorHAnsi"/>
              </w:rPr>
              <w:fldChar w:fldCharType="begin"/>
            </w:r>
            <w:r w:rsidR="00464636">
              <w:rPr>
                <w:rFonts w:asciiTheme="minorHAnsi" w:hAnsiTheme="minorHAnsi" w:cstheme="minorHAnsi"/>
              </w:rPr>
              <w:instrText xml:space="preserve"> REF Schedule_28_Part_E_Annex_E2 \h </w:instrText>
            </w:r>
            <w:r w:rsidR="00464636">
              <w:rPr>
                <w:rFonts w:asciiTheme="minorHAnsi" w:hAnsiTheme="minorHAnsi" w:cstheme="minorHAnsi"/>
              </w:rPr>
            </w:r>
            <w:r w:rsidR="00464636">
              <w:rPr>
                <w:rFonts w:asciiTheme="minorHAnsi" w:hAnsiTheme="minorHAnsi" w:cstheme="minorHAnsi"/>
              </w:rPr>
              <w:fldChar w:fldCharType="separate"/>
            </w:r>
            <w:r w:rsidR="009749A0" w:rsidRPr="00BD6C5F">
              <w:t>E2</w:t>
            </w:r>
            <w:r w:rsidR="00464636">
              <w:rPr>
                <w:rFonts w:asciiTheme="minorHAnsi" w:hAnsiTheme="minorHAnsi" w:cstheme="minorHAnsi"/>
              </w:rPr>
              <w:fldChar w:fldCharType="end"/>
            </w:r>
            <w:r w:rsidRPr="00BD6C5F">
              <w:rPr>
                <w:rFonts w:asciiTheme="minorHAnsi" w:hAnsiTheme="minorHAnsi" w:cstheme="minorHAnsi"/>
              </w:rPr>
              <w:t xml:space="preserve"> from time to time.</w:t>
            </w:r>
          </w:p>
        </w:tc>
      </w:tr>
      <w:tr w:rsidR="00187547" w:rsidRPr="00BD6C5F" w14:paraId="34DA377B" w14:textId="77777777" w:rsidTr="0041215F">
        <w:tc>
          <w:tcPr>
            <w:tcW w:w="3572" w:type="dxa"/>
          </w:tcPr>
          <w:p w14:paraId="694018DE" w14:textId="766E9B17"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“Statutory Schemes”</w:t>
            </w:r>
          </w:p>
        </w:tc>
        <w:tc>
          <w:tcPr>
            <w:tcW w:w="5953" w:type="dxa"/>
          </w:tcPr>
          <w:p w14:paraId="5B06F462" w14:textId="42DF015F"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 xml:space="preserve">means the CSPS, NHSPS or LGPS as defined in the Annexes to </w:t>
            </w:r>
            <w:r w:rsidR="00C101F7">
              <w:rPr>
                <w:rFonts w:asciiTheme="minorHAnsi" w:hAnsiTheme="minorHAnsi" w:cstheme="minorHAnsi"/>
              </w:rPr>
              <w:t>Part </w:t>
            </w:r>
            <w:r w:rsidR="00C101F7">
              <w:rPr>
                <w:rFonts w:asciiTheme="minorHAnsi" w:hAnsiTheme="minorHAnsi" w:cstheme="minorHAnsi"/>
              </w:rPr>
              <w:fldChar w:fldCharType="begin"/>
            </w:r>
            <w:r w:rsidR="00C101F7">
              <w:rPr>
                <w:rFonts w:asciiTheme="minorHAnsi" w:hAnsiTheme="minorHAnsi" w:cstheme="minorHAnsi"/>
              </w:rPr>
              <w:instrText xml:space="preserve"> REF Schedule_28_Part_D \h </w:instrText>
            </w:r>
            <w:r w:rsidR="00C101F7">
              <w:rPr>
                <w:rFonts w:asciiTheme="minorHAnsi" w:hAnsiTheme="minorHAnsi" w:cstheme="minorHAnsi"/>
              </w:rPr>
            </w:r>
            <w:r w:rsidR="00C101F7">
              <w:rPr>
                <w:rFonts w:asciiTheme="minorHAnsi" w:hAnsiTheme="minorHAnsi" w:cstheme="minorHAnsi"/>
              </w:rPr>
              <w:fldChar w:fldCharType="separate"/>
            </w:r>
            <w:r w:rsidR="009749A0" w:rsidRPr="00BD6C5F">
              <w:t>D</w:t>
            </w:r>
            <w:r w:rsidR="00C101F7">
              <w:rPr>
                <w:rFonts w:asciiTheme="minorHAnsi" w:hAnsiTheme="minorHAnsi" w:cstheme="minorHAnsi"/>
              </w:rPr>
              <w:fldChar w:fldCharType="end"/>
            </w:r>
            <w:r w:rsidRPr="00BD6C5F">
              <w:rPr>
                <w:rFonts w:asciiTheme="minorHAnsi" w:hAnsiTheme="minorHAnsi" w:cstheme="minorHAnsi"/>
              </w:rPr>
              <w:t xml:space="preserve"> of this Schedule;</w:t>
            </w:r>
          </w:p>
        </w:tc>
      </w:tr>
      <w:tr w:rsidR="00187547" w:rsidRPr="00BD6C5F" w14:paraId="4F26313A" w14:textId="77777777" w:rsidTr="0041215F">
        <w:tc>
          <w:tcPr>
            <w:tcW w:w="3572" w:type="dxa"/>
          </w:tcPr>
          <w:p w14:paraId="7CE964DD" w14:textId="04EE0224"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“Supplier’s Final Supplier Personnel List”</w:t>
            </w:r>
          </w:p>
        </w:tc>
        <w:tc>
          <w:tcPr>
            <w:tcW w:w="5953" w:type="dxa"/>
          </w:tcPr>
          <w:p w14:paraId="20CF636E" w14:textId="57A52D07"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a list provided by the Supplier of all Supplier Personnel who will transfer under the Employment Regulations on the Service Transfer Date;</w:t>
            </w:r>
          </w:p>
        </w:tc>
      </w:tr>
      <w:tr w:rsidR="00187547" w:rsidRPr="00BD6C5F" w14:paraId="19716FF5" w14:textId="77777777" w:rsidTr="0041215F">
        <w:tc>
          <w:tcPr>
            <w:tcW w:w="3572" w:type="dxa"/>
          </w:tcPr>
          <w:p w14:paraId="5AAF16AD" w14:textId="10C80752"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“Supplier’s Provisional Supplier Personnel List”</w:t>
            </w:r>
          </w:p>
        </w:tc>
        <w:tc>
          <w:tcPr>
            <w:tcW w:w="5953" w:type="dxa"/>
          </w:tcPr>
          <w:p w14:paraId="0A05BEB2" w14:textId="3D5E3848"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187547" w:rsidRPr="00BD6C5F" w14:paraId="176E6A3A" w14:textId="77777777" w:rsidTr="0041215F">
        <w:tc>
          <w:tcPr>
            <w:tcW w:w="3572" w:type="dxa"/>
          </w:tcPr>
          <w:p w14:paraId="1DDF4385" w14:textId="4A6B6549"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“Transferring Authority Employees”</w:t>
            </w:r>
          </w:p>
        </w:tc>
        <w:tc>
          <w:tcPr>
            <w:tcW w:w="5953" w:type="dxa"/>
          </w:tcPr>
          <w:p w14:paraId="192E11D2" w14:textId="5157FCF6"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those employees of the Authority to whom the Employment Regulations will apply on the Relevant Transfer Date;</w:t>
            </w:r>
          </w:p>
        </w:tc>
      </w:tr>
      <w:tr w:rsidR="00187547" w:rsidRPr="00BD6C5F" w14:paraId="16CCA696" w14:textId="77777777" w:rsidTr="0041215F">
        <w:tc>
          <w:tcPr>
            <w:tcW w:w="3572" w:type="dxa"/>
          </w:tcPr>
          <w:p w14:paraId="0C11B7BA" w14:textId="2305736D"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t xml:space="preserve">“Transferring Former Supplier </w:t>
            </w:r>
            <w:r w:rsidRPr="00BD6C5F">
              <w:rPr>
                <w:rFonts w:asciiTheme="minorHAnsi" w:hAnsiTheme="minorHAnsi" w:cstheme="minorHAnsi"/>
                <w:b/>
              </w:rPr>
              <w:lastRenderedPageBreak/>
              <w:t>Employees”</w:t>
            </w:r>
          </w:p>
        </w:tc>
        <w:tc>
          <w:tcPr>
            <w:tcW w:w="5953" w:type="dxa"/>
          </w:tcPr>
          <w:p w14:paraId="1EC215D7" w14:textId="5DB58B58"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lastRenderedPageBreak/>
              <w:t xml:space="preserve">in relation to a Former Supplier, those employees of </w:t>
            </w:r>
            <w:r w:rsidRPr="00BD6C5F">
              <w:rPr>
                <w:rFonts w:asciiTheme="minorHAnsi" w:hAnsiTheme="minorHAnsi" w:cstheme="minorHAnsi"/>
              </w:rPr>
              <w:lastRenderedPageBreak/>
              <w:t>the Former Supplier to whom the Employment Regulations will apply on the Relevant Transfer Date; and</w:t>
            </w:r>
          </w:p>
        </w:tc>
      </w:tr>
      <w:tr w:rsidR="00187547" w:rsidRPr="00BD6C5F" w14:paraId="5C54A9B6" w14:textId="77777777" w:rsidTr="0041215F">
        <w:tc>
          <w:tcPr>
            <w:tcW w:w="3572" w:type="dxa"/>
          </w:tcPr>
          <w:p w14:paraId="4EA45BCA" w14:textId="765E7DB6" w:rsidR="00187547" w:rsidRPr="00BD6C5F" w:rsidRDefault="00187547" w:rsidP="00187547">
            <w:pPr>
              <w:pStyle w:val="Tabletext"/>
              <w:rPr>
                <w:rFonts w:asciiTheme="minorHAnsi" w:hAnsiTheme="minorHAnsi" w:cstheme="minorHAnsi"/>
                <w:b/>
              </w:rPr>
            </w:pPr>
            <w:r w:rsidRPr="00BD6C5F">
              <w:rPr>
                <w:rFonts w:asciiTheme="minorHAnsi" w:hAnsiTheme="minorHAnsi" w:cstheme="minorHAnsi"/>
                <w:b/>
              </w:rPr>
              <w:lastRenderedPageBreak/>
              <w:t>“Transferring Supplier Employees”</w:t>
            </w:r>
          </w:p>
        </w:tc>
        <w:tc>
          <w:tcPr>
            <w:tcW w:w="5953" w:type="dxa"/>
          </w:tcPr>
          <w:p w14:paraId="1262333F" w14:textId="73595965" w:rsidR="00187547" w:rsidRPr="00BD6C5F" w:rsidRDefault="00187547" w:rsidP="00187547">
            <w:pPr>
              <w:pStyle w:val="Tabletext"/>
              <w:rPr>
                <w:rFonts w:asciiTheme="minorHAnsi" w:hAnsiTheme="minorHAnsi" w:cstheme="minorHAnsi"/>
              </w:rPr>
            </w:pPr>
            <w:r w:rsidRPr="00BD6C5F">
              <w:rPr>
                <w:rFonts w:asciiTheme="minorHAnsi" w:hAnsiTheme="minorHAnsi" w:cstheme="minorHAnsi"/>
              </w:rPr>
              <w:t>those employees of the Supplier and/or the Supplier’s Sub-contractors to whom the Employment Regulations will apply on the Service Transfer Date.</w:t>
            </w:r>
          </w:p>
        </w:tc>
      </w:tr>
    </w:tbl>
    <w:p w14:paraId="11611F13" w14:textId="0D62B301" w:rsidR="00BC7DDA" w:rsidRPr="00BD6C5F" w:rsidRDefault="00BA3C57" w:rsidP="00C5057A">
      <w:pPr>
        <w:pStyle w:val="Numbered1"/>
      </w:pPr>
      <w:r w:rsidRPr="00BD6C5F">
        <w:t>Interpretation</w:t>
      </w:r>
    </w:p>
    <w:p w14:paraId="55F1DE70" w14:textId="77777777" w:rsidR="00BC7DDA" w:rsidRPr="00BD6C5F" w:rsidRDefault="009B03E9" w:rsidP="00C5057A">
      <w:pPr>
        <w:pStyle w:val="Numbered11"/>
      </w:pPr>
      <w:r w:rsidRPr="00BD6C5F">
        <w:t>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Sub-contractor, as the case may be.</w:t>
      </w:r>
    </w:p>
    <w:p w14:paraId="302499F3" w14:textId="18C81147" w:rsidR="00964D4F" w:rsidRPr="00BD6C5F" w:rsidRDefault="00BA3C57" w:rsidP="00C5057A">
      <w:pPr>
        <w:pStyle w:val="Numbered1"/>
      </w:pPr>
      <w:r w:rsidRPr="00BD6C5F">
        <w:t>Applicable Parts of this Schedule</w:t>
      </w:r>
    </w:p>
    <w:p w14:paraId="0732D48D" w14:textId="45B5A9B3" w:rsidR="00964D4F" w:rsidRPr="00BD6C5F" w:rsidRDefault="00204B05" w:rsidP="009F4A63">
      <w:pPr>
        <w:pStyle w:val="Numbered11"/>
        <w:keepNext/>
      </w:pPr>
      <w:bookmarkStart w:id="1584" w:name="_Ref98320475"/>
      <w:r>
        <w:t>T</w:t>
      </w:r>
      <w:r w:rsidR="00964D4F" w:rsidRPr="00BD6C5F">
        <w:t>he following parts of this Schedule shall apply to this Contract:</w:t>
      </w:r>
      <w:bookmarkEnd w:id="1584"/>
    </w:p>
    <w:p w14:paraId="4410CD76" w14:textId="4A475D2F" w:rsidR="00964D4F" w:rsidRPr="00BD6C5F" w:rsidRDefault="00964D4F" w:rsidP="00187547">
      <w:pPr>
        <w:spacing w:before="100" w:after="200"/>
        <w:ind w:left="720"/>
        <w:rPr>
          <w:rFonts w:asciiTheme="minorHAnsi" w:hAnsiTheme="minorHAnsi" w:cstheme="minorHAnsi"/>
          <w:szCs w:val="24"/>
          <w:highlight w:val="yellow"/>
        </w:rPr>
      </w:pPr>
      <w:r w:rsidRPr="00BD6C5F">
        <w:rPr>
          <w:rFonts w:asciiTheme="minorHAnsi" w:hAnsiTheme="minorHAnsi" w:cstheme="minorHAnsi"/>
          <w:b/>
          <w:szCs w:val="24"/>
        </w:rPr>
        <w:t>[</w:t>
      </w:r>
      <w:r w:rsidR="00204B05" w:rsidRPr="00EA528A">
        <w:rPr>
          <w:rFonts w:asciiTheme="minorHAnsi" w:hAnsiTheme="minorHAnsi" w:cstheme="minorHAnsi"/>
          <w:b/>
          <w:szCs w:val="24"/>
          <w:highlight w:val="yellow"/>
        </w:rPr>
        <w:t>Mark N/A</w:t>
      </w:r>
      <w:r w:rsidR="00204B05" w:rsidRPr="00BD6C5F">
        <w:rPr>
          <w:rFonts w:asciiTheme="minorHAnsi" w:hAnsiTheme="minorHAnsi" w:cstheme="minorHAnsi"/>
          <w:szCs w:val="24"/>
          <w:highlight w:val="yellow"/>
        </w:rPr>
        <w:t xml:space="preserve"> </w:t>
      </w:r>
      <w:r w:rsidRPr="00BD6C5F">
        <w:rPr>
          <w:rFonts w:asciiTheme="minorHAnsi" w:hAnsiTheme="minorHAnsi" w:cstheme="minorHAnsi"/>
          <w:szCs w:val="24"/>
          <w:highlight w:val="yellow"/>
        </w:rPr>
        <w:t>if not applicable to the Contract]</w:t>
      </w:r>
    </w:p>
    <w:p w14:paraId="53A6F019" w14:textId="029891CA" w:rsidR="00964D4F" w:rsidRPr="00BD6C5F" w:rsidRDefault="00964D4F" w:rsidP="00C101F7">
      <w:pPr>
        <w:pStyle w:val="Numbered111"/>
        <w:rPr>
          <w:highlight w:val="yellow"/>
        </w:rPr>
      </w:pPr>
      <w:r w:rsidRPr="00BD6C5F">
        <w:rPr>
          <w:highlight w:val="yellow"/>
        </w:rPr>
        <w:t>[</w:t>
      </w:r>
      <w:r w:rsidR="00C101F7">
        <w:rPr>
          <w:highlight w:val="yellow"/>
        </w:rPr>
        <w:t>Part </w:t>
      </w:r>
      <w:r w:rsidR="00C101F7">
        <w:rPr>
          <w:highlight w:val="yellow"/>
        </w:rPr>
        <w:fldChar w:fldCharType="begin"/>
      </w:r>
      <w:r w:rsidR="00C101F7">
        <w:rPr>
          <w:highlight w:val="yellow"/>
        </w:rPr>
        <w:instrText xml:space="preserve"> REF Schedule_28_Part_A \h  \* MERGEFORMAT </w:instrText>
      </w:r>
      <w:r w:rsidR="00C101F7">
        <w:rPr>
          <w:highlight w:val="yellow"/>
        </w:rPr>
      </w:r>
      <w:r w:rsidR="00C101F7">
        <w:rPr>
          <w:highlight w:val="yellow"/>
        </w:rPr>
        <w:fldChar w:fldCharType="separate"/>
      </w:r>
      <w:r w:rsidR="009749A0" w:rsidRPr="00BD6C5F">
        <w:t>A</w:t>
      </w:r>
      <w:r w:rsidR="00C101F7">
        <w:rPr>
          <w:highlight w:val="yellow"/>
        </w:rPr>
        <w:fldChar w:fldCharType="end"/>
      </w:r>
      <w:r w:rsidR="00C101F7">
        <w:rPr>
          <w:highlight w:val="yellow"/>
        </w:rPr>
        <w:t xml:space="preserve"> </w:t>
      </w:r>
      <w:r w:rsidRPr="00BD6C5F">
        <w:rPr>
          <w:highlight w:val="yellow"/>
        </w:rPr>
        <w:t>(</w:t>
      </w:r>
      <w:r w:rsidRPr="00EA528A">
        <w:rPr>
          <w:i/>
          <w:iCs/>
          <w:highlight w:val="yellow"/>
        </w:rPr>
        <w:t xml:space="preserve">Staff Transfer At </w:t>
      </w:r>
      <w:r w:rsidR="00204B05" w:rsidRPr="00EA528A">
        <w:rPr>
          <w:i/>
          <w:iCs/>
          <w:highlight w:val="yellow"/>
        </w:rPr>
        <w:t xml:space="preserve">Operational Service Commencement Date </w:t>
      </w:r>
      <w:r w:rsidRPr="00EA528A">
        <w:rPr>
          <w:i/>
          <w:iCs/>
          <w:highlight w:val="yellow"/>
        </w:rPr>
        <w:t>– Outsourcing From the Authority</w:t>
      </w:r>
      <w:r w:rsidRPr="00BD6C5F">
        <w:rPr>
          <w:highlight w:val="yellow"/>
        </w:rPr>
        <w:t>)]</w:t>
      </w:r>
    </w:p>
    <w:p w14:paraId="4655CCD1" w14:textId="57DBF677" w:rsidR="00964D4F" w:rsidRPr="00BD6C5F" w:rsidRDefault="00964D4F" w:rsidP="00C101F7">
      <w:pPr>
        <w:pStyle w:val="Numbered111"/>
        <w:rPr>
          <w:highlight w:val="yellow"/>
        </w:rPr>
      </w:pPr>
      <w:r w:rsidRPr="00BD6C5F">
        <w:rPr>
          <w:highlight w:val="yellow"/>
        </w:rPr>
        <w:t>[</w:t>
      </w:r>
      <w:r w:rsidR="00C101F7">
        <w:rPr>
          <w:highlight w:val="yellow"/>
        </w:rPr>
        <w:t>Part </w:t>
      </w:r>
      <w:r w:rsidR="00C101F7">
        <w:rPr>
          <w:highlight w:val="yellow"/>
        </w:rPr>
        <w:fldChar w:fldCharType="begin"/>
      </w:r>
      <w:r w:rsidR="00C101F7">
        <w:rPr>
          <w:highlight w:val="yellow"/>
        </w:rPr>
        <w:instrText xml:space="preserve"> REF Schedule_28_Part_B \h  \* MERGEFORMAT </w:instrText>
      </w:r>
      <w:r w:rsidR="00C101F7">
        <w:rPr>
          <w:highlight w:val="yellow"/>
        </w:rPr>
      </w:r>
      <w:r w:rsidR="00C101F7">
        <w:rPr>
          <w:highlight w:val="yellow"/>
        </w:rPr>
        <w:fldChar w:fldCharType="separate"/>
      </w:r>
      <w:r w:rsidR="009749A0" w:rsidRPr="00BD6C5F">
        <w:t>B</w:t>
      </w:r>
      <w:r w:rsidR="00C101F7">
        <w:rPr>
          <w:highlight w:val="yellow"/>
        </w:rPr>
        <w:fldChar w:fldCharType="end"/>
      </w:r>
      <w:r w:rsidR="00C101F7">
        <w:rPr>
          <w:highlight w:val="yellow"/>
        </w:rPr>
        <w:t xml:space="preserve"> </w:t>
      </w:r>
      <w:r w:rsidRPr="00BD6C5F">
        <w:rPr>
          <w:highlight w:val="yellow"/>
        </w:rPr>
        <w:t>(</w:t>
      </w:r>
      <w:r w:rsidRPr="00EA528A">
        <w:rPr>
          <w:i/>
          <w:iCs/>
          <w:highlight w:val="yellow"/>
        </w:rPr>
        <w:t xml:space="preserve">Staff Transfer At </w:t>
      </w:r>
      <w:r w:rsidR="00204B05" w:rsidRPr="00EA528A">
        <w:rPr>
          <w:i/>
          <w:iCs/>
          <w:highlight w:val="yellow"/>
        </w:rPr>
        <w:t xml:space="preserve">Operational Service Commencement </w:t>
      </w:r>
      <w:r w:rsidRPr="00EA528A">
        <w:rPr>
          <w:i/>
          <w:iCs/>
          <w:highlight w:val="yellow"/>
        </w:rPr>
        <w:t>Date – Transfer From Former Supplier</w:t>
      </w:r>
      <w:r w:rsidRPr="00BD6C5F">
        <w:rPr>
          <w:highlight w:val="yellow"/>
        </w:rPr>
        <w:t>)]</w:t>
      </w:r>
    </w:p>
    <w:p w14:paraId="649F50AE" w14:textId="38C778E2" w:rsidR="00964D4F" w:rsidRPr="00BD6C5F" w:rsidRDefault="00964D4F" w:rsidP="00C101F7">
      <w:pPr>
        <w:pStyle w:val="Numbered111"/>
        <w:rPr>
          <w:highlight w:val="yellow"/>
        </w:rPr>
      </w:pPr>
      <w:r w:rsidRPr="00BD6C5F">
        <w:rPr>
          <w:highlight w:val="yellow"/>
        </w:rPr>
        <w:t>[</w:t>
      </w:r>
      <w:r w:rsidR="00C101F7">
        <w:rPr>
          <w:highlight w:val="yellow"/>
        </w:rPr>
        <w:t>Part </w:t>
      </w:r>
      <w:r w:rsidR="00C101F7">
        <w:rPr>
          <w:highlight w:val="yellow"/>
        </w:rPr>
        <w:fldChar w:fldCharType="begin"/>
      </w:r>
      <w:r w:rsidR="00C101F7">
        <w:rPr>
          <w:highlight w:val="yellow"/>
        </w:rPr>
        <w:instrText xml:space="preserve"> REF Schedule_28_Part_C \h  \* MERGEFORMAT </w:instrText>
      </w:r>
      <w:r w:rsidR="00C101F7">
        <w:rPr>
          <w:highlight w:val="yellow"/>
        </w:rPr>
      </w:r>
      <w:r w:rsidR="00C101F7">
        <w:rPr>
          <w:highlight w:val="yellow"/>
        </w:rPr>
        <w:fldChar w:fldCharType="separate"/>
      </w:r>
      <w:r w:rsidR="009749A0" w:rsidRPr="00BD6C5F">
        <w:t>C</w:t>
      </w:r>
      <w:r w:rsidR="00C101F7">
        <w:rPr>
          <w:highlight w:val="yellow"/>
        </w:rPr>
        <w:fldChar w:fldCharType="end"/>
      </w:r>
      <w:r w:rsidR="00C101F7">
        <w:rPr>
          <w:highlight w:val="yellow"/>
        </w:rPr>
        <w:t xml:space="preserve"> </w:t>
      </w:r>
      <w:r w:rsidRPr="00BD6C5F">
        <w:rPr>
          <w:highlight w:val="yellow"/>
        </w:rPr>
        <w:t>(</w:t>
      </w:r>
      <w:r w:rsidRPr="00EA528A">
        <w:rPr>
          <w:i/>
          <w:iCs/>
          <w:highlight w:val="yellow"/>
        </w:rPr>
        <w:t xml:space="preserve">No Staff Transfer </w:t>
      </w:r>
      <w:r w:rsidR="00204B05" w:rsidRPr="00EA528A">
        <w:rPr>
          <w:i/>
          <w:iCs/>
          <w:highlight w:val="yellow"/>
        </w:rPr>
        <w:t xml:space="preserve">Expected </w:t>
      </w:r>
      <w:r w:rsidRPr="00EA528A">
        <w:rPr>
          <w:i/>
          <w:iCs/>
          <w:highlight w:val="yellow"/>
        </w:rPr>
        <w:t xml:space="preserve">On </w:t>
      </w:r>
      <w:r w:rsidR="00204B05" w:rsidRPr="00EA528A">
        <w:rPr>
          <w:i/>
          <w:iCs/>
          <w:highlight w:val="yellow"/>
        </w:rPr>
        <w:t xml:space="preserve">Operational Service Commencement </w:t>
      </w:r>
      <w:r w:rsidRPr="00EA528A">
        <w:rPr>
          <w:i/>
          <w:iCs/>
          <w:highlight w:val="yellow"/>
        </w:rPr>
        <w:t>Date</w:t>
      </w:r>
      <w:r w:rsidRPr="00BD6C5F">
        <w:rPr>
          <w:highlight w:val="yellow"/>
        </w:rPr>
        <w:t>)]</w:t>
      </w:r>
    </w:p>
    <w:p w14:paraId="4EE70C7C" w14:textId="0E060717" w:rsidR="00964D4F" w:rsidRPr="00BD6C5F" w:rsidRDefault="00964D4F" w:rsidP="00C101F7">
      <w:pPr>
        <w:pStyle w:val="Numbered111"/>
        <w:rPr>
          <w:highlight w:val="yellow"/>
        </w:rPr>
      </w:pPr>
      <w:r w:rsidRPr="00BD6C5F">
        <w:rPr>
          <w:highlight w:val="yellow"/>
        </w:rPr>
        <w:t>[</w:t>
      </w:r>
      <w:r w:rsidR="00C101F7">
        <w:rPr>
          <w:highlight w:val="yellow"/>
        </w:rPr>
        <w:t>Part </w:t>
      </w:r>
      <w:r w:rsidR="00C101F7">
        <w:rPr>
          <w:highlight w:val="yellow"/>
        </w:rPr>
        <w:fldChar w:fldCharType="begin"/>
      </w:r>
      <w:r w:rsidR="00C101F7">
        <w:rPr>
          <w:highlight w:val="yellow"/>
        </w:rPr>
        <w:instrText xml:space="preserve"> REF Schedule_28_Part_D \h  \* MERGEFORMAT </w:instrText>
      </w:r>
      <w:r w:rsidR="00C101F7">
        <w:rPr>
          <w:highlight w:val="yellow"/>
        </w:rPr>
      </w:r>
      <w:r w:rsidR="00C101F7">
        <w:rPr>
          <w:highlight w:val="yellow"/>
        </w:rPr>
        <w:fldChar w:fldCharType="separate"/>
      </w:r>
      <w:r w:rsidR="009749A0" w:rsidRPr="00BD6C5F">
        <w:t>D</w:t>
      </w:r>
      <w:r w:rsidR="00C101F7">
        <w:rPr>
          <w:highlight w:val="yellow"/>
        </w:rPr>
        <w:fldChar w:fldCharType="end"/>
      </w:r>
      <w:r w:rsidR="00C101F7">
        <w:rPr>
          <w:highlight w:val="yellow"/>
        </w:rPr>
        <w:t xml:space="preserve"> </w:t>
      </w:r>
      <w:r w:rsidRPr="00BD6C5F">
        <w:rPr>
          <w:highlight w:val="yellow"/>
        </w:rPr>
        <w:t>(</w:t>
      </w:r>
      <w:r w:rsidRPr="00EA528A">
        <w:rPr>
          <w:i/>
          <w:iCs/>
          <w:highlight w:val="yellow"/>
        </w:rPr>
        <w:t>Pensions</w:t>
      </w:r>
      <w:r w:rsidRPr="00BD6C5F">
        <w:rPr>
          <w:highlight w:val="yellow"/>
        </w:rPr>
        <w:t>)]</w:t>
      </w:r>
    </w:p>
    <w:p w14:paraId="10D6D2C2" w14:textId="61E39CF4" w:rsidR="00964D4F" w:rsidRPr="00BD6C5F" w:rsidRDefault="00964D4F" w:rsidP="00EA528A">
      <w:pPr>
        <w:pStyle w:val="Numbered111a"/>
        <w:rPr>
          <w:highlight w:val="yellow"/>
        </w:rPr>
      </w:pPr>
      <w:r w:rsidRPr="00BD6C5F">
        <w:rPr>
          <w:highlight w:val="yellow"/>
        </w:rPr>
        <w:t>[</w:t>
      </w:r>
      <w:r w:rsidR="000E1EDB">
        <w:rPr>
          <w:highlight w:val="yellow"/>
        </w:rPr>
        <w:t>Annex </w:t>
      </w:r>
      <w:r w:rsidR="000E1EDB">
        <w:rPr>
          <w:highlight w:val="yellow"/>
        </w:rPr>
        <w:fldChar w:fldCharType="begin"/>
      </w:r>
      <w:r w:rsidR="000E1EDB">
        <w:rPr>
          <w:highlight w:val="yellow"/>
        </w:rPr>
        <w:instrText xml:space="preserve"> REF Schedule_28_Part_D_Annex_1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1</w:t>
      </w:r>
      <w:r w:rsidR="000E1EDB">
        <w:rPr>
          <w:highlight w:val="yellow"/>
        </w:rPr>
        <w:fldChar w:fldCharType="end"/>
      </w:r>
      <w:r w:rsidRPr="00BD6C5F">
        <w:rPr>
          <w:highlight w:val="yellow"/>
        </w:rPr>
        <w:t xml:space="preserve"> (</w:t>
      </w:r>
      <w:r w:rsidRPr="000E1EDB">
        <w:rPr>
          <w:i/>
          <w:iCs/>
          <w:highlight w:val="yellow"/>
        </w:rPr>
        <w:t>CSPS</w:t>
      </w:r>
      <w:r w:rsidRPr="00BD6C5F">
        <w:rPr>
          <w:highlight w:val="yellow"/>
        </w:rPr>
        <w:t>)</w:t>
      </w:r>
      <w:r w:rsidR="000E1EDB">
        <w:rPr>
          <w:highlight w:val="yellow"/>
        </w:rPr>
        <w:t xml:space="preserve"> of Part </w:t>
      </w:r>
      <w:r w:rsidR="000E1EDB">
        <w:rPr>
          <w:highlight w:val="yellow"/>
        </w:rPr>
        <w:fldChar w:fldCharType="begin"/>
      </w:r>
      <w:r w:rsidR="000E1EDB">
        <w:rPr>
          <w:highlight w:val="yellow"/>
        </w:rPr>
        <w:instrText xml:space="preserve"> REF Schedule_28_Part_D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D</w:t>
      </w:r>
      <w:r w:rsidR="000E1EDB">
        <w:rPr>
          <w:highlight w:val="yellow"/>
        </w:rPr>
        <w:fldChar w:fldCharType="end"/>
      </w:r>
      <w:r w:rsidRPr="00BD6C5F">
        <w:rPr>
          <w:highlight w:val="yellow"/>
        </w:rPr>
        <w:t>]</w:t>
      </w:r>
    </w:p>
    <w:p w14:paraId="1C600A8F" w14:textId="0BD660F4" w:rsidR="00964D4F" w:rsidRPr="00BD6C5F" w:rsidRDefault="00964D4F" w:rsidP="00EA528A">
      <w:pPr>
        <w:pStyle w:val="Numbered111a"/>
        <w:rPr>
          <w:highlight w:val="yellow"/>
        </w:rPr>
      </w:pPr>
      <w:r w:rsidRPr="00BD6C5F">
        <w:rPr>
          <w:highlight w:val="yellow"/>
        </w:rPr>
        <w:t>[</w:t>
      </w:r>
      <w:r w:rsidR="000E1EDB">
        <w:rPr>
          <w:highlight w:val="yellow"/>
        </w:rPr>
        <w:t>Annex </w:t>
      </w:r>
      <w:r w:rsidR="000E1EDB">
        <w:rPr>
          <w:highlight w:val="yellow"/>
        </w:rPr>
        <w:fldChar w:fldCharType="begin"/>
      </w:r>
      <w:r w:rsidR="000E1EDB">
        <w:rPr>
          <w:highlight w:val="yellow"/>
        </w:rPr>
        <w:instrText xml:space="preserve"> REF Schedule_28_Part_D_Annex_2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2</w:t>
      </w:r>
      <w:r w:rsidR="000E1EDB">
        <w:rPr>
          <w:highlight w:val="yellow"/>
        </w:rPr>
        <w:fldChar w:fldCharType="end"/>
      </w:r>
      <w:r w:rsidR="000E1EDB">
        <w:rPr>
          <w:highlight w:val="yellow"/>
        </w:rPr>
        <w:t xml:space="preserve"> </w:t>
      </w:r>
      <w:r w:rsidRPr="00BD6C5F">
        <w:rPr>
          <w:highlight w:val="yellow"/>
        </w:rPr>
        <w:t>(</w:t>
      </w:r>
      <w:r w:rsidRPr="00EA528A">
        <w:rPr>
          <w:i/>
          <w:iCs/>
          <w:highlight w:val="yellow"/>
        </w:rPr>
        <w:t>NHSPS</w:t>
      </w:r>
      <w:r w:rsidRPr="00BD6C5F">
        <w:rPr>
          <w:highlight w:val="yellow"/>
        </w:rPr>
        <w:t xml:space="preserve">) </w:t>
      </w:r>
      <w:r w:rsidR="000E1EDB">
        <w:rPr>
          <w:highlight w:val="yellow"/>
        </w:rPr>
        <w:t>of Part </w:t>
      </w:r>
      <w:r w:rsidR="000E1EDB">
        <w:rPr>
          <w:highlight w:val="yellow"/>
        </w:rPr>
        <w:fldChar w:fldCharType="begin"/>
      </w:r>
      <w:r w:rsidR="000E1EDB">
        <w:rPr>
          <w:highlight w:val="yellow"/>
        </w:rPr>
        <w:instrText xml:space="preserve"> REF Schedule_28_Part_D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D</w:t>
      </w:r>
      <w:r w:rsidR="000E1EDB">
        <w:rPr>
          <w:highlight w:val="yellow"/>
        </w:rPr>
        <w:fldChar w:fldCharType="end"/>
      </w:r>
      <w:r w:rsidRPr="00BD6C5F">
        <w:rPr>
          <w:highlight w:val="yellow"/>
        </w:rPr>
        <w:t>]</w:t>
      </w:r>
    </w:p>
    <w:p w14:paraId="2B81DEA0" w14:textId="0A24C365" w:rsidR="00964D4F" w:rsidRPr="00BD6C5F" w:rsidRDefault="00964D4F" w:rsidP="00EA528A">
      <w:pPr>
        <w:pStyle w:val="Numbered111a"/>
        <w:rPr>
          <w:highlight w:val="yellow"/>
        </w:rPr>
      </w:pPr>
      <w:r w:rsidRPr="00BD6C5F">
        <w:rPr>
          <w:highlight w:val="yellow"/>
        </w:rPr>
        <w:t>[</w:t>
      </w:r>
      <w:r w:rsidR="000E1EDB">
        <w:rPr>
          <w:highlight w:val="yellow"/>
        </w:rPr>
        <w:t>Annex </w:t>
      </w:r>
      <w:r w:rsidR="000E1EDB">
        <w:rPr>
          <w:highlight w:val="yellow"/>
        </w:rPr>
        <w:fldChar w:fldCharType="begin"/>
      </w:r>
      <w:r w:rsidR="000E1EDB">
        <w:rPr>
          <w:highlight w:val="yellow"/>
        </w:rPr>
        <w:instrText xml:space="preserve"> REF Schedule_28_Part_D_Annex_3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3</w:t>
      </w:r>
      <w:r w:rsidR="000E1EDB">
        <w:rPr>
          <w:highlight w:val="yellow"/>
        </w:rPr>
        <w:fldChar w:fldCharType="end"/>
      </w:r>
      <w:r w:rsidRPr="00BD6C5F">
        <w:rPr>
          <w:highlight w:val="yellow"/>
        </w:rPr>
        <w:t xml:space="preserve"> (</w:t>
      </w:r>
      <w:r w:rsidRPr="00EA528A">
        <w:rPr>
          <w:i/>
          <w:iCs/>
          <w:highlight w:val="yellow"/>
        </w:rPr>
        <w:t>LGPS</w:t>
      </w:r>
      <w:r w:rsidRPr="00BD6C5F">
        <w:rPr>
          <w:highlight w:val="yellow"/>
        </w:rPr>
        <w:t>)</w:t>
      </w:r>
      <w:r w:rsidR="000E1EDB">
        <w:rPr>
          <w:highlight w:val="yellow"/>
        </w:rPr>
        <w:t xml:space="preserve"> of Part </w:t>
      </w:r>
      <w:r w:rsidR="000E1EDB">
        <w:rPr>
          <w:highlight w:val="yellow"/>
        </w:rPr>
        <w:fldChar w:fldCharType="begin"/>
      </w:r>
      <w:r w:rsidR="000E1EDB">
        <w:rPr>
          <w:highlight w:val="yellow"/>
        </w:rPr>
        <w:instrText xml:space="preserve"> REF Schedule_28_Part_D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D</w:t>
      </w:r>
      <w:r w:rsidR="000E1EDB">
        <w:rPr>
          <w:highlight w:val="yellow"/>
        </w:rPr>
        <w:fldChar w:fldCharType="end"/>
      </w:r>
      <w:r w:rsidRPr="00BD6C5F">
        <w:rPr>
          <w:highlight w:val="yellow"/>
        </w:rPr>
        <w:t>]</w:t>
      </w:r>
    </w:p>
    <w:p w14:paraId="0A3E94CF" w14:textId="7F76759C" w:rsidR="00DE03A4" w:rsidRPr="00DE03A4" w:rsidRDefault="00964D4F" w:rsidP="00EA528A">
      <w:pPr>
        <w:pStyle w:val="Numbered111a"/>
      </w:pPr>
      <w:r w:rsidRPr="00DE03A4">
        <w:rPr>
          <w:highlight w:val="yellow"/>
        </w:rPr>
        <w:t>[</w:t>
      </w:r>
      <w:r w:rsidR="000E1EDB">
        <w:rPr>
          <w:highlight w:val="yellow"/>
        </w:rPr>
        <w:t>Annex </w:t>
      </w:r>
      <w:r w:rsidR="000E1EDB">
        <w:rPr>
          <w:highlight w:val="yellow"/>
        </w:rPr>
        <w:fldChar w:fldCharType="begin"/>
      </w:r>
      <w:r w:rsidR="000E1EDB">
        <w:rPr>
          <w:highlight w:val="yellow"/>
        </w:rPr>
        <w:instrText xml:space="preserve"> REF Schedule_28_Part_D_Annex_4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4</w:t>
      </w:r>
      <w:r w:rsidR="000E1EDB">
        <w:rPr>
          <w:highlight w:val="yellow"/>
        </w:rPr>
        <w:fldChar w:fldCharType="end"/>
      </w:r>
      <w:r w:rsidR="000E1EDB">
        <w:rPr>
          <w:highlight w:val="yellow"/>
        </w:rPr>
        <w:t xml:space="preserve"> </w:t>
      </w:r>
      <w:r w:rsidRPr="00DE03A4">
        <w:rPr>
          <w:highlight w:val="yellow"/>
        </w:rPr>
        <w:t>(</w:t>
      </w:r>
      <w:r w:rsidRPr="00EA528A">
        <w:rPr>
          <w:i/>
          <w:iCs/>
          <w:highlight w:val="yellow"/>
        </w:rPr>
        <w:t>Other Schemes</w:t>
      </w:r>
      <w:r w:rsidRPr="00DE03A4">
        <w:rPr>
          <w:highlight w:val="yellow"/>
        </w:rPr>
        <w:t>)</w:t>
      </w:r>
      <w:r w:rsidR="000E1EDB">
        <w:rPr>
          <w:highlight w:val="yellow"/>
        </w:rPr>
        <w:t xml:space="preserve"> of Part </w:t>
      </w:r>
      <w:r w:rsidR="000E1EDB">
        <w:rPr>
          <w:highlight w:val="yellow"/>
        </w:rPr>
        <w:fldChar w:fldCharType="begin"/>
      </w:r>
      <w:r w:rsidR="000E1EDB">
        <w:rPr>
          <w:highlight w:val="yellow"/>
        </w:rPr>
        <w:instrText xml:space="preserve"> REF Schedule_28_Part_D \h </w:instrText>
      </w:r>
      <w:r w:rsidR="00C101F7">
        <w:rPr>
          <w:highlight w:val="yellow"/>
        </w:rPr>
        <w:instrText xml:space="preserve"> \* MERGEFORMAT </w:instrText>
      </w:r>
      <w:r w:rsidR="000E1EDB">
        <w:rPr>
          <w:highlight w:val="yellow"/>
        </w:rPr>
      </w:r>
      <w:r w:rsidR="000E1EDB">
        <w:rPr>
          <w:highlight w:val="yellow"/>
        </w:rPr>
        <w:fldChar w:fldCharType="separate"/>
      </w:r>
      <w:r w:rsidR="009749A0" w:rsidRPr="00BD6C5F">
        <w:t>D</w:t>
      </w:r>
      <w:r w:rsidR="000E1EDB">
        <w:rPr>
          <w:highlight w:val="yellow"/>
        </w:rPr>
        <w:fldChar w:fldCharType="end"/>
      </w:r>
      <w:r w:rsidRPr="00DE03A4">
        <w:rPr>
          <w:highlight w:val="yellow"/>
        </w:rPr>
        <w:t>]</w:t>
      </w:r>
    </w:p>
    <w:p w14:paraId="19299CC5" w14:textId="2DE64B17" w:rsidR="00964D4F" w:rsidRPr="00DE03A4" w:rsidRDefault="000E1EDB" w:rsidP="00C101F7">
      <w:pPr>
        <w:pStyle w:val="Numbered111"/>
      </w:pPr>
      <w:r>
        <w:t>Part </w:t>
      </w:r>
      <w:r>
        <w:fldChar w:fldCharType="begin"/>
      </w:r>
      <w:r>
        <w:instrText xml:space="preserve"> REF Schedule_28_Part_E \h </w:instrText>
      </w:r>
      <w:r w:rsidR="00C101F7">
        <w:instrText xml:space="preserve"> \* MERGEFORMAT </w:instrText>
      </w:r>
      <w:r>
        <w:fldChar w:fldCharType="separate"/>
      </w:r>
      <w:r w:rsidR="009749A0" w:rsidRPr="00BD6C5F">
        <w:t>E</w:t>
      </w:r>
      <w:r>
        <w:fldChar w:fldCharType="end"/>
      </w:r>
      <w:r w:rsidR="00964D4F" w:rsidRPr="00DE03A4">
        <w:t xml:space="preserve"> (</w:t>
      </w:r>
      <w:r w:rsidR="00964D4F" w:rsidRPr="000E1EDB">
        <w:rPr>
          <w:i/>
          <w:iCs/>
        </w:rPr>
        <w:t>Staff Transfer on Exit</w:t>
      </w:r>
      <w:r w:rsidR="00964D4F" w:rsidRPr="00DE03A4">
        <w:t>)</w:t>
      </w:r>
      <w:r w:rsidR="002E33A0">
        <w:t xml:space="preserve"> </w:t>
      </w:r>
      <w:r w:rsidR="002E33A0" w:rsidRPr="002E33A0">
        <w:t>of this Schedule will always apply to this Contract, including:</w:t>
      </w:r>
    </w:p>
    <w:p w14:paraId="6C6FEE55" w14:textId="636F6EF7" w:rsidR="00964D4F" w:rsidRPr="00BD6C5F" w:rsidRDefault="00964D4F" w:rsidP="00EA528A">
      <w:pPr>
        <w:pStyle w:val="Numbered111a"/>
      </w:pPr>
      <w:r w:rsidRPr="00BD6C5F">
        <w:t>Annex</w:t>
      </w:r>
      <w:r w:rsidR="000E1EDB">
        <w:t> </w:t>
      </w:r>
      <w:r w:rsidR="000E1EDB">
        <w:fldChar w:fldCharType="begin"/>
      </w:r>
      <w:r w:rsidR="000E1EDB">
        <w:instrText xml:space="preserve"> REF Schedule_28_Part_E_Annex_E1 \h </w:instrText>
      </w:r>
      <w:r w:rsidR="00C101F7">
        <w:instrText xml:space="preserve"> \* MERGEFORMAT </w:instrText>
      </w:r>
      <w:r w:rsidR="000E1EDB">
        <w:fldChar w:fldCharType="separate"/>
      </w:r>
      <w:r w:rsidR="009749A0" w:rsidRPr="00BD6C5F">
        <w:t>E1</w:t>
      </w:r>
      <w:r w:rsidR="000E1EDB">
        <w:fldChar w:fldCharType="end"/>
      </w:r>
      <w:r w:rsidRPr="00BD6C5F">
        <w:t xml:space="preserve"> (</w:t>
      </w:r>
      <w:r w:rsidRPr="00EA528A">
        <w:rPr>
          <w:i/>
          <w:iCs/>
        </w:rPr>
        <w:t>List of Notified Subcontractors</w:t>
      </w:r>
      <w:r w:rsidRPr="00BD6C5F">
        <w:t>)</w:t>
      </w:r>
    </w:p>
    <w:p w14:paraId="1D1718A2" w14:textId="0C3A8C50" w:rsidR="00964D4F" w:rsidRPr="00BD6C5F" w:rsidRDefault="00964D4F" w:rsidP="00EA528A">
      <w:pPr>
        <w:pStyle w:val="Numbered111a"/>
      </w:pPr>
      <w:r w:rsidRPr="00BD6C5F">
        <w:t>Annex</w:t>
      </w:r>
      <w:r w:rsidR="000E1EDB">
        <w:t> </w:t>
      </w:r>
      <w:r w:rsidR="000E1EDB">
        <w:fldChar w:fldCharType="begin"/>
      </w:r>
      <w:r w:rsidR="000E1EDB">
        <w:instrText xml:space="preserve"> REF Schedule_28_Part_E_Annex_E2 \h </w:instrText>
      </w:r>
      <w:r w:rsidR="00C101F7">
        <w:instrText xml:space="preserve"> \* MERGEFORMAT </w:instrText>
      </w:r>
      <w:r w:rsidR="000E1EDB">
        <w:fldChar w:fldCharType="separate"/>
      </w:r>
      <w:r w:rsidR="009749A0" w:rsidRPr="00BD6C5F">
        <w:t>E2</w:t>
      </w:r>
      <w:r w:rsidR="000E1EDB">
        <w:fldChar w:fldCharType="end"/>
      </w:r>
      <w:r w:rsidRPr="00BD6C5F">
        <w:t xml:space="preserve"> (</w:t>
      </w:r>
      <w:r w:rsidRPr="00EA528A">
        <w:rPr>
          <w:i/>
          <w:iCs/>
        </w:rPr>
        <w:t>Staffing Information</w:t>
      </w:r>
      <w:r w:rsidRPr="00BD6C5F">
        <w:t>)</w:t>
      </w:r>
      <w:r w:rsidR="002E33A0">
        <w:t>.</w:t>
      </w:r>
    </w:p>
    <w:p w14:paraId="2C3E8C30" w14:textId="66A945CB" w:rsidR="00D27CFD" w:rsidRPr="00BD6C5F" w:rsidRDefault="00D27CFD" w:rsidP="00187547">
      <w:bookmarkStart w:id="1585" w:name="_bookmark534"/>
      <w:bookmarkStart w:id="1586" w:name="_bookmark533"/>
      <w:bookmarkEnd w:id="1585"/>
      <w:bookmarkEnd w:id="1586"/>
      <w:r w:rsidRPr="00BD6C5F">
        <w:br w:type="page"/>
      </w:r>
    </w:p>
    <w:p w14:paraId="0A732110" w14:textId="5B5A7060" w:rsidR="00BC7DDA" w:rsidRPr="00BD6C5F" w:rsidRDefault="00BA3C57" w:rsidP="00187547">
      <w:pPr>
        <w:pStyle w:val="Heading2"/>
      </w:pPr>
      <w:bookmarkStart w:id="1587" w:name="_Ref98328026"/>
      <w:bookmarkStart w:id="1588" w:name="_Toc98332783"/>
      <w:bookmarkStart w:id="1589" w:name="_Toc98852956"/>
      <w:bookmarkStart w:id="1590" w:name="_Toc141721052"/>
      <w:r w:rsidRPr="00BD6C5F">
        <w:lastRenderedPageBreak/>
        <w:t xml:space="preserve">Part </w:t>
      </w:r>
      <w:bookmarkStart w:id="1591" w:name="Schedule_28_Part_A"/>
      <w:r w:rsidRPr="00BD6C5F">
        <w:t>A</w:t>
      </w:r>
      <w:bookmarkEnd w:id="1591"/>
      <w:r w:rsidRPr="00BD6C5F">
        <w:t>: Transferring Authority Employees at Commencement Of Services</w:t>
      </w:r>
      <w:bookmarkEnd w:id="1587"/>
      <w:bookmarkEnd w:id="1588"/>
      <w:bookmarkEnd w:id="1589"/>
      <w:bookmarkEnd w:id="1590"/>
    </w:p>
    <w:p w14:paraId="7E17BD0E" w14:textId="410F6057" w:rsidR="00BC7DDA" w:rsidRPr="00BD6C5F" w:rsidRDefault="00BA3C57" w:rsidP="00B71FC0">
      <w:pPr>
        <w:pStyle w:val="Numbered1"/>
        <w:numPr>
          <w:ilvl w:val="0"/>
          <w:numId w:val="116"/>
        </w:numPr>
      </w:pPr>
      <w:r w:rsidRPr="00BD6C5F">
        <w:t>Relevant Transfers</w:t>
      </w:r>
    </w:p>
    <w:p w14:paraId="6FBCB5FF" w14:textId="77777777" w:rsidR="00BC7DDA" w:rsidRPr="00BD6C5F" w:rsidRDefault="009B03E9" w:rsidP="009F4A63">
      <w:pPr>
        <w:pStyle w:val="Numbered11"/>
        <w:keepNext/>
      </w:pPr>
      <w:r w:rsidRPr="00BD6C5F">
        <w:t>The Authority and the Supplier agree that:</w:t>
      </w:r>
    </w:p>
    <w:p w14:paraId="359EF7D7" w14:textId="77777777" w:rsidR="00BC7DDA" w:rsidRPr="00BD6C5F" w:rsidRDefault="009B03E9" w:rsidP="00BA3C57">
      <w:pPr>
        <w:pStyle w:val="Numbered111"/>
      </w:pPr>
      <w:r w:rsidRPr="00BD6C5F">
        <w:t>the commencement of the provision of the Services or of each relevant part of the Services will be a Relevant Transfer in relation to the Transferring Authority Employees; and</w:t>
      </w:r>
    </w:p>
    <w:p w14:paraId="2E96C4DB" w14:textId="65550808" w:rsidR="00BC7DDA" w:rsidRPr="00BD6C5F" w:rsidRDefault="009B03E9" w:rsidP="00BA3C57">
      <w:pPr>
        <w:pStyle w:val="Numbered111"/>
      </w:pPr>
      <w:r w:rsidRPr="00BD6C5F">
        <w:t>as a result of the operation of the Employment Regulations, the contracts of employment between the Authority and the Transferring Authority Employees (except in relation to any terms disapplied through operation of regulation 10 of the Employment Regulations) will have effect on and from the Relevant Transfer Date as if originally made between the Supplier and/or any Notified Sub-contractor and each such Transferring Authority Employee.</w:t>
      </w:r>
    </w:p>
    <w:p w14:paraId="690ABF8D" w14:textId="77777777" w:rsidR="00BC7DDA" w:rsidRPr="00BD6C5F" w:rsidRDefault="009B03E9" w:rsidP="00C5057A">
      <w:pPr>
        <w:pStyle w:val="Numbered11"/>
      </w:pPr>
      <w:r w:rsidRPr="00BD6C5F">
        <w:t>The Authority shall comply with all its obligations under the Employment Regulations and shall perform and discharge all its obligations in respect of the Transferring Authority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Supplier and/or any Notified Sub-contractor (as appropriate).</w:t>
      </w:r>
    </w:p>
    <w:p w14:paraId="5C6374B0" w14:textId="111C5253" w:rsidR="00BC7DDA" w:rsidRPr="00BD6C5F" w:rsidRDefault="00BA3C57" w:rsidP="00F3416D">
      <w:pPr>
        <w:pStyle w:val="Numbered1"/>
      </w:pPr>
      <w:r w:rsidRPr="00BD6C5F">
        <w:t>Authority Indemnities</w:t>
      </w:r>
    </w:p>
    <w:p w14:paraId="6E80766D" w14:textId="6590102A" w:rsidR="00BC7DDA" w:rsidRPr="00BD6C5F" w:rsidRDefault="009B03E9" w:rsidP="009F4A63">
      <w:pPr>
        <w:pStyle w:val="Numbered11"/>
        <w:keepNext/>
      </w:pPr>
      <w:bookmarkStart w:id="1592" w:name="_bookmark535"/>
      <w:bookmarkStart w:id="1593" w:name="_Ref98425574"/>
      <w:bookmarkEnd w:id="1592"/>
      <w:r w:rsidRPr="00BD6C5F">
        <w:t>Subject to Paragraph</w:t>
      </w:r>
      <w:r w:rsidR="009451E5" w:rsidRPr="00BD6C5F">
        <w:t> </w:t>
      </w:r>
      <w:r w:rsidR="009451E5" w:rsidRPr="00BD6C5F">
        <w:fldChar w:fldCharType="begin"/>
      </w:r>
      <w:r w:rsidR="009451E5" w:rsidRPr="00BD6C5F">
        <w:instrText xml:space="preserve"> REF _Ref98425535 \w \h </w:instrText>
      </w:r>
      <w:r w:rsidR="00AD7DD0" w:rsidRPr="00BD6C5F">
        <w:instrText xml:space="preserve"> \* MERGEFORMAT </w:instrText>
      </w:r>
      <w:r w:rsidR="009451E5" w:rsidRPr="00BD6C5F">
        <w:fldChar w:fldCharType="separate"/>
      </w:r>
      <w:r w:rsidR="009749A0">
        <w:t>2.2</w:t>
      </w:r>
      <w:r w:rsidR="009451E5" w:rsidRPr="00BD6C5F">
        <w:fldChar w:fldCharType="end"/>
      </w:r>
      <w:r w:rsidRPr="00BD6C5F">
        <w:t>, the Authority shall indemnify the Supplier and any Notified Sub-contractor against any Employee Liabilities arising from or as a result of:</w:t>
      </w:r>
      <w:bookmarkEnd w:id="1593"/>
    </w:p>
    <w:p w14:paraId="514C226A" w14:textId="77777777" w:rsidR="00BC7DDA" w:rsidRPr="00BD6C5F" w:rsidRDefault="009B03E9" w:rsidP="00BA3C57">
      <w:pPr>
        <w:pStyle w:val="Numbered111"/>
      </w:pPr>
      <w:r w:rsidRPr="00BD6C5F">
        <w:t>any act or omission by the Authority in respect of any Transferring Authority Employee or any appropriate employee representative (as defined in the Employment Regulations) of any Transferring Authority Employee occurring before the Relevant Transfer Date;</w:t>
      </w:r>
    </w:p>
    <w:p w14:paraId="70D12F38" w14:textId="77777777" w:rsidR="00BC7DDA" w:rsidRPr="00BD6C5F" w:rsidRDefault="009B03E9" w:rsidP="009F4A63">
      <w:pPr>
        <w:pStyle w:val="Numbered111"/>
        <w:keepNext/>
      </w:pPr>
      <w:r w:rsidRPr="00BD6C5F">
        <w:t>the breach or non-observance by the Authority before the Relevant Transfer Date of:</w:t>
      </w:r>
    </w:p>
    <w:p w14:paraId="240D7B12" w14:textId="77777777" w:rsidR="00BC7DDA" w:rsidRPr="00BD6C5F" w:rsidRDefault="009B03E9" w:rsidP="00DE03A4">
      <w:pPr>
        <w:pStyle w:val="Numbered111a"/>
      </w:pPr>
      <w:r w:rsidRPr="00BD6C5F">
        <w:t>any collective agreement applicable to the Transferring Authority Employees; and/or</w:t>
      </w:r>
    </w:p>
    <w:p w14:paraId="3437219B" w14:textId="77777777" w:rsidR="00BC7DDA" w:rsidRPr="00BD6C5F" w:rsidRDefault="009B03E9" w:rsidP="00BA3C57">
      <w:pPr>
        <w:pStyle w:val="Numbered111a"/>
        <w:rPr>
          <w:lang w:val="en-GB"/>
        </w:rPr>
      </w:pPr>
      <w:r w:rsidRPr="00BD6C5F">
        <w:rPr>
          <w:lang w:val="en-GB"/>
        </w:rPr>
        <w:t>any custom or practice in respect of any Transferring Authority Employees which the Authority is contractually bound to honour;</w:t>
      </w:r>
    </w:p>
    <w:p w14:paraId="1FC97EA6" w14:textId="5E73F635" w:rsidR="00BC7DDA" w:rsidRPr="00BD6C5F" w:rsidRDefault="009B03E9" w:rsidP="00BA3C57">
      <w:pPr>
        <w:pStyle w:val="Numbered111"/>
      </w:pPr>
      <w:r w:rsidRPr="00BD6C5F">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100C66BF" w14:textId="77777777" w:rsidR="00BC7DDA" w:rsidRPr="00BD6C5F" w:rsidRDefault="009B03E9" w:rsidP="009F4A63">
      <w:pPr>
        <w:pStyle w:val="Numbered111"/>
        <w:keepNext/>
      </w:pPr>
      <w:r w:rsidRPr="00BD6C5F">
        <w:lastRenderedPageBreak/>
        <w:t>any proceeding, claim or demand by HMRC or other statutory authority in respect of any financial obligation including, but not limited to, PAYE and primary and secondary national insurance contributions:</w:t>
      </w:r>
    </w:p>
    <w:p w14:paraId="46CE68F4" w14:textId="77777777" w:rsidR="00BC7DDA" w:rsidRPr="00BD6C5F" w:rsidRDefault="009B03E9" w:rsidP="00DE03A4">
      <w:pPr>
        <w:pStyle w:val="Numbered111a"/>
      </w:pPr>
      <w:r w:rsidRPr="00BD6C5F">
        <w:t>in relation to any Transferring Authority Employee, to the extent that the proceeding, claim or demand by HMRC or other statutory authority relates to financial obligations arising before the Relevant Transfer Date; and</w:t>
      </w:r>
    </w:p>
    <w:p w14:paraId="779D41FD" w14:textId="41B49A5D" w:rsidR="00BC7DDA" w:rsidRPr="00BD6C5F" w:rsidRDefault="009B03E9" w:rsidP="00BA3C57">
      <w:pPr>
        <w:pStyle w:val="Numbered111a"/>
        <w:rPr>
          <w:lang w:val="en-GB"/>
        </w:rPr>
      </w:pPr>
      <w:r w:rsidRPr="00BD6C5F">
        <w:rPr>
          <w:lang w:val="en-GB"/>
        </w:rPr>
        <w:t xml:space="preserve">in relation to any employee who is not a Transferring Authority Employee and in respect of whom it is later alleged or determined that the Employment Regulations applied so as to transfer </w:t>
      </w:r>
      <w:r w:rsidR="0022568A">
        <w:rPr>
          <w:lang w:val="en-GB"/>
        </w:rPr>
        <w:t>their</w:t>
      </w:r>
      <w:r w:rsidRPr="00BD6C5F">
        <w:rPr>
          <w:lang w:val="en-GB"/>
        </w:rPr>
        <w:t xml:space="preserve"> employment from the Authority to the Supplier and/or any Notified Sub-contractor as appropriate, to the extent that the proceeding, claim or demand by the HMRC or other statutory authority relates to financial obligations arising before the Relevant Transfer Date.</w:t>
      </w:r>
    </w:p>
    <w:p w14:paraId="66F96F95" w14:textId="77777777" w:rsidR="00BC7DDA" w:rsidRPr="00BD6C5F" w:rsidRDefault="009B03E9" w:rsidP="00BA3C57">
      <w:pPr>
        <w:pStyle w:val="Numbered111"/>
      </w:pPr>
      <w:r w:rsidRPr="00BD6C5F">
        <w:t>a failure of the Authority to discharge, or procure the discharge of, all wages, salaries and all other benefits and all PAYE tax deductions and national insurance contributions relating to the Transferring Authority Employees arising before the Relevant Transfer Date;</w:t>
      </w:r>
    </w:p>
    <w:p w14:paraId="0A3A9DE5" w14:textId="1DD647E7" w:rsidR="00BC7DDA" w:rsidRPr="00BD6C5F" w:rsidRDefault="009B03E9" w:rsidP="00BA3C57">
      <w:pPr>
        <w:pStyle w:val="Numbered111"/>
      </w:pPr>
      <w:r w:rsidRPr="00BD6C5F">
        <w:t>any claim made by or in respect of any person employed or formerly employed by the Authority other than a Transferring Authority Employee for whom it is alleged the Supplier and/or any Notified Sub-contractor as appropriate may be liable by virtue of the Employment Regulations; and</w:t>
      </w:r>
    </w:p>
    <w:p w14:paraId="05C809DA" w14:textId="77777777" w:rsidR="00BC7DDA" w:rsidRPr="00BD6C5F" w:rsidRDefault="009B03E9" w:rsidP="00BA3C57">
      <w:pPr>
        <w:pStyle w:val="Numbered111"/>
      </w:pPr>
      <w:r w:rsidRPr="00BD6C5F">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Supplier or any Sub-contractor to comply with regulation 13(4) of the Employment Regulations.</w:t>
      </w:r>
    </w:p>
    <w:p w14:paraId="662E9163" w14:textId="5446FC8B" w:rsidR="00BC7DDA" w:rsidRPr="00BD6C5F" w:rsidRDefault="009B03E9" w:rsidP="00C5057A">
      <w:pPr>
        <w:pStyle w:val="Numbered11"/>
      </w:pPr>
      <w:bookmarkStart w:id="1594" w:name="_bookmark536"/>
      <w:bookmarkStart w:id="1595" w:name="_Ref98425535"/>
      <w:bookmarkEnd w:id="1594"/>
      <w:r w:rsidRPr="00BD6C5F">
        <w:t>The indemnities in Paragraph</w:t>
      </w:r>
      <w:r w:rsidR="009451E5" w:rsidRPr="00BD6C5F">
        <w:t> </w:t>
      </w:r>
      <w:r w:rsidR="009451E5" w:rsidRPr="00BD6C5F">
        <w:fldChar w:fldCharType="begin"/>
      </w:r>
      <w:r w:rsidR="009451E5" w:rsidRPr="00BD6C5F">
        <w:instrText xml:space="preserve"> REF _Ref98425574 \w \h </w:instrText>
      </w:r>
      <w:r w:rsidR="00AD7DD0" w:rsidRPr="00BD6C5F">
        <w:instrText xml:space="preserve"> \* MERGEFORMAT </w:instrText>
      </w:r>
      <w:r w:rsidR="009451E5" w:rsidRPr="00BD6C5F">
        <w:fldChar w:fldCharType="separate"/>
      </w:r>
      <w:r w:rsidR="009749A0">
        <w:t>2.1</w:t>
      </w:r>
      <w:r w:rsidR="009451E5" w:rsidRPr="00BD6C5F">
        <w:fldChar w:fldCharType="end"/>
      </w:r>
      <w:r w:rsidRPr="00BD6C5F">
        <w:t xml:space="preserve">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w:t>
      </w:r>
      <w:bookmarkEnd w:id="1595"/>
    </w:p>
    <w:p w14:paraId="5D801D99" w14:textId="67835FB8" w:rsidR="00BC7DDA" w:rsidRPr="00BD6C5F" w:rsidRDefault="009B03E9" w:rsidP="00BA3C57">
      <w:pPr>
        <w:pStyle w:val="Numbered111"/>
      </w:pPr>
      <w:r w:rsidRPr="00BD6C5F">
        <w:t>arising out of the resignation of any Transferring Authority Employee before the Relevant Transfer Date on account of substantial detrimental changes to his/her working conditions proposed by the Supplier and/or any Sub-contractor to occur in the period from (and including) the Relevant Transfer Date; or</w:t>
      </w:r>
    </w:p>
    <w:p w14:paraId="16FC5C7D" w14:textId="77777777" w:rsidR="00BC7DDA" w:rsidRPr="00BD6C5F" w:rsidRDefault="009B03E9" w:rsidP="00BA3C57">
      <w:pPr>
        <w:pStyle w:val="Numbered111"/>
      </w:pPr>
      <w:r w:rsidRPr="00BD6C5F">
        <w:t>arising from the failure by the Supplier or any Sub-contractor to comply with its obligations under the Employment Regulations.</w:t>
      </w:r>
    </w:p>
    <w:p w14:paraId="6A74DC15" w14:textId="51A43F48" w:rsidR="00BC7DDA" w:rsidRPr="00BD6C5F" w:rsidRDefault="009B03E9" w:rsidP="00C5057A">
      <w:pPr>
        <w:pStyle w:val="Numbered11"/>
      </w:pPr>
      <w:bookmarkStart w:id="1596" w:name="_bookmark537"/>
      <w:bookmarkStart w:id="1597" w:name="_Ref98425627"/>
      <w:bookmarkEnd w:id="1596"/>
      <w:r w:rsidRPr="00BD6C5F">
        <w:t xml:space="preserve">If any person who is not identified by the Authority as a Transferring Authority Employee claims, or it is determined in relation to any person who is not identified by the Authority as a Transferring Authority Employee, that </w:t>
      </w:r>
      <w:r w:rsidR="0022568A">
        <w:t>their</w:t>
      </w:r>
      <w:r w:rsidRPr="00BD6C5F">
        <w:t xml:space="preserve"> contract of employment has been transferred from the Authority to the Supplier and/or any Notified Sub-contractor pursuant to the Employment Regulations then:</w:t>
      </w:r>
      <w:bookmarkEnd w:id="1597"/>
    </w:p>
    <w:p w14:paraId="202C0612" w14:textId="77777777" w:rsidR="00BC7DDA" w:rsidRPr="00BD6C5F" w:rsidRDefault="009B03E9" w:rsidP="00BA3C57">
      <w:pPr>
        <w:pStyle w:val="Numbered111"/>
      </w:pPr>
      <w:bookmarkStart w:id="1598" w:name="_bookmark538"/>
      <w:bookmarkStart w:id="1599" w:name="_Ref98425683"/>
      <w:bookmarkEnd w:id="1598"/>
      <w:r w:rsidRPr="00BD6C5F">
        <w:lastRenderedPageBreak/>
        <w:t>the Supplier shall, or shall procure that the Notified Sub-contractor shall, within 5 Working Days of becoming aware of that fact, give notice in writing to the Authority; and</w:t>
      </w:r>
      <w:bookmarkEnd w:id="1599"/>
    </w:p>
    <w:p w14:paraId="53F19E5B" w14:textId="77777777" w:rsidR="00BC7DDA" w:rsidRPr="00BD6C5F" w:rsidRDefault="009B03E9" w:rsidP="00BA3C57">
      <w:pPr>
        <w:pStyle w:val="Numbered111"/>
      </w:pPr>
      <w:bookmarkStart w:id="1600" w:name="_bookmark539"/>
      <w:bookmarkStart w:id="1601" w:name="_Ref98425605"/>
      <w:bookmarkEnd w:id="1600"/>
      <w:r w:rsidRPr="00BD6C5F">
        <w:t>the Authority may offer (or may procure that a third party may offer) employment to such person within 15 Working Days of receipt of the notification by the Supplier and/or any Notified Sub-contractor, or take such other reasonable steps as the Authority considers appropriate to deal with the matter provided always that such steps are in compliance with Law.</w:t>
      </w:r>
      <w:bookmarkEnd w:id="1601"/>
    </w:p>
    <w:p w14:paraId="7754DD46" w14:textId="4FC90745" w:rsidR="00BC7DDA" w:rsidRPr="00BD6C5F" w:rsidRDefault="009B03E9" w:rsidP="00C5057A">
      <w:pPr>
        <w:pStyle w:val="Numbered11"/>
      </w:pPr>
      <w:r w:rsidRPr="00BD6C5F">
        <w:t>If an offer referred to in Paragraph</w:t>
      </w:r>
      <w:r w:rsidR="001F60F0" w:rsidRPr="00BD6C5F">
        <w:t> </w:t>
      </w:r>
      <w:r w:rsidR="001F60F0" w:rsidRPr="00BD6C5F">
        <w:fldChar w:fldCharType="begin"/>
      </w:r>
      <w:r w:rsidR="001F60F0" w:rsidRPr="00BD6C5F">
        <w:instrText xml:space="preserve"> REF _Ref98425605 \w \h </w:instrText>
      </w:r>
      <w:r w:rsidR="00AD7DD0" w:rsidRPr="00BD6C5F">
        <w:instrText xml:space="preserve"> \* MERGEFORMAT </w:instrText>
      </w:r>
      <w:r w:rsidR="001F60F0" w:rsidRPr="00BD6C5F">
        <w:fldChar w:fldCharType="separate"/>
      </w:r>
      <w:r w:rsidR="009749A0">
        <w:t>2.3.2</w:t>
      </w:r>
      <w:r w:rsidR="001F60F0" w:rsidRPr="00BD6C5F">
        <w:fldChar w:fldCharType="end"/>
      </w:r>
      <w:r w:rsidRPr="00BD6C5F">
        <w:t xml:space="preserve"> is accepted, or if the situation has otherwise been resolved by the Authority, the Supplier shall, or shall procure that the Notified Sub-contractor shall, immediately release the person from </w:t>
      </w:r>
      <w:r w:rsidR="0022568A">
        <w:t>their</w:t>
      </w:r>
      <w:r w:rsidRPr="00BD6C5F">
        <w:t xml:space="preserve"> employment or alleged employment.</w:t>
      </w:r>
    </w:p>
    <w:p w14:paraId="0DB9CCEE" w14:textId="36E615CE" w:rsidR="00BC7DDA" w:rsidRPr="00BD6C5F" w:rsidRDefault="009B03E9" w:rsidP="009F4A63">
      <w:pPr>
        <w:pStyle w:val="Numbered11"/>
        <w:keepNext/>
      </w:pPr>
      <w:bookmarkStart w:id="1602" w:name="_bookmark540"/>
      <w:bookmarkStart w:id="1603" w:name="_Ref98425636"/>
      <w:bookmarkEnd w:id="1602"/>
      <w:r w:rsidRPr="00BD6C5F">
        <w:t>If by the end of the 15 Working Day period specified in Paragraph</w:t>
      </w:r>
      <w:r w:rsidR="001F60F0" w:rsidRPr="00BD6C5F">
        <w:t> </w:t>
      </w:r>
      <w:r w:rsidR="001F60F0" w:rsidRPr="00BD6C5F">
        <w:fldChar w:fldCharType="begin"/>
      </w:r>
      <w:r w:rsidR="001F60F0" w:rsidRPr="00BD6C5F">
        <w:instrText xml:space="preserve"> REF _Ref98425605 \w \h </w:instrText>
      </w:r>
      <w:r w:rsidR="00AD7DD0" w:rsidRPr="00BD6C5F">
        <w:instrText xml:space="preserve"> \* MERGEFORMAT </w:instrText>
      </w:r>
      <w:r w:rsidR="001F60F0" w:rsidRPr="00BD6C5F">
        <w:fldChar w:fldCharType="separate"/>
      </w:r>
      <w:r w:rsidR="009749A0">
        <w:t>2.3.2</w:t>
      </w:r>
      <w:r w:rsidR="001F60F0" w:rsidRPr="00BD6C5F">
        <w:fldChar w:fldCharType="end"/>
      </w:r>
      <w:r w:rsidRPr="00BD6C5F">
        <w:t>:</w:t>
      </w:r>
      <w:bookmarkEnd w:id="1603"/>
    </w:p>
    <w:p w14:paraId="2BF77BBD" w14:textId="77777777" w:rsidR="00BC7DDA" w:rsidRPr="00BD6C5F" w:rsidRDefault="009B03E9" w:rsidP="00BA3C57">
      <w:pPr>
        <w:pStyle w:val="Numbered111"/>
      </w:pPr>
      <w:r w:rsidRPr="00BD6C5F">
        <w:t>no such offer of employment has been made;</w:t>
      </w:r>
    </w:p>
    <w:p w14:paraId="5052BAC1" w14:textId="77777777" w:rsidR="00BC7DDA" w:rsidRPr="00BD6C5F" w:rsidRDefault="009B03E9" w:rsidP="00BA3C57">
      <w:pPr>
        <w:pStyle w:val="Numbered111"/>
      </w:pPr>
      <w:r w:rsidRPr="00BD6C5F">
        <w:t>such offer has been made but not accepted; or</w:t>
      </w:r>
    </w:p>
    <w:p w14:paraId="10D367B1" w14:textId="77777777" w:rsidR="00BC7DDA" w:rsidRPr="00BD6C5F" w:rsidRDefault="009B03E9" w:rsidP="00BA3C57">
      <w:pPr>
        <w:pStyle w:val="Numbered111"/>
      </w:pPr>
      <w:r w:rsidRPr="00BD6C5F">
        <w:t>the situation has not otherwise been resolved,</w:t>
      </w:r>
    </w:p>
    <w:p w14:paraId="193DA228" w14:textId="77777777" w:rsidR="00BC7DDA" w:rsidRPr="00BD6C5F" w:rsidRDefault="009B03E9" w:rsidP="00187547">
      <w:pPr>
        <w:pStyle w:val="BodyText"/>
        <w:spacing w:before="100" w:after="200"/>
        <w:ind w:left="720" w:right="567"/>
        <w:rPr>
          <w:rFonts w:asciiTheme="minorHAnsi" w:hAnsiTheme="minorHAnsi" w:cstheme="minorHAnsi"/>
        </w:rPr>
      </w:pPr>
      <w:r w:rsidRPr="00BD6C5F">
        <w:rPr>
          <w:rFonts w:asciiTheme="minorHAnsi" w:hAnsiTheme="minorHAnsi" w:cstheme="minorHAnsi"/>
        </w:rPr>
        <w:t>the Supplier and/or any Notified Sub-contractor may within 5 Working Days give notice to terminate the employment or alleged employment of such person.</w:t>
      </w:r>
    </w:p>
    <w:p w14:paraId="6C829C7D" w14:textId="00BE62BE" w:rsidR="00BC7DDA" w:rsidRPr="00BD6C5F" w:rsidRDefault="009B03E9" w:rsidP="00C5057A">
      <w:pPr>
        <w:pStyle w:val="Numbered11"/>
      </w:pPr>
      <w:bookmarkStart w:id="1604" w:name="_bookmark541"/>
      <w:bookmarkStart w:id="1605" w:name="_Ref98425671"/>
      <w:bookmarkEnd w:id="1604"/>
      <w:r w:rsidRPr="00BD6C5F">
        <w:t>Subject to the Supplier and/or any Notified Sub-contractor acting in accordance with the provisions of Paragraphs</w:t>
      </w:r>
      <w:r w:rsidR="001F60F0" w:rsidRPr="00BD6C5F">
        <w:t> </w:t>
      </w:r>
      <w:r w:rsidR="001F60F0" w:rsidRPr="00BD6C5F">
        <w:fldChar w:fldCharType="begin"/>
      </w:r>
      <w:r w:rsidR="001F60F0" w:rsidRPr="00BD6C5F">
        <w:instrText xml:space="preserve"> REF _Ref98425627 \w \h </w:instrText>
      </w:r>
      <w:r w:rsidR="00AD7DD0" w:rsidRPr="00BD6C5F">
        <w:instrText xml:space="preserve"> \* MERGEFORMAT </w:instrText>
      </w:r>
      <w:r w:rsidR="001F60F0" w:rsidRPr="00BD6C5F">
        <w:fldChar w:fldCharType="separate"/>
      </w:r>
      <w:r w:rsidR="009749A0">
        <w:t>2.3</w:t>
      </w:r>
      <w:r w:rsidR="001F60F0" w:rsidRPr="00BD6C5F">
        <w:fldChar w:fldCharType="end"/>
      </w:r>
      <w:r w:rsidR="001F60F0" w:rsidRPr="00BD6C5F">
        <w:t xml:space="preserve"> </w:t>
      </w:r>
      <w:r w:rsidRPr="00BD6C5F">
        <w:t xml:space="preserve">to </w:t>
      </w:r>
      <w:r w:rsidR="001F60F0" w:rsidRPr="00BD6C5F">
        <w:fldChar w:fldCharType="begin"/>
      </w:r>
      <w:r w:rsidR="001F60F0" w:rsidRPr="00BD6C5F">
        <w:instrText xml:space="preserve"> REF _Ref98425636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and in accordance with all applicable proper employment procedures set out in applicable Law, the Authority shall indemnify the Supplier and/or any Notified Sub-contractor (as appropriate) against all Employee Liabilities arising out of the termination of employment pursuant to the provisions of Paragraph</w:t>
      </w:r>
      <w:r w:rsidR="001F60F0" w:rsidRPr="00BD6C5F">
        <w:t> </w:t>
      </w:r>
      <w:r w:rsidR="001F60F0" w:rsidRPr="00BD6C5F">
        <w:fldChar w:fldCharType="begin"/>
      </w:r>
      <w:r w:rsidR="001F60F0" w:rsidRPr="00BD6C5F">
        <w:instrText xml:space="preserve"> REF _Ref98425636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provided that the Supplier takes, or procures that the Notified Sub-contractor takes, all reasonable steps to minimise any such Employee Liabilities.</w:t>
      </w:r>
      <w:bookmarkEnd w:id="1605"/>
    </w:p>
    <w:p w14:paraId="69BA5DF2" w14:textId="5607BE78" w:rsidR="00BC7DDA" w:rsidRPr="00BD6C5F" w:rsidRDefault="009B03E9" w:rsidP="009F4A63">
      <w:pPr>
        <w:pStyle w:val="Numbered11"/>
        <w:keepNext/>
      </w:pPr>
      <w:r w:rsidRPr="00BD6C5F">
        <w:t>The indemnity in Paragraph</w:t>
      </w:r>
      <w:r w:rsidR="001F60F0" w:rsidRPr="00BD6C5F">
        <w:t> </w:t>
      </w:r>
      <w:r w:rsidR="001F60F0" w:rsidRPr="00BD6C5F">
        <w:fldChar w:fldCharType="begin"/>
      </w:r>
      <w:r w:rsidR="001F60F0" w:rsidRPr="00BD6C5F">
        <w:instrText xml:space="preserve"> REF _Ref98425671 \w \h </w:instrText>
      </w:r>
      <w:r w:rsidR="00AD7DD0" w:rsidRPr="00BD6C5F">
        <w:instrText xml:space="preserve"> \* MERGEFORMAT </w:instrText>
      </w:r>
      <w:r w:rsidR="001F60F0" w:rsidRPr="00BD6C5F">
        <w:fldChar w:fldCharType="separate"/>
      </w:r>
      <w:r w:rsidR="009749A0">
        <w:t>2.6</w:t>
      </w:r>
      <w:r w:rsidR="001F60F0" w:rsidRPr="00BD6C5F">
        <w:fldChar w:fldCharType="end"/>
      </w:r>
      <w:r w:rsidRPr="00BD6C5F">
        <w:t>:</w:t>
      </w:r>
    </w:p>
    <w:p w14:paraId="455C33FD" w14:textId="35FC0D48" w:rsidR="00BC7DDA" w:rsidRPr="00BD6C5F" w:rsidRDefault="009B03E9" w:rsidP="009F4A63">
      <w:pPr>
        <w:pStyle w:val="Numbered111"/>
        <w:keepNext/>
      </w:pPr>
      <w:r w:rsidRPr="00BD6C5F">
        <w:t>shall not apply to:</w:t>
      </w:r>
    </w:p>
    <w:p w14:paraId="7D43534A" w14:textId="77777777" w:rsidR="00BC7DDA" w:rsidRPr="00BD6C5F" w:rsidRDefault="009B03E9" w:rsidP="009F4A63">
      <w:pPr>
        <w:pStyle w:val="Numbered111a"/>
        <w:keepNext/>
      </w:pPr>
      <w:r w:rsidRPr="00BD6C5F">
        <w:t>any claim for:</w:t>
      </w:r>
    </w:p>
    <w:p w14:paraId="1ADF2AAE" w14:textId="77777777" w:rsidR="00BC7DDA" w:rsidRPr="00BD6C5F" w:rsidRDefault="009B03E9" w:rsidP="00F3416D">
      <w:pPr>
        <w:pStyle w:val="Numbered111ai"/>
      </w:pPr>
      <w:r w:rsidRPr="00BD6C5F">
        <w:t>discrimination, including on the grounds of sex, race, disability, age, gender reassignment, marriage or civil partnership, pregnancy and maternity or sexual orientation, religion or belief; or</w:t>
      </w:r>
    </w:p>
    <w:p w14:paraId="7E752528" w14:textId="77777777" w:rsidR="00BC7DDA" w:rsidRPr="00BD6C5F" w:rsidRDefault="009B03E9" w:rsidP="00F3416D">
      <w:pPr>
        <w:pStyle w:val="Numbered111ai"/>
      </w:pPr>
      <w:r w:rsidRPr="00BD6C5F">
        <w:t>equal pay or compensation for less favourable treatment of part-time workers or fixed-term employees,</w:t>
      </w:r>
    </w:p>
    <w:p w14:paraId="6F1F6877" w14:textId="77777777" w:rsidR="00BC7DDA" w:rsidRPr="00BD6C5F" w:rsidRDefault="009B03E9" w:rsidP="001D7B5A">
      <w:pPr>
        <w:pStyle w:val="BodyText"/>
        <w:spacing w:before="100" w:after="200"/>
        <w:ind w:left="2523"/>
        <w:rPr>
          <w:rFonts w:asciiTheme="minorHAnsi" w:hAnsiTheme="minorHAnsi" w:cstheme="minorHAnsi"/>
        </w:rPr>
      </w:pPr>
      <w:r w:rsidRPr="00BD6C5F">
        <w:rPr>
          <w:rFonts w:asciiTheme="minorHAnsi" w:hAnsiTheme="minorHAnsi" w:cstheme="minorHAnsi"/>
        </w:rPr>
        <w:t>in any case in relation to any alleged act or omission of the Supplier and/or any Sub-contractor; or</w:t>
      </w:r>
    </w:p>
    <w:p w14:paraId="22F77DAA" w14:textId="77777777" w:rsidR="00BC7DDA" w:rsidRPr="00BD6C5F" w:rsidRDefault="009B03E9" w:rsidP="00F3416D">
      <w:pPr>
        <w:pStyle w:val="Numbered111a"/>
        <w:rPr>
          <w:lang w:val="en-GB"/>
        </w:rPr>
      </w:pPr>
      <w:r w:rsidRPr="00BD6C5F">
        <w:rPr>
          <w:lang w:val="en-GB"/>
        </w:rPr>
        <w:t>any claim that the termination of employment was unfair because the Supplier and/or Notified Sub-contractor neglected to follow a fair dismissal procedure; and</w:t>
      </w:r>
    </w:p>
    <w:p w14:paraId="0B9CB3E9" w14:textId="0D44DEBE" w:rsidR="00BC7DDA" w:rsidRPr="00BD6C5F" w:rsidRDefault="009B03E9" w:rsidP="00F3416D">
      <w:pPr>
        <w:pStyle w:val="Numbered111"/>
      </w:pPr>
      <w:r w:rsidRPr="00BD6C5F">
        <w:lastRenderedPageBreak/>
        <w:t>shall apply only where the notification referred to in Paragraph</w:t>
      </w:r>
      <w:r w:rsidR="001F60F0" w:rsidRPr="00BD6C5F">
        <w:t> </w:t>
      </w:r>
      <w:r w:rsidR="001F60F0" w:rsidRPr="00BD6C5F">
        <w:fldChar w:fldCharType="begin"/>
      </w:r>
      <w:r w:rsidR="001F60F0" w:rsidRPr="00BD6C5F">
        <w:instrText xml:space="preserve"> REF _Ref98425683 \w \h </w:instrText>
      </w:r>
      <w:r w:rsidR="00AD7DD0" w:rsidRPr="00BD6C5F">
        <w:instrText xml:space="preserve"> \* MERGEFORMAT </w:instrText>
      </w:r>
      <w:r w:rsidR="001F60F0" w:rsidRPr="00BD6C5F">
        <w:fldChar w:fldCharType="separate"/>
      </w:r>
      <w:r w:rsidR="009749A0">
        <w:t>2.3.1</w:t>
      </w:r>
      <w:r w:rsidR="001F60F0" w:rsidRPr="00BD6C5F">
        <w:fldChar w:fldCharType="end"/>
      </w:r>
      <w:r w:rsidRPr="00BD6C5F">
        <w:t xml:space="preserve"> is made by the Supplier and/or any Notified Sub-contractor (as appropriate) to the Authority within 6 months of the </w:t>
      </w:r>
      <w:r w:rsidR="002E33A0">
        <w:t>relevant Relevant Transfer</w:t>
      </w:r>
      <w:r w:rsidR="002E33A0" w:rsidRPr="00BD6C5F">
        <w:t xml:space="preserve"> </w:t>
      </w:r>
      <w:r w:rsidRPr="00BD6C5F">
        <w:t>Date.</w:t>
      </w:r>
    </w:p>
    <w:p w14:paraId="15AE9A42" w14:textId="3FEDCE70" w:rsidR="00BC7DDA" w:rsidRPr="00BD6C5F" w:rsidRDefault="009B03E9" w:rsidP="00C5057A">
      <w:pPr>
        <w:pStyle w:val="Numbered11"/>
      </w:pPr>
      <w:bookmarkStart w:id="1606" w:name="_bookmark542"/>
      <w:bookmarkStart w:id="1607" w:name="_Ref98425731"/>
      <w:bookmarkEnd w:id="1606"/>
      <w:r w:rsidRPr="00BD6C5F">
        <w:t>If any such person as is referred to in Paragraph</w:t>
      </w:r>
      <w:r w:rsidR="001F60F0" w:rsidRPr="00BD6C5F">
        <w:t> </w:t>
      </w:r>
      <w:r w:rsidR="001F60F0" w:rsidRPr="00BD6C5F">
        <w:fldChar w:fldCharType="begin"/>
      </w:r>
      <w:r w:rsidR="001F60F0" w:rsidRPr="00BD6C5F">
        <w:instrText xml:space="preserve"> REF _Ref98425627 \w \h </w:instrText>
      </w:r>
      <w:r w:rsidR="00AD7DD0" w:rsidRPr="00BD6C5F">
        <w:instrText xml:space="preserve"> \* MERGEFORMAT </w:instrText>
      </w:r>
      <w:r w:rsidR="001F60F0" w:rsidRPr="00BD6C5F">
        <w:fldChar w:fldCharType="separate"/>
      </w:r>
      <w:r w:rsidR="009749A0">
        <w:t>2.3</w:t>
      </w:r>
      <w:r w:rsidR="001F60F0" w:rsidRPr="00BD6C5F">
        <w:fldChar w:fldCharType="end"/>
      </w:r>
      <w:r w:rsidRPr="00BD6C5F">
        <w:t xml:space="preserve"> is neither re-employed by the Authority nor dismissed by the Supplier and/or any Notified Sub-contractor within the time scales set out in Paragraph</w:t>
      </w:r>
      <w:r w:rsidR="001F60F0" w:rsidRPr="00BD6C5F">
        <w:t> </w:t>
      </w:r>
      <w:r w:rsidR="001F60F0" w:rsidRPr="00BD6C5F">
        <w:fldChar w:fldCharType="begin"/>
      </w:r>
      <w:r w:rsidR="001F60F0" w:rsidRPr="00BD6C5F">
        <w:instrText xml:space="preserve"> REF _Ref98425636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such person shall be treated as having transferred to the Supplier and/or any Notified Sub-contractor and the Supplier shall, or shall procure that the Notified Sub-contractor shall, </w:t>
      </w:r>
      <w:r w:rsidR="002E33A0">
        <w:t>(a) </w:t>
      </w:r>
      <w:r w:rsidRPr="00BD6C5F">
        <w:t>comply with such obligations as may be imposed upon it under applicable Law</w:t>
      </w:r>
      <w:r w:rsidR="002E33A0">
        <w:t xml:space="preserve"> </w:t>
      </w:r>
      <w:r w:rsidR="002E33A0" w:rsidRPr="002E33A0">
        <w:t>and (b)</w:t>
      </w:r>
      <w:r w:rsidR="002E33A0">
        <w:t> </w:t>
      </w:r>
      <w:r w:rsidR="002E33A0" w:rsidRPr="002E33A0">
        <w:t>comply with the provisions of Part</w:t>
      </w:r>
      <w:r w:rsidR="002E33A0">
        <w:t> </w:t>
      </w:r>
      <w:r w:rsidR="002E33A0">
        <w:fldChar w:fldCharType="begin"/>
      </w:r>
      <w:r w:rsidR="002E33A0">
        <w:instrText xml:space="preserve"> REF Schedule_28_Part_D \h </w:instrText>
      </w:r>
      <w:r w:rsidR="002E33A0">
        <w:fldChar w:fldCharType="separate"/>
      </w:r>
      <w:r w:rsidR="009749A0" w:rsidRPr="00BD6C5F">
        <w:t>D</w:t>
      </w:r>
      <w:r w:rsidR="002E33A0">
        <w:fldChar w:fldCharType="end"/>
      </w:r>
      <w:r w:rsidR="002E33A0" w:rsidRPr="002E33A0">
        <w:t xml:space="preserve"> (</w:t>
      </w:r>
      <w:r w:rsidR="002E33A0" w:rsidRPr="00EA528A">
        <w:rPr>
          <w:i/>
          <w:iCs/>
        </w:rPr>
        <w:t>Pensions</w:t>
      </w:r>
      <w:r w:rsidR="002E33A0" w:rsidRPr="002E33A0">
        <w:t>) and its Annexes of this Staff Transfer Schedule</w:t>
      </w:r>
      <w:r w:rsidRPr="00BD6C5F">
        <w:t>.</w:t>
      </w:r>
      <w:bookmarkEnd w:id="1607"/>
    </w:p>
    <w:p w14:paraId="66609AAF" w14:textId="1FC04902" w:rsidR="00BC7DDA" w:rsidRPr="00BD6C5F" w:rsidRDefault="00F3416D" w:rsidP="00F3416D">
      <w:pPr>
        <w:pStyle w:val="Numbered1"/>
      </w:pPr>
      <w:r w:rsidRPr="00BD6C5F">
        <w:t>Supplier Indemnities and Obligations</w:t>
      </w:r>
    </w:p>
    <w:p w14:paraId="231B1B12" w14:textId="4D3418F2" w:rsidR="00BC7DDA" w:rsidRPr="00BD6C5F" w:rsidRDefault="009B03E9" w:rsidP="009F4A63">
      <w:pPr>
        <w:pStyle w:val="Numbered11"/>
        <w:keepNext/>
      </w:pPr>
      <w:bookmarkStart w:id="1608" w:name="_bookmark543"/>
      <w:bookmarkStart w:id="1609" w:name="_Ref98425742"/>
      <w:bookmarkEnd w:id="1608"/>
      <w:r w:rsidRPr="00BD6C5F">
        <w:t>Subject to Paragraph</w:t>
      </w:r>
      <w:r w:rsidR="001F60F0" w:rsidRPr="00BD6C5F">
        <w:t> </w:t>
      </w:r>
      <w:r w:rsidR="001F60F0" w:rsidRPr="00BD6C5F">
        <w:fldChar w:fldCharType="begin"/>
      </w:r>
      <w:r w:rsidR="001F60F0" w:rsidRPr="00BD6C5F">
        <w:instrText xml:space="preserve"> REF _Ref98425720 \w \h </w:instrText>
      </w:r>
      <w:r w:rsidR="00AD7DD0" w:rsidRPr="00BD6C5F">
        <w:instrText xml:space="preserve"> \* MERGEFORMAT </w:instrText>
      </w:r>
      <w:r w:rsidR="001F60F0" w:rsidRPr="00BD6C5F">
        <w:fldChar w:fldCharType="separate"/>
      </w:r>
      <w:r w:rsidR="009749A0">
        <w:t>3.2</w:t>
      </w:r>
      <w:r w:rsidR="001F60F0" w:rsidRPr="00BD6C5F">
        <w:fldChar w:fldCharType="end"/>
      </w:r>
      <w:r w:rsidRPr="00BD6C5F">
        <w:t>, the Supplier shall indemnify the Authority against any Employee Liabilities arising from or as a result of:</w:t>
      </w:r>
      <w:bookmarkEnd w:id="1609"/>
    </w:p>
    <w:p w14:paraId="61EA3FCD" w14:textId="77777777" w:rsidR="00BC7DDA" w:rsidRPr="00BD6C5F" w:rsidRDefault="009B03E9" w:rsidP="00F3416D">
      <w:pPr>
        <w:pStyle w:val="Numbered111"/>
      </w:pPr>
      <w:r w:rsidRPr="00BD6C5F">
        <w:t>any act or omission by the Supplier or any Sub-contractor in respect of any Transferring Authority Employee or any appropriate employee representative (as defined in the Employment Regulations) of any Transferring Authority Employee whether occurring before, on or after the Relevant Transfer Date;</w:t>
      </w:r>
    </w:p>
    <w:p w14:paraId="729E9980" w14:textId="77777777" w:rsidR="00BC7DDA" w:rsidRPr="00BD6C5F" w:rsidRDefault="009B03E9" w:rsidP="009F4A63">
      <w:pPr>
        <w:pStyle w:val="Numbered111"/>
        <w:keepNext/>
      </w:pPr>
      <w:r w:rsidRPr="00BD6C5F">
        <w:t>the breach or non-observance by the Supplier or any Sub-contractor on or after the Relevant Transfer Date of:</w:t>
      </w:r>
    </w:p>
    <w:p w14:paraId="4973B145" w14:textId="77777777" w:rsidR="00BC7DDA" w:rsidRPr="00BD6C5F" w:rsidRDefault="009B03E9" w:rsidP="00DE03A4">
      <w:pPr>
        <w:pStyle w:val="Numbered111a"/>
      </w:pPr>
      <w:r w:rsidRPr="00BD6C5F">
        <w:t>any collective agreement applicable to the Transferring Authority Employees; and/or</w:t>
      </w:r>
    </w:p>
    <w:p w14:paraId="766481F3" w14:textId="544CAF2B" w:rsidR="00BC7DDA" w:rsidRPr="00BD6C5F" w:rsidRDefault="009B03E9" w:rsidP="00F3416D">
      <w:pPr>
        <w:pStyle w:val="Numbered111a"/>
        <w:rPr>
          <w:lang w:val="en-GB"/>
        </w:rPr>
      </w:pPr>
      <w:r w:rsidRPr="00BD6C5F">
        <w:rPr>
          <w:lang w:val="en-GB"/>
        </w:rPr>
        <w:t>any custom or practice in respect of any Transferring Authority Employees which the Supplier or any Sub-contractor is contractually bound to honour;</w:t>
      </w:r>
    </w:p>
    <w:p w14:paraId="36A20620" w14:textId="66F68F89" w:rsidR="00BC7DDA" w:rsidRPr="00BD6C5F" w:rsidRDefault="009B03E9" w:rsidP="00F3416D">
      <w:pPr>
        <w:pStyle w:val="Numbered111"/>
      </w:pPr>
      <w:r w:rsidRPr="00BD6C5F">
        <w:t>any claim by any trade union or other body or person representing any Transferring Authority Employees arising from or connected with any failure by the Supplier or any Sub-contractor to comply with any legal obligation to such trade union, body or person arising on or after the Relevant Transfer Date;</w:t>
      </w:r>
    </w:p>
    <w:p w14:paraId="00D1DC16" w14:textId="77777777" w:rsidR="00BC7DDA" w:rsidRPr="00BD6C5F" w:rsidRDefault="009B03E9" w:rsidP="00F3416D">
      <w:pPr>
        <w:pStyle w:val="Numbered111"/>
      </w:pPr>
      <w:r w:rsidRPr="00BD6C5F">
        <w:t>any proposal by the Supplier or a Sub-contractor made before the Relevant Transfer Date to make changes to the terms and conditions of employment or working conditions of any Transferring Authority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0DF4DF09" w14:textId="77777777" w:rsidR="00BC7DDA" w:rsidRPr="00BD6C5F" w:rsidRDefault="009B03E9" w:rsidP="00F3416D">
      <w:pPr>
        <w:pStyle w:val="Numbered111"/>
      </w:pPr>
      <w:r w:rsidRPr="00BD6C5F">
        <w:t>any statement communicated to or action undertaken by the Supplier or any Sub-contractor to, or in respect of, any Transferring Authority Employee before the Relevant Transfer Date regarding the Relevant Transfer which has not been agreed in advance with the Authority in writing;</w:t>
      </w:r>
    </w:p>
    <w:p w14:paraId="061D01BD" w14:textId="77777777" w:rsidR="00BC7DDA" w:rsidRPr="00BD6C5F" w:rsidRDefault="009B03E9" w:rsidP="009F4A63">
      <w:pPr>
        <w:pStyle w:val="Numbered111"/>
        <w:keepNext/>
      </w:pPr>
      <w:r w:rsidRPr="00BD6C5F">
        <w:lastRenderedPageBreak/>
        <w:t>any proceeding, claim or demand by HMRC or other statutory authority in respect of any financial obligation including, but not limited to, PAYE and primary and secondary national insurance contributions:</w:t>
      </w:r>
    </w:p>
    <w:p w14:paraId="21D867BF" w14:textId="77777777" w:rsidR="00BC7DDA" w:rsidRPr="00BD6C5F" w:rsidRDefault="009B03E9" w:rsidP="00DE03A4">
      <w:pPr>
        <w:pStyle w:val="Numbered111a"/>
      </w:pPr>
      <w:r w:rsidRPr="00BD6C5F">
        <w:t>in relation to any Transferring Authority Employee, to the extent that the proceeding, claim or demand by HMRC or other statutory authority relates to financial obligations arising on or after the Relevant Transfer Date; and</w:t>
      </w:r>
    </w:p>
    <w:p w14:paraId="0610CF70" w14:textId="3D430189" w:rsidR="00BC7DDA" w:rsidRPr="00BD6C5F" w:rsidRDefault="009B03E9" w:rsidP="00F3416D">
      <w:pPr>
        <w:pStyle w:val="Numbered111a"/>
        <w:rPr>
          <w:lang w:val="en-GB"/>
        </w:rPr>
      </w:pPr>
      <w:r w:rsidRPr="00BD6C5F">
        <w:rPr>
          <w:lang w:val="en-GB"/>
        </w:rPr>
        <w:t xml:space="preserve">in relation to any employee who is not a Transferring Authority Employee, and in respect of whom it is later alleged or determined that the Employment Regulations applied so as to transfer </w:t>
      </w:r>
      <w:r w:rsidR="0022568A">
        <w:rPr>
          <w:lang w:val="en-GB"/>
        </w:rPr>
        <w:t>their</w:t>
      </w:r>
      <w:r w:rsidRPr="00BD6C5F">
        <w:rPr>
          <w:lang w:val="en-GB"/>
        </w:rPr>
        <w:t xml:space="preserve"> employment from the Authority to the Supplier or a Sub-contractor, to the extent that the proceeding, claim or demand by HMRC or other statutory authority relates to financial obligations arising on or after the Relevant Transfer Date;</w:t>
      </w:r>
    </w:p>
    <w:p w14:paraId="4DF2AAA1" w14:textId="77777777" w:rsidR="00BC7DDA" w:rsidRPr="00BD6C5F" w:rsidRDefault="009B03E9" w:rsidP="00F3416D">
      <w:pPr>
        <w:pStyle w:val="Numbered111"/>
      </w:pPr>
      <w:r w:rsidRPr="00BD6C5F">
        <w:t>a failure of the Supplier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w:t>
      </w:r>
    </w:p>
    <w:p w14:paraId="44D71338" w14:textId="1CE8F025" w:rsidR="00BC7DDA" w:rsidRPr="00BD6C5F" w:rsidRDefault="009B03E9" w:rsidP="00F3416D">
      <w:pPr>
        <w:pStyle w:val="Numbered111"/>
      </w:pPr>
      <w:r w:rsidRPr="00BD6C5F">
        <w:t>any claim made by or in respect of a Transferring Authority Employee or any appropriate employee representative (as defined</w:t>
      </w:r>
      <w:r w:rsidR="00DB2677" w:rsidRPr="00BD6C5F">
        <w:t xml:space="preserve"> </w:t>
      </w:r>
      <w:r w:rsidRPr="00BD6C5F">
        <w:t>in the Employment Regulations) of any Transferring Authority Employee relating to any act or omission of the Supplier or any Sub-contractor in relation to their obligations under regulation 13 of the Employment Regulations, except to the extent that the liability arises from the Authority</w:t>
      </w:r>
      <w:r w:rsidR="00A4555C" w:rsidRPr="00BD6C5F">
        <w:t>’</w:t>
      </w:r>
      <w:r w:rsidRPr="00BD6C5F">
        <w:t>s failure to comply with its obligations under regulation 13 of the Employment Regulations; and</w:t>
      </w:r>
    </w:p>
    <w:p w14:paraId="0A091B39" w14:textId="42193CD8" w:rsidR="00BC7DDA" w:rsidRPr="00BD6C5F" w:rsidRDefault="009B03E9" w:rsidP="00F3416D">
      <w:pPr>
        <w:pStyle w:val="Numbered111"/>
      </w:pPr>
      <w:r w:rsidRPr="00BD6C5F">
        <w:t xml:space="preserve">a failure by the Supplier or any Sub-Contractor to comply with its obligations under </w:t>
      </w:r>
      <w:r w:rsidR="00F7402E" w:rsidRPr="00BD6C5F">
        <w:t>P</w:t>
      </w:r>
      <w:r w:rsidRPr="00BD6C5F">
        <w:t>aragraph</w:t>
      </w:r>
      <w:r w:rsidR="001F60F0" w:rsidRPr="00BD6C5F">
        <w:t> </w:t>
      </w:r>
      <w:r w:rsidR="001F60F0" w:rsidRPr="00BD6C5F">
        <w:fldChar w:fldCharType="begin"/>
      </w:r>
      <w:r w:rsidR="001F60F0" w:rsidRPr="00BD6C5F">
        <w:instrText xml:space="preserve"> REF _Ref98425731 \w \h </w:instrText>
      </w:r>
      <w:r w:rsidR="00AD7DD0" w:rsidRPr="00BD6C5F">
        <w:instrText xml:space="preserve"> \* MERGEFORMAT </w:instrText>
      </w:r>
      <w:r w:rsidR="001F60F0" w:rsidRPr="00BD6C5F">
        <w:fldChar w:fldCharType="separate"/>
      </w:r>
      <w:r w:rsidR="009749A0">
        <w:t>2.8</w:t>
      </w:r>
      <w:r w:rsidR="001F60F0" w:rsidRPr="00BD6C5F">
        <w:fldChar w:fldCharType="end"/>
      </w:r>
      <w:r w:rsidRPr="00BD6C5F">
        <w:t xml:space="preserve"> above.</w:t>
      </w:r>
    </w:p>
    <w:p w14:paraId="1A65FEF3" w14:textId="7E1CE368" w:rsidR="00BC7DDA" w:rsidRPr="00BD6C5F" w:rsidRDefault="009B03E9" w:rsidP="00C5057A">
      <w:pPr>
        <w:pStyle w:val="Numbered11"/>
      </w:pPr>
      <w:bookmarkStart w:id="1610" w:name="_bookmark544"/>
      <w:bookmarkStart w:id="1611" w:name="_Ref98425720"/>
      <w:bookmarkEnd w:id="1610"/>
      <w:r w:rsidRPr="00BD6C5F">
        <w:t>The indemnities in Paragraph</w:t>
      </w:r>
      <w:r w:rsidR="001F60F0" w:rsidRPr="00BD6C5F">
        <w:t> </w:t>
      </w:r>
      <w:r w:rsidR="001F60F0" w:rsidRPr="00BD6C5F">
        <w:fldChar w:fldCharType="begin"/>
      </w:r>
      <w:r w:rsidR="001F60F0" w:rsidRPr="00BD6C5F">
        <w:instrText xml:space="preserve"> REF _Ref98425742 \w \h </w:instrText>
      </w:r>
      <w:r w:rsidR="00AD7DD0" w:rsidRPr="00BD6C5F">
        <w:instrText xml:space="preserve"> \* MERGEFORMAT </w:instrText>
      </w:r>
      <w:r w:rsidR="001F60F0" w:rsidRPr="00BD6C5F">
        <w:fldChar w:fldCharType="separate"/>
      </w:r>
      <w:r w:rsidR="009749A0">
        <w:t>3.1</w:t>
      </w:r>
      <w:r w:rsidR="001F60F0" w:rsidRPr="00BD6C5F">
        <w:fldChar w:fldCharType="end"/>
      </w:r>
      <w:r w:rsidRPr="00BD6C5F">
        <w:t xml:space="preserve">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w:t>
      </w:r>
      <w:r w:rsidR="00A4555C" w:rsidRPr="00BD6C5F">
        <w:t>’</w:t>
      </w:r>
      <w:r w:rsidRPr="00BD6C5F">
        <w:t>s failure to comply with its obligations under the Employment Regulations.</w:t>
      </w:r>
      <w:bookmarkEnd w:id="1611"/>
    </w:p>
    <w:p w14:paraId="55F26E51" w14:textId="77777777" w:rsidR="00BC7DDA" w:rsidRPr="00BD6C5F" w:rsidRDefault="009B03E9" w:rsidP="00C5057A">
      <w:pPr>
        <w:pStyle w:val="Numbered11"/>
      </w:pPr>
      <w:r w:rsidRPr="00BD6C5F">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Authority and the Supplier.</w:t>
      </w:r>
    </w:p>
    <w:p w14:paraId="507F028D" w14:textId="6CFB7AE0" w:rsidR="00BC7DDA" w:rsidRPr="00BD6C5F" w:rsidRDefault="00F3416D" w:rsidP="00F3416D">
      <w:pPr>
        <w:pStyle w:val="Numbered1"/>
      </w:pPr>
      <w:r w:rsidRPr="00BD6C5F">
        <w:lastRenderedPageBreak/>
        <w:t>Information</w:t>
      </w:r>
    </w:p>
    <w:p w14:paraId="3391AEFE" w14:textId="77777777" w:rsidR="00BC7DDA" w:rsidRPr="00BD6C5F" w:rsidRDefault="009B03E9" w:rsidP="00C5057A">
      <w:pPr>
        <w:pStyle w:val="Numbered11"/>
      </w:pPr>
      <w:r w:rsidRPr="00BD6C5F">
        <w:t>The Supplier shall, and shall procure that each Sub-contractor shall, promptly provide to the Authority in writing such information as is necessary to enable the Authority to carry out its duties under regulation 13 of the Employment Regulations. The Authority shall promptly provide to the Supplier and each Notified Sub-contractor in writing such information as is necessary to enable the Supplier and each Notified Sub-contractor to carry out their respective duties under regulation 13 of the Employment Regulations.</w:t>
      </w:r>
    </w:p>
    <w:p w14:paraId="76F322F5" w14:textId="2121C43E" w:rsidR="00BC7DDA" w:rsidRPr="00BD6C5F" w:rsidRDefault="00F3416D" w:rsidP="00F3416D">
      <w:pPr>
        <w:pStyle w:val="Numbered1"/>
      </w:pPr>
      <w:r w:rsidRPr="00BD6C5F">
        <w:t>Principles of Good Employment Practice</w:t>
      </w:r>
    </w:p>
    <w:p w14:paraId="6891054A" w14:textId="77777777" w:rsidR="00BC7DDA" w:rsidRPr="00BD6C5F" w:rsidRDefault="009B03E9" w:rsidP="00C5057A">
      <w:pPr>
        <w:pStyle w:val="Numbered11"/>
      </w:pPr>
      <w:bookmarkStart w:id="1612" w:name="_bookmark545"/>
      <w:bookmarkStart w:id="1613" w:name="_Ref98425754"/>
      <w:bookmarkEnd w:id="1612"/>
      <w:r w:rsidRPr="00BD6C5F">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1613"/>
    </w:p>
    <w:p w14:paraId="6B3E6BDF" w14:textId="70EBAFC6" w:rsidR="00BC7DDA" w:rsidRPr="00BD6C5F" w:rsidRDefault="009B03E9" w:rsidP="009F4A63">
      <w:pPr>
        <w:pStyle w:val="Numbered11"/>
        <w:keepNext/>
      </w:pPr>
      <w:bookmarkStart w:id="1614" w:name="_bookmark546"/>
      <w:bookmarkStart w:id="1615" w:name="_Ref98425762"/>
      <w:bookmarkEnd w:id="1614"/>
      <w:r w:rsidRPr="00BD6C5F">
        <w:t>The Supplier shall, and shall procure that each Sub-contractor shall, comply with any requirement notified to it by the Authority relating to pensions in respect of any Transferring Authority Employee as set down in:</w:t>
      </w:r>
      <w:bookmarkEnd w:id="1615"/>
    </w:p>
    <w:p w14:paraId="54BD2965" w14:textId="77777777" w:rsidR="00BC7DDA" w:rsidRPr="00BD6C5F" w:rsidRDefault="009B03E9" w:rsidP="00F3416D">
      <w:pPr>
        <w:pStyle w:val="Numbered111"/>
      </w:pPr>
      <w:r w:rsidRPr="00BD6C5F">
        <w:t>the Cabinet Office Statement of Practice on Staff Transfers in the Public Sector of January 2000, revised December 2013;</w:t>
      </w:r>
    </w:p>
    <w:p w14:paraId="77E9EA5E" w14:textId="77777777" w:rsidR="00BC7DDA" w:rsidRPr="00BD6C5F" w:rsidRDefault="009B03E9" w:rsidP="00F3416D">
      <w:pPr>
        <w:pStyle w:val="Numbered111"/>
      </w:pPr>
      <w:r w:rsidRPr="00BD6C5F">
        <w:t>Old Fair Deal; and/or</w:t>
      </w:r>
    </w:p>
    <w:p w14:paraId="63D120D1" w14:textId="1B79ABF9" w:rsidR="00BC7DDA" w:rsidRDefault="009B03E9" w:rsidP="00F3416D">
      <w:pPr>
        <w:pStyle w:val="Numbered111"/>
      </w:pPr>
      <w:r w:rsidRPr="00BD6C5F">
        <w:t>the New Fair Deal.</w:t>
      </w:r>
    </w:p>
    <w:p w14:paraId="25C72C3A" w14:textId="3130B318" w:rsidR="002E33A0" w:rsidRPr="00EA528A" w:rsidRDefault="009807E9" w:rsidP="00EA528A">
      <w:pPr>
        <w:pStyle w:val="Numbered11"/>
      </w:pPr>
      <w:r w:rsidRPr="00EA528A">
        <w:rPr>
          <w:color w:val="000000"/>
        </w:rPr>
        <w:t xml:space="preserve">The Supplier acknowledges, </w:t>
      </w:r>
      <w:r w:rsidRPr="00EA528A">
        <w:t xml:space="preserve">in respect of those Transferring Authority Employees who were eligible for compensation under the </w:t>
      </w:r>
      <w:r w:rsidRPr="00EA528A">
        <w:rPr>
          <w:color w:val="000000"/>
        </w:rPr>
        <w:t>terms of Civil Service Compensation Scheme (“</w:t>
      </w:r>
      <w:r w:rsidRPr="00EA528A">
        <w:rPr>
          <w:b/>
          <w:color w:val="000000"/>
        </w:rPr>
        <w:t>CSCS</w:t>
      </w:r>
      <w:r w:rsidRPr="00EA528A">
        <w:rPr>
          <w:color w:val="000000"/>
        </w:rPr>
        <w:t xml:space="preserve">”) </w:t>
      </w:r>
      <w:r w:rsidRPr="00EA528A">
        <w:t xml:space="preserve">immediately prior to transfer, that the right to benefits calculated in accordance with the terms of the CSCS </w:t>
      </w:r>
      <w:r w:rsidRPr="00EA528A">
        <w:rPr>
          <w:color w:val="000000"/>
        </w:rPr>
        <w:t xml:space="preserve">will transfer under the Employment Regulations.  The Supplier acknowledges and accepts that for any employee who was eligible for compensation under or in accordance with the </w:t>
      </w:r>
      <w:r w:rsidRPr="00EA528A">
        <w:t>terms</w:t>
      </w:r>
      <w:r w:rsidRPr="00EA528A">
        <w:rPr>
          <w:strike/>
          <w:color w:val="000000"/>
        </w:rPr>
        <w:t xml:space="preserve"> </w:t>
      </w:r>
      <w:r w:rsidRPr="00EA528A">
        <w:rPr>
          <w:color w:val="000000"/>
        </w:rPr>
        <w:t xml:space="preserve">of the CSCS, the right to compensation, is a right to compensation in accordance with the </w:t>
      </w:r>
      <w:r w:rsidRPr="00EA528A">
        <w:t>terms</w:t>
      </w:r>
      <w:r w:rsidRPr="00EA528A">
        <w:rPr>
          <w:color w:val="000000"/>
        </w:rPr>
        <w:t xml:space="preserve"> of the CSCS applicable at the time at which the employee becomes entitled to such compensation (including voluntary or compulsory redundancy). Suppliers are advised to check the Civil Service Pensions website for the current CSCS terms</w:t>
      </w:r>
      <w:r w:rsidR="002E33A0" w:rsidRPr="00EA528A">
        <w:t xml:space="preserve">. </w:t>
      </w:r>
    </w:p>
    <w:p w14:paraId="68E4D7C0" w14:textId="23213ADE" w:rsidR="00BC7DDA" w:rsidRPr="00BD6C5F" w:rsidRDefault="009B03E9" w:rsidP="00C5057A">
      <w:pPr>
        <w:pStyle w:val="Numbered11"/>
      </w:pPr>
      <w:r w:rsidRPr="00BD6C5F">
        <w:t xml:space="preserve">Any changes </w:t>
      </w:r>
      <w:r w:rsidR="002E33A0" w:rsidRPr="002E33A0">
        <w:t xml:space="preserve">necessary to this Contract as a result of changes to, or any replacement of </w:t>
      </w:r>
      <w:r w:rsidRPr="00BD6C5F">
        <w:t>any statement of practice, paper or other guidance that replaces any of the documentation referred to in Paragraphs</w:t>
      </w:r>
      <w:r w:rsidR="001F60F0" w:rsidRPr="00BD6C5F">
        <w:t> </w:t>
      </w:r>
      <w:r w:rsidR="001F60F0" w:rsidRPr="00BD6C5F">
        <w:fldChar w:fldCharType="begin"/>
      </w:r>
      <w:r w:rsidR="001F60F0" w:rsidRPr="00BD6C5F">
        <w:instrText xml:space="preserve"> REF _Ref98425754 \w \h </w:instrText>
      </w:r>
      <w:r w:rsidR="00AD7DD0" w:rsidRPr="00BD6C5F">
        <w:instrText xml:space="preserve"> \* MERGEFORMAT </w:instrText>
      </w:r>
      <w:r w:rsidR="001F60F0" w:rsidRPr="00BD6C5F">
        <w:fldChar w:fldCharType="separate"/>
      </w:r>
      <w:r w:rsidR="009749A0">
        <w:t>5.1</w:t>
      </w:r>
      <w:r w:rsidR="001F60F0" w:rsidRPr="00BD6C5F">
        <w:fldChar w:fldCharType="end"/>
      </w:r>
      <w:r w:rsidRPr="00BD6C5F">
        <w:t xml:space="preserve"> or </w:t>
      </w:r>
      <w:r w:rsidR="001F60F0" w:rsidRPr="00BD6C5F">
        <w:fldChar w:fldCharType="begin"/>
      </w:r>
      <w:r w:rsidR="001F60F0" w:rsidRPr="00BD6C5F">
        <w:instrText xml:space="preserve"> REF _Ref98425762 \w \h </w:instrText>
      </w:r>
      <w:r w:rsidR="00AD7DD0" w:rsidRPr="00BD6C5F">
        <w:instrText xml:space="preserve"> \* MERGEFORMAT </w:instrText>
      </w:r>
      <w:r w:rsidR="001F60F0" w:rsidRPr="00BD6C5F">
        <w:fldChar w:fldCharType="separate"/>
      </w:r>
      <w:r w:rsidR="009749A0">
        <w:t>5.2</w:t>
      </w:r>
      <w:r w:rsidR="001F60F0" w:rsidRPr="00BD6C5F">
        <w:fldChar w:fldCharType="end"/>
      </w:r>
      <w:r w:rsidRPr="00BD6C5F">
        <w:t xml:space="preserve"> shall be agreed in accordance with the Change Control Procedure.</w:t>
      </w:r>
    </w:p>
    <w:p w14:paraId="2E35DB2F" w14:textId="39DFF474" w:rsidR="00BC7DDA" w:rsidRPr="00BD6C5F" w:rsidRDefault="00F3416D" w:rsidP="00F3416D">
      <w:pPr>
        <w:pStyle w:val="Numbered1"/>
      </w:pPr>
      <w:r w:rsidRPr="00BD6C5F">
        <w:t>Pensions</w:t>
      </w:r>
    </w:p>
    <w:p w14:paraId="63266C45" w14:textId="77777777" w:rsidR="00BC7DDA" w:rsidRPr="00BD6C5F" w:rsidRDefault="009B03E9" w:rsidP="009F4A63">
      <w:pPr>
        <w:pStyle w:val="Numbered11"/>
        <w:keepNext/>
      </w:pPr>
      <w:r w:rsidRPr="00BD6C5F">
        <w:t>The Supplier shall, and/or shall procure that each of its Sub-contractors shall, comply with:</w:t>
      </w:r>
    </w:p>
    <w:p w14:paraId="541476DF" w14:textId="77777777" w:rsidR="00BC7DDA" w:rsidRPr="00BD6C5F" w:rsidRDefault="009B03E9" w:rsidP="00F3416D">
      <w:pPr>
        <w:pStyle w:val="Numbered111"/>
      </w:pPr>
      <w:r w:rsidRPr="00BD6C5F">
        <w:t>the requirements of Part 1 of the Pensions Act 2008, section 258 of the Pensions Act 2004 and the Transfer of Employment (Pension Protection) Regulations 2005 for all transferring staff; and</w:t>
      </w:r>
    </w:p>
    <w:p w14:paraId="302120C1" w14:textId="3972FF50" w:rsidR="00BC7DDA" w:rsidRPr="00BD6C5F" w:rsidRDefault="009B03E9" w:rsidP="00F3416D">
      <w:pPr>
        <w:pStyle w:val="Numbered111"/>
      </w:pPr>
      <w:r w:rsidRPr="00BD6C5F">
        <w:t>Part</w:t>
      </w:r>
      <w:r w:rsidR="00B8001B">
        <w: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xml:space="preserve"> (and its Annexes) to this Staff Transfer Schedule.</w:t>
      </w:r>
    </w:p>
    <w:p w14:paraId="176220EC" w14:textId="77777777" w:rsidR="00187547" w:rsidRPr="00BD6C5F" w:rsidRDefault="00187547" w:rsidP="00187547">
      <w:bookmarkStart w:id="1616" w:name="_bookmark548"/>
      <w:bookmarkStart w:id="1617" w:name="_bookmark547"/>
      <w:bookmarkEnd w:id="1616"/>
      <w:bookmarkEnd w:id="1617"/>
    </w:p>
    <w:p w14:paraId="49864719" w14:textId="69D4AC16" w:rsidR="00BC7DDA" w:rsidRPr="00BD6C5F" w:rsidRDefault="007D3DC7" w:rsidP="00730F71">
      <w:pPr>
        <w:pStyle w:val="Heading2"/>
        <w:pageBreakBefore/>
      </w:pPr>
      <w:bookmarkStart w:id="1618" w:name="_Ref98328083"/>
      <w:bookmarkStart w:id="1619" w:name="_Toc98332784"/>
      <w:bookmarkStart w:id="1620" w:name="_Toc98852957"/>
      <w:bookmarkStart w:id="1621" w:name="_Toc141721053"/>
      <w:r w:rsidRPr="00BD6C5F">
        <w:lastRenderedPageBreak/>
        <w:t xml:space="preserve">Part </w:t>
      </w:r>
      <w:bookmarkStart w:id="1622" w:name="Schedule_28_Part_B"/>
      <w:r w:rsidRPr="00BD6C5F">
        <w:t>B</w:t>
      </w:r>
      <w:bookmarkEnd w:id="1622"/>
      <w:r w:rsidRPr="00BD6C5F">
        <w:t>: Transferring Former Supplier Employees at Commencement of Services</w:t>
      </w:r>
      <w:bookmarkEnd w:id="1618"/>
      <w:bookmarkEnd w:id="1619"/>
      <w:bookmarkEnd w:id="1620"/>
      <w:bookmarkEnd w:id="1621"/>
    </w:p>
    <w:p w14:paraId="3F62742F" w14:textId="72B30E27" w:rsidR="00BC7DDA" w:rsidRPr="00BD6C5F" w:rsidRDefault="007D3DC7" w:rsidP="00B71FC0">
      <w:pPr>
        <w:pStyle w:val="Numbered1"/>
        <w:numPr>
          <w:ilvl w:val="0"/>
          <w:numId w:val="117"/>
        </w:numPr>
      </w:pPr>
      <w:r w:rsidRPr="00BD6C5F">
        <w:t>Relevant Transfers</w:t>
      </w:r>
    </w:p>
    <w:p w14:paraId="3F100159" w14:textId="77777777" w:rsidR="00BC7DDA" w:rsidRPr="00BD6C5F" w:rsidRDefault="009B03E9" w:rsidP="009F4A63">
      <w:pPr>
        <w:pStyle w:val="Numbered11"/>
        <w:keepNext/>
      </w:pPr>
      <w:r w:rsidRPr="00BD6C5F">
        <w:t>The Authority and the Supplier agree that:</w:t>
      </w:r>
    </w:p>
    <w:p w14:paraId="641077BD" w14:textId="77777777" w:rsidR="00BC7DDA" w:rsidRPr="00BD6C5F" w:rsidRDefault="009B03E9" w:rsidP="007D3DC7">
      <w:pPr>
        <w:pStyle w:val="Numbered111"/>
      </w:pPr>
      <w:r w:rsidRPr="00BD6C5F">
        <w:t>the commencement of the provision of the Services or of any relevant part of the Services will be a Relevant Transfer in relation to the Transferring Former Supplier Employees; and</w:t>
      </w:r>
    </w:p>
    <w:p w14:paraId="66CE87A4" w14:textId="5C611EFE" w:rsidR="00BC7DDA" w:rsidRPr="00BD6C5F" w:rsidRDefault="009B03E9" w:rsidP="007D3DC7">
      <w:pPr>
        <w:pStyle w:val="Numbered111"/>
      </w:pPr>
      <w:r w:rsidRPr="00BD6C5F">
        <w:t>as a result of the operation of the Employment Regulations, the contracts of employment between each Former Supplier and the Transferring Former Supplier Employees (except in relation to any terms disapplied through the operation of regulation 10 of the Employment Regulations) shall have effect on and from the Relevant Transfer Date as if originally made between the Supplier and/or Notified Sub-contractor and each such Transferring Former Supplier Employee.</w:t>
      </w:r>
    </w:p>
    <w:p w14:paraId="1C3693B2" w14:textId="77777777" w:rsidR="00BC7DDA" w:rsidRPr="00BD6C5F" w:rsidRDefault="009B03E9" w:rsidP="00C5057A">
      <w:pPr>
        <w:pStyle w:val="Numbered11"/>
      </w:pPr>
      <w:r w:rsidRPr="00BD6C5F">
        <w:t>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respect of any periodic payments.</w:t>
      </w:r>
    </w:p>
    <w:p w14:paraId="74CCC377" w14:textId="3F69E931" w:rsidR="00BC7DDA" w:rsidRPr="00BD6C5F" w:rsidRDefault="007D3DC7" w:rsidP="007D3DC7">
      <w:pPr>
        <w:pStyle w:val="Numbered1"/>
      </w:pPr>
      <w:r w:rsidRPr="00BD6C5F">
        <w:t>Former Supplier Indemnities</w:t>
      </w:r>
    </w:p>
    <w:p w14:paraId="6E73A816" w14:textId="667AB998" w:rsidR="00BC7DDA" w:rsidRPr="00BD6C5F" w:rsidRDefault="009B03E9" w:rsidP="009F4A63">
      <w:pPr>
        <w:pStyle w:val="Numbered11"/>
        <w:keepNext/>
      </w:pPr>
      <w:bookmarkStart w:id="1623" w:name="_bookmark549"/>
      <w:bookmarkStart w:id="1624" w:name="_Ref98425791"/>
      <w:bookmarkEnd w:id="1623"/>
      <w:r w:rsidRPr="00BD6C5F">
        <w:t>Subject to Paragraph</w:t>
      </w:r>
      <w:r w:rsidR="001F60F0" w:rsidRPr="00BD6C5F">
        <w:t> </w:t>
      </w:r>
      <w:r w:rsidR="001F60F0" w:rsidRPr="00BD6C5F">
        <w:fldChar w:fldCharType="begin"/>
      </w:r>
      <w:r w:rsidR="001F60F0" w:rsidRPr="00BD6C5F">
        <w:instrText xml:space="preserve"> REF _Ref98425781 \w \h </w:instrText>
      </w:r>
      <w:r w:rsidR="00AD7DD0" w:rsidRPr="00BD6C5F">
        <w:instrText xml:space="preserve"> \* MERGEFORMAT </w:instrText>
      </w:r>
      <w:r w:rsidR="001F60F0" w:rsidRPr="00BD6C5F">
        <w:fldChar w:fldCharType="separate"/>
      </w:r>
      <w:r w:rsidR="009749A0">
        <w:t>2.2</w:t>
      </w:r>
      <w:r w:rsidR="001F60F0" w:rsidRPr="00BD6C5F">
        <w:fldChar w:fldCharType="end"/>
      </w:r>
      <w:r w:rsidRPr="00BD6C5F">
        <w:t>, the Authority shall procure that each Former Supplier shall indemnify the Supplier and any Notified Sub-contractor against any Employee Liabilities arising from or as a result of:</w:t>
      </w:r>
      <w:bookmarkEnd w:id="1624"/>
    </w:p>
    <w:p w14:paraId="66043792" w14:textId="77777777" w:rsidR="00BC7DDA" w:rsidRPr="00BD6C5F" w:rsidRDefault="009B03E9" w:rsidP="007D3DC7">
      <w:pPr>
        <w:pStyle w:val="Numbered111"/>
      </w:pPr>
      <w:r w:rsidRPr="00BD6C5F">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4AD4C550" w14:textId="77777777" w:rsidR="00BC7DDA" w:rsidRPr="00BD6C5F" w:rsidRDefault="009B03E9" w:rsidP="009F4A63">
      <w:pPr>
        <w:pStyle w:val="Numbered111"/>
        <w:keepNext/>
      </w:pPr>
      <w:r w:rsidRPr="00BD6C5F">
        <w:t>the breach or non-observance by the Former Supplier arising before the Relevant Transfer Date of:</w:t>
      </w:r>
    </w:p>
    <w:p w14:paraId="5FA26FC4" w14:textId="77777777" w:rsidR="00BC7DDA" w:rsidRPr="00BD6C5F" w:rsidRDefault="009B03E9" w:rsidP="00DE03A4">
      <w:pPr>
        <w:pStyle w:val="Numbered111a"/>
      </w:pPr>
      <w:r w:rsidRPr="00BD6C5F">
        <w:t>any collective agreement applicable to the Transferring Former Supplier Employees; and/or</w:t>
      </w:r>
    </w:p>
    <w:p w14:paraId="16481AC4" w14:textId="6BE9D131" w:rsidR="00BC7DDA" w:rsidRPr="00BD6C5F" w:rsidRDefault="009B03E9" w:rsidP="007D3DC7">
      <w:pPr>
        <w:pStyle w:val="Numbered111a"/>
        <w:rPr>
          <w:lang w:val="en-GB"/>
        </w:rPr>
      </w:pPr>
      <w:r w:rsidRPr="00BD6C5F">
        <w:rPr>
          <w:lang w:val="en-GB"/>
        </w:rPr>
        <w:t>any custom or practice in respect of any Transferring Former Supplier Employees which the Former Supplier is contractually bound to honour;</w:t>
      </w:r>
    </w:p>
    <w:p w14:paraId="6737A08D" w14:textId="77777777" w:rsidR="00BC7DDA" w:rsidRPr="00BD6C5F" w:rsidRDefault="009B03E9" w:rsidP="009F4A63">
      <w:pPr>
        <w:pStyle w:val="Numbered111"/>
        <w:keepNext/>
        <w:widowControl/>
      </w:pPr>
      <w:r w:rsidRPr="00BD6C5F">
        <w:lastRenderedPageBreak/>
        <w:t>any proceeding, claim or demand by HMRC or other statutory authority in respect of any financial obligation including, but not limited to, PAYE and primary and secondary national insurance contributions:</w:t>
      </w:r>
    </w:p>
    <w:p w14:paraId="5C1728C6" w14:textId="77777777" w:rsidR="00BC7DDA" w:rsidRPr="00BD6C5F" w:rsidRDefault="009B03E9" w:rsidP="00DE03A4">
      <w:pPr>
        <w:pStyle w:val="Numbered111a"/>
      </w:pPr>
      <w:r w:rsidRPr="00BD6C5F">
        <w:t>in relation to any Transferring Former Supplier Employee, to the extent that the proceeding, claim or demand by HMRC or other statutory authority relates to financial obligations arising before the Relevant Transfer Date; and</w:t>
      </w:r>
    </w:p>
    <w:p w14:paraId="7F840ED0" w14:textId="6CECA855" w:rsidR="00BC7DDA" w:rsidRPr="00BD6C5F" w:rsidRDefault="009B03E9" w:rsidP="007D3DC7">
      <w:pPr>
        <w:pStyle w:val="Numbered111a"/>
        <w:rPr>
          <w:lang w:val="en-GB"/>
        </w:rPr>
      </w:pPr>
      <w:r w:rsidRPr="00BD6C5F">
        <w:rPr>
          <w:lang w:val="en-GB"/>
        </w:rPr>
        <w:t xml:space="preserve">in relation to any employee who is not a Transferring Former Supplier Employee and in respect of whom it is later alleged or determined that the Employment Regulations applied so as to transfer </w:t>
      </w:r>
      <w:r w:rsidR="0022568A">
        <w:rPr>
          <w:lang w:val="en-GB"/>
        </w:rPr>
        <w:t>their</w:t>
      </w:r>
      <w:r w:rsidRPr="00BD6C5F">
        <w:rPr>
          <w:lang w:val="en-GB"/>
        </w:rPr>
        <w:t xml:space="preserve">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08394E6E" w14:textId="77777777" w:rsidR="00BC7DDA" w:rsidRPr="00BD6C5F" w:rsidRDefault="009B03E9" w:rsidP="007D3DC7">
      <w:pPr>
        <w:pStyle w:val="Numbered111"/>
      </w:pPr>
      <w:r w:rsidRPr="00BD6C5F">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19829806" w14:textId="5789BD68" w:rsidR="00BC7DDA" w:rsidRPr="00BD6C5F" w:rsidRDefault="009B03E9" w:rsidP="007D3DC7">
      <w:pPr>
        <w:pStyle w:val="Numbered111"/>
      </w:pPr>
      <w:r w:rsidRPr="00BD6C5F">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F07953" w:rsidRPr="00BD6C5F">
        <w:t xml:space="preserve">Contract </w:t>
      </w:r>
      <w:r w:rsidRPr="00BD6C5F">
        <w:t>and/or the Employment Regulations; and</w:t>
      </w:r>
    </w:p>
    <w:p w14:paraId="420ECB49" w14:textId="77777777" w:rsidR="00BC7DDA" w:rsidRPr="00BD6C5F" w:rsidRDefault="009B03E9" w:rsidP="007D3DC7">
      <w:pPr>
        <w:pStyle w:val="Numbered111"/>
      </w:pPr>
      <w:r w:rsidRPr="00BD6C5F">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4C9996B2" w14:textId="5DC4B658" w:rsidR="00BC7DDA" w:rsidRPr="00BD6C5F" w:rsidRDefault="009B03E9" w:rsidP="00C5057A">
      <w:pPr>
        <w:pStyle w:val="Numbered11"/>
      </w:pPr>
      <w:bookmarkStart w:id="1625" w:name="_bookmark550"/>
      <w:bookmarkStart w:id="1626" w:name="_Ref98425781"/>
      <w:bookmarkEnd w:id="1625"/>
      <w:r w:rsidRPr="00BD6C5F">
        <w:t>The indemnities in Paragraph</w:t>
      </w:r>
      <w:r w:rsidR="001F60F0" w:rsidRPr="00BD6C5F">
        <w:t> </w:t>
      </w:r>
      <w:r w:rsidR="001F60F0" w:rsidRPr="00BD6C5F">
        <w:fldChar w:fldCharType="begin"/>
      </w:r>
      <w:r w:rsidR="001F60F0" w:rsidRPr="00BD6C5F">
        <w:instrText xml:space="preserve"> REF _Ref98425791 \w \h </w:instrText>
      </w:r>
      <w:r w:rsidR="00AD7DD0" w:rsidRPr="00BD6C5F">
        <w:instrText xml:space="preserve"> \* MERGEFORMAT </w:instrText>
      </w:r>
      <w:r w:rsidR="001F60F0" w:rsidRPr="00BD6C5F">
        <w:fldChar w:fldCharType="separate"/>
      </w:r>
      <w:r w:rsidR="009749A0">
        <w:t>2.1</w:t>
      </w:r>
      <w:r w:rsidR="001F60F0" w:rsidRPr="00BD6C5F">
        <w:fldChar w:fldCharType="end"/>
      </w:r>
      <w:r w:rsidRPr="00BD6C5F">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1626"/>
    </w:p>
    <w:p w14:paraId="4963F2A5" w14:textId="32BBB8D9" w:rsidR="00BC7DDA" w:rsidRPr="00BD6C5F" w:rsidRDefault="009B03E9" w:rsidP="007D3DC7">
      <w:pPr>
        <w:pStyle w:val="Numbered111"/>
      </w:pPr>
      <w:r w:rsidRPr="00BD6C5F">
        <w:t xml:space="preserve">arising out of the resignation of any Transferring Former Supplier Employee before the Relevant Transfer Date on account of substantial detrimental changes to </w:t>
      </w:r>
      <w:r w:rsidR="0022568A">
        <w:t>their</w:t>
      </w:r>
      <w:r w:rsidRPr="00BD6C5F">
        <w:t xml:space="preserve"> working conditions proposed by the Supplier or any Sub-contractor to occur in the period from (and including) the Relevant Transfer Date; or</w:t>
      </w:r>
    </w:p>
    <w:p w14:paraId="1A608E7E" w14:textId="77777777" w:rsidR="00BC7DDA" w:rsidRPr="00BD6C5F" w:rsidRDefault="009B03E9" w:rsidP="007D3DC7">
      <w:pPr>
        <w:pStyle w:val="Numbered111"/>
      </w:pPr>
      <w:r w:rsidRPr="00BD6C5F">
        <w:t>arising from the failure by the Supplier and/or any Sub-contractor to comply with its obligations under the Employment Regulations.</w:t>
      </w:r>
    </w:p>
    <w:p w14:paraId="0547367E" w14:textId="6FA0AB30" w:rsidR="00BC7DDA" w:rsidRPr="00BD6C5F" w:rsidRDefault="009B03E9" w:rsidP="009F4A63">
      <w:pPr>
        <w:pStyle w:val="Numbered11"/>
        <w:widowControl/>
      </w:pPr>
      <w:bookmarkStart w:id="1627" w:name="_bookmark551"/>
      <w:bookmarkStart w:id="1628" w:name="_Ref98425827"/>
      <w:bookmarkEnd w:id="1627"/>
      <w:r w:rsidRPr="00BD6C5F">
        <w:lastRenderedPageBreak/>
        <w:t xml:space="preserve">If any person who is not identified as a Transferring Former Supplier Employee claims, or it is determined in relation to any person who is not identified as a Transferring Former Supplier Employee, that </w:t>
      </w:r>
      <w:r w:rsidR="0022568A">
        <w:t>their</w:t>
      </w:r>
      <w:r w:rsidRPr="00BD6C5F">
        <w:t xml:space="preserve"> contract of employment has been transferred from a Former Supplier to the Supplier and/or any Notified Sub-contractor pursuant to the Employment Regulations then:</w:t>
      </w:r>
      <w:bookmarkEnd w:id="1628"/>
    </w:p>
    <w:p w14:paraId="18023487" w14:textId="77777777" w:rsidR="00BC7DDA" w:rsidRPr="00BD6C5F" w:rsidRDefault="009B03E9" w:rsidP="007D3DC7">
      <w:pPr>
        <w:pStyle w:val="Numbered111"/>
      </w:pPr>
      <w:bookmarkStart w:id="1629" w:name="_bookmark552"/>
      <w:bookmarkStart w:id="1630" w:name="_Ref98425925"/>
      <w:bookmarkEnd w:id="1629"/>
      <w:r w:rsidRPr="00BD6C5F">
        <w:t>the Supplier shall, or shall procure that the Notified Sub-contractor shall, within 5 Working Days of becoming aware of that fact, give notice in writing to the Authority and, where required by the Authority, to the Former Supplier; and</w:t>
      </w:r>
      <w:bookmarkEnd w:id="1630"/>
    </w:p>
    <w:p w14:paraId="27A5CDBA" w14:textId="77777777" w:rsidR="00BC7DDA" w:rsidRPr="00BD6C5F" w:rsidRDefault="009B03E9" w:rsidP="007D3DC7">
      <w:pPr>
        <w:pStyle w:val="Numbered111"/>
      </w:pPr>
      <w:bookmarkStart w:id="1631" w:name="_bookmark553"/>
      <w:bookmarkStart w:id="1632" w:name="_Ref98425805"/>
      <w:bookmarkEnd w:id="1631"/>
      <w:r w:rsidRPr="00BD6C5F">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bookmarkEnd w:id="1632"/>
    </w:p>
    <w:p w14:paraId="1ED21244" w14:textId="798DAAE8" w:rsidR="00BC7DDA" w:rsidRPr="00BD6C5F" w:rsidRDefault="009B03E9" w:rsidP="00C5057A">
      <w:pPr>
        <w:pStyle w:val="Numbered11"/>
      </w:pPr>
      <w:r w:rsidRPr="00BD6C5F">
        <w:t>If an offer referred to in Paragraph</w:t>
      </w:r>
      <w:r w:rsidR="001F60F0" w:rsidRPr="00BD6C5F">
        <w:t> </w:t>
      </w:r>
      <w:r w:rsidR="001F60F0" w:rsidRPr="00BD6C5F">
        <w:fldChar w:fldCharType="begin"/>
      </w:r>
      <w:r w:rsidR="001F60F0" w:rsidRPr="00BD6C5F">
        <w:instrText xml:space="preserve"> REF _Ref98425805 \w \h </w:instrText>
      </w:r>
      <w:r w:rsidR="00AD7DD0" w:rsidRPr="00BD6C5F">
        <w:instrText xml:space="preserve"> \* MERGEFORMAT </w:instrText>
      </w:r>
      <w:r w:rsidR="001F60F0" w:rsidRPr="00BD6C5F">
        <w:fldChar w:fldCharType="separate"/>
      </w:r>
      <w:r w:rsidR="009749A0">
        <w:t>2.3.2</w:t>
      </w:r>
      <w:r w:rsidR="001F60F0" w:rsidRPr="00BD6C5F">
        <w:fldChar w:fldCharType="end"/>
      </w:r>
      <w:r w:rsidRPr="00BD6C5F">
        <w:t xml:space="preserve"> is accepted, or if the situation has otherwise been resolved by the Former Supplier and/or the Authority, the Supplier shall, or shall procure that the Notified Sub-contractor shall, immediately release the person from his/her employment or alleged employment.</w:t>
      </w:r>
    </w:p>
    <w:p w14:paraId="7C138F4B" w14:textId="6B79E0F7" w:rsidR="00BC7DDA" w:rsidRPr="00BD6C5F" w:rsidRDefault="009B03E9" w:rsidP="009F4A63">
      <w:pPr>
        <w:pStyle w:val="Numbered11"/>
        <w:keepNext/>
      </w:pPr>
      <w:bookmarkStart w:id="1633" w:name="_bookmark554"/>
      <w:bookmarkStart w:id="1634" w:name="_Ref98425835"/>
      <w:bookmarkEnd w:id="1633"/>
      <w:r w:rsidRPr="00BD6C5F">
        <w:t>If by the end of the 15 Working Day period specified in Paragraph</w:t>
      </w:r>
      <w:r w:rsidR="001F60F0" w:rsidRPr="00BD6C5F">
        <w:t> </w:t>
      </w:r>
      <w:r w:rsidR="001F60F0" w:rsidRPr="00BD6C5F">
        <w:fldChar w:fldCharType="begin"/>
      </w:r>
      <w:r w:rsidR="001F60F0" w:rsidRPr="00BD6C5F">
        <w:instrText xml:space="preserve"> REF _Ref98425805 \w \h </w:instrText>
      </w:r>
      <w:r w:rsidR="00AD7DD0" w:rsidRPr="00BD6C5F">
        <w:instrText xml:space="preserve"> \* MERGEFORMAT </w:instrText>
      </w:r>
      <w:r w:rsidR="001F60F0" w:rsidRPr="00BD6C5F">
        <w:fldChar w:fldCharType="separate"/>
      </w:r>
      <w:r w:rsidR="009749A0">
        <w:t>2.3.2</w:t>
      </w:r>
      <w:r w:rsidR="001F60F0" w:rsidRPr="00BD6C5F">
        <w:fldChar w:fldCharType="end"/>
      </w:r>
      <w:r w:rsidRPr="00BD6C5F">
        <w:t>:</w:t>
      </w:r>
      <w:bookmarkEnd w:id="1634"/>
    </w:p>
    <w:p w14:paraId="156D3339" w14:textId="77777777" w:rsidR="00BC7DDA" w:rsidRPr="00BD6C5F" w:rsidRDefault="009B03E9" w:rsidP="007D3DC7">
      <w:pPr>
        <w:pStyle w:val="Numbered111"/>
      </w:pPr>
      <w:r w:rsidRPr="00BD6C5F">
        <w:t>no such offer of employment has been made;</w:t>
      </w:r>
    </w:p>
    <w:p w14:paraId="1952D8AB" w14:textId="77777777" w:rsidR="00BC7DDA" w:rsidRPr="00BD6C5F" w:rsidRDefault="009B03E9" w:rsidP="007D3DC7">
      <w:pPr>
        <w:pStyle w:val="Numbered111"/>
      </w:pPr>
      <w:r w:rsidRPr="00BD6C5F">
        <w:t>such offer has been made but not accepted; or</w:t>
      </w:r>
    </w:p>
    <w:p w14:paraId="1A4ECC20" w14:textId="77777777" w:rsidR="00BC7DDA" w:rsidRPr="00BD6C5F" w:rsidRDefault="009B03E9" w:rsidP="007D3DC7">
      <w:pPr>
        <w:pStyle w:val="Numbered111"/>
      </w:pPr>
      <w:r w:rsidRPr="00BD6C5F">
        <w:t>the situation has not otherwise been resolved,</w:t>
      </w:r>
    </w:p>
    <w:p w14:paraId="5BF99D59" w14:textId="77777777" w:rsidR="00BC7DDA" w:rsidRPr="00BD6C5F" w:rsidRDefault="009B03E9" w:rsidP="00E21E85">
      <w:pPr>
        <w:pStyle w:val="BodyText"/>
        <w:spacing w:before="100" w:after="200"/>
        <w:ind w:left="720"/>
        <w:rPr>
          <w:rFonts w:asciiTheme="minorHAnsi" w:hAnsiTheme="minorHAnsi" w:cstheme="minorHAnsi"/>
        </w:rPr>
      </w:pPr>
      <w:r w:rsidRPr="00BD6C5F">
        <w:rPr>
          <w:rFonts w:asciiTheme="minorHAnsi" w:hAnsiTheme="minorHAnsi" w:cstheme="minorHAnsi"/>
        </w:rPr>
        <w:t>the Supplier and/or any Notified Sub-contractor may within 5 Working Days give notice to terminate the employment or alleged employment of such person.</w:t>
      </w:r>
    </w:p>
    <w:p w14:paraId="4B9CA225" w14:textId="078F51DA" w:rsidR="00BC7DDA" w:rsidRPr="00BD6C5F" w:rsidRDefault="009B03E9" w:rsidP="00C5057A">
      <w:pPr>
        <w:pStyle w:val="Numbered11"/>
      </w:pPr>
      <w:bookmarkStart w:id="1635" w:name="_bookmark555"/>
      <w:bookmarkStart w:id="1636" w:name="_Ref98425893"/>
      <w:bookmarkEnd w:id="1635"/>
      <w:r w:rsidRPr="00BD6C5F">
        <w:t>Subject to the Supplier and/or any Notified Sub-contractor acting in accordance with the provisions of Paragraphs</w:t>
      </w:r>
      <w:r w:rsidR="001F60F0" w:rsidRPr="00BD6C5F">
        <w:t> </w:t>
      </w:r>
      <w:r w:rsidR="001F60F0" w:rsidRPr="00BD6C5F">
        <w:fldChar w:fldCharType="begin"/>
      </w:r>
      <w:r w:rsidR="001F60F0" w:rsidRPr="00BD6C5F">
        <w:instrText xml:space="preserve"> REF _Ref98425827 \w \h </w:instrText>
      </w:r>
      <w:r w:rsidR="00AD7DD0" w:rsidRPr="00BD6C5F">
        <w:instrText xml:space="preserve"> \* MERGEFORMAT </w:instrText>
      </w:r>
      <w:r w:rsidR="001F60F0" w:rsidRPr="00BD6C5F">
        <w:fldChar w:fldCharType="separate"/>
      </w:r>
      <w:r w:rsidR="009749A0">
        <w:t>2.3</w:t>
      </w:r>
      <w:r w:rsidR="001F60F0" w:rsidRPr="00BD6C5F">
        <w:fldChar w:fldCharType="end"/>
      </w:r>
      <w:r w:rsidRPr="00BD6C5F">
        <w:t xml:space="preserve"> to </w:t>
      </w:r>
      <w:r w:rsidR="001F60F0" w:rsidRPr="00BD6C5F">
        <w:fldChar w:fldCharType="begin"/>
      </w:r>
      <w:r w:rsidR="001F60F0" w:rsidRPr="00BD6C5F">
        <w:instrText xml:space="preserve"> REF _Ref98425835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and in accordance with all applicable proper employment procedures set out in Law, the Authority shall procure that the Former Supplier indemnifies the Supplier and/or any Notified Sub-contractor (as appropriate) against all Employee Liabilities arising out of the termination of employment pursuant to the provisions of Paragraph</w:t>
      </w:r>
      <w:r w:rsidR="001F60F0" w:rsidRPr="00BD6C5F">
        <w:t> </w:t>
      </w:r>
      <w:r w:rsidR="001F60F0" w:rsidRPr="00BD6C5F">
        <w:fldChar w:fldCharType="begin"/>
      </w:r>
      <w:r w:rsidR="001F60F0" w:rsidRPr="00BD6C5F">
        <w:instrText xml:space="preserve"> REF _Ref98425835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provided that the Supplier takes, or shall procure that the Notified Sub-contractor takes, all reasonable steps to minimise any such Employee Liabilities.</w:t>
      </w:r>
      <w:bookmarkEnd w:id="1636"/>
    </w:p>
    <w:p w14:paraId="53053B02" w14:textId="62038D03" w:rsidR="00BC7DDA" w:rsidRPr="00BD6C5F" w:rsidRDefault="009B03E9" w:rsidP="009F4A63">
      <w:pPr>
        <w:pStyle w:val="Numbered11"/>
        <w:keepNext/>
      </w:pPr>
      <w:r w:rsidRPr="00BD6C5F">
        <w:t>The indemnity in Paragraph</w:t>
      </w:r>
      <w:r w:rsidR="001F60F0" w:rsidRPr="00BD6C5F">
        <w:t> </w:t>
      </w:r>
      <w:r w:rsidR="001F60F0" w:rsidRPr="00BD6C5F">
        <w:fldChar w:fldCharType="begin"/>
      </w:r>
      <w:r w:rsidR="001F60F0" w:rsidRPr="00BD6C5F">
        <w:instrText xml:space="preserve"> REF _Ref98425893 \w \h </w:instrText>
      </w:r>
      <w:r w:rsidR="00AD7DD0" w:rsidRPr="00BD6C5F">
        <w:instrText xml:space="preserve"> \* MERGEFORMAT </w:instrText>
      </w:r>
      <w:r w:rsidR="001F60F0" w:rsidRPr="00BD6C5F">
        <w:fldChar w:fldCharType="separate"/>
      </w:r>
      <w:r w:rsidR="009749A0">
        <w:t>2.6</w:t>
      </w:r>
      <w:r w:rsidR="001F60F0" w:rsidRPr="00BD6C5F">
        <w:fldChar w:fldCharType="end"/>
      </w:r>
      <w:r w:rsidRPr="00BD6C5F">
        <w:t>:</w:t>
      </w:r>
    </w:p>
    <w:p w14:paraId="0AB5A634" w14:textId="77777777" w:rsidR="00BC7DDA" w:rsidRPr="00BD6C5F" w:rsidRDefault="009B03E9" w:rsidP="009F4A63">
      <w:pPr>
        <w:pStyle w:val="Numbered111"/>
        <w:keepNext/>
      </w:pPr>
      <w:r w:rsidRPr="00BD6C5F">
        <w:t>shall not apply to:</w:t>
      </w:r>
    </w:p>
    <w:p w14:paraId="75B5D0A2" w14:textId="77777777" w:rsidR="00BC7DDA" w:rsidRPr="00BD6C5F" w:rsidRDefault="009B03E9" w:rsidP="009F4A63">
      <w:pPr>
        <w:pStyle w:val="Numbered111a"/>
        <w:keepNext/>
      </w:pPr>
      <w:r w:rsidRPr="00BD6C5F">
        <w:t>any claim for:</w:t>
      </w:r>
    </w:p>
    <w:p w14:paraId="5B11DC73" w14:textId="77777777" w:rsidR="00BC7DDA" w:rsidRPr="00BD6C5F" w:rsidRDefault="009B03E9" w:rsidP="000B0FA3">
      <w:pPr>
        <w:pStyle w:val="Numbered111ai"/>
      </w:pPr>
      <w:r w:rsidRPr="00BD6C5F">
        <w:t>discrimination, including on the grounds of sex, race, disability, age, gender reassignment, marriage or civil partnership, pregnancy and maternity or sexual orientation, religion or belief; or</w:t>
      </w:r>
    </w:p>
    <w:p w14:paraId="5742FC85" w14:textId="77777777" w:rsidR="00BC7DDA" w:rsidRPr="00BD6C5F" w:rsidRDefault="009B03E9" w:rsidP="000B0FA3">
      <w:pPr>
        <w:pStyle w:val="Numbered111ai"/>
      </w:pPr>
      <w:r w:rsidRPr="00BD6C5F">
        <w:t>equal pay or compensation for less favourable treatment of part-time workers or fixed-term employees,</w:t>
      </w:r>
    </w:p>
    <w:p w14:paraId="3FDE64DD" w14:textId="77777777" w:rsidR="00BC7DDA" w:rsidRPr="00BD6C5F" w:rsidRDefault="009B03E9" w:rsidP="00E21E85">
      <w:pPr>
        <w:pStyle w:val="BodyText"/>
        <w:spacing w:before="100" w:after="200"/>
        <w:ind w:left="2523"/>
        <w:rPr>
          <w:rFonts w:asciiTheme="minorHAnsi" w:hAnsiTheme="minorHAnsi" w:cstheme="minorHAnsi"/>
        </w:rPr>
      </w:pPr>
      <w:r w:rsidRPr="00BD6C5F">
        <w:rPr>
          <w:rFonts w:asciiTheme="minorHAnsi" w:hAnsiTheme="minorHAnsi" w:cstheme="minorHAnsi"/>
        </w:rPr>
        <w:lastRenderedPageBreak/>
        <w:t>in any case in relation to any alleged act or omission of the Supplier and/or any Sub-contractor; or</w:t>
      </w:r>
    </w:p>
    <w:p w14:paraId="51D0575D" w14:textId="77777777" w:rsidR="00BC7DDA" w:rsidRPr="00BD6C5F" w:rsidRDefault="009B03E9" w:rsidP="000B0FA3">
      <w:pPr>
        <w:pStyle w:val="Numbered111a"/>
        <w:rPr>
          <w:lang w:val="en-GB"/>
        </w:rPr>
      </w:pPr>
      <w:r w:rsidRPr="00BD6C5F">
        <w:rPr>
          <w:lang w:val="en-GB"/>
        </w:rPr>
        <w:t>any claim that the termination of employment was unfair because the Supplier and/or Notified Sub-contractor neglected to follow a fair dismissal procedure; and</w:t>
      </w:r>
    </w:p>
    <w:p w14:paraId="40B465E6" w14:textId="3001A3B1" w:rsidR="00BC7DDA" w:rsidRPr="00BD6C5F" w:rsidRDefault="009B03E9" w:rsidP="007D3DC7">
      <w:pPr>
        <w:pStyle w:val="Numbered111"/>
      </w:pPr>
      <w:r w:rsidRPr="00BD6C5F">
        <w:t>shall apply only where the notification referred to in Paragraph</w:t>
      </w:r>
      <w:r w:rsidR="001F60F0" w:rsidRPr="00BD6C5F">
        <w:t> </w:t>
      </w:r>
      <w:r w:rsidR="001F60F0" w:rsidRPr="00BD6C5F">
        <w:fldChar w:fldCharType="begin"/>
      </w:r>
      <w:r w:rsidR="001F60F0" w:rsidRPr="00BD6C5F">
        <w:instrText xml:space="preserve"> REF _Ref98425925 \w \h </w:instrText>
      </w:r>
      <w:r w:rsidR="00AD7DD0" w:rsidRPr="00BD6C5F">
        <w:instrText xml:space="preserve"> \* MERGEFORMAT </w:instrText>
      </w:r>
      <w:r w:rsidR="001F60F0" w:rsidRPr="00BD6C5F">
        <w:fldChar w:fldCharType="separate"/>
      </w:r>
      <w:r w:rsidR="009749A0">
        <w:t>2.3.1</w:t>
      </w:r>
      <w:r w:rsidR="001F60F0" w:rsidRPr="00BD6C5F">
        <w:fldChar w:fldCharType="end"/>
      </w:r>
      <w:r w:rsidRPr="00BD6C5F">
        <w:t xml:space="preserve"> is made by the Supplier and/or any Notified Sub-contractor (as appropriate) to the Authority and, if applicable, the Former Supplier, within 6 months of the </w:t>
      </w:r>
      <w:r w:rsidR="002E33A0">
        <w:t>relevant Relevant Transfer</w:t>
      </w:r>
      <w:r w:rsidR="002E33A0" w:rsidRPr="00BD6C5F">
        <w:t xml:space="preserve"> </w:t>
      </w:r>
      <w:r w:rsidRPr="00BD6C5F">
        <w:t>Date.</w:t>
      </w:r>
    </w:p>
    <w:p w14:paraId="63B5FD99" w14:textId="4C003876" w:rsidR="00BC7DDA" w:rsidRPr="00BD6C5F" w:rsidRDefault="009B03E9" w:rsidP="00C5057A">
      <w:pPr>
        <w:pStyle w:val="Numbered11"/>
      </w:pPr>
      <w:bookmarkStart w:id="1637" w:name="_bookmark556"/>
      <w:bookmarkStart w:id="1638" w:name="_Ref98425978"/>
      <w:bookmarkEnd w:id="1637"/>
      <w:r w:rsidRPr="00BD6C5F">
        <w:t>If any such person as is described in Paragraph</w:t>
      </w:r>
      <w:r w:rsidR="001F60F0" w:rsidRPr="00BD6C5F">
        <w:t> </w:t>
      </w:r>
      <w:r w:rsidR="001F60F0" w:rsidRPr="00BD6C5F">
        <w:fldChar w:fldCharType="begin"/>
      </w:r>
      <w:r w:rsidR="001F60F0" w:rsidRPr="00BD6C5F">
        <w:instrText xml:space="preserve"> REF _Ref98425827 \w \h </w:instrText>
      </w:r>
      <w:r w:rsidR="00AD7DD0" w:rsidRPr="00BD6C5F">
        <w:instrText xml:space="preserve"> \* MERGEFORMAT </w:instrText>
      </w:r>
      <w:r w:rsidR="001F60F0" w:rsidRPr="00BD6C5F">
        <w:fldChar w:fldCharType="separate"/>
      </w:r>
      <w:r w:rsidR="009749A0">
        <w:t>2.3</w:t>
      </w:r>
      <w:r w:rsidR="001F60F0" w:rsidRPr="00BD6C5F">
        <w:fldChar w:fldCharType="end"/>
      </w:r>
      <w:r w:rsidRPr="00BD6C5F">
        <w:t xml:space="preserve"> is neither re-employed by the Former Supplier nor dismissed by the Supplier and/or any Notified Sub-contractor within the time scales set out in Paragraph</w:t>
      </w:r>
      <w:r w:rsidR="001F60F0" w:rsidRPr="00BD6C5F">
        <w:t> </w:t>
      </w:r>
      <w:r w:rsidR="001F60F0" w:rsidRPr="00BD6C5F">
        <w:fldChar w:fldCharType="begin"/>
      </w:r>
      <w:r w:rsidR="001F60F0" w:rsidRPr="00BD6C5F">
        <w:instrText xml:space="preserve"> REF _Ref98425835 \w \h </w:instrText>
      </w:r>
      <w:r w:rsidR="00AD7DD0" w:rsidRPr="00BD6C5F">
        <w:instrText xml:space="preserve"> \* MERGEFORMAT </w:instrText>
      </w:r>
      <w:r w:rsidR="001F60F0" w:rsidRPr="00BD6C5F">
        <w:fldChar w:fldCharType="separate"/>
      </w:r>
      <w:r w:rsidR="009749A0">
        <w:t>2.5</w:t>
      </w:r>
      <w:r w:rsidR="001F60F0" w:rsidRPr="00BD6C5F">
        <w:fldChar w:fldCharType="end"/>
      </w:r>
      <w:r w:rsidRPr="00BD6C5F">
        <w:t xml:space="preserve">, such person shall be treated as having transferred to the Supplier or Notified Sub-contractor and the Supplier shall, or shall procure that the Notified Sub-contractor shall, </w:t>
      </w:r>
      <w:r w:rsidR="00890387">
        <w:t>(a) </w:t>
      </w:r>
      <w:r w:rsidRPr="00BD6C5F">
        <w:t>comply with such obligations as may be imposed upon it under the Law</w:t>
      </w:r>
      <w:r w:rsidR="00890387">
        <w:t xml:space="preserve"> </w:t>
      </w:r>
      <w:r w:rsidR="00890387" w:rsidRPr="00890387">
        <w:t>and (b)</w:t>
      </w:r>
      <w:r w:rsidR="00890387">
        <w:t> </w:t>
      </w:r>
      <w:r w:rsidR="00890387" w:rsidRPr="00890387">
        <w:t>comply with the provisions of Part</w:t>
      </w:r>
      <w:r w:rsidR="00890387">
        <w:t> </w:t>
      </w:r>
      <w:r w:rsidR="00890387">
        <w:fldChar w:fldCharType="begin"/>
      </w:r>
      <w:r w:rsidR="00890387">
        <w:instrText xml:space="preserve"> REF Schedule_28_Part_D \h </w:instrText>
      </w:r>
      <w:r w:rsidR="00890387">
        <w:fldChar w:fldCharType="separate"/>
      </w:r>
      <w:r w:rsidR="009749A0" w:rsidRPr="00BD6C5F">
        <w:t>D</w:t>
      </w:r>
      <w:r w:rsidR="00890387">
        <w:fldChar w:fldCharType="end"/>
      </w:r>
      <w:r w:rsidR="00890387" w:rsidRPr="00890387">
        <w:t xml:space="preserve"> (</w:t>
      </w:r>
      <w:r w:rsidR="00890387" w:rsidRPr="00EA528A">
        <w:rPr>
          <w:i/>
          <w:iCs/>
        </w:rPr>
        <w:t>Pensions</w:t>
      </w:r>
      <w:r w:rsidR="00890387" w:rsidRPr="00890387">
        <w:t>) and its Annexes of this Staff Transfer Schedule</w:t>
      </w:r>
      <w:r w:rsidRPr="00BD6C5F">
        <w:t>.</w:t>
      </w:r>
      <w:bookmarkEnd w:id="1638"/>
    </w:p>
    <w:p w14:paraId="57CEB6A4" w14:textId="3B35490F" w:rsidR="00BC7DDA" w:rsidRPr="00BD6C5F" w:rsidRDefault="000B0FA3" w:rsidP="000B0FA3">
      <w:pPr>
        <w:pStyle w:val="Numbered1"/>
      </w:pPr>
      <w:r w:rsidRPr="00BD6C5F">
        <w:t>Supplier Indemnities and Obligations</w:t>
      </w:r>
    </w:p>
    <w:p w14:paraId="3041862C" w14:textId="1D0FB91D" w:rsidR="00BC7DDA" w:rsidRPr="00BD6C5F" w:rsidRDefault="009B03E9" w:rsidP="009F4A63">
      <w:pPr>
        <w:pStyle w:val="Numbered11"/>
        <w:keepNext/>
      </w:pPr>
      <w:bookmarkStart w:id="1639" w:name="_bookmark557"/>
      <w:bookmarkStart w:id="1640" w:name="_Ref98425988"/>
      <w:bookmarkEnd w:id="1639"/>
      <w:r w:rsidRPr="00BD6C5F">
        <w:t>Subject to Paragraph</w:t>
      </w:r>
      <w:r w:rsidR="001F60F0" w:rsidRPr="00BD6C5F">
        <w:t> </w:t>
      </w:r>
      <w:r w:rsidR="001F60F0" w:rsidRPr="00BD6C5F">
        <w:fldChar w:fldCharType="begin"/>
      </w:r>
      <w:r w:rsidR="001F60F0" w:rsidRPr="00BD6C5F">
        <w:instrText xml:space="preserve"> REF _Ref98425961 \w \h </w:instrText>
      </w:r>
      <w:r w:rsidR="00AD7DD0" w:rsidRPr="00BD6C5F">
        <w:instrText xml:space="preserve"> \* MERGEFORMAT </w:instrText>
      </w:r>
      <w:r w:rsidR="001F60F0" w:rsidRPr="00BD6C5F">
        <w:fldChar w:fldCharType="separate"/>
      </w:r>
      <w:r w:rsidR="009749A0">
        <w:t>3.2</w:t>
      </w:r>
      <w:r w:rsidR="001F60F0" w:rsidRPr="00BD6C5F">
        <w:fldChar w:fldCharType="end"/>
      </w:r>
      <w:r w:rsidRPr="00BD6C5F">
        <w:t>, the Supplier shall indemnify the Authority and/or the Former Supplier against any Employee Liabilities arising from or as a result of:</w:t>
      </w:r>
      <w:bookmarkEnd w:id="1640"/>
    </w:p>
    <w:p w14:paraId="5CC52298" w14:textId="77777777" w:rsidR="00BC7DDA" w:rsidRPr="00BD6C5F" w:rsidRDefault="009B03E9" w:rsidP="000B0FA3">
      <w:pPr>
        <w:pStyle w:val="Numbered111"/>
      </w:pPr>
      <w:r w:rsidRPr="00BD6C5F">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1CD0E8B" w14:textId="77777777" w:rsidR="00BC7DDA" w:rsidRPr="00BD6C5F" w:rsidRDefault="009B03E9" w:rsidP="009F4A63">
      <w:pPr>
        <w:pStyle w:val="Numbered111"/>
        <w:keepNext/>
      </w:pPr>
      <w:r w:rsidRPr="00BD6C5F">
        <w:t>the breach or non-observance by the Supplier or any Sub-contractor on or after the Relevant Transfer Date of:</w:t>
      </w:r>
    </w:p>
    <w:p w14:paraId="02B39E80" w14:textId="77777777" w:rsidR="00BC7DDA" w:rsidRPr="00BD6C5F" w:rsidRDefault="009B03E9" w:rsidP="00DE03A4">
      <w:pPr>
        <w:pStyle w:val="Numbered111a"/>
      </w:pPr>
      <w:r w:rsidRPr="00BD6C5F">
        <w:t>any collective agreement applicable to the Transferring Former Supplier Employee; and/or</w:t>
      </w:r>
    </w:p>
    <w:p w14:paraId="4E304F9D" w14:textId="552935E7" w:rsidR="00BC7DDA" w:rsidRPr="00BD6C5F" w:rsidRDefault="009B03E9" w:rsidP="000B0FA3">
      <w:pPr>
        <w:pStyle w:val="Numbered111a"/>
        <w:rPr>
          <w:lang w:val="en-GB"/>
        </w:rPr>
      </w:pPr>
      <w:r w:rsidRPr="00BD6C5F">
        <w:rPr>
          <w:lang w:val="en-GB"/>
        </w:rPr>
        <w:t>any custom or practice in respect of any Transferring Former Supplier Employees which the Supplier or any Sub-contractor is contractually bound to honour;</w:t>
      </w:r>
    </w:p>
    <w:p w14:paraId="2E6B21E3" w14:textId="77777777" w:rsidR="00BC7DDA" w:rsidRPr="00BD6C5F" w:rsidRDefault="009B03E9" w:rsidP="000B0FA3">
      <w:pPr>
        <w:pStyle w:val="Numbered111"/>
      </w:pPr>
      <w:r w:rsidRPr="00BD6C5F">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EFFD1DD" w14:textId="77777777" w:rsidR="00BC7DDA" w:rsidRPr="00BD6C5F" w:rsidRDefault="009B03E9" w:rsidP="000B0FA3">
      <w:pPr>
        <w:pStyle w:val="Numbered111"/>
      </w:pPr>
      <w:r w:rsidRPr="00BD6C5F">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w:t>
      </w:r>
      <w:r w:rsidRPr="00BD6C5F">
        <w:lastRenderedPageBreak/>
        <w:t>been a Transferring Former Supplier Employee but for their resignation (or decision to treat their employment as terminated under regulation 4(9) of the Employment Regulations) before the Relevant Transfer Date as a result of or for a reason connected to such proposed changes;</w:t>
      </w:r>
    </w:p>
    <w:p w14:paraId="1722E14E" w14:textId="77777777" w:rsidR="00BC7DDA" w:rsidRPr="00BD6C5F" w:rsidRDefault="009B03E9" w:rsidP="000B0FA3">
      <w:pPr>
        <w:pStyle w:val="Numbered111"/>
      </w:pPr>
      <w:r w:rsidRPr="00BD6C5F">
        <w:t>any statement communicated to or action undertaken by the Supplier or a Sub-contractor to, or in respect of, any Transferring Former Supplier Employee before the Relevant Transfer Date regarding the Relevant Transfer which has not been agreed in advance with the Authority and/or the Former Supplier in writing;</w:t>
      </w:r>
    </w:p>
    <w:p w14:paraId="302A34E5" w14:textId="77777777" w:rsidR="00BC7DDA" w:rsidRPr="00BD6C5F" w:rsidRDefault="009B03E9" w:rsidP="009F4A63">
      <w:pPr>
        <w:pStyle w:val="Numbered111"/>
        <w:keepNext/>
      </w:pPr>
      <w:r w:rsidRPr="00BD6C5F">
        <w:t>any proceeding, claim or demand by HMRC or other statutory authority in respect of any financial obligation including, but not limited to, PAYE and primary and secondary national insurance contributions:</w:t>
      </w:r>
    </w:p>
    <w:p w14:paraId="5E3BFA93" w14:textId="77777777" w:rsidR="00BC7DDA" w:rsidRPr="00BD6C5F" w:rsidRDefault="009B03E9" w:rsidP="0040545B">
      <w:pPr>
        <w:pStyle w:val="Numbered111a"/>
      </w:pPr>
      <w:r w:rsidRPr="00BD6C5F">
        <w:t>in relation to any Transferring Former Supplier Employee, to the extent that the proceeding, claim or demand by HMRC or other statutory authority relates to financial obligations arising on or after the Relevant Transfer Date; and</w:t>
      </w:r>
    </w:p>
    <w:p w14:paraId="3E08BAE2" w14:textId="5A3A89EA" w:rsidR="00BC7DDA" w:rsidRPr="00BD6C5F" w:rsidRDefault="009B03E9" w:rsidP="000B0FA3">
      <w:pPr>
        <w:pStyle w:val="Numbered111a"/>
        <w:rPr>
          <w:lang w:val="en-GB"/>
        </w:rPr>
      </w:pPr>
      <w:r w:rsidRPr="00BD6C5F">
        <w:rPr>
          <w:lang w:val="en-GB"/>
        </w:rPr>
        <w:t xml:space="preserve">in relation to any employee who is not a Transferring Former Supplier Employee, and in respect of whom it is later alleged or determined that the Employment Regulations applied so as to transfer </w:t>
      </w:r>
      <w:r w:rsidR="0022568A">
        <w:rPr>
          <w:lang w:val="en-GB"/>
        </w:rPr>
        <w:t>their</w:t>
      </w:r>
      <w:r w:rsidRPr="00BD6C5F">
        <w:rPr>
          <w:lang w:val="en-GB"/>
        </w:rPr>
        <w:t xml:space="preserve"> employment from the Former Supplier to the Supplier or a Sub-contractor, to the extent that the proceeding, claim or demand by the HMRC or other statutory authority relates to financial obligations arising on or after the Relevant Transfer Date;</w:t>
      </w:r>
    </w:p>
    <w:p w14:paraId="6FF65600" w14:textId="1DBF8963" w:rsidR="00BC7DDA" w:rsidRPr="00BD6C5F" w:rsidRDefault="009B03E9" w:rsidP="000B0FA3">
      <w:pPr>
        <w:pStyle w:val="Numbered111"/>
      </w:pPr>
      <w:r w:rsidRPr="00BD6C5F">
        <w:t>a failure of the Supplier or any Sub-contractor to discharge or procure the discharge of all wages, salaries and all other benefits and all PAYE tax deductions and national insurance contributions</w:t>
      </w:r>
      <w:r w:rsidR="00024903" w:rsidRPr="00BD6C5F">
        <w:t xml:space="preserve"> relating to the Transferring Former Supplier Employees in respect of the period from (and including) the Relevant Transfer Date;</w:t>
      </w:r>
    </w:p>
    <w:p w14:paraId="406545D3" w14:textId="2EA33D46" w:rsidR="00BC7DDA" w:rsidRPr="00BD6C5F" w:rsidRDefault="009B03E9" w:rsidP="000B0FA3">
      <w:pPr>
        <w:pStyle w:val="Numbered111"/>
      </w:pPr>
      <w:r w:rsidRPr="00BD6C5F">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w:t>
      </w:r>
      <w:r w:rsidR="00A4555C" w:rsidRPr="00BD6C5F">
        <w:t>’</w:t>
      </w:r>
      <w:r w:rsidRPr="00BD6C5F">
        <w:t>s failure to comply with its obligations under regulation 13</w:t>
      </w:r>
      <w:r w:rsidR="00890387">
        <w:t>(4)</w:t>
      </w:r>
      <w:r w:rsidRPr="00BD6C5F">
        <w:t xml:space="preserve"> of the Employment Regulations; and</w:t>
      </w:r>
    </w:p>
    <w:p w14:paraId="08347FC1" w14:textId="7082ED41" w:rsidR="00BC7DDA" w:rsidRPr="00BD6C5F" w:rsidRDefault="009B03E9" w:rsidP="000B0FA3">
      <w:pPr>
        <w:pStyle w:val="Numbered111"/>
      </w:pPr>
      <w:r w:rsidRPr="00BD6C5F">
        <w:t>a failure by the Supplier or any Sub-Contractor to comply with its obligations under Paragraph</w:t>
      </w:r>
      <w:r w:rsidR="001F60F0" w:rsidRPr="00BD6C5F">
        <w:t> </w:t>
      </w:r>
      <w:r w:rsidR="001F60F0" w:rsidRPr="00BD6C5F">
        <w:fldChar w:fldCharType="begin"/>
      </w:r>
      <w:r w:rsidR="001F60F0" w:rsidRPr="00BD6C5F">
        <w:instrText xml:space="preserve"> REF _Ref98425978 \w \h </w:instrText>
      </w:r>
      <w:r w:rsidR="00AD7DD0" w:rsidRPr="00BD6C5F">
        <w:instrText xml:space="preserve"> \* MERGEFORMAT </w:instrText>
      </w:r>
      <w:r w:rsidR="001F60F0" w:rsidRPr="00BD6C5F">
        <w:fldChar w:fldCharType="separate"/>
      </w:r>
      <w:r w:rsidR="009749A0">
        <w:t>2.8</w:t>
      </w:r>
      <w:r w:rsidR="001F60F0" w:rsidRPr="00BD6C5F">
        <w:fldChar w:fldCharType="end"/>
      </w:r>
      <w:r w:rsidRPr="00BD6C5F">
        <w:t xml:space="preserve"> above</w:t>
      </w:r>
    </w:p>
    <w:p w14:paraId="6115C942" w14:textId="21AA0B0F" w:rsidR="00BC7DDA" w:rsidRPr="00BD6C5F" w:rsidRDefault="009B03E9" w:rsidP="00C5057A">
      <w:pPr>
        <w:pStyle w:val="Numbered11"/>
      </w:pPr>
      <w:bookmarkStart w:id="1641" w:name="_bookmark558"/>
      <w:bookmarkStart w:id="1642" w:name="_Ref98425961"/>
      <w:bookmarkEnd w:id="1641"/>
      <w:r w:rsidRPr="00BD6C5F">
        <w:t>The indemnities in Paragraph</w:t>
      </w:r>
      <w:r w:rsidR="001F60F0" w:rsidRPr="00BD6C5F">
        <w:t> </w:t>
      </w:r>
      <w:r w:rsidR="001F60F0" w:rsidRPr="00BD6C5F">
        <w:fldChar w:fldCharType="begin"/>
      </w:r>
      <w:r w:rsidR="001F60F0" w:rsidRPr="00BD6C5F">
        <w:instrText xml:space="preserve"> REF _Ref98425988 \w \h </w:instrText>
      </w:r>
      <w:r w:rsidR="00AD7DD0" w:rsidRPr="00BD6C5F">
        <w:instrText xml:space="preserve"> \* MERGEFORMAT </w:instrText>
      </w:r>
      <w:r w:rsidR="001F60F0" w:rsidRPr="00BD6C5F">
        <w:fldChar w:fldCharType="separate"/>
      </w:r>
      <w:r w:rsidR="009749A0">
        <w:t>3.1</w:t>
      </w:r>
      <w:r w:rsidR="001F60F0" w:rsidRPr="00BD6C5F">
        <w:fldChar w:fldCharType="end"/>
      </w:r>
      <w:r w:rsidRPr="00BD6C5F">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w:t>
      </w:r>
      <w:r w:rsidR="00A4555C" w:rsidRPr="00BD6C5F">
        <w:t>’</w:t>
      </w:r>
      <w:r w:rsidRPr="00BD6C5F">
        <w:t>s failure to comply with its obligations under the Employment Regulations.</w:t>
      </w:r>
      <w:bookmarkEnd w:id="1642"/>
    </w:p>
    <w:p w14:paraId="1BD6C105" w14:textId="77777777" w:rsidR="00BC7DDA" w:rsidRPr="00BD6C5F" w:rsidRDefault="009B03E9" w:rsidP="00C5057A">
      <w:pPr>
        <w:pStyle w:val="Numbered11"/>
      </w:pPr>
      <w:r w:rsidRPr="00BD6C5F">
        <w:t xml:space="preserve">The Supplier shall comply, and shall procure that each Sub-contractor shall comply, with all its obligations under the Employment Regulations (including without limitation its </w:t>
      </w:r>
      <w:r w:rsidRPr="00BD6C5F">
        <w:lastRenderedPageBreak/>
        <w:t>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18B7A0B4" w14:textId="58DAD7D9" w:rsidR="00BC7DDA" w:rsidRPr="00BD6C5F" w:rsidRDefault="000B0FA3" w:rsidP="000B0FA3">
      <w:pPr>
        <w:pStyle w:val="Numbered1"/>
      </w:pPr>
      <w:r w:rsidRPr="00BD6C5F">
        <w:t>Information</w:t>
      </w:r>
    </w:p>
    <w:p w14:paraId="579CE298" w14:textId="4221B3C2" w:rsidR="00BC7DDA" w:rsidRPr="00BD6C5F" w:rsidRDefault="009B03E9" w:rsidP="00C5057A">
      <w:pPr>
        <w:pStyle w:val="Numbered11"/>
      </w:pPr>
      <w:r w:rsidRPr="00BD6C5F">
        <w:t>The Supplier shall, and shall procure that each Sub-contractor shall, promptly provide to the Authority and/or at the Authority</w:t>
      </w:r>
      <w:r w:rsidR="00A4555C" w:rsidRPr="00BD6C5F">
        <w:t>’</w:t>
      </w:r>
      <w:r w:rsidRPr="00BD6C5F">
        <w:t>s direction, the Former Supplier, in writing such information as is necessary to enable the Authority and/or the Former Supplier to carry out their respective duties under regulation 13 of the Employment Regulations. The Authority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E974178" w14:textId="434A2857" w:rsidR="00BC7DDA" w:rsidRPr="00BD6C5F" w:rsidRDefault="000B0FA3" w:rsidP="000B0FA3">
      <w:pPr>
        <w:pStyle w:val="Numbered1"/>
      </w:pPr>
      <w:r w:rsidRPr="00BD6C5F">
        <w:t>Principles of Good Employment Practice</w:t>
      </w:r>
    </w:p>
    <w:p w14:paraId="0BB786BE" w14:textId="77777777" w:rsidR="00BC7DDA" w:rsidRPr="00BD6C5F" w:rsidRDefault="009B03E9" w:rsidP="009F4A63">
      <w:pPr>
        <w:pStyle w:val="Numbered11"/>
        <w:keepNext/>
      </w:pPr>
      <w:bookmarkStart w:id="1643" w:name="_bookmark559"/>
      <w:bookmarkStart w:id="1644" w:name="_Ref98426001"/>
      <w:bookmarkEnd w:id="1643"/>
      <w:r w:rsidRPr="00BD6C5F">
        <w:t>The Supplier shall, and shall procure that each Sub-contractor shall, comply with any requirement notified to it by the Authority relating to pensions in respect of any Transferring Former Supplier Employee as set down in:</w:t>
      </w:r>
      <w:bookmarkEnd w:id="1644"/>
    </w:p>
    <w:p w14:paraId="1AB8DB1A" w14:textId="77777777" w:rsidR="00BC7DDA" w:rsidRPr="00BD6C5F" w:rsidRDefault="009B03E9" w:rsidP="000B0FA3">
      <w:pPr>
        <w:pStyle w:val="Numbered111"/>
      </w:pPr>
      <w:r w:rsidRPr="00BD6C5F">
        <w:t>the Cabinet Office Statement of Practice on Staff Transfers in the Public Sector of January 2000, revised December 2013;</w:t>
      </w:r>
    </w:p>
    <w:p w14:paraId="40BA3123" w14:textId="77777777" w:rsidR="00BC7DDA" w:rsidRPr="00BD6C5F" w:rsidRDefault="009B03E9" w:rsidP="000B0FA3">
      <w:pPr>
        <w:pStyle w:val="Numbered111"/>
      </w:pPr>
      <w:r w:rsidRPr="00BD6C5F">
        <w:t>Old Fair Deal; and/or</w:t>
      </w:r>
    </w:p>
    <w:p w14:paraId="41FBEA80" w14:textId="77777777" w:rsidR="00BC7DDA" w:rsidRPr="00BD6C5F" w:rsidRDefault="009B03E9" w:rsidP="000B0FA3">
      <w:pPr>
        <w:pStyle w:val="Numbered111"/>
      </w:pPr>
      <w:r w:rsidRPr="00BD6C5F">
        <w:t>the New Fair Deal.</w:t>
      </w:r>
    </w:p>
    <w:p w14:paraId="786001B8" w14:textId="584DDEB0" w:rsidR="00BC7DDA" w:rsidRPr="00BD6C5F" w:rsidRDefault="009B03E9" w:rsidP="00C5057A">
      <w:pPr>
        <w:pStyle w:val="Numbered11"/>
      </w:pPr>
      <w:r w:rsidRPr="00BD6C5F">
        <w:t xml:space="preserve">Any changes </w:t>
      </w:r>
      <w:r w:rsidR="00890387" w:rsidRPr="00890387">
        <w:t xml:space="preserve">necessary to this Contract as a result of changes to, or any replacement of </w:t>
      </w:r>
      <w:r w:rsidRPr="00BD6C5F">
        <w:t>any statement of practice, paper or other guidance that replaces any of the documentation referred to in Paragraph</w:t>
      </w:r>
      <w:r w:rsidR="001F60F0" w:rsidRPr="00BD6C5F">
        <w:t> </w:t>
      </w:r>
      <w:r w:rsidR="001F60F0" w:rsidRPr="00BD6C5F">
        <w:fldChar w:fldCharType="begin"/>
      </w:r>
      <w:r w:rsidR="001F60F0" w:rsidRPr="00BD6C5F">
        <w:instrText xml:space="preserve"> REF _Ref98426001 \w \h </w:instrText>
      </w:r>
      <w:r w:rsidR="00AD7DD0" w:rsidRPr="00BD6C5F">
        <w:instrText xml:space="preserve"> \* MERGEFORMAT </w:instrText>
      </w:r>
      <w:r w:rsidR="001F60F0" w:rsidRPr="00BD6C5F">
        <w:fldChar w:fldCharType="separate"/>
      </w:r>
      <w:r w:rsidR="009749A0">
        <w:t>5.1</w:t>
      </w:r>
      <w:r w:rsidR="001F60F0" w:rsidRPr="00BD6C5F">
        <w:fldChar w:fldCharType="end"/>
      </w:r>
      <w:r w:rsidRPr="00BD6C5F">
        <w:t xml:space="preserve"> shall be agreed in accordance with the Change Control Procedure.</w:t>
      </w:r>
    </w:p>
    <w:p w14:paraId="162EEC27" w14:textId="13A1C398" w:rsidR="00BC7DDA" w:rsidRPr="00BD6C5F" w:rsidRDefault="000B0FA3" w:rsidP="000B0FA3">
      <w:pPr>
        <w:pStyle w:val="Numbered1"/>
      </w:pPr>
      <w:r w:rsidRPr="00BD6C5F">
        <w:t>Procurement Obligations</w:t>
      </w:r>
    </w:p>
    <w:p w14:paraId="212654D5" w14:textId="7F520609" w:rsidR="00BC7DDA" w:rsidRPr="00BD6C5F" w:rsidRDefault="009B03E9" w:rsidP="00C5057A">
      <w:pPr>
        <w:pStyle w:val="Numbered11"/>
      </w:pPr>
      <w:r w:rsidRPr="00BD6C5F">
        <w:t xml:space="preserve">Notwithstanding any other provisions of this Part </w:t>
      </w:r>
      <w:r w:rsidR="00B8001B">
        <w:fldChar w:fldCharType="begin"/>
      </w:r>
      <w:r w:rsidR="00B8001B">
        <w:instrText xml:space="preserve"> REF Schedule_28_Part_B \h </w:instrText>
      </w:r>
      <w:r w:rsidR="00B8001B">
        <w:fldChar w:fldCharType="separate"/>
      </w:r>
      <w:r w:rsidR="009749A0" w:rsidRPr="00BD6C5F">
        <w:t>B</w:t>
      </w:r>
      <w:r w:rsidR="00B8001B">
        <w:fldChar w:fldCharType="end"/>
      </w:r>
      <w:r w:rsidRPr="00BD6C5F">
        <w:t xml:space="preserve">, where in this Part </w:t>
      </w:r>
      <w:r w:rsidR="00B8001B">
        <w:fldChar w:fldCharType="begin"/>
      </w:r>
      <w:r w:rsidR="00B8001B">
        <w:instrText xml:space="preserve"> REF Schedule_28_Part_B \h </w:instrText>
      </w:r>
      <w:r w:rsidR="00B8001B">
        <w:fldChar w:fldCharType="separate"/>
      </w:r>
      <w:r w:rsidR="009749A0" w:rsidRPr="00BD6C5F">
        <w:t>B</w:t>
      </w:r>
      <w:r w:rsidR="00B8001B">
        <w:fldChar w:fldCharType="end"/>
      </w:r>
      <w:r w:rsidRPr="00BD6C5F">
        <w:t xml:space="preserve"> the Authority accepts an obligation to procure that a Former Supplier does or does not do something, such obligation shall be limited so that it extends only to the extent that the Authority</w:t>
      </w:r>
      <w:r w:rsidR="00A4555C" w:rsidRPr="00BD6C5F">
        <w:t>’</w:t>
      </w:r>
      <w:r w:rsidRPr="00BD6C5F">
        <w:t>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56913FDA" w14:textId="37047114" w:rsidR="00BC7DDA" w:rsidRPr="00BD6C5F" w:rsidRDefault="000B0FA3" w:rsidP="000B0FA3">
      <w:pPr>
        <w:pStyle w:val="Numbered1"/>
      </w:pPr>
      <w:r w:rsidRPr="00BD6C5F">
        <w:lastRenderedPageBreak/>
        <w:t>Pensions</w:t>
      </w:r>
    </w:p>
    <w:p w14:paraId="1D4B6B2F" w14:textId="77777777" w:rsidR="00BC7DDA" w:rsidRPr="00BD6C5F" w:rsidRDefault="009B03E9" w:rsidP="009F4A63">
      <w:pPr>
        <w:pStyle w:val="Numbered11"/>
        <w:keepNext/>
      </w:pPr>
      <w:r w:rsidRPr="00BD6C5F">
        <w:t>The Supplier shall, and shall procure that each Sub-contractor shall, comply with:</w:t>
      </w:r>
    </w:p>
    <w:p w14:paraId="715BAD82" w14:textId="77777777" w:rsidR="00BC7DDA" w:rsidRPr="00BD6C5F" w:rsidRDefault="009B03E9" w:rsidP="000B0FA3">
      <w:pPr>
        <w:pStyle w:val="Numbered111"/>
      </w:pPr>
      <w:r w:rsidRPr="00BD6C5F">
        <w:t>the requirements of Part 1 of the Pensions Act 2008, section 258 of the Pensions Act 2004 and the Transfer of Employment (Pension Protection) Regulations 2005 for all transferring staff; and</w:t>
      </w:r>
    </w:p>
    <w:p w14:paraId="651C4059" w14:textId="58D69BF7" w:rsidR="00BC7DDA" w:rsidRPr="00BD6C5F" w:rsidRDefault="009B03E9" w:rsidP="000B0FA3">
      <w:pPr>
        <w:pStyle w:val="Numbered111"/>
      </w:pPr>
      <w:r w:rsidRPr="00BD6C5F">
        <w:t xml:space="preserve">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xml:space="preserve"> (and its Annexes) to this Staff Transfer Schedule.</w:t>
      </w:r>
    </w:p>
    <w:p w14:paraId="55C6126A" w14:textId="0EAFE711" w:rsidR="00BC7DDA" w:rsidRPr="00BD6C5F" w:rsidRDefault="000B0FA3" w:rsidP="00730F71">
      <w:pPr>
        <w:pStyle w:val="Heading2"/>
        <w:pageBreakBefore/>
      </w:pPr>
      <w:bookmarkStart w:id="1645" w:name="_bookmark560"/>
      <w:bookmarkStart w:id="1646" w:name="_Toc98332785"/>
      <w:bookmarkStart w:id="1647" w:name="_Ref98458227"/>
      <w:bookmarkStart w:id="1648" w:name="_Ref98458446"/>
      <w:bookmarkStart w:id="1649" w:name="_Toc98852958"/>
      <w:bookmarkStart w:id="1650" w:name="_Toc141721054"/>
      <w:bookmarkEnd w:id="1645"/>
      <w:r w:rsidRPr="00BD6C5F">
        <w:lastRenderedPageBreak/>
        <w:t xml:space="preserve">Part </w:t>
      </w:r>
      <w:bookmarkStart w:id="1651" w:name="Schedule_28_Part_C"/>
      <w:r w:rsidRPr="00BD6C5F">
        <w:t>C</w:t>
      </w:r>
      <w:bookmarkEnd w:id="1651"/>
      <w:r w:rsidRPr="00BD6C5F">
        <w:t xml:space="preserve">: No Transfer of Employees </w:t>
      </w:r>
      <w:r w:rsidR="00890387">
        <w:t xml:space="preserve">Expected </w:t>
      </w:r>
      <w:r w:rsidRPr="00BD6C5F">
        <w:t>at Commencement of Services</w:t>
      </w:r>
      <w:bookmarkEnd w:id="1646"/>
      <w:bookmarkEnd w:id="1647"/>
      <w:bookmarkEnd w:id="1648"/>
      <w:bookmarkEnd w:id="1649"/>
      <w:bookmarkEnd w:id="1650"/>
    </w:p>
    <w:p w14:paraId="2ABD454D" w14:textId="253A053C" w:rsidR="00BC7DDA" w:rsidRPr="00BD6C5F" w:rsidRDefault="000B0FA3" w:rsidP="00B71FC0">
      <w:pPr>
        <w:pStyle w:val="Numbered1"/>
        <w:numPr>
          <w:ilvl w:val="0"/>
          <w:numId w:val="118"/>
        </w:numPr>
      </w:pPr>
      <w:r w:rsidRPr="00BD6C5F">
        <w:t xml:space="preserve">Procedure in </w:t>
      </w:r>
      <w:r w:rsidR="00730F71">
        <w:t>t</w:t>
      </w:r>
      <w:r w:rsidRPr="00BD6C5F">
        <w:t xml:space="preserve">he Event </w:t>
      </w:r>
      <w:r w:rsidR="00730F71">
        <w:t>o</w:t>
      </w:r>
      <w:r w:rsidRPr="00BD6C5F">
        <w:t>f Transfer</w:t>
      </w:r>
    </w:p>
    <w:p w14:paraId="3A1857D1" w14:textId="6F62D528" w:rsidR="00BC7DDA" w:rsidRPr="00BD6C5F" w:rsidRDefault="009B03E9" w:rsidP="00C5057A">
      <w:pPr>
        <w:pStyle w:val="Numbered11"/>
      </w:pPr>
      <w:r w:rsidRPr="00BD6C5F">
        <w:t xml:space="preserve">The Authority and the Supplier agree that the commencement of the provision of the Services or of any part of the Services </w:t>
      </w:r>
      <w:r w:rsidR="00890387" w:rsidRPr="00890387">
        <w:t xml:space="preserve">is not expected to </w:t>
      </w:r>
      <w:r w:rsidRPr="00BD6C5F">
        <w:t>be a Relevant Transfer in relation to any employees of the Authority and/or any Former Supplier.</w:t>
      </w:r>
    </w:p>
    <w:p w14:paraId="52EDB348" w14:textId="1EAE773A" w:rsidR="00BC7DDA" w:rsidRPr="00BD6C5F" w:rsidRDefault="009B03E9" w:rsidP="00C5057A">
      <w:pPr>
        <w:pStyle w:val="Numbered11"/>
      </w:pPr>
      <w:bookmarkStart w:id="1652" w:name="_bookmark561"/>
      <w:bookmarkStart w:id="1653" w:name="_Ref98426057"/>
      <w:bookmarkEnd w:id="1652"/>
      <w:r w:rsidRPr="00BD6C5F">
        <w:t xml:space="preserve">If any employee of the Authority and/or a Former Supplier claims, or it is determined in relation to any employee of the Authority and/or a Former Supplier, that </w:t>
      </w:r>
      <w:r w:rsidR="0022568A">
        <w:t>their</w:t>
      </w:r>
      <w:r w:rsidRPr="00BD6C5F">
        <w:t xml:space="preserve"> contract of employment has been transferred from the Authority and/or the Former Supplier to the Supplier and/or any Sub-contractor pursuant to the Employment Regulations then:</w:t>
      </w:r>
      <w:bookmarkEnd w:id="1653"/>
    </w:p>
    <w:p w14:paraId="0403C081" w14:textId="77777777" w:rsidR="00BC7DDA" w:rsidRPr="00BD6C5F" w:rsidRDefault="009B03E9" w:rsidP="000B0FA3">
      <w:pPr>
        <w:pStyle w:val="Numbered111"/>
      </w:pPr>
      <w:bookmarkStart w:id="1654" w:name="_bookmark562"/>
      <w:bookmarkStart w:id="1655" w:name="_Ref98426173"/>
      <w:bookmarkEnd w:id="1654"/>
      <w:r w:rsidRPr="00BD6C5F">
        <w:t>the Supplier shall, and shall procure that the relevant Sub-contractor shall, within 5 Working Days of becoming aware of that fact, give notice in writing to the Authority and, where required by the Authority, give notice to the Former Supplier; and</w:t>
      </w:r>
      <w:bookmarkEnd w:id="1655"/>
    </w:p>
    <w:p w14:paraId="1EFCC532" w14:textId="21F9F21E" w:rsidR="00BC7DDA" w:rsidRPr="00BD6C5F" w:rsidRDefault="009B03E9" w:rsidP="000B0FA3">
      <w:pPr>
        <w:pStyle w:val="Numbered111"/>
      </w:pPr>
      <w:bookmarkStart w:id="1656" w:name="_bookmark563"/>
      <w:bookmarkStart w:id="1657" w:name="_Ref98426032"/>
      <w:bookmarkEnd w:id="1656"/>
      <w:r w:rsidRPr="00BD6C5F">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bookmarkEnd w:id="1657"/>
    </w:p>
    <w:p w14:paraId="6225C8B5" w14:textId="3D5ADC67" w:rsidR="00BC7DDA" w:rsidRPr="00BD6C5F" w:rsidRDefault="009B03E9" w:rsidP="00C5057A">
      <w:pPr>
        <w:pStyle w:val="Numbered11"/>
      </w:pPr>
      <w:r w:rsidRPr="00BD6C5F">
        <w:t>If an offer referred to in Paragraph</w:t>
      </w:r>
      <w:r w:rsidR="001F60F0" w:rsidRPr="00BD6C5F">
        <w:t> </w:t>
      </w:r>
      <w:r w:rsidR="001F60F0" w:rsidRPr="00BD6C5F">
        <w:fldChar w:fldCharType="begin"/>
      </w:r>
      <w:r w:rsidR="001F60F0" w:rsidRPr="00BD6C5F">
        <w:instrText xml:space="preserve"> REF _Ref98426032 \w \h </w:instrText>
      </w:r>
      <w:r w:rsidR="00AD7DD0" w:rsidRPr="00BD6C5F">
        <w:instrText xml:space="preserve"> \* MERGEFORMAT </w:instrText>
      </w:r>
      <w:r w:rsidR="001F60F0" w:rsidRPr="00BD6C5F">
        <w:fldChar w:fldCharType="separate"/>
      </w:r>
      <w:r w:rsidR="009749A0">
        <w:t>1.2.2</w:t>
      </w:r>
      <w:r w:rsidR="001F60F0" w:rsidRPr="00BD6C5F">
        <w:fldChar w:fldCharType="end"/>
      </w:r>
      <w:r w:rsidRPr="00BD6C5F">
        <w:t xml:space="preserve"> is accepted (or if the situation has otherwise been resolved by the Authority and/or the Former Supplier), the Supplier shall, or shall procure that the Sub-contractor shall, immediately release the person from his/her employment or alleged employment.</w:t>
      </w:r>
    </w:p>
    <w:p w14:paraId="5E91B4C6" w14:textId="0D1E0955" w:rsidR="00BC7DDA" w:rsidRPr="00BD6C5F" w:rsidRDefault="009B03E9" w:rsidP="009F4A63">
      <w:pPr>
        <w:pStyle w:val="Numbered11"/>
        <w:keepNext/>
      </w:pPr>
      <w:bookmarkStart w:id="1658" w:name="_bookmark564"/>
      <w:bookmarkStart w:id="1659" w:name="_Ref98426065"/>
      <w:bookmarkEnd w:id="1658"/>
      <w:r w:rsidRPr="00BD6C5F">
        <w:t>If by the end of the 15 Working Day period specified in Paragraph</w:t>
      </w:r>
      <w:r w:rsidR="001F60F0" w:rsidRPr="00BD6C5F">
        <w:t> </w:t>
      </w:r>
      <w:r w:rsidR="001F60F0" w:rsidRPr="00BD6C5F">
        <w:fldChar w:fldCharType="begin"/>
      </w:r>
      <w:r w:rsidR="001F60F0" w:rsidRPr="00BD6C5F">
        <w:instrText xml:space="preserve"> REF _Ref98426032 \w \h </w:instrText>
      </w:r>
      <w:r w:rsidR="00AD7DD0" w:rsidRPr="00BD6C5F">
        <w:instrText xml:space="preserve"> \* MERGEFORMAT </w:instrText>
      </w:r>
      <w:r w:rsidR="001F60F0" w:rsidRPr="00BD6C5F">
        <w:fldChar w:fldCharType="separate"/>
      </w:r>
      <w:r w:rsidR="009749A0">
        <w:t>1.2.2</w:t>
      </w:r>
      <w:r w:rsidR="001F60F0" w:rsidRPr="00BD6C5F">
        <w:fldChar w:fldCharType="end"/>
      </w:r>
      <w:r w:rsidRPr="00BD6C5F">
        <w:t>:</w:t>
      </w:r>
      <w:bookmarkEnd w:id="1659"/>
    </w:p>
    <w:p w14:paraId="16D0F4C9" w14:textId="77777777" w:rsidR="00BC7DDA" w:rsidRPr="00BD6C5F" w:rsidRDefault="009B03E9" w:rsidP="000B0FA3">
      <w:pPr>
        <w:pStyle w:val="Numbered111"/>
      </w:pPr>
      <w:r w:rsidRPr="00BD6C5F">
        <w:t>no such offer of employment has been made;</w:t>
      </w:r>
    </w:p>
    <w:p w14:paraId="694B893A" w14:textId="77777777" w:rsidR="00BC7DDA" w:rsidRPr="00BD6C5F" w:rsidRDefault="009B03E9" w:rsidP="000B0FA3">
      <w:pPr>
        <w:pStyle w:val="Numbered111"/>
      </w:pPr>
      <w:r w:rsidRPr="00BD6C5F">
        <w:t>such offer has been made but not accepted; or</w:t>
      </w:r>
    </w:p>
    <w:p w14:paraId="11DC577B" w14:textId="77777777" w:rsidR="00BC7DDA" w:rsidRPr="00BD6C5F" w:rsidRDefault="009B03E9" w:rsidP="000B0FA3">
      <w:pPr>
        <w:pStyle w:val="Numbered111"/>
      </w:pPr>
      <w:r w:rsidRPr="00BD6C5F">
        <w:t>the situation has not otherwise been resolved,</w:t>
      </w:r>
    </w:p>
    <w:p w14:paraId="4D14C241" w14:textId="77777777" w:rsidR="00BC7DDA" w:rsidRPr="00BD6C5F" w:rsidRDefault="009B03E9" w:rsidP="00E21E85">
      <w:pPr>
        <w:pStyle w:val="BodyText"/>
        <w:spacing w:before="100" w:after="200"/>
        <w:ind w:left="720"/>
        <w:rPr>
          <w:rFonts w:asciiTheme="minorHAnsi" w:hAnsiTheme="minorHAnsi" w:cstheme="minorHAnsi"/>
        </w:rPr>
      </w:pPr>
      <w:r w:rsidRPr="00BD6C5F">
        <w:rPr>
          <w:rFonts w:asciiTheme="minorHAnsi" w:hAnsiTheme="minorHAnsi" w:cstheme="minorHAnsi"/>
        </w:rPr>
        <w:t>the Supplier and/or the Sub-contractor may within 5 Working Days give notice to terminate the employment or alleged employment of such person.</w:t>
      </w:r>
    </w:p>
    <w:p w14:paraId="306D16C6" w14:textId="2069DC2E" w:rsidR="00BC7DDA" w:rsidRPr="00BD6C5F" w:rsidRDefault="000B0FA3" w:rsidP="000B0FA3">
      <w:pPr>
        <w:pStyle w:val="Numbered1"/>
      </w:pPr>
      <w:r w:rsidRPr="00BD6C5F">
        <w:t>Indemnities</w:t>
      </w:r>
    </w:p>
    <w:p w14:paraId="640F77A1" w14:textId="6FF07CE6" w:rsidR="00BC7DDA" w:rsidRPr="00BD6C5F" w:rsidRDefault="009B03E9" w:rsidP="00C5057A">
      <w:pPr>
        <w:pStyle w:val="Numbered11"/>
      </w:pPr>
      <w:bookmarkStart w:id="1660" w:name="_bookmark565"/>
      <w:bookmarkStart w:id="1661" w:name="_Ref98426161"/>
      <w:bookmarkEnd w:id="1660"/>
      <w:r w:rsidRPr="00BD6C5F">
        <w:t>Subject to the Supplier and/or the relevant Sub-contractor acting in accordance with the provisions of Paragraphs</w:t>
      </w:r>
      <w:r w:rsidR="001F60F0" w:rsidRPr="00BD6C5F">
        <w:t> </w:t>
      </w:r>
      <w:r w:rsidR="001F60F0" w:rsidRPr="00BD6C5F">
        <w:fldChar w:fldCharType="begin"/>
      </w:r>
      <w:r w:rsidR="001F60F0" w:rsidRPr="00BD6C5F">
        <w:instrText xml:space="preserve"> REF _Ref98426057 \w \h </w:instrText>
      </w:r>
      <w:r w:rsidR="00AD7DD0" w:rsidRPr="00BD6C5F">
        <w:instrText xml:space="preserve"> \* MERGEFORMAT </w:instrText>
      </w:r>
      <w:r w:rsidR="001F60F0" w:rsidRPr="00BD6C5F">
        <w:fldChar w:fldCharType="separate"/>
      </w:r>
      <w:r w:rsidR="009749A0">
        <w:t>1.2</w:t>
      </w:r>
      <w:r w:rsidR="001F60F0" w:rsidRPr="00BD6C5F">
        <w:fldChar w:fldCharType="end"/>
      </w:r>
      <w:r w:rsidRPr="00BD6C5F">
        <w:t xml:space="preserve"> to </w:t>
      </w:r>
      <w:r w:rsidR="001F60F0" w:rsidRPr="00BD6C5F">
        <w:fldChar w:fldCharType="begin"/>
      </w:r>
      <w:r w:rsidR="001F60F0" w:rsidRPr="00BD6C5F">
        <w:instrText xml:space="preserve"> REF _Ref98426065 \w \h </w:instrText>
      </w:r>
      <w:r w:rsidR="00AD7DD0" w:rsidRPr="00BD6C5F">
        <w:instrText xml:space="preserve"> \* MERGEFORMAT </w:instrText>
      </w:r>
      <w:r w:rsidR="001F60F0" w:rsidRPr="00BD6C5F">
        <w:fldChar w:fldCharType="separate"/>
      </w:r>
      <w:r w:rsidR="009749A0">
        <w:t>1.4</w:t>
      </w:r>
      <w:r w:rsidR="001F60F0" w:rsidRPr="00BD6C5F">
        <w:fldChar w:fldCharType="end"/>
      </w:r>
      <w:r w:rsidRPr="00BD6C5F">
        <w:t xml:space="preserve"> and in accordance with all applicable employment procedures set out in applicable Law and subject also to Paragraph</w:t>
      </w:r>
      <w:r w:rsidR="001F60F0" w:rsidRPr="00BD6C5F">
        <w:t> </w:t>
      </w:r>
      <w:r w:rsidR="001F60F0" w:rsidRPr="00BD6C5F">
        <w:fldChar w:fldCharType="begin"/>
      </w:r>
      <w:r w:rsidR="001F60F0" w:rsidRPr="00BD6C5F">
        <w:instrText xml:space="preserve"> REF _Ref98426075 \w \h </w:instrText>
      </w:r>
      <w:r w:rsidR="00AD7DD0" w:rsidRPr="00BD6C5F">
        <w:instrText xml:space="preserve"> \* MERGEFORMAT </w:instrText>
      </w:r>
      <w:r w:rsidR="001F60F0" w:rsidRPr="00BD6C5F">
        <w:fldChar w:fldCharType="separate"/>
      </w:r>
      <w:r w:rsidR="009749A0">
        <w:t>2.4</w:t>
      </w:r>
      <w:r w:rsidR="001F60F0" w:rsidRPr="00BD6C5F">
        <w:fldChar w:fldCharType="end"/>
      </w:r>
      <w:r w:rsidRPr="00BD6C5F">
        <w:t>, the Authority shall:</w:t>
      </w:r>
      <w:bookmarkEnd w:id="1661"/>
    </w:p>
    <w:p w14:paraId="2A80F59A" w14:textId="0159774D" w:rsidR="00BC7DDA" w:rsidRPr="00BD6C5F" w:rsidRDefault="009B03E9" w:rsidP="000B0FA3">
      <w:pPr>
        <w:pStyle w:val="Numbered111"/>
      </w:pPr>
      <w:r w:rsidRPr="00BD6C5F">
        <w:t>indemnify the Supplier and/or the relevant Sub-contractor against all Employee Liabilities arising out of the termination of the employment of any employees of the Authority referred to in Paragraph</w:t>
      </w:r>
      <w:r w:rsidR="001F60F0" w:rsidRPr="00BD6C5F">
        <w:t> </w:t>
      </w:r>
      <w:r w:rsidR="001F60F0" w:rsidRPr="00BD6C5F">
        <w:fldChar w:fldCharType="begin"/>
      </w:r>
      <w:r w:rsidR="001F60F0" w:rsidRPr="00BD6C5F">
        <w:instrText xml:space="preserve"> REF _Ref98426057 \w \h </w:instrText>
      </w:r>
      <w:r w:rsidR="00AD7DD0" w:rsidRPr="00BD6C5F">
        <w:instrText xml:space="preserve"> \* MERGEFORMAT </w:instrText>
      </w:r>
      <w:r w:rsidR="001F60F0" w:rsidRPr="00BD6C5F">
        <w:fldChar w:fldCharType="separate"/>
      </w:r>
      <w:r w:rsidR="009749A0">
        <w:t>1.2</w:t>
      </w:r>
      <w:r w:rsidR="001F60F0" w:rsidRPr="00BD6C5F">
        <w:fldChar w:fldCharType="end"/>
      </w:r>
      <w:r w:rsidRPr="00BD6C5F">
        <w:t xml:space="preserve"> made</w:t>
      </w:r>
      <w:r w:rsidR="00DB2677" w:rsidRPr="00BD6C5F">
        <w:t xml:space="preserve"> </w:t>
      </w:r>
      <w:r w:rsidRPr="00BD6C5F">
        <w:t>pursuant to the provisions of Paragraph</w:t>
      </w:r>
      <w:r w:rsidR="001F60F0" w:rsidRPr="00BD6C5F">
        <w:t> </w:t>
      </w:r>
      <w:r w:rsidR="001F60F0" w:rsidRPr="00BD6C5F">
        <w:fldChar w:fldCharType="begin"/>
      </w:r>
      <w:r w:rsidR="001F60F0" w:rsidRPr="00BD6C5F">
        <w:instrText xml:space="preserve"> REF _Ref98426065 \w \h </w:instrText>
      </w:r>
      <w:r w:rsidR="00AD7DD0" w:rsidRPr="00BD6C5F">
        <w:instrText xml:space="preserve"> \* MERGEFORMAT </w:instrText>
      </w:r>
      <w:r w:rsidR="001F60F0" w:rsidRPr="00BD6C5F">
        <w:fldChar w:fldCharType="separate"/>
      </w:r>
      <w:r w:rsidR="009749A0">
        <w:t>1.4</w:t>
      </w:r>
      <w:r w:rsidR="001F60F0" w:rsidRPr="00BD6C5F">
        <w:fldChar w:fldCharType="end"/>
      </w:r>
      <w:r w:rsidRPr="00BD6C5F">
        <w:t xml:space="preserve"> provided that the Supplier takes, or shall procure that the </w:t>
      </w:r>
      <w:r w:rsidRPr="00BD6C5F">
        <w:lastRenderedPageBreak/>
        <w:t>Notified Sub-contractor takes, all reasonable steps to minimise any such Employee Liabilities; and</w:t>
      </w:r>
    </w:p>
    <w:p w14:paraId="305ADBC1" w14:textId="2DF80092" w:rsidR="00BC7DDA" w:rsidRPr="00BD6C5F" w:rsidRDefault="009B03E9" w:rsidP="000B0FA3">
      <w:pPr>
        <w:pStyle w:val="Numbered111"/>
      </w:pPr>
      <w:r w:rsidRPr="00BD6C5F">
        <w:t>procure that the Former Supplier indemnifies the Supplier and/or any Notified Sub-contractor against all Employee Liabilities arising out of termination of the employment of the employees of the Former Supplier referred to in Paragraph</w:t>
      </w:r>
      <w:r w:rsidR="001F60F0" w:rsidRPr="00BD6C5F">
        <w:t> </w:t>
      </w:r>
      <w:r w:rsidR="001F60F0" w:rsidRPr="00BD6C5F">
        <w:fldChar w:fldCharType="begin"/>
      </w:r>
      <w:r w:rsidR="001F60F0" w:rsidRPr="00BD6C5F">
        <w:instrText xml:space="preserve"> REF _Ref98426057 \w \h </w:instrText>
      </w:r>
      <w:r w:rsidR="00AD7DD0" w:rsidRPr="00BD6C5F">
        <w:instrText xml:space="preserve"> \* MERGEFORMAT </w:instrText>
      </w:r>
      <w:r w:rsidR="001F60F0" w:rsidRPr="00BD6C5F">
        <w:fldChar w:fldCharType="separate"/>
      </w:r>
      <w:r w:rsidR="009749A0">
        <w:t>1.2</w:t>
      </w:r>
      <w:r w:rsidR="001F60F0" w:rsidRPr="00BD6C5F">
        <w:fldChar w:fldCharType="end"/>
      </w:r>
      <w:r w:rsidRPr="00BD6C5F">
        <w:t xml:space="preserve"> made pursuant to the provisions of Paragraph</w:t>
      </w:r>
      <w:r w:rsidR="001F60F0" w:rsidRPr="00BD6C5F">
        <w:t> </w:t>
      </w:r>
      <w:r w:rsidR="001F60F0" w:rsidRPr="00BD6C5F">
        <w:fldChar w:fldCharType="begin"/>
      </w:r>
      <w:r w:rsidR="001F60F0" w:rsidRPr="00BD6C5F">
        <w:instrText xml:space="preserve"> REF _Ref98426065 \w \h </w:instrText>
      </w:r>
      <w:r w:rsidR="00AD7DD0" w:rsidRPr="00BD6C5F">
        <w:instrText xml:space="preserve"> \* MERGEFORMAT </w:instrText>
      </w:r>
      <w:r w:rsidR="001F60F0" w:rsidRPr="00BD6C5F">
        <w:fldChar w:fldCharType="separate"/>
      </w:r>
      <w:r w:rsidR="009749A0">
        <w:t>1.4</w:t>
      </w:r>
      <w:r w:rsidR="001F60F0" w:rsidRPr="00BD6C5F">
        <w:fldChar w:fldCharType="end"/>
      </w:r>
      <w:r w:rsidRPr="00BD6C5F">
        <w:t xml:space="preserve"> provided that the Supplier takes, or shall procure that the relevant Sub-contractor takes, all reasonable steps to minimise any such Employee Liabilities.</w:t>
      </w:r>
    </w:p>
    <w:p w14:paraId="28AD478B" w14:textId="6BC25177" w:rsidR="00BC7DDA" w:rsidRPr="00BD6C5F" w:rsidRDefault="009B03E9" w:rsidP="00C5057A">
      <w:pPr>
        <w:pStyle w:val="Numbered11"/>
      </w:pPr>
      <w:bookmarkStart w:id="1662" w:name="_bookmark566"/>
      <w:bookmarkStart w:id="1663" w:name="_Ref98426149"/>
      <w:bookmarkEnd w:id="1662"/>
      <w:r w:rsidRPr="00BD6C5F">
        <w:t>If any such person as is described in Paragraph</w:t>
      </w:r>
      <w:r w:rsidR="001F60F0" w:rsidRPr="00BD6C5F">
        <w:t> </w:t>
      </w:r>
      <w:r w:rsidR="001F60F0" w:rsidRPr="00BD6C5F">
        <w:fldChar w:fldCharType="begin"/>
      </w:r>
      <w:r w:rsidR="001F60F0" w:rsidRPr="00BD6C5F">
        <w:instrText xml:space="preserve"> REF _Ref98426057 \w \h </w:instrText>
      </w:r>
      <w:r w:rsidR="00AD7DD0" w:rsidRPr="00BD6C5F">
        <w:instrText xml:space="preserve"> \* MERGEFORMAT </w:instrText>
      </w:r>
      <w:r w:rsidR="001F60F0" w:rsidRPr="00BD6C5F">
        <w:fldChar w:fldCharType="separate"/>
      </w:r>
      <w:r w:rsidR="009749A0">
        <w:t>1.2</w:t>
      </w:r>
      <w:r w:rsidR="001F60F0" w:rsidRPr="00BD6C5F">
        <w:fldChar w:fldCharType="end"/>
      </w:r>
      <w:r w:rsidRPr="00BD6C5F">
        <w:t xml:space="preserve"> is neither re employed by the Authority and/or the Former Supplier as appropriate nor dismissed by the Supplier and/or any Sub-contractor within the 15 Working Day period referred to in Paragraph</w:t>
      </w:r>
      <w:r w:rsidR="001F60F0" w:rsidRPr="00BD6C5F">
        <w:t> </w:t>
      </w:r>
      <w:r w:rsidR="001F60F0" w:rsidRPr="00BD6C5F">
        <w:fldChar w:fldCharType="begin"/>
      </w:r>
      <w:r w:rsidR="001F60F0" w:rsidRPr="00BD6C5F">
        <w:instrText xml:space="preserve"> REF _Ref98426065 \w \h </w:instrText>
      </w:r>
      <w:r w:rsidR="00AD7DD0" w:rsidRPr="00BD6C5F">
        <w:instrText xml:space="preserve"> \* MERGEFORMAT </w:instrText>
      </w:r>
      <w:r w:rsidR="001F60F0" w:rsidRPr="00BD6C5F">
        <w:fldChar w:fldCharType="separate"/>
      </w:r>
      <w:r w:rsidR="009749A0">
        <w:t>1.4</w:t>
      </w:r>
      <w:r w:rsidR="001F60F0" w:rsidRPr="00BD6C5F">
        <w:fldChar w:fldCharType="end"/>
      </w:r>
      <w:r w:rsidRPr="00BD6C5F">
        <w:t xml:space="preserve"> such person shall be treated as having transferred to the Supplier and/or the Sub-contractor (as appropriate) and the Supplier shall, or shall procure that the Sub-contractor shall, </w:t>
      </w:r>
      <w:r w:rsidR="00890387">
        <w:t>(a) </w:t>
      </w:r>
      <w:r w:rsidRPr="00BD6C5F">
        <w:t>comply with such obligations as may be imposed upon it under Law</w:t>
      </w:r>
      <w:r w:rsidR="00890387" w:rsidRPr="00890387">
        <w:t xml:space="preserve"> and (b) comply with the provisions of Part</w:t>
      </w:r>
      <w:r w:rsidR="00890387">
        <w:t> </w:t>
      </w:r>
      <w:r w:rsidR="00890387">
        <w:fldChar w:fldCharType="begin"/>
      </w:r>
      <w:r w:rsidR="00890387">
        <w:instrText xml:space="preserve"> REF Schedule_28_Part_D \h </w:instrText>
      </w:r>
      <w:r w:rsidR="00890387">
        <w:fldChar w:fldCharType="separate"/>
      </w:r>
      <w:r w:rsidR="009749A0" w:rsidRPr="00BD6C5F">
        <w:t>D</w:t>
      </w:r>
      <w:r w:rsidR="00890387">
        <w:fldChar w:fldCharType="end"/>
      </w:r>
      <w:r w:rsidR="00890387" w:rsidRPr="00890387">
        <w:t xml:space="preserve"> (</w:t>
      </w:r>
      <w:r w:rsidR="00890387" w:rsidRPr="00EA528A">
        <w:rPr>
          <w:i/>
          <w:iCs/>
        </w:rPr>
        <w:t>Pensions</w:t>
      </w:r>
      <w:r w:rsidR="00890387" w:rsidRPr="00890387">
        <w:t>) and its Annexes of this Staff Transfer Schedule</w:t>
      </w:r>
      <w:r w:rsidRPr="00BD6C5F">
        <w:t>.</w:t>
      </w:r>
      <w:bookmarkEnd w:id="1663"/>
    </w:p>
    <w:p w14:paraId="1A9E5D77" w14:textId="074AE526" w:rsidR="00BC7DDA" w:rsidRPr="00BD6C5F" w:rsidRDefault="009B03E9" w:rsidP="00C5057A">
      <w:pPr>
        <w:pStyle w:val="Numbered11"/>
      </w:pPr>
      <w:r w:rsidRPr="00BD6C5F">
        <w:t>Where any person remains employed by the Supplier and/or any Sub-contractor pursuant to Paragraph</w:t>
      </w:r>
      <w:r w:rsidR="001F60F0" w:rsidRPr="00BD6C5F">
        <w:t> </w:t>
      </w:r>
      <w:r w:rsidR="001F60F0" w:rsidRPr="00BD6C5F">
        <w:fldChar w:fldCharType="begin"/>
      </w:r>
      <w:r w:rsidR="001F60F0" w:rsidRPr="00BD6C5F">
        <w:instrText xml:space="preserve"> REF _Ref98426149 \w \h </w:instrText>
      </w:r>
      <w:r w:rsidR="00AD7DD0" w:rsidRPr="00BD6C5F">
        <w:instrText xml:space="preserve"> \* MERGEFORMAT </w:instrText>
      </w:r>
      <w:r w:rsidR="001F60F0" w:rsidRPr="00BD6C5F">
        <w:fldChar w:fldCharType="separate"/>
      </w:r>
      <w:r w:rsidR="009749A0">
        <w:t>2.2</w:t>
      </w:r>
      <w:r w:rsidR="001F60F0" w:rsidRPr="00BD6C5F">
        <w:fldChar w:fldCharType="end"/>
      </w:r>
      <w:r w:rsidRPr="00BD6C5F">
        <w:t>,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48745A06" w14:textId="0CE22B7A" w:rsidR="00BC7DDA" w:rsidRPr="00BD6C5F" w:rsidRDefault="009B03E9" w:rsidP="009F4A63">
      <w:pPr>
        <w:pStyle w:val="Numbered11"/>
        <w:keepNext/>
      </w:pPr>
      <w:bookmarkStart w:id="1664" w:name="_bookmark567"/>
      <w:bookmarkStart w:id="1665" w:name="_Ref98426075"/>
      <w:bookmarkEnd w:id="1664"/>
      <w:r w:rsidRPr="00BD6C5F">
        <w:t>The indemnities in Paragraph</w:t>
      </w:r>
      <w:r w:rsidR="001F60F0" w:rsidRPr="00BD6C5F">
        <w:t> </w:t>
      </w:r>
      <w:r w:rsidR="001F60F0" w:rsidRPr="00BD6C5F">
        <w:fldChar w:fldCharType="begin"/>
      </w:r>
      <w:r w:rsidR="001F60F0" w:rsidRPr="00BD6C5F">
        <w:instrText xml:space="preserve"> REF _Ref98426161 \w \h </w:instrText>
      </w:r>
      <w:r w:rsidR="00AD7DD0" w:rsidRPr="00BD6C5F">
        <w:instrText xml:space="preserve"> \* MERGEFORMAT </w:instrText>
      </w:r>
      <w:r w:rsidR="001F60F0" w:rsidRPr="00BD6C5F">
        <w:fldChar w:fldCharType="separate"/>
      </w:r>
      <w:r w:rsidR="009749A0">
        <w:t>2.1</w:t>
      </w:r>
      <w:r w:rsidR="001F60F0" w:rsidRPr="00BD6C5F">
        <w:fldChar w:fldCharType="end"/>
      </w:r>
      <w:r w:rsidRPr="00BD6C5F">
        <w:t>:</w:t>
      </w:r>
      <w:bookmarkEnd w:id="1665"/>
    </w:p>
    <w:p w14:paraId="32AE7012" w14:textId="77777777" w:rsidR="00BC7DDA" w:rsidRPr="00BD6C5F" w:rsidRDefault="009B03E9" w:rsidP="009F4A63">
      <w:pPr>
        <w:pStyle w:val="Numbered111"/>
        <w:keepNext/>
      </w:pPr>
      <w:r w:rsidRPr="00BD6C5F">
        <w:t>shall not apply to:</w:t>
      </w:r>
    </w:p>
    <w:p w14:paraId="690E3ED9" w14:textId="77777777" w:rsidR="00BC7DDA" w:rsidRPr="00BD6C5F" w:rsidRDefault="009B03E9" w:rsidP="009F4A63">
      <w:pPr>
        <w:pStyle w:val="Numbered111a"/>
        <w:keepNext/>
      </w:pPr>
      <w:r w:rsidRPr="00BD6C5F">
        <w:t>any claim for:</w:t>
      </w:r>
    </w:p>
    <w:p w14:paraId="628E02A4" w14:textId="77777777" w:rsidR="00BC7DDA" w:rsidRPr="00BD6C5F" w:rsidRDefault="009B03E9" w:rsidP="000B0FA3">
      <w:pPr>
        <w:pStyle w:val="Numbered111ai"/>
        <w:rPr>
          <w:spacing w:val="-2"/>
        </w:rPr>
      </w:pPr>
      <w:r w:rsidRPr="00BD6C5F">
        <w:t xml:space="preserve">discrimination, including on the grounds of sex, race, disability, age, gender reassignment, marriage or civil partnership, </w:t>
      </w:r>
      <w:r w:rsidRPr="00BD6C5F">
        <w:rPr>
          <w:spacing w:val="-2"/>
        </w:rPr>
        <w:t>pregnancy and maternity or sexual orientation, religion or belief; or</w:t>
      </w:r>
    </w:p>
    <w:p w14:paraId="7D08386C" w14:textId="77777777" w:rsidR="00BC7DDA" w:rsidRPr="00BD6C5F" w:rsidRDefault="009B03E9" w:rsidP="000B0FA3">
      <w:pPr>
        <w:pStyle w:val="Numbered111ai"/>
      </w:pPr>
      <w:r w:rsidRPr="00BD6C5F">
        <w:t>equal pay or compensation for less favourable treatment of part-time workers or fixed-term employees,</w:t>
      </w:r>
    </w:p>
    <w:p w14:paraId="3F698830" w14:textId="77777777" w:rsidR="00BC7DDA" w:rsidRPr="00BD6C5F" w:rsidRDefault="009B03E9" w:rsidP="00E21E85">
      <w:pPr>
        <w:pStyle w:val="BodyText"/>
        <w:spacing w:before="100" w:after="200"/>
        <w:ind w:left="2523"/>
        <w:rPr>
          <w:rFonts w:asciiTheme="minorHAnsi" w:hAnsiTheme="minorHAnsi" w:cstheme="minorHAnsi"/>
        </w:rPr>
      </w:pPr>
      <w:r w:rsidRPr="00BD6C5F">
        <w:rPr>
          <w:rFonts w:asciiTheme="minorHAnsi" w:hAnsiTheme="minorHAnsi" w:cstheme="minorHAnsi"/>
        </w:rPr>
        <w:t>in any case in relation to any alleged act or omission of the Supplier and/or any Sub-contractor; or</w:t>
      </w:r>
    </w:p>
    <w:p w14:paraId="4E9A6424" w14:textId="77777777" w:rsidR="00BC7DDA" w:rsidRPr="00BD6C5F" w:rsidRDefault="009B03E9" w:rsidP="000B0FA3">
      <w:pPr>
        <w:pStyle w:val="Numbered111a"/>
        <w:rPr>
          <w:lang w:val="en-GB"/>
        </w:rPr>
      </w:pPr>
      <w:r w:rsidRPr="00BD6C5F">
        <w:rPr>
          <w:lang w:val="en-GB"/>
        </w:rPr>
        <w:t>any claim that the termination of employment was unfair because the Supplier and/or any Sub-contractor neglected to follow a fair dismissal procedure; and</w:t>
      </w:r>
    </w:p>
    <w:p w14:paraId="759DECB4" w14:textId="429B6FDF" w:rsidR="00BC7DDA" w:rsidRPr="00BD6C5F" w:rsidRDefault="009B03E9" w:rsidP="000B0FA3">
      <w:pPr>
        <w:pStyle w:val="Numbered111"/>
      </w:pPr>
      <w:r w:rsidRPr="00BD6C5F">
        <w:t>shall apply only where the notification referred to in Paragraph</w:t>
      </w:r>
      <w:r w:rsidR="001F60F0" w:rsidRPr="00BD6C5F">
        <w:t> </w:t>
      </w:r>
      <w:r w:rsidR="001F60F0" w:rsidRPr="00BD6C5F">
        <w:fldChar w:fldCharType="begin"/>
      </w:r>
      <w:r w:rsidR="001F60F0" w:rsidRPr="00BD6C5F">
        <w:instrText xml:space="preserve"> REF _Ref98426173 \w \h </w:instrText>
      </w:r>
      <w:r w:rsidR="00AD7DD0" w:rsidRPr="00BD6C5F">
        <w:instrText xml:space="preserve"> \* MERGEFORMAT </w:instrText>
      </w:r>
      <w:r w:rsidR="001F60F0" w:rsidRPr="00BD6C5F">
        <w:fldChar w:fldCharType="separate"/>
      </w:r>
      <w:r w:rsidR="009749A0">
        <w:t>1.2.1</w:t>
      </w:r>
      <w:r w:rsidR="001F60F0" w:rsidRPr="00BD6C5F">
        <w:fldChar w:fldCharType="end"/>
      </w:r>
      <w:r w:rsidR="001F60F0" w:rsidRPr="00BD6C5F">
        <w:t xml:space="preserve"> </w:t>
      </w:r>
      <w:r w:rsidRPr="00BD6C5F">
        <w:t>is made by the Supplier and/or any Sub-contractor to the Authority and, if applicable, Former Supplier within 6 months of the</w:t>
      </w:r>
      <w:r w:rsidR="00890387" w:rsidRPr="00890387">
        <w:t xml:space="preserve"> Relevant Transfer</w:t>
      </w:r>
      <w:r w:rsidR="0022568A">
        <w:t xml:space="preserve"> </w:t>
      </w:r>
      <w:r w:rsidRPr="00BD6C5F">
        <w:t>Date.</w:t>
      </w:r>
    </w:p>
    <w:p w14:paraId="468EAB07" w14:textId="01DF096E" w:rsidR="00BC7DDA" w:rsidRPr="00BD6C5F" w:rsidRDefault="000B0FA3" w:rsidP="000B0FA3">
      <w:pPr>
        <w:pStyle w:val="Numbered1"/>
      </w:pPr>
      <w:r w:rsidRPr="00BD6C5F">
        <w:t>Procurement Obligations</w:t>
      </w:r>
    </w:p>
    <w:p w14:paraId="6A440C46" w14:textId="5BD493B9" w:rsidR="00BC7DDA" w:rsidRPr="00BD6C5F" w:rsidRDefault="009B03E9" w:rsidP="00C5057A">
      <w:pPr>
        <w:pStyle w:val="Numbered11"/>
      </w:pPr>
      <w:r w:rsidRPr="00BD6C5F">
        <w:t xml:space="preserve">Where in this Part </w:t>
      </w:r>
      <w:r w:rsidR="00B8001B">
        <w:fldChar w:fldCharType="begin"/>
      </w:r>
      <w:r w:rsidR="00B8001B">
        <w:instrText xml:space="preserve"> REF Schedule_28_Part_C \h </w:instrText>
      </w:r>
      <w:r w:rsidR="00B8001B">
        <w:fldChar w:fldCharType="separate"/>
      </w:r>
      <w:r w:rsidR="009749A0" w:rsidRPr="00BD6C5F">
        <w:t>C</w:t>
      </w:r>
      <w:r w:rsidR="00B8001B">
        <w:fldChar w:fldCharType="end"/>
      </w:r>
      <w:r w:rsidRPr="00BD6C5F">
        <w:t xml:space="preserve"> the Authority accepts an obligation to procure that a Former Supplier does or does not do something, such obligation shall be limited so that it extends only to </w:t>
      </w:r>
      <w:r w:rsidRPr="00BD6C5F">
        <w:lastRenderedPageBreak/>
        <w:t>the extent that the Authority</w:t>
      </w:r>
      <w:r w:rsidR="00A4555C" w:rsidRPr="00BD6C5F">
        <w:t>’</w:t>
      </w:r>
      <w:r w:rsidRPr="00BD6C5F">
        <w:t>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0CA22EC3" w14:textId="5E2157F8" w:rsidR="00BC7DDA" w:rsidRPr="00BD6C5F" w:rsidRDefault="000B0FA3" w:rsidP="00730F71">
      <w:pPr>
        <w:pStyle w:val="Heading2"/>
        <w:pageBreakBefore/>
      </w:pPr>
      <w:bookmarkStart w:id="1666" w:name="_bookmark568"/>
      <w:bookmarkStart w:id="1667" w:name="_Ref98326204"/>
      <w:bookmarkStart w:id="1668" w:name="_Toc98332786"/>
      <w:bookmarkStart w:id="1669" w:name="_Toc98852959"/>
      <w:bookmarkStart w:id="1670" w:name="_Toc141721055"/>
      <w:bookmarkEnd w:id="1666"/>
      <w:r w:rsidRPr="00BD6C5F">
        <w:lastRenderedPageBreak/>
        <w:t xml:space="preserve">Part </w:t>
      </w:r>
      <w:bookmarkStart w:id="1671" w:name="Schedule_28_Part_D"/>
      <w:r w:rsidRPr="00BD6C5F">
        <w:t>D</w:t>
      </w:r>
      <w:bookmarkEnd w:id="1671"/>
      <w:r w:rsidRPr="00BD6C5F">
        <w:t>: Pensions</w:t>
      </w:r>
      <w:bookmarkEnd w:id="1667"/>
      <w:bookmarkEnd w:id="1668"/>
      <w:bookmarkEnd w:id="1669"/>
      <w:bookmarkEnd w:id="1670"/>
    </w:p>
    <w:p w14:paraId="471D46AF" w14:textId="37027133" w:rsidR="002A02EF" w:rsidRPr="00BD6C5F" w:rsidRDefault="002A02EF" w:rsidP="0078244A">
      <w:pPr>
        <w:spacing w:before="100" w:after="200"/>
      </w:pPr>
      <w:r w:rsidRPr="00BD6C5F">
        <w:rPr>
          <w:highlight w:val="yellow"/>
        </w:rPr>
        <w:t>[</w:t>
      </w:r>
      <w:r w:rsidRPr="004C60F6">
        <w:rPr>
          <w:b/>
          <w:bCs/>
          <w:i/>
          <w:iCs/>
          <w:highlight w:val="yellow"/>
        </w:rPr>
        <w:t xml:space="preserve">Guidance: The pension schemes referenced in this Part </w:t>
      </w:r>
      <w:r w:rsidR="00B8001B" w:rsidRPr="004C60F6">
        <w:rPr>
          <w:b/>
          <w:bCs/>
          <w:i/>
          <w:iCs/>
          <w:highlight w:val="yellow"/>
        </w:rPr>
        <w:fldChar w:fldCharType="begin"/>
      </w:r>
      <w:r w:rsidR="00B8001B" w:rsidRPr="004C60F6">
        <w:rPr>
          <w:b/>
          <w:bCs/>
          <w:i/>
          <w:iCs/>
          <w:highlight w:val="yellow"/>
        </w:rPr>
        <w:instrText xml:space="preserve"> REF Schedule_28_Part_D \h </w:instrText>
      </w:r>
      <w:r w:rsidR="004C60F6" w:rsidRPr="004C60F6">
        <w:rPr>
          <w:b/>
          <w:bCs/>
          <w:i/>
          <w:iCs/>
          <w:highlight w:val="yellow"/>
        </w:rPr>
        <w:instrText xml:space="preserve"> \* MERGEFORMAT </w:instrText>
      </w:r>
      <w:r w:rsidR="00B8001B" w:rsidRPr="004C60F6">
        <w:rPr>
          <w:b/>
          <w:bCs/>
          <w:i/>
          <w:iCs/>
          <w:highlight w:val="yellow"/>
        </w:rPr>
      </w:r>
      <w:r w:rsidR="00B8001B" w:rsidRPr="004C60F6">
        <w:rPr>
          <w:b/>
          <w:bCs/>
          <w:i/>
          <w:iCs/>
          <w:highlight w:val="yellow"/>
        </w:rPr>
        <w:fldChar w:fldCharType="separate"/>
      </w:r>
      <w:r w:rsidR="009749A0" w:rsidRPr="000D10B1">
        <w:rPr>
          <w:b/>
          <w:bCs/>
          <w:i/>
          <w:iCs/>
        </w:rPr>
        <w:t>D</w:t>
      </w:r>
      <w:r w:rsidR="00B8001B" w:rsidRPr="004C60F6">
        <w:rPr>
          <w:b/>
          <w:bCs/>
          <w:i/>
          <w:iCs/>
          <w:highlight w:val="yellow"/>
        </w:rPr>
        <w:fldChar w:fldCharType="end"/>
      </w:r>
      <w:r w:rsidRPr="004C60F6">
        <w:rPr>
          <w:b/>
          <w:bCs/>
          <w:i/>
          <w:iCs/>
          <w:highlight w:val="yellow"/>
        </w:rPr>
        <w:t xml:space="preserve"> and its Annexes may not apply under Scottish Law. Buyers may wish to take advice as to whether these provisions are appropriate, or an alternative is required</w:t>
      </w:r>
      <w:r w:rsidRPr="00BD6C5F">
        <w:rPr>
          <w:highlight w:val="yellow"/>
        </w:rPr>
        <w:t>.]</w:t>
      </w:r>
    </w:p>
    <w:p w14:paraId="44E8B92B" w14:textId="211BCDE2" w:rsidR="00BC7DDA" w:rsidRPr="00BD6C5F" w:rsidRDefault="000B0FA3" w:rsidP="00B71FC0">
      <w:pPr>
        <w:pStyle w:val="Numbered1"/>
        <w:numPr>
          <w:ilvl w:val="0"/>
          <w:numId w:val="119"/>
        </w:numPr>
      </w:pPr>
      <w:r w:rsidRPr="00BD6C5F">
        <w:t>Definitions</w:t>
      </w:r>
    </w:p>
    <w:p w14:paraId="41A4F420" w14:textId="394ED05A" w:rsidR="00BC7DDA" w:rsidRPr="00BD6C5F" w:rsidRDefault="009B03E9" w:rsidP="009F4A63">
      <w:pPr>
        <w:pStyle w:val="Numbered11"/>
        <w:keepNext/>
      </w:pPr>
      <w:r w:rsidRPr="00BD6C5F">
        <w:t>In this</w:t>
      </w:r>
      <w:r w:rsidR="00C101F7">
        <w:t xml:space="preserve"> 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and </w:t>
      </w:r>
      <w:r w:rsidR="00C101F7">
        <w:t>Part </w:t>
      </w:r>
      <w:r w:rsidR="00C101F7">
        <w:fldChar w:fldCharType="begin"/>
      </w:r>
      <w:r w:rsidR="00C101F7">
        <w:instrText xml:space="preserve"> REF Schedule_28_Part_E \h </w:instrText>
      </w:r>
      <w:r w:rsidR="00C101F7">
        <w:fldChar w:fldCharType="separate"/>
      </w:r>
      <w:r w:rsidR="009749A0" w:rsidRPr="00BD6C5F">
        <w:t>E</w:t>
      </w:r>
      <w:r w:rsidR="00C101F7">
        <w:fldChar w:fldCharType="end"/>
      </w:r>
      <w:r w:rsidRPr="00BD6C5F">
        <w:t>, the following words have the following meanings and they shall supplement Schedule</w:t>
      </w:r>
      <w:r w:rsidR="00781C8C" w:rsidRPr="00BD6C5F">
        <w:t> </w:t>
      </w:r>
      <w:r w:rsidR="00242E2D">
        <w:fldChar w:fldCharType="begin"/>
      </w:r>
      <w:r w:rsidR="00242E2D">
        <w:instrText xml:space="preserve"> REF Schedule_1 \h </w:instrText>
      </w:r>
      <w:r w:rsidR="00242E2D">
        <w:fldChar w:fldCharType="separate"/>
      </w:r>
      <w:r w:rsidR="009749A0" w:rsidRPr="00175B22">
        <w:t>1</w:t>
      </w:r>
      <w:r w:rsidR="00242E2D">
        <w:fldChar w:fldCharType="end"/>
      </w:r>
      <w:r w:rsidRPr="00BD6C5F">
        <w:t xml:space="preserve">: Definitions, and shall be deemed to include the definitions set out in the Annexes to this 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6E3AA156" w14:textId="77777777" w:rsidTr="000E1EDB">
        <w:tc>
          <w:tcPr>
            <w:tcW w:w="3572" w:type="dxa"/>
          </w:tcPr>
          <w:p w14:paraId="6BD0015E" w14:textId="02C894F9"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Actuary</w:t>
            </w:r>
            <w:r w:rsidRPr="00BD6C5F">
              <w:rPr>
                <w:rFonts w:asciiTheme="minorHAnsi" w:hAnsiTheme="minorHAnsi" w:cstheme="minorHAnsi"/>
                <w:b/>
              </w:rPr>
              <w:t>”</w:t>
            </w:r>
          </w:p>
        </w:tc>
        <w:tc>
          <w:tcPr>
            <w:tcW w:w="5953" w:type="dxa"/>
          </w:tcPr>
          <w:p w14:paraId="25D16C76" w14:textId="77777777" w:rsidR="00BC7DDA" w:rsidRPr="00BD6C5F" w:rsidRDefault="009B03E9" w:rsidP="004D3C0E">
            <w:pPr>
              <w:pStyle w:val="Tabletext"/>
            </w:pPr>
            <w:r w:rsidRPr="00BD6C5F">
              <w:t>a Fellow of the Institute and Faculty of Actuaries;</w:t>
            </w:r>
          </w:p>
        </w:tc>
      </w:tr>
      <w:tr w:rsidR="00BC7DDA" w:rsidRPr="00BD6C5F" w14:paraId="3C6E93A0" w14:textId="77777777" w:rsidTr="000E1EDB">
        <w:tc>
          <w:tcPr>
            <w:tcW w:w="3572" w:type="dxa"/>
          </w:tcPr>
          <w:p w14:paraId="50937715" w14:textId="3C340D98"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Best Value Direction</w:t>
            </w:r>
            <w:r w:rsidRPr="00BD6C5F">
              <w:rPr>
                <w:rFonts w:asciiTheme="minorHAnsi" w:hAnsiTheme="minorHAnsi" w:cstheme="minorHAnsi"/>
                <w:b/>
              </w:rPr>
              <w:t>”</w:t>
            </w:r>
          </w:p>
        </w:tc>
        <w:tc>
          <w:tcPr>
            <w:tcW w:w="5953" w:type="dxa"/>
          </w:tcPr>
          <w:p w14:paraId="444C4136" w14:textId="77777777"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the Best Value Authorities Staff Transfers (Pensions) Direction 2007;</w:t>
            </w:r>
          </w:p>
        </w:tc>
      </w:tr>
      <w:tr w:rsidR="00BC7DDA" w:rsidRPr="00BD6C5F" w14:paraId="68F69FA5" w14:textId="77777777" w:rsidTr="000E1EDB">
        <w:tc>
          <w:tcPr>
            <w:tcW w:w="3572" w:type="dxa"/>
          </w:tcPr>
          <w:p w14:paraId="79224740" w14:textId="2EBCAB55"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Broadly Comparable</w:t>
            </w:r>
            <w:r w:rsidRPr="00BD6C5F">
              <w:rPr>
                <w:rFonts w:asciiTheme="minorHAnsi" w:hAnsiTheme="minorHAnsi" w:cstheme="minorHAnsi"/>
                <w:b/>
              </w:rPr>
              <w:t>”</w:t>
            </w:r>
          </w:p>
        </w:tc>
        <w:tc>
          <w:tcPr>
            <w:tcW w:w="5953" w:type="dxa"/>
          </w:tcPr>
          <w:p w14:paraId="33145232" w14:textId="12625411" w:rsidR="00BC7DDA" w:rsidRPr="00BD6C5F" w:rsidRDefault="009B03E9" w:rsidP="0040545B">
            <w:pPr>
              <w:pStyle w:val="Tablea"/>
            </w:pPr>
            <w:r w:rsidRPr="00BD6C5F">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w:t>
            </w:r>
            <w:r w:rsidR="00A4555C" w:rsidRPr="00BD6C5F">
              <w:t>’</w:t>
            </w:r>
            <w:r w:rsidRPr="00BD6C5F">
              <w:t>s Department of a broad comparability certificate; and/or</w:t>
            </w:r>
          </w:p>
          <w:p w14:paraId="2DA20A07" w14:textId="53CD57C3" w:rsidR="00BC7DDA" w:rsidRPr="00BD6C5F" w:rsidRDefault="009B03E9" w:rsidP="003A5D4B">
            <w:pPr>
              <w:pStyle w:val="Tablea"/>
            </w:pPr>
            <w:r w:rsidRPr="00BD6C5F">
              <w:t>in respect of benefits provided for or in respect of a member under a pension scheme, benefits that are consistent with that pension scheme</w:t>
            </w:r>
            <w:r w:rsidR="00A4555C" w:rsidRPr="00BD6C5F">
              <w:t>’</w:t>
            </w:r>
            <w:r w:rsidRPr="00BD6C5F">
              <w:t>s certificate of broad comparability issued by the Government Actuary</w:t>
            </w:r>
            <w:r w:rsidR="00A4555C" w:rsidRPr="00BD6C5F">
              <w:t>’</w:t>
            </w:r>
            <w:r w:rsidRPr="00BD6C5F">
              <w:t>s Department,</w:t>
            </w:r>
          </w:p>
          <w:p w14:paraId="3C677B6C" w14:textId="64BEB4B5"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and </w:t>
            </w:r>
            <w:r w:rsidR="00A4555C" w:rsidRPr="00BD6C5F">
              <w:rPr>
                <w:rFonts w:asciiTheme="minorHAnsi" w:hAnsiTheme="minorHAnsi" w:cstheme="minorHAnsi"/>
              </w:rPr>
              <w:t>“</w:t>
            </w:r>
            <w:r w:rsidRPr="00BD6C5F">
              <w:rPr>
                <w:rFonts w:asciiTheme="minorHAnsi" w:hAnsiTheme="minorHAnsi" w:cstheme="minorHAnsi"/>
                <w:b/>
              </w:rPr>
              <w:t>Broad Comparability</w:t>
            </w:r>
            <w:r w:rsidR="00A4555C" w:rsidRPr="00BD6C5F">
              <w:rPr>
                <w:rFonts w:asciiTheme="minorHAnsi" w:hAnsiTheme="minorHAnsi" w:cstheme="minorHAnsi"/>
              </w:rPr>
              <w:t>”</w:t>
            </w:r>
            <w:r w:rsidRPr="00BD6C5F">
              <w:rPr>
                <w:rFonts w:asciiTheme="minorHAnsi" w:hAnsiTheme="minorHAnsi" w:cstheme="minorHAnsi"/>
              </w:rPr>
              <w:t xml:space="preserve"> shall be construed accordingly;</w:t>
            </w:r>
          </w:p>
        </w:tc>
      </w:tr>
      <w:tr w:rsidR="00BC7DDA" w:rsidRPr="00BD6C5F" w14:paraId="0B4889DF" w14:textId="77777777" w:rsidTr="000E1EDB">
        <w:tc>
          <w:tcPr>
            <w:tcW w:w="3572" w:type="dxa"/>
          </w:tcPr>
          <w:p w14:paraId="58576CBC" w14:textId="04C4BEF7"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CSPS</w:t>
            </w:r>
            <w:r w:rsidRPr="00BD6C5F">
              <w:rPr>
                <w:rFonts w:asciiTheme="minorHAnsi" w:hAnsiTheme="minorHAnsi" w:cstheme="minorHAnsi"/>
                <w:b/>
              </w:rPr>
              <w:t>”</w:t>
            </w:r>
          </w:p>
        </w:tc>
        <w:tc>
          <w:tcPr>
            <w:tcW w:w="5953" w:type="dxa"/>
          </w:tcPr>
          <w:p w14:paraId="2CF34270" w14:textId="7C5E8739"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the </w:t>
            </w:r>
            <w:r w:rsidRPr="00BD6C5F">
              <w:t>schemes</w:t>
            </w:r>
            <w:r w:rsidRPr="00BD6C5F">
              <w:rPr>
                <w:rFonts w:asciiTheme="minorHAnsi" w:hAnsiTheme="minorHAnsi" w:cstheme="minorHAnsi"/>
              </w:rPr>
              <w:t xml:space="preserve">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Schedule_28_Part_D_Annex_1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1</w:t>
            </w:r>
            <w:r w:rsidR="000E1EDB">
              <w:rPr>
                <w:rFonts w:asciiTheme="minorHAnsi" w:hAnsiTheme="minorHAnsi" w:cstheme="minorHAnsi"/>
              </w:rPr>
              <w:fldChar w:fldCharType="end"/>
            </w:r>
            <w:r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Pr="00BD6C5F">
              <w:rPr>
                <w:rFonts w:asciiTheme="minorHAnsi" w:hAnsiTheme="minorHAnsi" w:cstheme="minorHAnsi"/>
              </w:rPr>
              <w:t>;</w:t>
            </w:r>
          </w:p>
        </w:tc>
      </w:tr>
      <w:tr w:rsidR="00BC7DDA" w:rsidRPr="00BD6C5F" w14:paraId="6AECBFBF" w14:textId="77777777" w:rsidTr="000E1EDB">
        <w:tc>
          <w:tcPr>
            <w:tcW w:w="3572" w:type="dxa"/>
          </w:tcPr>
          <w:p w14:paraId="78DDF8EA" w14:textId="05CB2EB5"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Direction Letter/Determination</w:t>
            </w:r>
            <w:r w:rsidRPr="00BD6C5F">
              <w:rPr>
                <w:rFonts w:asciiTheme="minorHAnsi" w:hAnsiTheme="minorHAnsi" w:cstheme="minorHAnsi"/>
                <w:b/>
              </w:rPr>
              <w:t>”</w:t>
            </w:r>
          </w:p>
        </w:tc>
        <w:tc>
          <w:tcPr>
            <w:tcW w:w="5953" w:type="dxa"/>
          </w:tcPr>
          <w:p w14:paraId="76A31F17" w14:textId="62629F88"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Schedule_28_Part_D_Annex_2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2</w:t>
            </w:r>
            <w:r w:rsidR="000E1EDB">
              <w:rPr>
                <w:rFonts w:asciiTheme="minorHAnsi" w:hAnsiTheme="minorHAnsi" w:cstheme="minorHAnsi"/>
              </w:rPr>
              <w:fldChar w:fldCharType="end"/>
            </w:r>
            <w:r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Pr="00BD6C5F">
              <w:rPr>
                <w:rFonts w:asciiTheme="minorHAnsi" w:hAnsiTheme="minorHAnsi" w:cstheme="minorHAnsi"/>
              </w:rPr>
              <w:t>;</w:t>
            </w:r>
          </w:p>
        </w:tc>
      </w:tr>
      <w:tr w:rsidR="00BC7DDA" w:rsidRPr="00BD6C5F" w14:paraId="010635BA" w14:textId="77777777" w:rsidTr="000E1EDB">
        <w:tc>
          <w:tcPr>
            <w:tcW w:w="3572" w:type="dxa"/>
          </w:tcPr>
          <w:p w14:paraId="1784EF1C" w14:textId="46575C85"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Fair Deal Eligible Employees</w:t>
            </w:r>
            <w:r w:rsidRPr="00BD6C5F">
              <w:rPr>
                <w:rFonts w:asciiTheme="minorHAnsi" w:hAnsiTheme="minorHAnsi" w:cstheme="minorHAnsi"/>
                <w:b/>
              </w:rPr>
              <w:t>”</w:t>
            </w:r>
          </w:p>
        </w:tc>
        <w:tc>
          <w:tcPr>
            <w:tcW w:w="5953" w:type="dxa"/>
          </w:tcPr>
          <w:p w14:paraId="625564BB" w14:textId="56409BCB"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means each of the CSPS Eligible Employees</w:t>
            </w:r>
            <w:r w:rsidR="00F07953" w:rsidRPr="00BD6C5F">
              <w:rPr>
                <w:rFonts w:asciiTheme="minorHAnsi" w:hAnsiTheme="minorHAnsi" w:cstheme="minorHAnsi"/>
              </w:rPr>
              <w:t xml:space="preserve">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Schedule_28_Part_D_Annex_1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1</w:t>
            </w:r>
            <w:r w:rsidR="000E1EDB">
              <w:rPr>
                <w:rFonts w:asciiTheme="minorHAnsi" w:hAnsiTheme="minorHAnsi" w:cstheme="minorHAnsi"/>
              </w:rPr>
              <w:fldChar w:fldCharType="end"/>
            </w:r>
            <w:r w:rsidR="00F07953"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00F07953" w:rsidRPr="00BD6C5F">
              <w:rPr>
                <w:rFonts w:asciiTheme="minorHAnsi" w:hAnsiTheme="minorHAnsi" w:cstheme="minorHAnsi"/>
              </w:rPr>
              <w:t>)</w:t>
            </w:r>
            <w:r w:rsidRPr="00BD6C5F">
              <w:rPr>
                <w:rFonts w:asciiTheme="minorHAnsi" w:hAnsiTheme="minorHAnsi" w:cstheme="minorHAnsi"/>
              </w:rPr>
              <w:t>, the NHSPS Eligible Employees</w:t>
            </w:r>
            <w:r w:rsidR="00F07953" w:rsidRPr="00BD6C5F">
              <w:rPr>
                <w:rFonts w:asciiTheme="minorHAnsi" w:hAnsiTheme="minorHAnsi" w:cstheme="minorHAnsi"/>
              </w:rPr>
              <w:t xml:space="preserve">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Schedule_28_Part_D_Annex_2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2</w:t>
            </w:r>
            <w:r w:rsidR="000E1EDB">
              <w:rPr>
                <w:rFonts w:asciiTheme="minorHAnsi" w:hAnsiTheme="minorHAnsi" w:cstheme="minorHAnsi"/>
              </w:rPr>
              <w:fldChar w:fldCharType="end"/>
            </w:r>
            <w:r w:rsidR="00F07953"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00F07953" w:rsidRPr="00BD6C5F">
              <w:rPr>
                <w:rFonts w:asciiTheme="minorHAnsi" w:hAnsiTheme="minorHAnsi" w:cstheme="minorHAnsi"/>
              </w:rPr>
              <w:t>)</w:t>
            </w:r>
            <w:r w:rsidRPr="00BD6C5F">
              <w:rPr>
                <w:rFonts w:asciiTheme="minorHAnsi" w:hAnsiTheme="minorHAnsi" w:cstheme="minorHAnsi"/>
              </w:rPr>
              <w:t xml:space="preserve"> and/or the LGPS Eligible Employees </w:t>
            </w:r>
            <w:r w:rsidR="00F07953" w:rsidRPr="00BD6C5F">
              <w:rPr>
                <w:rFonts w:asciiTheme="minorHAnsi" w:hAnsiTheme="minorHAnsi" w:cstheme="minorHAnsi"/>
              </w:rPr>
              <w:t xml:space="preserve">(as </w:t>
            </w:r>
            <w:r w:rsidR="00F07953" w:rsidRPr="00BD6C5F">
              <w:t>defined</w:t>
            </w:r>
            <w:r w:rsidR="00F07953" w:rsidRPr="00BD6C5F">
              <w:rPr>
                <w:rFonts w:asciiTheme="minorHAnsi" w:hAnsiTheme="minorHAnsi" w:cstheme="minorHAnsi"/>
              </w:rPr>
              <w:t xml:space="preserve">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Schedule_28_Part_D_Annex_3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3</w:t>
            </w:r>
            <w:r w:rsidR="000E1EDB">
              <w:rPr>
                <w:rFonts w:asciiTheme="minorHAnsi" w:hAnsiTheme="minorHAnsi" w:cstheme="minorHAnsi"/>
              </w:rPr>
              <w:fldChar w:fldCharType="end"/>
            </w:r>
            <w:r w:rsidR="00F07953"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00F07953" w:rsidRPr="00BD6C5F">
              <w:rPr>
                <w:rFonts w:asciiTheme="minorHAnsi" w:hAnsiTheme="minorHAnsi" w:cstheme="minorHAnsi"/>
              </w:rPr>
              <w:t xml:space="preserve">) </w:t>
            </w:r>
            <w:r w:rsidRPr="00BD6C5F">
              <w:rPr>
                <w:rFonts w:asciiTheme="minorHAnsi" w:hAnsiTheme="minorHAnsi" w:cstheme="minorHAnsi"/>
              </w:rPr>
              <w:t>(as applicable) (and shall include any such employee who has been admitted</w:t>
            </w:r>
            <w:r w:rsidR="00024903" w:rsidRPr="00BD6C5F">
              <w:rPr>
                <w:rFonts w:asciiTheme="minorHAnsi" w:hAnsiTheme="minorHAnsi" w:cstheme="minorHAnsi"/>
              </w:rPr>
              <w:t xml:space="preserve"> t</w:t>
            </w:r>
            <w:r w:rsidRPr="00BD6C5F">
              <w:rPr>
                <w:rFonts w:asciiTheme="minorHAnsi" w:hAnsiTheme="minorHAnsi" w:cstheme="minorHAnsi"/>
              </w:rPr>
              <w:t>o and/or remains eligible to join a Broadly Comparable pension scheme at the relevant time</w:t>
            </w:r>
            <w:r w:rsidR="004D3C0E" w:rsidRPr="00BD6C5F">
              <w:rPr>
                <w:rFonts w:asciiTheme="minorHAnsi" w:hAnsiTheme="minorHAnsi" w:cstheme="minorHAnsi"/>
              </w:rPr>
              <w:t xml:space="preserve"> in accordance with Paragraph </w:t>
            </w:r>
            <w:r w:rsidR="004D3C0E" w:rsidRPr="00BD6C5F">
              <w:rPr>
                <w:rFonts w:asciiTheme="minorHAnsi" w:hAnsiTheme="minorHAnsi" w:cstheme="minorHAnsi"/>
              </w:rPr>
              <w:fldChar w:fldCharType="begin"/>
            </w:r>
            <w:r w:rsidR="004D3C0E" w:rsidRPr="00BD6C5F">
              <w:rPr>
                <w:rFonts w:asciiTheme="minorHAnsi" w:hAnsiTheme="minorHAnsi" w:cstheme="minorHAnsi"/>
              </w:rPr>
              <w:instrText xml:space="preserve"> REF _Ref98426286 \w \h  \* MERGEFORMAT </w:instrText>
            </w:r>
            <w:r w:rsidR="004D3C0E" w:rsidRPr="00BD6C5F">
              <w:rPr>
                <w:rFonts w:asciiTheme="minorHAnsi" w:hAnsiTheme="minorHAnsi" w:cstheme="minorHAnsi"/>
              </w:rPr>
            </w:r>
            <w:r w:rsidR="004D3C0E" w:rsidRPr="00BD6C5F">
              <w:rPr>
                <w:rFonts w:asciiTheme="minorHAnsi" w:hAnsiTheme="minorHAnsi" w:cstheme="minorHAnsi"/>
              </w:rPr>
              <w:fldChar w:fldCharType="separate"/>
            </w:r>
            <w:r w:rsidR="009749A0">
              <w:rPr>
                <w:rFonts w:asciiTheme="minorHAnsi" w:hAnsiTheme="minorHAnsi" w:cstheme="minorHAnsi"/>
              </w:rPr>
              <w:t>10</w:t>
            </w:r>
            <w:r w:rsidR="004D3C0E" w:rsidRPr="00BD6C5F">
              <w:rPr>
                <w:rFonts w:asciiTheme="minorHAnsi" w:hAnsiTheme="minorHAnsi" w:cstheme="minorHAnsi"/>
              </w:rPr>
              <w:fldChar w:fldCharType="end"/>
            </w:r>
            <w:r w:rsidR="004D3C0E" w:rsidRPr="00BD6C5F">
              <w:rPr>
                <w:rFonts w:asciiTheme="minorHAnsi" w:hAnsiTheme="minorHAnsi" w:cstheme="minorHAnsi"/>
              </w:rPr>
              <w:t xml:space="preserve"> or </w:t>
            </w:r>
            <w:r w:rsidR="004D3C0E" w:rsidRPr="00BD6C5F">
              <w:rPr>
                <w:rFonts w:asciiTheme="minorHAnsi" w:hAnsiTheme="minorHAnsi" w:cstheme="minorHAnsi"/>
              </w:rPr>
              <w:fldChar w:fldCharType="begin"/>
            </w:r>
            <w:r w:rsidR="004D3C0E" w:rsidRPr="00BD6C5F">
              <w:rPr>
                <w:rFonts w:asciiTheme="minorHAnsi" w:hAnsiTheme="minorHAnsi" w:cstheme="minorHAnsi"/>
              </w:rPr>
              <w:instrText xml:space="preserve"> REF _Ref98426297 \w \h  \* MERGEFORMAT </w:instrText>
            </w:r>
            <w:r w:rsidR="004D3C0E" w:rsidRPr="00BD6C5F">
              <w:rPr>
                <w:rFonts w:asciiTheme="minorHAnsi" w:hAnsiTheme="minorHAnsi" w:cstheme="minorHAnsi"/>
              </w:rPr>
            </w:r>
            <w:r w:rsidR="004D3C0E" w:rsidRPr="00BD6C5F">
              <w:rPr>
                <w:rFonts w:asciiTheme="minorHAnsi" w:hAnsiTheme="minorHAnsi" w:cstheme="minorHAnsi"/>
              </w:rPr>
              <w:fldChar w:fldCharType="separate"/>
            </w:r>
            <w:r w:rsidR="009749A0">
              <w:rPr>
                <w:rFonts w:asciiTheme="minorHAnsi" w:hAnsiTheme="minorHAnsi" w:cstheme="minorHAnsi"/>
              </w:rPr>
              <w:t>11</w:t>
            </w:r>
            <w:r w:rsidR="004D3C0E" w:rsidRPr="00BD6C5F">
              <w:rPr>
                <w:rFonts w:asciiTheme="minorHAnsi" w:hAnsiTheme="minorHAnsi" w:cstheme="minorHAnsi"/>
              </w:rPr>
              <w:fldChar w:fldCharType="end"/>
            </w:r>
            <w:r w:rsidR="004D3C0E" w:rsidRPr="00BD6C5F">
              <w:rPr>
                <w:rFonts w:asciiTheme="minorHAnsi" w:hAnsiTheme="minorHAnsi" w:cstheme="minorHAnsi"/>
              </w:rPr>
              <w:t xml:space="preserve"> of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004D3C0E" w:rsidRPr="00BD6C5F">
              <w:rPr>
                <w:rFonts w:asciiTheme="minorHAnsi" w:hAnsiTheme="minorHAnsi" w:cstheme="minorHAnsi"/>
              </w:rPr>
              <w:t>);</w:t>
            </w:r>
          </w:p>
        </w:tc>
      </w:tr>
      <w:tr w:rsidR="00BC7DDA" w:rsidRPr="00BD6C5F" w14:paraId="55908867" w14:textId="77777777" w:rsidTr="000E1EDB">
        <w:tc>
          <w:tcPr>
            <w:tcW w:w="3572" w:type="dxa"/>
          </w:tcPr>
          <w:p w14:paraId="172B604D" w14:textId="3490CE19"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Fair Deal Employees</w:t>
            </w:r>
            <w:r w:rsidRPr="00BD6C5F">
              <w:rPr>
                <w:rFonts w:asciiTheme="minorHAnsi" w:hAnsiTheme="minorHAnsi" w:cstheme="minorHAnsi"/>
                <w:b/>
              </w:rPr>
              <w:t>”</w:t>
            </w:r>
          </w:p>
        </w:tc>
        <w:tc>
          <w:tcPr>
            <w:tcW w:w="5953" w:type="dxa"/>
          </w:tcPr>
          <w:p w14:paraId="761A295C" w14:textId="77777777"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any of:</w:t>
            </w:r>
          </w:p>
          <w:p w14:paraId="64B1A1E2" w14:textId="77777777" w:rsidR="00BC7DDA" w:rsidRPr="00BD6C5F" w:rsidRDefault="009B03E9" w:rsidP="0040545B">
            <w:pPr>
              <w:pStyle w:val="Tablea"/>
            </w:pPr>
            <w:r w:rsidRPr="00BD6C5F">
              <w:lastRenderedPageBreak/>
              <w:t>Transferring Authority Employees;</w:t>
            </w:r>
          </w:p>
          <w:p w14:paraId="0D9C57DC" w14:textId="77777777" w:rsidR="00BC7DDA" w:rsidRPr="00BD6C5F" w:rsidRDefault="009B03E9" w:rsidP="003A5D4B">
            <w:pPr>
              <w:pStyle w:val="Tablea"/>
            </w:pPr>
            <w:r w:rsidRPr="00BD6C5F">
              <w:t>Transferring Former Supplier Employees; and/or</w:t>
            </w:r>
          </w:p>
          <w:p w14:paraId="41E356F5" w14:textId="61BCF2B5" w:rsidR="00BC7DDA" w:rsidRPr="00BD6C5F" w:rsidRDefault="009B03E9" w:rsidP="003A5D4B">
            <w:pPr>
              <w:pStyle w:val="Tablea"/>
            </w:pPr>
            <w:r w:rsidRPr="00BD6C5F">
              <w:t xml:space="preserve">employees who are not Transferring Authority Employees or Transferring Former Supplier Employees but to whom the Employment Regulations apply on the Relevant Transfer Date to transfer their employment to the Supplier or a Sub-Contractor, and whose employment is not terminated in accordance with the provisions of </w:t>
            </w:r>
            <w:r w:rsidR="00F7402E" w:rsidRPr="00BD6C5F">
              <w:t>P</w:t>
            </w:r>
            <w:r w:rsidRPr="00BD6C5F">
              <w:t>aragraphs</w:t>
            </w:r>
            <w:r w:rsidR="001F60F0" w:rsidRPr="00BD6C5F">
              <w:t> </w:t>
            </w:r>
            <w:r w:rsidR="003151A9" w:rsidRPr="00BD6C5F">
              <w:fldChar w:fldCharType="begin"/>
            </w:r>
            <w:r w:rsidR="003151A9" w:rsidRPr="00BD6C5F">
              <w:instrText xml:space="preserve"> REF _Ref98425636 \w \h </w:instrText>
            </w:r>
            <w:r w:rsidR="00024903" w:rsidRPr="00BD6C5F">
              <w:instrText xml:space="preserve"> \* MERGEFORMAT </w:instrText>
            </w:r>
            <w:r w:rsidR="003151A9" w:rsidRPr="00BD6C5F">
              <w:fldChar w:fldCharType="separate"/>
            </w:r>
            <w:r w:rsidR="009749A0">
              <w:t>2.5</w:t>
            </w:r>
            <w:r w:rsidR="003151A9" w:rsidRPr="00BD6C5F">
              <w:fldChar w:fldCharType="end"/>
            </w:r>
            <w:r w:rsidRPr="00BD6C5F">
              <w:t xml:space="preserve"> of</w:t>
            </w:r>
            <w:r w:rsidR="00C101F7">
              <w:t xml:space="preserve"> Part </w:t>
            </w:r>
            <w:r w:rsidR="00C101F7">
              <w:fldChar w:fldCharType="begin"/>
            </w:r>
            <w:r w:rsidR="00C101F7">
              <w:instrText xml:space="preserve"> REF Schedule_28_Part_A \h </w:instrText>
            </w:r>
            <w:r w:rsidR="00C101F7">
              <w:fldChar w:fldCharType="separate"/>
            </w:r>
            <w:r w:rsidR="009749A0" w:rsidRPr="00BD6C5F">
              <w:t>A</w:t>
            </w:r>
            <w:r w:rsidR="00C101F7">
              <w:fldChar w:fldCharType="end"/>
            </w:r>
            <w:r w:rsidRPr="00BD6C5F">
              <w:t xml:space="preserve"> or</w:t>
            </w:r>
            <w:r w:rsidR="00C101F7">
              <w:t xml:space="preserve"> Part </w:t>
            </w:r>
            <w:r w:rsidR="00C101F7">
              <w:fldChar w:fldCharType="begin"/>
            </w:r>
            <w:r w:rsidR="00C101F7">
              <w:instrText xml:space="preserve"> REF Schedule_28_Part_B \h </w:instrText>
            </w:r>
            <w:r w:rsidR="00C101F7">
              <w:fldChar w:fldCharType="separate"/>
            </w:r>
            <w:r w:rsidR="009749A0" w:rsidRPr="00BD6C5F">
              <w:t>B</w:t>
            </w:r>
            <w:r w:rsidR="00C101F7">
              <w:fldChar w:fldCharType="end"/>
            </w:r>
            <w:r w:rsidRPr="00BD6C5F">
              <w:t xml:space="preserve"> or </w:t>
            </w:r>
            <w:r w:rsidR="00F7402E" w:rsidRPr="00BD6C5F">
              <w:t>P</w:t>
            </w:r>
            <w:r w:rsidRPr="00BD6C5F">
              <w:t>aragraph</w:t>
            </w:r>
            <w:r w:rsidR="003151A9" w:rsidRPr="00BD6C5F">
              <w:t> </w:t>
            </w:r>
            <w:r w:rsidR="003151A9" w:rsidRPr="00BD6C5F">
              <w:fldChar w:fldCharType="begin"/>
            </w:r>
            <w:r w:rsidR="003151A9" w:rsidRPr="00BD6C5F">
              <w:instrText xml:space="preserve"> REF _Ref98426065 \w \h </w:instrText>
            </w:r>
            <w:r w:rsidR="00024903" w:rsidRPr="00BD6C5F">
              <w:instrText xml:space="preserve"> \* MERGEFORMAT </w:instrText>
            </w:r>
            <w:r w:rsidR="003151A9" w:rsidRPr="00BD6C5F">
              <w:fldChar w:fldCharType="separate"/>
            </w:r>
            <w:r w:rsidR="009749A0">
              <w:t>1.4</w:t>
            </w:r>
            <w:r w:rsidR="003151A9" w:rsidRPr="00BD6C5F">
              <w:fldChar w:fldCharType="end"/>
            </w:r>
            <w:r w:rsidRPr="00BD6C5F">
              <w:t xml:space="preserve"> of</w:t>
            </w:r>
            <w:r w:rsidR="00C101F7">
              <w:t xml:space="preserve"> Part </w:t>
            </w:r>
            <w:r w:rsidR="00C101F7">
              <w:fldChar w:fldCharType="begin"/>
            </w:r>
            <w:r w:rsidR="00C101F7">
              <w:instrText xml:space="preserve"> REF Schedule_28_Part_C \h </w:instrText>
            </w:r>
            <w:r w:rsidR="00C101F7">
              <w:fldChar w:fldCharType="separate"/>
            </w:r>
            <w:r w:rsidR="009749A0" w:rsidRPr="00BD6C5F">
              <w:t>C</w:t>
            </w:r>
            <w:r w:rsidR="00C101F7">
              <w:fldChar w:fldCharType="end"/>
            </w:r>
            <w:r w:rsidRPr="00BD6C5F">
              <w:t>;</w:t>
            </w:r>
          </w:p>
          <w:p w14:paraId="498BCC25" w14:textId="77777777" w:rsidR="00BC7DDA" w:rsidRPr="00BD6C5F" w:rsidRDefault="009B03E9" w:rsidP="003A5D4B">
            <w:pPr>
              <w:pStyle w:val="Tablea"/>
            </w:pPr>
            <w:r w:rsidRPr="00BD6C5F">
              <w:t>where the Supplier or a Sub-contractor was the Former Supplier, the employees of the Supplier (or Sub-contractor)</w:t>
            </w:r>
          </w:p>
          <w:p w14:paraId="13238ACD" w14:textId="11125092" w:rsidR="00BC7DDA" w:rsidRPr="00BD6C5F" w:rsidRDefault="009B03E9" w:rsidP="00982C9A">
            <w:pPr>
              <w:pStyle w:val="Tablea"/>
              <w:numPr>
                <w:ilvl w:val="0"/>
                <w:numId w:val="0"/>
              </w:numPr>
              <w:ind w:left="720"/>
            </w:pPr>
            <w:r w:rsidRPr="00BD6C5F">
              <w:t xml:space="preserve">who at the Relevant Transfer Date are or become entitled to New Fair Deal or Best Value Direction protection in respect of any of the Statutory Schemes or a Broadly Comparable pension scheme provided in accordance with </w:t>
            </w:r>
            <w:r w:rsidR="00F7402E" w:rsidRPr="00BD6C5F">
              <w:t>P</w:t>
            </w:r>
            <w:r w:rsidRPr="00BD6C5F">
              <w:t>aragraph</w:t>
            </w:r>
            <w:r w:rsidR="003151A9" w:rsidRPr="00BD6C5F">
              <w:t> </w:t>
            </w:r>
            <w:r w:rsidR="003151A9" w:rsidRPr="00BD6C5F">
              <w:fldChar w:fldCharType="begin"/>
            </w:r>
            <w:r w:rsidR="003151A9" w:rsidRPr="00BD6C5F">
              <w:instrText xml:space="preserve"> REF _Ref98426286 \w \h </w:instrText>
            </w:r>
            <w:r w:rsidR="00024903" w:rsidRPr="00BD6C5F">
              <w:instrText xml:space="preserve"> \* MERGEFORMAT </w:instrText>
            </w:r>
            <w:r w:rsidR="003151A9" w:rsidRPr="00BD6C5F">
              <w:fldChar w:fldCharType="separate"/>
            </w:r>
            <w:r w:rsidR="009749A0">
              <w:t>10</w:t>
            </w:r>
            <w:r w:rsidR="003151A9" w:rsidRPr="00BD6C5F">
              <w:fldChar w:fldCharType="end"/>
            </w:r>
            <w:r w:rsidR="003151A9" w:rsidRPr="00BD6C5F">
              <w:t xml:space="preserve"> </w:t>
            </w:r>
            <w:r w:rsidRPr="00BD6C5F">
              <w:t xml:space="preserve">of this </w:t>
            </w:r>
            <w:r w:rsidR="000E1EDB">
              <w:t>Part </w:t>
            </w:r>
            <w:r w:rsidR="000E1EDB">
              <w:fldChar w:fldCharType="begin"/>
            </w:r>
            <w:r w:rsidR="000E1EDB">
              <w:instrText xml:space="preserve"> REF Schedule_28_Part_D \h </w:instrText>
            </w:r>
            <w:r w:rsidR="000E1EDB">
              <w:fldChar w:fldCharType="separate"/>
            </w:r>
            <w:r w:rsidR="009749A0" w:rsidRPr="00BD6C5F">
              <w:t>D</w:t>
            </w:r>
            <w:r w:rsidR="000E1EDB">
              <w:fldChar w:fldCharType="end"/>
            </w:r>
            <w:r w:rsidRPr="00BD6C5F">
              <w:t xml:space="preserve"> as notified by the Authority;</w:t>
            </w:r>
          </w:p>
        </w:tc>
      </w:tr>
      <w:tr w:rsidR="00BC7DDA" w:rsidRPr="00BD6C5F" w14:paraId="601FAA57" w14:textId="77777777" w:rsidTr="000E1EDB">
        <w:tc>
          <w:tcPr>
            <w:tcW w:w="3572" w:type="dxa"/>
          </w:tcPr>
          <w:p w14:paraId="24CDBE85" w14:textId="64C647C1"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lastRenderedPageBreak/>
              <w:t>“</w:t>
            </w:r>
            <w:r w:rsidR="009B03E9" w:rsidRPr="00BD6C5F">
              <w:rPr>
                <w:rFonts w:asciiTheme="minorHAnsi" w:hAnsiTheme="minorHAnsi" w:cstheme="minorHAnsi"/>
                <w:b/>
              </w:rPr>
              <w:t>Fund Actuary</w:t>
            </w:r>
            <w:r w:rsidRPr="00BD6C5F">
              <w:rPr>
                <w:rFonts w:asciiTheme="minorHAnsi" w:hAnsiTheme="minorHAnsi" w:cstheme="minorHAnsi"/>
                <w:b/>
              </w:rPr>
              <w:t>”</w:t>
            </w:r>
          </w:p>
        </w:tc>
        <w:tc>
          <w:tcPr>
            <w:tcW w:w="5953" w:type="dxa"/>
          </w:tcPr>
          <w:p w14:paraId="0412CBC3" w14:textId="7F9B2A84"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a Fund Actuary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Schedule_28_Part_D_Annex_3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3</w:t>
            </w:r>
            <w:r w:rsidR="000E1EDB">
              <w:rPr>
                <w:rFonts w:asciiTheme="minorHAnsi" w:hAnsiTheme="minorHAnsi" w:cstheme="minorHAnsi"/>
              </w:rPr>
              <w:fldChar w:fldCharType="end"/>
            </w:r>
            <w:r w:rsidR="000E1EDB"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Pr="00BD6C5F">
              <w:rPr>
                <w:rFonts w:asciiTheme="minorHAnsi" w:hAnsiTheme="minorHAnsi" w:cstheme="minorHAnsi"/>
              </w:rPr>
              <w:t>;</w:t>
            </w:r>
          </w:p>
        </w:tc>
      </w:tr>
      <w:tr w:rsidR="00BC7DDA" w:rsidRPr="00BD6C5F" w14:paraId="4985C98C" w14:textId="77777777" w:rsidTr="000E1EDB">
        <w:tc>
          <w:tcPr>
            <w:tcW w:w="3572" w:type="dxa"/>
          </w:tcPr>
          <w:p w14:paraId="39D6B5C8" w14:textId="7F830E72"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LGPS</w:t>
            </w:r>
            <w:r w:rsidRPr="00BD6C5F">
              <w:rPr>
                <w:rFonts w:asciiTheme="minorHAnsi" w:hAnsiTheme="minorHAnsi" w:cstheme="minorHAnsi"/>
                <w:b/>
              </w:rPr>
              <w:t>”</w:t>
            </w:r>
          </w:p>
        </w:tc>
        <w:tc>
          <w:tcPr>
            <w:tcW w:w="5953" w:type="dxa"/>
          </w:tcPr>
          <w:p w14:paraId="7D087BE4" w14:textId="5CEF5B47"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the scheme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Schedule_28_Part_D_Annex_3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3</w:t>
            </w:r>
            <w:r w:rsidR="000E1EDB">
              <w:rPr>
                <w:rFonts w:asciiTheme="minorHAnsi" w:hAnsiTheme="minorHAnsi" w:cstheme="minorHAnsi"/>
              </w:rPr>
              <w:fldChar w:fldCharType="end"/>
            </w:r>
            <w:r w:rsidR="000E1EDB"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Pr="00BD6C5F">
              <w:rPr>
                <w:rFonts w:asciiTheme="minorHAnsi" w:hAnsiTheme="minorHAnsi" w:cstheme="minorHAnsi"/>
              </w:rPr>
              <w:t xml:space="preserve">; </w:t>
            </w:r>
          </w:p>
        </w:tc>
      </w:tr>
      <w:tr w:rsidR="00BC7DDA" w:rsidRPr="00BD6C5F" w14:paraId="056A3B0B" w14:textId="77777777" w:rsidTr="000E1EDB">
        <w:tc>
          <w:tcPr>
            <w:tcW w:w="3572" w:type="dxa"/>
          </w:tcPr>
          <w:p w14:paraId="2C91D31B" w14:textId="5CBE33A1" w:rsidR="00BC7DDA" w:rsidRPr="00BD6C5F" w:rsidRDefault="00A4555C" w:rsidP="004D3C0E">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NHSPS</w:t>
            </w:r>
            <w:r w:rsidRPr="00BD6C5F">
              <w:rPr>
                <w:rFonts w:asciiTheme="minorHAnsi" w:hAnsiTheme="minorHAnsi" w:cstheme="minorHAnsi"/>
                <w:b/>
              </w:rPr>
              <w:t>”</w:t>
            </w:r>
          </w:p>
        </w:tc>
        <w:tc>
          <w:tcPr>
            <w:tcW w:w="5953" w:type="dxa"/>
          </w:tcPr>
          <w:p w14:paraId="715C8514" w14:textId="7E903FC7" w:rsidR="00BC7DDA" w:rsidRPr="00BD6C5F" w:rsidRDefault="009B03E9" w:rsidP="004D3C0E">
            <w:pPr>
              <w:pStyle w:val="Tabletext"/>
              <w:rPr>
                <w:rFonts w:asciiTheme="minorHAnsi" w:hAnsiTheme="minorHAnsi" w:cstheme="minorHAnsi"/>
              </w:rPr>
            </w:pPr>
            <w:r w:rsidRPr="00BD6C5F">
              <w:rPr>
                <w:rFonts w:asciiTheme="minorHAnsi" w:hAnsiTheme="minorHAnsi" w:cstheme="minorHAnsi"/>
              </w:rPr>
              <w:t xml:space="preserve">the schemes as defined in </w:t>
            </w:r>
            <w:r w:rsidR="000E1EDB">
              <w:rPr>
                <w:rFonts w:asciiTheme="minorHAnsi" w:hAnsiTheme="minorHAnsi" w:cstheme="minorHAnsi"/>
              </w:rPr>
              <w:t>Annex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Schedule_28_Part_D_Annex_2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2</w:t>
            </w:r>
            <w:r w:rsidR="000E1EDB">
              <w:rPr>
                <w:rFonts w:asciiTheme="minorHAnsi" w:hAnsiTheme="minorHAnsi" w:cstheme="minorHAnsi"/>
              </w:rPr>
              <w:fldChar w:fldCharType="end"/>
            </w:r>
            <w:r w:rsidRPr="00BD6C5F">
              <w:rPr>
                <w:rFonts w:asciiTheme="minorHAnsi" w:hAnsiTheme="minorHAnsi" w:cstheme="minorHAnsi"/>
              </w:rPr>
              <w:t xml:space="preserve"> to this </w:t>
            </w:r>
            <w:r w:rsidR="000E1EDB">
              <w:rPr>
                <w:rFonts w:asciiTheme="minorHAnsi" w:hAnsiTheme="minorHAnsi" w:cstheme="minorHAnsi"/>
              </w:rPr>
              <w:t>Part </w:t>
            </w:r>
            <w:r w:rsidR="000E1EDB">
              <w:rPr>
                <w:rFonts w:asciiTheme="minorHAnsi" w:hAnsiTheme="minorHAnsi" w:cstheme="minorHAnsi"/>
              </w:rPr>
              <w:fldChar w:fldCharType="begin"/>
            </w:r>
            <w:r w:rsidR="000E1EDB">
              <w:rPr>
                <w:rFonts w:asciiTheme="minorHAnsi" w:hAnsiTheme="minorHAnsi" w:cstheme="minorHAnsi"/>
              </w:rPr>
              <w:instrText xml:space="preserve"> REF Schedule_28_Part_D \h </w:instrText>
            </w:r>
            <w:r w:rsidR="000E1EDB">
              <w:rPr>
                <w:rFonts w:asciiTheme="minorHAnsi" w:hAnsiTheme="minorHAnsi" w:cstheme="minorHAnsi"/>
              </w:rPr>
            </w:r>
            <w:r w:rsidR="000E1EDB">
              <w:rPr>
                <w:rFonts w:asciiTheme="minorHAnsi" w:hAnsiTheme="minorHAnsi" w:cstheme="minorHAnsi"/>
              </w:rPr>
              <w:fldChar w:fldCharType="separate"/>
            </w:r>
            <w:r w:rsidR="009749A0" w:rsidRPr="00BD6C5F">
              <w:t>D</w:t>
            </w:r>
            <w:r w:rsidR="000E1EDB">
              <w:rPr>
                <w:rFonts w:asciiTheme="minorHAnsi" w:hAnsiTheme="minorHAnsi" w:cstheme="minorHAnsi"/>
              </w:rPr>
              <w:fldChar w:fldCharType="end"/>
            </w:r>
            <w:r w:rsidR="00201DA6" w:rsidRPr="00BD6C5F">
              <w:rPr>
                <w:rFonts w:asciiTheme="minorHAnsi" w:hAnsiTheme="minorHAnsi" w:cstheme="minorHAnsi"/>
              </w:rPr>
              <w:t>; and</w:t>
            </w:r>
          </w:p>
        </w:tc>
      </w:tr>
      <w:tr w:rsidR="00201DA6" w:rsidRPr="00BD6C5F" w14:paraId="54D84FA3" w14:textId="77777777" w:rsidTr="000E1EDB">
        <w:tc>
          <w:tcPr>
            <w:tcW w:w="3572" w:type="dxa"/>
          </w:tcPr>
          <w:p w14:paraId="5FF5180D" w14:textId="749DC5FB" w:rsidR="00201DA6" w:rsidRPr="00BD6C5F" w:rsidRDefault="00A4555C" w:rsidP="004D3C0E">
            <w:pPr>
              <w:pStyle w:val="Tabletext"/>
              <w:rPr>
                <w:rFonts w:asciiTheme="minorHAnsi" w:hAnsiTheme="minorHAnsi" w:cstheme="minorHAnsi"/>
                <w:b/>
                <w:bCs/>
              </w:rPr>
            </w:pPr>
            <w:r w:rsidRPr="00BD6C5F">
              <w:rPr>
                <w:rFonts w:asciiTheme="minorHAnsi" w:hAnsiTheme="minorHAnsi" w:cstheme="minorHAnsi"/>
                <w:b/>
                <w:bCs/>
              </w:rPr>
              <w:t>“</w:t>
            </w:r>
            <w:r w:rsidR="00201DA6" w:rsidRPr="00BD6C5F">
              <w:rPr>
                <w:rFonts w:asciiTheme="minorHAnsi" w:hAnsiTheme="minorHAnsi" w:cstheme="minorHAnsi"/>
                <w:b/>
                <w:bCs/>
              </w:rPr>
              <w:t>New Fair Deal</w:t>
            </w:r>
            <w:r w:rsidRPr="00BD6C5F">
              <w:rPr>
                <w:rFonts w:asciiTheme="minorHAnsi" w:hAnsiTheme="minorHAnsi" w:cstheme="minorHAnsi"/>
                <w:b/>
                <w:bCs/>
              </w:rPr>
              <w:t>”</w:t>
            </w:r>
          </w:p>
        </w:tc>
        <w:tc>
          <w:tcPr>
            <w:tcW w:w="5953" w:type="dxa"/>
          </w:tcPr>
          <w:p w14:paraId="2F8080AD" w14:textId="19E17BA3" w:rsidR="00201DA6" w:rsidRPr="00BD6C5F" w:rsidRDefault="00201DA6" w:rsidP="004D3C0E">
            <w:pPr>
              <w:pStyle w:val="Tabletext"/>
              <w:rPr>
                <w:rFonts w:asciiTheme="minorHAnsi" w:hAnsiTheme="minorHAnsi" w:cstheme="minorHAnsi"/>
              </w:rPr>
            </w:pPr>
            <w:r w:rsidRPr="00BD6C5F">
              <w:rPr>
                <w:rFonts w:asciiTheme="minorHAnsi" w:hAnsiTheme="minorHAnsi" w:cstheme="minorHAnsi"/>
              </w:rPr>
              <w:t xml:space="preserve">the revised Fair Deal position set out in the HM Treasury guidance: </w:t>
            </w:r>
            <w:r w:rsidR="00A4555C" w:rsidRPr="00BD6C5F">
              <w:rPr>
                <w:rFonts w:asciiTheme="minorHAnsi" w:hAnsiTheme="minorHAnsi" w:cstheme="minorHAnsi"/>
              </w:rPr>
              <w:t>“</w:t>
            </w:r>
            <w:r w:rsidRPr="00BD6C5F">
              <w:rPr>
                <w:rFonts w:asciiTheme="minorHAnsi" w:hAnsiTheme="minorHAnsi" w:cstheme="minorHAnsi"/>
                <w:i/>
              </w:rPr>
              <w:t>Fair Deal for Staff Pensions: Staff Transfer from Central Government</w:t>
            </w:r>
            <w:r w:rsidR="00A4555C" w:rsidRPr="00BD6C5F">
              <w:rPr>
                <w:rFonts w:asciiTheme="minorHAnsi" w:hAnsiTheme="minorHAnsi" w:cstheme="minorHAnsi"/>
              </w:rPr>
              <w:t>”</w:t>
            </w:r>
            <w:r w:rsidRPr="00BD6C5F">
              <w:rPr>
                <w:rFonts w:asciiTheme="minorHAnsi" w:hAnsiTheme="minorHAnsi" w:cstheme="minorHAnsi"/>
              </w:rPr>
              <w:t xml:space="preserve"> issued in October 2013 including:</w:t>
            </w:r>
          </w:p>
          <w:p w14:paraId="71EAF6FF" w14:textId="6410FBA9" w:rsidR="00201DA6" w:rsidRPr="00BD6C5F" w:rsidRDefault="00201DA6" w:rsidP="0040545B">
            <w:pPr>
              <w:pStyle w:val="Tablea"/>
            </w:pPr>
            <w:r w:rsidRPr="00BD6C5F">
              <w:t>any amendments to that document immediately prior to the Relevant Transfer Date; and</w:t>
            </w:r>
          </w:p>
          <w:p w14:paraId="58A88A8E" w14:textId="7BFA964B" w:rsidR="00201DA6" w:rsidRPr="00BD6C5F" w:rsidRDefault="00201DA6" w:rsidP="003A5D4B">
            <w:pPr>
              <w:pStyle w:val="Tablea"/>
            </w:pPr>
            <w:r w:rsidRPr="00BD6C5F">
              <w:t xml:space="preserve">any similar pension protection in accordance with the subsequent </w:t>
            </w:r>
            <w:r w:rsidR="000E1EDB">
              <w:t>Annex </w:t>
            </w:r>
            <w:r w:rsidR="000E1EDB">
              <w:fldChar w:fldCharType="begin"/>
            </w:r>
            <w:r w:rsidR="000E1EDB">
              <w:instrText xml:space="preserve"> REF Schedule_28_Part_D_Annex_1 \h </w:instrText>
            </w:r>
            <w:r w:rsidR="000E1EDB">
              <w:fldChar w:fldCharType="separate"/>
            </w:r>
            <w:r w:rsidR="009749A0" w:rsidRPr="00BD6C5F">
              <w:t>1</w:t>
            </w:r>
            <w:r w:rsidR="000E1EDB">
              <w:fldChar w:fldCharType="end"/>
            </w:r>
            <w:r w:rsidRPr="00BD6C5F">
              <w:t>-</w:t>
            </w:r>
            <w:r w:rsidR="000E1EDB">
              <w:fldChar w:fldCharType="begin"/>
            </w:r>
            <w:r w:rsidR="000E1EDB">
              <w:instrText xml:space="preserve"> REF Schedule_28_Part_D_Annex_3 \h </w:instrText>
            </w:r>
            <w:r w:rsidR="000E1EDB">
              <w:fldChar w:fldCharType="separate"/>
            </w:r>
            <w:r w:rsidR="009749A0" w:rsidRPr="00BD6C5F">
              <w:t>3</w:t>
            </w:r>
            <w:r w:rsidR="000E1EDB">
              <w:fldChar w:fldCharType="end"/>
            </w:r>
            <w:r w:rsidR="000E1EDB">
              <w:t xml:space="preserve"> of this Part </w:t>
            </w:r>
            <w:r w:rsidR="000E1EDB">
              <w:fldChar w:fldCharType="begin"/>
            </w:r>
            <w:r w:rsidR="000E1EDB">
              <w:instrText xml:space="preserve"> REF Schedule_28_Part_D \h </w:instrText>
            </w:r>
            <w:r w:rsidR="000E1EDB">
              <w:fldChar w:fldCharType="separate"/>
            </w:r>
            <w:r w:rsidR="009749A0" w:rsidRPr="00BD6C5F">
              <w:t>D</w:t>
            </w:r>
            <w:r w:rsidR="000E1EDB">
              <w:fldChar w:fldCharType="end"/>
            </w:r>
            <w:r w:rsidRPr="00BD6C5F">
              <w:t xml:space="preserve"> inclusive as notified to the Supplier by the Authority</w:t>
            </w:r>
          </w:p>
        </w:tc>
      </w:tr>
    </w:tbl>
    <w:p w14:paraId="4296E63C" w14:textId="6F03F33D" w:rsidR="00BC7DDA" w:rsidRPr="00BD6C5F" w:rsidRDefault="000B0FA3" w:rsidP="000B0FA3">
      <w:pPr>
        <w:pStyle w:val="Numbered1"/>
      </w:pPr>
      <w:r w:rsidRPr="00BD6C5F">
        <w:t>Participation</w:t>
      </w:r>
    </w:p>
    <w:p w14:paraId="320B5DD8" w14:textId="0B2A1373" w:rsidR="00BC7DDA" w:rsidRPr="00BD6C5F" w:rsidRDefault="009B03E9" w:rsidP="009F4A63">
      <w:pPr>
        <w:pStyle w:val="Numbered11"/>
        <w:widowControl/>
      </w:pPr>
      <w:r w:rsidRPr="00BD6C5F">
        <w:t xml:space="preserve">In respect of all or any Fair Deal Employees each of </w:t>
      </w:r>
      <w:r w:rsidR="000E1EDB">
        <w:t>Annex </w:t>
      </w:r>
      <w:r w:rsidR="000E1EDB">
        <w:fldChar w:fldCharType="begin"/>
      </w:r>
      <w:r w:rsidR="000E1EDB">
        <w:instrText xml:space="preserve"> REF Schedule_28_Part_D_Annex_1 \h </w:instrText>
      </w:r>
      <w:r w:rsidR="000E1EDB">
        <w:fldChar w:fldCharType="separate"/>
      </w:r>
      <w:r w:rsidR="009749A0" w:rsidRPr="00BD6C5F">
        <w:t>1</w:t>
      </w:r>
      <w:r w:rsidR="000E1EDB">
        <w:fldChar w:fldCharType="end"/>
      </w:r>
      <w:r w:rsidRPr="00BD6C5F">
        <w:t xml:space="preserve">: CSPS, </w:t>
      </w:r>
      <w:r w:rsidR="000E1EDB">
        <w:t>Annex </w:t>
      </w:r>
      <w:r w:rsidR="000E1EDB">
        <w:fldChar w:fldCharType="begin"/>
      </w:r>
      <w:r w:rsidR="000E1EDB">
        <w:instrText xml:space="preserve"> REF Schedule_28_Part_D_Annex_2 \h </w:instrText>
      </w:r>
      <w:r w:rsidR="000E1EDB">
        <w:fldChar w:fldCharType="separate"/>
      </w:r>
      <w:r w:rsidR="009749A0" w:rsidRPr="00BD6C5F">
        <w:t>2</w:t>
      </w:r>
      <w:r w:rsidR="000E1EDB">
        <w:fldChar w:fldCharType="end"/>
      </w:r>
      <w:r w:rsidRPr="00BD6C5F">
        <w:t xml:space="preserve">: NHSPS and/or </w:t>
      </w:r>
      <w:r w:rsidR="000E1EDB">
        <w:t>Annex </w:t>
      </w:r>
      <w:r w:rsidR="000E1EDB">
        <w:fldChar w:fldCharType="begin"/>
      </w:r>
      <w:r w:rsidR="000E1EDB">
        <w:instrText xml:space="preserve"> REF Schedule_28_Part_D_Annex_3 \h </w:instrText>
      </w:r>
      <w:r w:rsidR="000E1EDB">
        <w:fldChar w:fldCharType="separate"/>
      </w:r>
      <w:r w:rsidR="009749A0" w:rsidRPr="00BD6C5F">
        <w:t>3</w:t>
      </w:r>
      <w:r w:rsidR="000E1EDB">
        <w:fldChar w:fldCharType="end"/>
      </w:r>
      <w:r w:rsidRPr="00BD6C5F">
        <w:t>: LGPS shall apply, as appropriate.</w:t>
      </w:r>
    </w:p>
    <w:p w14:paraId="791BFD55" w14:textId="2BD974CE" w:rsidR="00BC7DDA" w:rsidRPr="00BD6C5F" w:rsidRDefault="009B03E9" w:rsidP="00C5057A">
      <w:pPr>
        <w:pStyle w:val="Numbered11"/>
      </w:pPr>
      <w:r w:rsidRPr="00BD6C5F">
        <w:t>The Supplier undertakes to do all such things and execute any documents (including any relevant Admission Agreement and/or Direction Letter/Determination, if necessary) as may be required to enable the Supplier to participate in the appropriate Statutory Scheme in respect of the Fair Deal Employees and shall bear its own costs in such regard.</w:t>
      </w:r>
    </w:p>
    <w:p w14:paraId="4A25FAC5" w14:textId="73F78267" w:rsidR="00BC7DDA" w:rsidRPr="00BD6C5F" w:rsidRDefault="004D3C0E" w:rsidP="009F4A63">
      <w:pPr>
        <w:pStyle w:val="Numbered11"/>
        <w:keepNext/>
      </w:pPr>
      <w:r w:rsidRPr="00BD6C5F">
        <w:lastRenderedPageBreak/>
        <w:t>T</w:t>
      </w:r>
      <w:r w:rsidR="009B03E9" w:rsidRPr="00BD6C5F">
        <w:t>he Supplier undertakes:</w:t>
      </w:r>
    </w:p>
    <w:p w14:paraId="2E123F45" w14:textId="77777777" w:rsidR="00BC7DDA" w:rsidRPr="00BD6C5F" w:rsidRDefault="009B03E9" w:rsidP="000B0FA3">
      <w:pPr>
        <w:pStyle w:val="Numbered111"/>
      </w:pPr>
      <w:r w:rsidRPr="00BD6C5F">
        <w:t>to pay to the Statutory Schemes all such amounts as are due under the relevant Admission Agreement and/or Direction Letter/Determination or otherwise and shall deduct and pay to the Statutory Schemes such employee contributions as are required; and</w:t>
      </w:r>
    </w:p>
    <w:p w14:paraId="0D11FC88" w14:textId="5558366E" w:rsidR="00BC7DDA" w:rsidRPr="00BD6C5F" w:rsidRDefault="009B03E9" w:rsidP="000B0FA3">
      <w:pPr>
        <w:pStyle w:val="Numbered111"/>
      </w:pPr>
      <w:r w:rsidRPr="00BD6C5F">
        <w:t xml:space="preserve">subject to </w:t>
      </w:r>
      <w:r w:rsidR="00F7402E" w:rsidRPr="00BD6C5F">
        <w:t>P</w:t>
      </w:r>
      <w:r w:rsidRPr="00BD6C5F">
        <w:t>aragraph</w:t>
      </w:r>
      <w:r w:rsidR="003151A9" w:rsidRPr="00BD6C5F">
        <w:t> </w:t>
      </w:r>
      <w:r w:rsidR="000F58DA" w:rsidRPr="00BD6C5F">
        <w:fldChar w:fldCharType="begin"/>
      </w:r>
      <w:r w:rsidR="000F58DA" w:rsidRPr="00BD6C5F">
        <w:instrText xml:space="preserve"> REF _Ref_ContractCompanion_9kb9Ut22B \w \h </w:instrText>
      </w:r>
      <w:r w:rsidR="00AD7DD0" w:rsidRPr="00BD6C5F">
        <w:instrText xml:space="preserve"> \* MERGEFORMAT </w:instrText>
      </w:r>
      <w:r w:rsidR="000F58DA" w:rsidRPr="00BD6C5F">
        <w:fldChar w:fldCharType="separate"/>
      </w:r>
      <w:r w:rsidR="009749A0">
        <w:t>5</w:t>
      </w:r>
      <w:r w:rsidR="000F58DA" w:rsidRPr="00BD6C5F">
        <w:fldChar w:fldCharType="end"/>
      </w:r>
      <w:r w:rsidRPr="00BD6C5F">
        <w:t xml:space="preserve"> of </w:t>
      </w:r>
      <w:r w:rsidR="00DF7441">
        <w:rPr>
          <w:rFonts w:asciiTheme="minorHAnsi" w:hAnsiTheme="minorHAnsi" w:cstheme="minorHAnsi"/>
        </w:rPr>
        <w:t>Annex </w:t>
      </w:r>
      <w:r w:rsidR="00DF7441">
        <w:rPr>
          <w:rFonts w:asciiTheme="minorHAnsi" w:hAnsiTheme="minorHAnsi" w:cstheme="minorHAnsi"/>
        </w:rPr>
        <w:fldChar w:fldCharType="begin"/>
      </w:r>
      <w:r w:rsidR="00DF7441">
        <w:rPr>
          <w:rFonts w:asciiTheme="minorHAnsi" w:hAnsiTheme="minorHAnsi" w:cstheme="minorHAnsi"/>
        </w:rPr>
        <w:instrText xml:space="preserve"> REF Schedule_28_Part_D_Annex_3 \h </w:instrText>
      </w:r>
      <w:r w:rsidR="00DF7441">
        <w:rPr>
          <w:rFonts w:asciiTheme="minorHAnsi" w:hAnsiTheme="minorHAnsi" w:cstheme="minorHAnsi"/>
        </w:rPr>
      </w:r>
      <w:r w:rsidR="00DF7441">
        <w:rPr>
          <w:rFonts w:asciiTheme="minorHAnsi" w:hAnsiTheme="minorHAnsi" w:cstheme="minorHAnsi"/>
        </w:rPr>
        <w:fldChar w:fldCharType="separate"/>
      </w:r>
      <w:r w:rsidR="009749A0" w:rsidRPr="00BD6C5F">
        <w:t>3</w:t>
      </w:r>
      <w:r w:rsidR="00DF7441">
        <w:rPr>
          <w:rFonts w:asciiTheme="minorHAnsi" w:hAnsiTheme="minorHAnsi" w:cstheme="minorHAnsi"/>
        </w:rPr>
        <w:fldChar w:fldCharType="end"/>
      </w:r>
      <w:r w:rsidR="00DF7441">
        <w:rPr>
          <w:rFonts w:asciiTheme="minorHAnsi" w:hAnsiTheme="minorHAnsi" w:cstheme="minorHAnsi"/>
        </w:rPr>
        <w:t xml:space="preserve"> of Part </w:t>
      </w:r>
      <w:r w:rsidR="00DF7441">
        <w:rPr>
          <w:rFonts w:asciiTheme="minorHAnsi" w:hAnsiTheme="minorHAnsi" w:cstheme="minorHAnsi"/>
        </w:rPr>
        <w:fldChar w:fldCharType="begin"/>
      </w:r>
      <w:r w:rsidR="00DF7441">
        <w:rPr>
          <w:rFonts w:asciiTheme="minorHAnsi" w:hAnsiTheme="minorHAnsi" w:cstheme="minorHAnsi"/>
        </w:rPr>
        <w:instrText xml:space="preserve"> REF Schedule_28_Part_D \h </w:instrText>
      </w:r>
      <w:r w:rsidR="00DF7441">
        <w:rPr>
          <w:rFonts w:asciiTheme="minorHAnsi" w:hAnsiTheme="minorHAnsi" w:cstheme="minorHAnsi"/>
        </w:rPr>
      </w:r>
      <w:r w:rsidR="00DF7441">
        <w:rPr>
          <w:rFonts w:asciiTheme="minorHAnsi" w:hAnsiTheme="minorHAnsi" w:cstheme="minorHAnsi"/>
        </w:rPr>
        <w:fldChar w:fldCharType="separate"/>
      </w:r>
      <w:r w:rsidR="009749A0" w:rsidRPr="00BD6C5F">
        <w:t>D</w:t>
      </w:r>
      <w:r w:rsidR="00DF7441">
        <w:rPr>
          <w:rFonts w:asciiTheme="minorHAnsi" w:hAnsiTheme="minorHAnsi" w:cstheme="minorHAnsi"/>
        </w:rPr>
        <w:fldChar w:fldCharType="end"/>
      </w:r>
      <w:r w:rsidRPr="00BD6C5F">
        <w:t>: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0611A54E" w14:textId="7593ED1C" w:rsidR="00BC7DDA" w:rsidRPr="00BD6C5F" w:rsidRDefault="009B03E9" w:rsidP="00C5057A">
      <w:pPr>
        <w:pStyle w:val="Numbered11"/>
      </w:pPr>
      <w:r w:rsidRPr="00BD6C5F">
        <w:t xml:space="preserve">Where the Supplier is the Former Supplier (or a Sub-contractor is a sub-contractor of the Former Supplier) and there is no Relevant Transfer of the Fair Deal Employees because they remain continuously employed by the Supplier (or Sub-contractor) at the Operational Service Commencement Date, this 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xml:space="preserve"> and its Annexes shall be modified accordingly so that the Supplier (or Sub-contractor) shall comply with its requirements from the Operational Service Commencement Date or, where it previously provided a Broadly Comparable pension scheme, from the date it is able to close accrual of its Broadly Comparable pension scheme (following appropriate consultation and contractual changes as appropriate) if later. The Supplier (or Sub-contractor) shall make arrangements for a bulk transfer from its Broadly Comparable pension scheme to the relevant Statutory Scheme in accordance with the requirements of the previous contract with the Authority.</w:t>
      </w:r>
    </w:p>
    <w:p w14:paraId="6DFF6824" w14:textId="29EE11F5" w:rsidR="00BC7DDA" w:rsidRPr="00BD6C5F" w:rsidRDefault="000B0FA3" w:rsidP="000B0FA3">
      <w:pPr>
        <w:pStyle w:val="Numbered1"/>
      </w:pPr>
      <w:r w:rsidRPr="00BD6C5F">
        <w:t>Provision of Information</w:t>
      </w:r>
    </w:p>
    <w:p w14:paraId="7A4B1FDD" w14:textId="77777777" w:rsidR="00BC7DDA" w:rsidRPr="00BD6C5F" w:rsidRDefault="009B03E9" w:rsidP="009F4A63">
      <w:pPr>
        <w:pStyle w:val="Numbered11"/>
        <w:keepNext/>
      </w:pPr>
      <w:r w:rsidRPr="00BD6C5F">
        <w:t>The Supplier undertakes to the Authority:</w:t>
      </w:r>
    </w:p>
    <w:p w14:paraId="2F126BFB" w14:textId="24B53E78" w:rsidR="00BC7DDA" w:rsidRPr="00BD6C5F" w:rsidRDefault="009B03E9" w:rsidP="000B0FA3">
      <w:pPr>
        <w:pStyle w:val="Numbered111"/>
      </w:pPr>
      <w:r w:rsidRPr="00BD6C5F">
        <w:t xml:space="preserve">to provide all information which the Authority may reasonably request concerning matters referred to in this 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xml:space="preserve"> as expeditiously as possible;</w:t>
      </w:r>
    </w:p>
    <w:p w14:paraId="70C5380C" w14:textId="7D9AF9A7" w:rsidR="00BC7DDA" w:rsidRPr="00BD6C5F" w:rsidRDefault="009B03E9" w:rsidP="000B0FA3">
      <w:pPr>
        <w:pStyle w:val="Numbered111"/>
      </w:pPr>
      <w:r w:rsidRPr="00BD6C5F">
        <w:t xml:space="preserve">not to issue any announcements to any Fair Deal Employee prior to the Relevant Transfer Date concerning the matters stated in this 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xml:space="preserve"> without the consent in writing of the Authority (such consent not to be unreasonably withheld or delayed); and</w:t>
      </w:r>
    </w:p>
    <w:p w14:paraId="59042995" w14:textId="17DC326F" w:rsidR="00BC7DDA" w:rsidRPr="00BD6C5F" w:rsidRDefault="009B03E9" w:rsidP="000B0FA3">
      <w:pPr>
        <w:pStyle w:val="Numbered111"/>
      </w:pPr>
      <w:r w:rsidRPr="00BD6C5F">
        <w:t xml:space="preserve">retain such records as would be necessary to manage the pension aspects in relation to any current or former Fair Deal Eligible Employees arising on expiry or termination of this </w:t>
      </w:r>
      <w:r w:rsidR="00201DA6" w:rsidRPr="00BD6C5F">
        <w:t>Contract</w:t>
      </w:r>
      <w:r w:rsidRPr="00BD6C5F">
        <w:t>.</w:t>
      </w:r>
    </w:p>
    <w:p w14:paraId="0FBC1179" w14:textId="340CC465" w:rsidR="00BC7DDA" w:rsidRPr="00BD6C5F" w:rsidRDefault="000B0FA3" w:rsidP="000B0FA3">
      <w:pPr>
        <w:pStyle w:val="Numbered1"/>
      </w:pPr>
      <w:r w:rsidRPr="00BD6C5F">
        <w:t>Indemnities</w:t>
      </w:r>
    </w:p>
    <w:p w14:paraId="3CF7085A" w14:textId="77777777" w:rsidR="00BC7DDA" w:rsidRPr="00BD6C5F" w:rsidRDefault="009B03E9" w:rsidP="009F4A63">
      <w:pPr>
        <w:pStyle w:val="Numbered11"/>
        <w:keepNext/>
      </w:pPr>
      <w:r w:rsidRPr="00BD6C5F">
        <w:t xml:space="preserve">The Supplier shall indemnify and keep indemnified the Authority, </w:t>
      </w:r>
      <w:r w:rsidRPr="00BD6C5F">
        <w:rPr>
          <w:shd w:val="clear" w:color="auto" w:fill="FFFF00"/>
        </w:rPr>
        <w:t>[NHS Pensions,]</w:t>
      </w:r>
      <w:r w:rsidRPr="00BD6C5F">
        <w:t xml:space="preserve"> any Replacement Supplier and/or any Replacement Sub-contractor on demand from and against all and any Losses whatsoever suffered or incurred by it or them which:</w:t>
      </w:r>
    </w:p>
    <w:p w14:paraId="141D1664" w14:textId="351E4556" w:rsidR="00BC7DDA" w:rsidRPr="00BD6C5F" w:rsidRDefault="009B03E9" w:rsidP="000B0FA3">
      <w:pPr>
        <w:pStyle w:val="Numbered111"/>
      </w:pPr>
      <w:r w:rsidRPr="00BD6C5F">
        <w:t xml:space="preserve">arise out of or in connection with any liability towards all and any Fair Deal Employees in respect of service on or after the Relevant Transfer Date which arises from any breach by the Supplier of this 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 and/or the CSPS Admission Agreement and/or the Direction Letter/Determination and/or the LGPS Admission Agreement;</w:t>
      </w:r>
    </w:p>
    <w:p w14:paraId="3AF0BFCA" w14:textId="3D6E7AF5" w:rsidR="00BC7DDA" w:rsidRPr="00BD6C5F" w:rsidRDefault="009B03E9" w:rsidP="000B0FA3">
      <w:pPr>
        <w:pStyle w:val="Numbered111"/>
      </w:pPr>
      <w:r w:rsidRPr="00BD6C5F">
        <w:lastRenderedPageBreak/>
        <w:t xml:space="preserve">relate to the payment of benefits under and/or participation in a pension scheme (as defined in section 150(1) Finance Act 2004) provided by the Supplier or a Sub-contractor on and after the Relevant Transfer Date until the date of termination or expiry of this </w:t>
      </w:r>
      <w:r w:rsidR="00201DA6" w:rsidRPr="00BD6C5F">
        <w:t>Contract</w:t>
      </w:r>
      <w:r w:rsidRPr="00BD6C5F">
        <w:t xml:space="preserve">, including the Statutory Schemes or any Broadly Comparable pension scheme provided in accordance with </w:t>
      </w:r>
      <w:r w:rsidR="00F7402E" w:rsidRPr="00BD6C5F">
        <w:t>P</w:t>
      </w:r>
      <w:r w:rsidRPr="00BD6C5F">
        <w:t>aragraphs</w:t>
      </w:r>
      <w:r w:rsidR="000F58DA" w:rsidRPr="00BD6C5F">
        <w:t> </w:t>
      </w:r>
      <w:r w:rsidR="000F58DA" w:rsidRPr="00BD6C5F">
        <w:fldChar w:fldCharType="begin"/>
      </w:r>
      <w:r w:rsidR="000F58DA" w:rsidRPr="00BD6C5F">
        <w:instrText xml:space="preserve"> REF _Ref98426286 \w \h </w:instrText>
      </w:r>
      <w:r w:rsidR="00AD7DD0" w:rsidRPr="00BD6C5F">
        <w:instrText xml:space="preserve"> \* MERGEFORMAT </w:instrText>
      </w:r>
      <w:r w:rsidR="000F58DA" w:rsidRPr="00BD6C5F">
        <w:fldChar w:fldCharType="separate"/>
      </w:r>
      <w:r w:rsidR="009749A0">
        <w:t>10</w:t>
      </w:r>
      <w:r w:rsidR="000F58DA" w:rsidRPr="00BD6C5F">
        <w:fldChar w:fldCharType="end"/>
      </w:r>
      <w:r w:rsidRPr="00BD6C5F">
        <w:t xml:space="preserve"> or </w:t>
      </w:r>
      <w:r w:rsidR="000F58DA" w:rsidRPr="00BD6C5F">
        <w:fldChar w:fldCharType="begin"/>
      </w:r>
      <w:r w:rsidR="000F58DA" w:rsidRPr="00BD6C5F">
        <w:instrText xml:space="preserve"> REF _Ref98426297 \w \h </w:instrText>
      </w:r>
      <w:r w:rsidR="00AD7DD0" w:rsidRPr="00BD6C5F">
        <w:instrText xml:space="preserve"> \* MERGEFORMAT </w:instrText>
      </w:r>
      <w:r w:rsidR="000F58DA" w:rsidRPr="00BD6C5F">
        <w:fldChar w:fldCharType="separate"/>
      </w:r>
      <w:r w:rsidR="009749A0">
        <w:t>11</w:t>
      </w:r>
      <w:r w:rsidR="000F58DA" w:rsidRPr="00BD6C5F">
        <w:fldChar w:fldCharType="end"/>
      </w:r>
      <w:r w:rsidRPr="00BD6C5F">
        <w:t xml:space="preserve"> of this</w:t>
      </w:r>
      <w:r w:rsidR="00F7402E" w:rsidRPr="00BD6C5F">
        <w:t>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w:t>
      </w:r>
    </w:p>
    <w:p w14:paraId="40FA6A78" w14:textId="77777777" w:rsidR="00BC7DDA" w:rsidRPr="00BD6C5F" w:rsidRDefault="009B03E9" w:rsidP="009F4A63">
      <w:pPr>
        <w:pStyle w:val="Numbered111"/>
        <w:keepNext/>
      </w:pPr>
      <w:r w:rsidRPr="00BD6C5F">
        <w:t>relate to claims by Fair Deal Employees of the Supplier and/or of any Sub-contractor or by any trade unions, elected employee representatives or staff associations in respect of all or any such Fair Deal Employees which Losses:</w:t>
      </w:r>
    </w:p>
    <w:p w14:paraId="61D35F60" w14:textId="6DA5A5F5" w:rsidR="00BC7DDA" w:rsidRPr="00BD6C5F" w:rsidRDefault="009B03E9" w:rsidP="0040545B">
      <w:pPr>
        <w:pStyle w:val="Numbered111a"/>
      </w:pPr>
      <w:r w:rsidRPr="00BD6C5F">
        <w:t xml:space="preserve">relate to any rights to benefits under a pension scheme (as defined in section 150(1) Finance Act 2004) in respect of periods of employment on and after the Relevant Transfer Date until the date of termination or expiry of this </w:t>
      </w:r>
      <w:r w:rsidR="001A08CA" w:rsidRPr="00BD6C5F">
        <w:t>Contract</w:t>
      </w:r>
      <w:r w:rsidRPr="00BD6C5F">
        <w:t>;</w:t>
      </w:r>
    </w:p>
    <w:p w14:paraId="04FEC14B" w14:textId="7EC2CA3D" w:rsidR="00BC7DDA" w:rsidRPr="00BD6C5F" w:rsidRDefault="009B03E9" w:rsidP="000B0FA3">
      <w:pPr>
        <w:pStyle w:val="Numbered111a"/>
        <w:rPr>
          <w:lang w:val="en-GB"/>
        </w:rPr>
      </w:pPr>
      <w:r w:rsidRPr="00BD6C5F">
        <w:rPr>
          <w:lang w:val="en-GB"/>
        </w:rPr>
        <w:t xml:space="preserve">arise out of the failure of the Supplier and/or any relevant Sub-contractor to comply with the provisions of this Part </w:t>
      </w:r>
      <w:r w:rsidR="00B8001B">
        <w:rPr>
          <w:lang w:val="en-GB"/>
        </w:rPr>
        <w:fldChar w:fldCharType="begin"/>
      </w:r>
      <w:r w:rsidR="00B8001B">
        <w:rPr>
          <w:lang w:val="en-GB"/>
        </w:rPr>
        <w:instrText xml:space="preserve"> REF Schedule_28_Part_D \h </w:instrText>
      </w:r>
      <w:r w:rsidR="00B8001B">
        <w:rPr>
          <w:lang w:val="en-GB"/>
        </w:rPr>
      </w:r>
      <w:r w:rsidR="00B8001B">
        <w:rPr>
          <w:lang w:val="en-GB"/>
        </w:rPr>
        <w:fldChar w:fldCharType="separate"/>
      </w:r>
      <w:r w:rsidR="009749A0" w:rsidRPr="00BD6C5F">
        <w:t>D</w:t>
      </w:r>
      <w:r w:rsidR="00B8001B">
        <w:rPr>
          <w:lang w:val="en-GB"/>
        </w:rPr>
        <w:fldChar w:fldCharType="end"/>
      </w:r>
      <w:r w:rsidRPr="00BD6C5F">
        <w:rPr>
          <w:lang w:val="en-GB"/>
        </w:rPr>
        <w:t xml:space="preserve"> before the date of termination or expiry of this</w:t>
      </w:r>
      <w:r w:rsidR="00F7402E" w:rsidRPr="00BD6C5F">
        <w:rPr>
          <w:lang w:val="en-GB"/>
        </w:rPr>
        <w:t xml:space="preserve"> </w:t>
      </w:r>
      <w:r w:rsidR="001A08CA" w:rsidRPr="00BD6C5F">
        <w:rPr>
          <w:lang w:val="en-GB"/>
        </w:rPr>
        <w:t>Contract</w:t>
      </w:r>
      <w:r w:rsidRPr="00BD6C5F">
        <w:rPr>
          <w:lang w:val="en-GB"/>
        </w:rPr>
        <w:t>; and/or</w:t>
      </w:r>
    </w:p>
    <w:p w14:paraId="3C49FE70" w14:textId="77777777" w:rsidR="00BC7DDA" w:rsidRPr="00BD6C5F" w:rsidRDefault="009B03E9" w:rsidP="000B0FA3">
      <w:pPr>
        <w:pStyle w:val="Numbered111"/>
      </w:pPr>
      <w:r w:rsidRPr="00BD6C5F">
        <w:t>arise out of or in connection with the Supplier (or its Sub-contractor) allowing anyone who is not an NHSPS Fair Deal Employee to join or claim membership of the NHSPS at any time during the Term.</w:t>
      </w:r>
    </w:p>
    <w:p w14:paraId="7DB2DE42" w14:textId="681427E5" w:rsidR="00BC7DDA" w:rsidRPr="00BD6C5F" w:rsidRDefault="009B03E9" w:rsidP="009F4A63">
      <w:pPr>
        <w:pStyle w:val="Numbered11"/>
        <w:keepNext/>
      </w:pPr>
      <w:r w:rsidRPr="00BD6C5F">
        <w:t xml:space="preserve">The indemnities in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and its Annexes:</w:t>
      </w:r>
    </w:p>
    <w:p w14:paraId="5205866F" w14:textId="772752A0" w:rsidR="00BC7DDA" w:rsidRPr="00BD6C5F" w:rsidRDefault="009B03E9" w:rsidP="000B0FA3">
      <w:pPr>
        <w:pStyle w:val="Numbered111"/>
      </w:pPr>
      <w:r w:rsidRPr="00BD6C5F">
        <w:t xml:space="preserve">shall survive termination of this </w:t>
      </w:r>
      <w:r w:rsidR="001A08CA" w:rsidRPr="00BD6C5F">
        <w:t>Contract</w:t>
      </w:r>
      <w:r w:rsidRPr="00BD6C5F">
        <w:t>; and</w:t>
      </w:r>
    </w:p>
    <w:p w14:paraId="39031EED" w14:textId="0F56621D" w:rsidR="00BC7DDA" w:rsidRPr="00BD6C5F" w:rsidRDefault="009B03E9" w:rsidP="000B0FA3">
      <w:pPr>
        <w:pStyle w:val="Numbered111"/>
      </w:pPr>
      <w:r w:rsidRPr="00BD6C5F">
        <w:t xml:space="preserve">shall not be affected by the caps on liability contained in </w:t>
      </w:r>
      <w:r w:rsidR="005E736B" w:rsidRPr="00BD6C5F">
        <w:t>Clause </w:t>
      </w:r>
      <w:r w:rsidRPr="00BD6C5F">
        <w:t>2</w:t>
      </w:r>
      <w:r w:rsidR="002B4203" w:rsidRPr="00BD6C5F">
        <w:t>2</w:t>
      </w:r>
      <w:r w:rsidRPr="00BD6C5F">
        <w:t xml:space="preserve"> (</w:t>
      </w:r>
      <w:r w:rsidRPr="00BD6C5F">
        <w:rPr>
          <w:i/>
        </w:rPr>
        <w:t>Limitation</w:t>
      </w:r>
      <w:r w:rsidR="001A08CA" w:rsidRPr="00BD6C5F">
        <w:rPr>
          <w:i/>
        </w:rPr>
        <w:t>s</w:t>
      </w:r>
      <w:r w:rsidRPr="00BD6C5F">
        <w:rPr>
          <w:i/>
        </w:rPr>
        <w:t xml:space="preserve"> o</w:t>
      </w:r>
      <w:r w:rsidR="001A08CA" w:rsidRPr="00BD6C5F">
        <w:rPr>
          <w:i/>
        </w:rPr>
        <w:t>n</w:t>
      </w:r>
      <w:r w:rsidRPr="00BD6C5F">
        <w:rPr>
          <w:i/>
        </w:rPr>
        <w:t xml:space="preserve"> Liability</w:t>
      </w:r>
      <w:r w:rsidRPr="00BD6C5F">
        <w:t>).</w:t>
      </w:r>
    </w:p>
    <w:p w14:paraId="47C63254" w14:textId="4522A1D1" w:rsidR="00BC7DDA" w:rsidRPr="00BD6C5F" w:rsidRDefault="000B0FA3" w:rsidP="000B0FA3">
      <w:pPr>
        <w:pStyle w:val="Numbered1"/>
      </w:pPr>
      <w:r w:rsidRPr="00BD6C5F">
        <w:t>Disputes</w:t>
      </w:r>
    </w:p>
    <w:p w14:paraId="19859E41" w14:textId="659A1F44" w:rsidR="00BC7DDA" w:rsidRPr="00BD6C5F" w:rsidRDefault="009B03E9" w:rsidP="00C5057A">
      <w:pPr>
        <w:pStyle w:val="Numbered11"/>
      </w:pPr>
      <w:r w:rsidRPr="00BD6C5F">
        <w:t xml:space="preserve">The Dispute Resolution Procedure will not apply to any dispute (i) between the Authority and/or the Supplier or (ii) between their respective actuaries and/or the Fund Actuary about any of the actuarial matters referred to in this Part </w:t>
      </w:r>
      <w:r w:rsidR="00464636">
        <w:fldChar w:fldCharType="begin"/>
      </w:r>
      <w:r w:rsidR="00464636">
        <w:instrText xml:space="preserve"> REF Schedule_28_Part_D \h </w:instrText>
      </w:r>
      <w:r w:rsidR="00464636">
        <w:fldChar w:fldCharType="separate"/>
      </w:r>
      <w:r w:rsidR="009749A0" w:rsidRPr="00BD6C5F">
        <w:t>D</w:t>
      </w:r>
      <w:r w:rsidR="00464636">
        <w:fldChar w:fldCharType="end"/>
      </w:r>
      <w:r w:rsidRPr="00BD6C5F">
        <w:t xml:space="preserve"> and its Annexes shall in the absence of agreement between the Authority and/or the Supplier be referred to an independent Actuary:</w:t>
      </w:r>
    </w:p>
    <w:p w14:paraId="3614E002" w14:textId="77777777" w:rsidR="00BC7DDA" w:rsidRPr="00BD6C5F" w:rsidRDefault="009B03E9" w:rsidP="000B0FA3">
      <w:pPr>
        <w:pStyle w:val="Numbered111"/>
      </w:pPr>
      <w:r w:rsidRPr="00BD6C5F">
        <w:t>who will act as an expert and not as an arbitrator;</w:t>
      </w:r>
    </w:p>
    <w:p w14:paraId="59E26FA3" w14:textId="77777777" w:rsidR="00BC7DDA" w:rsidRPr="00BD6C5F" w:rsidRDefault="009B03E9" w:rsidP="000B0FA3">
      <w:pPr>
        <w:pStyle w:val="Numbered111"/>
      </w:pPr>
      <w:r w:rsidRPr="00BD6C5F">
        <w:t>whose decision will be final and binding on the Authority and/or the Supplier; and</w:t>
      </w:r>
    </w:p>
    <w:p w14:paraId="110DAF2F" w14:textId="7FFEB452" w:rsidR="00BC7DDA" w:rsidRPr="00BD6C5F" w:rsidRDefault="009B03E9" w:rsidP="000B0FA3">
      <w:pPr>
        <w:pStyle w:val="Numbered111"/>
      </w:pPr>
      <w:r w:rsidRPr="00BD6C5F">
        <w:t>whose expenses shall be borne equally by the Authority and/or the Supplier unless the independent Actuary shall otherwise direct.</w:t>
      </w:r>
    </w:p>
    <w:p w14:paraId="55064662" w14:textId="77777777" w:rsidR="00BC7DDA" w:rsidRPr="00BD6C5F" w:rsidRDefault="009B03E9" w:rsidP="00C5057A">
      <w:pPr>
        <w:pStyle w:val="Numbered11"/>
      </w:pPr>
      <w:r w:rsidRPr="00BD6C5F">
        <w:t>The independent Actuary shall be agreed by the Parties or, failing such agreement the independent Actuary shall be appointed by the President for the time being of the Institute and Faculty of Actuaries on the application by the Parties.</w:t>
      </w:r>
    </w:p>
    <w:p w14:paraId="6CC71329" w14:textId="01D8CB0B" w:rsidR="00BC7DDA" w:rsidRPr="00BD6C5F" w:rsidRDefault="000B0FA3" w:rsidP="000B0FA3">
      <w:pPr>
        <w:pStyle w:val="Numbered1"/>
      </w:pPr>
      <w:r w:rsidRPr="00BD6C5F">
        <w:t>Third Party Rights</w:t>
      </w:r>
    </w:p>
    <w:p w14:paraId="2C370BE0" w14:textId="120E5E34" w:rsidR="00BC7DDA" w:rsidRPr="00BD6C5F" w:rsidRDefault="009B03E9" w:rsidP="00C5057A">
      <w:pPr>
        <w:pStyle w:val="Numbered11"/>
      </w:pPr>
      <w:r w:rsidRPr="00BD6C5F">
        <w:t xml:space="preserve">The Parties agree </w:t>
      </w:r>
      <w:r w:rsidR="005E736B" w:rsidRPr="00BD6C5F">
        <w:t>Clause </w:t>
      </w:r>
      <w:r w:rsidRPr="00BD6C5F">
        <w:t>4</w:t>
      </w:r>
      <w:r w:rsidR="001A08CA" w:rsidRPr="00BD6C5F">
        <w:t>1</w:t>
      </w:r>
      <w:r w:rsidRPr="00BD6C5F">
        <w:t xml:space="preserve"> (</w:t>
      </w:r>
      <w:r w:rsidRPr="00BD6C5F">
        <w:rPr>
          <w:i/>
        </w:rPr>
        <w:t>Third Party Rights</w:t>
      </w:r>
      <w:r w:rsidRPr="00BD6C5F">
        <w:t xml:space="preserve">) does not apply and that the CTPRSA </w:t>
      </w:r>
      <w:r w:rsidRPr="00BD6C5F">
        <w:lastRenderedPageBreak/>
        <w:t xml:space="preserve">applies to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to the extent necessary to ensure that any Fair Deal Employee will have the right to enforce any obligation in respect of to him or her by the Supplier under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in his or her or its own right under section</w:t>
      </w:r>
      <w:r w:rsidR="00F7402E" w:rsidRPr="00BD6C5F">
        <w:t> </w:t>
      </w:r>
      <w:r w:rsidRPr="00BD6C5F">
        <w:t>1(1) of the CTPRSA.</w:t>
      </w:r>
    </w:p>
    <w:p w14:paraId="56CF4D24" w14:textId="2EDC14ED" w:rsidR="00BC7DDA" w:rsidRPr="00BD6C5F" w:rsidRDefault="009B03E9" w:rsidP="00C5057A">
      <w:pPr>
        <w:pStyle w:val="Numbered11"/>
      </w:pPr>
      <w:r w:rsidRPr="00BD6C5F">
        <w:t>Further, the Supplier must ensure that the CTPRSA will apply to any Sub-contract to the extent necessary to ensure that any Fair Deal Employee will have the right to enforce any obligation owed to them by the Sub-contractor in his or her own right under section</w:t>
      </w:r>
      <w:r w:rsidR="00F7402E" w:rsidRPr="00BD6C5F">
        <w:t> </w:t>
      </w:r>
      <w:r w:rsidRPr="00BD6C5F">
        <w:t>1(1) of the CTPRSA.</w:t>
      </w:r>
    </w:p>
    <w:p w14:paraId="69CF43D4" w14:textId="46FE91BE" w:rsidR="00BC7DDA" w:rsidRPr="00BD6C5F" w:rsidRDefault="000B0FA3" w:rsidP="000B0FA3">
      <w:pPr>
        <w:pStyle w:val="Numbered1"/>
      </w:pPr>
      <w:bookmarkStart w:id="1672" w:name="_Ref141220054"/>
      <w:r w:rsidRPr="00BD6C5F">
        <w:t>Breach</w:t>
      </w:r>
      <w:bookmarkEnd w:id="1672"/>
    </w:p>
    <w:p w14:paraId="4F6A0F7B" w14:textId="3070B018" w:rsidR="00BC7DDA" w:rsidRPr="00BD6C5F" w:rsidRDefault="009B03E9" w:rsidP="00C5057A">
      <w:pPr>
        <w:pStyle w:val="Numbered11"/>
      </w:pPr>
      <w:r w:rsidRPr="00BD6C5F">
        <w:t xml:space="preserve">The Supplier agrees to notify the Authority should it breach any obligations it has under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and agrees that the Authority shall be entitled to terminate its </w:t>
      </w:r>
      <w:r w:rsidR="001A08CA" w:rsidRPr="00BD6C5F">
        <w:t xml:space="preserve">Contract </w:t>
      </w:r>
      <w:r w:rsidRPr="00BD6C5F">
        <w:t>for material Default in the event that the Supplier:</w:t>
      </w:r>
    </w:p>
    <w:p w14:paraId="32E0B801" w14:textId="041F3262" w:rsidR="00BC7DDA" w:rsidRPr="00BD6C5F" w:rsidRDefault="009B03E9" w:rsidP="000B0FA3">
      <w:pPr>
        <w:pStyle w:val="Numbered111"/>
      </w:pPr>
      <w:r w:rsidRPr="00BD6C5F">
        <w:t xml:space="preserve">commits an irremediable breach of any provision or obligation it has under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or</w:t>
      </w:r>
    </w:p>
    <w:p w14:paraId="71FFBB6D" w14:textId="05BDCD4A" w:rsidR="00BC7DDA" w:rsidRPr="00BD6C5F" w:rsidRDefault="009B03E9" w:rsidP="000B0FA3">
      <w:pPr>
        <w:pStyle w:val="Numbered111"/>
      </w:pPr>
      <w:r w:rsidRPr="00BD6C5F">
        <w:t xml:space="preserve">commits a breach of any provision or obligation it has under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which, where capable of remedy, it fails to remedy within a reasonable time and in any event within 28</w:t>
      </w:r>
      <w:r w:rsidR="00F7402E" w:rsidRPr="00BD6C5F">
        <w:t> </w:t>
      </w:r>
      <w:r w:rsidRPr="00BD6C5F">
        <w:t>days of the date of a notice from the Authority giving particulars of the breach and requiring the Supplier to remedy it.</w:t>
      </w:r>
    </w:p>
    <w:p w14:paraId="7AC64638" w14:textId="7BC1F681" w:rsidR="00BC7DDA" w:rsidRPr="00BD6C5F" w:rsidRDefault="000B0FA3" w:rsidP="000B0FA3">
      <w:pPr>
        <w:pStyle w:val="Numbered1"/>
      </w:pPr>
      <w:r w:rsidRPr="00BD6C5F">
        <w:t>Transfer to Another Employer/Sub-Contractors</w:t>
      </w:r>
    </w:p>
    <w:p w14:paraId="2380DBD7" w14:textId="4C1B847D" w:rsidR="00BC7DDA" w:rsidRPr="00BD6C5F" w:rsidRDefault="009B03E9" w:rsidP="00C5057A">
      <w:pPr>
        <w:pStyle w:val="Numbered11"/>
      </w:pPr>
      <w:r w:rsidRPr="00BD6C5F">
        <w:t xml:space="preserve">Save on expiry or termination of this </w:t>
      </w:r>
      <w:r w:rsidR="001A08CA" w:rsidRPr="00BD6C5F">
        <w:t>Contract</w:t>
      </w:r>
      <w:r w:rsidRPr="00BD6C5F">
        <w:t>, if the employment of any Fair Deal Eligible Employee transfers to another employer (by way of a transfer under the Employment Regulations or other form of compulsory transfer of employment), the Supplier shall or shall procure that any relevant Sub-contractor shall:</w:t>
      </w:r>
    </w:p>
    <w:p w14:paraId="217E8692" w14:textId="77777777" w:rsidR="00BC7DDA" w:rsidRPr="00BD6C5F" w:rsidRDefault="009B03E9" w:rsidP="000B0FA3">
      <w:pPr>
        <w:pStyle w:val="Numbered111"/>
      </w:pPr>
      <w:r w:rsidRPr="00BD6C5F">
        <w:t>notify the Authority as far as reasonably practicable in advance of the transfer to allow the Authority to make the necessary arrangements for participation with the relevant Statutory Scheme(s);</w:t>
      </w:r>
    </w:p>
    <w:p w14:paraId="0DFD631D" w14:textId="77777777" w:rsidR="00BC7DDA" w:rsidRPr="00BD6C5F" w:rsidRDefault="009B03E9" w:rsidP="000B0FA3">
      <w:pPr>
        <w:pStyle w:val="Numbered111"/>
      </w:pPr>
      <w:r w:rsidRPr="00BD6C5F">
        <w:t>consult with about, and inform those Fair Deal Eligible Employees of, the pension provisions relating to that transfer; and</w:t>
      </w:r>
    </w:p>
    <w:p w14:paraId="158EF062" w14:textId="0A9BF083" w:rsidR="00BC7DDA" w:rsidRPr="00BD6C5F" w:rsidRDefault="009B03E9" w:rsidP="000B0FA3">
      <w:pPr>
        <w:pStyle w:val="Numbered111"/>
      </w:pPr>
      <w:r w:rsidRPr="00BD6C5F">
        <w:t xml:space="preserve">procure that the employer to which the Fair Deal Eligible Employees are transferred (the </w:t>
      </w:r>
      <w:r w:rsidR="00A4555C" w:rsidRPr="00BD6C5F">
        <w:t>“</w:t>
      </w:r>
      <w:r w:rsidRPr="00BD6C5F">
        <w:rPr>
          <w:b/>
        </w:rPr>
        <w:t>New Employer</w:t>
      </w:r>
      <w:r w:rsidR="00A4555C" w:rsidRPr="00BD6C5F">
        <w:t>”</w:t>
      </w:r>
      <w:r w:rsidRPr="00BD6C5F">
        <w:t>) complies with the provisions</w:t>
      </w:r>
      <w:r w:rsidR="00F7402E" w:rsidRPr="00BD6C5F">
        <w:t xml:space="preserve"> </w:t>
      </w:r>
      <w:r w:rsidRPr="00BD6C5F">
        <w:t xml:space="preserve">of this </w:t>
      </w:r>
      <w:r w:rsidR="00C101F7">
        <w:t>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and its Annexes provided that references to the </w:t>
      </w:r>
      <w:r w:rsidR="00A4555C" w:rsidRPr="00BD6C5F">
        <w:t>“</w:t>
      </w:r>
      <w:r w:rsidRPr="00BD6C5F">
        <w:t>Supplier</w:t>
      </w:r>
      <w:r w:rsidR="00A4555C" w:rsidRPr="00BD6C5F">
        <w:t>”</w:t>
      </w:r>
      <w:r w:rsidRPr="00BD6C5F">
        <w:t xml:space="preserve"> will become references to the New Employer, references to </w:t>
      </w:r>
      <w:r w:rsidR="00A4555C" w:rsidRPr="00BD6C5F">
        <w:t>“</w:t>
      </w:r>
      <w:r w:rsidRPr="00BD6C5F">
        <w:t>Relevant Transfer Date</w:t>
      </w:r>
      <w:r w:rsidR="00A4555C" w:rsidRPr="00BD6C5F">
        <w:t>”</w:t>
      </w:r>
      <w:r w:rsidRPr="00BD6C5F">
        <w:t xml:space="preserve"> will become references to the date of the transfer to the New Employer and references to </w:t>
      </w:r>
      <w:r w:rsidR="00A4555C" w:rsidRPr="00BD6C5F">
        <w:t>“</w:t>
      </w:r>
      <w:r w:rsidRPr="00BD6C5F">
        <w:t>Fair Deal Employees</w:t>
      </w:r>
      <w:r w:rsidR="00A4555C" w:rsidRPr="00BD6C5F">
        <w:t>”</w:t>
      </w:r>
      <w:r w:rsidRPr="00BD6C5F">
        <w:t xml:space="preserve"> will become references to the Fair Deal Eligible Employees so transferred to the New Employer.</w:t>
      </w:r>
    </w:p>
    <w:p w14:paraId="27A8ADFA" w14:textId="09F0CFFD" w:rsidR="00BC7DDA" w:rsidRPr="00BD6C5F" w:rsidRDefault="000B0FA3" w:rsidP="000B0FA3">
      <w:pPr>
        <w:pStyle w:val="Numbered1"/>
      </w:pPr>
      <w:r w:rsidRPr="00BD6C5F">
        <w:t>Pension Issues on Expiry or Termination</w:t>
      </w:r>
    </w:p>
    <w:p w14:paraId="0D272983" w14:textId="66113C55" w:rsidR="00BC7DDA" w:rsidRPr="00BD6C5F" w:rsidRDefault="009B03E9" w:rsidP="00C5057A">
      <w:pPr>
        <w:pStyle w:val="Numbered11"/>
      </w:pPr>
      <w:bookmarkStart w:id="1673" w:name="_Ref98427895"/>
      <w:r w:rsidRPr="00BD6C5F">
        <w:t>The provisions of</w:t>
      </w:r>
      <w:r w:rsidR="00C101F7">
        <w:t xml:space="preserve"> Part </w:t>
      </w:r>
      <w:r w:rsidR="00C101F7">
        <w:fldChar w:fldCharType="begin"/>
      </w:r>
      <w:r w:rsidR="00C101F7">
        <w:instrText xml:space="preserve"> REF Schedule_28_Part_E \h </w:instrText>
      </w:r>
      <w:r w:rsidR="00C101F7">
        <w:fldChar w:fldCharType="separate"/>
      </w:r>
      <w:r w:rsidR="009749A0" w:rsidRPr="00BD6C5F">
        <w:t>E</w:t>
      </w:r>
      <w:r w:rsidR="00C101F7">
        <w:fldChar w:fldCharType="end"/>
      </w:r>
      <w:r w:rsidRPr="00BD6C5F">
        <w:t xml:space="preserve">: Staff Transfer On Exit (Mandatory) apply in relation to pension issues on expiry or termination of this </w:t>
      </w:r>
      <w:r w:rsidR="001A08CA" w:rsidRPr="00BD6C5F">
        <w:t>Contract</w:t>
      </w:r>
      <w:r w:rsidRPr="00BD6C5F">
        <w:t>.</w:t>
      </w:r>
      <w:bookmarkEnd w:id="1673"/>
    </w:p>
    <w:p w14:paraId="32704A54" w14:textId="0567B998" w:rsidR="00BC7DDA" w:rsidRPr="00BD6C5F" w:rsidRDefault="009B03E9" w:rsidP="00C5057A">
      <w:pPr>
        <w:pStyle w:val="Numbered11"/>
      </w:pPr>
      <w:r w:rsidRPr="00BD6C5F">
        <w:t xml:space="preserve">The Supplier shall (and shall procure that any of its Sub-contractors shall) prior to the termination of this </w:t>
      </w:r>
      <w:r w:rsidR="001A08CA" w:rsidRPr="00BD6C5F">
        <w:t xml:space="preserve">Contract </w:t>
      </w:r>
      <w:r w:rsidRPr="00BD6C5F">
        <w:t>provide all such co-operation and assistance (including co-operation and assistance from the Broadly Comparable pension scheme</w:t>
      </w:r>
      <w:r w:rsidR="00A4555C" w:rsidRPr="00BD6C5F">
        <w:t>’</w:t>
      </w:r>
      <w:r w:rsidRPr="00BD6C5F">
        <w:t xml:space="preserve">s Actuary) as the Replacement Supplier and/or NHS Pension and/or CSPS and/or the relevant </w:t>
      </w:r>
      <w:r w:rsidRPr="00BD6C5F">
        <w:lastRenderedPageBreak/>
        <w:t>Administering Authority and/or the Authority may reasonably require, to enable the Replacement Supplier to participate in the appropriate Statutory Scheme in respect of any Fair Deal Eligible Employee that remains eligible for New Fair Deal protection following a Service Transfer.</w:t>
      </w:r>
    </w:p>
    <w:p w14:paraId="18E033C9" w14:textId="3729FE0F" w:rsidR="00BC7DDA" w:rsidRPr="00BD6C5F" w:rsidRDefault="000B0FA3" w:rsidP="000B0FA3">
      <w:pPr>
        <w:pStyle w:val="Numbered1"/>
      </w:pPr>
      <w:bookmarkStart w:id="1674" w:name="_bookmark569"/>
      <w:bookmarkStart w:id="1675" w:name="_Ref98426286"/>
      <w:bookmarkEnd w:id="1674"/>
      <w:r w:rsidRPr="00BD6C5F">
        <w:t>Broadly Comparable Pension Scheme on Relevant Transfer Date</w:t>
      </w:r>
      <w:bookmarkEnd w:id="1675"/>
    </w:p>
    <w:p w14:paraId="6C2F737E" w14:textId="4FFDB687" w:rsidR="00BC7DDA" w:rsidRPr="00BD6C5F" w:rsidRDefault="009B03E9" w:rsidP="00C5057A">
      <w:pPr>
        <w:pStyle w:val="Numbered11"/>
      </w:pPr>
      <w:r w:rsidRPr="00BD6C5F">
        <w:t>If the terms of any of paragraphs</w:t>
      </w:r>
      <w:r w:rsidR="000F58DA" w:rsidRPr="00BD6C5F">
        <w:t> </w:t>
      </w:r>
      <w:r w:rsidR="000F58DA" w:rsidRPr="00BD6C5F">
        <w:fldChar w:fldCharType="begin"/>
      </w:r>
      <w:r w:rsidR="000F58DA" w:rsidRPr="00BD6C5F">
        <w:instrText xml:space="preserve"> REF _Ref_ContractCompanion_9kb9Ut235 \w \h </w:instrText>
      </w:r>
      <w:r w:rsidR="00AD7DD0" w:rsidRPr="00BD6C5F">
        <w:instrText xml:space="preserve"> \* MERGEFORMAT </w:instrText>
      </w:r>
      <w:r w:rsidR="000F58DA" w:rsidRPr="00BD6C5F">
        <w:fldChar w:fldCharType="separate"/>
      </w:r>
      <w:r w:rsidR="009749A0">
        <w:t>4</w:t>
      </w:r>
      <w:r w:rsidR="000F58DA" w:rsidRPr="00BD6C5F">
        <w:fldChar w:fldCharType="end"/>
      </w:r>
      <w:r w:rsidR="000F58DA" w:rsidRPr="00BD6C5F">
        <w:t xml:space="preserve"> </w:t>
      </w:r>
      <w:r w:rsidRPr="00BD6C5F">
        <w:t xml:space="preserve">of </w:t>
      </w:r>
      <w:r w:rsidR="00DF7441">
        <w:t>Annex </w:t>
      </w:r>
      <w:r w:rsidR="00DF7441">
        <w:fldChar w:fldCharType="begin"/>
      </w:r>
      <w:r w:rsidR="00DF7441">
        <w:instrText xml:space="preserve"> REF Schedule_28_Part_D_Annex_2 \h </w:instrText>
      </w:r>
      <w:r w:rsidR="00DF7441">
        <w:fldChar w:fldCharType="separate"/>
      </w:r>
      <w:r w:rsidR="009749A0" w:rsidRPr="00BD6C5F">
        <w:t>2</w:t>
      </w:r>
      <w:r w:rsidR="00DF7441">
        <w:fldChar w:fldCharType="end"/>
      </w:r>
      <w:r w:rsidRPr="00BD6C5F">
        <w:t xml:space="preserve">: NHSPS or </w:t>
      </w:r>
      <w:r w:rsidR="000F58DA" w:rsidRPr="00BD6C5F">
        <w:fldChar w:fldCharType="begin"/>
      </w:r>
      <w:r w:rsidR="000F58DA" w:rsidRPr="00BD6C5F">
        <w:instrText xml:space="preserve"> REF _Ref98427094 \w \h </w:instrText>
      </w:r>
      <w:r w:rsidR="00AD7DD0" w:rsidRPr="00BD6C5F">
        <w:instrText xml:space="preserve"> \* MERGEFORMAT </w:instrText>
      </w:r>
      <w:r w:rsidR="000F58DA" w:rsidRPr="00BD6C5F">
        <w:fldChar w:fldCharType="separate"/>
      </w:r>
      <w:r w:rsidR="009749A0">
        <w:t>3.1</w:t>
      </w:r>
      <w:r w:rsidR="000F58DA" w:rsidRPr="00BD6C5F">
        <w:fldChar w:fldCharType="end"/>
      </w:r>
      <w:r w:rsidRPr="00BD6C5F">
        <w:t xml:space="preserve"> of </w:t>
      </w:r>
      <w:r w:rsidR="00DF7441">
        <w:t>Annex </w:t>
      </w:r>
      <w:r w:rsidR="00DF7441">
        <w:fldChar w:fldCharType="begin"/>
      </w:r>
      <w:r w:rsidR="00DF7441">
        <w:instrText xml:space="preserve"> REF Schedule_28_Part_D_Annex_3 \h </w:instrText>
      </w:r>
      <w:r w:rsidR="00DF7441">
        <w:fldChar w:fldCharType="separate"/>
      </w:r>
      <w:r w:rsidR="009749A0" w:rsidRPr="00BD6C5F">
        <w:t>3</w:t>
      </w:r>
      <w:r w:rsidR="00DF7441">
        <w:fldChar w:fldCharType="end"/>
      </w:r>
      <w:r w:rsidRPr="00BD6C5F">
        <w:t xml:space="preserve">: LGPS </w:t>
      </w:r>
      <w:r w:rsidR="00DF7441">
        <w:t>of Part </w:t>
      </w:r>
      <w:r w:rsidR="00DF7441">
        <w:fldChar w:fldCharType="begin"/>
      </w:r>
      <w:r w:rsidR="00DF7441">
        <w:instrText xml:space="preserve"> REF Schedule_28_Part_D \h </w:instrText>
      </w:r>
      <w:r w:rsidR="00DF7441">
        <w:fldChar w:fldCharType="separate"/>
      </w:r>
      <w:r w:rsidR="009749A0" w:rsidRPr="00BD6C5F">
        <w:t>D</w:t>
      </w:r>
      <w:r w:rsidR="00DF7441">
        <w:fldChar w:fldCharType="end"/>
      </w:r>
      <w:r w:rsidR="00DF7441">
        <w:t xml:space="preserve"> </w:t>
      </w:r>
      <w:r w:rsidRPr="00BD6C5F">
        <w:t>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Authority.</w:t>
      </w:r>
    </w:p>
    <w:p w14:paraId="736EA1EE" w14:textId="77777777" w:rsidR="00BC7DDA" w:rsidRPr="00BD6C5F" w:rsidRDefault="009B03E9" w:rsidP="009F4A63">
      <w:pPr>
        <w:pStyle w:val="Numbered11"/>
        <w:keepNext/>
      </w:pPr>
      <w:r w:rsidRPr="00BD6C5F">
        <w:t>Such Broadly Comparable pension scheme must be:</w:t>
      </w:r>
    </w:p>
    <w:p w14:paraId="76471CB9" w14:textId="77777777" w:rsidR="00BC7DDA" w:rsidRPr="00BD6C5F" w:rsidRDefault="009B03E9" w:rsidP="000B0FA3">
      <w:pPr>
        <w:pStyle w:val="Numbered111"/>
      </w:pPr>
      <w:r w:rsidRPr="00BD6C5F">
        <w:t>established by the Relevant Transfer Date;</w:t>
      </w:r>
    </w:p>
    <w:p w14:paraId="2125C963" w14:textId="77777777" w:rsidR="00BC7DDA" w:rsidRPr="00BD6C5F" w:rsidRDefault="009B03E9" w:rsidP="000B0FA3">
      <w:pPr>
        <w:pStyle w:val="Numbered111"/>
      </w:pPr>
      <w:r w:rsidRPr="00BD6C5F">
        <w:t>a registered pension scheme for the purposes of Part 4 of the Finance Act 2004;</w:t>
      </w:r>
    </w:p>
    <w:p w14:paraId="41ABAF42" w14:textId="13C1B620" w:rsidR="00BC7DDA" w:rsidRPr="00BD6C5F" w:rsidRDefault="009B03E9" w:rsidP="000B0FA3">
      <w:pPr>
        <w:pStyle w:val="Numbered111"/>
      </w:pPr>
      <w:r w:rsidRPr="00BD6C5F">
        <w:t>capable of receiving a bulk transfer payment from the relevant Statutory Scheme or from a Former Supplier</w:t>
      </w:r>
      <w:r w:rsidR="00A4555C" w:rsidRPr="00BD6C5F">
        <w:t>’</w:t>
      </w:r>
      <w:r w:rsidRPr="00BD6C5F">
        <w:t>s Broadly Comparable pension scheme (unless otherwise instructed by the Authority);</w:t>
      </w:r>
    </w:p>
    <w:p w14:paraId="726F5E13" w14:textId="59880272" w:rsidR="00BC7DDA" w:rsidRPr="00BD6C5F" w:rsidRDefault="009B03E9" w:rsidP="000B0FA3">
      <w:pPr>
        <w:pStyle w:val="Numbered111"/>
      </w:pPr>
      <w:r w:rsidRPr="00BD6C5F">
        <w:t>capable of paying a bulk transfer payment to the Replacement Supplier</w:t>
      </w:r>
      <w:r w:rsidR="00A4555C" w:rsidRPr="00BD6C5F">
        <w:t>’</w:t>
      </w:r>
      <w:r w:rsidRPr="00BD6C5F">
        <w:t>s Broadly Comparable pension scheme (or the relevant Statutory Scheme if applicable) (unless otherwise instructed by the Authority); and</w:t>
      </w:r>
    </w:p>
    <w:p w14:paraId="3578FCB5" w14:textId="77777777" w:rsidR="00BC7DDA" w:rsidRPr="00BD6C5F" w:rsidRDefault="009B03E9" w:rsidP="000B0FA3">
      <w:pPr>
        <w:pStyle w:val="Numbered111"/>
      </w:pPr>
      <w:r w:rsidRPr="00BD6C5F">
        <w:t>maintained until such bulk transfer payments have been received or paid (unless otherwise instructed by the Authority).</w:t>
      </w:r>
    </w:p>
    <w:p w14:paraId="39866B71" w14:textId="4752530C" w:rsidR="00BC7DDA" w:rsidRPr="00BD6C5F" w:rsidRDefault="009B03E9" w:rsidP="00C5057A">
      <w:pPr>
        <w:pStyle w:val="Numbered11"/>
      </w:pPr>
      <w:r w:rsidRPr="00BD6C5F">
        <w:t xml:space="preserve">Where the Supplier has provided a Broadly Comparable pension scheme pursuant to the provisions of this </w:t>
      </w:r>
      <w:r w:rsidR="00F7402E" w:rsidRPr="00BD6C5F">
        <w:t>P</w:t>
      </w:r>
      <w:r w:rsidRPr="00BD6C5F">
        <w:t>aragraph</w:t>
      </w:r>
      <w:r w:rsidR="000F58DA" w:rsidRPr="00BD6C5F">
        <w:t> </w:t>
      </w:r>
      <w:r w:rsidR="000F58DA" w:rsidRPr="00BD6C5F">
        <w:fldChar w:fldCharType="begin"/>
      </w:r>
      <w:r w:rsidR="000F58DA" w:rsidRPr="00BD6C5F">
        <w:instrText xml:space="preserve"> REF _Ref98426286 \w \h </w:instrText>
      </w:r>
      <w:r w:rsidR="00AD7DD0" w:rsidRPr="00BD6C5F">
        <w:instrText xml:space="preserve"> \* MERGEFORMAT </w:instrText>
      </w:r>
      <w:r w:rsidR="000F58DA" w:rsidRPr="00BD6C5F">
        <w:fldChar w:fldCharType="separate"/>
      </w:r>
      <w:r w:rsidR="009749A0">
        <w:t>10</w:t>
      </w:r>
      <w:r w:rsidR="000F58DA" w:rsidRPr="00BD6C5F">
        <w:fldChar w:fldCharType="end"/>
      </w:r>
      <w:r w:rsidRPr="00BD6C5F">
        <w:t>, the Supplier shall (and shall procure that any of its Sub-contractors shall):</w:t>
      </w:r>
    </w:p>
    <w:p w14:paraId="74D4B2AD" w14:textId="1940F976" w:rsidR="00BC7DDA" w:rsidRPr="00BD6C5F" w:rsidRDefault="009B03E9" w:rsidP="000B0FA3">
      <w:pPr>
        <w:pStyle w:val="Numbered111"/>
      </w:pPr>
      <w:r w:rsidRPr="00BD6C5F">
        <w:t>supply to the Authority details of its (or its Sub-contractor</w:t>
      </w:r>
      <w:r w:rsidR="00A4555C" w:rsidRPr="00BD6C5F">
        <w:t>’</w:t>
      </w:r>
      <w:r w:rsidRPr="00BD6C5F">
        <w:t>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1ED794E1" w14:textId="77777777" w:rsidR="00BC7DDA" w:rsidRPr="00BD6C5F" w:rsidRDefault="009B03E9" w:rsidP="000B0FA3">
      <w:pPr>
        <w:pStyle w:val="Numbered111"/>
      </w:pPr>
      <w:r w:rsidRPr="00BD6C5F">
        <w:t>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14:paraId="4F77434B" w14:textId="0CE1EDED" w:rsidR="00BC7DDA" w:rsidRPr="00BD6C5F" w:rsidRDefault="009B03E9" w:rsidP="000B0FA3">
      <w:pPr>
        <w:pStyle w:val="Numbered111"/>
      </w:pPr>
      <w:bookmarkStart w:id="1676" w:name="_bookmark570"/>
      <w:bookmarkStart w:id="1677" w:name="_Ref98427179"/>
      <w:bookmarkEnd w:id="1676"/>
      <w:r w:rsidRPr="00BD6C5F">
        <w:t>instruct any such Broadly Comparable pension scheme</w:t>
      </w:r>
      <w:r w:rsidR="00A4555C" w:rsidRPr="00BD6C5F">
        <w:t>’</w:t>
      </w:r>
      <w:r w:rsidRPr="00BD6C5F">
        <w:t>s Actuary to provide all such co-operation and assistance in agreeing bulk transfer process with the Actuary to the Former Supplier</w:t>
      </w:r>
      <w:r w:rsidR="00A4555C" w:rsidRPr="00BD6C5F">
        <w:t>’</w:t>
      </w:r>
      <w:r w:rsidRPr="00BD6C5F">
        <w:t xml:space="preserve">s Broadly Comparable pension scheme or the Actuary to the relevant Statutory Scheme (as appropriate) and to provide all </w:t>
      </w:r>
      <w:r w:rsidRPr="00BD6C5F">
        <w:lastRenderedPageBreak/>
        <w:t xml:space="preserve">such </w:t>
      </w:r>
      <w:r w:rsidR="00012F06" w:rsidRPr="00BD6C5F">
        <w:t>co-operation</w:t>
      </w:r>
      <w:r w:rsidRPr="00BD6C5F">
        <w:t xml:space="preserve"> and assistance with any other Actuary appointed by the Authority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 and</w:t>
      </w:r>
      <w:bookmarkEnd w:id="1677"/>
    </w:p>
    <w:p w14:paraId="2D5D7FFF" w14:textId="5245148F" w:rsidR="00BC7DDA" w:rsidRPr="00BD6C5F" w:rsidRDefault="009B03E9" w:rsidP="000B0FA3">
      <w:pPr>
        <w:pStyle w:val="Numbered111"/>
      </w:pPr>
      <w:r w:rsidRPr="00BD6C5F">
        <w:t xml:space="preserve">provide a replacement Broadly Comparable pension scheme in accordance with this </w:t>
      </w:r>
      <w:r w:rsidR="00F7402E" w:rsidRPr="00BD6C5F">
        <w:t>P</w:t>
      </w:r>
      <w:r w:rsidRPr="00BD6C5F">
        <w:t>aragraph</w:t>
      </w:r>
      <w:r w:rsidR="000F58DA" w:rsidRPr="00BD6C5F">
        <w:t> </w:t>
      </w:r>
      <w:r w:rsidR="000F58DA" w:rsidRPr="00BD6C5F">
        <w:fldChar w:fldCharType="begin"/>
      </w:r>
      <w:r w:rsidR="000F58DA" w:rsidRPr="00BD6C5F">
        <w:instrText xml:space="preserve"> REF _Ref98426286 \w \h </w:instrText>
      </w:r>
      <w:r w:rsidR="00AD7DD0" w:rsidRPr="00BD6C5F">
        <w:instrText xml:space="preserve"> \* MERGEFORMAT </w:instrText>
      </w:r>
      <w:r w:rsidR="000F58DA" w:rsidRPr="00BD6C5F">
        <w:fldChar w:fldCharType="separate"/>
      </w:r>
      <w:r w:rsidR="009749A0">
        <w:t>10</w:t>
      </w:r>
      <w:r w:rsidR="000F58DA" w:rsidRPr="00BD6C5F">
        <w:fldChar w:fldCharType="end"/>
      </w:r>
      <w:r w:rsidRPr="00BD6C5F">
        <w:t xml:space="preserve"> with immediate effect for those Fair Deal Eligible Employees who are still employed by the Supplier and/or relevant Sub-contractor and are still eligible for New Fair Deal protection in the event that the Supplier and/or Sub-contractor</w:t>
      </w:r>
      <w:r w:rsidR="00A4555C" w:rsidRPr="00BD6C5F">
        <w:t>’</w:t>
      </w:r>
      <w:r w:rsidRPr="00BD6C5F">
        <w:t>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770414C1" w14:textId="105A9F5F" w:rsidR="00BC7DDA" w:rsidRPr="00BD6C5F" w:rsidRDefault="009B03E9" w:rsidP="009F4A63">
      <w:pPr>
        <w:pStyle w:val="Numbered11"/>
        <w:keepNext/>
      </w:pPr>
      <w:r w:rsidRPr="00BD6C5F">
        <w:t xml:space="preserve">Where the Supplier has provided a Broadly Comparable pension scheme pursuant to the provisions of this </w:t>
      </w:r>
      <w:r w:rsidR="00F7402E" w:rsidRPr="00BD6C5F">
        <w:t>P</w:t>
      </w:r>
      <w:r w:rsidRPr="00BD6C5F">
        <w:t>aragraph</w:t>
      </w:r>
      <w:r w:rsidR="000F58DA" w:rsidRPr="00BD6C5F">
        <w:t> </w:t>
      </w:r>
      <w:r w:rsidR="000F58DA" w:rsidRPr="00BD6C5F">
        <w:fldChar w:fldCharType="begin"/>
      </w:r>
      <w:r w:rsidR="000F58DA" w:rsidRPr="00BD6C5F">
        <w:instrText xml:space="preserve"> REF _Ref98426286 \w \h </w:instrText>
      </w:r>
      <w:r w:rsidR="00AD7DD0" w:rsidRPr="00BD6C5F">
        <w:instrText xml:space="preserve"> \* MERGEFORMAT </w:instrText>
      </w:r>
      <w:r w:rsidR="000F58DA" w:rsidRPr="00BD6C5F">
        <w:fldChar w:fldCharType="separate"/>
      </w:r>
      <w:r w:rsidR="009749A0">
        <w:t>10</w:t>
      </w:r>
      <w:r w:rsidR="000F58DA" w:rsidRPr="00BD6C5F">
        <w:fldChar w:fldCharType="end"/>
      </w:r>
      <w:r w:rsidRPr="00BD6C5F">
        <w:t xml:space="preserve">, the Supplier shall (and shall procure that any of its Sub-contractors shall) prior to the termination of this </w:t>
      </w:r>
      <w:r w:rsidR="00535246" w:rsidRPr="00BD6C5F">
        <w:t>Contract</w:t>
      </w:r>
      <w:r w:rsidRPr="00BD6C5F">
        <w:t>:</w:t>
      </w:r>
    </w:p>
    <w:p w14:paraId="4ECF19EC" w14:textId="6E58E5BF" w:rsidR="00BC7DDA" w:rsidRPr="00BD6C5F" w:rsidRDefault="009B03E9" w:rsidP="000B0FA3">
      <w:pPr>
        <w:pStyle w:val="Numbered111"/>
      </w:pPr>
      <w:bookmarkStart w:id="1678" w:name="_bookmark571"/>
      <w:bookmarkStart w:id="1679" w:name="_Ref98427205"/>
      <w:bookmarkEnd w:id="1678"/>
      <w:r w:rsidRPr="00BD6C5F">
        <w:t>allow and make all necessary arrangements to effect, in respect of any Fair Deal Eligible Employee that remains eligible for New Fair Deal protection, following a Service Transfer, the bulk transfer of</w:t>
      </w:r>
      <w:bookmarkEnd w:id="1679"/>
      <w:r w:rsidR="00F7402E" w:rsidRPr="00BD6C5F">
        <w:t xml:space="preserve"> </w:t>
      </w:r>
      <w:r w:rsidRPr="00BD6C5F">
        <w:t>past service from any such Broadly Comparable pension scheme into the Replacement Supplier</w:t>
      </w:r>
      <w:r w:rsidR="00A4555C" w:rsidRPr="00BD6C5F">
        <w:t>’</w:t>
      </w:r>
      <w:r w:rsidRPr="00BD6C5F">
        <w:t xml:space="preserve">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w:t>
      </w:r>
      <w:r w:rsidR="00F7402E" w:rsidRPr="00BD6C5F">
        <w:t>P</w:t>
      </w:r>
      <w:r w:rsidRPr="00BD6C5F">
        <w:t>aragraph</w:t>
      </w:r>
      <w:r w:rsidR="000F58DA" w:rsidRPr="00BD6C5F">
        <w:t> </w:t>
      </w:r>
      <w:r w:rsidR="000F58DA" w:rsidRPr="00BD6C5F">
        <w:fldChar w:fldCharType="begin"/>
      </w:r>
      <w:r w:rsidR="000F58DA" w:rsidRPr="00BD6C5F">
        <w:instrText xml:space="preserve"> REF _Ref98427179 \w \h </w:instrText>
      </w:r>
      <w:r w:rsidR="00F7402E" w:rsidRPr="00BD6C5F">
        <w:instrText xml:space="preserve"> \* MERGEFORMAT </w:instrText>
      </w:r>
      <w:r w:rsidR="000F58DA" w:rsidRPr="00BD6C5F">
        <w:fldChar w:fldCharType="separate"/>
      </w:r>
      <w:r w:rsidR="009749A0">
        <w:t>10.3.3</w:t>
      </w:r>
      <w:r w:rsidR="000F58DA" w:rsidRPr="00BD6C5F">
        <w:fldChar w:fldCharType="end"/>
      </w:r>
      <w:r w:rsidRPr="00BD6C5F">
        <w:t xml:space="preserve"> such that the element of the past service reserve amount which relates to such service credits shall be no lower than that required by the bulk transfer terms that were agreed in accordance with </w:t>
      </w:r>
      <w:r w:rsidR="00F7402E" w:rsidRPr="00BD6C5F">
        <w:t>P</w:t>
      </w:r>
      <w:r w:rsidRPr="00BD6C5F">
        <w:t>aragraph</w:t>
      </w:r>
      <w:r w:rsidR="000F58DA" w:rsidRPr="00BD6C5F">
        <w:t> </w:t>
      </w:r>
      <w:r w:rsidR="000F58DA" w:rsidRPr="00BD6C5F">
        <w:fldChar w:fldCharType="begin"/>
      </w:r>
      <w:r w:rsidR="000F58DA" w:rsidRPr="00BD6C5F">
        <w:instrText xml:space="preserve"> REF _Ref98427179 \w \h </w:instrText>
      </w:r>
      <w:r w:rsidR="00F7402E" w:rsidRPr="00BD6C5F">
        <w:instrText xml:space="preserve"> \* MERGEFORMAT </w:instrText>
      </w:r>
      <w:r w:rsidR="000F58DA" w:rsidRPr="00BD6C5F">
        <w:fldChar w:fldCharType="separate"/>
      </w:r>
      <w:r w:rsidR="009749A0">
        <w:t>10.3.3</w:t>
      </w:r>
      <w:r w:rsidR="000F58DA" w:rsidRPr="00BD6C5F">
        <w:fldChar w:fldCharType="end"/>
      </w:r>
      <w:r w:rsidRPr="00BD6C5F">
        <w:t xml:space="preserve"> but using the last day of the Fair Deal Eligible Employees</w:t>
      </w:r>
      <w:r w:rsidR="00A4555C" w:rsidRPr="00BD6C5F">
        <w:t>’</w:t>
      </w:r>
      <w:r w:rsidRPr="00BD6C5F">
        <w:t xml:space="preserve"> employment with the Supplier or Sub-contractor (as appropriate) as the date used to determine the actuarial assumptions; and</w:t>
      </w:r>
    </w:p>
    <w:p w14:paraId="7A225DE1" w14:textId="44D61854" w:rsidR="00BC7DDA" w:rsidRPr="00BD6C5F" w:rsidRDefault="009B03E9" w:rsidP="000B0FA3">
      <w:pPr>
        <w:pStyle w:val="Numbered111"/>
      </w:pPr>
      <w:r w:rsidRPr="00BD6C5F">
        <w:t>if the transfer payment paid by the trustees of the Broadly Comparable pension scheme is less (in the opinion of the Actuary to the Replacement Supplier</w:t>
      </w:r>
      <w:r w:rsidR="00A4555C" w:rsidRPr="00BD6C5F">
        <w:t>’</w:t>
      </w:r>
      <w:r w:rsidRPr="00BD6C5F">
        <w:t xml:space="preserve">s Broadly Comparable pension scheme (or to the relevant Statutory Scheme if applicable)) than the transfer payment which would have been paid had </w:t>
      </w:r>
      <w:r w:rsidR="00F7402E" w:rsidRPr="00BD6C5F">
        <w:t>P</w:t>
      </w:r>
      <w:r w:rsidRPr="00BD6C5F">
        <w:t>aragraph</w:t>
      </w:r>
      <w:r w:rsidR="000F58DA" w:rsidRPr="00BD6C5F">
        <w:t> </w:t>
      </w:r>
      <w:r w:rsidR="000F58DA" w:rsidRPr="00BD6C5F">
        <w:fldChar w:fldCharType="begin"/>
      </w:r>
      <w:r w:rsidR="000F58DA" w:rsidRPr="00BD6C5F">
        <w:instrText xml:space="preserve"> REF _Ref98427205 \w \h </w:instrText>
      </w:r>
      <w:r w:rsidR="00AD7DD0" w:rsidRPr="00BD6C5F">
        <w:instrText xml:space="preserve"> \* MERGEFORMAT </w:instrText>
      </w:r>
      <w:r w:rsidR="000F58DA" w:rsidRPr="00BD6C5F">
        <w:fldChar w:fldCharType="separate"/>
      </w:r>
      <w:r w:rsidR="009749A0">
        <w:t>10.4.1</w:t>
      </w:r>
      <w:r w:rsidR="000F58DA" w:rsidRPr="00BD6C5F">
        <w:fldChar w:fldCharType="end"/>
      </w:r>
      <w:r w:rsidRPr="00BD6C5F">
        <w:t xml:space="preserve"> been complied with, the Supplier shall (or shall procure that the Sub-contractor shall) pay the amount of the difference to the Replacement Supplier</w:t>
      </w:r>
      <w:r w:rsidR="00A4555C" w:rsidRPr="00BD6C5F">
        <w:t>’</w:t>
      </w:r>
      <w:r w:rsidRPr="00BD6C5F">
        <w:t>s Broadly Comparable pension scheme (or relevant Statutory Scheme if applicable) or as the Authority shall otherwise direct. The Supplier shall indemnify the Authority or the Replacement Supplier</w:t>
      </w:r>
      <w:r w:rsidR="00A4555C" w:rsidRPr="00BD6C5F">
        <w:t>’</w:t>
      </w:r>
      <w:r w:rsidRPr="00BD6C5F">
        <w:t xml:space="preserve">s Broadly Comparable </w:t>
      </w:r>
      <w:r w:rsidRPr="00BD6C5F">
        <w:lastRenderedPageBreak/>
        <w:t>pension scheme (or the relevant Statutory Scheme if applicable) (as the Authority directs) for any failure to pay the difference as required under this paragraph.</w:t>
      </w:r>
    </w:p>
    <w:p w14:paraId="13787734" w14:textId="3092FE6C" w:rsidR="00BC7DDA" w:rsidRPr="00BD6C5F" w:rsidRDefault="000B0FA3" w:rsidP="000B0FA3">
      <w:pPr>
        <w:pStyle w:val="Numbered1"/>
      </w:pPr>
      <w:bookmarkStart w:id="1680" w:name="_bookmark572"/>
      <w:bookmarkStart w:id="1681" w:name="_Ref98426297"/>
      <w:bookmarkEnd w:id="1680"/>
      <w:r w:rsidRPr="00BD6C5F">
        <w:t>Broadly Comparable Pension Scheme in Other Circumstances</w:t>
      </w:r>
      <w:bookmarkEnd w:id="1681"/>
    </w:p>
    <w:p w14:paraId="0F81C01D" w14:textId="3EFEBD65" w:rsidR="00BC7DDA" w:rsidRPr="00BD6C5F" w:rsidRDefault="009B03E9" w:rsidP="00C5057A">
      <w:pPr>
        <w:pStyle w:val="Numbered11"/>
      </w:pPr>
      <w:r w:rsidRPr="00BD6C5F">
        <w:t>If the terms of any of paragraphs</w:t>
      </w:r>
      <w:r w:rsidR="000F58DA" w:rsidRPr="00BD6C5F">
        <w:t> </w:t>
      </w:r>
      <w:r w:rsidR="000F58DA" w:rsidRPr="00BD6C5F">
        <w:fldChar w:fldCharType="begin"/>
      </w:r>
      <w:r w:rsidR="000F58DA" w:rsidRPr="00BD6C5F">
        <w:instrText xml:space="preserve"> REF _Ref98427233 \w \h </w:instrText>
      </w:r>
      <w:r w:rsidR="00AD7DD0" w:rsidRPr="00BD6C5F">
        <w:instrText xml:space="preserve"> \* MERGEFORMAT </w:instrText>
      </w:r>
      <w:r w:rsidR="000F58DA" w:rsidRPr="00BD6C5F">
        <w:fldChar w:fldCharType="separate"/>
      </w:r>
      <w:r w:rsidR="009749A0">
        <w:t>2.2</w:t>
      </w:r>
      <w:r w:rsidR="000F58DA" w:rsidRPr="00BD6C5F">
        <w:fldChar w:fldCharType="end"/>
      </w:r>
      <w:r w:rsidRPr="00BD6C5F">
        <w:t xml:space="preserve"> of </w:t>
      </w:r>
      <w:r w:rsidR="00DF7441">
        <w:t>Annex </w:t>
      </w:r>
      <w:r w:rsidR="00DF7441">
        <w:fldChar w:fldCharType="begin"/>
      </w:r>
      <w:r w:rsidR="00DF7441">
        <w:instrText xml:space="preserve"> REF Schedule_28_Part_D_Annex_1 \h </w:instrText>
      </w:r>
      <w:r w:rsidR="00DF7441">
        <w:fldChar w:fldCharType="separate"/>
      </w:r>
      <w:r w:rsidR="009749A0" w:rsidRPr="00BD6C5F">
        <w:t>1</w:t>
      </w:r>
      <w:r w:rsidR="00DF7441">
        <w:fldChar w:fldCharType="end"/>
      </w:r>
      <w:r w:rsidRPr="00BD6C5F">
        <w:t xml:space="preserve">: CSPS, </w:t>
      </w:r>
      <w:r w:rsidR="000F58DA" w:rsidRPr="00BD6C5F">
        <w:fldChar w:fldCharType="begin"/>
      </w:r>
      <w:r w:rsidR="000F58DA" w:rsidRPr="00BD6C5F">
        <w:instrText xml:space="preserve"> REF _9kR3WTrAGA6AJKFTEwzlXiC85zt3EFADOyvBu8K \w \h </w:instrText>
      </w:r>
      <w:r w:rsidR="00AD7DD0" w:rsidRPr="00BD6C5F">
        <w:instrText xml:space="preserve"> \* MERGEFORMAT </w:instrText>
      </w:r>
      <w:r w:rsidR="000F58DA" w:rsidRPr="00BD6C5F">
        <w:fldChar w:fldCharType="separate"/>
      </w:r>
      <w:r w:rsidR="009749A0">
        <w:t>5.2</w:t>
      </w:r>
      <w:r w:rsidR="000F58DA" w:rsidRPr="00BD6C5F">
        <w:fldChar w:fldCharType="end"/>
      </w:r>
      <w:r w:rsidRPr="00BD6C5F">
        <w:t xml:space="preserve"> of </w:t>
      </w:r>
      <w:r w:rsidR="00DF7441">
        <w:t>Annex </w:t>
      </w:r>
      <w:r w:rsidR="00DF7441">
        <w:fldChar w:fldCharType="begin"/>
      </w:r>
      <w:r w:rsidR="00DF7441">
        <w:instrText xml:space="preserve"> REF Schedule_28_Part_D_Annex_2 \h </w:instrText>
      </w:r>
      <w:r w:rsidR="00DF7441">
        <w:fldChar w:fldCharType="separate"/>
      </w:r>
      <w:r w:rsidR="009749A0" w:rsidRPr="00BD6C5F">
        <w:t>2</w:t>
      </w:r>
      <w:r w:rsidR="00DF7441">
        <w:fldChar w:fldCharType="end"/>
      </w:r>
      <w:r w:rsidRPr="00BD6C5F">
        <w:t xml:space="preserve">: NHSPS and/or </w:t>
      </w:r>
      <w:r w:rsidR="000F58DA" w:rsidRPr="00BD6C5F">
        <w:fldChar w:fldCharType="begin"/>
      </w:r>
      <w:r w:rsidR="000F58DA" w:rsidRPr="00BD6C5F">
        <w:instrText xml:space="preserve"> REF _Ref_ContractCompanion_9kb9Ut24E \w \h </w:instrText>
      </w:r>
      <w:r w:rsidR="00AD7DD0" w:rsidRPr="00BD6C5F">
        <w:instrText xml:space="preserve"> \* MERGEFORMAT </w:instrText>
      </w:r>
      <w:r w:rsidR="000F58DA" w:rsidRPr="00BD6C5F">
        <w:fldChar w:fldCharType="separate"/>
      </w:r>
      <w:r w:rsidR="009749A0">
        <w:t>3.2</w:t>
      </w:r>
      <w:r w:rsidR="000F58DA" w:rsidRPr="00BD6C5F">
        <w:fldChar w:fldCharType="end"/>
      </w:r>
      <w:r w:rsidRPr="00BD6C5F">
        <w:t xml:space="preserve"> of </w:t>
      </w:r>
      <w:r w:rsidR="00DF7441">
        <w:t>Annex </w:t>
      </w:r>
      <w:r w:rsidR="00DF7441">
        <w:fldChar w:fldCharType="begin"/>
      </w:r>
      <w:r w:rsidR="00DF7441">
        <w:instrText xml:space="preserve"> REF Schedule_28_Part_D_Annex_3 \h </w:instrText>
      </w:r>
      <w:r w:rsidR="00DF7441">
        <w:fldChar w:fldCharType="separate"/>
      </w:r>
      <w:r w:rsidR="009749A0" w:rsidRPr="00BD6C5F">
        <w:t>3</w:t>
      </w:r>
      <w:r w:rsidR="00DF7441">
        <w:fldChar w:fldCharType="end"/>
      </w:r>
      <w:r w:rsidRPr="00BD6C5F">
        <w:t>: LGPS</w:t>
      </w:r>
      <w:r w:rsidR="00DF7441">
        <w:t xml:space="preserve"> of Part </w:t>
      </w:r>
      <w:r w:rsidR="00DF7441">
        <w:fldChar w:fldCharType="begin"/>
      </w:r>
      <w:r w:rsidR="00DF7441">
        <w:instrText xml:space="preserve"> REF Schedule_28_Part_D \h </w:instrText>
      </w:r>
      <w:r w:rsidR="00DF7441">
        <w:fldChar w:fldCharType="separate"/>
      </w:r>
      <w:r w:rsidR="009749A0" w:rsidRPr="00BD6C5F">
        <w:t>D</w:t>
      </w:r>
      <w:r w:rsidR="00DF7441">
        <w:fldChar w:fldCharType="end"/>
      </w:r>
      <w:r w:rsidRPr="00BD6C5F">
        <w:t xml:space="preserve">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Authority.</w:t>
      </w:r>
    </w:p>
    <w:p w14:paraId="7FB3D12D" w14:textId="77777777" w:rsidR="00BC7DDA" w:rsidRPr="00BD6C5F" w:rsidRDefault="009B03E9" w:rsidP="009F4A63">
      <w:pPr>
        <w:pStyle w:val="Numbered11"/>
        <w:keepNext/>
      </w:pPr>
      <w:bookmarkStart w:id="1682" w:name="_Ref141216564"/>
      <w:r w:rsidRPr="00BD6C5F">
        <w:t>Such Broadly Comparable pension scheme must be:</w:t>
      </w:r>
      <w:bookmarkEnd w:id="1682"/>
    </w:p>
    <w:p w14:paraId="306CB7D7" w14:textId="77777777" w:rsidR="00BC7DDA" w:rsidRPr="00BD6C5F" w:rsidRDefault="009B03E9" w:rsidP="000B0FA3">
      <w:pPr>
        <w:pStyle w:val="Numbered111"/>
      </w:pPr>
      <w:r w:rsidRPr="00BD6C5F">
        <w:t>established by the date of cessation of participation in the Statutory Scheme;</w:t>
      </w:r>
    </w:p>
    <w:p w14:paraId="7A200D84" w14:textId="0546F397" w:rsidR="00BC7DDA" w:rsidRPr="00BD6C5F" w:rsidRDefault="009B03E9" w:rsidP="000B0FA3">
      <w:pPr>
        <w:pStyle w:val="Numbered111"/>
      </w:pPr>
      <w:r w:rsidRPr="00BD6C5F">
        <w:t>a registered pension scheme for the purposes of Part 4 of the Finance Act 2004;</w:t>
      </w:r>
    </w:p>
    <w:p w14:paraId="3AB38880" w14:textId="77777777" w:rsidR="00BC7DDA" w:rsidRPr="00BD6C5F" w:rsidRDefault="009B03E9" w:rsidP="000B0FA3">
      <w:pPr>
        <w:pStyle w:val="Numbered111"/>
      </w:pPr>
      <w:r w:rsidRPr="00BD6C5F">
        <w:t>capable of receiving a bulk transfer payment from the relevant Statutory Scheme (where instructed to do so by the Authority);</w:t>
      </w:r>
    </w:p>
    <w:p w14:paraId="1488609B" w14:textId="4D30F49F" w:rsidR="00BC7DDA" w:rsidRPr="00BD6C5F" w:rsidRDefault="009B03E9" w:rsidP="000B0FA3">
      <w:pPr>
        <w:pStyle w:val="Numbered111"/>
      </w:pPr>
      <w:r w:rsidRPr="00BD6C5F">
        <w:t>capable of paying a bulk transfer payment to the Replacement Supplier</w:t>
      </w:r>
      <w:r w:rsidR="00A4555C" w:rsidRPr="00BD6C5F">
        <w:t>’</w:t>
      </w:r>
      <w:r w:rsidRPr="00BD6C5F">
        <w:t>s Broadly Comparable pension scheme (or the relevant Statutory Scheme if applicable) (unless otherwise instructed by the Authority); and</w:t>
      </w:r>
    </w:p>
    <w:p w14:paraId="4EEEE66F" w14:textId="77777777" w:rsidR="00BC7DDA" w:rsidRPr="00BD6C5F" w:rsidRDefault="009B03E9" w:rsidP="000B0FA3">
      <w:pPr>
        <w:pStyle w:val="Numbered111"/>
      </w:pPr>
      <w:r w:rsidRPr="00BD6C5F">
        <w:t>maintained until such bulk transfer payments have been received or paid (unless otherwise instructed by the Authority).</w:t>
      </w:r>
    </w:p>
    <w:p w14:paraId="3E0B1F25" w14:textId="675F39F8" w:rsidR="00BC7DDA" w:rsidRPr="00BD6C5F" w:rsidRDefault="009B03E9" w:rsidP="009F4A63">
      <w:pPr>
        <w:pStyle w:val="Numbered11"/>
        <w:keepNext/>
      </w:pPr>
      <w:bookmarkStart w:id="1683" w:name="_Ref141216557"/>
      <w:r w:rsidRPr="00BD6C5F">
        <w:t xml:space="preserve">Where the Supplier has provided a Broadly Comparable pension scheme pursuant to the provisions of this </w:t>
      </w:r>
      <w:r w:rsidR="00F7402E" w:rsidRPr="00BD6C5F">
        <w:t>P</w:t>
      </w:r>
      <w:r w:rsidRPr="00BD6C5F">
        <w:t>aragraph</w:t>
      </w:r>
      <w:r w:rsidR="000F58DA" w:rsidRPr="00BD6C5F">
        <w:t> </w:t>
      </w:r>
      <w:r w:rsidR="000F58DA" w:rsidRPr="00BD6C5F">
        <w:fldChar w:fldCharType="begin"/>
      </w:r>
      <w:r w:rsidR="000F58DA" w:rsidRPr="00BD6C5F">
        <w:instrText xml:space="preserve"> REF _Ref98426297 \w \h </w:instrText>
      </w:r>
      <w:r w:rsidR="00AD7DD0" w:rsidRPr="00BD6C5F">
        <w:instrText xml:space="preserve"> \* MERGEFORMAT </w:instrText>
      </w:r>
      <w:r w:rsidR="000F58DA" w:rsidRPr="00BD6C5F">
        <w:fldChar w:fldCharType="separate"/>
      </w:r>
      <w:r w:rsidR="009749A0">
        <w:t>11</w:t>
      </w:r>
      <w:r w:rsidR="000F58DA" w:rsidRPr="00BD6C5F">
        <w:fldChar w:fldCharType="end"/>
      </w:r>
      <w:r w:rsidRPr="00BD6C5F">
        <w:t>, the Supplier shall (and shall procure that any of its Sub-contractors shall):</w:t>
      </w:r>
      <w:bookmarkEnd w:id="1683"/>
    </w:p>
    <w:p w14:paraId="4BB69AB8" w14:textId="37F42D5F" w:rsidR="00BC7DDA" w:rsidRPr="00BD6C5F" w:rsidRDefault="009B03E9" w:rsidP="000B0FA3">
      <w:pPr>
        <w:pStyle w:val="Numbered111"/>
      </w:pPr>
      <w:r w:rsidRPr="00BD6C5F">
        <w:t>supply to the Authority details of its (or its Sub-contractor</w:t>
      </w:r>
      <w:r w:rsidR="00A4555C" w:rsidRPr="00BD6C5F">
        <w:t>’</w:t>
      </w:r>
      <w:r w:rsidRPr="00BD6C5F">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375A5B3D" w14:textId="77777777" w:rsidR="00BC7DDA" w:rsidRPr="00BD6C5F" w:rsidRDefault="009B03E9" w:rsidP="000B0FA3">
      <w:pPr>
        <w:pStyle w:val="Numbered111"/>
      </w:pPr>
      <w:r w:rsidRPr="00BD6C5F">
        <w:t>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and</w:t>
      </w:r>
    </w:p>
    <w:p w14:paraId="206AF733" w14:textId="40705E01" w:rsidR="00BC7DDA" w:rsidRPr="00BD6C5F" w:rsidRDefault="009B03E9" w:rsidP="000B0FA3">
      <w:pPr>
        <w:pStyle w:val="Numbered111"/>
      </w:pPr>
      <w:r w:rsidRPr="00BD6C5F">
        <w:t>where required to do so by the Authority, instruct any such Broadly Comparable pension scheme</w:t>
      </w:r>
      <w:r w:rsidR="00A4555C" w:rsidRPr="00BD6C5F">
        <w:t>’</w:t>
      </w:r>
      <w:r w:rsidRPr="00BD6C5F">
        <w:t xml:space="preserve">s Actuary to provide all such co-operation and assistance in agreeing a bulk transfer process with the Actuary to the relevant Statutory Scheme and to provide all such co-operation and assistance with any </w:t>
      </w:r>
      <w:r w:rsidRPr="00BD6C5F">
        <w:lastRenderedPageBreak/>
        <w:t>other Actuary appointed by the Authority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 and</w:t>
      </w:r>
    </w:p>
    <w:p w14:paraId="11AD5199" w14:textId="235F4530" w:rsidR="00BC7DDA" w:rsidRPr="00BD6C5F" w:rsidRDefault="009B03E9" w:rsidP="000B0FA3">
      <w:pPr>
        <w:pStyle w:val="Numbered111"/>
      </w:pPr>
      <w:r w:rsidRPr="00BD6C5F">
        <w:t xml:space="preserve">provide a replacement Broadly Comparable pension scheme in accordance with this </w:t>
      </w:r>
      <w:r w:rsidR="00F7402E" w:rsidRPr="00BD6C5F">
        <w:t>P</w:t>
      </w:r>
      <w:r w:rsidRPr="00BD6C5F">
        <w:t>aragraph</w:t>
      </w:r>
      <w:r w:rsidR="000F58DA" w:rsidRPr="00BD6C5F">
        <w:t> </w:t>
      </w:r>
      <w:r w:rsidR="000F58DA" w:rsidRPr="00BD6C5F">
        <w:fldChar w:fldCharType="begin"/>
      </w:r>
      <w:r w:rsidR="000F58DA" w:rsidRPr="00BD6C5F">
        <w:instrText xml:space="preserve"> REF _Ref98426297 \w \h </w:instrText>
      </w:r>
      <w:r w:rsidR="002B4203" w:rsidRPr="00BD6C5F">
        <w:instrText xml:space="preserve"> \* MERGEFORMAT </w:instrText>
      </w:r>
      <w:r w:rsidR="000F58DA" w:rsidRPr="00BD6C5F">
        <w:fldChar w:fldCharType="separate"/>
      </w:r>
      <w:r w:rsidR="009749A0">
        <w:t>11</w:t>
      </w:r>
      <w:r w:rsidR="000F58DA" w:rsidRPr="00BD6C5F">
        <w:fldChar w:fldCharType="end"/>
      </w:r>
      <w:r w:rsidRPr="00BD6C5F">
        <w:t xml:space="preserve"> with immediate effect for those Fair Deal Eligible Employees who are still employed by the Supplier</w:t>
      </w:r>
      <w:r w:rsidR="00DB2677" w:rsidRPr="00BD6C5F">
        <w:t xml:space="preserve"> </w:t>
      </w:r>
      <w:r w:rsidRPr="00BD6C5F">
        <w:t>and/or relevant Sub-contractor and are still eligible for New Fair Deal protection in the event that the Supplier and/or Sub-contractor</w:t>
      </w:r>
      <w:r w:rsidR="00A4555C" w:rsidRPr="00BD6C5F">
        <w:t>’</w:t>
      </w:r>
      <w:r w:rsidRPr="00BD6C5F">
        <w:t>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41201B52" w14:textId="7ECE8358" w:rsidR="00BC7DDA" w:rsidRPr="00BD6C5F" w:rsidRDefault="009B03E9" w:rsidP="00C5057A">
      <w:pPr>
        <w:pStyle w:val="Numbered11"/>
      </w:pPr>
      <w:r w:rsidRPr="00BD6C5F">
        <w:t xml:space="preserve">Where the Supplier has provided a Broadly Comparable pension scheme pursuant to the provisions of this </w:t>
      </w:r>
      <w:r w:rsidR="00F7402E" w:rsidRPr="00BD6C5F">
        <w:t>P</w:t>
      </w:r>
      <w:r w:rsidRPr="00BD6C5F">
        <w:t>aragraph</w:t>
      </w:r>
      <w:r w:rsidR="000F58DA" w:rsidRPr="00BD6C5F">
        <w:t> </w:t>
      </w:r>
      <w:r w:rsidR="000F58DA" w:rsidRPr="00BD6C5F">
        <w:fldChar w:fldCharType="begin"/>
      </w:r>
      <w:r w:rsidR="000F58DA" w:rsidRPr="00BD6C5F">
        <w:instrText xml:space="preserve"> REF _Ref98426297 \w \h </w:instrText>
      </w:r>
      <w:r w:rsidR="00AD7DD0" w:rsidRPr="00BD6C5F">
        <w:instrText xml:space="preserve"> \* MERGEFORMAT </w:instrText>
      </w:r>
      <w:r w:rsidR="000F58DA" w:rsidRPr="00BD6C5F">
        <w:fldChar w:fldCharType="separate"/>
      </w:r>
      <w:r w:rsidR="009749A0">
        <w:t>11</w:t>
      </w:r>
      <w:r w:rsidR="000F58DA" w:rsidRPr="00BD6C5F">
        <w:fldChar w:fldCharType="end"/>
      </w:r>
      <w:r w:rsidRPr="00BD6C5F">
        <w:t xml:space="preserve">, the Supplier shall (and shall procure that any of its Sub-contractors shall) prior to the termination of this </w:t>
      </w:r>
      <w:r w:rsidR="00651B19" w:rsidRPr="00BD6C5F">
        <w:t xml:space="preserve">Contract </w:t>
      </w:r>
      <w:r w:rsidRPr="00BD6C5F">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w:t>
      </w:r>
      <w:r w:rsidR="00A4555C" w:rsidRPr="00BD6C5F">
        <w:t>’</w:t>
      </w:r>
      <w:r w:rsidRPr="00BD6C5F">
        <w:t>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w:t>
      </w:r>
      <w:r w:rsidR="00A4555C" w:rsidRPr="00BD6C5F">
        <w:t>’</w:t>
      </w:r>
      <w:r w:rsidRPr="00BD6C5F">
        <w:t>s Broadly Comparable pension scheme (or relevant Statutory Scheme if applicable). For the avoidance of doubt, should the amount offered by the Broadly Comparable pension scheme be less than the amount required by the Replacement Supplier</w:t>
      </w:r>
      <w:r w:rsidR="00A4555C" w:rsidRPr="00BD6C5F">
        <w:t>’</w:t>
      </w:r>
      <w:r w:rsidRPr="00BD6C5F">
        <w:t>s Broadly Comparable pension scheme (or the relevant Statutory Scheme if applicable) to fund the required credits (</w:t>
      </w:r>
      <w:r w:rsidR="00A4555C" w:rsidRPr="00BD6C5F">
        <w:t>“</w:t>
      </w:r>
      <w:r w:rsidRPr="00BD6C5F">
        <w:rPr>
          <w:b/>
        </w:rPr>
        <w:t>the Shortfall</w:t>
      </w:r>
      <w:r w:rsidR="00A4555C" w:rsidRPr="00BD6C5F">
        <w:t>”</w:t>
      </w:r>
      <w:r w:rsidRPr="00BD6C5F">
        <w:t>), the Supplier or the Sub-contractor (as agreed between them) must pay the Replacement Supplier</w:t>
      </w:r>
      <w:r w:rsidR="00A4555C" w:rsidRPr="00BD6C5F">
        <w:t>’</w:t>
      </w:r>
      <w:r w:rsidRPr="00BD6C5F">
        <w:t>s Broadly Comparable pension scheme (or relevant Statutory Scheme if applicable) the Shortfall as required, provided that in the absence of any agreement between the Supplier and any Sub-contractor, the Shortfall shall be paid by the Supplier. The Supplier shall indemnify the Authority or the Replacement Supplier</w:t>
      </w:r>
      <w:r w:rsidR="00A4555C" w:rsidRPr="00BD6C5F">
        <w:t>’</w:t>
      </w:r>
      <w:r w:rsidRPr="00BD6C5F">
        <w:t>s Broadly Comparable pension scheme (or the relevant Statutory Scheme if applicable) (as the Authority directs) for any failure to pay the Shortfall under this paragraph.</w:t>
      </w:r>
    </w:p>
    <w:p w14:paraId="07C4F03C" w14:textId="60DDB8F8" w:rsidR="00BC7DDA" w:rsidRPr="00BD6C5F" w:rsidRDefault="000B0FA3" w:rsidP="000B0FA3">
      <w:pPr>
        <w:pStyle w:val="Numbered1"/>
      </w:pPr>
      <w:r w:rsidRPr="00BD6C5F">
        <w:t>Right of Set-off</w:t>
      </w:r>
    </w:p>
    <w:p w14:paraId="2940E04D" w14:textId="58F22EF1" w:rsidR="00BC7DDA" w:rsidRPr="00BD6C5F" w:rsidRDefault="009B03E9" w:rsidP="009F4A63">
      <w:pPr>
        <w:pStyle w:val="Numbered11"/>
        <w:keepNext/>
      </w:pPr>
      <w:bookmarkStart w:id="1684" w:name="_bookmark573"/>
      <w:bookmarkStart w:id="1685" w:name="_Ref98427444"/>
      <w:bookmarkEnd w:id="1684"/>
      <w:r w:rsidRPr="00BD6C5F">
        <w:t xml:space="preserve">The Authority shall have a right to set off against any payments due to the Supplier under this </w:t>
      </w:r>
      <w:r w:rsidR="00651B19" w:rsidRPr="00BD6C5F">
        <w:t xml:space="preserve">Contract </w:t>
      </w:r>
      <w:r w:rsidRPr="00BD6C5F">
        <w:t>an amount equal to:</w:t>
      </w:r>
      <w:bookmarkEnd w:id="1685"/>
    </w:p>
    <w:p w14:paraId="38E9ADC9" w14:textId="178C4CD6" w:rsidR="00BC7DDA" w:rsidRPr="00BD6C5F" w:rsidRDefault="009B03E9" w:rsidP="000B0FA3">
      <w:pPr>
        <w:pStyle w:val="Numbered111"/>
      </w:pPr>
      <w:r w:rsidRPr="00BD6C5F">
        <w:t>any unpaid employer</w:t>
      </w:r>
      <w:r w:rsidR="00A4555C" w:rsidRPr="00BD6C5F">
        <w:t>’</w:t>
      </w:r>
      <w:r w:rsidRPr="00BD6C5F">
        <w:t>s contributions or employee</w:t>
      </w:r>
      <w:r w:rsidR="00A4555C" w:rsidRPr="00BD6C5F">
        <w:t>’</w:t>
      </w:r>
      <w:r w:rsidRPr="00BD6C5F">
        <w:t xml:space="preserve">s contributions or any other financial obligations under the CSPS or any CSPS Admission Agreement in respect of the CSPS Eligible Employees whether due from the Supplier or from </w:t>
      </w:r>
      <w:r w:rsidRPr="00BD6C5F">
        <w:lastRenderedPageBreak/>
        <w:t>any relevant Sub-contractor or due from any third party under any indemnity, bond or guarantee;</w:t>
      </w:r>
    </w:p>
    <w:p w14:paraId="77BCBA41" w14:textId="4C41426E" w:rsidR="00BC7DDA" w:rsidRPr="00BD6C5F" w:rsidRDefault="009B03E9" w:rsidP="000B0FA3">
      <w:pPr>
        <w:pStyle w:val="Numbered111"/>
      </w:pPr>
      <w:r w:rsidRPr="00BD6C5F">
        <w:t>any unpaid employer</w:t>
      </w:r>
      <w:r w:rsidR="00A4555C" w:rsidRPr="00BD6C5F">
        <w:t>’</w:t>
      </w:r>
      <w:r w:rsidRPr="00BD6C5F">
        <w:t>s contributions or employee</w:t>
      </w:r>
      <w:r w:rsidR="00A4555C" w:rsidRPr="00BD6C5F">
        <w:t>’</w:t>
      </w:r>
      <w:r w:rsidRPr="00BD6C5F">
        <w:t>s contributions or any other financial obligations under the NHSPS or any Direction Letter/Determination in respect of the NHSPS Eligible Employees whether due from the Supplier or from any relevant Sub-contractor</w:t>
      </w:r>
      <w:r w:rsidR="00DF44FE" w:rsidRPr="00BD6C5F">
        <w:t xml:space="preserve"> or due from any third party under any indemnity, bond or guarantee; or</w:t>
      </w:r>
    </w:p>
    <w:p w14:paraId="6A4164E5" w14:textId="0D9ADC86" w:rsidR="00BC7DDA" w:rsidRPr="00BD6C5F" w:rsidRDefault="009B03E9" w:rsidP="000B0FA3">
      <w:pPr>
        <w:pStyle w:val="Numbered111"/>
      </w:pPr>
      <w:r w:rsidRPr="00BD6C5F">
        <w:t>any unpaid employer</w:t>
      </w:r>
      <w:r w:rsidR="00A4555C" w:rsidRPr="00BD6C5F">
        <w:t>’</w:t>
      </w:r>
      <w:r w:rsidRPr="00BD6C5F">
        <w:t>s contributions or employee</w:t>
      </w:r>
      <w:r w:rsidR="00A4555C" w:rsidRPr="00BD6C5F">
        <w:t>’</w:t>
      </w:r>
      <w:r w:rsidRPr="00BD6C5F">
        <w:t>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14:paraId="69C8901D" w14:textId="77777777" w:rsidR="00BC7DDA" w:rsidRPr="00BD6C5F" w:rsidRDefault="009B03E9" w:rsidP="005E3F62">
      <w:pPr>
        <w:pStyle w:val="BodyText"/>
        <w:spacing w:before="100" w:after="200"/>
        <w:ind w:left="720"/>
        <w:rPr>
          <w:rFonts w:asciiTheme="minorHAnsi" w:hAnsiTheme="minorHAnsi" w:cstheme="minorHAnsi"/>
        </w:rPr>
      </w:pPr>
      <w:r w:rsidRPr="00BD6C5F">
        <w:rPr>
          <w:rFonts w:asciiTheme="minorHAnsi" w:hAnsiTheme="minorHAnsi" w:cstheme="minorHAnsi"/>
        </w:rPr>
        <w:t>and shall pay such set off amount to the relevant Statutory Scheme.</w:t>
      </w:r>
    </w:p>
    <w:p w14:paraId="4E4D8A17" w14:textId="1B562BF1" w:rsidR="00BC7DDA" w:rsidRPr="00BD6C5F" w:rsidRDefault="009B03E9" w:rsidP="00C5057A">
      <w:pPr>
        <w:pStyle w:val="Numbered11"/>
      </w:pPr>
      <w:r w:rsidRPr="00BD6C5F">
        <w:t xml:space="preserve">The Authority shall also have a right to set off against any payments due to the Supplier under this </w:t>
      </w:r>
      <w:r w:rsidR="00651B19" w:rsidRPr="00BD6C5F">
        <w:t xml:space="preserve">Contract </w:t>
      </w:r>
      <w:r w:rsidRPr="00BD6C5F">
        <w:t>all reasonable costs and expenses incurred by the Authority as result of Paragraphs</w:t>
      </w:r>
      <w:r w:rsidR="000F58DA" w:rsidRPr="00BD6C5F">
        <w:t> </w:t>
      </w:r>
      <w:r w:rsidR="000F58DA" w:rsidRPr="00BD6C5F">
        <w:fldChar w:fldCharType="begin"/>
      </w:r>
      <w:r w:rsidR="000F58DA" w:rsidRPr="00BD6C5F">
        <w:instrText xml:space="preserve"> REF _Ref98427444 \w \h </w:instrText>
      </w:r>
      <w:r w:rsidR="00AD7DD0" w:rsidRPr="00BD6C5F">
        <w:instrText xml:space="preserve"> \* MERGEFORMAT </w:instrText>
      </w:r>
      <w:r w:rsidR="000F58DA" w:rsidRPr="00BD6C5F">
        <w:fldChar w:fldCharType="separate"/>
      </w:r>
      <w:r w:rsidR="009749A0">
        <w:t>12.1</w:t>
      </w:r>
      <w:r w:rsidR="000F58DA" w:rsidRPr="00BD6C5F">
        <w:fldChar w:fldCharType="end"/>
      </w:r>
      <w:r w:rsidRPr="00BD6C5F">
        <w:t xml:space="preserve"> above.</w:t>
      </w:r>
    </w:p>
    <w:p w14:paraId="634C08E0" w14:textId="77777777" w:rsidR="004D3C0E" w:rsidRPr="00BD6C5F" w:rsidRDefault="004D3C0E" w:rsidP="005E3F62">
      <w:bookmarkStart w:id="1686" w:name="_bookmark574"/>
      <w:bookmarkEnd w:id="1686"/>
    </w:p>
    <w:p w14:paraId="1BB9188A" w14:textId="69079780" w:rsidR="00E55F0B" w:rsidRPr="00BD6C5F" w:rsidRDefault="00E55F0B" w:rsidP="005E3F62">
      <w:r w:rsidRPr="00BD6C5F">
        <w:br w:type="page"/>
      </w:r>
    </w:p>
    <w:p w14:paraId="0DE564FE" w14:textId="70A12726" w:rsidR="00BC7DDA" w:rsidRPr="00BD6C5F" w:rsidRDefault="000B0FA3" w:rsidP="0018141E">
      <w:pPr>
        <w:pStyle w:val="Heading2"/>
      </w:pPr>
      <w:bookmarkStart w:id="1687" w:name="_Toc98332787"/>
      <w:bookmarkStart w:id="1688" w:name="_Ref98456484"/>
      <w:bookmarkStart w:id="1689" w:name="_Toc141721056"/>
      <w:r w:rsidRPr="00BD6C5F">
        <w:lastRenderedPageBreak/>
        <w:t xml:space="preserve">Annex </w:t>
      </w:r>
      <w:bookmarkStart w:id="1690" w:name="Schedule_28_Part_D_Annex_1"/>
      <w:r w:rsidR="005E3F62" w:rsidRPr="00BD6C5F">
        <w:t>1</w:t>
      </w:r>
      <w:bookmarkEnd w:id="1690"/>
      <w:r w:rsidR="005E3F62" w:rsidRPr="00BD6C5F">
        <w:t xml:space="preserve">: </w:t>
      </w:r>
      <w:r w:rsidR="009B03E9" w:rsidRPr="00BD6C5F">
        <w:t>CSPS</w:t>
      </w:r>
      <w:bookmarkEnd w:id="1687"/>
      <w:bookmarkEnd w:id="1688"/>
      <w:bookmarkEnd w:id="1689"/>
    </w:p>
    <w:p w14:paraId="34600C5C" w14:textId="351B4F91" w:rsidR="00BC7DDA" w:rsidRPr="00BD6C5F" w:rsidRDefault="000B0FA3" w:rsidP="00B71FC0">
      <w:pPr>
        <w:pStyle w:val="AppendixText1"/>
        <w:numPr>
          <w:ilvl w:val="0"/>
          <w:numId w:val="163"/>
        </w:numPr>
      </w:pPr>
      <w:r w:rsidRPr="00BD6C5F">
        <w:t>Definitions</w:t>
      </w:r>
    </w:p>
    <w:p w14:paraId="6541133E" w14:textId="6531EB49" w:rsidR="00BC7DDA" w:rsidRPr="00BD6C5F" w:rsidRDefault="009B03E9" w:rsidP="009F4A63">
      <w:pPr>
        <w:pStyle w:val="AppendixText2"/>
        <w:keepNext/>
      </w:pPr>
      <w:r w:rsidRPr="00BD6C5F">
        <w:t xml:space="preserve">In this </w:t>
      </w:r>
      <w:r w:rsidR="000E1EDB">
        <w:t>Annex </w:t>
      </w:r>
      <w:r w:rsidR="000E1EDB">
        <w:fldChar w:fldCharType="begin"/>
      </w:r>
      <w:r w:rsidR="000E1EDB">
        <w:instrText xml:space="preserve"> REF Schedule_28_Part_D_Annex_1 \h </w:instrText>
      </w:r>
      <w:r w:rsidR="000E1EDB">
        <w:fldChar w:fldCharType="separate"/>
      </w:r>
      <w:r w:rsidR="009749A0" w:rsidRPr="00BD6C5F">
        <w:t>1</w:t>
      </w:r>
      <w:r w:rsidR="000E1EDB">
        <w:fldChar w:fldCharType="end"/>
      </w:r>
      <w:r w:rsidR="00796814" w:rsidRPr="00BD6C5F">
        <w:t xml:space="preserve"> </w:t>
      </w:r>
      <w:r w:rsidRPr="00BD6C5F">
        <w:t>to</w:t>
      </w:r>
      <w:r w:rsidR="00DC638C" w:rsidRPr="00BD6C5F">
        <w:t> </w:t>
      </w:r>
      <w:r w:rsidR="000E1EDB">
        <w:t>Part </w:t>
      </w:r>
      <w:r w:rsidR="000E1EDB">
        <w:fldChar w:fldCharType="begin"/>
      </w:r>
      <w:r w:rsidR="000E1EDB">
        <w:instrText xml:space="preserve"> REF Schedule_28_Part_D \h </w:instrText>
      </w:r>
      <w:r w:rsidR="000E1EDB">
        <w:fldChar w:fldCharType="separate"/>
      </w:r>
      <w:r w:rsidR="009749A0" w:rsidRPr="00BD6C5F">
        <w:t>D</w:t>
      </w:r>
      <w:r w:rsidR="000E1EDB">
        <w:fldChar w:fldCharType="end"/>
      </w:r>
      <w:r w:rsidRPr="00BD6C5F">
        <w:t>: Pensions, the following words have the following meanings:</w:t>
      </w:r>
    </w:p>
    <w:tbl>
      <w:tblPr>
        <w:tblW w:w="9525" w:type="dxa"/>
        <w:tblInd w:w="720" w:type="dxa"/>
        <w:tblLayout w:type="fixed"/>
        <w:tblCellMar>
          <w:top w:w="58" w:type="dxa"/>
          <w:left w:w="58" w:type="dxa"/>
          <w:bottom w:w="58" w:type="dxa"/>
          <w:right w:w="58" w:type="dxa"/>
        </w:tblCellMar>
        <w:tblLook w:val="01E0" w:firstRow="1" w:lastRow="1" w:firstColumn="1" w:lastColumn="1" w:noHBand="0" w:noVBand="0"/>
      </w:tblPr>
      <w:tblGrid>
        <w:gridCol w:w="3572"/>
        <w:gridCol w:w="5953"/>
      </w:tblGrid>
      <w:tr w:rsidR="00BC7DDA" w:rsidRPr="00BD6C5F" w14:paraId="1EEF42AC" w14:textId="77777777" w:rsidTr="000E1EDB">
        <w:tc>
          <w:tcPr>
            <w:tcW w:w="3572" w:type="dxa"/>
          </w:tcPr>
          <w:p w14:paraId="74D6125C" w14:textId="4CFC8CBD" w:rsidR="00BC7DDA" w:rsidRPr="00BD6C5F" w:rsidRDefault="00A4555C" w:rsidP="002524B2">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CSPS Admission Agreement</w:t>
            </w:r>
            <w:r w:rsidRPr="00BD6C5F">
              <w:rPr>
                <w:rFonts w:asciiTheme="minorHAnsi" w:hAnsiTheme="minorHAnsi" w:cstheme="minorHAnsi"/>
                <w:b/>
              </w:rPr>
              <w:t>”</w:t>
            </w:r>
          </w:p>
        </w:tc>
        <w:tc>
          <w:tcPr>
            <w:tcW w:w="5953" w:type="dxa"/>
          </w:tcPr>
          <w:p w14:paraId="538B37FA" w14:textId="77777777" w:rsidR="00BC7DDA" w:rsidRPr="00BD6C5F" w:rsidRDefault="009B03E9" w:rsidP="002524B2">
            <w:pPr>
              <w:pStyle w:val="Tabletext"/>
            </w:pPr>
            <w:r w:rsidRPr="00BD6C5F">
              <w:t>an admission agreement in the form available on the Civil Service Pensions website immediately prior to the Relevant Transfer Date to be entered into for the CSPS in respect of the Services;</w:t>
            </w:r>
          </w:p>
        </w:tc>
      </w:tr>
      <w:tr w:rsidR="00BC7DDA" w:rsidRPr="00BD6C5F" w14:paraId="207B2592" w14:textId="77777777" w:rsidTr="000E1EDB">
        <w:tc>
          <w:tcPr>
            <w:tcW w:w="3572" w:type="dxa"/>
          </w:tcPr>
          <w:p w14:paraId="5BDD7396" w14:textId="74B012A6" w:rsidR="00BC7DDA" w:rsidRPr="00BD6C5F" w:rsidRDefault="00A4555C" w:rsidP="002524B2">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CSPS Eligible Employee</w:t>
            </w:r>
            <w:r w:rsidRPr="00BD6C5F">
              <w:rPr>
                <w:rFonts w:asciiTheme="minorHAnsi" w:hAnsiTheme="minorHAnsi" w:cstheme="minorHAnsi"/>
                <w:b/>
              </w:rPr>
              <w:t>”</w:t>
            </w:r>
          </w:p>
        </w:tc>
        <w:tc>
          <w:tcPr>
            <w:tcW w:w="5953" w:type="dxa"/>
          </w:tcPr>
          <w:p w14:paraId="59A816AF" w14:textId="77777777" w:rsidR="00BC7DDA" w:rsidRPr="00BD6C5F" w:rsidRDefault="009B03E9" w:rsidP="002524B2">
            <w:pPr>
              <w:pStyle w:val="Tabletext"/>
              <w:rPr>
                <w:rFonts w:asciiTheme="minorHAnsi" w:hAnsiTheme="minorHAnsi" w:cstheme="minorHAnsi"/>
              </w:rPr>
            </w:pPr>
            <w:r w:rsidRPr="00BD6C5F">
              <w:rPr>
                <w:rFonts w:asciiTheme="minorHAnsi" w:hAnsiTheme="minorHAnsi" w:cstheme="minorHAnsi"/>
              </w:rPr>
              <w:t>any CSPS Fair Deal Employee who at the relevant time is an active member or eligible to participate in the CSPS under a CSPS Admission Agreement;</w:t>
            </w:r>
          </w:p>
        </w:tc>
      </w:tr>
      <w:tr w:rsidR="00BC7DDA" w:rsidRPr="00BD6C5F" w14:paraId="67BDA936" w14:textId="77777777" w:rsidTr="000E1EDB">
        <w:tc>
          <w:tcPr>
            <w:tcW w:w="3572" w:type="dxa"/>
          </w:tcPr>
          <w:p w14:paraId="2F5D1E64" w14:textId="1682B7FF" w:rsidR="00BC7DDA" w:rsidRPr="00BD6C5F" w:rsidRDefault="00A4555C" w:rsidP="002524B2">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CSPS Fair Deal Employee</w:t>
            </w:r>
            <w:r w:rsidRPr="00BD6C5F">
              <w:rPr>
                <w:rFonts w:asciiTheme="minorHAnsi" w:hAnsiTheme="minorHAnsi" w:cstheme="minorHAnsi"/>
                <w:b/>
              </w:rPr>
              <w:t>”</w:t>
            </w:r>
          </w:p>
        </w:tc>
        <w:tc>
          <w:tcPr>
            <w:tcW w:w="5953" w:type="dxa"/>
          </w:tcPr>
          <w:p w14:paraId="2263BFB1" w14:textId="77777777" w:rsidR="00BC7DDA" w:rsidRPr="00BD6C5F" w:rsidRDefault="009B03E9" w:rsidP="002524B2">
            <w:pPr>
              <w:pStyle w:val="Tabletext"/>
              <w:rPr>
                <w:rFonts w:asciiTheme="minorHAnsi" w:hAnsiTheme="minorHAnsi" w:cstheme="minorHAnsi"/>
              </w:rPr>
            </w:pPr>
            <w:r w:rsidRPr="00BD6C5F">
              <w:rPr>
                <w:rFonts w:asciiTheme="minorHAnsi" w:hAnsiTheme="minorHAnsi" w:cstheme="minorHAnsi"/>
              </w:rPr>
              <w:t>a Fair Deal Employee who at the Relevant Transfer Date is or becomes entitled to protection in respect of the CSPS in accordance with the provisions of New Fair Deal;</w:t>
            </w:r>
          </w:p>
        </w:tc>
      </w:tr>
      <w:tr w:rsidR="00BC7DDA" w:rsidRPr="00BD6C5F" w14:paraId="0CE3E54A" w14:textId="77777777" w:rsidTr="000E1EDB">
        <w:tc>
          <w:tcPr>
            <w:tcW w:w="3572" w:type="dxa"/>
          </w:tcPr>
          <w:p w14:paraId="72117A7E" w14:textId="0BC4B7F9" w:rsidR="00BC7DDA" w:rsidRPr="00BD6C5F" w:rsidRDefault="00A4555C" w:rsidP="002524B2">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CSPS</w:t>
            </w:r>
            <w:r w:rsidRPr="00BD6C5F">
              <w:rPr>
                <w:rFonts w:asciiTheme="minorHAnsi" w:hAnsiTheme="minorHAnsi" w:cstheme="minorHAnsi"/>
                <w:b/>
              </w:rPr>
              <w:t>”</w:t>
            </w:r>
          </w:p>
        </w:tc>
        <w:tc>
          <w:tcPr>
            <w:tcW w:w="5953" w:type="dxa"/>
          </w:tcPr>
          <w:p w14:paraId="2EDDC539" w14:textId="15A2164B" w:rsidR="00BC7DDA" w:rsidRPr="00BD6C5F" w:rsidRDefault="008847D1" w:rsidP="002524B2">
            <w:pPr>
              <w:pStyle w:val="Tabletext"/>
              <w:rPr>
                <w:rFonts w:asciiTheme="minorHAnsi" w:hAnsiTheme="minorHAnsi" w:cstheme="minorHAnsi"/>
              </w:rPr>
            </w:pPr>
            <w:r w:rsidRPr="008847D1">
              <w:rPr>
                <w:rFonts w:asciiTheme="minorHAnsi" w:hAnsiTheme="minorHAnsi" w:cstheme="minorHAnsi"/>
              </w:rPr>
              <w:t xml:space="preserve">The "Alpha" pension scheme introduced under The Public Service (Civil Servants and Others) Pensions Regulations 2014 </w:t>
            </w:r>
            <w:r w:rsidR="009B03E9" w:rsidRPr="00BD6C5F">
              <w:rPr>
                <w:rFonts w:asciiTheme="minorHAnsi" w:hAnsiTheme="minorHAnsi" w:cstheme="minorHAnsi"/>
              </w:rPr>
              <w:t>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w:t>
            </w:r>
          </w:p>
        </w:tc>
      </w:tr>
    </w:tbl>
    <w:p w14:paraId="36DCF186" w14:textId="394E6DED" w:rsidR="00BC7DDA" w:rsidRPr="00BD6C5F" w:rsidRDefault="00E6623F" w:rsidP="00F762C3">
      <w:pPr>
        <w:pStyle w:val="AppendixText1"/>
      </w:pPr>
      <w:r w:rsidRPr="00BD6C5F">
        <w:t>Future Service Benefits</w:t>
      </w:r>
    </w:p>
    <w:p w14:paraId="552A6B55" w14:textId="0E14DEE3" w:rsidR="00BC7DDA" w:rsidRPr="00BD6C5F" w:rsidRDefault="009B03E9" w:rsidP="00F762C3">
      <w:pPr>
        <w:pStyle w:val="AppendixText2"/>
      </w:pPr>
      <w:bookmarkStart w:id="1691" w:name="_bookmark575"/>
      <w:bookmarkStart w:id="1692" w:name="_Ref98427578"/>
      <w:bookmarkEnd w:id="1691"/>
      <w:r w:rsidRPr="00BD6C5F">
        <w:t xml:space="preserve">In accordance with New Fair Deal, the Supplier and/or any of its Sub-contractors to which the employment of any CSPS Fair Deal Employee compulsorily transfers as a result of either the award of this </w:t>
      </w:r>
      <w:r w:rsidR="00651B19" w:rsidRPr="00BD6C5F">
        <w:t xml:space="preserve">Contract </w:t>
      </w:r>
      <w:r w:rsidRPr="00BD6C5F">
        <w:t>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w:t>
      </w:r>
      <w:bookmarkEnd w:id="1692"/>
    </w:p>
    <w:p w14:paraId="473260EB" w14:textId="7FE38C55" w:rsidR="00BC7DDA" w:rsidRPr="00BD6C5F" w:rsidRDefault="009B03E9" w:rsidP="00F762C3">
      <w:pPr>
        <w:pStyle w:val="AppendixText2"/>
      </w:pPr>
      <w:bookmarkStart w:id="1693" w:name="_bookmark576"/>
      <w:bookmarkStart w:id="1694" w:name="_Ref98427233"/>
      <w:bookmarkEnd w:id="1693"/>
      <w:r w:rsidRPr="00BD6C5F">
        <w:t xml:space="preserve">If the Supplier and/or any of its Sub-contractors enters into a CSPS Admission Agreement in accordance with </w:t>
      </w:r>
      <w:r w:rsidR="00FB0F44" w:rsidRPr="00BD6C5F">
        <w:t>P</w:t>
      </w:r>
      <w:r w:rsidRPr="00BD6C5F">
        <w:t>aragraph</w:t>
      </w:r>
      <w:r w:rsidR="000F58DA" w:rsidRPr="00BD6C5F">
        <w:t> </w:t>
      </w:r>
      <w:r w:rsidR="00D91D35" w:rsidRPr="00BD6C5F">
        <w:fldChar w:fldCharType="begin"/>
      </w:r>
      <w:r w:rsidR="00D91D35" w:rsidRPr="00BD6C5F">
        <w:instrText xml:space="preserve"> REF _Ref98427578 \w \h </w:instrText>
      </w:r>
      <w:r w:rsidR="00AD7DD0" w:rsidRPr="00BD6C5F">
        <w:instrText xml:space="preserve"> \* MERGEFORMAT </w:instrText>
      </w:r>
      <w:r w:rsidR="00D91D35" w:rsidRPr="00BD6C5F">
        <w:fldChar w:fldCharType="separate"/>
      </w:r>
      <w:r w:rsidR="009749A0">
        <w:t>2.1</w:t>
      </w:r>
      <w:r w:rsidR="00D91D35" w:rsidRPr="00BD6C5F">
        <w:fldChar w:fldCharType="end"/>
      </w:r>
      <w:r w:rsidRPr="00BD6C5F">
        <w:t xml:space="preserve"> but the CSPS Admission Agreement is terminated during the term of this </w:t>
      </w:r>
      <w:r w:rsidR="00651B19" w:rsidRPr="00BD6C5F">
        <w:t xml:space="preserve">Contract </w:t>
      </w:r>
      <w:r w:rsidRPr="00BD6C5F">
        <w:t xml:space="preserve">for any reason at a time when the Supplier or Sub-contractor still employs any CSPS Eligible Employees, the Supplier shall (and procure that its Sub-contractors shall) at </w:t>
      </w:r>
      <w:r w:rsidRPr="00BD6C5F">
        <w:lastRenderedPageBreak/>
        <w:t>no extra cost to the Authority, offer the remaining CSPS Eligible Employees membership of a pension scheme which is Broadly Comparable to the CSPS on the date those CSPS Eligible Employees ceased to participate in the CSPS in accordance with the provisions of paragraph</w:t>
      </w:r>
      <w:r w:rsidR="00D91D35" w:rsidRPr="00BD6C5F">
        <w:t> </w:t>
      </w:r>
      <w:r w:rsidR="00D91D35" w:rsidRPr="00BD6C5F">
        <w:fldChar w:fldCharType="begin"/>
      </w:r>
      <w:r w:rsidR="00D91D35" w:rsidRPr="00BD6C5F">
        <w:instrText xml:space="preserve"> REF _Ref98426297 \w \h </w:instrText>
      </w:r>
      <w:r w:rsidR="00AD7DD0" w:rsidRPr="00BD6C5F">
        <w:instrText xml:space="preserve"> \* MERGEFORMAT </w:instrText>
      </w:r>
      <w:r w:rsidR="00D91D35" w:rsidRPr="00BD6C5F">
        <w:fldChar w:fldCharType="separate"/>
      </w:r>
      <w:r w:rsidR="009749A0">
        <w:t>11</w:t>
      </w:r>
      <w:r w:rsidR="00D91D35" w:rsidRPr="00BD6C5F">
        <w:fldChar w:fldCharType="end"/>
      </w:r>
      <w:r w:rsidRPr="00BD6C5F">
        <w:t xml:space="preserve"> of</w:t>
      </w:r>
      <w:r w:rsidR="00C101F7">
        <w:t xml:space="preserve"> 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w:t>
      </w:r>
      <w:bookmarkEnd w:id="1694"/>
    </w:p>
    <w:p w14:paraId="4802DA54" w14:textId="77777777" w:rsidR="002524B2" w:rsidRPr="00BD6C5F" w:rsidRDefault="002524B2" w:rsidP="002524B2"/>
    <w:p w14:paraId="716BEFE9" w14:textId="42AB7DB8" w:rsidR="00D27CFD" w:rsidRPr="00BD6C5F" w:rsidRDefault="00D27CFD" w:rsidP="002524B2">
      <w:r w:rsidRPr="00BD6C5F">
        <w:br w:type="page"/>
      </w:r>
    </w:p>
    <w:p w14:paraId="531FF193" w14:textId="3DE0E081" w:rsidR="00BC7DDA" w:rsidRPr="00BD6C5F" w:rsidRDefault="00E6623F" w:rsidP="0018141E">
      <w:pPr>
        <w:pStyle w:val="Heading2"/>
      </w:pPr>
      <w:bookmarkStart w:id="1695" w:name="_bookmark577"/>
      <w:bookmarkStart w:id="1696" w:name="_Toc98332788"/>
      <w:bookmarkStart w:id="1697" w:name="_Ref98332809"/>
      <w:bookmarkStart w:id="1698" w:name="_Ref98456822"/>
      <w:bookmarkStart w:id="1699" w:name="_Toc141721057"/>
      <w:bookmarkEnd w:id="1695"/>
      <w:r w:rsidRPr="00BD6C5F">
        <w:lastRenderedPageBreak/>
        <w:t xml:space="preserve">Annex </w:t>
      </w:r>
      <w:bookmarkStart w:id="1700" w:name="Schedule_28_Part_D_Annex_2"/>
      <w:r w:rsidRPr="00BD6C5F">
        <w:t>2</w:t>
      </w:r>
      <w:bookmarkEnd w:id="1700"/>
      <w:r w:rsidRPr="00BD6C5F">
        <w:t>: NHSPS</w:t>
      </w:r>
      <w:bookmarkEnd w:id="1696"/>
      <w:bookmarkEnd w:id="1697"/>
      <w:bookmarkEnd w:id="1698"/>
      <w:bookmarkEnd w:id="1699"/>
    </w:p>
    <w:p w14:paraId="199C73D7" w14:textId="762DF2F2" w:rsidR="000E712C" w:rsidRPr="00BD6C5F" w:rsidRDefault="00E6623F" w:rsidP="00B71FC0">
      <w:pPr>
        <w:pStyle w:val="AppendixText1"/>
        <w:numPr>
          <w:ilvl w:val="0"/>
          <w:numId w:val="164"/>
        </w:numPr>
      </w:pPr>
      <w:r w:rsidRPr="00BD6C5F">
        <w:t>Definitions</w:t>
      </w:r>
    </w:p>
    <w:p w14:paraId="2214AD30" w14:textId="5112D557" w:rsidR="000E712C" w:rsidRPr="00BD6C5F" w:rsidRDefault="000E712C" w:rsidP="009F4A63">
      <w:pPr>
        <w:pStyle w:val="AppendixText2"/>
        <w:keepNext/>
      </w:pPr>
      <w:r w:rsidRPr="00BD6C5F">
        <w:t xml:space="preserve">In this </w:t>
      </w:r>
      <w:r w:rsidR="00DF7441">
        <w:t>Annex </w:t>
      </w:r>
      <w:r w:rsidR="00DF7441">
        <w:fldChar w:fldCharType="begin"/>
      </w:r>
      <w:r w:rsidR="00DF7441">
        <w:instrText xml:space="preserve"> REF Schedule_28_Part_D_Annex_2 \h </w:instrText>
      </w:r>
      <w:r w:rsidR="00DF7441">
        <w:fldChar w:fldCharType="separate"/>
      </w:r>
      <w:r w:rsidR="009749A0" w:rsidRPr="00BD6C5F">
        <w:t>2</w:t>
      </w:r>
      <w:r w:rsidR="00DF7441">
        <w:fldChar w:fldCharType="end"/>
      </w:r>
      <w:r w:rsidR="00DF7441">
        <w:t xml:space="preserve"> of Part </w:t>
      </w:r>
      <w:r w:rsidR="00DF7441">
        <w:fldChar w:fldCharType="begin"/>
      </w:r>
      <w:r w:rsidR="00DF7441">
        <w:instrText xml:space="preserve"> REF Schedule_28_Part_D \h </w:instrText>
      </w:r>
      <w:r w:rsidR="00DF7441">
        <w:fldChar w:fldCharType="separate"/>
      </w:r>
      <w:r w:rsidR="009749A0" w:rsidRPr="00BD6C5F">
        <w:t>D</w:t>
      </w:r>
      <w:r w:rsidR="00DF7441">
        <w:fldChar w:fldCharType="end"/>
      </w:r>
      <w:r w:rsidR="00FB0F44" w:rsidRPr="00BD6C5F">
        <w:t>:</w:t>
      </w:r>
      <w:r w:rsidRPr="00BD6C5F">
        <w:t xml:space="preserve"> NHSPS Pensions, the following words have the following meanings:</w:t>
      </w:r>
    </w:p>
    <w:tbl>
      <w:tblPr>
        <w:tblStyle w:val="TableGrid"/>
        <w:tblW w:w="9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572"/>
        <w:gridCol w:w="5953"/>
      </w:tblGrid>
      <w:tr w:rsidR="000E712C" w:rsidRPr="00BD6C5F" w14:paraId="6B7191E9" w14:textId="77777777" w:rsidTr="0041215F">
        <w:tc>
          <w:tcPr>
            <w:tcW w:w="3572" w:type="dxa"/>
          </w:tcPr>
          <w:p w14:paraId="0E44D91E" w14:textId="053E658E"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Direction Letter/Determination</w:t>
            </w:r>
            <w:r w:rsidRPr="00BD6C5F">
              <w:rPr>
                <w:rFonts w:asciiTheme="minorHAnsi" w:hAnsiTheme="minorHAnsi" w:cstheme="minorHAnsi"/>
                <w:b/>
                <w:bCs/>
              </w:rPr>
              <w:t>”</w:t>
            </w:r>
          </w:p>
        </w:tc>
        <w:tc>
          <w:tcPr>
            <w:tcW w:w="5953" w:type="dxa"/>
          </w:tcPr>
          <w:p w14:paraId="0249FCBD" w14:textId="77777777" w:rsidR="000E712C" w:rsidRPr="00BD6C5F" w:rsidRDefault="000E712C" w:rsidP="002524B2">
            <w:pPr>
              <w:pStyle w:val="Tabletext"/>
            </w:pPr>
            <w:r w:rsidRPr="00BD6C5F">
              <w:t xml:space="preserve">an NHS Pensions Direction or Determination (as appropriate) issued by the Secretary of State in exercise of the powers conferred by </w:t>
            </w:r>
            <w:bookmarkStart w:id="1701" w:name="_9kR3WTr2797EG1rcszv1LAw25rdoI3630EMAAJF"/>
            <w:r w:rsidRPr="00BD6C5F">
              <w:t>section 7 of the Superannuation (Miscellaneous Provisions) Act 1967</w:t>
            </w:r>
            <w:bookmarkEnd w:id="1701"/>
            <w:r w:rsidRPr="00BD6C5F">
              <w:t xml:space="preserve"> or by </w:t>
            </w:r>
            <w:bookmarkStart w:id="1702" w:name="_9kMHG5YVt49B9GM7teu1x3IOBz58udo7z7zkhDV"/>
            <w:r w:rsidRPr="00BD6C5F">
              <w:t>section 25 of the Public Service Pensions Act 2013</w:t>
            </w:r>
            <w:bookmarkEnd w:id="1702"/>
            <w:r w:rsidRPr="00BD6C5F">
              <w:t xml:space="preserve"> (as appropriate) and issued to the Supplier or a Sub-contractor of the Supplier (as appropriate) relating to the terms of participation of the Supplier or Sub-contractor in the NHSPS in respect of the NHSPS Fair Deal Employees;</w:t>
            </w:r>
          </w:p>
        </w:tc>
      </w:tr>
      <w:tr w:rsidR="000E712C" w:rsidRPr="00BD6C5F" w14:paraId="340C7D94" w14:textId="77777777" w:rsidTr="0041215F">
        <w:tc>
          <w:tcPr>
            <w:tcW w:w="3572" w:type="dxa"/>
          </w:tcPr>
          <w:p w14:paraId="7EF77AC6" w14:textId="22C360CD"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 Broadly Comparable Employees</w:t>
            </w:r>
            <w:r w:rsidRPr="00BD6C5F">
              <w:rPr>
                <w:rFonts w:asciiTheme="minorHAnsi" w:hAnsiTheme="minorHAnsi" w:cstheme="minorHAnsi"/>
                <w:b/>
                <w:bCs/>
              </w:rPr>
              <w:t>”</w:t>
            </w:r>
          </w:p>
        </w:tc>
        <w:tc>
          <w:tcPr>
            <w:tcW w:w="5953" w:type="dxa"/>
          </w:tcPr>
          <w:p w14:paraId="772DFAAF"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means each of the Fair Deal Employees who at a Relevant Transfer Date was a member of, or was entitled to become a member of, or but for their compulsory transfer of employment would have been entitled to be or become a member of, the NHSPS as a result of either:</w:t>
            </w:r>
          </w:p>
          <w:p w14:paraId="39F6F60C" w14:textId="77777777" w:rsidR="000E712C" w:rsidRPr="00BD6C5F" w:rsidRDefault="000E712C" w:rsidP="0040545B">
            <w:pPr>
              <w:pStyle w:val="Tablea"/>
            </w:pPr>
            <w:r w:rsidRPr="00BD6C5F">
              <w:t>their employment with the Authority, an NHS Body or other employer which participates automatically in the NHSPS; or</w:t>
            </w:r>
          </w:p>
          <w:p w14:paraId="524A088B" w14:textId="2951CB5F" w:rsidR="000E712C" w:rsidRPr="00BD6C5F" w:rsidRDefault="000E712C" w:rsidP="003A5D4B">
            <w:pPr>
              <w:pStyle w:val="Tablea"/>
            </w:pPr>
            <w:r w:rsidRPr="00BD6C5F">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7D36A2B2"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but who is now ineligible to participate in the NHSPS under the rules of the NHSPS and in respect of whom the Authority has agreed are to be provided with a Broadly Comparable pension scheme to provide Pension Benefits that are Broadly Comparable to those provided under the NHSPS.</w:t>
            </w:r>
          </w:p>
        </w:tc>
      </w:tr>
      <w:tr w:rsidR="000E712C" w:rsidRPr="00BD6C5F" w14:paraId="0A12DEB0" w14:textId="77777777" w:rsidTr="0041215F">
        <w:tc>
          <w:tcPr>
            <w:tcW w:w="3572" w:type="dxa"/>
          </w:tcPr>
          <w:p w14:paraId="5E3A546E" w14:textId="49AE397C"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NHSPS Eligible Employees</w:t>
            </w:r>
            <w:r w:rsidRPr="00BD6C5F">
              <w:rPr>
                <w:rFonts w:asciiTheme="minorHAnsi" w:hAnsiTheme="minorHAnsi" w:cstheme="minorHAnsi"/>
                <w:b/>
                <w:bCs/>
              </w:rPr>
              <w:t>”</w:t>
            </w:r>
          </w:p>
        </w:tc>
        <w:tc>
          <w:tcPr>
            <w:tcW w:w="5953" w:type="dxa"/>
          </w:tcPr>
          <w:p w14:paraId="7EC5EC9A"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any NHSPS Fair Deal Employee who at the relevant </w:t>
            </w:r>
            <w:r w:rsidRPr="00BD6C5F">
              <w:t>time</w:t>
            </w:r>
            <w:r w:rsidRPr="00BD6C5F">
              <w:rPr>
                <w:rFonts w:asciiTheme="minorHAnsi" w:hAnsiTheme="minorHAnsi" w:cstheme="minorHAnsi"/>
              </w:rPr>
              <w:t xml:space="preserve"> is an active member or eligible to participate in </w:t>
            </w:r>
            <w:r w:rsidRPr="00BD6C5F">
              <w:rPr>
                <w:rFonts w:asciiTheme="minorHAnsi" w:hAnsiTheme="minorHAnsi" w:cstheme="minorHAnsi"/>
              </w:rPr>
              <w:lastRenderedPageBreak/>
              <w:t>the NHSPS under a Direction Letter/Determination Letter.</w:t>
            </w:r>
          </w:p>
        </w:tc>
      </w:tr>
      <w:tr w:rsidR="000E712C" w:rsidRPr="00BD6C5F" w14:paraId="036601E9" w14:textId="77777777" w:rsidTr="0041215F">
        <w:tc>
          <w:tcPr>
            <w:tcW w:w="3572" w:type="dxa"/>
          </w:tcPr>
          <w:p w14:paraId="10F5BA77" w14:textId="24D7CBE7"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lastRenderedPageBreak/>
              <w:t>“</w:t>
            </w:r>
            <w:r w:rsidR="000E712C" w:rsidRPr="00BD6C5F">
              <w:rPr>
                <w:rFonts w:asciiTheme="minorHAnsi" w:hAnsiTheme="minorHAnsi" w:cstheme="minorHAnsi"/>
                <w:b/>
                <w:bCs/>
              </w:rPr>
              <w:t>NHSPS Fair Deal Employees</w:t>
            </w:r>
            <w:r w:rsidRPr="00BD6C5F">
              <w:rPr>
                <w:rFonts w:asciiTheme="minorHAnsi" w:hAnsiTheme="minorHAnsi" w:cstheme="minorHAnsi"/>
                <w:b/>
                <w:bCs/>
              </w:rPr>
              <w:t>”</w:t>
            </w:r>
          </w:p>
        </w:tc>
        <w:tc>
          <w:tcPr>
            <w:tcW w:w="5953" w:type="dxa"/>
          </w:tcPr>
          <w:p w14:paraId="3DFF275F"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means </w:t>
            </w:r>
            <w:r w:rsidRPr="00BD6C5F">
              <w:t>other</w:t>
            </w:r>
            <w:r w:rsidRPr="00BD6C5F">
              <w:rPr>
                <w:rFonts w:asciiTheme="minorHAnsi" w:hAnsiTheme="minorHAnsi" w:cstheme="minorHAnsi"/>
              </w:rPr>
              <w:t xml:space="preserve">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p w14:paraId="00962D93" w14:textId="77777777" w:rsidR="000E712C" w:rsidRPr="00BD6C5F" w:rsidRDefault="000E712C" w:rsidP="0040545B">
            <w:pPr>
              <w:pStyle w:val="Tablea"/>
            </w:pPr>
            <w:r w:rsidRPr="00BD6C5F">
              <w:t>their employment with the Authority, an NHS Body or other employer which participates automatically in the NHSPS; or</w:t>
            </w:r>
          </w:p>
          <w:p w14:paraId="1C5F0D83" w14:textId="3B7848DF" w:rsidR="000E712C" w:rsidRPr="00BD6C5F" w:rsidRDefault="000E712C" w:rsidP="003A5D4B">
            <w:pPr>
              <w:pStyle w:val="Tablea"/>
            </w:pPr>
            <w:r w:rsidRPr="00BD6C5F">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05961B68"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and, in each case, being continuously engaged for more than fifty per cent (50%) of their employed time in the delivery of services (the same as or similar to the Services).</w:t>
            </w:r>
          </w:p>
          <w:p w14:paraId="6AA62854" w14:textId="61ED0B83"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For the avoidance of doubt, an individual who is in or entitled </w:t>
            </w:r>
            <w:r w:rsidRPr="00BD6C5F">
              <w:t>to</w:t>
            </w:r>
            <w:r w:rsidRPr="00BD6C5F">
              <w:rPr>
                <w:rFonts w:asciiTheme="minorHAnsi" w:hAnsiTheme="minorHAnsi" w:cstheme="minorHAnsi"/>
              </w:rPr>
              <w:t xml:space="preserve"> become a member of the NHSPS as a result of being engaged in the Services and being covered by an </w:t>
            </w:r>
            <w:r w:rsidR="00A4555C" w:rsidRPr="00BD6C5F">
              <w:rPr>
                <w:rFonts w:asciiTheme="minorHAnsi" w:hAnsiTheme="minorHAnsi" w:cstheme="minorHAnsi"/>
              </w:rPr>
              <w:t>“</w:t>
            </w:r>
            <w:r w:rsidRPr="00BD6C5F">
              <w:rPr>
                <w:rFonts w:asciiTheme="minorHAnsi" w:hAnsiTheme="minorHAnsi" w:cstheme="minorHAnsi"/>
              </w:rPr>
              <w:t>open</w:t>
            </w:r>
            <w:r w:rsidR="00A4555C" w:rsidRPr="00BD6C5F">
              <w:rPr>
                <w:rFonts w:asciiTheme="minorHAnsi" w:hAnsiTheme="minorHAnsi" w:cstheme="minorHAnsi"/>
              </w:rPr>
              <w:t>”</w:t>
            </w:r>
            <w:r w:rsidRPr="00BD6C5F">
              <w:rPr>
                <w:rFonts w:asciiTheme="minorHAnsi" w:hAnsiTheme="minorHAnsi" w:cstheme="minorHAnsi"/>
              </w:rPr>
              <w:t xml:space="preserve"> Direction Letter/Determination or other NHSPS </w:t>
            </w:r>
            <w:r w:rsidR="00A4555C" w:rsidRPr="00BD6C5F">
              <w:rPr>
                <w:rFonts w:asciiTheme="minorHAnsi" w:hAnsiTheme="minorHAnsi" w:cstheme="minorHAnsi"/>
              </w:rPr>
              <w:t>“</w:t>
            </w:r>
            <w:r w:rsidRPr="00BD6C5F">
              <w:rPr>
                <w:rFonts w:asciiTheme="minorHAnsi" w:hAnsiTheme="minorHAnsi" w:cstheme="minorHAnsi"/>
              </w:rPr>
              <w:t>access</w:t>
            </w:r>
            <w:r w:rsidR="00A4555C" w:rsidRPr="00BD6C5F">
              <w:rPr>
                <w:rFonts w:asciiTheme="minorHAnsi" w:hAnsiTheme="minorHAnsi" w:cstheme="minorHAnsi"/>
              </w:rPr>
              <w:t>”</w:t>
            </w:r>
            <w:r w:rsidRPr="00BD6C5F">
              <w:rPr>
                <w:rFonts w:asciiTheme="minorHAnsi" w:hAnsiTheme="minorHAnsi" w:cstheme="minorHAnsi"/>
              </w:rPr>
              <w:t xml:space="preserve"> facility but who has never been employed directly by the Authority, an NHS Body or other body which participates automatically in the NHSPS is not an NHSPS Fair Deal Employee; </w:t>
            </w:r>
          </w:p>
        </w:tc>
      </w:tr>
      <w:tr w:rsidR="000E712C" w:rsidRPr="00BD6C5F" w14:paraId="23D85441" w14:textId="77777777" w:rsidTr="0041215F">
        <w:tc>
          <w:tcPr>
            <w:tcW w:w="3572" w:type="dxa"/>
          </w:tcPr>
          <w:p w14:paraId="7B640C47" w14:textId="7F0468F6"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 Body</w:t>
            </w:r>
            <w:r w:rsidRPr="00BD6C5F">
              <w:rPr>
                <w:rFonts w:asciiTheme="minorHAnsi" w:hAnsiTheme="minorHAnsi" w:cstheme="minorHAnsi"/>
                <w:b/>
                <w:bCs/>
              </w:rPr>
              <w:t>”</w:t>
            </w:r>
          </w:p>
        </w:tc>
        <w:tc>
          <w:tcPr>
            <w:tcW w:w="5953" w:type="dxa"/>
          </w:tcPr>
          <w:p w14:paraId="4837E851"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has the meaning given to it in </w:t>
            </w:r>
            <w:bookmarkStart w:id="1703" w:name="_9kR3WTr2797EI3rcszv1GOSAy47taR4D9F21jXx"/>
            <w:r w:rsidRPr="00BD6C5F">
              <w:rPr>
                <w:rFonts w:asciiTheme="minorHAnsi" w:hAnsiTheme="minorHAnsi" w:cstheme="minorHAnsi"/>
              </w:rPr>
              <w:t xml:space="preserve">section 275 of the National </w:t>
            </w:r>
            <w:r w:rsidRPr="00BD6C5F">
              <w:t>Health</w:t>
            </w:r>
            <w:r w:rsidRPr="00BD6C5F">
              <w:rPr>
                <w:rFonts w:asciiTheme="minorHAnsi" w:hAnsiTheme="minorHAnsi" w:cstheme="minorHAnsi"/>
              </w:rPr>
              <w:t xml:space="preserve"> Service Act 2006</w:t>
            </w:r>
            <w:bookmarkEnd w:id="1703"/>
            <w:r w:rsidRPr="00BD6C5F">
              <w:rPr>
                <w:rFonts w:asciiTheme="minorHAnsi" w:hAnsiTheme="minorHAnsi" w:cstheme="minorHAnsi"/>
              </w:rPr>
              <w:t xml:space="preserve"> as amended by </w:t>
            </w:r>
            <w:bookmarkStart w:id="1704" w:name="_9kR3WTr2797EM7rcszv1FJRRww0fXtwtAJ4ORPQ"/>
            <w:r w:rsidRPr="00BD6C5F">
              <w:rPr>
                <w:rFonts w:asciiTheme="minorHAnsi" w:hAnsiTheme="minorHAnsi" w:cstheme="minorHAnsi"/>
              </w:rPr>
              <w:t>section 138(2)(c) of Schedule 4 to the Health and Social Care Act 2012</w:t>
            </w:r>
            <w:bookmarkEnd w:id="1704"/>
            <w:r w:rsidRPr="00BD6C5F">
              <w:rPr>
                <w:rFonts w:asciiTheme="minorHAnsi" w:hAnsiTheme="minorHAnsi" w:cstheme="minorHAnsi"/>
              </w:rPr>
              <w:t>;</w:t>
            </w:r>
          </w:p>
        </w:tc>
      </w:tr>
      <w:tr w:rsidR="000E712C" w:rsidRPr="00BD6C5F" w14:paraId="5A2E5E7B" w14:textId="77777777" w:rsidTr="0041215F">
        <w:tc>
          <w:tcPr>
            <w:tcW w:w="3572" w:type="dxa"/>
          </w:tcPr>
          <w:p w14:paraId="3D24F983" w14:textId="4A44CAA3"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 Pensions</w:t>
            </w:r>
            <w:r w:rsidRPr="00BD6C5F">
              <w:rPr>
                <w:rFonts w:asciiTheme="minorHAnsi" w:hAnsiTheme="minorHAnsi" w:cstheme="minorHAnsi"/>
                <w:b/>
                <w:bCs/>
              </w:rPr>
              <w:t>”</w:t>
            </w:r>
          </w:p>
        </w:tc>
        <w:tc>
          <w:tcPr>
            <w:tcW w:w="5953" w:type="dxa"/>
          </w:tcPr>
          <w:p w14:paraId="4E84DD66"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NHS </w:t>
            </w:r>
            <w:r w:rsidRPr="00BD6C5F">
              <w:t>Pensions</w:t>
            </w:r>
            <w:r w:rsidRPr="00BD6C5F">
              <w:rPr>
                <w:rFonts w:asciiTheme="minorHAnsi" w:hAnsiTheme="minorHAnsi" w:cstheme="minorHAnsi"/>
              </w:rPr>
              <w:t xml:space="preserve"> as the administrators of the NHSPS or such other body as may from time to time be responsible for relevant administrative functions of the NHSPS;</w:t>
            </w:r>
          </w:p>
        </w:tc>
      </w:tr>
      <w:tr w:rsidR="000E712C" w:rsidRPr="00BD6C5F" w14:paraId="38C32AC7" w14:textId="77777777" w:rsidTr="0041215F">
        <w:tc>
          <w:tcPr>
            <w:tcW w:w="3572" w:type="dxa"/>
          </w:tcPr>
          <w:p w14:paraId="3FEB7903" w14:textId="48DB01BD"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lastRenderedPageBreak/>
              <w:t>“</w:t>
            </w:r>
            <w:r w:rsidR="000E712C" w:rsidRPr="00BD6C5F">
              <w:rPr>
                <w:rFonts w:asciiTheme="minorHAnsi" w:hAnsiTheme="minorHAnsi" w:cstheme="minorHAnsi"/>
                <w:b/>
                <w:bCs/>
              </w:rPr>
              <w:t>NHSPS</w:t>
            </w:r>
            <w:r w:rsidRPr="00BD6C5F">
              <w:rPr>
                <w:rFonts w:asciiTheme="minorHAnsi" w:hAnsiTheme="minorHAnsi" w:cstheme="minorHAnsi"/>
                <w:b/>
                <w:bCs/>
              </w:rPr>
              <w:t>”</w:t>
            </w:r>
          </w:p>
        </w:tc>
        <w:tc>
          <w:tcPr>
            <w:tcW w:w="5953" w:type="dxa"/>
          </w:tcPr>
          <w:p w14:paraId="478E4A3F"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the National Health Service Pension Scheme for England and Wales, established pursuant to the </w:t>
            </w:r>
            <w:bookmarkStart w:id="1705" w:name="_9kR3WTr2797DEab5qtqn19xx628VF5VZga"/>
            <w:r w:rsidRPr="00BD6C5F">
              <w:rPr>
                <w:rFonts w:asciiTheme="minorHAnsi" w:hAnsiTheme="minorHAnsi" w:cstheme="minorHAnsi"/>
              </w:rPr>
              <w:t>Superannuation Act 1972</w:t>
            </w:r>
            <w:bookmarkEnd w:id="1705"/>
            <w:r w:rsidRPr="00BD6C5F">
              <w:rPr>
                <w:rFonts w:asciiTheme="minorHAnsi" w:hAnsiTheme="minorHAnsi" w:cstheme="minorHAnsi"/>
              </w:rPr>
              <w:t xml:space="preserve"> and the Public Service Pensions Act 2013 governed by subsequent regulations under those Acts including the NHS Pension </w:t>
            </w:r>
            <w:r w:rsidRPr="00BD6C5F">
              <w:t>Scheme</w:t>
            </w:r>
            <w:r w:rsidRPr="00BD6C5F">
              <w:rPr>
                <w:rFonts w:asciiTheme="minorHAnsi" w:hAnsiTheme="minorHAnsi" w:cstheme="minorHAnsi"/>
              </w:rPr>
              <w:t xml:space="preserve"> Regulations;</w:t>
            </w:r>
          </w:p>
        </w:tc>
      </w:tr>
      <w:tr w:rsidR="000E712C" w:rsidRPr="00BD6C5F" w14:paraId="2C7C45F6" w14:textId="77777777" w:rsidTr="0041215F">
        <w:tc>
          <w:tcPr>
            <w:tcW w:w="3572" w:type="dxa"/>
          </w:tcPr>
          <w:p w14:paraId="324CF09B" w14:textId="24E348AB"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 Pension Scheme Regulations</w:t>
            </w:r>
            <w:r w:rsidRPr="00BD6C5F">
              <w:rPr>
                <w:rFonts w:asciiTheme="minorHAnsi" w:hAnsiTheme="minorHAnsi" w:cstheme="minorHAnsi"/>
                <w:b/>
                <w:bCs/>
              </w:rPr>
              <w:t>”</w:t>
            </w:r>
          </w:p>
        </w:tc>
        <w:tc>
          <w:tcPr>
            <w:tcW w:w="5953" w:type="dxa"/>
          </w:tcPr>
          <w:p w14:paraId="4CB73BC1"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as appropriate, any or all of the National Health Service Pension Scheme Regulations 1995 (SI 1995/</w:t>
            </w:r>
            <w:r w:rsidRPr="00BD6C5F">
              <w:t>300</w:t>
            </w:r>
            <w:r w:rsidRPr="00BD6C5F">
              <w:rPr>
                <w:rFonts w:asciiTheme="minorHAnsi" w:hAnsiTheme="minorHAnsi" w:cstheme="minorHAnsi"/>
              </w:rPr>
              <w:t>), the National Health Service Pension Scheme Regulations 2008 (SI 2008/653), the National Health Service Pension Scheme Regulations 2015 (2015/94) and any subsequent regulations made in respect of the NHSPS, each as amended from time to time;</w:t>
            </w:r>
          </w:p>
        </w:tc>
      </w:tr>
      <w:tr w:rsidR="000E712C" w:rsidRPr="00BD6C5F" w14:paraId="3FC00265" w14:textId="77777777" w:rsidTr="0041215F">
        <w:tc>
          <w:tcPr>
            <w:tcW w:w="3572" w:type="dxa"/>
          </w:tcPr>
          <w:p w14:paraId="3694C8F5" w14:textId="07FCB5C7"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NHS Premature Retirement Rights</w:t>
            </w:r>
            <w:r w:rsidRPr="00BD6C5F">
              <w:rPr>
                <w:rFonts w:asciiTheme="minorHAnsi" w:hAnsiTheme="minorHAnsi" w:cstheme="minorHAnsi"/>
                <w:b/>
                <w:bCs/>
              </w:rPr>
              <w:t>”</w:t>
            </w:r>
          </w:p>
        </w:tc>
        <w:tc>
          <w:tcPr>
            <w:tcW w:w="5953" w:type="dxa"/>
          </w:tcPr>
          <w:p w14:paraId="04EE29A3" w14:textId="77777777"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rights to which any NHSPS Fair Deal Employee (had </w:t>
            </w:r>
            <w:r w:rsidRPr="00BD6C5F">
              <w:t>they</w:t>
            </w:r>
            <w:r w:rsidRPr="00BD6C5F">
              <w:rPr>
                <w:rFonts w:asciiTheme="minorHAnsi" w:hAnsiTheme="minorHAnsi" w:cstheme="minorHAnsi"/>
              </w:rPr>
              <w:t xml:space="preserve"> remained in the employment of the Authority,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w:t>
            </w:r>
            <w:bookmarkStart w:id="1706" w:name="_9kR3WTr2CC7EF2rcszv1IO"/>
            <w:r w:rsidRPr="00BD6C5F">
              <w:rPr>
                <w:rFonts w:asciiTheme="minorHAnsi" w:hAnsiTheme="minorHAnsi" w:cstheme="minorHAnsi"/>
              </w:rPr>
              <w:t>section 45</w:t>
            </w:r>
            <w:bookmarkEnd w:id="1706"/>
            <w:r w:rsidRPr="00BD6C5F">
              <w:rPr>
                <w:rFonts w:asciiTheme="minorHAnsi" w:hAnsiTheme="minorHAnsi" w:cstheme="minorHAnsi"/>
              </w:rPr>
              <w:t xml:space="preserve"> of the General Whitley Council conditions of service, or any other legislative or contractual provision which replaces, amends, extends or consolidates the same from time to time;</w:t>
            </w:r>
          </w:p>
        </w:tc>
      </w:tr>
      <w:tr w:rsidR="000E712C" w:rsidRPr="00BD6C5F" w14:paraId="0524D724" w14:textId="77777777" w:rsidTr="0041215F">
        <w:tc>
          <w:tcPr>
            <w:tcW w:w="3572" w:type="dxa"/>
          </w:tcPr>
          <w:p w14:paraId="4428AEAA" w14:textId="16DE0096" w:rsidR="000E712C"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0E712C" w:rsidRPr="00BD6C5F">
              <w:rPr>
                <w:rFonts w:asciiTheme="minorHAnsi" w:hAnsiTheme="minorHAnsi" w:cstheme="minorHAnsi"/>
                <w:b/>
                <w:bCs/>
              </w:rPr>
              <w:t>Pension Benefits</w:t>
            </w:r>
            <w:r w:rsidRPr="00BD6C5F">
              <w:rPr>
                <w:rFonts w:asciiTheme="minorHAnsi" w:hAnsiTheme="minorHAnsi" w:cstheme="minorHAnsi"/>
                <w:b/>
                <w:bCs/>
              </w:rPr>
              <w:t>”</w:t>
            </w:r>
          </w:p>
        </w:tc>
        <w:tc>
          <w:tcPr>
            <w:tcW w:w="5953" w:type="dxa"/>
          </w:tcPr>
          <w:p w14:paraId="67C17EA8" w14:textId="7C8B5EBB" w:rsidR="000E712C" w:rsidRPr="00BD6C5F" w:rsidRDefault="000E712C" w:rsidP="002524B2">
            <w:pPr>
              <w:pStyle w:val="Tabletext"/>
              <w:rPr>
                <w:rFonts w:asciiTheme="minorHAnsi" w:hAnsiTheme="minorHAnsi" w:cstheme="minorHAnsi"/>
              </w:rPr>
            </w:pPr>
            <w:r w:rsidRPr="00BD6C5F">
              <w:rPr>
                <w:rFonts w:asciiTheme="minorHAnsi" w:hAnsiTheme="minorHAnsi" w:cstheme="minorHAnsi"/>
              </w:rPr>
              <w:t xml:space="preserve">any </w:t>
            </w:r>
            <w:r w:rsidRPr="00BD6C5F">
              <w:t>benefits</w:t>
            </w:r>
            <w:r w:rsidRPr="00BD6C5F">
              <w:rPr>
                <w:rFonts w:asciiTheme="minorHAnsi" w:hAnsiTheme="minorHAnsi" w:cstheme="minorHAnsi"/>
              </w:rPr>
              <w:t xml:space="preserve"> payable in respect of an individual (including but not limited to pensions related allowances and lump sums) relating to old age, invalidity or survivor</w:t>
            </w:r>
            <w:r w:rsidR="00A4555C" w:rsidRPr="00BD6C5F">
              <w:rPr>
                <w:rFonts w:asciiTheme="minorHAnsi" w:hAnsiTheme="minorHAnsi" w:cstheme="minorHAnsi"/>
              </w:rPr>
              <w:t>’</w:t>
            </w:r>
            <w:r w:rsidRPr="00BD6C5F">
              <w:rPr>
                <w:rFonts w:asciiTheme="minorHAnsi" w:hAnsiTheme="minorHAnsi" w:cstheme="minorHAnsi"/>
              </w:rPr>
              <w:t>s benefits provided under an occupational pension scheme; and</w:t>
            </w:r>
          </w:p>
        </w:tc>
      </w:tr>
    </w:tbl>
    <w:p w14:paraId="715E26F7" w14:textId="1C6481AB" w:rsidR="000E712C" w:rsidRPr="00BD6C5F" w:rsidRDefault="00E6623F" w:rsidP="00F762C3">
      <w:pPr>
        <w:pStyle w:val="AppendixText1"/>
      </w:pPr>
      <w:bookmarkStart w:id="1707" w:name="_Ref_ContractCompanion_9kb9Ut26A"/>
      <w:bookmarkStart w:id="1708" w:name="_9kR3WTrAGA6AGMCwozZZIdxywp6LC3CJAGJ5CGM"/>
      <w:r w:rsidRPr="00BD6C5F">
        <w:t>Membership of the NHSPS</w:t>
      </w:r>
      <w:bookmarkEnd w:id="1707"/>
      <w:bookmarkEnd w:id="1708"/>
    </w:p>
    <w:p w14:paraId="4409B5FC" w14:textId="77777777" w:rsidR="000E712C" w:rsidRPr="00BD6C5F" w:rsidRDefault="000E712C" w:rsidP="00F762C3">
      <w:pPr>
        <w:pStyle w:val="AppendixText2"/>
      </w:pPr>
      <w:r w:rsidRPr="00BD6C5F">
        <w:t>In accordance with New Fair Deal, the Supplier and/or any of its Sub-contractors to which the employment of any NHSPS Fair Deal Employee compulsorily transfers as a result of either the award of this Contract</w:t>
      </w:r>
      <w:r w:rsidRPr="00BD6C5F" w:rsidDel="000D1FBB">
        <w:t xml:space="preserve"> </w:t>
      </w:r>
      <w:r w:rsidRPr="00BD6C5F">
        <w:t>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this Contract.</w:t>
      </w:r>
    </w:p>
    <w:p w14:paraId="43975FE2" w14:textId="77777777" w:rsidR="000E712C" w:rsidRPr="00BD6C5F" w:rsidRDefault="000E712C" w:rsidP="00F762C3">
      <w:pPr>
        <w:pStyle w:val="AppendixText2"/>
      </w:pPr>
      <w:r w:rsidRPr="00BD6C5F">
        <w:t>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Provider must ensure that:</w:t>
      </w:r>
    </w:p>
    <w:p w14:paraId="21464B0D" w14:textId="1457EA66" w:rsidR="000E712C" w:rsidRPr="00BD6C5F" w:rsidRDefault="000E712C" w:rsidP="00F762C3">
      <w:pPr>
        <w:pStyle w:val="AppendixText3"/>
      </w:pPr>
      <w:r w:rsidRPr="00BD6C5F">
        <w:lastRenderedPageBreak/>
        <w:t>all employer</w:t>
      </w:r>
      <w:r w:rsidR="00A4555C" w:rsidRPr="00BD6C5F">
        <w:t>’</w:t>
      </w:r>
      <w:r w:rsidRPr="00BD6C5F">
        <w:t>s and NHSPS Fair Deal Employees</w:t>
      </w:r>
      <w:r w:rsidR="00A4555C" w:rsidRPr="00BD6C5F">
        <w:t>’</w:t>
      </w:r>
      <w:r w:rsidRPr="00BD6C5F">
        <w:t xml:space="preserve"> contributions intended to go to the NHSPS are kept in a separate bank account; and</w:t>
      </w:r>
    </w:p>
    <w:p w14:paraId="20BA056B" w14:textId="77777777" w:rsidR="000E712C" w:rsidRPr="00BD6C5F" w:rsidRDefault="000E712C" w:rsidP="00F762C3">
      <w:pPr>
        <w:pStyle w:val="AppendixText3"/>
      </w:pPr>
      <w:r w:rsidRPr="00BD6C5F">
        <w:t>the Pension Benefits and Premature Retirement Rights of NHSPS Fair Deal Employees are not adversely affected.</w:t>
      </w:r>
    </w:p>
    <w:p w14:paraId="1B6EAF97" w14:textId="5997D715" w:rsidR="000E712C" w:rsidRPr="00BD6C5F" w:rsidRDefault="000E712C" w:rsidP="00F762C3">
      <w:pPr>
        <w:pStyle w:val="AppendixText2"/>
      </w:pPr>
      <w:r w:rsidRPr="00BD6C5F">
        <w:t>The Supplier must supply to the Authority a complete copy of each Direction Letter/</w:t>
      </w:r>
      <w:r w:rsidR="002524B2" w:rsidRPr="00BD6C5F">
        <w:t xml:space="preserve"> </w:t>
      </w:r>
      <w:r w:rsidRPr="00BD6C5F">
        <w:t>Determination within 5 Working Days of receipt of the Direction Letter/Determination.</w:t>
      </w:r>
    </w:p>
    <w:p w14:paraId="005305E8" w14:textId="77777777" w:rsidR="000E712C" w:rsidRPr="00BD6C5F" w:rsidRDefault="000E712C" w:rsidP="00F762C3">
      <w:pPr>
        <w:pStyle w:val="AppendixText2"/>
      </w:pPr>
      <w:r w:rsidRPr="00BD6C5F">
        <w:t>The Supplier must ensure (and procure that each of its Sub-contractors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0C1644CA" w14:textId="77777777" w:rsidR="000E712C" w:rsidRPr="00BD6C5F" w:rsidRDefault="000E712C" w:rsidP="00F762C3">
      <w:pPr>
        <w:pStyle w:val="AppendixText2"/>
      </w:pPr>
      <w:r w:rsidRPr="00BD6C5F">
        <w:t>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p>
    <w:p w14:paraId="4D59B301" w14:textId="456139AA" w:rsidR="000E712C" w:rsidRPr="00BD6C5F" w:rsidRDefault="000E712C" w:rsidP="00F762C3">
      <w:pPr>
        <w:pStyle w:val="AppendixText2"/>
      </w:pPr>
      <w:r w:rsidRPr="00BD6C5F">
        <w:t xml:space="preserve">Where any employee omitted from the Direction Letter/Determination supplied in accordance with </w:t>
      </w:r>
      <w:bookmarkStart w:id="1709" w:name="_9kMHG5YVtCIC8CIOEyq1bbKfz0yr8NE5ELCIL7E"/>
      <w:r w:rsidR="00FB0F44" w:rsidRPr="00BD6C5F">
        <w:t>P</w:t>
      </w:r>
      <w:r w:rsidRPr="00BD6C5F">
        <w:t>aragraph</w:t>
      </w:r>
      <w:r w:rsidR="00D91D35" w:rsidRPr="00BD6C5F">
        <w:t> </w:t>
      </w:r>
      <w:r w:rsidR="00D91D35" w:rsidRPr="00BD6C5F">
        <w:fldChar w:fldCharType="begin"/>
      </w:r>
      <w:r w:rsidR="00D91D35" w:rsidRPr="00BD6C5F">
        <w:instrText xml:space="preserve"> REF _Ref_ContractCompanion_9kb9Ut26A \w \h </w:instrText>
      </w:r>
      <w:r w:rsidR="00B36F57" w:rsidRPr="00BD6C5F">
        <w:instrText xml:space="preserve"> \* MERGEFORMAT </w:instrText>
      </w:r>
      <w:r w:rsidR="00D91D35" w:rsidRPr="00BD6C5F">
        <w:fldChar w:fldCharType="separate"/>
      </w:r>
      <w:r w:rsidR="009749A0">
        <w:t>2</w:t>
      </w:r>
      <w:r w:rsidR="00D91D35" w:rsidRPr="00BD6C5F">
        <w:fldChar w:fldCharType="end"/>
      </w:r>
      <w:bookmarkEnd w:id="1709"/>
      <w:r w:rsidRPr="00BD6C5F">
        <w:t xml:space="preserve">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14:paraId="0535095F" w14:textId="77777777" w:rsidR="000E712C" w:rsidRPr="00BD6C5F" w:rsidRDefault="000E712C" w:rsidP="00F762C3">
      <w:pPr>
        <w:pStyle w:val="AppendixText2"/>
      </w:pPr>
      <w:r w:rsidRPr="00BD6C5F">
        <w:t>The Supplier will (and will procure that its Sub-contractors (if any) will) provide any indemnity, bond or guarantee required by NHS Pensions in relation to a Direction Letter/Determination.</w:t>
      </w:r>
    </w:p>
    <w:p w14:paraId="5EB527CC" w14:textId="15D68D35" w:rsidR="000E712C" w:rsidRPr="00BD6C5F" w:rsidRDefault="00E6623F" w:rsidP="00F762C3">
      <w:pPr>
        <w:pStyle w:val="AppendixText1"/>
      </w:pPr>
      <w:r w:rsidRPr="00BD6C5F">
        <w:t>NHS Premature Retirement Rights</w:t>
      </w:r>
    </w:p>
    <w:p w14:paraId="66C4B657" w14:textId="77777777" w:rsidR="000E712C" w:rsidRPr="00BD6C5F" w:rsidRDefault="000E712C" w:rsidP="00F762C3">
      <w:pPr>
        <w:pStyle w:val="AppendixText2"/>
      </w:pPr>
      <w:r w:rsidRPr="00BD6C5F">
        <w:t>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Authority, an NHS Body or other employer which participates automatically in the NHSPS.</w:t>
      </w:r>
    </w:p>
    <w:p w14:paraId="239423C4" w14:textId="3EB7AA72" w:rsidR="000E712C" w:rsidRPr="00BD6C5F" w:rsidRDefault="00E6623F" w:rsidP="00F762C3">
      <w:pPr>
        <w:pStyle w:val="AppendixText1"/>
      </w:pPr>
      <w:bookmarkStart w:id="1710" w:name="_Ref_ContractCompanion_9kb9Ut235"/>
      <w:r w:rsidRPr="00BD6C5F">
        <w:t>NHS Broadly Comparable Employees</w:t>
      </w:r>
      <w:bookmarkEnd w:id="1710"/>
    </w:p>
    <w:p w14:paraId="052CC8DC" w14:textId="0F0C1AA4" w:rsidR="000E712C" w:rsidRPr="00BD6C5F" w:rsidRDefault="000E712C" w:rsidP="00F762C3">
      <w:pPr>
        <w:pStyle w:val="AppendixText2"/>
      </w:pPr>
      <w:r w:rsidRPr="00BD6C5F">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w:t>
      </w:r>
      <w:bookmarkStart w:id="1711" w:name="_9kMIH5YVt4EE9EDzmpqgyts0DK"/>
      <w:r w:rsidR="00FB0F44" w:rsidRPr="00BD6C5F">
        <w:t>P</w:t>
      </w:r>
      <w:r w:rsidRPr="00BD6C5F">
        <w:t>aragraph</w:t>
      </w:r>
      <w:r w:rsidR="00FB0F44" w:rsidRPr="00BD6C5F">
        <w:t> </w:t>
      </w:r>
      <w:bookmarkEnd w:id="1711"/>
      <w:r w:rsidR="00070643" w:rsidRPr="007A513E">
        <w:t>[</w:t>
      </w:r>
      <w:r w:rsidR="003B0AA8">
        <w:rPr>
          <w:highlight w:val="yellow"/>
        </w:rPr>
        <w:fldChar w:fldCharType="begin"/>
      </w:r>
      <w:r w:rsidR="003B0AA8">
        <w:instrText xml:space="preserve"> REF _Ref_ContractCompanion_9kb9Ut26A \w \h </w:instrText>
      </w:r>
      <w:r w:rsidR="003B0AA8">
        <w:rPr>
          <w:highlight w:val="yellow"/>
        </w:rPr>
      </w:r>
      <w:r w:rsidR="003B0AA8">
        <w:rPr>
          <w:highlight w:val="yellow"/>
        </w:rPr>
        <w:fldChar w:fldCharType="separate"/>
      </w:r>
      <w:r w:rsidR="009749A0">
        <w:t>2</w:t>
      </w:r>
      <w:r w:rsidR="003B0AA8">
        <w:rPr>
          <w:highlight w:val="yellow"/>
        </w:rPr>
        <w:fldChar w:fldCharType="end"/>
      </w:r>
      <w:r w:rsidR="00070643" w:rsidRPr="007A513E">
        <w:t xml:space="preserve">] </w:t>
      </w:r>
      <w:r w:rsidRPr="007A513E">
        <w:t xml:space="preserve">of </w:t>
      </w:r>
      <w:r w:rsidR="00070643" w:rsidRPr="007A513E">
        <w:t>[</w:t>
      </w:r>
      <w:r w:rsidR="00070643" w:rsidRPr="007A513E">
        <w:rPr>
          <w:highlight w:val="yellow"/>
        </w:rPr>
        <w:t>this Annex</w:t>
      </w:r>
      <w:r w:rsidR="00070643" w:rsidRPr="007A513E">
        <w:t>].</w:t>
      </w:r>
      <w:r w:rsidR="00070643" w:rsidRPr="00BD6C5F">
        <w:t xml:space="preserve"> </w:t>
      </w:r>
      <w:r w:rsidRPr="00BD6C5F">
        <w:t xml:space="preserve">For the avoidance of doubt, this requirement is separate from any requirement to offer a Broadly Comparable pension scheme in accordance with </w:t>
      </w:r>
      <w:bookmarkStart w:id="1712" w:name="_9kMHG5YVtCIC8CLMHVGy1nZkEA71v5GHCFQ0xDw"/>
      <w:r w:rsidR="00FB0F44" w:rsidRPr="00BD6C5F">
        <w:t>P</w:t>
      </w:r>
      <w:r w:rsidRPr="00BD6C5F">
        <w:t>aragraph</w:t>
      </w:r>
      <w:r w:rsidR="00D91D35" w:rsidRPr="00BD6C5F">
        <w:t> </w:t>
      </w:r>
      <w:r w:rsidR="00D91D35" w:rsidRPr="00BD6C5F">
        <w:fldChar w:fldCharType="begin"/>
      </w:r>
      <w:r w:rsidR="00D91D35" w:rsidRPr="00BD6C5F">
        <w:instrText xml:space="preserve"> REF _9kR3WTrAGA6AJKFTEwzlXiC85zt3EFADOyvBu8K \w \h </w:instrText>
      </w:r>
      <w:r w:rsidR="00B36F57" w:rsidRPr="00BD6C5F">
        <w:instrText xml:space="preserve"> \* MERGEFORMAT </w:instrText>
      </w:r>
      <w:r w:rsidR="00D91D35" w:rsidRPr="00BD6C5F">
        <w:fldChar w:fldCharType="separate"/>
      </w:r>
      <w:r w:rsidR="009749A0">
        <w:t>5.2</w:t>
      </w:r>
      <w:r w:rsidR="00D91D35" w:rsidRPr="00BD6C5F">
        <w:fldChar w:fldCharType="end"/>
      </w:r>
      <w:bookmarkEnd w:id="1712"/>
      <w:r w:rsidRPr="00BD6C5F">
        <w:t xml:space="preserve"> below.</w:t>
      </w:r>
    </w:p>
    <w:p w14:paraId="22224B4F" w14:textId="693CCC1A" w:rsidR="000E712C" w:rsidRPr="00BD6C5F" w:rsidRDefault="00E6623F" w:rsidP="00F762C3">
      <w:pPr>
        <w:pStyle w:val="AppendixText1"/>
      </w:pPr>
      <w:r w:rsidRPr="00BD6C5F">
        <w:t>Breach and Cancellation of Any Direction Letter/Determination(s)</w:t>
      </w:r>
    </w:p>
    <w:p w14:paraId="18AFCFB2" w14:textId="77777777" w:rsidR="000E712C" w:rsidRPr="00BD6C5F" w:rsidRDefault="000E712C" w:rsidP="00F762C3">
      <w:pPr>
        <w:pStyle w:val="AppendixText2"/>
      </w:pPr>
      <w:r w:rsidRPr="00BD6C5F">
        <w:t>The Supplier agrees that the Authority is entitled to make arrangements with NHS Pensions for the Authority to be notified if the Supplier (or its Sub-contractors) breaches the terms of its Direction Letter/Determination. Notwithstanding the provisions of the foregoing, the Supplier shall notify the Authority in the event that it (or its Sub-contractor) breaches the terms of its Direction Letter/Determination.</w:t>
      </w:r>
    </w:p>
    <w:p w14:paraId="2BBFA9C5" w14:textId="04240790" w:rsidR="000E712C" w:rsidRPr="00BD6C5F" w:rsidRDefault="000E712C" w:rsidP="00F762C3">
      <w:pPr>
        <w:pStyle w:val="AppendixText2"/>
      </w:pPr>
      <w:bookmarkStart w:id="1713" w:name="_9kR3WTrAGA6AJKFTEwzlXiC85zt3EFADOyvBu8K"/>
      <w:bookmarkStart w:id="1714" w:name="_Ref_ContractCompanion_9kb9Ut24B"/>
      <w:bookmarkStart w:id="1715" w:name="_Ref_ContractCompanion_9kb9Ut26D"/>
      <w:r w:rsidRPr="00BD6C5F">
        <w:lastRenderedPageBreak/>
        <w:t xml:space="preserve">If the Supplier (or its Sub-contractors, if relevant) ceases to participate in the NHSPS for whatever reason, the Supplier (or any such Sub-contractor, as appropriate) shall offer the NHSPS Eligible Employees membership of a pension scheme which is Broadly Comparable to the NHSPS on the date the NHSPS Eligible Employees ceased to participate in the NHSPS in accordance with the provisions of </w:t>
      </w:r>
      <w:bookmarkStart w:id="1716" w:name="_9kMHG5YVt4EE9GG0mpqgyts0DL"/>
      <w:r w:rsidR="00FB0F44" w:rsidRPr="00BD6C5F">
        <w:t>P</w:t>
      </w:r>
      <w:r w:rsidRPr="00BD6C5F">
        <w:t>aragraph</w:t>
      </w:r>
      <w:r w:rsidR="00FB0F44" w:rsidRPr="00BD6C5F">
        <w:t> </w:t>
      </w:r>
      <w:bookmarkEnd w:id="1716"/>
      <w:r w:rsidR="003B0AA8">
        <w:fldChar w:fldCharType="begin"/>
      </w:r>
      <w:r w:rsidR="003B0AA8">
        <w:instrText xml:space="preserve"> REF _Ref_ContractCompanion_9kb9Ut26A \w \h </w:instrText>
      </w:r>
      <w:r w:rsidR="003B0AA8">
        <w:fldChar w:fldCharType="separate"/>
      </w:r>
      <w:r w:rsidR="009749A0">
        <w:t>2</w:t>
      </w:r>
      <w:r w:rsidR="003B0AA8">
        <w:fldChar w:fldCharType="end"/>
      </w:r>
      <w:r w:rsidR="00070643" w:rsidRPr="00BD6C5F">
        <w:t xml:space="preserve"> </w:t>
      </w:r>
      <w:r w:rsidRPr="00BD6C5F">
        <w:t xml:space="preserve">of </w:t>
      </w:r>
      <w:bookmarkEnd w:id="1713"/>
      <w:bookmarkEnd w:id="1714"/>
      <w:bookmarkEnd w:id="1715"/>
      <w:r w:rsidR="00AD467D" w:rsidRPr="00BD6C5F">
        <w:t>t</w:t>
      </w:r>
      <w:r w:rsidR="00070643" w:rsidRPr="00BD6C5F">
        <w:t xml:space="preserve">his Annex. </w:t>
      </w:r>
    </w:p>
    <w:p w14:paraId="72E0B6B1" w14:textId="25801E71" w:rsidR="000E712C" w:rsidRPr="00BD6C5F" w:rsidRDefault="00E6623F" w:rsidP="00F762C3">
      <w:pPr>
        <w:pStyle w:val="AppendixText1"/>
      </w:pPr>
      <w:r w:rsidRPr="00BD6C5F">
        <w:t>Compensation</w:t>
      </w:r>
    </w:p>
    <w:p w14:paraId="31CD931F" w14:textId="77777777" w:rsidR="000E712C" w:rsidRPr="00BD6C5F" w:rsidRDefault="000E712C" w:rsidP="009F4A63">
      <w:pPr>
        <w:pStyle w:val="AppendixText2"/>
        <w:keepNext/>
      </w:pPr>
      <w:r w:rsidRPr="00BD6C5F">
        <w:t>If the Supplier (or its Sub-contractor, if relevant) is unable to provide the NHSPS Fair Deal Employees with either membership of:</w:t>
      </w:r>
    </w:p>
    <w:p w14:paraId="3691D89D" w14:textId="77777777" w:rsidR="000E712C" w:rsidRPr="00BD6C5F" w:rsidRDefault="000E712C" w:rsidP="00F762C3">
      <w:pPr>
        <w:pStyle w:val="AppendixText3"/>
      </w:pPr>
      <w:r w:rsidRPr="00BD6C5F">
        <w:t xml:space="preserve">the NHSPS (having used its best endeavours to secure a Direction Letter/Determination); or </w:t>
      </w:r>
    </w:p>
    <w:p w14:paraId="142FDC66" w14:textId="77777777" w:rsidR="000E712C" w:rsidRPr="00BD6C5F" w:rsidRDefault="000E712C" w:rsidP="00F762C3">
      <w:pPr>
        <w:pStyle w:val="AppendixText3"/>
      </w:pPr>
      <w:r w:rsidRPr="00BD6C5F">
        <w:t xml:space="preserve">a Broadly Comparable pension scheme, </w:t>
      </w:r>
    </w:p>
    <w:p w14:paraId="0B26F4F9" w14:textId="10905E05" w:rsidR="000E712C" w:rsidRPr="00BD6C5F" w:rsidRDefault="000E712C" w:rsidP="008D096E">
      <w:pPr>
        <w:spacing w:before="100" w:after="200"/>
        <w:ind w:left="720"/>
      </w:pPr>
      <w:r w:rsidRPr="00BD6C5F">
        <w:t>the Authority 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Authority determining whether the level of compensation offered is reasonable in the circumstances.</w:t>
      </w:r>
    </w:p>
    <w:p w14:paraId="7090A59B" w14:textId="3A8FC299" w:rsidR="000E712C" w:rsidRPr="00BD6C5F" w:rsidRDefault="000E712C" w:rsidP="00F762C3">
      <w:pPr>
        <w:pStyle w:val="AppendixText2"/>
      </w:pPr>
      <w:r w:rsidRPr="00BD6C5F">
        <w:t>This flexibility for the Authority to allow compensation in place of Pension Benefits is in addition to and not instead of the Authority</w:t>
      </w:r>
      <w:r w:rsidR="00A4555C" w:rsidRPr="00BD6C5F">
        <w:t>’</w:t>
      </w:r>
      <w:r w:rsidRPr="00BD6C5F">
        <w:t>s right to terminate the Contract</w:t>
      </w:r>
      <w:r w:rsidRPr="00BD6C5F" w:rsidDel="000D1FBB">
        <w:t xml:space="preserve"> </w:t>
      </w:r>
      <w:r w:rsidRPr="00BD6C5F">
        <w:t xml:space="preserve">under </w:t>
      </w:r>
      <w:bookmarkStart w:id="1717" w:name="_9kMHG5YVtCIACFJkLhkhy7sHSMlR0KhqiAEyx5"/>
      <w:r w:rsidR="00FB0F44" w:rsidRPr="00BD6C5F">
        <w:t>P</w:t>
      </w:r>
      <w:r w:rsidRPr="00BD6C5F">
        <w:t>aragraph</w:t>
      </w:r>
      <w:r w:rsidR="00FB0F44" w:rsidRPr="00BD6C5F">
        <w:t> </w:t>
      </w:r>
      <w:bookmarkEnd w:id="1717"/>
      <w:r w:rsidR="003B0AA8">
        <w:fldChar w:fldCharType="begin"/>
      </w:r>
      <w:r w:rsidR="003B0AA8">
        <w:instrText xml:space="preserve"> REF _Ref141220054 \w \h </w:instrText>
      </w:r>
      <w:r w:rsidR="003B0AA8">
        <w:fldChar w:fldCharType="separate"/>
      </w:r>
      <w:r w:rsidR="009749A0">
        <w:t>7</w:t>
      </w:r>
      <w:r w:rsidR="003B0AA8">
        <w:fldChar w:fldCharType="end"/>
      </w:r>
      <w:r w:rsidR="00070643" w:rsidRPr="00BD6C5F">
        <w:t xml:space="preserve"> </w:t>
      </w:r>
      <w:r w:rsidRPr="00BD6C5F">
        <w:t>(</w:t>
      </w:r>
      <w:r w:rsidRPr="00BD6C5F">
        <w:rPr>
          <w:i/>
        </w:rPr>
        <w:t>Breach</w:t>
      </w:r>
      <w:r w:rsidRPr="00BD6C5F">
        <w:t xml:space="preserve">) of </w:t>
      </w:r>
      <w:r w:rsidR="00070643" w:rsidRPr="00BD6C5F">
        <w:t xml:space="preserve">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00070643" w:rsidRPr="00BD6C5F">
        <w:t xml:space="preserve"> </w:t>
      </w:r>
      <w:r w:rsidRPr="00BD6C5F">
        <w:t>of this Schedule.</w:t>
      </w:r>
    </w:p>
    <w:p w14:paraId="782E3181" w14:textId="147F98C6" w:rsidR="000E712C" w:rsidRPr="00BD6C5F" w:rsidRDefault="00E6623F" w:rsidP="00F762C3">
      <w:pPr>
        <w:pStyle w:val="AppendixText1"/>
      </w:pPr>
      <w:r w:rsidRPr="00BD6C5F">
        <w:t>Supplier Indemnities</w:t>
      </w:r>
    </w:p>
    <w:p w14:paraId="1F2E07FE" w14:textId="77777777" w:rsidR="000E712C" w:rsidRPr="00BD6C5F" w:rsidRDefault="000E712C" w:rsidP="00F762C3">
      <w:pPr>
        <w:pStyle w:val="AppendixText2"/>
      </w:pPr>
      <w:r w:rsidRPr="00BD6C5F">
        <w:t>The Supplier must indemnify and keep indemnified the Authority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bookmarkStart w:id="1718" w:name="_bookmark578"/>
      <w:bookmarkEnd w:id="1718"/>
    </w:p>
    <w:p w14:paraId="1583A491" w14:textId="77777777" w:rsidR="002524B2" w:rsidRPr="00BD6C5F" w:rsidRDefault="002524B2" w:rsidP="002524B2"/>
    <w:p w14:paraId="4E0C5278" w14:textId="1509014D" w:rsidR="00D27CFD" w:rsidRPr="00BD6C5F" w:rsidRDefault="00D27CFD" w:rsidP="002524B2">
      <w:r w:rsidRPr="00BD6C5F">
        <w:br w:type="page"/>
      </w:r>
    </w:p>
    <w:p w14:paraId="4FEEE6BE" w14:textId="78CD2DC2" w:rsidR="00BC7DDA" w:rsidRPr="00BD6C5F" w:rsidRDefault="00E6623F" w:rsidP="0018141E">
      <w:pPr>
        <w:pStyle w:val="Heading2"/>
      </w:pPr>
      <w:bookmarkStart w:id="1719" w:name="_Toc98332789"/>
      <w:bookmarkStart w:id="1720" w:name="_Ref98457002"/>
      <w:bookmarkStart w:id="1721" w:name="_Ref98457868"/>
      <w:bookmarkStart w:id="1722" w:name="_Ref98458536"/>
      <w:bookmarkStart w:id="1723" w:name="_Toc141721058"/>
      <w:r w:rsidRPr="00BD6C5F">
        <w:lastRenderedPageBreak/>
        <w:t xml:space="preserve">Annex </w:t>
      </w:r>
      <w:bookmarkStart w:id="1724" w:name="Schedule_28_Part_D_Annex_3"/>
      <w:r w:rsidR="002524B2" w:rsidRPr="00BD6C5F">
        <w:t>3</w:t>
      </w:r>
      <w:bookmarkEnd w:id="1724"/>
      <w:r w:rsidR="002524B2" w:rsidRPr="00BD6C5F">
        <w:t xml:space="preserve">: </w:t>
      </w:r>
      <w:r w:rsidR="009B03E9" w:rsidRPr="00BD6C5F">
        <w:t>LGPS</w:t>
      </w:r>
      <w:bookmarkEnd w:id="1719"/>
      <w:bookmarkEnd w:id="1720"/>
      <w:bookmarkEnd w:id="1721"/>
      <w:bookmarkEnd w:id="1722"/>
      <w:bookmarkEnd w:id="1723"/>
    </w:p>
    <w:p w14:paraId="06C399D9" w14:textId="1D4D50E5" w:rsidR="00D93E63" w:rsidRPr="00BD6C5F" w:rsidRDefault="00E6623F" w:rsidP="00B71FC0">
      <w:pPr>
        <w:pStyle w:val="AppendixText1"/>
        <w:numPr>
          <w:ilvl w:val="0"/>
          <w:numId w:val="165"/>
        </w:numPr>
      </w:pPr>
      <w:r w:rsidRPr="00BD6C5F">
        <w:t>Definitions</w:t>
      </w:r>
    </w:p>
    <w:p w14:paraId="18F1C2E5" w14:textId="3D8842F6" w:rsidR="00D93E63" w:rsidRPr="00BD6C5F" w:rsidRDefault="00D93E63" w:rsidP="009F4A63">
      <w:pPr>
        <w:pStyle w:val="AppendixText2"/>
        <w:keepNext/>
      </w:pPr>
      <w:r w:rsidRPr="00BD6C5F">
        <w:t xml:space="preserve">In this </w:t>
      </w:r>
      <w:r w:rsidR="00DF7441">
        <w:t>Annex </w:t>
      </w:r>
      <w:r w:rsidR="00DF7441">
        <w:fldChar w:fldCharType="begin"/>
      </w:r>
      <w:r w:rsidR="00DF7441">
        <w:instrText xml:space="preserve"> REF Schedule_28_Part_D_Annex_3 \h </w:instrText>
      </w:r>
      <w:r w:rsidR="00DF7441">
        <w:fldChar w:fldCharType="separate"/>
      </w:r>
      <w:r w:rsidR="009749A0" w:rsidRPr="00BD6C5F">
        <w:t>3</w:t>
      </w:r>
      <w:r w:rsidR="00DF7441">
        <w:fldChar w:fldCharType="end"/>
      </w:r>
      <w:r w:rsidR="00DF7441">
        <w:t xml:space="preserve"> of Part </w:t>
      </w:r>
      <w:r w:rsidR="00DF7441">
        <w:fldChar w:fldCharType="begin"/>
      </w:r>
      <w:r w:rsidR="00DF7441">
        <w:instrText xml:space="preserve"> REF Schedule_28_Part_D \h </w:instrText>
      </w:r>
      <w:r w:rsidR="00DF7441">
        <w:fldChar w:fldCharType="separate"/>
      </w:r>
      <w:r w:rsidR="009749A0" w:rsidRPr="00BD6C5F">
        <w:t>D</w:t>
      </w:r>
      <w:r w:rsidR="00DF7441">
        <w:fldChar w:fldCharType="end"/>
      </w:r>
      <w:r w:rsidRPr="00BD6C5F">
        <w:t>: LGPS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572"/>
        <w:gridCol w:w="5953"/>
      </w:tblGrid>
      <w:tr w:rsidR="00D93E63" w:rsidRPr="00BD6C5F" w14:paraId="5CF969F5" w14:textId="77777777" w:rsidTr="0041215F">
        <w:tc>
          <w:tcPr>
            <w:tcW w:w="3572" w:type="dxa"/>
          </w:tcPr>
          <w:p w14:paraId="0DCE935A" w14:textId="45629069"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2013 Regulations</w:t>
            </w:r>
            <w:r w:rsidRPr="00BD6C5F">
              <w:rPr>
                <w:rFonts w:asciiTheme="minorHAnsi" w:hAnsiTheme="minorHAnsi" w:cstheme="minorHAnsi"/>
                <w:b/>
                <w:bCs/>
              </w:rPr>
              <w:t>”</w:t>
            </w:r>
          </w:p>
        </w:tc>
        <w:tc>
          <w:tcPr>
            <w:tcW w:w="5953" w:type="dxa"/>
          </w:tcPr>
          <w:p w14:paraId="48F79419" w14:textId="77777777" w:rsidR="00D93E63" w:rsidRPr="00BD6C5F" w:rsidRDefault="00D93E63" w:rsidP="002524B2">
            <w:pPr>
              <w:pStyle w:val="Tabletext"/>
            </w:pPr>
            <w:r w:rsidRPr="00BD6C5F">
              <w:t>the Local Government Pension Scheme Regulations 2013 (SI 2013/2356) (as amended from time to time);</w:t>
            </w:r>
          </w:p>
        </w:tc>
      </w:tr>
      <w:tr w:rsidR="00D93E63" w:rsidRPr="00BD6C5F" w14:paraId="5C06EF7D" w14:textId="77777777" w:rsidTr="0041215F">
        <w:tc>
          <w:tcPr>
            <w:tcW w:w="3572" w:type="dxa"/>
          </w:tcPr>
          <w:p w14:paraId="6762C4E7" w14:textId="33817CF4"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Administering Authority</w:t>
            </w:r>
            <w:r w:rsidRPr="00BD6C5F">
              <w:rPr>
                <w:rFonts w:asciiTheme="minorHAnsi" w:hAnsiTheme="minorHAnsi" w:cstheme="minorHAnsi"/>
                <w:b/>
                <w:bCs/>
              </w:rPr>
              <w:t>”</w:t>
            </w:r>
          </w:p>
        </w:tc>
        <w:tc>
          <w:tcPr>
            <w:tcW w:w="5953" w:type="dxa"/>
          </w:tcPr>
          <w:p w14:paraId="5328B725" w14:textId="1AE461CE"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in relation to</w:t>
            </w:r>
            <w:r w:rsidR="00A82039" w:rsidRPr="00BD6C5F">
              <w:rPr>
                <w:rFonts w:asciiTheme="minorHAnsi" w:hAnsiTheme="minorHAnsi" w:cstheme="minorHAnsi"/>
              </w:rPr>
              <w:t xml:space="preserve"> the Fund</w:t>
            </w:r>
            <w:r w:rsidRPr="007A513E">
              <w:rPr>
                <w:rFonts w:asciiTheme="minorHAnsi" w:hAnsiTheme="minorHAnsi" w:cstheme="minorHAnsi"/>
              </w:rPr>
              <w:t xml:space="preserve"> </w:t>
            </w:r>
            <w:r w:rsidRPr="007A513E">
              <w:rPr>
                <w:rStyle w:val="StdBodyTextBoldChar"/>
                <w:rFonts w:asciiTheme="minorHAnsi" w:hAnsiTheme="minorHAnsi" w:cstheme="minorHAnsi"/>
                <w:b w:val="0"/>
                <w:bCs/>
                <w:highlight w:val="yellow"/>
              </w:rPr>
              <w:t>[</w:t>
            </w:r>
            <w:r w:rsidRPr="00A21F25">
              <w:rPr>
                <w:rStyle w:val="StdBodyTextBoldChar"/>
                <w:rFonts w:asciiTheme="minorHAnsi" w:hAnsiTheme="minorHAnsi" w:cstheme="minorHAnsi"/>
                <w:highlight w:val="yellow"/>
              </w:rPr>
              <w:t>insert</w:t>
            </w:r>
            <w:r w:rsidRPr="007A513E">
              <w:rPr>
                <w:rStyle w:val="StdBodyTextBoldChar"/>
                <w:rFonts w:asciiTheme="minorHAnsi" w:hAnsiTheme="minorHAnsi" w:cstheme="minorHAnsi"/>
                <w:b w:val="0"/>
                <w:bCs/>
                <w:highlight w:val="yellow"/>
              </w:rPr>
              <w:t xml:space="preserve"> name]</w:t>
            </w:r>
            <w:r w:rsidRPr="007A513E">
              <w:rPr>
                <w:rFonts w:asciiTheme="minorHAnsi" w:hAnsiTheme="minorHAnsi" w:cstheme="minorHAnsi"/>
              </w:rPr>
              <w:t>,</w:t>
            </w:r>
            <w:r w:rsidRPr="00BD6C5F">
              <w:rPr>
                <w:rFonts w:asciiTheme="minorHAnsi" w:hAnsiTheme="minorHAnsi" w:cstheme="minorHAnsi"/>
              </w:rPr>
              <w:t xml:space="preserve"> the relevant administering authority of that Fund for the purposes of the 2013 Regulations;</w:t>
            </w:r>
          </w:p>
        </w:tc>
      </w:tr>
      <w:tr w:rsidR="00D93E63" w:rsidRPr="00BD6C5F" w14:paraId="5A63762B" w14:textId="77777777" w:rsidTr="0041215F">
        <w:tc>
          <w:tcPr>
            <w:tcW w:w="3572" w:type="dxa"/>
          </w:tcPr>
          <w:p w14:paraId="111E8194" w14:textId="47A1375B"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Fund Actuary</w:t>
            </w:r>
            <w:r w:rsidRPr="00BD6C5F">
              <w:rPr>
                <w:rFonts w:asciiTheme="minorHAnsi" w:hAnsiTheme="minorHAnsi" w:cstheme="minorHAnsi"/>
                <w:b/>
                <w:bCs/>
              </w:rPr>
              <w:t>”</w:t>
            </w:r>
          </w:p>
        </w:tc>
        <w:tc>
          <w:tcPr>
            <w:tcW w:w="5953" w:type="dxa"/>
          </w:tcPr>
          <w:p w14:paraId="5A5DC535"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the actuary to a Fund appointed by the Administering Authority of the Fund;</w:t>
            </w:r>
          </w:p>
        </w:tc>
      </w:tr>
      <w:tr w:rsidR="00D93E63" w:rsidRPr="00BD6C5F" w14:paraId="3D95CEA2" w14:textId="77777777" w:rsidTr="0041215F">
        <w:tc>
          <w:tcPr>
            <w:tcW w:w="3572" w:type="dxa"/>
          </w:tcPr>
          <w:p w14:paraId="34B92963" w14:textId="31438590"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Fund</w:t>
            </w:r>
            <w:r w:rsidRPr="00BD6C5F">
              <w:rPr>
                <w:rFonts w:asciiTheme="minorHAnsi" w:hAnsiTheme="minorHAnsi" w:cstheme="minorHAnsi"/>
                <w:b/>
                <w:bCs/>
              </w:rPr>
              <w:t>”</w:t>
            </w:r>
          </w:p>
        </w:tc>
        <w:tc>
          <w:tcPr>
            <w:tcW w:w="5953" w:type="dxa"/>
          </w:tcPr>
          <w:p w14:paraId="3E7585AB" w14:textId="223C90E7" w:rsidR="00D93E63" w:rsidRPr="00BD6C5F" w:rsidRDefault="00D93E63" w:rsidP="002524B2">
            <w:pPr>
              <w:pStyle w:val="Tabletext"/>
              <w:rPr>
                <w:rFonts w:asciiTheme="minorHAnsi" w:hAnsiTheme="minorHAnsi" w:cstheme="minorHAnsi"/>
                <w:b/>
                <w:bCs/>
              </w:rPr>
            </w:pPr>
            <w:r w:rsidRPr="007A513E">
              <w:rPr>
                <w:rFonts w:asciiTheme="minorHAnsi" w:hAnsiTheme="minorHAnsi" w:cstheme="minorHAnsi"/>
                <w:highlight w:val="yellow"/>
              </w:rPr>
              <w:t>[</w:t>
            </w:r>
            <w:r w:rsidRPr="00A21F25">
              <w:rPr>
                <w:rFonts w:asciiTheme="minorHAnsi" w:hAnsiTheme="minorHAnsi" w:cstheme="minorHAnsi"/>
                <w:b/>
                <w:bCs/>
                <w:highlight w:val="yellow"/>
              </w:rPr>
              <w:t>insert</w:t>
            </w:r>
            <w:r w:rsidRPr="007A513E">
              <w:rPr>
                <w:rFonts w:asciiTheme="minorHAnsi" w:hAnsiTheme="minorHAnsi" w:cstheme="minorHAnsi"/>
                <w:highlight w:val="yellow"/>
              </w:rPr>
              <w:t xml:space="preserve"> name]</w:t>
            </w:r>
            <w:r w:rsidR="00A82039" w:rsidRPr="007A513E">
              <w:rPr>
                <w:rFonts w:asciiTheme="minorHAnsi" w:hAnsiTheme="minorHAnsi" w:cstheme="minorHAnsi"/>
              </w:rPr>
              <w:t>,</w:t>
            </w:r>
            <w:r w:rsidR="00A82039" w:rsidRPr="00BD6C5F">
              <w:rPr>
                <w:rFonts w:asciiTheme="minorHAnsi" w:hAnsiTheme="minorHAnsi" w:cstheme="minorHAnsi"/>
              </w:rPr>
              <w:t xml:space="preserve"> a pension fund within the LGPS;</w:t>
            </w:r>
          </w:p>
        </w:tc>
      </w:tr>
      <w:tr w:rsidR="00D93E63" w:rsidRPr="00BD6C5F" w14:paraId="0307BC58" w14:textId="77777777" w:rsidTr="0041215F">
        <w:tc>
          <w:tcPr>
            <w:tcW w:w="3572" w:type="dxa"/>
          </w:tcPr>
          <w:p w14:paraId="3724EAB4" w14:textId="12DBD234" w:rsidR="00D93E63" w:rsidRPr="00BD6C5F" w:rsidRDefault="00D93E63" w:rsidP="002524B2">
            <w:pPr>
              <w:pStyle w:val="Tabletext"/>
              <w:rPr>
                <w:rFonts w:asciiTheme="minorHAnsi" w:hAnsiTheme="minorHAnsi" w:cstheme="minorHAnsi"/>
                <w:b/>
                <w:bCs/>
              </w:rPr>
            </w:pPr>
            <w:r w:rsidRPr="00BD6C5F">
              <w:rPr>
                <w:rFonts w:asciiTheme="minorHAnsi" w:hAnsiTheme="minorHAnsi" w:cstheme="minorHAnsi"/>
                <w:b/>
                <w:bCs/>
                <w:highlight w:val="yellow"/>
              </w:rPr>
              <w:t>[</w:t>
            </w:r>
            <w:r w:rsidR="00A4555C" w:rsidRPr="00BD6C5F">
              <w:rPr>
                <w:rFonts w:asciiTheme="minorHAnsi" w:hAnsiTheme="minorHAnsi" w:cstheme="minorHAnsi"/>
                <w:b/>
                <w:bCs/>
                <w:highlight w:val="yellow"/>
              </w:rPr>
              <w:t>“</w:t>
            </w:r>
            <w:r w:rsidRPr="00BD6C5F">
              <w:rPr>
                <w:rFonts w:asciiTheme="minorHAnsi" w:hAnsiTheme="minorHAnsi" w:cstheme="minorHAnsi"/>
                <w:b/>
                <w:bCs/>
                <w:highlight w:val="yellow"/>
              </w:rPr>
              <w:t>Initial Contribution Rate</w:t>
            </w:r>
            <w:r w:rsidR="00A4555C" w:rsidRPr="00BD6C5F">
              <w:rPr>
                <w:rFonts w:asciiTheme="minorHAnsi" w:hAnsiTheme="minorHAnsi" w:cstheme="minorHAnsi"/>
                <w:b/>
                <w:bCs/>
                <w:highlight w:val="yellow"/>
              </w:rPr>
              <w:t>”</w:t>
            </w:r>
            <w:r w:rsidRPr="00BD6C5F">
              <w:rPr>
                <w:rFonts w:asciiTheme="minorHAnsi" w:hAnsiTheme="minorHAnsi" w:cstheme="minorHAnsi"/>
                <w:b/>
                <w:bCs/>
                <w:highlight w:val="yellow"/>
              </w:rPr>
              <w:t>]</w:t>
            </w:r>
          </w:p>
        </w:tc>
        <w:tc>
          <w:tcPr>
            <w:tcW w:w="5953" w:type="dxa"/>
          </w:tcPr>
          <w:p w14:paraId="1E4CCAAB" w14:textId="22FC7EC6"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highlight w:val="yellow"/>
              </w:rPr>
              <w:t>[XX %] of pensionable pay (as defined in the 2013 Regulations);]</w:t>
            </w:r>
          </w:p>
        </w:tc>
      </w:tr>
      <w:tr w:rsidR="00D93E63" w:rsidRPr="00BD6C5F" w14:paraId="6D2298D7" w14:textId="77777777" w:rsidTr="0041215F">
        <w:tc>
          <w:tcPr>
            <w:tcW w:w="3572" w:type="dxa"/>
          </w:tcPr>
          <w:p w14:paraId="5AD1349D" w14:textId="51CB5987"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w:t>
            </w:r>
            <w:r w:rsidRPr="00BD6C5F">
              <w:rPr>
                <w:rFonts w:asciiTheme="minorHAnsi" w:hAnsiTheme="minorHAnsi" w:cstheme="minorHAnsi"/>
                <w:b/>
                <w:bCs/>
              </w:rPr>
              <w:t>”</w:t>
            </w:r>
          </w:p>
        </w:tc>
        <w:tc>
          <w:tcPr>
            <w:tcW w:w="5953" w:type="dxa"/>
          </w:tcPr>
          <w:p w14:paraId="26DC512B"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 xml:space="preserve">the Local Government Pension Scheme as governed by the LGPS Regulations, and any other regulations (in each </w:t>
            </w:r>
            <w:r w:rsidRPr="00BD6C5F">
              <w:t>case</w:t>
            </w:r>
            <w:r w:rsidRPr="00BD6C5F">
              <w:rPr>
                <w:rFonts w:asciiTheme="minorHAnsi" w:hAnsiTheme="minorHAnsi" w:cstheme="minorHAnsi"/>
              </w:rPr>
              <w:t xml:space="preserve"> as amended from time to time) which are from time to time applicable to the Local Government Pension Scheme;</w:t>
            </w:r>
          </w:p>
        </w:tc>
      </w:tr>
      <w:tr w:rsidR="00D93E63" w:rsidRPr="00BD6C5F" w14:paraId="396CD057" w14:textId="77777777" w:rsidTr="0041215F">
        <w:tc>
          <w:tcPr>
            <w:tcW w:w="3572" w:type="dxa"/>
          </w:tcPr>
          <w:p w14:paraId="634E4F1D" w14:textId="2AF2E6EF"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 Admission Agreement</w:t>
            </w:r>
            <w:r w:rsidRPr="00BD6C5F">
              <w:rPr>
                <w:rFonts w:asciiTheme="minorHAnsi" w:hAnsiTheme="minorHAnsi" w:cstheme="minorHAnsi"/>
                <w:b/>
                <w:bCs/>
              </w:rPr>
              <w:t>”</w:t>
            </w:r>
          </w:p>
        </w:tc>
        <w:tc>
          <w:tcPr>
            <w:tcW w:w="5953" w:type="dxa"/>
          </w:tcPr>
          <w:p w14:paraId="4E3DF1A9"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 xml:space="preserve">an admission agreement within the meaning in </w:t>
            </w:r>
            <w:bookmarkStart w:id="1725" w:name="_9kR3WTr2CC7EGdJfifw5q7"/>
            <w:r w:rsidRPr="00BD6C5F">
              <w:rPr>
                <w:rFonts w:asciiTheme="minorHAnsi" w:hAnsiTheme="minorHAnsi" w:cstheme="minorHAnsi"/>
              </w:rPr>
              <w:t>Schedule 1</w:t>
            </w:r>
            <w:bookmarkEnd w:id="1725"/>
            <w:r w:rsidRPr="00BD6C5F">
              <w:rPr>
                <w:rFonts w:asciiTheme="minorHAnsi" w:hAnsiTheme="minorHAnsi" w:cstheme="minorHAnsi"/>
              </w:rPr>
              <w:t xml:space="preserve"> of the 2013 Regulations;</w:t>
            </w:r>
          </w:p>
        </w:tc>
      </w:tr>
      <w:tr w:rsidR="00D93E63" w:rsidRPr="00BD6C5F" w14:paraId="03302A98" w14:textId="77777777" w:rsidTr="0041215F">
        <w:tc>
          <w:tcPr>
            <w:tcW w:w="3572" w:type="dxa"/>
          </w:tcPr>
          <w:p w14:paraId="1E815B52" w14:textId="175A38A8"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 Admission Body</w:t>
            </w:r>
            <w:r w:rsidRPr="00BD6C5F">
              <w:rPr>
                <w:rFonts w:asciiTheme="minorHAnsi" w:hAnsiTheme="minorHAnsi" w:cstheme="minorHAnsi"/>
                <w:b/>
                <w:bCs/>
              </w:rPr>
              <w:t>”</w:t>
            </w:r>
          </w:p>
        </w:tc>
        <w:tc>
          <w:tcPr>
            <w:tcW w:w="5953" w:type="dxa"/>
          </w:tcPr>
          <w:p w14:paraId="639917BA"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 xml:space="preserve">an admission body (within the meaning </w:t>
            </w:r>
            <w:bookmarkStart w:id="1726" w:name="_9kR3WTr2CC7EHbEn7K"/>
            <w:bookmarkEnd w:id="1726"/>
            <w:r w:rsidRPr="00BD6C5F">
              <w:rPr>
                <w:rFonts w:asciiTheme="minorHAnsi" w:hAnsiTheme="minorHAnsi" w:cstheme="minorHAnsi"/>
              </w:rPr>
              <w:t xml:space="preserve">of </w:t>
            </w:r>
            <w:bookmarkStart w:id="1727" w:name="_9kR3WTr2CC7EIcEn7K"/>
            <w:r w:rsidRPr="00BD6C5F">
              <w:rPr>
                <w:rFonts w:asciiTheme="minorHAnsi" w:hAnsiTheme="minorHAnsi" w:cstheme="minorHAnsi"/>
              </w:rPr>
              <w:t>Part 3</w:t>
            </w:r>
            <w:bookmarkEnd w:id="1727"/>
            <w:r w:rsidRPr="00BD6C5F">
              <w:rPr>
                <w:rFonts w:asciiTheme="minorHAnsi" w:hAnsiTheme="minorHAnsi" w:cstheme="minorHAnsi"/>
              </w:rPr>
              <w:t xml:space="preserve"> of </w:t>
            </w:r>
            <w:bookmarkStart w:id="1728" w:name="_9kR3WTr2CC7EJgJfifw5q8"/>
            <w:r w:rsidRPr="00BD6C5F">
              <w:rPr>
                <w:rFonts w:asciiTheme="minorHAnsi" w:hAnsiTheme="minorHAnsi" w:cstheme="minorHAnsi"/>
              </w:rPr>
              <w:t>Schedule 2</w:t>
            </w:r>
            <w:bookmarkEnd w:id="1728"/>
            <w:r w:rsidRPr="00BD6C5F">
              <w:rPr>
                <w:rFonts w:asciiTheme="minorHAnsi" w:hAnsiTheme="minorHAnsi" w:cstheme="minorHAnsi"/>
              </w:rPr>
              <w:t xml:space="preserve"> of the 2013 </w:t>
            </w:r>
            <w:r w:rsidRPr="00BD6C5F">
              <w:t>Regulations</w:t>
            </w:r>
            <w:r w:rsidRPr="00BD6C5F">
              <w:rPr>
                <w:rFonts w:asciiTheme="minorHAnsi" w:hAnsiTheme="minorHAnsi" w:cstheme="minorHAnsi"/>
              </w:rPr>
              <w:t>);</w:t>
            </w:r>
          </w:p>
        </w:tc>
      </w:tr>
      <w:tr w:rsidR="00D93E63" w:rsidRPr="00BD6C5F" w14:paraId="04D77CAD" w14:textId="77777777" w:rsidTr="0041215F">
        <w:tc>
          <w:tcPr>
            <w:tcW w:w="3572" w:type="dxa"/>
          </w:tcPr>
          <w:p w14:paraId="69DEAB89" w14:textId="65C88D08"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 Eligible Employees</w:t>
            </w:r>
            <w:r w:rsidRPr="00BD6C5F">
              <w:rPr>
                <w:rFonts w:asciiTheme="minorHAnsi" w:hAnsiTheme="minorHAnsi" w:cstheme="minorHAnsi"/>
                <w:b/>
                <w:bCs/>
              </w:rPr>
              <w:t>”</w:t>
            </w:r>
          </w:p>
        </w:tc>
        <w:tc>
          <w:tcPr>
            <w:tcW w:w="5953" w:type="dxa"/>
          </w:tcPr>
          <w:p w14:paraId="1E6787F5"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 xml:space="preserve">any LGPS Fair Deal </w:t>
            </w:r>
            <w:r w:rsidRPr="00BD6C5F">
              <w:t>Employee</w:t>
            </w:r>
            <w:r w:rsidRPr="00BD6C5F">
              <w:rPr>
                <w:rFonts w:asciiTheme="minorHAnsi" w:hAnsiTheme="minorHAnsi" w:cstheme="minorHAnsi"/>
              </w:rPr>
              <w:t xml:space="preserve"> who at the relevant time is an active member or eligible to participate in the LGPS under an LGPS Admission Agreement;</w:t>
            </w:r>
          </w:p>
        </w:tc>
      </w:tr>
      <w:tr w:rsidR="00D93E63" w:rsidRPr="00BD6C5F" w14:paraId="1729B279" w14:textId="77777777" w:rsidTr="0041215F">
        <w:tc>
          <w:tcPr>
            <w:tcW w:w="3572" w:type="dxa"/>
          </w:tcPr>
          <w:p w14:paraId="59D6B4F0" w14:textId="4B98269B"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 Fair Deal Employees</w:t>
            </w:r>
            <w:r w:rsidRPr="00BD6C5F">
              <w:rPr>
                <w:rFonts w:asciiTheme="minorHAnsi" w:hAnsiTheme="minorHAnsi" w:cstheme="minorHAnsi"/>
                <w:b/>
                <w:bCs/>
              </w:rPr>
              <w:t>”</w:t>
            </w:r>
          </w:p>
        </w:tc>
        <w:tc>
          <w:tcPr>
            <w:tcW w:w="5953" w:type="dxa"/>
          </w:tcPr>
          <w:p w14:paraId="1CE84EF4"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 xml:space="preserve">any Fair </w:t>
            </w:r>
            <w:r w:rsidRPr="00BD6C5F">
              <w:t>Deal</w:t>
            </w:r>
            <w:r w:rsidRPr="00BD6C5F">
              <w:rPr>
                <w:rFonts w:asciiTheme="minorHAnsi" w:hAnsiTheme="minorHAnsi" w:cstheme="minorHAnsi"/>
              </w:rPr>
              <w:t xml:space="preserve"> Employee who at the Relevant Transfer Date is or becomes entitled to protection in respect of the LGPS or a pension scheme that is Broadly Comparable to the LGPS in accordance with the provisions in accordance with the provisions of New Fair Deal and/or the Best Value Direction; and</w:t>
            </w:r>
          </w:p>
        </w:tc>
      </w:tr>
      <w:tr w:rsidR="00D93E63" w:rsidRPr="00BD6C5F" w14:paraId="69008015" w14:textId="77777777" w:rsidTr="0041215F">
        <w:tc>
          <w:tcPr>
            <w:tcW w:w="3572" w:type="dxa"/>
          </w:tcPr>
          <w:p w14:paraId="35B0788A" w14:textId="76427154" w:rsidR="00D93E63" w:rsidRPr="00BD6C5F" w:rsidRDefault="00A4555C" w:rsidP="002524B2">
            <w:pPr>
              <w:pStyle w:val="Tabletext"/>
              <w:rPr>
                <w:rFonts w:asciiTheme="minorHAnsi" w:hAnsiTheme="minorHAnsi" w:cstheme="minorHAnsi"/>
                <w:b/>
                <w:bCs/>
              </w:rPr>
            </w:pPr>
            <w:r w:rsidRPr="00BD6C5F">
              <w:rPr>
                <w:rFonts w:asciiTheme="minorHAnsi" w:hAnsiTheme="minorHAnsi" w:cstheme="minorHAnsi"/>
                <w:b/>
                <w:bCs/>
              </w:rPr>
              <w:t>“</w:t>
            </w:r>
            <w:r w:rsidR="00D93E63" w:rsidRPr="00BD6C5F">
              <w:rPr>
                <w:rFonts w:asciiTheme="minorHAnsi" w:hAnsiTheme="minorHAnsi" w:cstheme="minorHAnsi"/>
                <w:b/>
                <w:bCs/>
              </w:rPr>
              <w:t>LGPS Regulations</w:t>
            </w:r>
            <w:r w:rsidRPr="00BD6C5F">
              <w:rPr>
                <w:rFonts w:asciiTheme="minorHAnsi" w:hAnsiTheme="minorHAnsi" w:cstheme="minorHAnsi"/>
                <w:b/>
                <w:bCs/>
              </w:rPr>
              <w:t>”</w:t>
            </w:r>
          </w:p>
        </w:tc>
        <w:tc>
          <w:tcPr>
            <w:tcW w:w="5953" w:type="dxa"/>
          </w:tcPr>
          <w:p w14:paraId="4E0D22E5" w14:textId="77777777" w:rsidR="00D93E63" w:rsidRPr="00BD6C5F" w:rsidRDefault="00D93E63" w:rsidP="002524B2">
            <w:pPr>
              <w:pStyle w:val="Tabletext"/>
              <w:rPr>
                <w:rFonts w:asciiTheme="minorHAnsi" w:hAnsiTheme="minorHAnsi" w:cstheme="minorHAnsi"/>
              </w:rPr>
            </w:pPr>
            <w:r w:rsidRPr="00BD6C5F">
              <w:rPr>
                <w:rFonts w:asciiTheme="minorHAnsi" w:hAnsiTheme="minorHAnsi" w:cstheme="minorHAnsi"/>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533E9E1D" w14:textId="0442363B" w:rsidR="00D93E63" w:rsidRPr="00BD6C5F" w:rsidRDefault="00E6623F" w:rsidP="00F762C3">
      <w:pPr>
        <w:pStyle w:val="AppendixText1"/>
      </w:pPr>
      <w:r w:rsidRPr="00BD6C5F">
        <w:lastRenderedPageBreak/>
        <w:t>Supplier to Become an LGPS Admission Body</w:t>
      </w:r>
    </w:p>
    <w:p w14:paraId="24449B60" w14:textId="73B3EBD1" w:rsidR="00D93E63" w:rsidRPr="00BD6C5F" w:rsidRDefault="00D93E63" w:rsidP="00F762C3">
      <w:pPr>
        <w:pStyle w:val="AppendixText2"/>
      </w:pPr>
      <w:bookmarkStart w:id="1729" w:name="_Ref_ContractCompanion_9kb9Ut26G"/>
      <w:bookmarkStart w:id="1730" w:name="_9kR3WTrAGA6BDABSMlber7xhsvn8DBBCDz8MGD8"/>
      <w:r w:rsidRPr="00BD6C5F">
        <w:t>In accordance with the principles of New Fair Deal and/or the Best Value Direction, the Supplier and/or any of its Sub-contractors to which the employment of any LGPS Fair Deal Employee compulsorily transfers as a result of either the award of this Contract</w:t>
      </w:r>
      <w:r w:rsidRPr="00BD6C5F" w:rsidDel="000D1FBB">
        <w:t xml:space="preserve"> </w:t>
      </w:r>
      <w:r w:rsidRPr="00BD6C5F">
        <w:t xml:space="preserve">or a Relevant Transfer, if not a scheme employer which participates automatically in the LGPS, shall each become an LGPS Admission Body by entering into an LGPS Admission Agreement </w:t>
      </w:r>
      <w:r w:rsidR="008847D1" w:rsidRPr="008847D1">
        <w:t>with effect from</w:t>
      </w:r>
      <w:r w:rsidR="00BD1446">
        <w:t xml:space="preserve"> </w:t>
      </w:r>
      <w:r w:rsidRPr="00BD6C5F">
        <w:t>the Relevant Transfer Date to enable the LGPS Fair Deal Employees to retain either continuous active membership of or eligibility for the LGPS on and from the Relevant Transfer Date for so long as they remain employed in connection with the delivery of the Services under this Contract.</w:t>
      </w:r>
      <w:bookmarkEnd w:id="1729"/>
      <w:bookmarkEnd w:id="1730"/>
    </w:p>
    <w:p w14:paraId="7709675F" w14:textId="77777777" w:rsidR="00D93E63" w:rsidRPr="00BD6C5F" w:rsidRDefault="00D93E63" w:rsidP="008D096E">
      <w:pPr>
        <w:spacing w:before="100" w:after="200"/>
        <w:ind w:left="720"/>
      </w:pPr>
      <w:r w:rsidRPr="00BD6C5F">
        <w:t>OPTION 1</w:t>
      </w:r>
    </w:p>
    <w:p w14:paraId="3ECF9BE0" w14:textId="77777777" w:rsidR="00D93E63" w:rsidRPr="00BD6C5F" w:rsidRDefault="00D93E63" w:rsidP="009F4A63">
      <w:pPr>
        <w:pStyle w:val="AppendixText2"/>
        <w:keepNext/>
        <w:rPr>
          <w:highlight w:val="yellow"/>
        </w:rPr>
      </w:pPr>
      <w:r w:rsidRPr="00BD6C5F">
        <w:rPr>
          <w:highlight w:val="yellow"/>
        </w:rPr>
        <w:t>[Any LGPS Fair Deal Employees who:</w:t>
      </w:r>
    </w:p>
    <w:p w14:paraId="3D9BBDA9" w14:textId="77777777" w:rsidR="00D93E63" w:rsidRPr="00BD6C5F" w:rsidRDefault="00D93E63" w:rsidP="00F762C3">
      <w:pPr>
        <w:pStyle w:val="AppendixText3"/>
        <w:rPr>
          <w:highlight w:val="yellow"/>
        </w:rPr>
      </w:pPr>
      <w:r w:rsidRPr="00BD6C5F">
        <w:rPr>
          <w:highlight w:val="yellow"/>
        </w:rPr>
        <w:t>were active members of the LGPS (or a Broadly Comparable pension scheme) immediately before the Relevant Transfer Date shall be admitted to the LGPS with effect on and from the Relevant Transfer Date; and</w:t>
      </w:r>
    </w:p>
    <w:p w14:paraId="1AC7DBB5" w14:textId="77777777" w:rsidR="00D93E63" w:rsidRPr="00BD6C5F" w:rsidRDefault="00D93E63" w:rsidP="00F762C3">
      <w:pPr>
        <w:pStyle w:val="AppendixText3"/>
        <w:rPr>
          <w:highlight w:val="yellow"/>
        </w:rPr>
      </w:pPr>
      <w:r w:rsidRPr="00BD6C5F">
        <w:rPr>
          <w:highlight w:val="yellow"/>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00446408" w14:textId="77777777" w:rsidR="00D93E63" w:rsidRPr="00BD6C5F" w:rsidRDefault="00D93E63" w:rsidP="009F4A63">
      <w:pPr>
        <w:keepNext/>
        <w:spacing w:before="100" w:after="200"/>
        <w:ind w:left="720"/>
        <w:rPr>
          <w:rFonts w:asciiTheme="minorHAnsi" w:hAnsiTheme="minorHAnsi" w:cstheme="minorHAnsi"/>
        </w:rPr>
      </w:pPr>
      <w:r w:rsidRPr="00BD6C5F">
        <w:rPr>
          <w:rFonts w:asciiTheme="minorHAnsi" w:hAnsiTheme="minorHAnsi" w:cstheme="minorHAnsi"/>
        </w:rPr>
        <w:t>OPTION 2</w:t>
      </w:r>
    </w:p>
    <w:p w14:paraId="5ABE4000" w14:textId="77777777" w:rsidR="00D93E63" w:rsidRPr="00BD6C5F" w:rsidRDefault="00D93E63" w:rsidP="009F4A63">
      <w:pPr>
        <w:keepNext/>
        <w:spacing w:before="100" w:after="200"/>
        <w:ind w:left="720"/>
        <w:rPr>
          <w:rFonts w:asciiTheme="minorHAnsi" w:hAnsiTheme="minorHAnsi" w:cstheme="minorHAnsi"/>
          <w:highlight w:val="yellow"/>
        </w:rPr>
      </w:pPr>
      <w:r w:rsidRPr="00BD6C5F">
        <w:rPr>
          <w:rFonts w:asciiTheme="minorHAnsi" w:hAnsiTheme="minorHAnsi" w:cstheme="minorHAnsi"/>
          <w:highlight w:val="yellow"/>
        </w:rPr>
        <w:t>[Any LGPS Fair Deal Employees whether:</w:t>
      </w:r>
    </w:p>
    <w:p w14:paraId="4FAA2993" w14:textId="77777777" w:rsidR="00D93E63" w:rsidRPr="00BD6C5F" w:rsidRDefault="00D93E63" w:rsidP="00F762C3">
      <w:pPr>
        <w:pStyle w:val="AppendixText3"/>
        <w:rPr>
          <w:highlight w:val="yellow"/>
        </w:rPr>
      </w:pPr>
      <w:r w:rsidRPr="00BD6C5F">
        <w:rPr>
          <w:highlight w:val="yellow"/>
        </w:rPr>
        <w:t xml:space="preserve">active members of the LGPS (or a Broadly Comparable pension scheme) immediately before the Relevant Transfer Date; or </w:t>
      </w:r>
    </w:p>
    <w:p w14:paraId="4E09D201" w14:textId="77777777" w:rsidR="00D93E63" w:rsidRPr="00BD6C5F" w:rsidRDefault="00D93E63" w:rsidP="00F762C3">
      <w:pPr>
        <w:pStyle w:val="AppendixText3"/>
        <w:rPr>
          <w:highlight w:val="yellow"/>
        </w:rPr>
      </w:pPr>
      <w:r w:rsidRPr="00BD6C5F">
        <w:rPr>
          <w:highlight w:val="yellow"/>
        </w:rPr>
        <w:t xml:space="preserve">eligible to join the LGPS (or a Broadly Comparable pension scheme) but not active members of the LGPS (or a Broadly Comparable pension scheme) immediately before the Relevant Transfer Date </w:t>
      </w:r>
    </w:p>
    <w:p w14:paraId="69CA55E4" w14:textId="2A32DB4E" w:rsidR="00D93E63" w:rsidRPr="00BD6C5F" w:rsidRDefault="00D93E63" w:rsidP="008D096E">
      <w:pPr>
        <w:spacing w:before="100" w:after="200"/>
        <w:ind w:left="720"/>
        <w:rPr>
          <w:rFonts w:asciiTheme="minorHAnsi" w:hAnsiTheme="minorHAnsi" w:cstheme="minorHAnsi"/>
          <w:highlight w:val="yellow"/>
        </w:rPr>
      </w:pPr>
      <w:r w:rsidRPr="00BD6C5F">
        <w:rPr>
          <w:rFonts w:asciiTheme="minorHAnsi" w:hAnsiTheme="minorHAnsi" w:cstheme="minorHAnsi"/>
          <w:highlight w:val="yellow"/>
        </w:rPr>
        <w:t>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w:t>
      </w:r>
    </w:p>
    <w:p w14:paraId="124DEA64" w14:textId="77777777" w:rsidR="00D93E63" w:rsidRPr="00BD6C5F" w:rsidRDefault="00D93E63" w:rsidP="00F762C3">
      <w:pPr>
        <w:pStyle w:val="AppendixText2"/>
      </w:pPr>
      <w:r w:rsidRPr="00BD6C5F">
        <w:t xml:space="preserve">The Supplier will (and will procure that its Sub-contractors (if any) will) provide at its own cost any indemnity, bond or guarantee required by an Administering Authority in relation to an LGPS Admission Agreement. </w:t>
      </w:r>
    </w:p>
    <w:p w14:paraId="5225BAA5" w14:textId="2978B763" w:rsidR="00D93E63" w:rsidRPr="00BD6C5F" w:rsidRDefault="00E6623F" w:rsidP="00F762C3">
      <w:pPr>
        <w:pStyle w:val="AppendixText1"/>
      </w:pPr>
      <w:r w:rsidRPr="00BD6C5F">
        <w:t>Broadly Comparable Scheme</w:t>
      </w:r>
    </w:p>
    <w:p w14:paraId="0C762E40" w14:textId="6457573B" w:rsidR="00D93E63" w:rsidRPr="00BD6C5F" w:rsidRDefault="00D93E63" w:rsidP="00F762C3">
      <w:pPr>
        <w:pStyle w:val="AppendixText2"/>
      </w:pPr>
      <w:bookmarkStart w:id="1731" w:name="_Ref98427094"/>
      <w:bookmarkStart w:id="1732" w:name="_Ref_ContractCompanion_9kb9Ut238"/>
      <w:r w:rsidRPr="00BD6C5F">
        <w:t xml:space="preserve">If the Supplier and/or any of its Sub-contractors is unable to obtain an LGPS Admission Agreement in accordance with </w:t>
      </w:r>
      <w:bookmarkStart w:id="1733" w:name="_9kMHG5YVtCIC8DFCDUOndgt9zjuxpAFDDEF1AOI"/>
      <w:r w:rsidR="00FB0F44" w:rsidRPr="00BD6C5F">
        <w:t>P</w:t>
      </w:r>
      <w:r w:rsidRPr="00BD6C5F">
        <w:t>aragraph</w:t>
      </w:r>
      <w:r w:rsidR="00D91D35" w:rsidRPr="00BD6C5F">
        <w:t> </w:t>
      </w:r>
      <w:bookmarkEnd w:id="1733"/>
      <w:r w:rsidR="00D91D35" w:rsidRPr="00BD6C5F">
        <w:fldChar w:fldCharType="begin"/>
      </w:r>
      <w:r w:rsidR="00D91D35" w:rsidRPr="00BD6C5F">
        <w:instrText xml:space="preserve"> REF _Ref_ContractCompanion_9kb9Ut26G \w \h </w:instrText>
      </w:r>
      <w:r w:rsidR="00B36F57" w:rsidRPr="00BD6C5F">
        <w:instrText xml:space="preserve"> \* MERGEFORMAT </w:instrText>
      </w:r>
      <w:r w:rsidR="00D91D35" w:rsidRPr="00BD6C5F">
        <w:fldChar w:fldCharType="separate"/>
      </w:r>
      <w:r w:rsidR="009749A0">
        <w:t>2.1</w:t>
      </w:r>
      <w:r w:rsidR="00D91D35" w:rsidRPr="00BD6C5F">
        <w:fldChar w:fldCharType="end"/>
      </w:r>
      <w:r w:rsidRPr="00BD6C5F">
        <w:t xml:space="preserve"> because the Administering Authority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w:t>
      </w:r>
      <w:bookmarkStart w:id="1734" w:name="_9kMJI5YVt4EE9EDzmpqgyts0DK"/>
      <w:r w:rsidR="00FB0F44" w:rsidRPr="00BD6C5F">
        <w:t>P</w:t>
      </w:r>
      <w:r w:rsidRPr="00BD6C5F">
        <w:t>aragraph</w:t>
      </w:r>
      <w:r w:rsidR="00FB0F44" w:rsidRPr="00BD6C5F">
        <w:t> </w:t>
      </w:r>
      <w:bookmarkEnd w:id="1734"/>
      <w:r w:rsidR="00B36F57" w:rsidRPr="00BD6C5F">
        <w:fldChar w:fldCharType="begin"/>
      </w:r>
      <w:r w:rsidR="00B36F57" w:rsidRPr="00BD6C5F">
        <w:instrText xml:space="preserve"> REF _Ref98426286 \r \h </w:instrText>
      </w:r>
      <w:r w:rsidR="00AD7DD0" w:rsidRPr="00BD6C5F">
        <w:instrText xml:space="preserve"> \* MERGEFORMAT </w:instrText>
      </w:r>
      <w:r w:rsidR="00B36F57" w:rsidRPr="00BD6C5F">
        <w:fldChar w:fldCharType="separate"/>
      </w:r>
      <w:r w:rsidR="009749A0">
        <w:t>10</w:t>
      </w:r>
      <w:r w:rsidR="00B36F57" w:rsidRPr="00BD6C5F">
        <w:fldChar w:fldCharType="end"/>
      </w:r>
      <w:r w:rsidRPr="00BD6C5F">
        <w:t xml:space="preserve"> of </w:t>
      </w:r>
      <w:r w:rsidR="00B36F57" w:rsidRPr="00BD6C5F">
        <w:t xml:space="preserve">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w:t>
      </w:r>
      <w:bookmarkEnd w:id="1731"/>
      <w:r w:rsidRPr="00BD6C5F">
        <w:t xml:space="preserve"> </w:t>
      </w:r>
      <w:bookmarkEnd w:id="1732"/>
    </w:p>
    <w:p w14:paraId="2CD90CB7" w14:textId="7A05DAA5" w:rsidR="00D93E63" w:rsidRPr="00BD6C5F" w:rsidRDefault="00D93E63" w:rsidP="00F762C3">
      <w:pPr>
        <w:pStyle w:val="AppendixText2"/>
      </w:pPr>
      <w:bookmarkStart w:id="1735" w:name="_Ref_ContractCompanion_9kb9Ut24E"/>
      <w:bookmarkStart w:id="1736" w:name="_9kR3WTrAGA69BBDTEwzlXiC85zt30x13I52RTB6"/>
      <w:r w:rsidRPr="00BD6C5F">
        <w:lastRenderedPageBreak/>
        <w:t xml:space="preserve">If the Supplier and/or any of its Sub-contractors becomes an LGPS Admission Body in accordance with </w:t>
      </w:r>
      <w:bookmarkStart w:id="1737" w:name="_9kMIH5YVtCIC8DFCDUOndgt9zjuxpAFDDEF1AOI"/>
      <w:r w:rsidR="00FB0F44" w:rsidRPr="00BD6C5F">
        <w:t>P</w:t>
      </w:r>
      <w:r w:rsidRPr="00BD6C5F">
        <w:t>aragraph</w:t>
      </w:r>
      <w:r w:rsidR="00D91D35" w:rsidRPr="00BD6C5F">
        <w:t> </w:t>
      </w:r>
      <w:bookmarkEnd w:id="1737"/>
      <w:r w:rsidR="00D91D35" w:rsidRPr="00BD6C5F">
        <w:fldChar w:fldCharType="begin"/>
      </w:r>
      <w:r w:rsidR="00D91D35" w:rsidRPr="00BD6C5F">
        <w:instrText xml:space="preserve"> REF _Ref_ContractCompanion_9kb9Ut26G \w \h </w:instrText>
      </w:r>
      <w:r w:rsidR="00B36F57" w:rsidRPr="00BD6C5F">
        <w:instrText xml:space="preserve"> \* MERGEFORMAT </w:instrText>
      </w:r>
      <w:r w:rsidR="00D91D35" w:rsidRPr="00BD6C5F">
        <w:fldChar w:fldCharType="separate"/>
      </w:r>
      <w:r w:rsidR="009749A0">
        <w:t>2.1</w:t>
      </w:r>
      <w:r w:rsidR="00D91D35" w:rsidRPr="00BD6C5F">
        <w:fldChar w:fldCharType="end"/>
      </w:r>
      <w:r w:rsidRPr="00BD6C5F">
        <w:t xml:space="preserve"> but the LGPS Admission Agreement is terminated during the term of this Contract</w:t>
      </w:r>
      <w:r w:rsidRPr="00BD6C5F" w:rsidDel="000D1FBB">
        <w:t xml:space="preserve"> </w:t>
      </w:r>
      <w:r w:rsidRPr="00BD6C5F">
        <w:t xml:space="preserve">for any reason at a time when the Supplier or Sub-contractors still employs any LGPS Eligible Employees, the Supplier shall (and procure that its Sub-contractors shall) at no extra cost to the Authority, offer the remaining LGPS Eligible Employees membership of a pension scheme which is Broadly Comparable to the LGPS on the date the LGPS Eligible Employees ceased to participate in the LGPS in accordance with the provisions of </w:t>
      </w:r>
      <w:r w:rsidR="00FB0F44" w:rsidRPr="00BD6C5F">
        <w:t>P</w:t>
      </w:r>
      <w:r w:rsidRPr="00BD6C5F">
        <w:t>aragraph</w:t>
      </w:r>
      <w:r w:rsidR="00FB0F44" w:rsidRPr="00BD6C5F">
        <w:t> </w:t>
      </w:r>
      <w:r w:rsidR="00FB702D" w:rsidRPr="00BD6C5F">
        <w:fldChar w:fldCharType="begin"/>
      </w:r>
      <w:r w:rsidR="00FB702D" w:rsidRPr="00BD6C5F">
        <w:instrText xml:space="preserve"> REF _Ref98426297 \r \h </w:instrText>
      </w:r>
      <w:r w:rsidR="00AD7DD0" w:rsidRPr="00BD6C5F">
        <w:instrText xml:space="preserve"> \* MERGEFORMAT </w:instrText>
      </w:r>
      <w:r w:rsidR="00FB702D" w:rsidRPr="00BD6C5F">
        <w:fldChar w:fldCharType="separate"/>
      </w:r>
      <w:r w:rsidR="009749A0">
        <w:t>11</w:t>
      </w:r>
      <w:r w:rsidR="00FB702D" w:rsidRPr="00BD6C5F">
        <w:fldChar w:fldCharType="end"/>
      </w:r>
      <w:r w:rsidRPr="00BD6C5F">
        <w:t xml:space="preserve"> of </w:t>
      </w:r>
      <w:r w:rsidR="00FB702D" w:rsidRPr="00BD6C5F">
        <w:t xml:space="preserve">Part </w:t>
      </w:r>
      <w:r w:rsidR="00B8001B">
        <w:fldChar w:fldCharType="begin"/>
      </w:r>
      <w:r w:rsidR="00B8001B">
        <w:instrText xml:space="preserve"> REF Schedule_28_Part_D \h </w:instrText>
      </w:r>
      <w:r w:rsidR="00B8001B">
        <w:fldChar w:fldCharType="separate"/>
      </w:r>
      <w:r w:rsidR="009749A0" w:rsidRPr="00BD6C5F">
        <w:t>D</w:t>
      </w:r>
      <w:r w:rsidR="00B8001B">
        <w:fldChar w:fldCharType="end"/>
      </w:r>
      <w:r w:rsidRPr="00BD6C5F">
        <w:t>.</w:t>
      </w:r>
      <w:bookmarkEnd w:id="1735"/>
      <w:bookmarkEnd w:id="1736"/>
    </w:p>
    <w:p w14:paraId="1DC99C8D" w14:textId="17E4D4C8" w:rsidR="00D93E63" w:rsidRPr="00BD6C5F" w:rsidRDefault="00E6623F" w:rsidP="00F762C3">
      <w:pPr>
        <w:pStyle w:val="AppendixText1"/>
      </w:pPr>
      <w:r w:rsidRPr="00BD6C5F">
        <w:t>Discretionary Benefits</w:t>
      </w:r>
    </w:p>
    <w:p w14:paraId="5A879F6B" w14:textId="77777777" w:rsidR="00D93E63" w:rsidRPr="00BD6C5F" w:rsidRDefault="00D93E63" w:rsidP="00F762C3">
      <w:pPr>
        <w:pStyle w:val="AppendixText2"/>
      </w:pPr>
      <w:r w:rsidRPr="00BD6C5F">
        <w:t>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14:paraId="1FFBAFAE" w14:textId="475063BE" w:rsidR="00D93E63" w:rsidRPr="00BD6C5F" w:rsidRDefault="00E6623F" w:rsidP="00F762C3">
      <w:pPr>
        <w:pStyle w:val="AppendixText1"/>
      </w:pPr>
      <w:bookmarkStart w:id="1738" w:name="_Ref_ContractCompanion_9kb9Ut22B"/>
      <w:bookmarkStart w:id="1739" w:name="_Ref_ContractCompanion_9kb9Ut28G"/>
      <w:bookmarkStart w:id="1740" w:name="_9kR3WTrAGA6CMQCwozZaMfy3GJACFGEx8HED"/>
      <w:r w:rsidRPr="00BD6C5F">
        <w:t>LGPS Risk Sharing</w:t>
      </w:r>
      <w:bookmarkEnd w:id="1738"/>
      <w:bookmarkEnd w:id="1739"/>
      <w:bookmarkEnd w:id="1740"/>
    </w:p>
    <w:p w14:paraId="158F5797" w14:textId="5D4617FA" w:rsidR="00D93E63" w:rsidRPr="00BD6C5F" w:rsidRDefault="00D93E63" w:rsidP="00F762C3">
      <w:pPr>
        <w:pStyle w:val="AppendixText2"/>
      </w:pPr>
      <w:r w:rsidRPr="00BD6C5F">
        <w:t xml:space="preserve">Subject to </w:t>
      </w:r>
      <w:bookmarkStart w:id="1741" w:name="_9kMHG5YVtCIC8DIIJiTlXiC85zt30x1p0P5wCv9"/>
      <w:r w:rsidR="00FB0F44" w:rsidRPr="00BD6C5F">
        <w:t>P</w:t>
      </w:r>
      <w:r w:rsidRPr="00BD6C5F">
        <w:t>aragraphs</w:t>
      </w:r>
      <w:r w:rsidR="00D91D35" w:rsidRPr="00BD6C5F">
        <w:t> </w:t>
      </w:r>
      <w:r w:rsidR="0010425E" w:rsidRPr="00BD6C5F">
        <w:rPr>
          <w:cs/>
        </w:rPr>
        <w:t>‎</w:t>
      </w:r>
      <w:r w:rsidR="00D91D35" w:rsidRPr="00BD6C5F">
        <w:rPr>
          <w:cs/>
        </w:rPr>
        <w:fldChar w:fldCharType="begin"/>
      </w:r>
      <w:r w:rsidR="00D91D35" w:rsidRPr="00BD6C5F">
        <w:instrText xml:space="preserve"> REF _Ref_ContractCompanion_9kb9Ut27A \w \h </w:instrText>
      </w:r>
      <w:r w:rsidR="00B36F57" w:rsidRPr="00BD6C5F">
        <w:instrText xml:space="preserve"> \* MERGEFORMAT </w:instrText>
      </w:r>
      <w:r w:rsidR="00D91D35" w:rsidRPr="00BD6C5F">
        <w:rPr>
          <w:cs/>
        </w:rPr>
      </w:r>
      <w:r w:rsidR="00D91D35" w:rsidRPr="00BD6C5F">
        <w:rPr>
          <w:cs/>
        </w:rPr>
        <w:fldChar w:fldCharType="separate"/>
      </w:r>
      <w:r w:rsidR="009749A0">
        <w:t>5.4</w:t>
      </w:r>
      <w:r w:rsidR="00D91D35" w:rsidRPr="00BD6C5F">
        <w:rPr>
          <w:cs/>
        </w:rPr>
        <w:fldChar w:fldCharType="end"/>
      </w:r>
      <w:bookmarkEnd w:id="1741"/>
      <w:r w:rsidR="00D91D35" w:rsidRPr="00BD6C5F">
        <w:t xml:space="preserve"> </w:t>
      </w:r>
      <w:r w:rsidRPr="00BD6C5F">
        <w:t xml:space="preserve">to </w:t>
      </w:r>
      <w:bookmarkStart w:id="1742" w:name="_9kMIH5YVtCIB7EIHGCMHCeY3l2HaPAJJJLKlmNK"/>
      <w:r w:rsidR="00D91D35" w:rsidRPr="00BD6C5F">
        <w:fldChar w:fldCharType="begin"/>
      </w:r>
      <w:r w:rsidR="00D91D35" w:rsidRPr="00BD6C5F">
        <w:instrText xml:space="preserve"> REF _Ref_ContractCompanion_9kb9Us17H \w \h </w:instrText>
      </w:r>
      <w:r w:rsidR="00B36F57" w:rsidRPr="00BD6C5F">
        <w:instrText xml:space="preserve"> \* MERGEFORMAT </w:instrText>
      </w:r>
      <w:r w:rsidR="00D91D35" w:rsidRPr="00BD6C5F">
        <w:fldChar w:fldCharType="separate"/>
      </w:r>
      <w:r w:rsidR="009749A0">
        <w:t>5.10</w:t>
      </w:r>
      <w:r w:rsidR="00D91D35" w:rsidRPr="00BD6C5F">
        <w:fldChar w:fldCharType="end"/>
      </w:r>
      <w:bookmarkEnd w:id="1742"/>
      <w:r w:rsidRPr="00BD6C5F">
        <w:t>, if at any time during the term of this Contract</w:t>
      </w:r>
      <w:r w:rsidRPr="00BD6C5F" w:rsidDel="000D1FBB">
        <w:t xml:space="preserve"> </w:t>
      </w:r>
      <w:r w:rsidRPr="00BD6C5F">
        <w:t xml:space="preserve">the Administering Authority,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w:t>
      </w:r>
      <w:r w:rsidR="00A4555C" w:rsidRPr="00BD6C5F">
        <w:t>“</w:t>
      </w:r>
      <w:r w:rsidRPr="00BD6C5F">
        <w:rPr>
          <w:rStyle w:val="StdBodyTextBoldChar"/>
          <w:rFonts w:asciiTheme="minorHAnsi" w:eastAsia="Arial" w:hAnsiTheme="minorHAnsi" w:cstheme="minorHAnsi"/>
        </w:rPr>
        <w:t>Excess Amount</w:t>
      </w:r>
      <w:r w:rsidR="00A4555C" w:rsidRPr="00BD6C5F">
        <w:t>”</w:t>
      </w:r>
      <w:r w:rsidRPr="00BD6C5F">
        <w:t>) shall be paid by the Supplier or the Sub-contractor, as the case may be, and the Supplier shall be reimbursed by the Authority.</w:t>
      </w:r>
    </w:p>
    <w:p w14:paraId="37200A3B" w14:textId="2019DCB8" w:rsidR="00D93E63" w:rsidRPr="00BD6C5F" w:rsidRDefault="00D93E63" w:rsidP="00F762C3">
      <w:pPr>
        <w:pStyle w:val="AppendixText2"/>
      </w:pPr>
      <w:r w:rsidRPr="00BD6C5F">
        <w:t xml:space="preserve">Subject to </w:t>
      </w:r>
      <w:bookmarkStart w:id="1743" w:name="_9kMIH5YVtCIC8DIIJiTlXiC85zt30x1p0P5wCv9"/>
      <w:r w:rsidR="00FB0F44" w:rsidRPr="00BD6C5F">
        <w:t>P</w:t>
      </w:r>
      <w:r w:rsidRPr="00BD6C5F">
        <w:t>aragraphs</w:t>
      </w:r>
      <w:r w:rsidR="00D91D35" w:rsidRPr="00BD6C5F">
        <w:t> </w:t>
      </w:r>
      <w:r w:rsidR="00D91D35" w:rsidRPr="00BD6C5F">
        <w:rPr>
          <w:cs/>
        </w:rPr>
        <w:fldChar w:fldCharType="begin"/>
      </w:r>
      <w:r w:rsidR="00D91D35" w:rsidRPr="00BD6C5F">
        <w:instrText xml:space="preserve"> REF _Ref_ContractCompanion_9kb9Ut27A \w \h </w:instrText>
      </w:r>
      <w:r w:rsidR="00B36F57" w:rsidRPr="00BD6C5F">
        <w:instrText xml:space="preserve"> \* MERGEFORMAT </w:instrText>
      </w:r>
      <w:r w:rsidR="00D91D35" w:rsidRPr="00BD6C5F">
        <w:rPr>
          <w:cs/>
        </w:rPr>
      </w:r>
      <w:r w:rsidR="00D91D35" w:rsidRPr="00BD6C5F">
        <w:rPr>
          <w:cs/>
        </w:rPr>
        <w:fldChar w:fldCharType="separate"/>
      </w:r>
      <w:r w:rsidR="009749A0">
        <w:t>5.4</w:t>
      </w:r>
      <w:r w:rsidR="00D91D35" w:rsidRPr="00BD6C5F">
        <w:rPr>
          <w:cs/>
        </w:rPr>
        <w:fldChar w:fldCharType="end"/>
      </w:r>
      <w:r w:rsidR="00D91D35" w:rsidRPr="00BD6C5F">
        <w:t xml:space="preserve"> </w:t>
      </w:r>
      <w:bookmarkEnd w:id="1743"/>
      <w:r w:rsidRPr="00BD6C5F">
        <w:t xml:space="preserve">to </w:t>
      </w:r>
      <w:bookmarkStart w:id="1744" w:name="_9kMHG5YVtCIC8DLLOqWlwx04qOc7p6LeTENNN2i"/>
      <w:r w:rsidR="00D91D35" w:rsidRPr="00BD6C5F">
        <w:fldChar w:fldCharType="begin"/>
      </w:r>
      <w:r w:rsidR="00D91D35" w:rsidRPr="00BD6C5F">
        <w:instrText xml:space="preserve"> REF _Ref_ContractCompanion_9kb9Ut27D \w \h </w:instrText>
      </w:r>
      <w:r w:rsidR="00B36F57" w:rsidRPr="00BD6C5F">
        <w:instrText xml:space="preserve"> \* MERGEFORMAT </w:instrText>
      </w:r>
      <w:r w:rsidR="00D91D35" w:rsidRPr="00BD6C5F">
        <w:fldChar w:fldCharType="separate"/>
      </w:r>
      <w:r w:rsidR="009749A0">
        <w:t>5.9</w:t>
      </w:r>
      <w:r w:rsidR="00D91D35" w:rsidRPr="00BD6C5F">
        <w:fldChar w:fldCharType="end"/>
      </w:r>
      <w:bookmarkEnd w:id="1744"/>
      <w:r w:rsidRPr="00BD6C5F">
        <w:t xml:space="preserve"> and </w:t>
      </w:r>
      <w:bookmarkStart w:id="1745" w:name="_9kMHG5YVtCIC8EFEGDNHCrSn4DxLPAJJJ7vDC00"/>
      <w:r w:rsidR="00D91D35" w:rsidRPr="00BD6C5F">
        <w:fldChar w:fldCharType="begin"/>
      </w:r>
      <w:r w:rsidR="00D91D35" w:rsidRPr="00BD6C5F">
        <w:instrText xml:space="preserve"> REF _Ref_ContractCompanion_9kb9Ut27G \w \h </w:instrText>
      </w:r>
      <w:r w:rsidR="00B36F57" w:rsidRPr="00BD6C5F">
        <w:instrText xml:space="preserve"> \* MERGEFORMAT </w:instrText>
      </w:r>
      <w:r w:rsidR="00D91D35" w:rsidRPr="00BD6C5F">
        <w:fldChar w:fldCharType="separate"/>
      </w:r>
      <w:r w:rsidR="009749A0">
        <w:t>5.11</w:t>
      </w:r>
      <w:r w:rsidR="00D91D35" w:rsidRPr="00BD6C5F">
        <w:fldChar w:fldCharType="end"/>
      </w:r>
      <w:bookmarkEnd w:id="1745"/>
      <w:r w:rsidRPr="00BD6C5F">
        <w:t xml:space="preserve">, if at any time during the term of this Contract, the Administering Authority, pursuant to the LGPS Admission Agreement or the LGPS Regulations, requires the Supplier or any Sub-contractor to pay employer contributions or payments to the Fund in aggregate below the Initial Contribution Rate for a Contract Year, the Supplier shall reimburse the Authority an amount equal to A–B (the </w:t>
      </w:r>
      <w:r w:rsidR="00A4555C" w:rsidRPr="00BD6C5F">
        <w:t>“</w:t>
      </w:r>
      <w:r w:rsidRPr="00BD6C5F">
        <w:rPr>
          <w:rStyle w:val="StdBodyTextBoldChar"/>
          <w:rFonts w:asciiTheme="minorHAnsi" w:eastAsia="Arial" w:hAnsiTheme="minorHAnsi" w:cstheme="minorHAnsi"/>
        </w:rPr>
        <w:t>Refund Amount</w:t>
      </w:r>
      <w:r w:rsidR="00A4555C" w:rsidRPr="00BD6C5F">
        <w:t>”</w:t>
      </w:r>
      <w:r w:rsidRPr="00BD6C5F">
        <w:t>) where:</w:t>
      </w:r>
    </w:p>
    <w:p w14:paraId="6335531F" w14:textId="77777777" w:rsidR="00D93E63" w:rsidRPr="00BD6C5F" w:rsidRDefault="00D93E63" w:rsidP="008D096E">
      <w:pPr>
        <w:spacing w:before="100" w:after="200"/>
        <w:ind w:left="1803" w:hanging="1083"/>
      </w:pPr>
      <w:r w:rsidRPr="00BD6C5F">
        <w:t>A =</w:t>
      </w:r>
      <w:r w:rsidRPr="00BD6C5F">
        <w:tab/>
        <w:t>the amount which would have been paid if contributions and payments had been paid equal to the Initial Contribution Rate for that Contract Year; and</w:t>
      </w:r>
    </w:p>
    <w:p w14:paraId="0FC2B65D" w14:textId="7F42CF33" w:rsidR="00D93E63" w:rsidRPr="00BD6C5F" w:rsidRDefault="00D93E63" w:rsidP="008D096E">
      <w:pPr>
        <w:spacing w:before="100" w:after="200"/>
        <w:ind w:left="1803" w:hanging="1083"/>
      </w:pPr>
      <w:r w:rsidRPr="00BD6C5F">
        <w:t>B =</w:t>
      </w:r>
      <w:r w:rsidRPr="00BD6C5F">
        <w:tab/>
        <w:t>the amount of contributions or payments actually paid by the Supplier or Sub</w:t>
      </w:r>
      <w:r w:rsidR="008D096E" w:rsidRPr="00BD6C5F">
        <w:noBreakHyphen/>
      </w:r>
      <w:r w:rsidRPr="00BD6C5F">
        <w:t>contractor for that Contract Year, as the case may be, to the Fund.</w:t>
      </w:r>
    </w:p>
    <w:p w14:paraId="3BDAC90E" w14:textId="42699768" w:rsidR="00D93E63" w:rsidRPr="00BD6C5F" w:rsidRDefault="00D93E63" w:rsidP="00F762C3">
      <w:pPr>
        <w:pStyle w:val="AppendixText2"/>
      </w:pPr>
      <w:r w:rsidRPr="00BD6C5F">
        <w:t xml:space="preserve">Subject to </w:t>
      </w:r>
      <w:bookmarkStart w:id="1746" w:name="_9kMJI5YVtCIC8DIIJiTlXiC85zt30x1p0P5wCv9"/>
      <w:r w:rsidR="00FB0F44" w:rsidRPr="00BD6C5F">
        <w:t>P</w:t>
      </w:r>
      <w:r w:rsidRPr="00BD6C5F">
        <w:t>aragraphs</w:t>
      </w:r>
      <w:r w:rsidR="00D91D35" w:rsidRPr="00BD6C5F">
        <w:t> </w:t>
      </w:r>
      <w:bookmarkEnd w:id="1746"/>
      <w:r w:rsidR="00D91D35" w:rsidRPr="00BD6C5F">
        <w:rPr>
          <w:cs/>
        </w:rPr>
        <w:fldChar w:fldCharType="begin"/>
      </w:r>
      <w:r w:rsidR="00D91D35" w:rsidRPr="00BD6C5F">
        <w:instrText xml:space="preserve"> REF _Ref_ContractCompanion_9kb9Ut27A \w \h </w:instrText>
      </w:r>
      <w:r w:rsidR="00B36F57" w:rsidRPr="00BD6C5F">
        <w:instrText xml:space="preserve"> \* MERGEFORMAT </w:instrText>
      </w:r>
      <w:r w:rsidR="00D91D35" w:rsidRPr="00BD6C5F">
        <w:rPr>
          <w:cs/>
        </w:rPr>
      </w:r>
      <w:r w:rsidR="00D91D35" w:rsidRPr="00BD6C5F">
        <w:rPr>
          <w:cs/>
        </w:rPr>
        <w:fldChar w:fldCharType="separate"/>
      </w:r>
      <w:r w:rsidR="009749A0">
        <w:t>5.4</w:t>
      </w:r>
      <w:r w:rsidR="00D91D35" w:rsidRPr="00BD6C5F">
        <w:rPr>
          <w:cs/>
        </w:rPr>
        <w:fldChar w:fldCharType="end"/>
      </w:r>
      <w:r w:rsidR="00D91D35" w:rsidRPr="00BD6C5F">
        <w:t xml:space="preserve"> to </w:t>
      </w:r>
      <w:r w:rsidR="00D91D35" w:rsidRPr="00BD6C5F">
        <w:fldChar w:fldCharType="begin"/>
      </w:r>
      <w:r w:rsidR="00D91D35" w:rsidRPr="00BD6C5F">
        <w:instrText xml:space="preserve"> REF _Ref_ContractCompanion_9kb9Us17H \w \h </w:instrText>
      </w:r>
      <w:r w:rsidR="00B36F57" w:rsidRPr="00BD6C5F">
        <w:instrText xml:space="preserve"> \* MERGEFORMAT </w:instrText>
      </w:r>
      <w:r w:rsidR="00D91D35" w:rsidRPr="00BD6C5F">
        <w:fldChar w:fldCharType="separate"/>
      </w:r>
      <w:r w:rsidR="009749A0">
        <w:t>5.10</w:t>
      </w:r>
      <w:r w:rsidR="00D91D35" w:rsidRPr="00BD6C5F">
        <w:fldChar w:fldCharType="end"/>
      </w:r>
      <w:r w:rsidRPr="00BD6C5F">
        <w:t xml:space="preserve">, 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R="00A4555C" w:rsidRPr="00BD6C5F">
        <w:t>“</w:t>
      </w:r>
      <w:r w:rsidRPr="00BD6C5F">
        <w:rPr>
          <w:rStyle w:val="StdBodyTextBoldChar"/>
          <w:rFonts w:asciiTheme="minorHAnsi" w:eastAsia="Arial" w:hAnsiTheme="minorHAnsi" w:cstheme="minorHAnsi"/>
        </w:rPr>
        <w:t>Exit Payment</w:t>
      </w:r>
      <w:r w:rsidR="00A4555C" w:rsidRPr="00BD6C5F">
        <w:t>”</w:t>
      </w:r>
      <w:r w:rsidRPr="00BD6C5F">
        <w:t>), such Exit Payment shall be paid by the Supplier or any Sub-contractor (as the case may be) and the Supplier shall be reimbursed by the Authority.</w:t>
      </w:r>
    </w:p>
    <w:p w14:paraId="535FEB90" w14:textId="5724DA2F" w:rsidR="00D93E63" w:rsidRPr="00BD6C5F" w:rsidRDefault="00D93E63" w:rsidP="009F4A63">
      <w:pPr>
        <w:pStyle w:val="AppendixText2"/>
        <w:keepNext/>
      </w:pPr>
      <w:bookmarkStart w:id="1747" w:name="_Ref_ContractCompanion_9kb9Ut27A"/>
      <w:bookmarkStart w:id="1748" w:name="_9kR3WTrAGA6BGGHgRjVgA63xr1yvznyN3uAt7JP"/>
      <w:r w:rsidRPr="00BD6C5F">
        <w:t>The Supplier and any Sub-contractors shall at all times be responsible for the following costs:</w:t>
      </w:r>
      <w:bookmarkEnd w:id="1747"/>
      <w:bookmarkEnd w:id="1748"/>
    </w:p>
    <w:p w14:paraId="21DCC61C" w14:textId="77777777" w:rsidR="00D93E63" w:rsidRPr="00BD6C5F" w:rsidRDefault="00D93E63" w:rsidP="00F762C3">
      <w:pPr>
        <w:pStyle w:val="AppendixText3"/>
      </w:pPr>
      <w:r w:rsidRPr="00BD6C5F">
        <w:t>any employer contributions relating to the costs of early retirement benefits arising on redundancy or as a result of business efficiency under Regulation 30(7) of the 2013 Regulations or otherwise;</w:t>
      </w:r>
    </w:p>
    <w:p w14:paraId="2DA8EEFF" w14:textId="77777777" w:rsidR="00D93E63" w:rsidRPr="00BD6C5F" w:rsidRDefault="00D93E63" w:rsidP="00F762C3">
      <w:pPr>
        <w:pStyle w:val="AppendixText3"/>
      </w:pPr>
      <w:r w:rsidRPr="00BD6C5F">
        <w:lastRenderedPageBreak/>
        <w:t>any payment of Fund benefits to active members on the grounds of ill health or infirmity of mind or body under Regulation 35 of the 2013 Regulations or otherwise;</w:t>
      </w:r>
    </w:p>
    <w:p w14:paraId="44E589C6" w14:textId="77777777" w:rsidR="00D93E63" w:rsidRPr="00BD6C5F" w:rsidRDefault="00D93E63" w:rsidP="00F762C3">
      <w:pPr>
        <w:pStyle w:val="AppendixText3"/>
      </w:pPr>
      <w:r w:rsidRPr="00BD6C5F">
        <w:t>any payment of Fund benefits to deferred or deferred pensioner members on the grounds of ill health or infirmity of mind or body under Regulation 38 of the 2013 Regulations or otherwise;</w:t>
      </w:r>
    </w:p>
    <w:p w14:paraId="34E3424E" w14:textId="77777777" w:rsidR="00D93E63" w:rsidRPr="00BD6C5F" w:rsidRDefault="00D93E63" w:rsidP="00F762C3">
      <w:pPr>
        <w:pStyle w:val="AppendixText3"/>
      </w:pPr>
      <w:r w:rsidRPr="00BD6C5F">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w:t>
      </w:r>
      <w:bookmarkStart w:id="1749" w:name="_9kMHG5YVt4EE9GLiLhkhy7sA"/>
      <w:r w:rsidRPr="00BD6C5F">
        <w:t>Schedule 2</w:t>
      </w:r>
      <w:bookmarkEnd w:id="1749"/>
      <w:r w:rsidRPr="00BD6C5F">
        <w:t xml:space="preserve"> of The Local Government Pension Scheme (Transitional Provisions, Savings and Amendment) Regulations 2014;</w:t>
      </w:r>
    </w:p>
    <w:p w14:paraId="0D7367DB" w14:textId="77777777" w:rsidR="00D93E63" w:rsidRPr="00BD6C5F" w:rsidRDefault="00D93E63" w:rsidP="00F762C3">
      <w:pPr>
        <w:pStyle w:val="AppendixText3"/>
      </w:pPr>
      <w:r w:rsidRPr="00BD6C5F">
        <w:t>any employer contributions relating to the costs of enhanced benefits made at the discretion of the Supplier or any relevant Sub-contractors including without limitation additional pension awarded under Regulation 31 of the 2013 Regulations or otherwise;</w:t>
      </w:r>
    </w:p>
    <w:p w14:paraId="1F63F4E8" w14:textId="75EFB37B" w:rsidR="00D93E63" w:rsidRPr="00BD6C5F" w:rsidRDefault="00D93E63" w:rsidP="00F762C3">
      <w:pPr>
        <w:pStyle w:val="AppendixText3"/>
      </w:pPr>
      <w:r w:rsidRPr="00BD6C5F">
        <w:t>any increase to the employer contribution rate resulting from the award of pay increases by the Supplier or relevant Sub-contractors in respect of all or any of the LGPS Eligible Employees in excess of the pay increases assumed in the Fund</w:t>
      </w:r>
      <w:r w:rsidR="00A4555C" w:rsidRPr="00BD6C5F">
        <w:t>’</w:t>
      </w:r>
      <w:r w:rsidRPr="00BD6C5F">
        <w:t>s most recent actuarial valuation (unless the Supplier and/or any Sub-contractor is contractually bound to provide such increases on the Relevant Transfer Date);</w:t>
      </w:r>
    </w:p>
    <w:p w14:paraId="58B73289" w14:textId="77777777" w:rsidR="00D93E63" w:rsidRPr="00BD6C5F" w:rsidRDefault="00D93E63" w:rsidP="00F762C3">
      <w:pPr>
        <w:pStyle w:val="AppendixText3"/>
      </w:pPr>
      <w:r w:rsidRPr="00BD6C5F">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14:paraId="071A8BD6" w14:textId="2A98769D" w:rsidR="00D93E63" w:rsidRPr="00BD6C5F" w:rsidRDefault="00D93E63" w:rsidP="00F762C3">
      <w:pPr>
        <w:pStyle w:val="AppendixText3"/>
      </w:pPr>
      <w:r w:rsidRPr="00BD6C5F">
        <w:t>any cost of the administration of the Fund that are not met through the Supplier</w:t>
      </w:r>
      <w:r w:rsidR="00A4555C" w:rsidRPr="00BD6C5F">
        <w:t>’</w:t>
      </w:r>
      <w:r w:rsidRPr="00BD6C5F">
        <w:t>s or Sub-contractor</w:t>
      </w:r>
      <w:r w:rsidR="00A4555C" w:rsidRPr="00BD6C5F">
        <w:t>’</w:t>
      </w:r>
      <w:r w:rsidRPr="00BD6C5F">
        <w:t xml:space="preserve">s employer contribution rate, including without limitation an amount specified in a notice given by the Administering Authority under Regulation 70 of the 2013 Regulations; </w:t>
      </w:r>
    </w:p>
    <w:p w14:paraId="207350F5" w14:textId="77777777" w:rsidR="00D93E63" w:rsidRPr="00BD6C5F" w:rsidRDefault="00D93E63" w:rsidP="00F762C3">
      <w:pPr>
        <w:pStyle w:val="AppendixText3"/>
      </w:pPr>
      <w:r w:rsidRPr="00BD6C5F">
        <w:t>the costs of any reports and advice requested by or arising from an instruction given by the Supplier or a Sub-contractor from the Fund Actuary; and/or</w:t>
      </w:r>
    </w:p>
    <w:p w14:paraId="02F59409" w14:textId="77777777" w:rsidR="00D93E63" w:rsidRPr="00BD6C5F" w:rsidRDefault="00D93E63" w:rsidP="00F762C3">
      <w:pPr>
        <w:pStyle w:val="AppendixText3"/>
      </w:pPr>
      <w:r w:rsidRPr="00BD6C5F">
        <w:t>any interest payable under the 2013 Regulations or LGPS Administration Agreement.</w:t>
      </w:r>
    </w:p>
    <w:p w14:paraId="223CC642" w14:textId="6CB205D3" w:rsidR="00D93E63" w:rsidRPr="00BD6C5F" w:rsidRDefault="00D93E63" w:rsidP="00F762C3">
      <w:pPr>
        <w:pStyle w:val="AppendixText2"/>
      </w:pPr>
      <w:r w:rsidRPr="00BD6C5F">
        <w:t xml:space="preserve">For the purposes of calculating any Exit Payment, Excess Amount or Refund Amount, any part of such an amount which is attributable to any costs which the Supplier or Sub-contractors are responsible for in accordance with </w:t>
      </w:r>
      <w:bookmarkStart w:id="1750" w:name="_9kMKJ5YVtCIC8DIIJiTlXiC85zt30x1p0P5wCv9"/>
      <w:r w:rsidR="00FB0F44" w:rsidRPr="00BD6C5F">
        <w:t>P</w:t>
      </w:r>
      <w:r w:rsidRPr="00BD6C5F">
        <w:t>aragraph</w:t>
      </w:r>
      <w:r w:rsidR="00D91D35" w:rsidRPr="00BD6C5F">
        <w:t> </w:t>
      </w:r>
      <w:r w:rsidR="00D91D35" w:rsidRPr="00BD6C5F">
        <w:rPr>
          <w:cs/>
        </w:rPr>
        <w:fldChar w:fldCharType="begin"/>
      </w:r>
      <w:r w:rsidR="00D91D35" w:rsidRPr="00BD6C5F">
        <w:instrText xml:space="preserve"> REF _Ref_ContractCompanion_9kb9Ut27A \w \h </w:instrText>
      </w:r>
      <w:r w:rsidR="00BC6AF7" w:rsidRPr="00BD6C5F">
        <w:instrText xml:space="preserve"> \* MERGEFORMAT </w:instrText>
      </w:r>
      <w:r w:rsidR="00D91D35" w:rsidRPr="00BD6C5F">
        <w:rPr>
          <w:cs/>
        </w:rPr>
      </w:r>
      <w:r w:rsidR="00D91D35" w:rsidRPr="00BD6C5F">
        <w:rPr>
          <w:cs/>
        </w:rPr>
        <w:fldChar w:fldCharType="separate"/>
      </w:r>
      <w:r w:rsidR="009749A0">
        <w:t>5.4</w:t>
      </w:r>
      <w:r w:rsidR="00D91D35" w:rsidRPr="00BD6C5F">
        <w:rPr>
          <w:cs/>
        </w:rPr>
        <w:fldChar w:fldCharType="end"/>
      </w:r>
      <w:r w:rsidR="00D91D35" w:rsidRPr="00BD6C5F">
        <w:t xml:space="preserve"> </w:t>
      </w:r>
      <w:bookmarkEnd w:id="1750"/>
      <w:r w:rsidRPr="00BD6C5F">
        <w:t>above shall be disregarded and excluded from the calculation. In the event of any dispute as to level of any cost that should be excluded from the calculation, the opinion of the Fund Actuary shall be final and binding.</w:t>
      </w:r>
    </w:p>
    <w:p w14:paraId="108E932B" w14:textId="257DC2F2" w:rsidR="00D93E63" w:rsidRPr="00BD6C5F" w:rsidRDefault="00D93E63" w:rsidP="00F762C3">
      <w:pPr>
        <w:pStyle w:val="AppendixText2"/>
      </w:pPr>
      <w:r w:rsidRPr="00BD6C5F">
        <w:lastRenderedPageBreak/>
        <w:t xml:space="preserve">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R="00A4555C" w:rsidRPr="00BD6C5F">
        <w:t>“</w:t>
      </w:r>
      <w:r w:rsidRPr="00BD6C5F">
        <w:rPr>
          <w:rStyle w:val="StdBodyTextBoldChar"/>
          <w:rFonts w:asciiTheme="minorHAnsi" w:eastAsia="Arial" w:hAnsiTheme="minorHAnsi" w:cstheme="minorHAnsi"/>
        </w:rPr>
        <w:t>Exit Credit</w:t>
      </w:r>
      <w:r w:rsidR="00A4555C" w:rsidRPr="00BD6C5F">
        <w:t>”</w:t>
      </w:r>
      <w:r w:rsidRPr="00BD6C5F">
        <w:t xml:space="preserve">), the Supplier shall (or procure that any Sub-contractor shall) reimburse the Authority an amount equal to the Exit Credit within twenty (20) Working Days of receipt of the Exit Credit. </w:t>
      </w:r>
    </w:p>
    <w:p w14:paraId="48B0A426" w14:textId="6C76F8F5" w:rsidR="00D93E63" w:rsidRPr="00BD6C5F" w:rsidRDefault="00D93E63" w:rsidP="009F4A63">
      <w:pPr>
        <w:pStyle w:val="AppendixText2"/>
        <w:keepNext/>
      </w:pPr>
      <w:bookmarkStart w:id="1751" w:name="_Ref_ContractCompanion_9kb9Ut28A"/>
      <w:bookmarkStart w:id="1752" w:name="_9kR3WTrAGA6CGFKjRjVgA63xr1G7qv7BIKLL7EU"/>
      <w:r w:rsidRPr="00BD6C5F">
        <w:t>The Supplier shall (or procure that the Sub-contractor shall) notify the Authority in writing within twenty (20) Working Days:</w:t>
      </w:r>
      <w:bookmarkEnd w:id="1751"/>
      <w:bookmarkEnd w:id="1752"/>
    </w:p>
    <w:p w14:paraId="3B96233E" w14:textId="77777777" w:rsidR="00D93E63" w:rsidRPr="00BD6C5F" w:rsidRDefault="00D93E63" w:rsidP="00F762C3">
      <w:pPr>
        <w:pStyle w:val="AppendixText3"/>
      </w:pPr>
      <w:r w:rsidRPr="00BD6C5F">
        <w:t>of the end of each Contract Year of any Excess Amount or Refund Amount due in respect of the Contract Year that has just ended and provide a reasonable summary of how the Excess Amount or Refund Amount was calculated; and</w:t>
      </w:r>
    </w:p>
    <w:p w14:paraId="09D2C869" w14:textId="77777777" w:rsidR="00D93E63" w:rsidRPr="00BD6C5F" w:rsidRDefault="00D93E63" w:rsidP="00F762C3">
      <w:pPr>
        <w:pStyle w:val="AppendixText3"/>
      </w:pPr>
      <w:r w:rsidRPr="00BD6C5F">
        <w:t>of being informed by the Administering Authority of any Exit Payment or Exit Credit that is determined by as being due from or to the Supplier or a Sub-contractor and provide a copy of any revised rates and adjustments certificate detailing the Exit Payment or Exit Credit and its calculation.</w:t>
      </w:r>
    </w:p>
    <w:p w14:paraId="765F112C" w14:textId="68C91EC4" w:rsidR="00D93E63" w:rsidRPr="00BD6C5F" w:rsidRDefault="00D93E63" w:rsidP="009F4A63">
      <w:pPr>
        <w:pStyle w:val="AppendixText2"/>
        <w:keepNext/>
      </w:pPr>
      <w:bookmarkStart w:id="1753" w:name="_Ref_ContractCompanion_9kb9Ut28D"/>
      <w:bookmarkStart w:id="1754" w:name="_9kR3WTrAGA6CJILnVzzpw8I4wCOYOtpHE6A9aPH"/>
      <w:r w:rsidRPr="00BD6C5F">
        <w:t xml:space="preserve">Within twenty (20) Working Days of receiving the notification under </w:t>
      </w:r>
      <w:bookmarkStart w:id="1755" w:name="_9kMHG5YVtCIC8EIHMlTlXiC85zt3I9sx9DKMNN9"/>
      <w:r w:rsidR="00EB6119" w:rsidRPr="00BD6C5F">
        <w:t>P</w:t>
      </w:r>
      <w:r w:rsidRPr="00BD6C5F">
        <w:t>aragraph</w:t>
      </w:r>
      <w:r w:rsidR="00D91D35" w:rsidRPr="00BD6C5F">
        <w:t> </w:t>
      </w:r>
      <w:r w:rsidR="00D91D35" w:rsidRPr="00BD6C5F">
        <w:fldChar w:fldCharType="begin"/>
      </w:r>
      <w:r w:rsidR="00D91D35" w:rsidRPr="00BD6C5F">
        <w:instrText xml:space="preserve"> REF _Ref_ContractCompanion_9kb9Ut28A \w \h </w:instrText>
      </w:r>
      <w:r w:rsidR="00BC6AF7" w:rsidRPr="00BD6C5F">
        <w:instrText xml:space="preserve"> \* MERGEFORMAT </w:instrText>
      </w:r>
      <w:r w:rsidR="00D91D35" w:rsidRPr="00BD6C5F">
        <w:fldChar w:fldCharType="separate"/>
      </w:r>
      <w:r w:rsidR="009749A0">
        <w:t>5.7</w:t>
      </w:r>
      <w:r w:rsidR="00D91D35" w:rsidRPr="00BD6C5F">
        <w:fldChar w:fldCharType="end"/>
      </w:r>
      <w:bookmarkEnd w:id="1755"/>
      <w:r w:rsidRPr="00BD6C5F">
        <w:t xml:space="preserve"> above, the Authority shall either:</w:t>
      </w:r>
      <w:bookmarkEnd w:id="1753"/>
      <w:bookmarkEnd w:id="1754"/>
    </w:p>
    <w:p w14:paraId="3822CB8E" w14:textId="77777777" w:rsidR="00D93E63" w:rsidRPr="00BD6C5F" w:rsidRDefault="00D93E63" w:rsidP="00F762C3">
      <w:pPr>
        <w:pStyle w:val="AppendixText3"/>
      </w:pPr>
      <w:r w:rsidRPr="00BD6C5F">
        <w:t>notify the Supplier in writing of its acceptance of the Excess Amount, Refund Amount or Exit Payment;</w:t>
      </w:r>
    </w:p>
    <w:p w14:paraId="29E7E91E" w14:textId="77777777" w:rsidR="00D93E63" w:rsidRPr="00BD6C5F" w:rsidRDefault="00D93E63" w:rsidP="00F762C3">
      <w:pPr>
        <w:pStyle w:val="AppendixText3"/>
      </w:pPr>
      <w:r w:rsidRPr="00BD6C5F">
        <w:t>request further information or evidence about the Excess Amount, Refund Amount or Exit Payment from the Supplier; and/or</w:t>
      </w:r>
    </w:p>
    <w:p w14:paraId="40E6F845" w14:textId="77777777" w:rsidR="00D93E63" w:rsidRPr="00BD6C5F" w:rsidRDefault="00D93E63" w:rsidP="00F762C3">
      <w:pPr>
        <w:pStyle w:val="AppendixText3"/>
      </w:pPr>
      <w:r w:rsidRPr="00BD6C5F">
        <w:t>request a meeting with the Supplier to discuss or clarify the information or evidence provided.</w:t>
      </w:r>
    </w:p>
    <w:p w14:paraId="77CF36C5" w14:textId="63D7F8E9" w:rsidR="00D93E63" w:rsidRPr="00BD6C5F" w:rsidRDefault="00D93E63" w:rsidP="00F762C3">
      <w:pPr>
        <w:pStyle w:val="AppendixText2"/>
      </w:pPr>
      <w:bookmarkStart w:id="1756" w:name="_9kR3WTrAGA6BJJMoUjuvy2oMa5n4JcRCLLL0g1I"/>
      <w:bookmarkStart w:id="1757" w:name="_Ref_ContractCompanion_9kb9Ut27D"/>
      <w:r w:rsidRPr="00BD6C5F">
        <w:t xml:space="preserve">Where the Excess Amount, Refund Amount or Exit Payment is agreed following the receipt of further information or evidence or following a meeting in accordance with </w:t>
      </w:r>
      <w:bookmarkStart w:id="1758" w:name="_9kMHG5YVtCIC8ELKNpX11ryAK6yEQaQvrJG8CBc"/>
      <w:r w:rsidR="00EB6119" w:rsidRPr="00BD6C5F">
        <w:t>P</w:t>
      </w:r>
      <w:r w:rsidRPr="00BD6C5F">
        <w:t>aragraph</w:t>
      </w:r>
      <w:r w:rsidR="00D91D35" w:rsidRPr="00BD6C5F">
        <w:t> </w:t>
      </w:r>
      <w:r w:rsidR="00D91D35" w:rsidRPr="00BD6C5F">
        <w:fldChar w:fldCharType="begin"/>
      </w:r>
      <w:r w:rsidR="00D91D35" w:rsidRPr="00BD6C5F">
        <w:instrText xml:space="preserve"> REF _Ref_ContractCompanion_9kb9Ut28D \w \h </w:instrText>
      </w:r>
      <w:r w:rsidR="00BC6AF7" w:rsidRPr="00BD6C5F">
        <w:instrText xml:space="preserve"> \* MERGEFORMAT </w:instrText>
      </w:r>
      <w:r w:rsidR="00D91D35" w:rsidRPr="00BD6C5F">
        <w:fldChar w:fldCharType="separate"/>
      </w:r>
      <w:r w:rsidR="009749A0">
        <w:t>5.8</w:t>
      </w:r>
      <w:r w:rsidR="00D91D35" w:rsidRPr="00BD6C5F">
        <w:fldChar w:fldCharType="end"/>
      </w:r>
      <w:bookmarkEnd w:id="1758"/>
      <w:r w:rsidRPr="00BD6C5F">
        <w:t xml:space="preserve"> above, the Authority shall notify the Supplier in writing.</w:t>
      </w:r>
      <w:bookmarkEnd w:id="1756"/>
      <w:r w:rsidRPr="00BD6C5F">
        <w:t xml:space="preserve"> In the event that the Supplier and the Authority are unable to agree the amount of the Excess Amount, Refund Amount or Exit Payment then they shall follow the Dispute Resolution Procedure.</w:t>
      </w:r>
      <w:bookmarkEnd w:id="1757"/>
    </w:p>
    <w:p w14:paraId="63751D40" w14:textId="22F7BBCC" w:rsidR="00D93E63" w:rsidRPr="00BD6C5F" w:rsidRDefault="00D93E63" w:rsidP="00F762C3">
      <w:pPr>
        <w:pStyle w:val="AppendixText2"/>
      </w:pPr>
      <w:bookmarkStart w:id="1759" w:name="_9kR3WTrAG95CGFEAKFAcW1j0FYN8HHHJIjkLI0c"/>
      <w:bookmarkStart w:id="1760" w:name="_Ref_ContractCompanion_9kb9Us17H"/>
      <w:bookmarkStart w:id="1761" w:name="_Ref_ContractCompanion_9kb9Us18A"/>
      <w:r w:rsidRPr="00BD6C5F">
        <w:t>Any Excess Amount or Exit Payment agreed by the Authority or in accordance with the Dispute Resolution Procedure shall be paid by the Authority within timescales as agreed between Authority and Supplier.</w:t>
      </w:r>
      <w:bookmarkEnd w:id="1759"/>
      <w:r w:rsidRPr="00BD6C5F">
        <w:t xml:space="preserve"> The amount to be paid by the Authority shall be an amount equal to the Excess Amount or Exit Payment less an amount equal to any corporation tax relief which has been claimed in respect of the Excess Amount or Exit Payment by the Supplier or a Sub-contractor.</w:t>
      </w:r>
      <w:bookmarkEnd w:id="1760"/>
      <w:bookmarkEnd w:id="1761"/>
    </w:p>
    <w:p w14:paraId="7D4BE6AF" w14:textId="12FE7D43" w:rsidR="00D93E63" w:rsidRPr="00BD6C5F" w:rsidRDefault="00D93E63" w:rsidP="00F762C3">
      <w:pPr>
        <w:pStyle w:val="AppendixText2"/>
      </w:pPr>
      <w:bookmarkStart w:id="1762" w:name="_9kR3WTrAGA6CDCEBLFApQl2BvJN8HHH5tBAyywI"/>
      <w:bookmarkStart w:id="1763" w:name="_Ref_ContractCompanion_9kb9Ut27G"/>
      <w:r w:rsidRPr="00BD6C5F">
        <w:t>Any Refund Amount agreed by the Authority or in accordance with the Dispute Resolution Procedure as payable by the Supplier or any Sub-contractor to the Authority, shall be paid by the Supplier or any Sub-contractor forthwith as the liability has been agreed.</w:t>
      </w:r>
      <w:bookmarkEnd w:id="1762"/>
      <w:r w:rsidRPr="00BD6C5F">
        <w:t xml:space="preserve"> In the event the Supplier or any Sub-contractor fails to pay any agreed Refund Amount, the Authority shall demand in writing the immediate payment of the agreed Refund Amount by the Supplier and the Supplier shall make payment within seven (7) Working Days of such demand.</w:t>
      </w:r>
      <w:bookmarkEnd w:id="1763"/>
    </w:p>
    <w:p w14:paraId="19F6B68A" w14:textId="15E44935" w:rsidR="00D27CFD" w:rsidRPr="00BD6C5F" w:rsidRDefault="00D93E63" w:rsidP="00F762C3">
      <w:pPr>
        <w:pStyle w:val="AppendixText2"/>
      </w:pPr>
      <w:r w:rsidRPr="00BD6C5F">
        <w:lastRenderedPageBreak/>
        <w:t xml:space="preserve">This </w:t>
      </w:r>
      <w:bookmarkStart w:id="1764" w:name="_9kMHG5YVtCIC8EOSEyq1bcOh05ILCEHIGzAJGF"/>
      <w:r w:rsidR="00EB6119" w:rsidRPr="00BD6C5F">
        <w:t>P</w:t>
      </w:r>
      <w:r w:rsidRPr="00BD6C5F">
        <w:t>aragraph</w:t>
      </w:r>
      <w:r w:rsidR="00D91D35" w:rsidRPr="00BD6C5F">
        <w:t> </w:t>
      </w:r>
      <w:r w:rsidR="00D91D35" w:rsidRPr="00BD6C5F">
        <w:fldChar w:fldCharType="begin"/>
      </w:r>
      <w:r w:rsidR="00D91D35" w:rsidRPr="00BD6C5F">
        <w:instrText xml:space="preserve"> REF _Ref_ContractCompanion_9kb9Ut22B \w \h </w:instrText>
      </w:r>
      <w:r w:rsidR="00BC6AF7" w:rsidRPr="00BD6C5F">
        <w:instrText xml:space="preserve"> \* MERGEFORMAT </w:instrText>
      </w:r>
      <w:r w:rsidR="00D91D35" w:rsidRPr="00BD6C5F">
        <w:fldChar w:fldCharType="separate"/>
      </w:r>
      <w:r w:rsidR="009749A0">
        <w:t>5</w:t>
      </w:r>
      <w:r w:rsidR="00D91D35" w:rsidRPr="00BD6C5F">
        <w:fldChar w:fldCharType="end"/>
      </w:r>
      <w:bookmarkEnd w:id="1764"/>
      <w:r w:rsidRPr="00BD6C5F">
        <w:t xml:space="preserve"> shall survive termination of this Contract</w:t>
      </w:r>
      <w:bookmarkStart w:id="1765" w:name="_bookmark580"/>
      <w:bookmarkEnd w:id="1765"/>
      <w:r w:rsidR="00FD4E48">
        <w:t>.</w:t>
      </w:r>
    </w:p>
    <w:p w14:paraId="768A52D4" w14:textId="34562A1E" w:rsidR="00D1741F" w:rsidRPr="00BD6C5F" w:rsidRDefault="00D1741F" w:rsidP="002524B2">
      <w:r w:rsidRPr="00BD6C5F">
        <w:br w:type="page"/>
      </w:r>
    </w:p>
    <w:p w14:paraId="7E67CCEA" w14:textId="40D18711" w:rsidR="00D1741F" w:rsidRPr="00BD6C5F" w:rsidRDefault="00E6623F" w:rsidP="00CA6E6F">
      <w:pPr>
        <w:pStyle w:val="Heading2"/>
      </w:pPr>
      <w:bookmarkStart w:id="1766" w:name="_Toc98332790"/>
      <w:bookmarkStart w:id="1767" w:name="_Ref98457132"/>
      <w:bookmarkStart w:id="1768" w:name="_Ref98457146"/>
      <w:bookmarkStart w:id="1769" w:name="_Toc141721059"/>
      <w:r w:rsidRPr="00BD6C5F">
        <w:lastRenderedPageBreak/>
        <w:t xml:space="preserve">Annex </w:t>
      </w:r>
      <w:bookmarkStart w:id="1770" w:name="Schedule_28_Part_D_Annex_4"/>
      <w:r w:rsidRPr="00BD6C5F">
        <w:t>4</w:t>
      </w:r>
      <w:bookmarkEnd w:id="1770"/>
      <w:r w:rsidRPr="00BD6C5F">
        <w:t>: Other Schemes</w:t>
      </w:r>
      <w:bookmarkEnd w:id="1766"/>
      <w:bookmarkEnd w:id="1767"/>
      <w:bookmarkEnd w:id="1768"/>
      <w:bookmarkEnd w:id="1769"/>
    </w:p>
    <w:p w14:paraId="53AA75B9" w14:textId="4D731EC3" w:rsidR="00922D0F" w:rsidRPr="00BD6C5F" w:rsidRDefault="00922D0F" w:rsidP="00A14462">
      <w:pPr>
        <w:spacing w:before="100" w:after="200"/>
        <w:rPr>
          <w:rFonts w:asciiTheme="minorHAnsi" w:hAnsiTheme="minorHAnsi" w:cstheme="minorHAnsi"/>
          <w:iCs/>
          <w:lang w:eastAsia="en-GB" w:bidi="ar-SA"/>
        </w:rPr>
      </w:pPr>
      <w:r w:rsidRPr="00BD6C5F">
        <w:rPr>
          <w:rFonts w:asciiTheme="minorHAnsi" w:hAnsiTheme="minorHAnsi" w:cstheme="minorHAnsi"/>
          <w:bCs/>
          <w:iCs/>
          <w:szCs w:val="24"/>
          <w:highlight w:val="yellow"/>
        </w:rPr>
        <w:t>[</w:t>
      </w:r>
      <w:r w:rsidRPr="004C60F6">
        <w:rPr>
          <w:rFonts w:asciiTheme="minorHAnsi" w:hAnsiTheme="minorHAnsi" w:cstheme="minorHAnsi"/>
          <w:b/>
          <w:i/>
          <w:szCs w:val="24"/>
          <w:highlight w:val="yellow"/>
        </w:rPr>
        <w:t>Guidance: Placeholder for Pension Schemes other than LGPS, CSPS &amp; NHSPS</w:t>
      </w:r>
      <w:r w:rsidRPr="00BD6C5F">
        <w:rPr>
          <w:rFonts w:asciiTheme="minorHAnsi" w:hAnsiTheme="minorHAnsi" w:cstheme="minorHAnsi"/>
          <w:bCs/>
          <w:iCs/>
          <w:szCs w:val="24"/>
          <w:highlight w:val="yellow"/>
        </w:rPr>
        <w:t>]</w:t>
      </w:r>
    </w:p>
    <w:p w14:paraId="2FDDD8F7" w14:textId="77777777" w:rsidR="00E23D22" w:rsidRPr="00BD6C5F" w:rsidRDefault="00E23D22"/>
    <w:p w14:paraId="3BE2B3AA" w14:textId="4971DAA5" w:rsidR="00D27CFD" w:rsidRPr="00BD6C5F" w:rsidRDefault="00D27CFD">
      <w:r w:rsidRPr="00BD6C5F">
        <w:br w:type="page"/>
      </w:r>
    </w:p>
    <w:p w14:paraId="572216F1" w14:textId="40F62D0A" w:rsidR="00BC7DDA" w:rsidRDefault="00E6623F" w:rsidP="00A14462">
      <w:pPr>
        <w:pStyle w:val="Heading2"/>
      </w:pPr>
      <w:bookmarkStart w:id="1771" w:name="_bookmark579"/>
      <w:bookmarkStart w:id="1772" w:name="_Toc98332791"/>
      <w:bookmarkStart w:id="1773" w:name="_Ref98458256"/>
      <w:bookmarkStart w:id="1774" w:name="_Ref98458656"/>
      <w:bookmarkStart w:id="1775" w:name="_Toc98852960"/>
      <w:bookmarkStart w:id="1776" w:name="_Toc141721060"/>
      <w:bookmarkEnd w:id="1771"/>
      <w:r w:rsidRPr="00BD6C5F">
        <w:lastRenderedPageBreak/>
        <w:t xml:space="preserve">Part </w:t>
      </w:r>
      <w:bookmarkStart w:id="1777" w:name="Schedule_28_Part_E"/>
      <w:r w:rsidRPr="00BD6C5F">
        <w:t>E</w:t>
      </w:r>
      <w:bookmarkEnd w:id="1777"/>
      <w:r w:rsidRPr="00BD6C5F">
        <w:t>: Employment Exit Provisions</w:t>
      </w:r>
      <w:bookmarkEnd w:id="1772"/>
      <w:bookmarkEnd w:id="1773"/>
      <w:bookmarkEnd w:id="1774"/>
      <w:bookmarkEnd w:id="1775"/>
      <w:bookmarkEnd w:id="1776"/>
    </w:p>
    <w:p w14:paraId="3F2AA014" w14:textId="359DDCE7" w:rsidR="008847D1" w:rsidRPr="00EA528A" w:rsidRDefault="008847D1" w:rsidP="00EA528A">
      <w:pPr>
        <w:rPr>
          <w:bCs/>
          <w:i/>
          <w:iCs/>
        </w:rPr>
      </w:pPr>
      <w:r w:rsidRPr="00EA528A">
        <w:rPr>
          <w:b/>
          <w:bCs/>
          <w:i/>
          <w:iCs/>
          <w:highlight w:val="yellow"/>
        </w:rPr>
        <w:t>[Guidance: Please note, the reference at paragraphs</w:t>
      </w:r>
      <w:r>
        <w:rPr>
          <w:b/>
          <w:bCs/>
          <w:i/>
          <w:iCs/>
          <w:highlight w:val="yellow"/>
        </w:rPr>
        <w:t> </w:t>
      </w:r>
      <w:r>
        <w:rPr>
          <w:b/>
          <w:bCs/>
          <w:i/>
          <w:iCs/>
          <w:highlight w:val="yellow"/>
        </w:rPr>
        <w:fldChar w:fldCharType="begin"/>
      </w:r>
      <w:r>
        <w:rPr>
          <w:b/>
          <w:bCs/>
          <w:i/>
          <w:iCs/>
          <w:highlight w:val="yellow"/>
        </w:rPr>
        <w:instrText xml:space="preserve"> REF _Ref141352058 \w \h </w:instrText>
      </w:r>
      <w:r>
        <w:rPr>
          <w:b/>
          <w:bCs/>
          <w:i/>
          <w:iCs/>
          <w:highlight w:val="yellow"/>
        </w:rPr>
      </w:r>
      <w:r>
        <w:rPr>
          <w:b/>
          <w:bCs/>
          <w:i/>
          <w:iCs/>
          <w:highlight w:val="yellow"/>
        </w:rPr>
        <w:fldChar w:fldCharType="separate"/>
      </w:r>
      <w:r w:rsidR="009749A0">
        <w:rPr>
          <w:b/>
          <w:bCs/>
          <w:i/>
          <w:iCs/>
          <w:highlight w:val="yellow"/>
        </w:rPr>
        <w:t>1.6.1</w:t>
      </w:r>
      <w:r>
        <w:rPr>
          <w:b/>
          <w:bCs/>
          <w:i/>
          <w:iCs/>
          <w:highlight w:val="yellow"/>
        </w:rPr>
        <w:fldChar w:fldCharType="end"/>
      </w:r>
      <w:r w:rsidRPr="00EA528A">
        <w:rPr>
          <w:b/>
          <w:bCs/>
          <w:i/>
          <w:iCs/>
          <w:highlight w:val="yellow"/>
        </w:rPr>
        <w:t xml:space="preserve">, </w:t>
      </w:r>
      <w:r>
        <w:rPr>
          <w:b/>
          <w:bCs/>
          <w:i/>
          <w:iCs/>
          <w:highlight w:val="yellow"/>
        </w:rPr>
        <w:fldChar w:fldCharType="begin"/>
      </w:r>
      <w:r>
        <w:rPr>
          <w:b/>
          <w:bCs/>
          <w:i/>
          <w:iCs/>
          <w:highlight w:val="yellow"/>
        </w:rPr>
        <w:instrText xml:space="preserve"> REF _Ref141352069 \w \h </w:instrText>
      </w:r>
      <w:r>
        <w:rPr>
          <w:b/>
          <w:bCs/>
          <w:i/>
          <w:iCs/>
          <w:highlight w:val="yellow"/>
        </w:rPr>
      </w:r>
      <w:r>
        <w:rPr>
          <w:b/>
          <w:bCs/>
          <w:i/>
          <w:iCs/>
          <w:highlight w:val="yellow"/>
        </w:rPr>
        <w:fldChar w:fldCharType="separate"/>
      </w:r>
      <w:r w:rsidR="009749A0">
        <w:rPr>
          <w:b/>
          <w:bCs/>
          <w:i/>
          <w:iCs/>
          <w:highlight w:val="yellow"/>
        </w:rPr>
        <w:t>1.6.2</w:t>
      </w:r>
      <w:r>
        <w:rPr>
          <w:b/>
          <w:bCs/>
          <w:i/>
          <w:iCs/>
          <w:highlight w:val="yellow"/>
        </w:rPr>
        <w:fldChar w:fldCharType="end"/>
      </w:r>
      <w:r w:rsidRPr="00EA528A">
        <w:rPr>
          <w:b/>
          <w:bCs/>
          <w:i/>
          <w:iCs/>
          <w:highlight w:val="yellow"/>
        </w:rPr>
        <w:t xml:space="preserve">, and </w:t>
      </w:r>
      <w:r>
        <w:rPr>
          <w:b/>
          <w:bCs/>
          <w:i/>
          <w:iCs/>
          <w:highlight w:val="yellow"/>
        </w:rPr>
        <w:fldChar w:fldCharType="begin"/>
      </w:r>
      <w:r>
        <w:rPr>
          <w:b/>
          <w:bCs/>
          <w:i/>
          <w:iCs/>
          <w:highlight w:val="yellow"/>
        </w:rPr>
        <w:instrText xml:space="preserve"> REF _Ref141352080 \w \h </w:instrText>
      </w:r>
      <w:r>
        <w:rPr>
          <w:b/>
          <w:bCs/>
          <w:i/>
          <w:iCs/>
          <w:highlight w:val="yellow"/>
        </w:rPr>
      </w:r>
      <w:r>
        <w:rPr>
          <w:b/>
          <w:bCs/>
          <w:i/>
          <w:iCs/>
          <w:highlight w:val="yellow"/>
        </w:rPr>
        <w:fldChar w:fldCharType="separate"/>
      </w:r>
      <w:r w:rsidR="009749A0">
        <w:rPr>
          <w:b/>
          <w:bCs/>
          <w:i/>
          <w:iCs/>
          <w:highlight w:val="yellow"/>
        </w:rPr>
        <w:t>1.6.4</w:t>
      </w:r>
      <w:r>
        <w:rPr>
          <w:b/>
          <w:bCs/>
          <w:i/>
          <w:iCs/>
          <w:highlight w:val="yellow"/>
        </w:rPr>
        <w:fldChar w:fldCharType="end"/>
      </w:r>
      <w:r w:rsidRPr="00EA528A">
        <w:rPr>
          <w:b/>
          <w:bCs/>
          <w:i/>
          <w:iCs/>
          <w:highlight w:val="yellow"/>
        </w:rPr>
        <w:t xml:space="preserve"> is to Supplier Personnel to capture all individuals working on the Services.  Only employees can participate in public sector pension schemes or pension schemes which are broadly comparable and therefore the information in this paragraph</w:t>
      </w:r>
      <w:r>
        <w:rPr>
          <w:b/>
          <w:bCs/>
          <w:i/>
          <w:iCs/>
          <w:highlight w:val="yellow"/>
        </w:rPr>
        <w:t> </w:t>
      </w:r>
      <w:r>
        <w:rPr>
          <w:b/>
          <w:bCs/>
          <w:i/>
          <w:iCs/>
          <w:highlight w:val="yellow"/>
        </w:rPr>
        <w:fldChar w:fldCharType="begin"/>
      </w:r>
      <w:r>
        <w:rPr>
          <w:b/>
          <w:bCs/>
          <w:i/>
          <w:iCs/>
          <w:highlight w:val="yellow"/>
        </w:rPr>
        <w:instrText xml:space="preserve"> REF _Ref141352102 \w \h </w:instrText>
      </w:r>
      <w:r>
        <w:rPr>
          <w:b/>
          <w:bCs/>
          <w:i/>
          <w:iCs/>
          <w:highlight w:val="yellow"/>
        </w:rPr>
      </w:r>
      <w:r>
        <w:rPr>
          <w:b/>
          <w:bCs/>
          <w:i/>
          <w:iCs/>
          <w:highlight w:val="yellow"/>
        </w:rPr>
        <w:fldChar w:fldCharType="separate"/>
      </w:r>
      <w:r w:rsidR="009749A0">
        <w:rPr>
          <w:b/>
          <w:bCs/>
          <w:i/>
          <w:iCs/>
          <w:highlight w:val="yellow"/>
        </w:rPr>
        <w:t>1.6.3</w:t>
      </w:r>
      <w:r>
        <w:rPr>
          <w:b/>
          <w:bCs/>
          <w:i/>
          <w:iCs/>
          <w:highlight w:val="yellow"/>
        </w:rPr>
        <w:fldChar w:fldCharType="end"/>
      </w:r>
      <w:r w:rsidRPr="00EA528A">
        <w:rPr>
          <w:b/>
          <w:bCs/>
          <w:i/>
          <w:iCs/>
          <w:highlight w:val="yellow"/>
        </w:rPr>
        <w:t xml:space="preserve"> is limited to employees]</w:t>
      </w:r>
    </w:p>
    <w:p w14:paraId="51D6ED4C" w14:textId="16C40942" w:rsidR="00BC7DDA" w:rsidRPr="00BD6C5F" w:rsidRDefault="00E6623F" w:rsidP="00B71FC0">
      <w:pPr>
        <w:pStyle w:val="Numbered1"/>
        <w:numPr>
          <w:ilvl w:val="0"/>
          <w:numId w:val="120"/>
        </w:numPr>
      </w:pPr>
      <w:r w:rsidRPr="00BD6C5F">
        <w:t>Pre-service Transfer Obligations</w:t>
      </w:r>
    </w:p>
    <w:p w14:paraId="3D5A5CF8" w14:textId="77777777" w:rsidR="00BC7DDA" w:rsidRPr="00BD6C5F" w:rsidRDefault="009B03E9" w:rsidP="00FD4E48">
      <w:pPr>
        <w:pStyle w:val="Numbered11"/>
        <w:keepNext/>
      </w:pPr>
      <w:bookmarkStart w:id="1778" w:name="_bookmark581"/>
      <w:bookmarkStart w:id="1779" w:name="_Ref98428730"/>
      <w:bookmarkEnd w:id="1778"/>
      <w:r w:rsidRPr="00BD6C5F">
        <w:t>The Supplier agrees that within 20 Working Days of the earliest of:</w:t>
      </w:r>
      <w:bookmarkEnd w:id="1779"/>
    </w:p>
    <w:p w14:paraId="4EAD6032" w14:textId="77777777" w:rsidR="00BC7DDA" w:rsidRPr="00BD6C5F" w:rsidRDefault="009B03E9" w:rsidP="00E6623F">
      <w:pPr>
        <w:pStyle w:val="Numbered111"/>
      </w:pPr>
      <w:bookmarkStart w:id="1780" w:name="_bookmark582"/>
      <w:bookmarkStart w:id="1781" w:name="_Ref98428769"/>
      <w:bookmarkEnd w:id="1780"/>
      <w:r w:rsidRPr="00BD6C5F">
        <w:t>receipt of a notification from the Authority of a Service Transfer or intended Service Transfer;</w:t>
      </w:r>
      <w:bookmarkEnd w:id="1781"/>
    </w:p>
    <w:p w14:paraId="6C5050A7" w14:textId="05582E07" w:rsidR="00BC7DDA" w:rsidRPr="00BD6C5F" w:rsidRDefault="009B03E9" w:rsidP="00E6623F">
      <w:pPr>
        <w:pStyle w:val="Numbered111"/>
      </w:pPr>
      <w:bookmarkStart w:id="1782" w:name="_bookmark583"/>
      <w:bookmarkStart w:id="1783" w:name="_Ref98428778"/>
      <w:bookmarkStart w:id="1784" w:name="_Ref141352809"/>
      <w:bookmarkEnd w:id="1782"/>
      <w:r w:rsidRPr="00BD6C5F">
        <w:t xml:space="preserve">receipt of the giving of notice of early termination or any Partial Termination of this </w:t>
      </w:r>
      <w:r w:rsidR="00651B19" w:rsidRPr="00BD6C5F">
        <w:t>Contract</w:t>
      </w:r>
      <w:r w:rsidRPr="00BD6C5F">
        <w:t>;</w:t>
      </w:r>
      <w:bookmarkEnd w:id="1783"/>
      <w:r w:rsidR="008847D1">
        <w:t xml:space="preserve"> and</w:t>
      </w:r>
      <w:bookmarkEnd w:id="1784"/>
    </w:p>
    <w:p w14:paraId="6033057C" w14:textId="5B68BE3F" w:rsidR="00BC7DDA" w:rsidRPr="00BD6C5F" w:rsidRDefault="009B03E9" w:rsidP="00E6623F">
      <w:pPr>
        <w:pStyle w:val="Numbered111"/>
      </w:pPr>
      <w:bookmarkStart w:id="1785" w:name="_bookmark584"/>
      <w:bookmarkStart w:id="1786" w:name="_Ref98428791"/>
      <w:bookmarkStart w:id="1787" w:name="_Ref141352818"/>
      <w:bookmarkEnd w:id="1785"/>
      <w:r w:rsidRPr="00BD6C5F">
        <w:t xml:space="preserve">the date which is 12 months before the end of the Term; </w:t>
      </w:r>
      <w:bookmarkEnd w:id="1786"/>
      <w:r w:rsidR="008847D1">
        <w:t>or</w:t>
      </w:r>
      <w:bookmarkEnd w:id="1787"/>
    </w:p>
    <w:p w14:paraId="206658C4" w14:textId="77777777" w:rsidR="00BC7DDA" w:rsidRPr="00BD6C5F" w:rsidRDefault="009B03E9" w:rsidP="00E6623F">
      <w:pPr>
        <w:pStyle w:val="Numbered111"/>
      </w:pPr>
      <w:bookmarkStart w:id="1788" w:name="_Ref141219322"/>
      <w:r w:rsidRPr="00BD6C5F">
        <w:t>receipt of a written request of the Authority at any time (provided that the Authority shall only be entitled to make one such request in any 6 month period),</w:t>
      </w:r>
      <w:bookmarkEnd w:id="1788"/>
    </w:p>
    <w:p w14:paraId="11680E34" w14:textId="574CC98C" w:rsidR="00BC7DDA" w:rsidRPr="00BD6C5F" w:rsidRDefault="009B03E9" w:rsidP="00A14462">
      <w:pPr>
        <w:pStyle w:val="BodyText"/>
        <w:widowControl/>
        <w:spacing w:before="100" w:after="200"/>
        <w:ind w:left="720"/>
        <w:rPr>
          <w:rFonts w:asciiTheme="minorHAnsi" w:hAnsiTheme="minorHAnsi" w:cstheme="minorHAnsi"/>
        </w:rPr>
      </w:pPr>
      <w:r w:rsidRPr="00BD6C5F">
        <w:rPr>
          <w:rFonts w:asciiTheme="minorHAnsi" w:hAnsiTheme="minorHAnsi" w:cstheme="minorHAnsi"/>
        </w:rPr>
        <w:t>it shall provide in a suitably anonymised format so as to comply with the DPA</w:t>
      </w:r>
      <w:r w:rsidR="008847D1">
        <w:rPr>
          <w:rFonts w:asciiTheme="minorHAnsi" w:hAnsiTheme="minorHAnsi" w:cstheme="minorHAnsi"/>
        </w:rPr>
        <w:t xml:space="preserve"> 2018</w:t>
      </w:r>
      <w:r w:rsidRPr="00BD6C5F">
        <w:rPr>
          <w:rFonts w:asciiTheme="minorHAnsi" w:hAnsiTheme="minorHAnsi" w:cstheme="minorHAnsi"/>
        </w:rPr>
        <w:t>, the Supplier</w:t>
      </w:r>
      <w:r w:rsidR="00A4555C" w:rsidRPr="00BD6C5F">
        <w:rPr>
          <w:rFonts w:asciiTheme="minorHAnsi" w:hAnsiTheme="minorHAnsi" w:cstheme="minorHAnsi"/>
        </w:rPr>
        <w:t>’</w:t>
      </w:r>
      <w:r w:rsidRPr="00BD6C5F">
        <w:rPr>
          <w:rFonts w:asciiTheme="minorHAnsi" w:hAnsiTheme="minorHAnsi" w:cstheme="minorHAnsi"/>
        </w:rPr>
        <w:t>s Provisional Supplier Personnel List, together with the Staffing Information and it shall provide an updated Supplier</w:t>
      </w:r>
      <w:r w:rsidR="00A4555C" w:rsidRPr="00BD6C5F">
        <w:rPr>
          <w:rFonts w:asciiTheme="minorHAnsi" w:hAnsiTheme="minorHAnsi" w:cstheme="minorHAnsi"/>
        </w:rPr>
        <w:t>’</w:t>
      </w:r>
      <w:r w:rsidRPr="00BD6C5F">
        <w:rPr>
          <w:rFonts w:asciiTheme="minorHAnsi" w:hAnsiTheme="minorHAnsi" w:cstheme="minorHAnsi"/>
        </w:rPr>
        <w:t>s Provisional Supplier Personnel List at such intervals as are reasonably requested by the Authority.</w:t>
      </w:r>
    </w:p>
    <w:p w14:paraId="5FF5A0CE" w14:textId="77777777" w:rsidR="00BC7DDA" w:rsidRPr="00BD6C5F" w:rsidRDefault="009B03E9" w:rsidP="00E6623F">
      <w:pPr>
        <w:pStyle w:val="Numbered11"/>
      </w:pPr>
      <w:bookmarkStart w:id="1789" w:name="_bookmark585"/>
      <w:bookmarkStart w:id="1790" w:name="_Ref98428740"/>
      <w:bookmarkEnd w:id="1789"/>
      <w:r w:rsidRPr="00BD6C5F">
        <w:t>At least 20 Working Days prior to the Service Transfer Date, the Supplier shall provide to the Authority or at the direction of the Authority to any Replacement Supplier and/or any Replacement Sub-contractor:</w:t>
      </w:r>
      <w:bookmarkEnd w:id="1790"/>
    </w:p>
    <w:p w14:paraId="6D26D65A" w14:textId="7AC7C290" w:rsidR="00BC7DDA" w:rsidRPr="00BD6C5F" w:rsidRDefault="009B03E9" w:rsidP="00E6623F">
      <w:pPr>
        <w:pStyle w:val="Numbered111"/>
      </w:pPr>
      <w:r w:rsidRPr="00BD6C5F">
        <w:t>the Supplier</w:t>
      </w:r>
      <w:r w:rsidR="00A4555C" w:rsidRPr="00BD6C5F">
        <w:t>’</w:t>
      </w:r>
      <w:r w:rsidRPr="00BD6C5F">
        <w:t>s Final Supplier Personnel List, which shall identify which of the Supplier Personnel are Transferring Supplier Employees; and</w:t>
      </w:r>
    </w:p>
    <w:p w14:paraId="05FA1A88" w14:textId="3433184F" w:rsidR="00BC7DDA" w:rsidRPr="00BD6C5F" w:rsidRDefault="009B03E9" w:rsidP="00E6623F">
      <w:pPr>
        <w:pStyle w:val="Numbered111"/>
      </w:pPr>
      <w:r w:rsidRPr="00BD6C5F">
        <w:t>the Staffing Information in relation to the Supplier</w:t>
      </w:r>
      <w:r w:rsidR="00A4555C" w:rsidRPr="00BD6C5F">
        <w:t>’</w:t>
      </w:r>
      <w:r w:rsidRPr="00BD6C5F">
        <w:t>s Final Supplier Personnel List (insofar as such information has not previously been provided).</w:t>
      </w:r>
    </w:p>
    <w:p w14:paraId="66D8932B" w14:textId="5C689375" w:rsidR="00BC7DDA" w:rsidRPr="00BD6C5F" w:rsidRDefault="009B03E9" w:rsidP="00E6623F">
      <w:pPr>
        <w:pStyle w:val="Numbered11"/>
      </w:pPr>
      <w:r w:rsidRPr="00BD6C5F">
        <w:t>The Authority shall be permitted to use and disclose information provided by the Supplier under Paragraphs</w:t>
      </w:r>
      <w:r w:rsidR="00D91D35" w:rsidRPr="00BD6C5F">
        <w:t> </w:t>
      </w:r>
      <w:r w:rsidR="00D91D35" w:rsidRPr="00BD6C5F">
        <w:fldChar w:fldCharType="begin"/>
      </w:r>
      <w:r w:rsidR="00D91D35" w:rsidRPr="00BD6C5F">
        <w:instrText xml:space="preserve"> REF _Ref98428730 \w \h </w:instrText>
      </w:r>
      <w:r w:rsidR="00AD7DD0" w:rsidRPr="00BD6C5F">
        <w:instrText xml:space="preserve"> \* MERGEFORMAT </w:instrText>
      </w:r>
      <w:r w:rsidR="00D91D35" w:rsidRPr="00BD6C5F">
        <w:fldChar w:fldCharType="separate"/>
      </w:r>
      <w:r w:rsidR="009749A0">
        <w:t>1.1</w:t>
      </w:r>
      <w:r w:rsidR="00D91D35" w:rsidRPr="00BD6C5F">
        <w:fldChar w:fldCharType="end"/>
      </w:r>
      <w:r w:rsidRPr="00BD6C5F">
        <w:t xml:space="preserve"> and </w:t>
      </w:r>
      <w:r w:rsidR="00D91D35" w:rsidRPr="00BD6C5F">
        <w:fldChar w:fldCharType="begin"/>
      </w:r>
      <w:r w:rsidR="00D91D35" w:rsidRPr="00BD6C5F">
        <w:instrText xml:space="preserve"> REF _Ref98428740 \w \h </w:instrText>
      </w:r>
      <w:r w:rsidR="00AD7DD0" w:rsidRPr="00BD6C5F">
        <w:instrText xml:space="preserve"> \* MERGEFORMAT </w:instrText>
      </w:r>
      <w:r w:rsidR="00D91D35" w:rsidRPr="00BD6C5F">
        <w:fldChar w:fldCharType="separate"/>
      </w:r>
      <w:r w:rsidR="009749A0">
        <w:t>1.2</w:t>
      </w:r>
      <w:r w:rsidR="00D91D35" w:rsidRPr="00BD6C5F">
        <w:fldChar w:fldCharType="end"/>
      </w:r>
      <w:r w:rsidRPr="00BD6C5F">
        <w:t xml:space="preserve"> for the purpose of informing any prospective Replacement Supplier and/or Replacement Sub-contractor.</w:t>
      </w:r>
    </w:p>
    <w:p w14:paraId="1D92C891" w14:textId="68391D65" w:rsidR="00BC7DDA" w:rsidRPr="00BD6C5F" w:rsidRDefault="009B03E9" w:rsidP="00E6623F">
      <w:pPr>
        <w:pStyle w:val="Numbered11"/>
      </w:pPr>
      <w:r w:rsidRPr="00BD6C5F">
        <w:t>The Supplier warrants, for the benefit of the Authority, any Replacement Supplier, and any Replacement Sub-contractor that all information provided pursuant to Paragraphs</w:t>
      </w:r>
      <w:r w:rsidR="00D91D35" w:rsidRPr="00BD6C5F">
        <w:t> </w:t>
      </w:r>
      <w:r w:rsidR="00D91D35" w:rsidRPr="00BD6C5F">
        <w:fldChar w:fldCharType="begin"/>
      </w:r>
      <w:r w:rsidR="00D91D35" w:rsidRPr="00BD6C5F">
        <w:instrText xml:space="preserve"> REF _Ref98428730 \w \h </w:instrText>
      </w:r>
      <w:r w:rsidR="00AD7DD0" w:rsidRPr="00BD6C5F">
        <w:instrText xml:space="preserve"> \* MERGEFORMAT </w:instrText>
      </w:r>
      <w:r w:rsidR="00D91D35" w:rsidRPr="00BD6C5F">
        <w:fldChar w:fldCharType="separate"/>
      </w:r>
      <w:r w:rsidR="009749A0">
        <w:t>1.1</w:t>
      </w:r>
      <w:r w:rsidR="00D91D35" w:rsidRPr="00BD6C5F">
        <w:fldChar w:fldCharType="end"/>
      </w:r>
      <w:r w:rsidR="00D91D35" w:rsidRPr="00BD6C5F">
        <w:t xml:space="preserve"> and </w:t>
      </w:r>
      <w:r w:rsidR="00D91D35" w:rsidRPr="00BD6C5F">
        <w:fldChar w:fldCharType="begin"/>
      </w:r>
      <w:r w:rsidR="00D91D35" w:rsidRPr="00BD6C5F">
        <w:instrText xml:space="preserve"> REF _Ref98428740 \w \h </w:instrText>
      </w:r>
      <w:r w:rsidR="00AD7DD0" w:rsidRPr="00BD6C5F">
        <w:instrText xml:space="preserve"> \* MERGEFORMAT </w:instrText>
      </w:r>
      <w:r w:rsidR="00D91D35" w:rsidRPr="00BD6C5F">
        <w:fldChar w:fldCharType="separate"/>
      </w:r>
      <w:r w:rsidR="009749A0">
        <w:t>1.2</w:t>
      </w:r>
      <w:r w:rsidR="00D91D35" w:rsidRPr="00BD6C5F">
        <w:fldChar w:fldCharType="end"/>
      </w:r>
      <w:r w:rsidRPr="00BD6C5F">
        <w:t xml:space="preserve"> shall be true and accurate in all material respects at the time of providing the information.</w:t>
      </w:r>
    </w:p>
    <w:p w14:paraId="23252464" w14:textId="3B636318" w:rsidR="00BC7DDA" w:rsidRPr="00BD6C5F" w:rsidRDefault="009B03E9" w:rsidP="00E6623F">
      <w:pPr>
        <w:pStyle w:val="Numbered11"/>
      </w:pPr>
      <w:r w:rsidRPr="00BD6C5F">
        <w:t>From the date of the earliest event referred to in Paragraph</w:t>
      </w:r>
      <w:r w:rsidR="00D91D35" w:rsidRPr="00BD6C5F">
        <w:t> </w:t>
      </w:r>
      <w:r w:rsidR="00C21B08" w:rsidRPr="00BD6C5F">
        <w:fldChar w:fldCharType="begin"/>
      </w:r>
      <w:r w:rsidR="00C21B08" w:rsidRPr="00BD6C5F">
        <w:instrText xml:space="preserve"> REF _Ref98428769 \w \h </w:instrText>
      </w:r>
      <w:r w:rsidR="00AD7DD0" w:rsidRPr="00BD6C5F">
        <w:instrText xml:space="preserve"> \* MERGEFORMAT </w:instrText>
      </w:r>
      <w:r w:rsidR="00C21B08" w:rsidRPr="00BD6C5F">
        <w:fldChar w:fldCharType="separate"/>
      </w:r>
      <w:r w:rsidR="009749A0">
        <w:t>1.1.1</w:t>
      </w:r>
      <w:r w:rsidR="00C21B08" w:rsidRPr="00BD6C5F">
        <w:fldChar w:fldCharType="end"/>
      </w:r>
      <w:r w:rsidRPr="00BD6C5F">
        <w:t xml:space="preserve">, </w:t>
      </w:r>
      <w:r w:rsidR="00C21B08" w:rsidRPr="00BD6C5F">
        <w:fldChar w:fldCharType="begin"/>
      </w:r>
      <w:r w:rsidR="00C21B08" w:rsidRPr="00BD6C5F">
        <w:instrText xml:space="preserve"> REF _Ref98428778 \w \h </w:instrText>
      </w:r>
      <w:r w:rsidR="00AD7DD0" w:rsidRPr="00BD6C5F">
        <w:instrText xml:space="preserve"> \* MERGEFORMAT </w:instrText>
      </w:r>
      <w:r w:rsidR="00C21B08" w:rsidRPr="00BD6C5F">
        <w:fldChar w:fldCharType="separate"/>
      </w:r>
      <w:r w:rsidR="009749A0">
        <w:t>1.1.2</w:t>
      </w:r>
      <w:r w:rsidR="00C21B08" w:rsidRPr="00BD6C5F">
        <w:fldChar w:fldCharType="end"/>
      </w:r>
      <w:r w:rsidRPr="00BD6C5F">
        <w:t xml:space="preserve"> and </w:t>
      </w:r>
      <w:r w:rsidR="00C21B08" w:rsidRPr="00BD6C5F">
        <w:fldChar w:fldCharType="begin"/>
      </w:r>
      <w:r w:rsidR="00C21B08" w:rsidRPr="00BD6C5F">
        <w:instrText xml:space="preserve"> REF _Ref98428791 \w \h </w:instrText>
      </w:r>
      <w:r w:rsidR="00AD7DD0" w:rsidRPr="00BD6C5F">
        <w:instrText xml:space="preserve"> \* MERGEFORMAT </w:instrText>
      </w:r>
      <w:r w:rsidR="00C21B08" w:rsidRPr="00BD6C5F">
        <w:fldChar w:fldCharType="separate"/>
      </w:r>
      <w:r w:rsidR="009749A0">
        <w:t>1.1.3</w:t>
      </w:r>
      <w:r w:rsidR="00C21B08" w:rsidRPr="00BD6C5F">
        <w:fldChar w:fldCharType="end"/>
      </w:r>
      <w:r w:rsidRPr="00BD6C5F">
        <w:t>, the Supplier agrees, that it shall not, and agrees to procure that each Sub-contractor shall not, assign any person to the provision of the Services who is not listed on the Supplier</w:t>
      </w:r>
      <w:r w:rsidR="00A4555C" w:rsidRPr="00BD6C5F">
        <w:t>’</w:t>
      </w:r>
      <w:r w:rsidRPr="00BD6C5F">
        <w:t>s Provisional Supplier Personnel List and shall not without the approval of the Authority (not to be unreasonably withheld or delayed):</w:t>
      </w:r>
    </w:p>
    <w:p w14:paraId="07FDA8E4" w14:textId="5184DFFD" w:rsidR="00BC7DDA" w:rsidRPr="00BD6C5F" w:rsidRDefault="009B03E9" w:rsidP="00E6623F">
      <w:pPr>
        <w:pStyle w:val="Numbered111"/>
      </w:pPr>
      <w:r w:rsidRPr="00BD6C5F">
        <w:t xml:space="preserve">replace or re-deploy any Supplier Personnel listed on the Supplier Provisional </w:t>
      </w:r>
      <w:r w:rsidRPr="00BD6C5F">
        <w:lastRenderedPageBreak/>
        <w:t>Supplier Personnel List other than where any replacement is of equivalent grade, skills, experience and expertise</w:t>
      </w:r>
      <w:r w:rsidR="00F57DA7" w:rsidRPr="00BD6C5F">
        <w:t xml:space="preserve"> </w:t>
      </w:r>
      <w:r w:rsidRPr="00BD6C5F">
        <w:t xml:space="preserve">and is employed on the same terms and conditions of employment as the person </w:t>
      </w:r>
      <w:r w:rsidR="006609CD">
        <w:t>they</w:t>
      </w:r>
      <w:r w:rsidRPr="00BD6C5F">
        <w:t xml:space="preserve"> replace;</w:t>
      </w:r>
    </w:p>
    <w:p w14:paraId="2944EDCC" w14:textId="77777777" w:rsidR="00BC7DDA" w:rsidRPr="00BD6C5F" w:rsidRDefault="009B03E9" w:rsidP="00E6623F">
      <w:pPr>
        <w:pStyle w:val="Numbered111"/>
      </w:pPr>
      <w:r w:rsidRPr="00BD6C5F">
        <w:t>make, promise, propose, permit or implement any material changes to the terms and conditions of employment of the Supplier Personnel (including pensions and any payments connected with the termination of employment);</w:t>
      </w:r>
    </w:p>
    <w:p w14:paraId="54638313" w14:textId="77777777" w:rsidR="00BC7DDA" w:rsidRPr="00BD6C5F" w:rsidRDefault="009B03E9" w:rsidP="00E6623F">
      <w:pPr>
        <w:pStyle w:val="Numbered111"/>
      </w:pPr>
      <w:r w:rsidRPr="00BD6C5F">
        <w:t>increase the proportion of working time spent on the Services (or the relevant part of the Services) by any of the Supplier Personnel save for fulfilling assignments and projects previously scheduled and agreed;</w:t>
      </w:r>
    </w:p>
    <w:p w14:paraId="08A85330" w14:textId="257D1BF5" w:rsidR="00BC7DDA" w:rsidRPr="00BD6C5F" w:rsidRDefault="009B03E9" w:rsidP="00E6623F">
      <w:pPr>
        <w:pStyle w:val="Numbered111"/>
      </w:pPr>
      <w:r w:rsidRPr="00BD6C5F">
        <w:t>introduce any new contractual or customary practice concerning the making of any lump sum payment on the termination of employment of any employees listed on the Supplier</w:t>
      </w:r>
      <w:r w:rsidR="00A4555C" w:rsidRPr="00BD6C5F">
        <w:t>’</w:t>
      </w:r>
      <w:r w:rsidRPr="00BD6C5F">
        <w:t>s Provisional Supplier Personnel List;</w:t>
      </w:r>
    </w:p>
    <w:p w14:paraId="3C8BFF67" w14:textId="77777777" w:rsidR="00BC7DDA" w:rsidRPr="00BD6C5F" w:rsidRDefault="009B03E9" w:rsidP="00E6623F">
      <w:pPr>
        <w:pStyle w:val="Numbered111"/>
      </w:pPr>
      <w:r w:rsidRPr="00BD6C5F">
        <w:t>increase or reduce the total number of employees so engaged, or deploy any other person to perform the Services (or the relevant part of the Services); or</w:t>
      </w:r>
    </w:p>
    <w:p w14:paraId="61D1D746" w14:textId="44C9A068" w:rsidR="00BC7DDA" w:rsidRPr="00BD6C5F" w:rsidRDefault="009B03E9" w:rsidP="00E6623F">
      <w:pPr>
        <w:pStyle w:val="Numbered111"/>
      </w:pPr>
      <w:r w:rsidRPr="00BD6C5F">
        <w:t>terminate or give notice to terminate the employment or contracts of any persons on the Supplier</w:t>
      </w:r>
      <w:r w:rsidR="00A4555C" w:rsidRPr="00BD6C5F">
        <w:t>’</w:t>
      </w:r>
      <w:r w:rsidRPr="00BD6C5F">
        <w:t>s Provisional Supplier Personnel List save by due disciplinary process,</w:t>
      </w:r>
    </w:p>
    <w:p w14:paraId="4A3C95DC" w14:textId="680033D9" w:rsidR="00BC7DDA" w:rsidRPr="00BD6C5F" w:rsidRDefault="009B03E9" w:rsidP="00A14462">
      <w:pPr>
        <w:pStyle w:val="BodyText"/>
        <w:widowControl/>
        <w:spacing w:before="100" w:after="200"/>
        <w:ind w:left="720"/>
        <w:rPr>
          <w:rFonts w:asciiTheme="minorHAnsi" w:hAnsiTheme="minorHAnsi" w:cstheme="minorHAnsi"/>
        </w:rPr>
      </w:pPr>
      <w:r w:rsidRPr="00BD6C5F">
        <w:rPr>
          <w:rFonts w:asciiTheme="minorHAnsi" w:hAnsiTheme="minorHAnsi" w:cstheme="minorHAnsi"/>
        </w:rP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w:t>
      </w:r>
      <w:r w:rsidR="00A4555C" w:rsidRPr="00BD6C5F">
        <w:rPr>
          <w:rFonts w:asciiTheme="minorHAnsi" w:hAnsiTheme="minorHAnsi" w:cstheme="minorHAnsi"/>
        </w:rPr>
        <w:t>’</w:t>
      </w:r>
      <w:r w:rsidRPr="00BD6C5F">
        <w:rPr>
          <w:rFonts w:asciiTheme="minorHAnsi" w:hAnsiTheme="minorHAnsi" w:cstheme="minorHAnsi"/>
        </w:rPr>
        <w:t>s Provisional Supplier Personnel List regardless of when such notice takes effect.</w:t>
      </w:r>
    </w:p>
    <w:p w14:paraId="114DF550" w14:textId="34BDE350" w:rsidR="00BC7DDA" w:rsidRPr="00BD6C5F" w:rsidRDefault="009B03E9" w:rsidP="00E6623F">
      <w:pPr>
        <w:pStyle w:val="Numbered11"/>
      </w:pPr>
      <w:bookmarkStart w:id="1791" w:name="_bookmark586"/>
      <w:bookmarkStart w:id="1792" w:name="_Ref141219345"/>
      <w:bookmarkEnd w:id="1791"/>
      <w:r w:rsidRPr="00BD6C5F">
        <w:t xml:space="preserve">During the Term, the Supplier shall provide, and shall procure that each Sub-contractor shall provide, </w:t>
      </w:r>
      <w:r w:rsidR="008847D1" w:rsidRPr="008847D1">
        <w:t xml:space="preserve">within 20 Working Days </w:t>
      </w:r>
      <w:r w:rsidRPr="00BD6C5F">
        <w:t>to the Authority any information the Authority may reasonably require relating to the manner in which the Services are organised, which shall include:</w:t>
      </w:r>
      <w:bookmarkEnd w:id="1792"/>
    </w:p>
    <w:p w14:paraId="76C8B01D" w14:textId="5C574DBA" w:rsidR="00BC7DDA" w:rsidRPr="00BD6C5F" w:rsidRDefault="009B03E9" w:rsidP="00E6623F">
      <w:pPr>
        <w:pStyle w:val="Numbered111"/>
      </w:pPr>
      <w:bookmarkStart w:id="1793" w:name="_Ref141352058"/>
      <w:r w:rsidRPr="00BD6C5F">
        <w:t xml:space="preserve">the numbers of </w:t>
      </w:r>
      <w:r w:rsidR="008847D1" w:rsidRPr="008847D1">
        <w:t xml:space="preserve">Supplier Personnel </w:t>
      </w:r>
      <w:r w:rsidRPr="00BD6C5F">
        <w:t>engaged in providing the Services;</w:t>
      </w:r>
      <w:bookmarkEnd w:id="1793"/>
    </w:p>
    <w:p w14:paraId="0C192F44" w14:textId="1C4DC66B" w:rsidR="00BC7DDA" w:rsidRPr="00BD6C5F" w:rsidRDefault="009B03E9" w:rsidP="00E6623F">
      <w:pPr>
        <w:pStyle w:val="Numbered111"/>
      </w:pPr>
      <w:bookmarkStart w:id="1794" w:name="_Ref141352069"/>
      <w:r w:rsidRPr="00BD6C5F">
        <w:t xml:space="preserve">the percentage of time spent by each </w:t>
      </w:r>
      <w:r w:rsidR="009D08ED" w:rsidRPr="009D08ED">
        <w:t xml:space="preserve">Supplier Personnel </w:t>
      </w:r>
      <w:r w:rsidRPr="00BD6C5F">
        <w:t>engaged in providing the Services;</w:t>
      </w:r>
      <w:bookmarkEnd w:id="1794"/>
    </w:p>
    <w:p w14:paraId="3D36F861" w14:textId="13A2BE72" w:rsidR="00BC7DDA" w:rsidRPr="00BD6C5F" w:rsidRDefault="009B03E9" w:rsidP="00E6623F">
      <w:pPr>
        <w:pStyle w:val="Numbered111"/>
      </w:pPr>
      <w:bookmarkStart w:id="1795" w:name="_Ref141352102"/>
      <w:r w:rsidRPr="00BD6C5F">
        <w:t>the extent to which each employee qualifies for membership of any of the Statutory Schemes or any Broadly Comparable scheme set up pursuant to the provisions of any of the Annexes to</w:t>
      </w:r>
      <w:r w:rsidR="00C101F7">
        <w:t xml:space="preserve"> Part </w:t>
      </w:r>
      <w:r w:rsidR="00C101F7">
        <w:fldChar w:fldCharType="begin"/>
      </w:r>
      <w:r w:rsidR="00C101F7">
        <w:instrText xml:space="preserve"> REF Schedule_28_Part_D \h </w:instrText>
      </w:r>
      <w:r w:rsidR="00C101F7">
        <w:fldChar w:fldCharType="separate"/>
      </w:r>
      <w:r w:rsidR="009749A0" w:rsidRPr="00BD6C5F">
        <w:t>D</w:t>
      </w:r>
      <w:r w:rsidR="00C101F7">
        <w:fldChar w:fldCharType="end"/>
      </w:r>
      <w:r w:rsidRPr="00BD6C5F">
        <w:t xml:space="preserve"> (</w:t>
      </w:r>
      <w:r w:rsidRPr="00BD6C5F">
        <w:rPr>
          <w:i/>
        </w:rPr>
        <w:t>Pensions</w:t>
      </w:r>
      <w:r w:rsidRPr="00BD6C5F">
        <w:t xml:space="preserve">) of this </w:t>
      </w:r>
      <w:r w:rsidR="00C80B2C">
        <w:rPr>
          <w:rFonts w:asciiTheme="minorHAnsi" w:hAnsiTheme="minorHAnsi" w:cstheme="minorHAnsi"/>
        </w:rPr>
        <w:t>Schedule </w:t>
      </w:r>
      <w:r w:rsidR="00C80B2C">
        <w:rPr>
          <w:rFonts w:asciiTheme="minorHAnsi" w:hAnsiTheme="minorHAnsi" w:cstheme="minorHAnsi"/>
        </w:rPr>
        <w:fldChar w:fldCharType="begin"/>
      </w:r>
      <w:r w:rsidR="00C80B2C">
        <w:rPr>
          <w:rFonts w:asciiTheme="minorHAnsi" w:hAnsiTheme="minorHAnsi" w:cstheme="minorHAnsi"/>
        </w:rPr>
        <w:instrText xml:space="preserve"> REF Schedule_28 \h </w:instrText>
      </w:r>
      <w:r w:rsidR="00C80B2C">
        <w:rPr>
          <w:rFonts w:asciiTheme="minorHAnsi" w:hAnsiTheme="minorHAnsi" w:cstheme="minorHAnsi"/>
        </w:rPr>
      </w:r>
      <w:r w:rsidR="00C80B2C">
        <w:rPr>
          <w:rFonts w:asciiTheme="minorHAnsi" w:hAnsiTheme="minorHAnsi" w:cstheme="minorHAnsi"/>
        </w:rPr>
        <w:fldChar w:fldCharType="separate"/>
      </w:r>
      <w:r w:rsidR="009749A0">
        <w:t>28</w:t>
      </w:r>
      <w:r w:rsidR="00C80B2C">
        <w:rPr>
          <w:rFonts w:asciiTheme="minorHAnsi" w:hAnsiTheme="minorHAnsi" w:cstheme="minorHAnsi"/>
        </w:rPr>
        <w:fldChar w:fldCharType="end"/>
      </w:r>
      <w:r w:rsidR="00C80B2C" w:rsidRPr="00BD6C5F">
        <w:rPr>
          <w:rFonts w:asciiTheme="minorHAnsi" w:hAnsiTheme="minorHAnsi" w:cstheme="minorHAnsi"/>
        </w:rPr>
        <w:t xml:space="preserve"> </w:t>
      </w:r>
      <w:r w:rsidRPr="00BD6C5F">
        <w:t>(</w:t>
      </w:r>
      <w:r w:rsidRPr="00BD6C5F">
        <w:rPr>
          <w:i/>
        </w:rPr>
        <w:t>Staff Transfer</w:t>
      </w:r>
      <w:r w:rsidRPr="00BD6C5F">
        <w:t>)(as appropriate); and</w:t>
      </w:r>
      <w:bookmarkEnd w:id="1795"/>
    </w:p>
    <w:p w14:paraId="00E36F51" w14:textId="6EC1B549" w:rsidR="00BC7DDA" w:rsidRPr="00BD6C5F" w:rsidRDefault="009B03E9" w:rsidP="00E6623F">
      <w:pPr>
        <w:pStyle w:val="Numbered111"/>
      </w:pPr>
      <w:bookmarkStart w:id="1796" w:name="_Ref141352080"/>
      <w:r w:rsidRPr="00BD6C5F">
        <w:t xml:space="preserve">a description of the nature of the work undertaken by each </w:t>
      </w:r>
      <w:r w:rsidR="009D08ED" w:rsidRPr="009D08ED">
        <w:t xml:space="preserve">Supplier Personnel </w:t>
      </w:r>
      <w:r w:rsidRPr="00BD6C5F">
        <w:t>by location.</w:t>
      </w:r>
      <w:bookmarkEnd w:id="1796"/>
    </w:p>
    <w:p w14:paraId="6E751EA8" w14:textId="15C5D6B9" w:rsidR="00BC7DDA" w:rsidRPr="00BD6C5F" w:rsidRDefault="009B03E9" w:rsidP="00E6623F">
      <w:pPr>
        <w:pStyle w:val="Numbered11"/>
      </w:pPr>
      <w:bookmarkStart w:id="1797" w:name="_bookmark587"/>
      <w:bookmarkStart w:id="1798" w:name="_Ref141219358"/>
      <w:bookmarkEnd w:id="1797"/>
      <w:r w:rsidRPr="00BD6C5F">
        <w:t>The Supplier shall provide, and shall procure that each Sub-contractor shall provide, all reasonable cooperation and assistance to the Authority, any Replacement Supplier and/or any Replacement Sub-contractor to ensure the</w:t>
      </w:r>
      <w:r w:rsidR="00DB2677" w:rsidRPr="00BD6C5F">
        <w:t xml:space="preserve"> </w:t>
      </w:r>
      <w:r w:rsidRPr="00BD6C5F">
        <w:t xml:space="preserve">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w:t>
      </w:r>
      <w:r w:rsidRPr="00BD6C5F">
        <w:lastRenderedPageBreak/>
        <w:t>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w:t>
      </w:r>
      <w:r w:rsidR="00A4555C" w:rsidRPr="00BD6C5F">
        <w:t>’</w:t>
      </w:r>
      <w:r w:rsidRPr="00BD6C5F">
        <w:t>s Final Supplier Personnel List who is a Transferring Supplier Employee:</w:t>
      </w:r>
      <w:bookmarkEnd w:id="1798"/>
    </w:p>
    <w:p w14:paraId="1E25FD3F" w14:textId="4ABB470A" w:rsidR="00BC7DDA" w:rsidRPr="00BD6C5F" w:rsidRDefault="009B03E9" w:rsidP="00E6623F">
      <w:pPr>
        <w:pStyle w:val="Numbered111"/>
      </w:pPr>
      <w:r w:rsidRPr="00BD6C5F">
        <w:t>the most recent month</w:t>
      </w:r>
      <w:r w:rsidR="00A4555C" w:rsidRPr="00BD6C5F">
        <w:t>’</w:t>
      </w:r>
      <w:r w:rsidRPr="00BD6C5F">
        <w:t>s copy pay slip data;</w:t>
      </w:r>
    </w:p>
    <w:p w14:paraId="32710C77" w14:textId="77777777" w:rsidR="00BC7DDA" w:rsidRPr="00BD6C5F" w:rsidRDefault="009B03E9" w:rsidP="00E6623F">
      <w:pPr>
        <w:pStyle w:val="Numbered111"/>
      </w:pPr>
      <w:r w:rsidRPr="00BD6C5F">
        <w:t>details of cumulative pay for tax and pension purposes;</w:t>
      </w:r>
    </w:p>
    <w:p w14:paraId="35F7FC03" w14:textId="77777777" w:rsidR="00BC7DDA" w:rsidRPr="00BD6C5F" w:rsidRDefault="009B03E9" w:rsidP="00E6623F">
      <w:pPr>
        <w:pStyle w:val="Numbered111"/>
      </w:pPr>
      <w:r w:rsidRPr="00BD6C5F">
        <w:t>details of cumulative tax paid;</w:t>
      </w:r>
    </w:p>
    <w:p w14:paraId="058BBD36" w14:textId="77777777" w:rsidR="00BC7DDA" w:rsidRPr="00BD6C5F" w:rsidRDefault="009B03E9" w:rsidP="00E6623F">
      <w:pPr>
        <w:pStyle w:val="Numbered111"/>
      </w:pPr>
      <w:r w:rsidRPr="00BD6C5F">
        <w:t>tax code;</w:t>
      </w:r>
    </w:p>
    <w:p w14:paraId="5CE663FB" w14:textId="18549720" w:rsidR="00BC7DDA" w:rsidRDefault="009B03E9" w:rsidP="00E6623F">
      <w:pPr>
        <w:pStyle w:val="Numbered111"/>
      </w:pPr>
      <w:r w:rsidRPr="00BD6C5F">
        <w:t xml:space="preserve">details of any voluntary deductions from pay; </w:t>
      </w:r>
    </w:p>
    <w:p w14:paraId="7BFE43E9" w14:textId="77777777" w:rsidR="009D08ED" w:rsidRDefault="009D08ED" w:rsidP="009D08ED">
      <w:pPr>
        <w:pStyle w:val="Numbered111"/>
      </w:pPr>
      <w:r>
        <w:t>a copy of any personnel file and/or any other records regarding the service of the Transferring Supplier Employee;</w:t>
      </w:r>
    </w:p>
    <w:p w14:paraId="64803B40" w14:textId="77777777" w:rsidR="009D08ED" w:rsidRDefault="009D08ED" w:rsidP="009D08ED">
      <w:pPr>
        <w:pStyle w:val="Numbered111"/>
      </w:pPr>
      <w:r>
        <w:t xml:space="preserve">a complete copy of the information required to meet the minimum recording keeping requirements under the Working Time Regulations 1998 and the National Minimum Wage Regulations 1998; and </w:t>
      </w:r>
    </w:p>
    <w:p w14:paraId="0D968A33" w14:textId="3FB617DD" w:rsidR="00BC7DDA" w:rsidRDefault="009B03E9" w:rsidP="00E6623F">
      <w:pPr>
        <w:pStyle w:val="Numbered111"/>
      </w:pPr>
      <w:r w:rsidRPr="00BD6C5F">
        <w:t>bank/building society account details for payroll purposes.</w:t>
      </w:r>
    </w:p>
    <w:p w14:paraId="6795ACF9" w14:textId="5847B01C" w:rsidR="009D08ED" w:rsidRPr="00EA528A" w:rsidRDefault="009D08ED" w:rsidP="009D08ED">
      <w:pPr>
        <w:pStyle w:val="Numbered11"/>
      </w:pPr>
      <w:bookmarkStart w:id="1799" w:name="_Ref141353299"/>
      <w:r w:rsidRPr="00EA528A">
        <w:t xml:space="preserve">From the date of the earliest event referred to in Paragraph </w:t>
      </w:r>
      <w:r w:rsidRPr="00EA528A">
        <w:fldChar w:fldCharType="begin"/>
      </w:r>
      <w:r w:rsidRPr="00EA528A">
        <w:instrText xml:space="preserve"> REF _Ref98428769 \w \h </w:instrText>
      </w:r>
      <w:r w:rsidR="00EA528A" w:rsidRPr="00EA528A">
        <w:instrText xml:space="preserve"> \* MERGEFORMAT </w:instrText>
      </w:r>
      <w:r w:rsidRPr="00EA528A">
        <w:fldChar w:fldCharType="separate"/>
      </w:r>
      <w:r w:rsidR="009749A0">
        <w:t>1.1.1</w:t>
      </w:r>
      <w:r w:rsidRPr="00EA528A">
        <w:fldChar w:fldCharType="end"/>
      </w:r>
      <w:r w:rsidRPr="00EA528A">
        <w:t xml:space="preserve">, </w:t>
      </w:r>
      <w:r w:rsidR="006C6FE3" w:rsidRPr="00EA528A">
        <w:fldChar w:fldCharType="begin"/>
      </w:r>
      <w:r w:rsidR="006C6FE3" w:rsidRPr="00EA528A">
        <w:instrText xml:space="preserve"> REF _Ref141352809 \w \h </w:instrText>
      </w:r>
      <w:r w:rsidR="00EA528A" w:rsidRPr="00EA528A">
        <w:instrText xml:space="preserve"> \* MERGEFORMAT </w:instrText>
      </w:r>
      <w:r w:rsidR="006C6FE3" w:rsidRPr="00EA528A">
        <w:fldChar w:fldCharType="separate"/>
      </w:r>
      <w:r w:rsidR="009749A0">
        <w:t>1.1.2</w:t>
      </w:r>
      <w:r w:rsidR="006C6FE3" w:rsidRPr="00EA528A">
        <w:fldChar w:fldCharType="end"/>
      </w:r>
      <w:r w:rsidRPr="00EA528A">
        <w:t xml:space="preserve"> and </w:t>
      </w:r>
      <w:r w:rsidR="006C6FE3" w:rsidRPr="00EA528A">
        <w:fldChar w:fldCharType="begin"/>
      </w:r>
      <w:r w:rsidR="006C6FE3" w:rsidRPr="00EA528A">
        <w:instrText xml:space="preserve"> REF _Ref141352818 \w \h </w:instrText>
      </w:r>
      <w:r w:rsidR="00EA528A" w:rsidRPr="00EA528A">
        <w:instrText xml:space="preserve"> \* MERGEFORMAT </w:instrText>
      </w:r>
      <w:r w:rsidR="006C6FE3" w:rsidRPr="00EA528A">
        <w:fldChar w:fldCharType="separate"/>
      </w:r>
      <w:r w:rsidR="009749A0">
        <w:t>1.1.3</w:t>
      </w:r>
      <w:r w:rsidR="006C6FE3" w:rsidRPr="00EA528A">
        <w:fldChar w:fldCharType="end"/>
      </w:r>
      <w:r w:rsidRPr="00EA528A">
        <w:rPr>
          <w:i/>
          <w:sz w:val="28"/>
          <w:szCs w:val="28"/>
        </w:rPr>
        <w:t xml:space="preserve"> </w:t>
      </w:r>
      <w:r w:rsidRPr="00EA528A">
        <w:rPr>
          <w:sz w:val="28"/>
          <w:szCs w:val="28"/>
        </w:rPr>
        <w:t>t</w:t>
      </w:r>
      <w:r w:rsidRPr="00EA528A">
        <w:rPr>
          <w:color w:val="000000"/>
        </w:rPr>
        <w:t xml:space="preserve">he Supplier agrees that following a request from the Authority it shall and shall procure that each Sub-contractor shall use reasonable endeavours to comply with any reasonable request to align and assign Supplier Personnel to any future delivery model proposed by the Authority for Replacement Services </w:t>
      </w:r>
      <w:r w:rsidRPr="00EA528A">
        <w:t>within 30 Working Days or such longer timescale as may be agreed</w:t>
      </w:r>
      <w:r w:rsidRPr="00EA528A">
        <w:rPr>
          <w:color w:val="000000"/>
        </w:rPr>
        <w:t>.</w:t>
      </w:r>
      <w:bookmarkEnd w:id="1799"/>
    </w:p>
    <w:p w14:paraId="7419BAE6" w14:textId="07D22A27" w:rsidR="009D08ED" w:rsidRDefault="009D08ED" w:rsidP="009D08ED">
      <w:pPr>
        <w:pStyle w:val="Numbered11"/>
      </w:pPr>
      <w:r w:rsidRPr="00EA528A">
        <w:t>Any changes necessary to this Contract as a result of alignment referred to in Paragraph</w:t>
      </w:r>
      <w:r w:rsidR="006C6FE3" w:rsidRPr="00EA528A">
        <w:t> </w:t>
      </w:r>
      <w:r w:rsidR="006C6FE3" w:rsidRPr="00EA528A">
        <w:fldChar w:fldCharType="begin"/>
      </w:r>
      <w:r w:rsidR="006C6FE3" w:rsidRPr="00EA528A">
        <w:instrText xml:space="preserve"> REF _Ref141353299 \w \h </w:instrText>
      </w:r>
      <w:r w:rsidR="00EA528A" w:rsidRPr="00EA528A">
        <w:instrText xml:space="preserve"> \* MERGEFORMAT </w:instrText>
      </w:r>
      <w:r w:rsidR="006C6FE3" w:rsidRPr="00EA528A">
        <w:fldChar w:fldCharType="separate"/>
      </w:r>
      <w:r w:rsidR="009749A0">
        <w:t>1.8</w:t>
      </w:r>
      <w:r w:rsidR="006C6FE3" w:rsidRPr="00EA528A">
        <w:fldChar w:fldCharType="end"/>
      </w:r>
      <w:r w:rsidRPr="00EA528A">
        <w:t xml:space="preserve"> shall be agreed in accordance with</w:t>
      </w:r>
      <w:r>
        <w:t xml:space="preserve"> the Change Control Procedure.</w:t>
      </w:r>
    </w:p>
    <w:p w14:paraId="63407D39" w14:textId="2AED5FAC" w:rsidR="00BC7DDA" w:rsidRPr="00BD6C5F" w:rsidRDefault="00E6623F" w:rsidP="00E6623F">
      <w:pPr>
        <w:pStyle w:val="Numbered1"/>
      </w:pPr>
      <w:r w:rsidRPr="00BD6C5F">
        <w:t>Employment Regulations Exit Provisions</w:t>
      </w:r>
    </w:p>
    <w:p w14:paraId="3C10E47A" w14:textId="7ADF1B98" w:rsidR="00BC7DDA" w:rsidRPr="00BD6C5F" w:rsidRDefault="009B03E9" w:rsidP="00E6623F">
      <w:pPr>
        <w:pStyle w:val="Numbered11"/>
      </w:pPr>
      <w:r w:rsidRPr="00BD6C5F">
        <w:t xml:space="preserve">The Authority and the Supplier acknowledge that subsequent to the commencement of the provision of the Services, the identity of the provider of the Services (or any part of the Services) may change (whether as a result of termination or Partial Termination of this </w:t>
      </w:r>
      <w:r w:rsidR="00DC7C3A" w:rsidRPr="00BD6C5F">
        <w:t xml:space="preserve">Contract </w:t>
      </w:r>
      <w:r w:rsidRPr="00BD6C5F">
        <w:t>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 of the Employment Regulations) will have effect on and from the Service Transfer Date as if originally made between the Replacement Supplier and/or a Replacement Sub-contractor (as the case may be) and each such Transferring Supplier Employee.</w:t>
      </w:r>
    </w:p>
    <w:p w14:paraId="0EB27D76" w14:textId="56440348" w:rsidR="00BC7DDA" w:rsidRPr="00BD6C5F" w:rsidRDefault="009B03E9" w:rsidP="00E6623F">
      <w:pPr>
        <w:pStyle w:val="Numbered11"/>
      </w:pPr>
      <w:r w:rsidRPr="00BD6C5F">
        <w:t xml:space="preserve">The Supplier shall, and shall procure that each Sub-contractor shall, comply with all its obligations </w:t>
      </w:r>
      <w:r w:rsidR="006C6FE3">
        <w:rPr>
          <w:color w:val="000000"/>
        </w:rPr>
        <w:t xml:space="preserve">under the Employment Regulations and in particular obligations </w:t>
      </w:r>
      <w:r w:rsidRPr="00BD6C5F">
        <w:t xml:space="preserve">in respect of </w:t>
      </w:r>
      <w:r w:rsidRPr="00BD6C5F">
        <w:lastRenderedPageBreak/>
        <w:t>the Transferring Supplier Employees arising under the Employment Regulations in respect of the period up to (</w:t>
      </w:r>
      <w:r w:rsidR="006C6FE3">
        <w:rPr>
          <w:color w:val="000000"/>
        </w:rPr>
        <w:t>but excluding</w:t>
      </w:r>
      <w:r w:rsidRPr="00BD6C5F">
        <w:t xml:space="preserve">) the Service Transfer Date and shall perform and discharge, and procure that each Sub-contractor shall perform and discharge, all its obligations in respect of </w:t>
      </w:r>
      <w:r w:rsidR="009807E9">
        <w:rPr>
          <w:color w:val="000000"/>
        </w:rPr>
        <w:t xml:space="preserve">any person identified in the Supplier’s Final Supplier Personnel </w:t>
      </w:r>
      <w:r w:rsidR="00752FFE">
        <w:rPr>
          <w:color w:val="000000"/>
        </w:rPr>
        <w:t xml:space="preserve">List </w:t>
      </w:r>
      <w:r w:rsidRPr="00BD6C5F">
        <w:t>arising in respect of the period up to (</w:t>
      </w:r>
      <w:r w:rsidR="009807E9">
        <w:rPr>
          <w:color w:val="000000"/>
        </w:rPr>
        <w:t>but excluding</w:t>
      </w:r>
      <w:r w:rsidRPr="00BD6C5F">
        <w:t>) the Service Transfer Date (including the payment of all remuneration, benefits, entitlements and outgoings, all wages, accrued but untaken holiday pay, bonuses, commissions, payments of PAYE, national insurance contributions and pension contributions and all such</w:t>
      </w:r>
      <w:r w:rsidR="00F57DA7" w:rsidRPr="00BD6C5F">
        <w:t xml:space="preserve"> </w:t>
      </w:r>
      <w:r w:rsidRPr="00BD6C5F">
        <w:t>sums due as a result of any Fair Deal Employees</w:t>
      </w:r>
      <w:r w:rsidR="00A4555C" w:rsidRPr="00BD6C5F">
        <w:t>’</w:t>
      </w:r>
      <w:r w:rsidRPr="00BD6C5F">
        <w:t xml:space="preserve"> participation in the </w:t>
      </w:r>
      <w:r w:rsidR="009807E9">
        <w:rPr>
          <w:color w:val="000000"/>
        </w:rPr>
        <w:t xml:space="preserve">Statutory </w:t>
      </w:r>
      <w:r w:rsidRPr="00BD6C5F">
        <w:t xml:space="preserve">Schemes </w:t>
      </w:r>
      <w:r w:rsidR="009807E9">
        <w:rPr>
          <w:color w:val="000000"/>
        </w:rPr>
        <w:t xml:space="preserve">and any requirement to set up a broadly comparable pension scheme </w:t>
      </w:r>
      <w:r w:rsidRPr="00BD6C5F">
        <w:t>which in any case are attributable in whole or in part to the period ending on (</w:t>
      </w:r>
      <w:r w:rsidR="009807E9">
        <w:rPr>
          <w:color w:val="000000"/>
        </w:rPr>
        <w:t>but excluding</w:t>
      </w:r>
      <w:r w:rsidRPr="00BD6C5F">
        <w:t>) the Service Transfer Date) and any necessary apportionments in respect of any periodic payments shall be made between:</w:t>
      </w:r>
    </w:p>
    <w:p w14:paraId="2B2F9215" w14:textId="426C461C" w:rsidR="009807E9" w:rsidRDefault="009B03E9" w:rsidP="009807E9">
      <w:pPr>
        <w:pStyle w:val="Numbered111"/>
        <w:rPr>
          <w:rFonts w:asciiTheme="minorHAnsi" w:hAnsiTheme="minorHAnsi" w:cstheme="minorHAnsi"/>
        </w:rPr>
      </w:pPr>
      <w:r w:rsidRPr="00EA528A">
        <w:t>the</w:t>
      </w:r>
      <w:r w:rsidRPr="00BD6C5F">
        <w:rPr>
          <w:rFonts w:asciiTheme="minorHAnsi" w:hAnsiTheme="minorHAnsi" w:cstheme="minorHAnsi"/>
        </w:rPr>
        <w:t xml:space="preserve"> Supplier and/or the Sub-contractor (as appropriate); and </w:t>
      </w:r>
    </w:p>
    <w:p w14:paraId="7083C0C7" w14:textId="4ECA6D33" w:rsidR="00BC7DDA" w:rsidRPr="00BD6C5F" w:rsidRDefault="009B03E9" w:rsidP="00EA528A">
      <w:pPr>
        <w:pStyle w:val="Numbered111"/>
        <w:rPr>
          <w:rFonts w:asciiTheme="minorHAnsi" w:hAnsiTheme="minorHAnsi" w:cstheme="minorHAnsi"/>
        </w:rPr>
      </w:pPr>
      <w:r w:rsidRPr="00BD6C5F">
        <w:rPr>
          <w:rFonts w:asciiTheme="minorHAnsi" w:hAnsiTheme="minorHAnsi" w:cstheme="minorHAnsi"/>
        </w:rPr>
        <w:t>the Replacement Supplier and/or Replacement Sub-contractor.</w:t>
      </w:r>
    </w:p>
    <w:p w14:paraId="098772E1" w14:textId="55693A86" w:rsidR="00BC7DDA" w:rsidRPr="00BD6C5F" w:rsidRDefault="009B03E9" w:rsidP="00E6623F">
      <w:pPr>
        <w:pStyle w:val="Numbered11"/>
      </w:pPr>
      <w:bookmarkStart w:id="1800" w:name="_bookmark588"/>
      <w:bookmarkStart w:id="1801" w:name="_Ref98429760"/>
      <w:bookmarkEnd w:id="1800"/>
      <w:r w:rsidRPr="00BD6C5F">
        <w:t>Subject to Paragraph</w:t>
      </w:r>
      <w:r w:rsidR="00C21B08" w:rsidRPr="00BD6C5F">
        <w:t> </w:t>
      </w:r>
      <w:r w:rsidR="00F57DA7" w:rsidRPr="00BD6C5F">
        <w:fldChar w:fldCharType="begin"/>
      </w:r>
      <w:r w:rsidR="00F57DA7" w:rsidRPr="00BD6C5F">
        <w:instrText xml:space="preserve"> REF _Ref98429676 \w \h </w:instrText>
      </w:r>
      <w:r w:rsidR="00AD7DD0" w:rsidRPr="00BD6C5F">
        <w:instrText xml:space="preserve"> \* MERGEFORMAT </w:instrText>
      </w:r>
      <w:r w:rsidR="00F57DA7" w:rsidRPr="00BD6C5F">
        <w:fldChar w:fldCharType="separate"/>
      </w:r>
      <w:r w:rsidR="009749A0">
        <w:t>2.4</w:t>
      </w:r>
      <w:r w:rsidR="00F57DA7" w:rsidRPr="00BD6C5F">
        <w:fldChar w:fldCharType="end"/>
      </w:r>
      <w:r w:rsidRPr="00BD6C5F">
        <w:t>, the Supplier shall indemnify the Authority and/or the Replacement Supplier and/or any Replacement Sub-contractor against any Employee Liabilities arising from or as a result of:</w:t>
      </w:r>
      <w:bookmarkEnd w:id="1801"/>
    </w:p>
    <w:p w14:paraId="2C4EDA76" w14:textId="77777777" w:rsidR="00BC7DDA" w:rsidRPr="00BD6C5F" w:rsidRDefault="009B03E9" w:rsidP="00E6623F">
      <w:pPr>
        <w:pStyle w:val="Numbered111"/>
      </w:pPr>
      <w:r w:rsidRPr="00BD6C5F">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81FA799" w14:textId="701CCF80" w:rsidR="00BC7DDA" w:rsidRPr="00BD6C5F" w:rsidRDefault="009B03E9" w:rsidP="00FD4E48">
      <w:pPr>
        <w:pStyle w:val="Numbered111"/>
        <w:keepNext/>
      </w:pPr>
      <w:r w:rsidRPr="00BD6C5F">
        <w:t xml:space="preserve">the breach or non-observance by the Supplier or any Sub-contractor occurring before </w:t>
      </w:r>
      <w:r w:rsidR="009807E9">
        <w:rPr>
          <w:color w:val="000000"/>
        </w:rPr>
        <w:t xml:space="preserve">but excluding </w:t>
      </w:r>
      <w:r w:rsidRPr="00BD6C5F">
        <w:t>the Service Transfer Date of:</w:t>
      </w:r>
    </w:p>
    <w:p w14:paraId="216D8468" w14:textId="77777777" w:rsidR="00BC7DDA" w:rsidRPr="00BD6C5F" w:rsidRDefault="009B03E9" w:rsidP="0040545B">
      <w:pPr>
        <w:pStyle w:val="Numbered111a"/>
      </w:pPr>
      <w:r w:rsidRPr="00BD6C5F">
        <w:t>any collective agreement applicable to the Transferring Supplier Employees; and/or</w:t>
      </w:r>
    </w:p>
    <w:p w14:paraId="017D4BDF" w14:textId="77777777" w:rsidR="00BC7DDA" w:rsidRPr="00BD6C5F" w:rsidRDefault="009B03E9" w:rsidP="00E6623F">
      <w:pPr>
        <w:pStyle w:val="Numbered111a"/>
        <w:rPr>
          <w:lang w:val="en-GB"/>
        </w:rPr>
      </w:pPr>
      <w:r w:rsidRPr="00BD6C5F">
        <w:rPr>
          <w:lang w:val="en-GB"/>
        </w:rPr>
        <w:t>any other custom or practice with a trade union or staff association in respect of any Transferring Supplier Employees which the Supplier or any Sub-contractor is contractually bound to honour;</w:t>
      </w:r>
    </w:p>
    <w:p w14:paraId="3ED4656E" w14:textId="46CC0CE0" w:rsidR="00BC7DDA" w:rsidRPr="00BD6C5F" w:rsidRDefault="009B03E9" w:rsidP="00E6623F">
      <w:pPr>
        <w:pStyle w:val="Numbered111"/>
      </w:pPr>
      <w:r w:rsidRPr="00BD6C5F">
        <w:t xml:space="preserve">any claim by any trade union or other body or person representing any Transferring Supplier Employees arising from or connected with any failure by the Supplier or a Sub-contractor to comply with any legal obligation to such trade union, body or person arising before </w:t>
      </w:r>
      <w:r w:rsidR="009807E9">
        <w:rPr>
          <w:color w:val="000000"/>
        </w:rPr>
        <w:t xml:space="preserve">but excluding </w:t>
      </w:r>
      <w:r w:rsidRPr="00BD6C5F">
        <w:t>the Service Transfer Date;</w:t>
      </w:r>
    </w:p>
    <w:p w14:paraId="7544085F" w14:textId="77777777" w:rsidR="00BC7DDA" w:rsidRPr="00BD6C5F" w:rsidRDefault="009B03E9" w:rsidP="00E6623F">
      <w:pPr>
        <w:pStyle w:val="Numbered111"/>
      </w:pPr>
      <w:r w:rsidRPr="00BD6C5F">
        <w:t>any proceeding, claim or demand by HMRC or other statutory authority in respect of any financial obligation including, but not limited to, PAYE and primary and secondary national insurance contributions:</w:t>
      </w:r>
    </w:p>
    <w:p w14:paraId="4E0220E4" w14:textId="1D16D4EE" w:rsidR="00BC7DDA" w:rsidRPr="00BD6C5F" w:rsidRDefault="009B03E9" w:rsidP="0040545B">
      <w:pPr>
        <w:pStyle w:val="Numbered111a"/>
      </w:pPr>
      <w:r w:rsidRPr="00BD6C5F">
        <w:t xml:space="preserve">in relation to any Transferring Supplier Employee, to the extent that the proceeding, claim or demand by HMRC or other statutory authority relates to financial obligations arising before </w:t>
      </w:r>
      <w:r w:rsidR="009807E9">
        <w:rPr>
          <w:color w:val="000000"/>
        </w:rPr>
        <w:t xml:space="preserve">but excluding </w:t>
      </w:r>
      <w:r w:rsidRPr="00BD6C5F">
        <w:t>the Service Transfer Date; and</w:t>
      </w:r>
    </w:p>
    <w:p w14:paraId="42B4B8C0" w14:textId="19E8598F" w:rsidR="00BC7DDA" w:rsidRPr="00BD6C5F" w:rsidRDefault="009B03E9" w:rsidP="00E6623F">
      <w:pPr>
        <w:pStyle w:val="Numbered111a"/>
        <w:rPr>
          <w:lang w:val="en-GB"/>
        </w:rPr>
      </w:pPr>
      <w:r w:rsidRPr="00BD6C5F">
        <w:rPr>
          <w:lang w:val="en-GB"/>
        </w:rPr>
        <w:t>in relation to any employee who is not identified in the Supplier</w:t>
      </w:r>
      <w:r w:rsidR="00A4555C" w:rsidRPr="00BD6C5F">
        <w:rPr>
          <w:lang w:val="en-GB"/>
        </w:rPr>
        <w:t>’</w:t>
      </w:r>
      <w:r w:rsidRPr="00BD6C5F">
        <w:rPr>
          <w:lang w:val="en-GB"/>
        </w:rPr>
        <w:t xml:space="preserve">s Final </w:t>
      </w:r>
      <w:r w:rsidRPr="00BD6C5F">
        <w:rPr>
          <w:lang w:val="en-GB"/>
        </w:rPr>
        <w:lastRenderedPageBreak/>
        <w:t xml:space="preserve">Supplier Personnel List, and in respect of whom it is later alleged or determined that the Employment Regulations applied so as to transfer </w:t>
      </w:r>
      <w:r w:rsidR="00622589">
        <w:rPr>
          <w:lang w:val="en-GB"/>
        </w:rPr>
        <w:t>their</w:t>
      </w:r>
      <w:r w:rsidRPr="00BD6C5F">
        <w:rPr>
          <w:lang w:val="en-GB"/>
        </w:rPr>
        <w:t xml:space="preserve"> employment from the Supplier to the Authority and/or Replacement Supplier and/or any Replacement Sub-contractor, to the extent that the proceeding, claim or demand by HMRC or other statutory authority relates to financial obligations arising before </w:t>
      </w:r>
      <w:r w:rsidR="009807E9">
        <w:rPr>
          <w:color w:val="000000"/>
        </w:rPr>
        <w:t xml:space="preserve">but excluding </w:t>
      </w:r>
      <w:r w:rsidRPr="00BD6C5F">
        <w:rPr>
          <w:lang w:val="en-GB"/>
        </w:rPr>
        <w:t>the Service Transfer Date;</w:t>
      </w:r>
    </w:p>
    <w:p w14:paraId="3787F0D6" w14:textId="0729440D" w:rsidR="00BC7DDA" w:rsidRPr="00BD6C5F" w:rsidRDefault="009B03E9" w:rsidP="00E6623F">
      <w:pPr>
        <w:pStyle w:val="Numbered111"/>
      </w:pPr>
      <w:r w:rsidRPr="00BD6C5F">
        <w:t>a failure of the Supplier or any Sub-contractor to discharge or procure the discharge of all wages, salaries and all other benefits and all PAYE tax deductions and national insurance contributions relating to the Transferring Supplier Employees in respect of the period up to (</w:t>
      </w:r>
      <w:r w:rsidR="009807E9">
        <w:rPr>
          <w:color w:val="000000"/>
        </w:rPr>
        <w:t>but excluding</w:t>
      </w:r>
      <w:r w:rsidRPr="00BD6C5F">
        <w:t>) the Service Transfer Date);</w:t>
      </w:r>
    </w:p>
    <w:p w14:paraId="752F0147" w14:textId="717D84F5" w:rsidR="00BC7DDA" w:rsidRPr="00BD6C5F" w:rsidRDefault="009B03E9" w:rsidP="00E6623F">
      <w:pPr>
        <w:pStyle w:val="Numbered111"/>
      </w:pPr>
      <w:r w:rsidRPr="00BD6C5F">
        <w:t>any claim made by or in respect of any person employed or formerly employed by the Supplier or any Sub-contractor other than a Transferring Supplier Employee identified in the Supplier</w:t>
      </w:r>
      <w:r w:rsidR="00A4555C" w:rsidRPr="00BD6C5F">
        <w:t>’</w:t>
      </w:r>
      <w:r w:rsidRPr="00BD6C5F">
        <w:t xml:space="preserve">s Final Supplier Personnel List for whom it is alleged the Authority and/or the Replacement Supplier and/or any Replacement Sub-contractor may be liable by virtue of this </w:t>
      </w:r>
      <w:r w:rsidR="00DC7C3A" w:rsidRPr="00BD6C5F">
        <w:t xml:space="preserve">Contract </w:t>
      </w:r>
      <w:r w:rsidRPr="00BD6C5F">
        <w:t>and/or the Employment Regulations; and</w:t>
      </w:r>
    </w:p>
    <w:p w14:paraId="27510232" w14:textId="7CEDDBFA" w:rsidR="00BC7DDA" w:rsidRPr="00BD6C5F" w:rsidRDefault="009B03E9" w:rsidP="00E6623F">
      <w:pPr>
        <w:pStyle w:val="Numbered111"/>
      </w:pPr>
      <w:r w:rsidRPr="00BD6C5F">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69CE0650" w14:textId="625C97A3" w:rsidR="00BC7DDA" w:rsidRPr="00BD6C5F" w:rsidRDefault="009B03E9" w:rsidP="00E6623F">
      <w:pPr>
        <w:pStyle w:val="Numbered11"/>
      </w:pPr>
      <w:bookmarkStart w:id="1802" w:name="_bookmark589"/>
      <w:bookmarkStart w:id="1803" w:name="_Ref98429676"/>
      <w:bookmarkEnd w:id="1802"/>
      <w:r w:rsidRPr="00BD6C5F">
        <w:t>The indemnities in Paragraph</w:t>
      </w:r>
      <w:r w:rsidR="00F57DA7" w:rsidRPr="00BD6C5F">
        <w:t> </w:t>
      </w:r>
      <w:r w:rsidR="00F57DA7" w:rsidRPr="00BD6C5F">
        <w:fldChar w:fldCharType="begin"/>
      </w:r>
      <w:r w:rsidR="00F57DA7" w:rsidRPr="00BD6C5F">
        <w:instrText xml:space="preserve"> REF _Ref98429760 \w \h </w:instrText>
      </w:r>
      <w:r w:rsidR="00AD7DD0" w:rsidRPr="00BD6C5F">
        <w:instrText xml:space="preserve"> \* MERGEFORMAT </w:instrText>
      </w:r>
      <w:r w:rsidR="00F57DA7" w:rsidRPr="00BD6C5F">
        <w:fldChar w:fldCharType="separate"/>
      </w:r>
      <w:r w:rsidR="009749A0">
        <w:t>2.3</w:t>
      </w:r>
      <w:r w:rsidR="00F57DA7" w:rsidRPr="00BD6C5F">
        <w:fldChar w:fldCharType="end"/>
      </w:r>
      <w:r w:rsidRPr="00BD6C5F">
        <w:t xml:space="preserve">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bookmarkEnd w:id="1803"/>
    </w:p>
    <w:p w14:paraId="1FD51636" w14:textId="33D3AC32" w:rsidR="00BC7DDA" w:rsidRPr="00BD6C5F" w:rsidRDefault="009B03E9" w:rsidP="00E6623F">
      <w:pPr>
        <w:pStyle w:val="Numbered111"/>
      </w:pPr>
      <w:r w:rsidRPr="00BD6C5F">
        <w:t xml:space="preserve">arising out of the resignation of any Transferring Supplier Employee before the Service Transfer Date on account of substantial detrimental changes to </w:t>
      </w:r>
      <w:r w:rsidR="00622589">
        <w:t>their</w:t>
      </w:r>
      <w:r w:rsidRPr="00BD6C5F">
        <w:t xml:space="preserve"> working conditions proposed by the Replacement Supplier and/or any Replacement Sub-contractor to occur in the period on or after the Service Transfer Date); or</w:t>
      </w:r>
    </w:p>
    <w:p w14:paraId="4CC1E5B7" w14:textId="047855E9" w:rsidR="00BC7DDA" w:rsidRPr="00BD6C5F" w:rsidRDefault="009B03E9" w:rsidP="00E6623F">
      <w:pPr>
        <w:pStyle w:val="Numbered111"/>
      </w:pPr>
      <w:r w:rsidRPr="00BD6C5F">
        <w:t>arising from the Replacement Supplier</w:t>
      </w:r>
      <w:r w:rsidR="00A4555C" w:rsidRPr="00BD6C5F">
        <w:t>’</w:t>
      </w:r>
      <w:r w:rsidRPr="00BD6C5F">
        <w:t>s failure, and/or Replacement Sub-contractor</w:t>
      </w:r>
      <w:r w:rsidR="00A4555C" w:rsidRPr="00BD6C5F">
        <w:t>’</w:t>
      </w:r>
      <w:r w:rsidRPr="00BD6C5F">
        <w:t>s failure, to comply with its obligations under the Employment Regulations.</w:t>
      </w:r>
    </w:p>
    <w:p w14:paraId="45967DFD" w14:textId="079C0F8A" w:rsidR="00BC7DDA" w:rsidRPr="00BD6C5F" w:rsidRDefault="009B03E9" w:rsidP="00E6623F">
      <w:pPr>
        <w:pStyle w:val="Numbered11"/>
      </w:pPr>
      <w:bookmarkStart w:id="1804" w:name="_bookmark590"/>
      <w:bookmarkStart w:id="1805" w:name="_Ref98429821"/>
      <w:bookmarkEnd w:id="1804"/>
      <w:r w:rsidRPr="00BD6C5F">
        <w:t>If any person who is not identified in the Supplier</w:t>
      </w:r>
      <w:r w:rsidR="00A4555C" w:rsidRPr="00BD6C5F">
        <w:t>’</w:t>
      </w:r>
      <w:r w:rsidRPr="00BD6C5F">
        <w:t xml:space="preserve">s Final Supplier Personnel </w:t>
      </w:r>
      <w:r w:rsidR="00752FFE">
        <w:t>L</w:t>
      </w:r>
      <w:r w:rsidRPr="00BD6C5F">
        <w:t>ist claims, or it is determined in relation to any person who is not identified in the Supplier</w:t>
      </w:r>
      <w:r w:rsidR="00A4555C" w:rsidRPr="00BD6C5F">
        <w:t>’</w:t>
      </w:r>
      <w:r w:rsidRPr="00BD6C5F">
        <w:t xml:space="preserve">s Final Supplier Personnel </w:t>
      </w:r>
      <w:r w:rsidR="00752FFE">
        <w:t>L</w:t>
      </w:r>
      <w:r w:rsidRPr="00BD6C5F">
        <w:t xml:space="preserve">ist, that </w:t>
      </w:r>
      <w:r w:rsidR="00622589">
        <w:t>their</w:t>
      </w:r>
      <w:r w:rsidRPr="00BD6C5F">
        <w:t xml:space="preserve"> contract of employment has been transferred from the Supplier or any Sub-contractor to the Replacement Supplier and/or Replacement Sub-contractor pursuant to the Employment Regulations, then:</w:t>
      </w:r>
      <w:bookmarkEnd w:id="1805"/>
    </w:p>
    <w:p w14:paraId="396C2AF4" w14:textId="77777777" w:rsidR="00BC7DDA" w:rsidRPr="00BD6C5F" w:rsidRDefault="009B03E9" w:rsidP="00E6623F">
      <w:pPr>
        <w:pStyle w:val="Numbered111"/>
      </w:pPr>
      <w:bookmarkStart w:id="1806" w:name="_bookmark591"/>
      <w:bookmarkStart w:id="1807" w:name="_Ref98429864"/>
      <w:bookmarkEnd w:id="1806"/>
      <w:r w:rsidRPr="00BD6C5F">
        <w:t xml:space="preserve">the Authority shall procure that the Replacement Supplier shall, or any Replacement Sub-contractor shall, within 5 Working Days of becoming aware </w:t>
      </w:r>
      <w:r w:rsidRPr="00BD6C5F">
        <w:lastRenderedPageBreak/>
        <w:t>of that fact, give notice in writing to the Supplier; and</w:t>
      </w:r>
      <w:bookmarkEnd w:id="1807"/>
    </w:p>
    <w:p w14:paraId="15738240" w14:textId="0CC67A23" w:rsidR="00BC7DDA" w:rsidRPr="00BD6C5F" w:rsidRDefault="009B03E9" w:rsidP="00E6623F">
      <w:pPr>
        <w:pStyle w:val="Numbered111"/>
      </w:pPr>
      <w:bookmarkStart w:id="1808" w:name="_bookmark592"/>
      <w:bookmarkStart w:id="1809" w:name="_Ref98429808"/>
      <w:bookmarkEnd w:id="1808"/>
      <w:r w:rsidRPr="00BD6C5F">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1809"/>
    </w:p>
    <w:p w14:paraId="0B58967D" w14:textId="33080272" w:rsidR="00BC7DDA" w:rsidRPr="00BD6C5F" w:rsidRDefault="009B03E9" w:rsidP="00E6623F">
      <w:pPr>
        <w:pStyle w:val="Numbered11"/>
      </w:pPr>
      <w:r w:rsidRPr="00BD6C5F">
        <w:t xml:space="preserve">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w:t>
      </w:r>
      <w:r w:rsidR="00622589">
        <w:t>their</w:t>
      </w:r>
      <w:r w:rsidRPr="00BD6C5F">
        <w:t xml:space="preserve"> employment or alleged employment.</w:t>
      </w:r>
    </w:p>
    <w:p w14:paraId="6091E697" w14:textId="4208E576" w:rsidR="00BC7DDA" w:rsidRPr="00BD6C5F" w:rsidRDefault="009B03E9" w:rsidP="00FD4E48">
      <w:pPr>
        <w:pStyle w:val="Numbered11"/>
        <w:keepNext/>
      </w:pPr>
      <w:bookmarkStart w:id="1810" w:name="_bookmark593"/>
      <w:bookmarkStart w:id="1811" w:name="_Ref98429830"/>
      <w:bookmarkEnd w:id="1810"/>
      <w:r w:rsidRPr="00BD6C5F">
        <w:t>If after the 15 Working Day period specified in Paragraph</w:t>
      </w:r>
      <w:r w:rsidR="00F57DA7" w:rsidRPr="00BD6C5F">
        <w:t> </w:t>
      </w:r>
      <w:r w:rsidR="00F57DA7" w:rsidRPr="00BD6C5F">
        <w:fldChar w:fldCharType="begin"/>
      </w:r>
      <w:r w:rsidR="00F57DA7" w:rsidRPr="00BD6C5F">
        <w:instrText xml:space="preserve"> REF _Ref98429808 \w \h </w:instrText>
      </w:r>
      <w:r w:rsidR="00AD7DD0" w:rsidRPr="00BD6C5F">
        <w:instrText xml:space="preserve"> \* MERGEFORMAT </w:instrText>
      </w:r>
      <w:r w:rsidR="00F57DA7" w:rsidRPr="00BD6C5F">
        <w:fldChar w:fldCharType="separate"/>
      </w:r>
      <w:r w:rsidR="009749A0">
        <w:t>2.5.2</w:t>
      </w:r>
      <w:r w:rsidR="00F57DA7" w:rsidRPr="00BD6C5F">
        <w:fldChar w:fldCharType="end"/>
      </w:r>
      <w:r w:rsidRPr="00BD6C5F">
        <w:t xml:space="preserve"> has elapsed:</w:t>
      </w:r>
      <w:bookmarkEnd w:id="1811"/>
    </w:p>
    <w:p w14:paraId="58481D00" w14:textId="77777777" w:rsidR="00BC7DDA" w:rsidRPr="00BD6C5F" w:rsidRDefault="009B03E9" w:rsidP="00E6623F">
      <w:pPr>
        <w:pStyle w:val="Numbered111"/>
      </w:pPr>
      <w:r w:rsidRPr="00BD6C5F">
        <w:t>no such offer of employment has been made;</w:t>
      </w:r>
    </w:p>
    <w:p w14:paraId="618D6349" w14:textId="77777777" w:rsidR="00BC7DDA" w:rsidRPr="00BD6C5F" w:rsidRDefault="009B03E9" w:rsidP="00E6623F">
      <w:pPr>
        <w:pStyle w:val="Numbered111"/>
      </w:pPr>
      <w:r w:rsidRPr="00BD6C5F">
        <w:t>such offer has been made but not accepted; or</w:t>
      </w:r>
    </w:p>
    <w:p w14:paraId="0826E301" w14:textId="77777777" w:rsidR="00BC7DDA" w:rsidRPr="00BD6C5F" w:rsidRDefault="009B03E9" w:rsidP="00E6623F">
      <w:pPr>
        <w:pStyle w:val="Numbered111"/>
      </w:pPr>
      <w:r w:rsidRPr="00BD6C5F">
        <w:t>the situation has not otherwise been resolved</w:t>
      </w:r>
    </w:p>
    <w:p w14:paraId="56DF5E06" w14:textId="51B76608" w:rsidR="00BC7DDA" w:rsidRPr="00BD6C5F" w:rsidRDefault="009B03E9" w:rsidP="00A14462">
      <w:pPr>
        <w:pStyle w:val="BodyText"/>
        <w:widowControl/>
        <w:spacing w:before="100" w:after="200"/>
        <w:ind w:left="720"/>
        <w:rPr>
          <w:rFonts w:asciiTheme="minorHAnsi" w:hAnsiTheme="minorHAnsi" w:cstheme="minorHAnsi"/>
        </w:rPr>
      </w:pPr>
      <w:r w:rsidRPr="00BD6C5F">
        <w:rPr>
          <w:rFonts w:asciiTheme="minorHAnsi" w:hAnsiTheme="minorHAnsi" w:cstheme="minorHAnsi"/>
        </w:rPr>
        <w:t>the Authority shall advise the Replacement Supplier and/or Replacement Sub-contractor, as appropriate that it may within 5 Working Days give notice to terminate the employment or alleged employment of such person.</w:t>
      </w:r>
    </w:p>
    <w:p w14:paraId="52270304" w14:textId="4960C205" w:rsidR="00BC7DDA" w:rsidRPr="00BD6C5F" w:rsidRDefault="009B03E9" w:rsidP="00E6623F">
      <w:pPr>
        <w:pStyle w:val="Numbered11"/>
      </w:pPr>
      <w:bookmarkStart w:id="1812" w:name="_bookmark594"/>
      <w:bookmarkStart w:id="1813" w:name="_Ref98429850"/>
      <w:bookmarkEnd w:id="1812"/>
      <w:r w:rsidRPr="00BD6C5F">
        <w:t>Subject to the Replacement Supplier and/or Replacement Sub-contractor acting in accordance with the provisions of Paragraphs</w:t>
      </w:r>
      <w:r w:rsidR="00F57DA7" w:rsidRPr="00BD6C5F">
        <w:t> </w:t>
      </w:r>
      <w:r w:rsidR="00F57DA7" w:rsidRPr="00BD6C5F">
        <w:fldChar w:fldCharType="begin"/>
      </w:r>
      <w:r w:rsidR="00F57DA7" w:rsidRPr="00BD6C5F">
        <w:instrText xml:space="preserve"> REF _Ref98429821 \w \h </w:instrText>
      </w:r>
      <w:r w:rsidR="00AD7DD0" w:rsidRPr="00BD6C5F">
        <w:instrText xml:space="preserve"> \* MERGEFORMAT </w:instrText>
      </w:r>
      <w:r w:rsidR="00F57DA7" w:rsidRPr="00BD6C5F">
        <w:fldChar w:fldCharType="separate"/>
      </w:r>
      <w:r w:rsidR="009749A0">
        <w:t>2.5</w:t>
      </w:r>
      <w:r w:rsidR="00F57DA7" w:rsidRPr="00BD6C5F">
        <w:fldChar w:fldCharType="end"/>
      </w:r>
      <w:r w:rsidRPr="00BD6C5F">
        <w:t xml:space="preserve"> to </w:t>
      </w:r>
      <w:r w:rsidR="00F57DA7" w:rsidRPr="00BD6C5F">
        <w:fldChar w:fldCharType="begin"/>
      </w:r>
      <w:r w:rsidR="00F57DA7" w:rsidRPr="00BD6C5F">
        <w:instrText xml:space="preserve"> REF _Ref98429830 \w \h </w:instrText>
      </w:r>
      <w:r w:rsidR="00AD7DD0" w:rsidRPr="00BD6C5F">
        <w:instrText xml:space="preserve"> \* MERGEFORMAT </w:instrText>
      </w:r>
      <w:r w:rsidR="00F57DA7" w:rsidRPr="00BD6C5F">
        <w:fldChar w:fldCharType="separate"/>
      </w:r>
      <w:r w:rsidR="009749A0">
        <w:t>2.7</w:t>
      </w:r>
      <w:r w:rsidR="00F57DA7" w:rsidRPr="00BD6C5F">
        <w:fldChar w:fldCharType="end"/>
      </w:r>
      <w:r w:rsidRPr="00BD6C5F">
        <w:t>,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w:t>
      </w:r>
      <w:r w:rsidR="00F57DA7" w:rsidRPr="00BD6C5F">
        <w:t> </w:t>
      </w:r>
      <w:r w:rsidR="00F57DA7" w:rsidRPr="00BD6C5F">
        <w:fldChar w:fldCharType="begin"/>
      </w:r>
      <w:r w:rsidR="00F57DA7" w:rsidRPr="00BD6C5F">
        <w:instrText xml:space="preserve"> REF _Ref98429830 \w \h </w:instrText>
      </w:r>
      <w:r w:rsidR="00AD7DD0" w:rsidRPr="00BD6C5F">
        <w:instrText xml:space="preserve"> \* MERGEFORMAT </w:instrText>
      </w:r>
      <w:r w:rsidR="00F57DA7" w:rsidRPr="00BD6C5F">
        <w:fldChar w:fldCharType="separate"/>
      </w:r>
      <w:r w:rsidR="009749A0">
        <w:t>2.7</w:t>
      </w:r>
      <w:r w:rsidR="00F57DA7" w:rsidRPr="00BD6C5F">
        <w:fldChar w:fldCharType="end"/>
      </w:r>
      <w:r w:rsidRPr="00BD6C5F">
        <w:t xml:space="preserve"> provided that the Replacement Supplier takes, or shall procure that the Replacement Sub-contractor takes, all reasonable steps to minimise any such Employee Liabilities.</w:t>
      </w:r>
      <w:bookmarkEnd w:id="1813"/>
    </w:p>
    <w:p w14:paraId="3DAB8D71" w14:textId="3EF8FA74" w:rsidR="00BC7DDA" w:rsidRPr="00BD6C5F" w:rsidRDefault="009B03E9" w:rsidP="00FD4E48">
      <w:pPr>
        <w:pStyle w:val="Numbered11"/>
        <w:keepNext/>
      </w:pPr>
      <w:r w:rsidRPr="00BD6C5F">
        <w:t>The indemnity in Paragraph</w:t>
      </w:r>
      <w:r w:rsidR="00F57DA7" w:rsidRPr="00BD6C5F">
        <w:t> </w:t>
      </w:r>
      <w:r w:rsidR="00F57DA7" w:rsidRPr="00BD6C5F">
        <w:fldChar w:fldCharType="begin"/>
      </w:r>
      <w:r w:rsidR="00F57DA7" w:rsidRPr="00BD6C5F">
        <w:instrText xml:space="preserve"> REF _Ref98429850 \w \h </w:instrText>
      </w:r>
      <w:r w:rsidR="00AD7DD0" w:rsidRPr="00BD6C5F">
        <w:instrText xml:space="preserve"> \* MERGEFORMAT </w:instrText>
      </w:r>
      <w:r w:rsidR="00F57DA7" w:rsidRPr="00BD6C5F">
        <w:fldChar w:fldCharType="separate"/>
      </w:r>
      <w:r w:rsidR="009749A0">
        <w:t>2.8</w:t>
      </w:r>
      <w:r w:rsidR="00F57DA7" w:rsidRPr="00BD6C5F">
        <w:fldChar w:fldCharType="end"/>
      </w:r>
      <w:r w:rsidRPr="00BD6C5F">
        <w:t>:</w:t>
      </w:r>
    </w:p>
    <w:p w14:paraId="795DEB7C" w14:textId="77777777" w:rsidR="00BC7DDA" w:rsidRPr="00BD6C5F" w:rsidRDefault="009B03E9" w:rsidP="00FD4E48">
      <w:pPr>
        <w:pStyle w:val="Numbered111"/>
        <w:keepNext/>
      </w:pPr>
      <w:r w:rsidRPr="00BD6C5F">
        <w:t>shall not apply to:</w:t>
      </w:r>
    </w:p>
    <w:p w14:paraId="231FE02C" w14:textId="77777777" w:rsidR="00BC7DDA" w:rsidRPr="00BD6C5F" w:rsidRDefault="009B03E9" w:rsidP="00FD4E48">
      <w:pPr>
        <w:pStyle w:val="Numbered111a"/>
        <w:keepNext/>
      </w:pPr>
      <w:r w:rsidRPr="00BD6C5F">
        <w:t>any claim for:</w:t>
      </w:r>
    </w:p>
    <w:p w14:paraId="18E7AFA9" w14:textId="77777777" w:rsidR="00BC7DDA" w:rsidRPr="00BD6C5F" w:rsidRDefault="009B03E9" w:rsidP="00E6623F">
      <w:pPr>
        <w:pStyle w:val="Numbered111ai"/>
      </w:pPr>
      <w:r w:rsidRPr="00BD6C5F">
        <w:t>discrimination, including on the grounds of sex, race, disability, age, gender reassignment, marriage or civil partnership, pregnancy and maternity or sexual orientation, religion or belief; or</w:t>
      </w:r>
    </w:p>
    <w:p w14:paraId="0B4A984D" w14:textId="77777777" w:rsidR="00BC7DDA" w:rsidRPr="00BD6C5F" w:rsidRDefault="009B03E9" w:rsidP="00E6623F">
      <w:pPr>
        <w:pStyle w:val="Numbered111ai"/>
      </w:pPr>
      <w:r w:rsidRPr="00BD6C5F">
        <w:t>equal pay or compensation for less favourable treatment of part-time workers or fixed-term employees,</w:t>
      </w:r>
    </w:p>
    <w:p w14:paraId="47C17466" w14:textId="77777777" w:rsidR="00BC7DDA" w:rsidRPr="00BD6C5F" w:rsidRDefault="009B03E9" w:rsidP="00A14462">
      <w:pPr>
        <w:pStyle w:val="BodyText"/>
        <w:widowControl/>
        <w:spacing w:before="100" w:after="200"/>
        <w:ind w:left="2523"/>
        <w:rPr>
          <w:rFonts w:asciiTheme="minorHAnsi" w:hAnsiTheme="minorHAnsi" w:cstheme="minorHAnsi"/>
        </w:rPr>
      </w:pPr>
      <w:r w:rsidRPr="00BD6C5F">
        <w:rPr>
          <w:rFonts w:asciiTheme="minorHAnsi" w:hAnsiTheme="minorHAnsi" w:cstheme="minorHAnsi"/>
        </w:rPr>
        <w:t>in any case in relation to any alleged act or omission of the Replacement Supplier and/or Replacement Sub-contractor; or</w:t>
      </w:r>
    </w:p>
    <w:p w14:paraId="5862E0B2" w14:textId="4C1D0F50" w:rsidR="00BC7DDA" w:rsidRPr="00BD6C5F" w:rsidRDefault="009B03E9" w:rsidP="00E6623F">
      <w:pPr>
        <w:pStyle w:val="Numbered111a"/>
        <w:rPr>
          <w:lang w:val="en-GB"/>
        </w:rPr>
      </w:pPr>
      <w:r w:rsidRPr="00BD6C5F">
        <w:rPr>
          <w:lang w:val="en-GB"/>
        </w:rPr>
        <w:t>any claim that the termination of employment was unfair because the Replacement Supplier and/or Replacement Sub-contractor neglected to follow a fair dismissal procedure; and</w:t>
      </w:r>
    </w:p>
    <w:p w14:paraId="6452FC01" w14:textId="37F01F86" w:rsidR="00BC7DDA" w:rsidRPr="00BD6C5F" w:rsidRDefault="009B03E9" w:rsidP="00E6623F">
      <w:pPr>
        <w:pStyle w:val="Numbered111"/>
      </w:pPr>
      <w:r w:rsidRPr="00BD6C5F">
        <w:lastRenderedPageBreak/>
        <w:t>shall apply only where the notification referred to in Paragraph</w:t>
      </w:r>
      <w:r w:rsidR="00F57DA7" w:rsidRPr="00BD6C5F">
        <w:t> </w:t>
      </w:r>
      <w:r w:rsidR="00F57DA7" w:rsidRPr="00BD6C5F">
        <w:fldChar w:fldCharType="begin"/>
      </w:r>
      <w:r w:rsidR="00F57DA7" w:rsidRPr="00BD6C5F">
        <w:instrText xml:space="preserve"> REF _Ref98429864 \w \h </w:instrText>
      </w:r>
      <w:r w:rsidR="00AD7DD0" w:rsidRPr="00BD6C5F">
        <w:instrText xml:space="preserve"> \* MERGEFORMAT </w:instrText>
      </w:r>
      <w:r w:rsidR="00F57DA7" w:rsidRPr="00BD6C5F">
        <w:fldChar w:fldCharType="separate"/>
      </w:r>
      <w:r w:rsidR="009749A0">
        <w:t>2.5.1</w:t>
      </w:r>
      <w:r w:rsidR="00F57DA7" w:rsidRPr="00BD6C5F">
        <w:fldChar w:fldCharType="end"/>
      </w:r>
      <w:r w:rsidRPr="00BD6C5F">
        <w:t xml:space="preserve"> is made by the Replacement Supplier and/or Replacement Sub-contractor to the Supplier within 6 months of the Service Transfer Date.</w:t>
      </w:r>
    </w:p>
    <w:p w14:paraId="5E9AAF6B" w14:textId="50246DF9" w:rsidR="00BC7DDA" w:rsidRPr="00BD6C5F" w:rsidRDefault="009B03E9" w:rsidP="00E6623F">
      <w:pPr>
        <w:pStyle w:val="Numbered11"/>
      </w:pPr>
      <w:r w:rsidRPr="00BD6C5F">
        <w:t>If any such person as is described in Paragraph</w:t>
      </w:r>
      <w:r w:rsidR="00F57DA7" w:rsidRPr="00BD6C5F">
        <w:t> </w:t>
      </w:r>
      <w:r w:rsidR="00F57DA7" w:rsidRPr="00BD6C5F">
        <w:fldChar w:fldCharType="begin"/>
      </w:r>
      <w:r w:rsidR="00F57DA7" w:rsidRPr="00BD6C5F">
        <w:instrText xml:space="preserve"> REF _Ref98429821 \w \h </w:instrText>
      </w:r>
      <w:r w:rsidR="00AD7DD0" w:rsidRPr="00BD6C5F">
        <w:instrText xml:space="preserve"> \* MERGEFORMAT </w:instrText>
      </w:r>
      <w:r w:rsidR="00F57DA7" w:rsidRPr="00BD6C5F">
        <w:fldChar w:fldCharType="separate"/>
      </w:r>
      <w:r w:rsidR="009749A0">
        <w:t>2.5</w:t>
      </w:r>
      <w:r w:rsidR="00F57DA7" w:rsidRPr="00BD6C5F">
        <w:fldChar w:fldCharType="end"/>
      </w:r>
      <w:r w:rsidRPr="00BD6C5F">
        <w:t xml:space="preserve"> is neither re-employed by the Supplier or any Sub-contractor nor dismissed by the Replacement Supplier and/or Replacement Sub-contractor within the time scales set out in Paragraphs</w:t>
      </w:r>
      <w:r w:rsidR="00F57DA7" w:rsidRPr="00BD6C5F">
        <w:t> </w:t>
      </w:r>
      <w:r w:rsidR="00F57DA7" w:rsidRPr="00BD6C5F">
        <w:fldChar w:fldCharType="begin"/>
      </w:r>
      <w:r w:rsidR="00F57DA7" w:rsidRPr="00BD6C5F">
        <w:instrText xml:space="preserve"> REF _Ref98429821 \w \h </w:instrText>
      </w:r>
      <w:r w:rsidR="00AD7DD0" w:rsidRPr="00BD6C5F">
        <w:instrText xml:space="preserve"> \* MERGEFORMAT </w:instrText>
      </w:r>
      <w:r w:rsidR="00F57DA7" w:rsidRPr="00BD6C5F">
        <w:fldChar w:fldCharType="separate"/>
      </w:r>
      <w:r w:rsidR="009749A0">
        <w:t>2.5</w:t>
      </w:r>
      <w:r w:rsidR="00F57DA7" w:rsidRPr="00BD6C5F">
        <w:fldChar w:fldCharType="end"/>
      </w:r>
      <w:r w:rsidRPr="00BD6C5F">
        <w:t xml:space="preserve"> to </w:t>
      </w:r>
      <w:r w:rsidR="00F57DA7" w:rsidRPr="00BD6C5F">
        <w:fldChar w:fldCharType="begin"/>
      </w:r>
      <w:r w:rsidR="00F57DA7" w:rsidRPr="00BD6C5F">
        <w:instrText xml:space="preserve"> REF _Ref98429830 \w \h </w:instrText>
      </w:r>
      <w:r w:rsidR="00AD7DD0" w:rsidRPr="00BD6C5F">
        <w:instrText xml:space="preserve"> \* MERGEFORMAT </w:instrText>
      </w:r>
      <w:r w:rsidR="00F57DA7" w:rsidRPr="00BD6C5F">
        <w:fldChar w:fldCharType="separate"/>
      </w:r>
      <w:r w:rsidR="009749A0">
        <w:t>2.7</w:t>
      </w:r>
      <w:r w:rsidR="00F57DA7" w:rsidRPr="00BD6C5F">
        <w:fldChar w:fldCharType="end"/>
      </w:r>
      <w:r w:rsidRPr="00BD6C5F">
        <w:t>, such person shall be treated as a Transferring Supplier Employee.</w:t>
      </w:r>
    </w:p>
    <w:p w14:paraId="36B7F873" w14:textId="77777777" w:rsidR="00BC7DDA" w:rsidRPr="00BD6C5F" w:rsidRDefault="009B03E9" w:rsidP="00E6623F">
      <w:pPr>
        <w:pStyle w:val="Numbered11"/>
      </w:pPr>
      <w:r w:rsidRPr="00BD6C5F">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AC33136" w14:textId="3D7B778E" w:rsidR="00BC7DDA" w:rsidRPr="00BD6C5F" w:rsidRDefault="009B03E9" w:rsidP="00E6623F">
      <w:pPr>
        <w:pStyle w:val="Numbered11"/>
      </w:pPr>
      <w:bookmarkStart w:id="1814" w:name="_bookmark595"/>
      <w:bookmarkStart w:id="1815" w:name="_Ref98429911"/>
      <w:bookmarkEnd w:id="1814"/>
      <w:r w:rsidRPr="00BD6C5F">
        <w:t>Subject to Paragraph</w:t>
      </w:r>
      <w:r w:rsidR="00F57DA7" w:rsidRPr="00BD6C5F">
        <w:t> </w:t>
      </w:r>
      <w:r w:rsidR="00F57DA7" w:rsidRPr="00BD6C5F">
        <w:fldChar w:fldCharType="begin"/>
      </w:r>
      <w:r w:rsidR="00F57DA7" w:rsidRPr="00BD6C5F">
        <w:instrText xml:space="preserve"> REF _Ref98429901 \w \h </w:instrText>
      </w:r>
      <w:r w:rsidR="00AD7DD0" w:rsidRPr="00BD6C5F">
        <w:instrText xml:space="preserve"> \* MERGEFORMAT </w:instrText>
      </w:r>
      <w:r w:rsidR="00F57DA7" w:rsidRPr="00BD6C5F">
        <w:fldChar w:fldCharType="separate"/>
      </w:r>
      <w:r w:rsidR="009749A0">
        <w:t>2.13</w:t>
      </w:r>
      <w:r w:rsidR="00F57DA7" w:rsidRPr="00BD6C5F">
        <w:fldChar w:fldCharType="end"/>
      </w:r>
      <w:r w:rsidRPr="00BD6C5F">
        <w:t>, the Authority shall procure that the Replacement Supplier indemnifies the Supplier on its own behalf and on behalf of any Replacement Sub-contractor and its sub-contractors against any Employee Liabilities arising from or as a result of:</w:t>
      </w:r>
      <w:bookmarkEnd w:id="1815"/>
    </w:p>
    <w:p w14:paraId="3D43D1DD" w14:textId="57DF7BC2" w:rsidR="00BC7DDA" w:rsidRPr="00BD6C5F" w:rsidRDefault="009B03E9" w:rsidP="00E6623F">
      <w:pPr>
        <w:pStyle w:val="Numbered111"/>
      </w:pPr>
      <w:r w:rsidRPr="00BD6C5F">
        <w:t>any act or omission of the Replacement Supplier and/or Replacement Sub-contractor in respect of any Transferring Supplier</w:t>
      </w:r>
      <w:r w:rsidR="0024154E" w:rsidRPr="00BD6C5F">
        <w:t xml:space="preserve"> Employee identified in the Supplier</w:t>
      </w:r>
      <w:r w:rsidR="00A4555C" w:rsidRPr="00BD6C5F">
        <w:t>’</w:t>
      </w:r>
      <w:r w:rsidR="0024154E" w:rsidRPr="00BD6C5F">
        <w:t xml:space="preserve">s Final Supplier Personnel List or any appropriate employee representative (as defined in the Employment Regulations) of any such Transferring Supplier Employee; </w:t>
      </w:r>
    </w:p>
    <w:p w14:paraId="41EF8067" w14:textId="77777777" w:rsidR="00BC7DDA" w:rsidRPr="00BD6C5F" w:rsidRDefault="009B03E9" w:rsidP="00FD4E48">
      <w:pPr>
        <w:pStyle w:val="Numbered111"/>
        <w:keepNext/>
      </w:pPr>
      <w:r w:rsidRPr="00BD6C5F">
        <w:t>the breach or non-observance by the Replacement Supplier and/or Replacement Sub-contractor on or after the Service Transfer Date of:</w:t>
      </w:r>
    </w:p>
    <w:p w14:paraId="1C1DC3CA" w14:textId="77D553BA" w:rsidR="00BC7DDA" w:rsidRPr="00BD6C5F" w:rsidRDefault="009B03E9" w:rsidP="0040545B">
      <w:pPr>
        <w:pStyle w:val="Numbered111a"/>
      </w:pPr>
      <w:r w:rsidRPr="00BD6C5F">
        <w:t>any collective agreement applicable to the Transferring Supplier Employees identified in the Supplier</w:t>
      </w:r>
      <w:r w:rsidR="00A4555C" w:rsidRPr="00BD6C5F">
        <w:t>’</w:t>
      </w:r>
      <w:r w:rsidRPr="00BD6C5F">
        <w:t>s Final Supplier Personnel List; and/or</w:t>
      </w:r>
    </w:p>
    <w:p w14:paraId="3CECE417" w14:textId="0ACEB818" w:rsidR="00BC7DDA" w:rsidRPr="00BD6C5F" w:rsidRDefault="009B03E9" w:rsidP="00E6623F">
      <w:pPr>
        <w:pStyle w:val="Numbered111a"/>
        <w:rPr>
          <w:lang w:val="en-GB"/>
        </w:rPr>
      </w:pPr>
      <w:r w:rsidRPr="00BD6C5F">
        <w:rPr>
          <w:lang w:val="en-GB"/>
        </w:rPr>
        <w:t>any custom or practice in respect of any Transferring Supplier Employees identified in the Supplier</w:t>
      </w:r>
      <w:r w:rsidR="00A4555C" w:rsidRPr="00BD6C5F">
        <w:rPr>
          <w:lang w:val="en-GB"/>
        </w:rPr>
        <w:t>’</w:t>
      </w:r>
      <w:r w:rsidRPr="00BD6C5F">
        <w:rPr>
          <w:lang w:val="en-GB"/>
        </w:rPr>
        <w:t>s Final Supplier Personnel List which the Replacement Supplier and/or Replacement Sub-contractor is contractually bound to honour;</w:t>
      </w:r>
    </w:p>
    <w:p w14:paraId="66F719AC" w14:textId="11E155E5" w:rsidR="00BC7DDA" w:rsidRPr="00BD6C5F" w:rsidRDefault="009B03E9" w:rsidP="00E6623F">
      <w:pPr>
        <w:pStyle w:val="Numbered111"/>
      </w:pPr>
      <w:r w:rsidRPr="00BD6C5F">
        <w:t>any claim by any trade union or other body or person representing any Transferring Supplier Employees identified in the Supplier</w:t>
      </w:r>
      <w:r w:rsidR="00A4555C" w:rsidRPr="00BD6C5F">
        <w:t>’</w:t>
      </w:r>
      <w:r w:rsidRPr="00BD6C5F">
        <w:t>s Final Supplier Personnel List arising from or connected with any failure by the Replacement Supplier and/or Replacement Sub-contractor to comply with any legal obligation to such trade union, body or person arising on or after the Service Transfer Date;</w:t>
      </w:r>
    </w:p>
    <w:p w14:paraId="30A0DB17" w14:textId="0CA8DFE7" w:rsidR="00BC7DDA" w:rsidRPr="00BD6C5F" w:rsidRDefault="009B03E9" w:rsidP="00E6623F">
      <w:pPr>
        <w:pStyle w:val="Numbered111"/>
      </w:pPr>
      <w:r w:rsidRPr="00BD6C5F">
        <w:t>any proposal by the Replacement Supplier and/or Replacement Sub-contractor to change the terms and conditions of employment or working conditions of any Transferring Supplier Employees identified in the Supplier</w:t>
      </w:r>
      <w:r w:rsidR="00A4555C" w:rsidRPr="00BD6C5F">
        <w:t>’</w:t>
      </w:r>
      <w:r w:rsidRPr="00BD6C5F">
        <w:t xml:space="preserve">s Final Supplier Personnel List on or after their transfer to the Replacement Supplier or </w:t>
      </w:r>
      <w:r w:rsidRPr="00BD6C5F">
        <w:lastRenderedPageBreak/>
        <w:t>Replacement Sub-contractor (as the case may be) on the Service Transfer Date, or to change the terms and conditions of employment or working conditions of any person identified in the Supplier</w:t>
      </w:r>
      <w:r w:rsidR="00A4555C" w:rsidRPr="00BD6C5F">
        <w:t>’</w:t>
      </w:r>
      <w:r w:rsidRPr="00BD6C5F">
        <w:t>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w:t>
      </w:r>
    </w:p>
    <w:p w14:paraId="2601C1A5" w14:textId="2CB83F4C" w:rsidR="00BC7DDA" w:rsidRPr="00BD6C5F" w:rsidRDefault="009B03E9" w:rsidP="00E6623F">
      <w:pPr>
        <w:pStyle w:val="Numbered111"/>
      </w:pPr>
      <w:r w:rsidRPr="00BD6C5F">
        <w:t>any statement communicated to or action undertaken by the Replacement Supplier or Replacement Sub-contractor to, or in respect of, any Transferring Supplier Employee identified in the Supplier</w:t>
      </w:r>
      <w:r w:rsidR="00A4555C" w:rsidRPr="00BD6C5F">
        <w:t>’</w:t>
      </w:r>
      <w:r w:rsidRPr="00BD6C5F">
        <w:t>s Final Supplier Personnel List on or before the Service Transfer Date regarding the Relevant Transfer which has not been agreed in advance with the Supplier in writing;</w:t>
      </w:r>
    </w:p>
    <w:p w14:paraId="2C6EAAF0" w14:textId="77777777" w:rsidR="00BC7DDA" w:rsidRPr="00BD6C5F" w:rsidRDefault="009B03E9" w:rsidP="00FD4E48">
      <w:pPr>
        <w:pStyle w:val="Numbered111"/>
        <w:keepNext/>
      </w:pPr>
      <w:r w:rsidRPr="00BD6C5F">
        <w:t>any proceeding, claim or demand by HMRC or other statutory authority in respect of any financial obligation including, but not limited to, PAYE and primary and secondary national insurance contributions:</w:t>
      </w:r>
    </w:p>
    <w:p w14:paraId="2504BE6F" w14:textId="6EE38747" w:rsidR="00BC7DDA" w:rsidRPr="00BD6C5F" w:rsidRDefault="009B03E9" w:rsidP="0040545B">
      <w:pPr>
        <w:pStyle w:val="Numbered111a"/>
      </w:pPr>
      <w:r w:rsidRPr="00BD6C5F">
        <w:t>in relation to any Transferring Supplier Employee identified in the Supplier</w:t>
      </w:r>
      <w:r w:rsidR="00A4555C" w:rsidRPr="00BD6C5F">
        <w:t>’</w:t>
      </w:r>
      <w:r w:rsidRPr="00BD6C5F">
        <w:t xml:space="preserve">s Final Supplier Personnel List, to the extent that the proceeding, claim or demand by HMRC or other statutory authority relates to financial obligations arising </w:t>
      </w:r>
      <w:r w:rsidR="009807E9">
        <w:t xml:space="preserve">on and </w:t>
      </w:r>
      <w:r w:rsidRPr="00BD6C5F">
        <w:t>after the Service Transfer Date; and</w:t>
      </w:r>
    </w:p>
    <w:p w14:paraId="27D17B33" w14:textId="45D5C7BF" w:rsidR="00BC7DDA" w:rsidRPr="00BD6C5F" w:rsidRDefault="009B03E9" w:rsidP="00E6623F">
      <w:pPr>
        <w:pStyle w:val="Numbered111a"/>
        <w:rPr>
          <w:lang w:val="en-GB"/>
        </w:rPr>
      </w:pPr>
      <w:r w:rsidRPr="00BD6C5F">
        <w:rPr>
          <w:lang w:val="en-GB"/>
        </w:rPr>
        <w:t>in relation to any employee who is not a Transferring Supplier Employee identified in the Supplier</w:t>
      </w:r>
      <w:r w:rsidR="00A4555C" w:rsidRPr="00BD6C5F">
        <w:rPr>
          <w:lang w:val="en-GB"/>
        </w:rPr>
        <w:t>’</w:t>
      </w:r>
      <w:r w:rsidRPr="00BD6C5F">
        <w:rPr>
          <w:lang w:val="en-GB"/>
        </w:rPr>
        <w:t>s Final Supplier Personnel List, and in respect of whom it is later alleged or determined that the Employment Regulations applied so as to transfer his/her employment from the Supplier or Sub-contractor, to the Replacement Supplier or Replacement</w:t>
      </w:r>
      <w:r w:rsidR="00A14462" w:rsidRPr="00BD6C5F">
        <w:rPr>
          <w:lang w:val="en-GB"/>
        </w:rPr>
        <w:t xml:space="preserve"> </w:t>
      </w:r>
      <w:r w:rsidRPr="00BD6C5F">
        <w:rPr>
          <w:lang w:val="en-GB"/>
        </w:rPr>
        <w:t xml:space="preserve">Sub-contractor to the extent that the proceeding, claim or demand by HMRC or other statutory authority relates to financial obligations arising </w:t>
      </w:r>
      <w:r w:rsidR="009807E9">
        <w:rPr>
          <w:lang w:val="en-GB"/>
        </w:rPr>
        <w:t xml:space="preserve">on and </w:t>
      </w:r>
      <w:r w:rsidRPr="00BD6C5F">
        <w:rPr>
          <w:lang w:val="en-GB"/>
        </w:rPr>
        <w:t>after the Service Transfer Date;</w:t>
      </w:r>
    </w:p>
    <w:p w14:paraId="2A701B76" w14:textId="7E67458D" w:rsidR="00BC7DDA" w:rsidRPr="00BD6C5F" w:rsidRDefault="009B03E9" w:rsidP="00E6623F">
      <w:pPr>
        <w:pStyle w:val="Numbered111"/>
      </w:pPr>
      <w:r w:rsidRPr="00BD6C5F">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w:t>
      </w:r>
      <w:r w:rsidR="00A4555C" w:rsidRPr="00BD6C5F">
        <w:t>’</w:t>
      </w:r>
      <w:r w:rsidRPr="00BD6C5F">
        <w:t>s Final Supplier Personnel List in respect of the period from (and including) the Service Transfer Date; and</w:t>
      </w:r>
    </w:p>
    <w:p w14:paraId="29DA3FBB" w14:textId="6F50C65E" w:rsidR="00BC7DDA" w:rsidRPr="00BD6C5F" w:rsidRDefault="009B03E9" w:rsidP="00E6623F">
      <w:pPr>
        <w:pStyle w:val="Numbered111"/>
      </w:pPr>
      <w:r w:rsidRPr="00BD6C5F">
        <w:t>any claim made by or in respect of a Transferring Supplier Employee identified in the Supplier</w:t>
      </w:r>
      <w:r w:rsidR="00A4555C" w:rsidRPr="00BD6C5F">
        <w:t>’</w:t>
      </w:r>
      <w:r w:rsidRPr="00BD6C5F">
        <w:t>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4CBB5D0" w14:textId="14E4B229" w:rsidR="00BC7DDA" w:rsidRPr="00BD6C5F" w:rsidRDefault="009B03E9" w:rsidP="00E6623F">
      <w:pPr>
        <w:pStyle w:val="Numbered11"/>
      </w:pPr>
      <w:bookmarkStart w:id="1816" w:name="_bookmark596"/>
      <w:bookmarkStart w:id="1817" w:name="_Ref98429901"/>
      <w:bookmarkEnd w:id="1816"/>
      <w:r w:rsidRPr="00BD6C5F">
        <w:t>The indemnities in Paragraph</w:t>
      </w:r>
      <w:r w:rsidR="00F57DA7" w:rsidRPr="00BD6C5F">
        <w:t> </w:t>
      </w:r>
      <w:r w:rsidR="00F57DA7" w:rsidRPr="00BD6C5F">
        <w:fldChar w:fldCharType="begin"/>
      </w:r>
      <w:r w:rsidR="00F57DA7" w:rsidRPr="00BD6C5F">
        <w:instrText xml:space="preserve"> REF _Ref98429911 \w \h </w:instrText>
      </w:r>
      <w:r w:rsidR="00AD7DD0" w:rsidRPr="00BD6C5F">
        <w:instrText xml:space="preserve"> \* MERGEFORMAT </w:instrText>
      </w:r>
      <w:r w:rsidR="00F57DA7" w:rsidRPr="00BD6C5F">
        <w:fldChar w:fldCharType="separate"/>
      </w:r>
      <w:r w:rsidR="009749A0">
        <w:t>2.12</w:t>
      </w:r>
      <w:r w:rsidR="00F57DA7" w:rsidRPr="00BD6C5F">
        <w:fldChar w:fldCharType="end"/>
      </w:r>
      <w:r w:rsidR="00F57DA7" w:rsidRPr="00BD6C5F">
        <w:t xml:space="preserve"> </w:t>
      </w:r>
      <w:r w:rsidRPr="00BD6C5F">
        <w:t xml:space="preserve">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w:t>
      </w:r>
      <w:r w:rsidRPr="00BD6C5F">
        <w:lastRenderedPageBreak/>
        <w:t>the Employment Regulations.</w:t>
      </w:r>
      <w:bookmarkEnd w:id="1817"/>
    </w:p>
    <w:p w14:paraId="0FDF6C13" w14:textId="77777777" w:rsidR="00A14462" w:rsidRPr="00BD6C5F" w:rsidRDefault="00A14462" w:rsidP="00A14462">
      <w:bookmarkStart w:id="1818" w:name="_bookmark597"/>
      <w:bookmarkEnd w:id="1818"/>
    </w:p>
    <w:p w14:paraId="0DE57B9C" w14:textId="02ABB22F" w:rsidR="00D27CFD" w:rsidRPr="00BD6C5F" w:rsidRDefault="00D27CFD" w:rsidP="00A14462">
      <w:r w:rsidRPr="00BD6C5F">
        <w:br w:type="page"/>
      </w:r>
    </w:p>
    <w:p w14:paraId="3B2F5315" w14:textId="6CAE4FFA" w:rsidR="00E238E6" w:rsidRPr="00BD6C5F" w:rsidRDefault="00E6623F" w:rsidP="0018141E">
      <w:pPr>
        <w:pStyle w:val="Heading2"/>
      </w:pPr>
      <w:bookmarkStart w:id="1819" w:name="_bookmark598"/>
      <w:bookmarkStart w:id="1820" w:name="_Toc141721061"/>
      <w:bookmarkEnd w:id="1819"/>
      <w:r w:rsidRPr="00BD6C5F">
        <w:lastRenderedPageBreak/>
        <w:t xml:space="preserve">Annex </w:t>
      </w:r>
      <w:bookmarkStart w:id="1821" w:name="Schedule_28_Part_E_Annex_E1"/>
      <w:r w:rsidRPr="00BD6C5F">
        <w:t>E1</w:t>
      </w:r>
      <w:bookmarkEnd w:id="1821"/>
      <w:r w:rsidRPr="00BD6C5F">
        <w:t>: List of Notified Sub Contractors</w:t>
      </w:r>
      <w:bookmarkEnd w:id="1820"/>
    </w:p>
    <w:p w14:paraId="04814B1A" w14:textId="77777777" w:rsidR="005E263E" w:rsidRPr="00BD6C5F" w:rsidRDefault="005E263E" w:rsidP="00C53813"/>
    <w:p w14:paraId="292E3D9B" w14:textId="758AC8FC" w:rsidR="00E238E6" w:rsidRPr="00BD6C5F" w:rsidRDefault="00E238E6" w:rsidP="00C53813"/>
    <w:p w14:paraId="684D6FCB" w14:textId="77777777" w:rsidR="00C53813" w:rsidRPr="00BD6C5F" w:rsidRDefault="00C53813" w:rsidP="00C53813"/>
    <w:p w14:paraId="4D826C38" w14:textId="77777777" w:rsidR="00E238E6" w:rsidRPr="00BD6C5F" w:rsidRDefault="00E238E6" w:rsidP="00C53813"/>
    <w:p w14:paraId="4540936A" w14:textId="6DFE3D4C" w:rsidR="00E238E6" w:rsidRPr="00BD6C5F" w:rsidRDefault="00E238E6" w:rsidP="00C53813">
      <w:pPr>
        <w:sectPr w:rsidR="00E238E6" w:rsidRPr="00BD6C5F" w:rsidSect="00EA65BF">
          <w:headerReference w:type="default" r:id="rId115"/>
          <w:footerReference w:type="default" r:id="rId116"/>
          <w:pgSz w:w="11910" w:h="16840"/>
          <w:pgMar w:top="1701" w:right="851" w:bottom="1134" w:left="851" w:header="567" w:footer="567" w:gutter="0"/>
          <w:cols w:space="720"/>
        </w:sectPr>
      </w:pPr>
    </w:p>
    <w:p w14:paraId="071A7184" w14:textId="20378F66" w:rsidR="00BC7DDA" w:rsidRPr="00BD6C5F" w:rsidRDefault="00E6623F" w:rsidP="0018141E">
      <w:pPr>
        <w:pStyle w:val="Heading2"/>
      </w:pPr>
      <w:bookmarkStart w:id="1822" w:name="_Toc98332793"/>
      <w:bookmarkStart w:id="1823" w:name="_Toc141721062"/>
      <w:r w:rsidRPr="00BD6C5F">
        <w:lastRenderedPageBreak/>
        <w:t xml:space="preserve">Annex </w:t>
      </w:r>
      <w:bookmarkStart w:id="1824" w:name="Schedule_28_Part_E_Annex_E2"/>
      <w:r w:rsidRPr="00BD6C5F">
        <w:t>E2</w:t>
      </w:r>
      <w:bookmarkEnd w:id="1824"/>
      <w:r w:rsidRPr="00BD6C5F">
        <w:t xml:space="preserve">: </w:t>
      </w:r>
      <w:bookmarkStart w:id="1825" w:name="_bookmark599"/>
      <w:bookmarkEnd w:id="1825"/>
      <w:r w:rsidRPr="00BD6C5F">
        <w:t>Staffing Information</w:t>
      </w:r>
      <w:bookmarkEnd w:id="1822"/>
      <w:bookmarkEnd w:id="1823"/>
    </w:p>
    <w:p w14:paraId="6F2A65F3" w14:textId="5C85CEDF" w:rsidR="00BC7DDA" w:rsidRPr="00BD6C5F" w:rsidRDefault="00E6623F" w:rsidP="00C53813">
      <w:pPr>
        <w:keepNext/>
        <w:spacing w:before="100" w:after="200"/>
        <w:rPr>
          <w:rFonts w:asciiTheme="minorHAnsi" w:hAnsiTheme="minorHAnsi" w:cstheme="minorHAnsi"/>
          <w:b/>
          <w:szCs w:val="24"/>
        </w:rPr>
      </w:pPr>
      <w:r w:rsidRPr="00BD6C5F">
        <w:rPr>
          <w:rFonts w:asciiTheme="minorHAnsi" w:hAnsiTheme="minorHAnsi" w:cstheme="minorHAnsi"/>
          <w:b/>
          <w:szCs w:val="24"/>
        </w:rPr>
        <w:t>Employee Information (Anonymised)</w:t>
      </w:r>
    </w:p>
    <w:p w14:paraId="489607EC" w14:textId="77777777" w:rsidR="00BC7DDA" w:rsidRPr="00BD6C5F" w:rsidRDefault="009B03E9" w:rsidP="00C53813">
      <w:pPr>
        <w:pStyle w:val="BodyText"/>
        <w:spacing w:before="100" w:after="200"/>
        <w:rPr>
          <w:rFonts w:asciiTheme="minorHAnsi" w:hAnsiTheme="minorHAnsi" w:cstheme="minorHAnsi"/>
        </w:rPr>
      </w:pPr>
      <w:r w:rsidRPr="00BD6C5F">
        <w:rPr>
          <w:rFonts w:asciiTheme="minorHAnsi" w:hAnsiTheme="minorHAnsi" w:cstheme="minorHAnsi"/>
        </w:rPr>
        <w:t>Name of Transferor:</w:t>
      </w:r>
    </w:p>
    <w:p w14:paraId="3EBAD142" w14:textId="77777777" w:rsidR="00BC7DDA" w:rsidRPr="00BD6C5F" w:rsidRDefault="009B03E9" w:rsidP="00C53813">
      <w:pPr>
        <w:pStyle w:val="BodyText"/>
        <w:spacing w:before="100" w:after="200"/>
        <w:rPr>
          <w:rFonts w:asciiTheme="minorHAnsi" w:hAnsiTheme="minorHAnsi" w:cstheme="minorHAnsi"/>
        </w:rPr>
      </w:pPr>
      <w:r w:rsidRPr="00BD6C5F">
        <w:rPr>
          <w:rFonts w:asciiTheme="minorHAnsi" w:hAnsiTheme="minorHAnsi" w:cstheme="minorHAnsi"/>
        </w:rPr>
        <w:t>Number of Employees in-scope to transfer:</w:t>
      </w:r>
    </w:p>
    <w:p w14:paraId="1FFAB9BB" w14:textId="77777777" w:rsidR="00BC7DDA" w:rsidRPr="00BD6C5F" w:rsidRDefault="009B03E9" w:rsidP="00B71FC0">
      <w:pPr>
        <w:pStyle w:val="AppendixText1"/>
        <w:numPr>
          <w:ilvl w:val="0"/>
          <w:numId w:val="167"/>
        </w:numPr>
      </w:pPr>
      <w:r w:rsidRPr="00BD6C5F">
        <w:t>Completion notes</w:t>
      </w:r>
    </w:p>
    <w:p w14:paraId="70B3EBDC" w14:textId="7F1ED4F6" w:rsidR="00BC7DDA" w:rsidRPr="00BD6C5F" w:rsidRDefault="009B03E9" w:rsidP="00C73AC9">
      <w:pPr>
        <w:pStyle w:val="AppendixText2"/>
      </w:pPr>
      <w:r w:rsidRPr="00BD6C5F">
        <w:t>If you have any Key Sub-contractors, please complete all the above information for any staff employed by such Key Sub-contractor(s) in a separate spreadsheet.</w:t>
      </w:r>
    </w:p>
    <w:p w14:paraId="416C4837" w14:textId="33D20E3A" w:rsidR="00BC7DDA" w:rsidRPr="00BD6C5F" w:rsidRDefault="009B03E9" w:rsidP="00C73AC9">
      <w:pPr>
        <w:pStyle w:val="AppendixText2"/>
      </w:pPr>
      <w:r w:rsidRPr="00BD6C5F">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w:t>
      </w:r>
      <w:r w:rsidR="00A4555C" w:rsidRPr="00BD6C5F">
        <w:t>’</w:t>
      </w:r>
      <w:r w:rsidRPr="00BD6C5F">
        <w:t xml:space="preserve"> identities.</w:t>
      </w:r>
    </w:p>
    <w:p w14:paraId="721B3208" w14:textId="1867D3AD" w:rsidR="00BC7DDA" w:rsidRPr="00BD6C5F" w:rsidRDefault="009B03E9" w:rsidP="00C73AC9">
      <w:pPr>
        <w:pStyle w:val="AppendixText2"/>
      </w:pPr>
      <w:r w:rsidRPr="00BD6C5F">
        <w:t>If the information cannot be included on this form, attach the additional information, such as relevant policies, and cross reference to the item number and employee number where appropriate.</w:t>
      </w:r>
    </w:p>
    <w:p w14:paraId="62305FF9" w14:textId="0F67E434" w:rsidR="00327E90" w:rsidRPr="00BD6C5F" w:rsidRDefault="00327E90" w:rsidP="00327E90">
      <w:r w:rsidRPr="00BD6C5F">
        <w:br w:type="page"/>
      </w:r>
    </w:p>
    <w:tbl>
      <w:tblPr>
        <w:tblStyle w:val="MSATable-header"/>
        <w:tblW w:w="15136" w:type="dxa"/>
        <w:tblLayout w:type="fixed"/>
        <w:tblLook w:val="0620" w:firstRow="1" w:lastRow="0" w:firstColumn="0" w:lastColumn="0" w:noHBand="1" w:noVBand="1"/>
      </w:tblPr>
      <w:tblGrid>
        <w:gridCol w:w="1416"/>
        <w:gridCol w:w="1417"/>
        <w:gridCol w:w="1304"/>
        <w:gridCol w:w="1587"/>
        <w:gridCol w:w="906"/>
        <w:gridCol w:w="4252"/>
        <w:gridCol w:w="1701"/>
        <w:gridCol w:w="2553"/>
      </w:tblGrid>
      <w:tr w:rsidR="00C53813" w:rsidRPr="00BD6C5F" w14:paraId="3D1B66A6" w14:textId="77777777" w:rsidTr="00F307AF">
        <w:trPr>
          <w:cnfStyle w:val="100000000000" w:firstRow="1" w:lastRow="0" w:firstColumn="0" w:lastColumn="0" w:oddVBand="0" w:evenVBand="0" w:oddHBand="0" w:evenHBand="0" w:firstRowFirstColumn="0" w:firstRowLastColumn="0" w:lastRowFirstColumn="0" w:lastRowLastColumn="0"/>
          <w:trHeight w:val="20"/>
          <w:tblHeader/>
        </w:trPr>
        <w:tc>
          <w:tcPr>
            <w:tcW w:w="1416" w:type="dxa"/>
            <w:tcBorders>
              <w:top w:val="nil"/>
              <w:left w:val="nil"/>
            </w:tcBorders>
            <w:shd w:val="clear" w:color="auto" w:fill="auto"/>
          </w:tcPr>
          <w:p w14:paraId="40EBFBE8" w14:textId="77777777" w:rsidR="00C53813" w:rsidRPr="00BD6C5F" w:rsidRDefault="00C53813" w:rsidP="00C53813">
            <w:pPr>
              <w:pStyle w:val="Tabletext"/>
              <w:rPr>
                <w:b w:val="0"/>
                <w:bCs/>
              </w:rPr>
            </w:pPr>
          </w:p>
        </w:tc>
        <w:tc>
          <w:tcPr>
            <w:tcW w:w="13720" w:type="dxa"/>
            <w:gridSpan w:val="7"/>
          </w:tcPr>
          <w:p w14:paraId="132993E5" w14:textId="7CED8430" w:rsidR="00C53813" w:rsidRPr="00BD6C5F" w:rsidRDefault="00C53813" w:rsidP="00C53813">
            <w:pPr>
              <w:pStyle w:val="Tabletext"/>
              <w:rPr>
                <w:b w:val="0"/>
                <w:bCs/>
              </w:rPr>
            </w:pPr>
            <w:r w:rsidRPr="00BD6C5F">
              <w:rPr>
                <w:bCs/>
              </w:rPr>
              <w:t xml:space="preserve">EMPLOYEE DETAILS </w:t>
            </w:r>
            <w:r w:rsidR="00E6623F" w:rsidRPr="00BD6C5F">
              <w:rPr>
                <w:bCs/>
              </w:rPr>
              <w:t xml:space="preserve">&amp; </w:t>
            </w:r>
            <w:r w:rsidRPr="00BD6C5F">
              <w:rPr>
                <w:bCs/>
              </w:rPr>
              <w:t>KEY TERMS</w:t>
            </w:r>
          </w:p>
        </w:tc>
      </w:tr>
      <w:tr w:rsidR="00BC7DDA" w:rsidRPr="00BD6C5F" w14:paraId="5303ADF8" w14:textId="77777777" w:rsidTr="00327E90">
        <w:trPr>
          <w:cnfStyle w:val="100000000000" w:firstRow="1" w:lastRow="0" w:firstColumn="0" w:lastColumn="0" w:oddVBand="0" w:evenVBand="0" w:oddHBand="0" w:evenHBand="0" w:firstRowFirstColumn="0" w:firstRowLastColumn="0" w:lastRowFirstColumn="0" w:lastRowLastColumn="0"/>
          <w:trHeight w:val="20"/>
          <w:tblHeader/>
        </w:trPr>
        <w:tc>
          <w:tcPr>
            <w:tcW w:w="1416" w:type="dxa"/>
          </w:tcPr>
          <w:p w14:paraId="57120612" w14:textId="77777777" w:rsidR="00BC7DDA" w:rsidRPr="00BD6C5F" w:rsidRDefault="009B03E9" w:rsidP="00C53813">
            <w:pPr>
              <w:pStyle w:val="Tabletext"/>
              <w:rPr>
                <w:b w:val="0"/>
                <w:bCs/>
              </w:rPr>
            </w:pPr>
            <w:r w:rsidRPr="00BD6C5F">
              <w:rPr>
                <w:bCs/>
              </w:rPr>
              <w:t>Details</w:t>
            </w:r>
          </w:p>
        </w:tc>
        <w:tc>
          <w:tcPr>
            <w:tcW w:w="1417" w:type="dxa"/>
          </w:tcPr>
          <w:p w14:paraId="630159B6" w14:textId="77777777" w:rsidR="00BC7DDA" w:rsidRPr="00BD6C5F" w:rsidRDefault="009B03E9" w:rsidP="00C53813">
            <w:pPr>
              <w:pStyle w:val="Tabletext"/>
              <w:rPr>
                <w:b w:val="0"/>
                <w:bCs/>
              </w:rPr>
            </w:pPr>
            <w:r w:rsidRPr="00BD6C5F">
              <w:rPr>
                <w:bCs/>
              </w:rPr>
              <w:t>Job Title</w:t>
            </w:r>
          </w:p>
        </w:tc>
        <w:tc>
          <w:tcPr>
            <w:tcW w:w="1304" w:type="dxa"/>
          </w:tcPr>
          <w:p w14:paraId="12B7A36D" w14:textId="77777777" w:rsidR="00BC7DDA" w:rsidRPr="00BD6C5F" w:rsidRDefault="009B03E9" w:rsidP="00C53813">
            <w:pPr>
              <w:pStyle w:val="Tabletext"/>
              <w:rPr>
                <w:b w:val="0"/>
                <w:bCs/>
              </w:rPr>
            </w:pPr>
            <w:r w:rsidRPr="00BD6C5F">
              <w:rPr>
                <w:bCs/>
              </w:rPr>
              <w:t>Grade / band</w:t>
            </w:r>
          </w:p>
        </w:tc>
        <w:tc>
          <w:tcPr>
            <w:tcW w:w="1587" w:type="dxa"/>
          </w:tcPr>
          <w:p w14:paraId="24DCDD12" w14:textId="77777777" w:rsidR="00BC7DDA" w:rsidRPr="00BD6C5F" w:rsidRDefault="009B03E9" w:rsidP="00C53813">
            <w:pPr>
              <w:pStyle w:val="Tabletext"/>
              <w:rPr>
                <w:b w:val="0"/>
                <w:bCs/>
              </w:rPr>
            </w:pPr>
            <w:r w:rsidRPr="00BD6C5F">
              <w:rPr>
                <w:bCs/>
              </w:rPr>
              <w:t>Work Location</w:t>
            </w:r>
          </w:p>
        </w:tc>
        <w:tc>
          <w:tcPr>
            <w:tcW w:w="906" w:type="dxa"/>
          </w:tcPr>
          <w:p w14:paraId="1E5E86FA" w14:textId="2B2CB4F5" w:rsidR="00BC7DDA" w:rsidRPr="00BD6C5F" w:rsidRDefault="009807E9" w:rsidP="00C53813">
            <w:pPr>
              <w:pStyle w:val="Tabletext"/>
              <w:rPr>
                <w:b w:val="0"/>
                <w:bCs/>
              </w:rPr>
            </w:pPr>
            <w:r w:rsidRPr="009807E9">
              <w:rPr>
                <w:bCs/>
              </w:rPr>
              <w:t>Date of Birth (dd/mm/yy)</w:t>
            </w:r>
          </w:p>
        </w:tc>
        <w:tc>
          <w:tcPr>
            <w:tcW w:w="4252" w:type="dxa"/>
          </w:tcPr>
          <w:p w14:paraId="2B6CF572" w14:textId="1DF435EC" w:rsidR="00BC7DDA" w:rsidRPr="00BD6C5F" w:rsidRDefault="009B03E9" w:rsidP="00C53813">
            <w:pPr>
              <w:pStyle w:val="Tabletext"/>
              <w:rPr>
                <w:b w:val="0"/>
                <w:bCs/>
              </w:rPr>
            </w:pPr>
            <w:r w:rsidRPr="00BD6C5F">
              <w:rPr>
                <w:bCs/>
              </w:rPr>
              <w:t>Employment status (for example, employee, fixed- term employee, self-employed, agency worker)?</w:t>
            </w:r>
          </w:p>
        </w:tc>
        <w:tc>
          <w:tcPr>
            <w:tcW w:w="1701" w:type="dxa"/>
          </w:tcPr>
          <w:p w14:paraId="37AD6404" w14:textId="77777777" w:rsidR="00BC7DDA" w:rsidRPr="00BD6C5F" w:rsidRDefault="009B03E9" w:rsidP="00C53813">
            <w:pPr>
              <w:pStyle w:val="Tabletext"/>
              <w:rPr>
                <w:b w:val="0"/>
                <w:bCs/>
              </w:rPr>
            </w:pPr>
            <w:r w:rsidRPr="00BD6C5F">
              <w:rPr>
                <w:bCs/>
              </w:rPr>
              <w:t>Continuous service date (dd/mm/yy)</w:t>
            </w:r>
          </w:p>
        </w:tc>
        <w:tc>
          <w:tcPr>
            <w:tcW w:w="2553" w:type="dxa"/>
          </w:tcPr>
          <w:p w14:paraId="411EBB49" w14:textId="77777777" w:rsidR="00BC7DDA" w:rsidRPr="00BD6C5F" w:rsidRDefault="009B03E9" w:rsidP="00C53813">
            <w:pPr>
              <w:pStyle w:val="Tabletext"/>
              <w:rPr>
                <w:b w:val="0"/>
                <w:bCs/>
              </w:rPr>
            </w:pPr>
            <w:r w:rsidRPr="00BD6C5F">
              <w:rPr>
                <w:bCs/>
              </w:rPr>
              <w:t>Date employment started with existing employer</w:t>
            </w:r>
          </w:p>
        </w:tc>
      </w:tr>
      <w:tr w:rsidR="00BC7DDA" w:rsidRPr="00BD6C5F" w14:paraId="245E35E9" w14:textId="77777777" w:rsidTr="00327E90">
        <w:trPr>
          <w:trHeight w:val="680"/>
        </w:trPr>
        <w:tc>
          <w:tcPr>
            <w:tcW w:w="1416" w:type="dxa"/>
          </w:tcPr>
          <w:p w14:paraId="4F35E3C0" w14:textId="77777777" w:rsidR="00BC7DDA" w:rsidRPr="00BD6C5F" w:rsidRDefault="009B03E9" w:rsidP="00C53813">
            <w:pPr>
              <w:pStyle w:val="Tabletext"/>
              <w:rPr>
                <w:b/>
                <w:bCs/>
              </w:rPr>
            </w:pPr>
            <w:r w:rsidRPr="00BD6C5F">
              <w:rPr>
                <w:b/>
                <w:bCs/>
              </w:rPr>
              <w:t>Emp No 1</w:t>
            </w:r>
          </w:p>
        </w:tc>
        <w:tc>
          <w:tcPr>
            <w:tcW w:w="1417" w:type="dxa"/>
          </w:tcPr>
          <w:p w14:paraId="616F22BA" w14:textId="77777777" w:rsidR="00BC7DDA" w:rsidRPr="00BD6C5F" w:rsidRDefault="00BC7DDA" w:rsidP="00C53813">
            <w:pPr>
              <w:pStyle w:val="Tabletext"/>
            </w:pPr>
          </w:p>
        </w:tc>
        <w:tc>
          <w:tcPr>
            <w:tcW w:w="1304" w:type="dxa"/>
          </w:tcPr>
          <w:p w14:paraId="7F941B93" w14:textId="77777777" w:rsidR="00BC7DDA" w:rsidRPr="00BD6C5F" w:rsidRDefault="00BC7DDA" w:rsidP="00C53813">
            <w:pPr>
              <w:pStyle w:val="Tabletext"/>
            </w:pPr>
          </w:p>
        </w:tc>
        <w:tc>
          <w:tcPr>
            <w:tcW w:w="1587" w:type="dxa"/>
          </w:tcPr>
          <w:p w14:paraId="6FF2C6B8" w14:textId="77777777" w:rsidR="00BC7DDA" w:rsidRPr="00BD6C5F" w:rsidRDefault="00BC7DDA" w:rsidP="00C53813">
            <w:pPr>
              <w:pStyle w:val="Tabletext"/>
            </w:pPr>
          </w:p>
        </w:tc>
        <w:tc>
          <w:tcPr>
            <w:tcW w:w="906" w:type="dxa"/>
          </w:tcPr>
          <w:p w14:paraId="4FBE6579" w14:textId="77777777" w:rsidR="00BC7DDA" w:rsidRPr="00BD6C5F" w:rsidRDefault="00BC7DDA" w:rsidP="00C53813">
            <w:pPr>
              <w:pStyle w:val="Tabletext"/>
            </w:pPr>
          </w:p>
        </w:tc>
        <w:tc>
          <w:tcPr>
            <w:tcW w:w="4252" w:type="dxa"/>
          </w:tcPr>
          <w:p w14:paraId="5647AAB2" w14:textId="77777777" w:rsidR="00BC7DDA" w:rsidRPr="00BD6C5F" w:rsidRDefault="00BC7DDA" w:rsidP="00C53813">
            <w:pPr>
              <w:pStyle w:val="Tabletext"/>
            </w:pPr>
          </w:p>
        </w:tc>
        <w:tc>
          <w:tcPr>
            <w:tcW w:w="1701" w:type="dxa"/>
          </w:tcPr>
          <w:p w14:paraId="166C6368" w14:textId="77777777" w:rsidR="00BC7DDA" w:rsidRPr="00BD6C5F" w:rsidRDefault="00BC7DDA" w:rsidP="00C53813">
            <w:pPr>
              <w:pStyle w:val="Tabletext"/>
            </w:pPr>
          </w:p>
        </w:tc>
        <w:tc>
          <w:tcPr>
            <w:tcW w:w="2553" w:type="dxa"/>
          </w:tcPr>
          <w:p w14:paraId="572E401B" w14:textId="77777777" w:rsidR="00BC7DDA" w:rsidRPr="00BD6C5F" w:rsidRDefault="00BC7DDA" w:rsidP="00C53813">
            <w:pPr>
              <w:pStyle w:val="Tabletext"/>
            </w:pPr>
          </w:p>
        </w:tc>
      </w:tr>
      <w:tr w:rsidR="00BC7DDA" w:rsidRPr="00BD6C5F" w14:paraId="0C6399E6" w14:textId="77777777" w:rsidTr="00327E90">
        <w:trPr>
          <w:trHeight w:val="680"/>
        </w:trPr>
        <w:tc>
          <w:tcPr>
            <w:tcW w:w="1416" w:type="dxa"/>
          </w:tcPr>
          <w:p w14:paraId="4D46E6EA" w14:textId="77777777" w:rsidR="00BC7DDA" w:rsidRPr="00BD6C5F" w:rsidRDefault="009B03E9" w:rsidP="00C53813">
            <w:pPr>
              <w:pStyle w:val="Tabletext"/>
              <w:rPr>
                <w:b/>
                <w:bCs/>
              </w:rPr>
            </w:pPr>
            <w:r w:rsidRPr="00BD6C5F">
              <w:rPr>
                <w:b/>
                <w:bCs/>
              </w:rPr>
              <w:t>Emp No 2</w:t>
            </w:r>
          </w:p>
        </w:tc>
        <w:tc>
          <w:tcPr>
            <w:tcW w:w="1417" w:type="dxa"/>
          </w:tcPr>
          <w:p w14:paraId="34156C7C" w14:textId="77777777" w:rsidR="00BC7DDA" w:rsidRPr="00BD6C5F" w:rsidRDefault="00BC7DDA" w:rsidP="00C53813">
            <w:pPr>
              <w:pStyle w:val="Tabletext"/>
            </w:pPr>
          </w:p>
        </w:tc>
        <w:tc>
          <w:tcPr>
            <w:tcW w:w="1304" w:type="dxa"/>
          </w:tcPr>
          <w:p w14:paraId="34EFA3D8" w14:textId="77777777" w:rsidR="00BC7DDA" w:rsidRPr="00BD6C5F" w:rsidRDefault="00BC7DDA" w:rsidP="00C53813">
            <w:pPr>
              <w:pStyle w:val="Tabletext"/>
            </w:pPr>
          </w:p>
        </w:tc>
        <w:tc>
          <w:tcPr>
            <w:tcW w:w="1587" w:type="dxa"/>
          </w:tcPr>
          <w:p w14:paraId="686D644B" w14:textId="77777777" w:rsidR="00BC7DDA" w:rsidRPr="00BD6C5F" w:rsidRDefault="00BC7DDA" w:rsidP="00C53813">
            <w:pPr>
              <w:pStyle w:val="Tabletext"/>
            </w:pPr>
          </w:p>
        </w:tc>
        <w:tc>
          <w:tcPr>
            <w:tcW w:w="906" w:type="dxa"/>
          </w:tcPr>
          <w:p w14:paraId="47AD6E62" w14:textId="77777777" w:rsidR="00BC7DDA" w:rsidRPr="00BD6C5F" w:rsidRDefault="00BC7DDA" w:rsidP="00C53813">
            <w:pPr>
              <w:pStyle w:val="Tabletext"/>
            </w:pPr>
          </w:p>
        </w:tc>
        <w:tc>
          <w:tcPr>
            <w:tcW w:w="4252" w:type="dxa"/>
          </w:tcPr>
          <w:p w14:paraId="637076F9" w14:textId="77777777" w:rsidR="00BC7DDA" w:rsidRPr="00BD6C5F" w:rsidRDefault="00BC7DDA" w:rsidP="00C53813">
            <w:pPr>
              <w:pStyle w:val="Tabletext"/>
            </w:pPr>
          </w:p>
        </w:tc>
        <w:tc>
          <w:tcPr>
            <w:tcW w:w="1701" w:type="dxa"/>
          </w:tcPr>
          <w:p w14:paraId="6C911256" w14:textId="77777777" w:rsidR="00BC7DDA" w:rsidRPr="00BD6C5F" w:rsidRDefault="00BC7DDA" w:rsidP="00C53813">
            <w:pPr>
              <w:pStyle w:val="Tabletext"/>
            </w:pPr>
          </w:p>
        </w:tc>
        <w:tc>
          <w:tcPr>
            <w:tcW w:w="2553" w:type="dxa"/>
          </w:tcPr>
          <w:p w14:paraId="14794BF4" w14:textId="77777777" w:rsidR="00BC7DDA" w:rsidRPr="00BD6C5F" w:rsidRDefault="00BC7DDA" w:rsidP="00C53813">
            <w:pPr>
              <w:pStyle w:val="Tabletext"/>
            </w:pPr>
          </w:p>
        </w:tc>
      </w:tr>
      <w:tr w:rsidR="00BC7DDA" w:rsidRPr="00BD6C5F" w14:paraId="0C5BFADA" w14:textId="77777777" w:rsidTr="00327E90">
        <w:trPr>
          <w:trHeight w:val="680"/>
        </w:trPr>
        <w:tc>
          <w:tcPr>
            <w:tcW w:w="1416" w:type="dxa"/>
          </w:tcPr>
          <w:p w14:paraId="6413C041" w14:textId="77777777" w:rsidR="00BC7DDA" w:rsidRPr="00BD6C5F" w:rsidRDefault="009B03E9" w:rsidP="00C53813">
            <w:pPr>
              <w:pStyle w:val="Tabletext"/>
              <w:rPr>
                <w:b/>
                <w:bCs/>
              </w:rPr>
            </w:pPr>
            <w:r w:rsidRPr="00BD6C5F">
              <w:rPr>
                <w:b/>
                <w:bCs/>
              </w:rPr>
              <w:t>Emp No</w:t>
            </w:r>
          </w:p>
        </w:tc>
        <w:tc>
          <w:tcPr>
            <w:tcW w:w="1417" w:type="dxa"/>
          </w:tcPr>
          <w:p w14:paraId="64C36430" w14:textId="77777777" w:rsidR="00BC7DDA" w:rsidRPr="00BD6C5F" w:rsidRDefault="00BC7DDA" w:rsidP="00C53813">
            <w:pPr>
              <w:pStyle w:val="Tabletext"/>
            </w:pPr>
          </w:p>
        </w:tc>
        <w:tc>
          <w:tcPr>
            <w:tcW w:w="1304" w:type="dxa"/>
          </w:tcPr>
          <w:p w14:paraId="36E778D4" w14:textId="77777777" w:rsidR="00BC7DDA" w:rsidRPr="00BD6C5F" w:rsidRDefault="00BC7DDA" w:rsidP="00C53813">
            <w:pPr>
              <w:pStyle w:val="Tabletext"/>
            </w:pPr>
          </w:p>
        </w:tc>
        <w:tc>
          <w:tcPr>
            <w:tcW w:w="1587" w:type="dxa"/>
          </w:tcPr>
          <w:p w14:paraId="69132C5D" w14:textId="77777777" w:rsidR="00BC7DDA" w:rsidRPr="00BD6C5F" w:rsidRDefault="00BC7DDA" w:rsidP="00C53813">
            <w:pPr>
              <w:pStyle w:val="Tabletext"/>
            </w:pPr>
          </w:p>
        </w:tc>
        <w:tc>
          <w:tcPr>
            <w:tcW w:w="906" w:type="dxa"/>
          </w:tcPr>
          <w:p w14:paraId="1F99D357" w14:textId="77777777" w:rsidR="00BC7DDA" w:rsidRPr="00BD6C5F" w:rsidRDefault="00BC7DDA" w:rsidP="00C53813">
            <w:pPr>
              <w:pStyle w:val="Tabletext"/>
            </w:pPr>
          </w:p>
        </w:tc>
        <w:tc>
          <w:tcPr>
            <w:tcW w:w="4252" w:type="dxa"/>
          </w:tcPr>
          <w:p w14:paraId="6B4D6521" w14:textId="77777777" w:rsidR="00BC7DDA" w:rsidRPr="00BD6C5F" w:rsidRDefault="00BC7DDA" w:rsidP="00C53813">
            <w:pPr>
              <w:pStyle w:val="Tabletext"/>
            </w:pPr>
          </w:p>
        </w:tc>
        <w:tc>
          <w:tcPr>
            <w:tcW w:w="1701" w:type="dxa"/>
          </w:tcPr>
          <w:p w14:paraId="132D897E" w14:textId="77777777" w:rsidR="00BC7DDA" w:rsidRPr="00BD6C5F" w:rsidRDefault="00BC7DDA" w:rsidP="00C53813">
            <w:pPr>
              <w:pStyle w:val="Tabletext"/>
            </w:pPr>
          </w:p>
        </w:tc>
        <w:tc>
          <w:tcPr>
            <w:tcW w:w="2553" w:type="dxa"/>
          </w:tcPr>
          <w:p w14:paraId="55006CD5" w14:textId="77777777" w:rsidR="00BC7DDA" w:rsidRPr="00BD6C5F" w:rsidRDefault="00BC7DDA" w:rsidP="00C53813">
            <w:pPr>
              <w:pStyle w:val="Tabletext"/>
            </w:pPr>
          </w:p>
        </w:tc>
      </w:tr>
      <w:tr w:rsidR="00BC7DDA" w:rsidRPr="00BD6C5F" w14:paraId="6C72F758" w14:textId="77777777" w:rsidTr="00327E90">
        <w:trPr>
          <w:trHeight w:val="680"/>
        </w:trPr>
        <w:tc>
          <w:tcPr>
            <w:tcW w:w="1416" w:type="dxa"/>
          </w:tcPr>
          <w:p w14:paraId="3FB33E02" w14:textId="77777777" w:rsidR="00BC7DDA" w:rsidRPr="00BD6C5F" w:rsidRDefault="009B03E9" w:rsidP="00C53813">
            <w:pPr>
              <w:pStyle w:val="Tabletext"/>
              <w:rPr>
                <w:b/>
                <w:bCs/>
              </w:rPr>
            </w:pPr>
            <w:r w:rsidRPr="00BD6C5F">
              <w:rPr>
                <w:b/>
                <w:bCs/>
              </w:rPr>
              <w:t>Emp No</w:t>
            </w:r>
          </w:p>
        </w:tc>
        <w:tc>
          <w:tcPr>
            <w:tcW w:w="1417" w:type="dxa"/>
          </w:tcPr>
          <w:p w14:paraId="5A5EB123" w14:textId="77777777" w:rsidR="00BC7DDA" w:rsidRPr="00BD6C5F" w:rsidRDefault="00BC7DDA" w:rsidP="00C53813">
            <w:pPr>
              <w:pStyle w:val="Tabletext"/>
            </w:pPr>
          </w:p>
        </w:tc>
        <w:tc>
          <w:tcPr>
            <w:tcW w:w="1304" w:type="dxa"/>
          </w:tcPr>
          <w:p w14:paraId="7DBE6075" w14:textId="77777777" w:rsidR="00BC7DDA" w:rsidRPr="00BD6C5F" w:rsidRDefault="00BC7DDA" w:rsidP="00C53813">
            <w:pPr>
              <w:pStyle w:val="Tabletext"/>
            </w:pPr>
          </w:p>
        </w:tc>
        <w:tc>
          <w:tcPr>
            <w:tcW w:w="1587" w:type="dxa"/>
          </w:tcPr>
          <w:p w14:paraId="0B87530E" w14:textId="77777777" w:rsidR="00BC7DDA" w:rsidRPr="00BD6C5F" w:rsidRDefault="00BC7DDA" w:rsidP="00C53813">
            <w:pPr>
              <w:pStyle w:val="Tabletext"/>
            </w:pPr>
          </w:p>
        </w:tc>
        <w:tc>
          <w:tcPr>
            <w:tcW w:w="906" w:type="dxa"/>
          </w:tcPr>
          <w:p w14:paraId="6189FEF3" w14:textId="77777777" w:rsidR="00BC7DDA" w:rsidRPr="00BD6C5F" w:rsidRDefault="00BC7DDA" w:rsidP="00C53813">
            <w:pPr>
              <w:pStyle w:val="Tabletext"/>
            </w:pPr>
          </w:p>
        </w:tc>
        <w:tc>
          <w:tcPr>
            <w:tcW w:w="4252" w:type="dxa"/>
          </w:tcPr>
          <w:p w14:paraId="06069955" w14:textId="77777777" w:rsidR="00BC7DDA" w:rsidRPr="00BD6C5F" w:rsidRDefault="00BC7DDA" w:rsidP="00C53813">
            <w:pPr>
              <w:pStyle w:val="Tabletext"/>
            </w:pPr>
          </w:p>
        </w:tc>
        <w:tc>
          <w:tcPr>
            <w:tcW w:w="1701" w:type="dxa"/>
          </w:tcPr>
          <w:p w14:paraId="4634F851" w14:textId="77777777" w:rsidR="00BC7DDA" w:rsidRPr="00BD6C5F" w:rsidRDefault="00BC7DDA" w:rsidP="00C53813">
            <w:pPr>
              <w:pStyle w:val="Tabletext"/>
            </w:pPr>
          </w:p>
        </w:tc>
        <w:tc>
          <w:tcPr>
            <w:tcW w:w="2553" w:type="dxa"/>
          </w:tcPr>
          <w:p w14:paraId="79271C3B" w14:textId="77777777" w:rsidR="00BC7DDA" w:rsidRPr="00BD6C5F" w:rsidRDefault="00BC7DDA" w:rsidP="00C53813">
            <w:pPr>
              <w:pStyle w:val="Tabletext"/>
            </w:pPr>
          </w:p>
        </w:tc>
      </w:tr>
      <w:tr w:rsidR="00BC7DDA" w:rsidRPr="00BD6C5F" w14:paraId="045437C4" w14:textId="77777777" w:rsidTr="00327E90">
        <w:trPr>
          <w:trHeight w:val="680"/>
        </w:trPr>
        <w:tc>
          <w:tcPr>
            <w:tcW w:w="1416" w:type="dxa"/>
          </w:tcPr>
          <w:p w14:paraId="1187EB2D" w14:textId="77777777" w:rsidR="00BC7DDA" w:rsidRPr="00BD6C5F" w:rsidRDefault="009B03E9" w:rsidP="00C53813">
            <w:pPr>
              <w:pStyle w:val="Tabletext"/>
              <w:rPr>
                <w:b/>
                <w:bCs/>
              </w:rPr>
            </w:pPr>
            <w:r w:rsidRPr="00BD6C5F">
              <w:rPr>
                <w:b/>
                <w:bCs/>
              </w:rPr>
              <w:t>Emp No</w:t>
            </w:r>
          </w:p>
        </w:tc>
        <w:tc>
          <w:tcPr>
            <w:tcW w:w="1417" w:type="dxa"/>
          </w:tcPr>
          <w:p w14:paraId="2655C8BC" w14:textId="77777777" w:rsidR="00BC7DDA" w:rsidRPr="00BD6C5F" w:rsidRDefault="00BC7DDA" w:rsidP="00C53813">
            <w:pPr>
              <w:pStyle w:val="Tabletext"/>
            </w:pPr>
          </w:p>
        </w:tc>
        <w:tc>
          <w:tcPr>
            <w:tcW w:w="1304" w:type="dxa"/>
          </w:tcPr>
          <w:p w14:paraId="44028E4B" w14:textId="77777777" w:rsidR="00BC7DDA" w:rsidRPr="00BD6C5F" w:rsidRDefault="00BC7DDA" w:rsidP="00C53813">
            <w:pPr>
              <w:pStyle w:val="Tabletext"/>
            </w:pPr>
          </w:p>
        </w:tc>
        <w:tc>
          <w:tcPr>
            <w:tcW w:w="1587" w:type="dxa"/>
          </w:tcPr>
          <w:p w14:paraId="31199D5A" w14:textId="77777777" w:rsidR="00BC7DDA" w:rsidRPr="00BD6C5F" w:rsidRDefault="00BC7DDA" w:rsidP="00C53813">
            <w:pPr>
              <w:pStyle w:val="Tabletext"/>
            </w:pPr>
          </w:p>
        </w:tc>
        <w:tc>
          <w:tcPr>
            <w:tcW w:w="906" w:type="dxa"/>
          </w:tcPr>
          <w:p w14:paraId="3EB651D3" w14:textId="77777777" w:rsidR="00BC7DDA" w:rsidRPr="00BD6C5F" w:rsidRDefault="00BC7DDA" w:rsidP="00C53813">
            <w:pPr>
              <w:pStyle w:val="Tabletext"/>
            </w:pPr>
          </w:p>
        </w:tc>
        <w:tc>
          <w:tcPr>
            <w:tcW w:w="4252" w:type="dxa"/>
          </w:tcPr>
          <w:p w14:paraId="736DD41B" w14:textId="77777777" w:rsidR="00BC7DDA" w:rsidRPr="00BD6C5F" w:rsidRDefault="00BC7DDA" w:rsidP="00C53813">
            <w:pPr>
              <w:pStyle w:val="Tabletext"/>
            </w:pPr>
          </w:p>
        </w:tc>
        <w:tc>
          <w:tcPr>
            <w:tcW w:w="1701" w:type="dxa"/>
          </w:tcPr>
          <w:p w14:paraId="576F0273" w14:textId="77777777" w:rsidR="00BC7DDA" w:rsidRPr="00BD6C5F" w:rsidRDefault="00BC7DDA" w:rsidP="00C53813">
            <w:pPr>
              <w:pStyle w:val="Tabletext"/>
            </w:pPr>
          </w:p>
        </w:tc>
        <w:tc>
          <w:tcPr>
            <w:tcW w:w="2553" w:type="dxa"/>
          </w:tcPr>
          <w:p w14:paraId="58BDCC51" w14:textId="77777777" w:rsidR="00BC7DDA" w:rsidRPr="00BD6C5F" w:rsidRDefault="00BC7DDA" w:rsidP="00C53813">
            <w:pPr>
              <w:pStyle w:val="Tabletext"/>
            </w:pPr>
          </w:p>
        </w:tc>
      </w:tr>
      <w:tr w:rsidR="00BC7DDA" w:rsidRPr="00BD6C5F" w14:paraId="6990003D" w14:textId="77777777" w:rsidTr="00327E90">
        <w:trPr>
          <w:trHeight w:val="680"/>
        </w:trPr>
        <w:tc>
          <w:tcPr>
            <w:tcW w:w="1416" w:type="dxa"/>
          </w:tcPr>
          <w:p w14:paraId="2DEC02BE" w14:textId="77777777" w:rsidR="00BC7DDA" w:rsidRPr="00BD6C5F" w:rsidRDefault="009B03E9" w:rsidP="00C53813">
            <w:pPr>
              <w:pStyle w:val="Tabletext"/>
              <w:rPr>
                <w:b/>
                <w:bCs/>
              </w:rPr>
            </w:pPr>
            <w:r w:rsidRPr="00BD6C5F">
              <w:rPr>
                <w:b/>
                <w:bCs/>
              </w:rPr>
              <w:t>Emp No</w:t>
            </w:r>
          </w:p>
        </w:tc>
        <w:tc>
          <w:tcPr>
            <w:tcW w:w="1417" w:type="dxa"/>
          </w:tcPr>
          <w:p w14:paraId="5231F0C3" w14:textId="77777777" w:rsidR="00BC7DDA" w:rsidRPr="00BD6C5F" w:rsidRDefault="00BC7DDA" w:rsidP="00C53813">
            <w:pPr>
              <w:pStyle w:val="Tabletext"/>
            </w:pPr>
          </w:p>
        </w:tc>
        <w:tc>
          <w:tcPr>
            <w:tcW w:w="1304" w:type="dxa"/>
          </w:tcPr>
          <w:p w14:paraId="60EE5C74" w14:textId="77777777" w:rsidR="00BC7DDA" w:rsidRPr="00BD6C5F" w:rsidRDefault="00BC7DDA" w:rsidP="00C53813">
            <w:pPr>
              <w:pStyle w:val="Tabletext"/>
            </w:pPr>
          </w:p>
        </w:tc>
        <w:tc>
          <w:tcPr>
            <w:tcW w:w="1587" w:type="dxa"/>
          </w:tcPr>
          <w:p w14:paraId="335DB265" w14:textId="77777777" w:rsidR="00BC7DDA" w:rsidRPr="00BD6C5F" w:rsidRDefault="00BC7DDA" w:rsidP="00C53813">
            <w:pPr>
              <w:pStyle w:val="Tabletext"/>
            </w:pPr>
          </w:p>
        </w:tc>
        <w:tc>
          <w:tcPr>
            <w:tcW w:w="906" w:type="dxa"/>
          </w:tcPr>
          <w:p w14:paraId="2C91A7E1" w14:textId="77777777" w:rsidR="00BC7DDA" w:rsidRPr="00BD6C5F" w:rsidRDefault="00BC7DDA" w:rsidP="00C53813">
            <w:pPr>
              <w:pStyle w:val="Tabletext"/>
            </w:pPr>
          </w:p>
        </w:tc>
        <w:tc>
          <w:tcPr>
            <w:tcW w:w="4252" w:type="dxa"/>
          </w:tcPr>
          <w:p w14:paraId="6AE23EBF" w14:textId="77777777" w:rsidR="00BC7DDA" w:rsidRPr="00BD6C5F" w:rsidRDefault="00BC7DDA" w:rsidP="00C53813">
            <w:pPr>
              <w:pStyle w:val="Tabletext"/>
            </w:pPr>
          </w:p>
        </w:tc>
        <w:tc>
          <w:tcPr>
            <w:tcW w:w="1701" w:type="dxa"/>
          </w:tcPr>
          <w:p w14:paraId="048E27B1" w14:textId="77777777" w:rsidR="00BC7DDA" w:rsidRPr="00BD6C5F" w:rsidRDefault="00BC7DDA" w:rsidP="00C53813">
            <w:pPr>
              <w:pStyle w:val="Tabletext"/>
            </w:pPr>
          </w:p>
        </w:tc>
        <w:tc>
          <w:tcPr>
            <w:tcW w:w="2553" w:type="dxa"/>
          </w:tcPr>
          <w:p w14:paraId="5C955FFB" w14:textId="77777777" w:rsidR="00BC7DDA" w:rsidRPr="00BD6C5F" w:rsidRDefault="00BC7DDA" w:rsidP="00C53813">
            <w:pPr>
              <w:pStyle w:val="Tabletext"/>
            </w:pPr>
          </w:p>
        </w:tc>
      </w:tr>
      <w:tr w:rsidR="00BC7DDA" w:rsidRPr="00BD6C5F" w14:paraId="374A87F9" w14:textId="77777777" w:rsidTr="00327E90">
        <w:trPr>
          <w:trHeight w:val="680"/>
        </w:trPr>
        <w:tc>
          <w:tcPr>
            <w:tcW w:w="1416" w:type="dxa"/>
          </w:tcPr>
          <w:p w14:paraId="54661F1E" w14:textId="77777777" w:rsidR="00BC7DDA" w:rsidRPr="00BD6C5F" w:rsidRDefault="009B03E9" w:rsidP="00C53813">
            <w:pPr>
              <w:pStyle w:val="Tabletext"/>
              <w:rPr>
                <w:b/>
                <w:bCs/>
              </w:rPr>
            </w:pPr>
            <w:r w:rsidRPr="00BD6C5F">
              <w:rPr>
                <w:b/>
                <w:bCs/>
              </w:rPr>
              <w:t>Emp No</w:t>
            </w:r>
          </w:p>
        </w:tc>
        <w:tc>
          <w:tcPr>
            <w:tcW w:w="1417" w:type="dxa"/>
          </w:tcPr>
          <w:p w14:paraId="6CC49E82" w14:textId="77777777" w:rsidR="00BC7DDA" w:rsidRPr="00BD6C5F" w:rsidRDefault="00BC7DDA" w:rsidP="00C53813">
            <w:pPr>
              <w:pStyle w:val="Tabletext"/>
            </w:pPr>
          </w:p>
        </w:tc>
        <w:tc>
          <w:tcPr>
            <w:tcW w:w="1304" w:type="dxa"/>
          </w:tcPr>
          <w:p w14:paraId="4E01CE8C" w14:textId="77777777" w:rsidR="00BC7DDA" w:rsidRPr="00BD6C5F" w:rsidRDefault="00BC7DDA" w:rsidP="00C53813">
            <w:pPr>
              <w:pStyle w:val="Tabletext"/>
            </w:pPr>
          </w:p>
        </w:tc>
        <w:tc>
          <w:tcPr>
            <w:tcW w:w="1587" w:type="dxa"/>
          </w:tcPr>
          <w:p w14:paraId="365DAB4C" w14:textId="77777777" w:rsidR="00BC7DDA" w:rsidRPr="00BD6C5F" w:rsidRDefault="00BC7DDA" w:rsidP="00C53813">
            <w:pPr>
              <w:pStyle w:val="Tabletext"/>
            </w:pPr>
          </w:p>
        </w:tc>
        <w:tc>
          <w:tcPr>
            <w:tcW w:w="906" w:type="dxa"/>
          </w:tcPr>
          <w:p w14:paraId="428165AA" w14:textId="77777777" w:rsidR="00BC7DDA" w:rsidRPr="00BD6C5F" w:rsidRDefault="00BC7DDA" w:rsidP="00C53813">
            <w:pPr>
              <w:pStyle w:val="Tabletext"/>
            </w:pPr>
          </w:p>
        </w:tc>
        <w:tc>
          <w:tcPr>
            <w:tcW w:w="4252" w:type="dxa"/>
          </w:tcPr>
          <w:p w14:paraId="7926098A" w14:textId="77777777" w:rsidR="00BC7DDA" w:rsidRPr="00BD6C5F" w:rsidRDefault="00BC7DDA" w:rsidP="00C53813">
            <w:pPr>
              <w:pStyle w:val="Tabletext"/>
            </w:pPr>
          </w:p>
        </w:tc>
        <w:tc>
          <w:tcPr>
            <w:tcW w:w="1701" w:type="dxa"/>
          </w:tcPr>
          <w:p w14:paraId="4348EAB8" w14:textId="77777777" w:rsidR="00BC7DDA" w:rsidRPr="00BD6C5F" w:rsidRDefault="00BC7DDA" w:rsidP="00C53813">
            <w:pPr>
              <w:pStyle w:val="Tabletext"/>
            </w:pPr>
          </w:p>
        </w:tc>
        <w:tc>
          <w:tcPr>
            <w:tcW w:w="2553" w:type="dxa"/>
          </w:tcPr>
          <w:p w14:paraId="5F616AC9" w14:textId="77777777" w:rsidR="00BC7DDA" w:rsidRPr="00BD6C5F" w:rsidRDefault="00BC7DDA" w:rsidP="00C53813">
            <w:pPr>
              <w:pStyle w:val="Tabletext"/>
            </w:pPr>
          </w:p>
        </w:tc>
      </w:tr>
      <w:tr w:rsidR="00BC7DDA" w:rsidRPr="00BD6C5F" w14:paraId="5F656808" w14:textId="77777777" w:rsidTr="00327E90">
        <w:trPr>
          <w:trHeight w:val="680"/>
        </w:trPr>
        <w:tc>
          <w:tcPr>
            <w:tcW w:w="1416" w:type="dxa"/>
          </w:tcPr>
          <w:p w14:paraId="414F24F6" w14:textId="77777777" w:rsidR="00BC7DDA" w:rsidRPr="00BD6C5F" w:rsidRDefault="009B03E9" w:rsidP="00C53813">
            <w:pPr>
              <w:pStyle w:val="Tabletext"/>
              <w:rPr>
                <w:b/>
                <w:bCs/>
              </w:rPr>
            </w:pPr>
            <w:r w:rsidRPr="00BD6C5F">
              <w:rPr>
                <w:b/>
                <w:bCs/>
              </w:rPr>
              <w:t>Emp No</w:t>
            </w:r>
          </w:p>
        </w:tc>
        <w:tc>
          <w:tcPr>
            <w:tcW w:w="1417" w:type="dxa"/>
          </w:tcPr>
          <w:p w14:paraId="1449D27A" w14:textId="77777777" w:rsidR="00BC7DDA" w:rsidRPr="00BD6C5F" w:rsidRDefault="00BC7DDA" w:rsidP="00C53813">
            <w:pPr>
              <w:pStyle w:val="Tabletext"/>
            </w:pPr>
          </w:p>
        </w:tc>
        <w:tc>
          <w:tcPr>
            <w:tcW w:w="1304" w:type="dxa"/>
          </w:tcPr>
          <w:p w14:paraId="6F1C5561" w14:textId="77777777" w:rsidR="00BC7DDA" w:rsidRPr="00BD6C5F" w:rsidRDefault="00BC7DDA" w:rsidP="00C53813">
            <w:pPr>
              <w:pStyle w:val="Tabletext"/>
            </w:pPr>
          </w:p>
        </w:tc>
        <w:tc>
          <w:tcPr>
            <w:tcW w:w="1587" w:type="dxa"/>
          </w:tcPr>
          <w:p w14:paraId="2D0459E2" w14:textId="77777777" w:rsidR="00BC7DDA" w:rsidRPr="00BD6C5F" w:rsidRDefault="00BC7DDA" w:rsidP="00C53813">
            <w:pPr>
              <w:pStyle w:val="Tabletext"/>
            </w:pPr>
          </w:p>
        </w:tc>
        <w:tc>
          <w:tcPr>
            <w:tcW w:w="906" w:type="dxa"/>
          </w:tcPr>
          <w:p w14:paraId="1AF8FF75" w14:textId="77777777" w:rsidR="00BC7DDA" w:rsidRPr="00BD6C5F" w:rsidRDefault="00BC7DDA" w:rsidP="00C53813">
            <w:pPr>
              <w:pStyle w:val="Tabletext"/>
            </w:pPr>
          </w:p>
        </w:tc>
        <w:tc>
          <w:tcPr>
            <w:tcW w:w="4252" w:type="dxa"/>
          </w:tcPr>
          <w:p w14:paraId="5D6CE280" w14:textId="77777777" w:rsidR="00BC7DDA" w:rsidRPr="00BD6C5F" w:rsidRDefault="00BC7DDA" w:rsidP="00C53813">
            <w:pPr>
              <w:pStyle w:val="Tabletext"/>
            </w:pPr>
          </w:p>
        </w:tc>
        <w:tc>
          <w:tcPr>
            <w:tcW w:w="1701" w:type="dxa"/>
          </w:tcPr>
          <w:p w14:paraId="353A2EC7" w14:textId="77777777" w:rsidR="00BC7DDA" w:rsidRPr="00BD6C5F" w:rsidRDefault="00BC7DDA" w:rsidP="00C53813">
            <w:pPr>
              <w:pStyle w:val="Tabletext"/>
            </w:pPr>
          </w:p>
        </w:tc>
        <w:tc>
          <w:tcPr>
            <w:tcW w:w="2553" w:type="dxa"/>
          </w:tcPr>
          <w:p w14:paraId="14215FD0" w14:textId="77777777" w:rsidR="00BC7DDA" w:rsidRPr="00BD6C5F" w:rsidRDefault="00BC7DDA" w:rsidP="00C53813">
            <w:pPr>
              <w:pStyle w:val="Tabletext"/>
            </w:pPr>
          </w:p>
        </w:tc>
      </w:tr>
    </w:tbl>
    <w:p w14:paraId="6346FFFA" w14:textId="19C17BAD" w:rsidR="00BC7DDA" w:rsidRPr="00BD6C5F" w:rsidRDefault="00BC7DDA" w:rsidP="00C53813"/>
    <w:tbl>
      <w:tblPr>
        <w:tblStyle w:val="MSATable-header"/>
        <w:tblW w:w="15136" w:type="dxa"/>
        <w:tblLayout w:type="fixed"/>
        <w:tblLook w:val="0620" w:firstRow="1" w:lastRow="0" w:firstColumn="0" w:lastColumn="0" w:noHBand="1" w:noVBand="1"/>
      </w:tblPr>
      <w:tblGrid>
        <w:gridCol w:w="1416"/>
        <w:gridCol w:w="1757"/>
        <w:gridCol w:w="1757"/>
        <w:gridCol w:w="1587"/>
        <w:gridCol w:w="1361"/>
        <w:gridCol w:w="1701"/>
        <w:gridCol w:w="3685"/>
        <w:gridCol w:w="1872"/>
      </w:tblGrid>
      <w:tr w:rsidR="00BC7DDA" w:rsidRPr="00BD6C5F" w14:paraId="6EF7F8C6"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Borders>
              <w:top w:val="nil"/>
              <w:left w:val="nil"/>
            </w:tcBorders>
            <w:shd w:val="clear" w:color="auto" w:fill="auto"/>
          </w:tcPr>
          <w:p w14:paraId="35D70605" w14:textId="77777777" w:rsidR="00BC7DDA" w:rsidRPr="00BD6C5F" w:rsidRDefault="00BC7DDA" w:rsidP="00C53813">
            <w:pPr>
              <w:pStyle w:val="Tabletext"/>
              <w:rPr>
                <w:rFonts w:asciiTheme="minorHAnsi" w:hAnsiTheme="minorHAnsi" w:cstheme="minorHAnsi"/>
              </w:rPr>
            </w:pPr>
          </w:p>
        </w:tc>
        <w:tc>
          <w:tcPr>
            <w:tcW w:w="13720" w:type="dxa"/>
            <w:gridSpan w:val="7"/>
          </w:tcPr>
          <w:p w14:paraId="150EAC62" w14:textId="77777777" w:rsidR="00BC7DDA" w:rsidRPr="00BD6C5F" w:rsidRDefault="009B03E9" w:rsidP="00C53813">
            <w:pPr>
              <w:pStyle w:val="Tabletext"/>
              <w:rPr>
                <w:b w:val="0"/>
                <w:bCs/>
              </w:rPr>
            </w:pPr>
            <w:r w:rsidRPr="00BD6C5F">
              <w:rPr>
                <w:bCs/>
              </w:rPr>
              <w:t>EMPLOYEE DETAILS &amp; KEY TERMS</w:t>
            </w:r>
          </w:p>
        </w:tc>
      </w:tr>
      <w:tr w:rsidR="00C53813" w:rsidRPr="00BD6C5F" w14:paraId="76FA10A2"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Pr>
          <w:p w14:paraId="0FB9737C" w14:textId="77777777" w:rsidR="00BC7DDA" w:rsidRPr="00BD6C5F" w:rsidRDefault="009B03E9" w:rsidP="00C53813">
            <w:pPr>
              <w:pStyle w:val="Tabletext"/>
              <w:rPr>
                <w:b w:val="0"/>
                <w:bCs/>
              </w:rPr>
            </w:pPr>
            <w:r w:rsidRPr="00BD6C5F">
              <w:rPr>
                <w:bCs/>
              </w:rPr>
              <w:t>Details</w:t>
            </w:r>
          </w:p>
        </w:tc>
        <w:tc>
          <w:tcPr>
            <w:tcW w:w="1757" w:type="dxa"/>
          </w:tcPr>
          <w:p w14:paraId="58901FA2" w14:textId="77777777" w:rsidR="00BC7DDA" w:rsidRPr="00BD6C5F" w:rsidRDefault="009B03E9" w:rsidP="00C53813">
            <w:pPr>
              <w:pStyle w:val="Tabletext"/>
              <w:rPr>
                <w:b w:val="0"/>
                <w:bCs/>
              </w:rPr>
            </w:pPr>
            <w:r w:rsidRPr="00BD6C5F">
              <w:rPr>
                <w:bCs/>
              </w:rPr>
              <w:t>Contract end date (if fixed term contract or temporary contract)</w:t>
            </w:r>
          </w:p>
        </w:tc>
        <w:tc>
          <w:tcPr>
            <w:tcW w:w="1757" w:type="dxa"/>
          </w:tcPr>
          <w:p w14:paraId="75A794CF" w14:textId="77777777" w:rsidR="00BC7DDA" w:rsidRPr="00BD6C5F" w:rsidRDefault="009B03E9" w:rsidP="00C53813">
            <w:pPr>
              <w:pStyle w:val="Tabletext"/>
              <w:rPr>
                <w:b w:val="0"/>
                <w:bCs/>
              </w:rPr>
            </w:pPr>
            <w:r w:rsidRPr="00BD6C5F">
              <w:rPr>
                <w:bCs/>
              </w:rPr>
              <w:t>Contractual notice period</w:t>
            </w:r>
          </w:p>
        </w:tc>
        <w:tc>
          <w:tcPr>
            <w:tcW w:w="1587" w:type="dxa"/>
          </w:tcPr>
          <w:p w14:paraId="15928D49" w14:textId="77777777" w:rsidR="00BC7DDA" w:rsidRPr="00BD6C5F" w:rsidRDefault="009B03E9" w:rsidP="00C53813">
            <w:pPr>
              <w:pStyle w:val="Tabletext"/>
              <w:rPr>
                <w:b w:val="0"/>
                <w:bCs/>
              </w:rPr>
            </w:pPr>
            <w:r w:rsidRPr="00BD6C5F">
              <w:rPr>
                <w:bCs/>
              </w:rPr>
              <w:t>Contractual weekly hours</w:t>
            </w:r>
          </w:p>
        </w:tc>
        <w:tc>
          <w:tcPr>
            <w:tcW w:w="1361" w:type="dxa"/>
          </w:tcPr>
          <w:p w14:paraId="49F136A3" w14:textId="77777777" w:rsidR="00BC7DDA" w:rsidRPr="00BD6C5F" w:rsidRDefault="009B03E9" w:rsidP="00C53813">
            <w:pPr>
              <w:pStyle w:val="Tabletext"/>
              <w:rPr>
                <w:b w:val="0"/>
                <w:bCs/>
              </w:rPr>
            </w:pPr>
            <w:r w:rsidRPr="00BD6C5F">
              <w:rPr>
                <w:bCs/>
              </w:rPr>
              <w:t>Regular overtime hours per week</w:t>
            </w:r>
          </w:p>
        </w:tc>
        <w:tc>
          <w:tcPr>
            <w:tcW w:w="1701" w:type="dxa"/>
          </w:tcPr>
          <w:p w14:paraId="6CF220EE" w14:textId="77777777" w:rsidR="00BC7DDA" w:rsidRPr="00BD6C5F" w:rsidRDefault="009B03E9" w:rsidP="00C53813">
            <w:pPr>
              <w:pStyle w:val="Tabletext"/>
              <w:rPr>
                <w:b w:val="0"/>
                <w:bCs/>
              </w:rPr>
            </w:pPr>
            <w:r w:rsidRPr="00BD6C5F">
              <w:rPr>
                <w:bCs/>
              </w:rPr>
              <w:t>Mobility or flexibility clause in contract?</w:t>
            </w:r>
          </w:p>
        </w:tc>
        <w:tc>
          <w:tcPr>
            <w:tcW w:w="3685" w:type="dxa"/>
          </w:tcPr>
          <w:p w14:paraId="1FE62F3E" w14:textId="77777777" w:rsidR="00BC7DDA" w:rsidRPr="00BD6C5F" w:rsidRDefault="009B03E9" w:rsidP="00C53813">
            <w:pPr>
              <w:pStyle w:val="Tabletext"/>
              <w:rPr>
                <w:b w:val="0"/>
                <w:bCs/>
              </w:rPr>
            </w:pPr>
            <w:r w:rsidRPr="00BD6C5F">
              <w:rPr>
                <w:bCs/>
              </w:rPr>
              <w:t>Previously TUPE transferred to organisation? If so, please specify (i) date of transfer, (ii) name of transferor, and (iii) whether ex public sector</w:t>
            </w:r>
          </w:p>
        </w:tc>
        <w:tc>
          <w:tcPr>
            <w:tcW w:w="1871" w:type="dxa"/>
          </w:tcPr>
          <w:p w14:paraId="194B409A" w14:textId="77777777" w:rsidR="00BC7DDA" w:rsidRPr="00BD6C5F" w:rsidRDefault="009B03E9" w:rsidP="00C53813">
            <w:pPr>
              <w:pStyle w:val="Tabletext"/>
              <w:rPr>
                <w:b w:val="0"/>
                <w:bCs/>
              </w:rPr>
            </w:pPr>
            <w:r w:rsidRPr="00BD6C5F">
              <w:rPr>
                <w:bCs/>
              </w:rPr>
              <w:t>Any collective agreements?</w:t>
            </w:r>
          </w:p>
        </w:tc>
      </w:tr>
      <w:tr w:rsidR="00C53813" w:rsidRPr="00BD6C5F" w14:paraId="726BC29C" w14:textId="77777777" w:rsidTr="00327E90">
        <w:trPr>
          <w:trHeight w:val="680"/>
        </w:trPr>
        <w:tc>
          <w:tcPr>
            <w:tcW w:w="1416" w:type="dxa"/>
          </w:tcPr>
          <w:p w14:paraId="725D1BFF" w14:textId="77777777" w:rsidR="00BC7DDA" w:rsidRPr="00BD6C5F" w:rsidRDefault="009B03E9" w:rsidP="00C53813">
            <w:pPr>
              <w:pStyle w:val="Tabletext"/>
              <w:rPr>
                <w:b/>
                <w:bCs/>
              </w:rPr>
            </w:pPr>
            <w:r w:rsidRPr="00BD6C5F">
              <w:rPr>
                <w:b/>
                <w:bCs/>
              </w:rPr>
              <w:t>Emp No 1</w:t>
            </w:r>
          </w:p>
        </w:tc>
        <w:tc>
          <w:tcPr>
            <w:tcW w:w="1757" w:type="dxa"/>
          </w:tcPr>
          <w:p w14:paraId="7907FD4B" w14:textId="77777777" w:rsidR="00BC7DDA" w:rsidRPr="00BD6C5F" w:rsidRDefault="00BC7DDA" w:rsidP="00C53813">
            <w:pPr>
              <w:pStyle w:val="Tabletext"/>
            </w:pPr>
          </w:p>
        </w:tc>
        <w:tc>
          <w:tcPr>
            <w:tcW w:w="1757" w:type="dxa"/>
          </w:tcPr>
          <w:p w14:paraId="428D2998" w14:textId="77777777" w:rsidR="00BC7DDA" w:rsidRPr="00BD6C5F" w:rsidRDefault="00BC7DDA" w:rsidP="00C53813">
            <w:pPr>
              <w:pStyle w:val="Tabletext"/>
            </w:pPr>
          </w:p>
        </w:tc>
        <w:tc>
          <w:tcPr>
            <w:tcW w:w="1587" w:type="dxa"/>
          </w:tcPr>
          <w:p w14:paraId="3C819618" w14:textId="77777777" w:rsidR="00BC7DDA" w:rsidRPr="00BD6C5F" w:rsidRDefault="00BC7DDA" w:rsidP="00C53813">
            <w:pPr>
              <w:pStyle w:val="Tabletext"/>
            </w:pPr>
          </w:p>
        </w:tc>
        <w:tc>
          <w:tcPr>
            <w:tcW w:w="1361" w:type="dxa"/>
          </w:tcPr>
          <w:p w14:paraId="5267E372" w14:textId="77777777" w:rsidR="00BC7DDA" w:rsidRPr="00BD6C5F" w:rsidRDefault="00BC7DDA" w:rsidP="00C53813">
            <w:pPr>
              <w:pStyle w:val="Tabletext"/>
            </w:pPr>
          </w:p>
        </w:tc>
        <w:tc>
          <w:tcPr>
            <w:tcW w:w="1701" w:type="dxa"/>
          </w:tcPr>
          <w:p w14:paraId="768D6640" w14:textId="77777777" w:rsidR="00BC7DDA" w:rsidRPr="00BD6C5F" w:rsidRDefault="00BC7DDA" w:rsidP="00C53813">
            <w:pPr>
              <w:pStyle w:val="Tabletext"/>
            </w:pPr>
          </w:p>
        </w:tc>
        <w:tc>
          <w:tcPr>
            <w:tcW w:w="3685" w:type="dxa"/>
          </w:tcPr>
          <w:p w14:paraId="29989D49" w14:textId="77777777" w:rsidR="00BC7DDA" w:rsidRPr="00BD6C5F" w:rsidRDefault="00BC7DDA" w:rsidP="00C53813">
            <w:pPr>
              <w:pStyle w:val="Tabletext"/>
            </w:pPr>
          </w:p>
        </w:tc>
        <w:tc>
          <w:tcPr>
            <w:tcW w:w="1871" w:type="dxa"/>
          </w:tcPr>
          <w:p w14:paraId="5ED6D30F" w14:textId="77777777" w:rsidR="00BC7DDA" w:rsidRPr="00BD6C5F" w:rsidRDefault="00BC7DDA" w:rsidP="00C53813">
            <w:pPr>
              <w:pStyle w:val="Tabletext"/>
            </w:pPr>
          </w:p>
        </w:tc>
      </w:tr>
      <w:tr w:rsidR="00C53813" w:rsidRPr="00BD6C5F" w14:paraId="1E429879" w14:textId="77777777" w:rsidTr="00327E90">
        <w:trPr>
          <w:trHeight w:val="680"/>
        </w:trPr>
        <w:tc>
          <w:tcPr>
            <w:tcW w:w="1416" w:type="dxa"/>
          </w:tcPr>
          <w:p w14:paraId="2B15C48C" w14:textId="77777777" w:rsidR="00BC7DDA" w:rsidRPr="00BD6C5F" w:rsidRDefault="009B03E9" w:rsidP="00C53813">
            <w:pPr>
              <w:pStyle w:val="Tabletext"/>
              <w:rPr>
                <w:b/>
                <w:bCs/>
              </w:rPr>
            </w:pPr>
            <w:r w:rsidRPr="00BD6C5F">
              <w:rPr>
                <w:b/>
                <w:bCs/>
              </w:rPr>
              <w:t>Emp No 2</w:t>
            </w:r>
          </w:p>
        </w:tc>
        <w:tc>
          <w:tcPr>
            <w:tcW w:w="1757" w:type="dxa"/>
          </w:tcPr>
          <w:p w14:paraId="7D21FBA8" w14:textId="77777777" w:rsidR="00BC7DDA" w:rsidRPr="00BD6C5F" w:rsidRDefault="00BC7DDA" w:rsidP="00C53813">
            <w:pPr>
              <w:pStyle w:val="Tabletext"/>
            </w:pPr>
          </w:p>
        </w:tc>
        <w:tc>
          <w:tcPr>
            <w:tcW w:w="1757" w:type="dxa"/>
          </w:tcPr>
          <w:p w14:paraId="1BC06334" w14:textId="77777777" w:rsidR="00BC7DDA" w:rsidRPr="00BD6C5F" w:rsidRDefault="00BC7DDA" w:rsidP="00C53813">
            <w:pPr>
              <w:pStyle w:val="Tabletext"/>
            </w:pPr>
          </w:p>
        </w:tc>
        <w:tc>
          <w:tcPr>
            <w:tcW w:w="1587" w:type="dxa"/>
          </w:tcPr>
          <w:p w14:paraId="3EAA8F71" w14:textId="77777777" w:rsidR="00BC7DDA" w:rsidRPr="00BD6C5F" w:rsidRDefault="00BC7DDA" w:rsidP="00C53813">
            <w:pPr>
              <w:pStyle w:val="Tabletext"/>
            </w:pPr>
          </w:p>
        </w:tc>
        <w:tc>
          <w:tcPr>
            <w:tcW w:w="1361" w:type="dxa"/>
          </w:tcPr>
          <w:p w14:paraId="304DBBD1" w14:textId="77777777" w:rsidR="00BC7DDA" w:rsidRPr="00BD6C5F" w:rsidRDefault="00BC7DDA" w:rsidP="00C53813">
            <w:pPr>
              <w:pStyle w:val="Tabletext"/>
            </w:pPr>
          </w:p>
        </w:tc>
        <w:tc>
          <w:tcPr>
            <w:tcW w:w="1701" w:type="dxa"/>
          </w:tcPr>
          <w:p w14:paraId="312B0BA1" w14:textId="77777777" w:rsidR="00BC7DDA" w:rsidRPr="00BD6C5F" w:rsidRDefault="00BC7DDA" w:rsidP="00C53813">
            <w:pPr>
              <w:pStyle w:val="Tabletext"/>
            </w:pPr>
          </w:p>
        </w:tc>
        <w:tc>
          <w:tcPr>
            <w:tcW w:w="3685" w:type="dxa"/>
          </w:tcPr>
          <w:p w14:paraId="5B69FCFF" w14:textId="77777777" w:rsidR="00BC7DDA" w:rsidRPr="00BD6C5F" w:rsidRDefault="00BC7DDA" w:rsidP="00C53813">
            <w:pPr>
              <w:pStyle w:val="Tabletext"/>
            </w:pPr>
          </w:p>
        </w:tc>
        <w:tc>
          <w:tcPr>
            <w:tcW w:w="1871" w:type="dxa"/>
          </w:tcPr>
          <w:p w14:paraId="0C1BB6DB" w14:textId="77777777" w:rsidR="00BC7DDA" w:rsidRPr="00BD6C5F" w:rsidRDefault="00BC7DDA" w:rsidP="00C53813">
            <w:pPr>
              <w:pStyle w:val="Tabletext"/>
            </w:pPr>
          </w:p>
        </w:tc>
      </w:tr>
      <w:tr w:rsidR="00C53813" w:rsidRPr="00BD6C5F" w14:paraId="1BCA57C7" w14:textId="77777777" w:rsidTr="00327E90">
        <w:trPr>
          <w:trHeight w:val="680"/>
        </w:trPr>
        <w:tc>
          <w:tcPr>
            <w:tcW w:w="1416" w:type="dxa"/>
          </w:tcPr>
          <w:p w14:paraId="7BE0142C" w14:textId="77777777" w:rsidR="00BC7DDA" w:rsidRPr="00BD6C5F" w:rsidRDefault="009B03E9" w:rsidP="00C53813">
            <w:pPr>
              <w:pStyle w:val="Tabletext"/>
              <w:rPr>
                <w:b/>
                <w:bCs/>
              </w:rPr>
            </w:pPr>
            <w:r w:rsidRPr="00BD6C5F">
              <w:rPr>
                <w:b/>
                <w:bCs/>
              </w:rPr>
              <w:t>Emp No</w:t>
            </w:r>
          </w:p>
        </w:tc>
        <w:tc>
          <w:tcPr>
            <w:tcW w:w="1757" w:type="dxa"/>
          </w:tcPr>
          <w:p w14:paraId="5E72E15B" w14:textId="77777777" w:rsidR="00BC7DDA" w:rsidRPr="00BD6C5F" w:rsidRDefault="00BC7DDA" w:rsidP="00C53813">
            <w:pPr>
              <w:pStyle w:val="Tabletext"/>
            </w:pPr>
          </w:p>
        </w:tc>
        <w:tc>
          <w:tcPr>
            <w:tcW w:w="1757" w:type="dxa"/>
          </w:tcPr>
          <w:p w14:paraId="783C462F" w14:textId="77777777" w:rsidR="00BC7DDA" w:rsidRPr="00BD6C5F" w:rsidRDefault="00BC7DDA" w:rsidP="00C53813">
            <w:pPr>
              <w:pStyle w:val="Tabletext"/>
            </w:pPr>
          </w:p>
        </w:tc>
        <w:tc>
          <w:tcPr>
            <w:tcW w:w="1587" w:type="dxa"/>
          </w:tcPr>
          <w:p w14:paraId="3B5D6905" w14:textId="77777777" w:rsidR="00BC7DDA" w:rsidRPr="00BD6C5F" w:rsidRDefault="00BC7DDA" w:rsidP="00C53813">
            <w:pPr>
              <w:pStyle w:val="Tabletext"/>
            </w:pPr>
          </w:p>
        </w:tc>
        <w:tc>
          <w:tcPr>
            <w:tcW w:w="1361" w:type="dxa"/>
          </w:tcPr>
          <w:p w14:paraId="0992A6AF" w14:textId="77777777" w:rsidR="00BC7DDA" w:rsidRPr="00BD6C5F" w:rsidRDefault="00BC7DDA" w:rsidP="00C53813">
            <w:pPr>
              <w:pStyle w:val="Tabletext"/>
            </w:pPr>
          </w:p>
        </w:tc>
        <w:tc>
          <w:tcPr>
            <w:tcW w:w="1701" w:type="dxa"/>
          </w:tcPr>
          <w:p w14:paraId="5A112E16" w14:textId="77777777" w:rsidR="00BC7DDA" w:rsidRPr="00BD6C5F" w:rsidRDefault="00BC7DDA" w:rsidP="00C53813">
            <w:pPr>
              <w:pStyle w:val="Tabletext"/>
            </w:pPr>
          </w:p>
        </w:tc>
        <w:tc>
          <w:tcPr>
            <w:tcW w:w="3685" w:type="dxa"/>
          </w:tcPr>
          <w:p w14:paraId="6021E9C4" w14:textId="77777777" w:rsidR="00BC7DDA" w:rsidRPr="00BD6C5F" w:rsidRDefault="00BC7DDA" w:rsidP="00C53813">
            <w:pPr>
              <w:pStyle w:val="Tabletext"/>
            </w:pPr>
          </w:p>
        </w:tc>
        <w:tc>
          <w:tcPr>
            <w:tcW w:w="1871" w:type="dxa"/>
          </w:tcPr>
          <w:p w14:paraId="1011F400" w14:textId="77777777" w:rsidR="00BC7DDA" w:rsidRPr="00BD6C5F" w:rsidRDefault="00BC7DDA" w:rsidP="00C53813">
            <w:pPr>
              <w:pStyle w:val="Tabletext"/>
            </w:pPr>
          </w:p>
        </w:tc>
      </w:tr>
      <w:tr w:rsidR="00C53813" w:rsidRPr="00BD6C5F" w14:paraId="01A14D8F" w14:textId="77777777" w:rsidTr="00327E90">
        <w:trPr>
          <w:trHeight w:val="680"/>
        </w:trPr>
        <w:tc>
          <w:tcPr>
            <w:tcW w:w="1416" w:type="dxa"/>
          </w:tcPr>
          <w:p w14:paraId="3C96347A" w14:textId="77777777" w:rsidR="00BC7DDA" w:rsidRPr="00BD6C5F" w:rsidRDefault="009B03E9" w:rsidP="00C53813">
            <w:pPr>
              <w:pStyle w:val="Tabletext"/>
              <w:rPr>
                <w:b/>
                <w:bCs/>
              </w:rPr>
            </w:pPr>
            <w:r w:rsidRPr="00BD6C5F">
              <w:rPr>
                <w:b/>
                <w:bCs/>
              </w:rPr>
              <w:t>Emp No</w:t>
            </w:r>
          </w:p>
        </w:tc>
        <w:tc>
          <w:tcPr>
            <w:tcW w:w="1757" w:type="dxa"/>
          </w:tcPr>
          <w:p w14:paraId="6967F539" w14:textId="77777777" w:rsidR="00BC7DDA" w:rsidRPr="00BD6C5F" w:rsidRDefault="00BC7DDA" w:rsidP="00C53813">
            <w:pPr>
              <w:pStyle w:val="Tabletext"/>
            </w:pPr>
          </w:p>
        </w:tc>
        <w:tc>
          <w:tcPr>
            <w:tcW w:w="1757" w:type="dxa"/>
          </w:tcPr>
          <w:p w14:paraId="543781CB" w14:textId="77777777" w:rsidR="00BC7DDA" w:rsidRPr="00BD6C5F" w:rsidRDefault="00BC7DDA" w:rsidP="00C53813">
            <w:pPr>
              <w:pStyle w:val="Tabletext"/>
            </w:pPr>
          </w:p>
        </w:tc>
        <w:tc>
          <w:tcPr>
            <w:tcW w:w="1587" w:type="dxa"/>
          </w:tcPr>
          <w:p w14:paraId="707B2CC6" w14:textId="77777777" w:rsidR="00BC7DDA" w:rsidRPr="00BD6C5F" w:rsidRDefault="00BC7DDA" w:rsidP="00C53813">
            <w:pPr>
              <w:pStyle w:val="Tabletext"/>
            </w:pPr>
          </w:p>
        </w:tc>
        <w:tc>
          <w:tcPr>
            <w:tcW w:w="1361" w:type="dxa"/>
          </w:tcPr>
          <w:p w14:paraId="40719493" w14:textId="77777777" w:rsidR="00BC7DDA" w:rsidRPr="00BD6C5F" w:rsidRDefault="00BC7DDA" w:rsidP="00C53813">
            <w:pPr>
              <w:pStyle w:val="Tabletext"/>
            </w:pPr>
          </w:p>
        </w:tc>
        <w:tc>
          <w:tcPr>
            <w:tcW w:w="1701" w:type="dxa"/>
          </w:tcPr>
          <w:p w14:paraId="605DB3ED" w14:textId="77777777" w:rsidR="00BC7DDA" w:rsidRPr="00BD6C5F" w:rsidRDefault="00BC7DDA" w:rsidP="00C53813">
            <w:pPr>
              <w:pStyle w:val="Tabletext"/>
            </w:pPr>
          </w:p>
        </w:tc>
        <w:tc>
          <w:tcPr>
            <w:tcW w:w="3685" w:type="dxa"/>
          </w:tcPr>
          <w:p w14:paraId="05CC73DA" w14:textId="77777777" w:rsidR="00BC7DDA" w:rsidRPr="00BD6C5F" w:rsidRDefault="00BC7DDA" w:rsidP="00C53813">
            <w:pPr>
              <w:pStyle w:val="Tabletext"/>
            </w:pPr>
          </w:p>
        </w:tc>
        <w:tc>
          <w:tcPr>
            <w:tcW w:w="1871" w:type="dxa"/>
          </w:tcPr>
          <w:p w14:paraId="0F852320" w14:textId="77777777" w:rsidR="00BC7DDA" w:rsidRPr="00BD6C5F" w:rsidRDefault="00BC7DDA" w:rsidP="00C53813">
            <w:pPr>
              <w:pStyle w:val="Tabletext"/>
            </w:pPr>
          </w:p>
        </w:tc>
      </w:tr>
      <w:tr w:rsidR="00C53813" w:rsidRPr="00BD6C5F" w14:paraId="2B748957" w14:textId="77777777" w:rsidTr="00327E90">
        <w:trPr>
          <w:trHeight w:val="680"/>
        </w:trPr>
        <w:tc>
          <w:tcPr>
            <w:tcW w:w="1416" w:type="dxa"/>
          </w:tcPr>
          <w:p w14:paraId="24290CA4" w14:textId="77777777" w:rsidR="00BC7DDA" w:rsidRPr="00BD6C5F" w:rsidRDefault="009B03E9" w:rsidP="00C53813">
            <w:pPr>
              <w:pStyle w:val="Tabletext"/>
              <w:rPr>
                <w:b/>
                <w:bCs/>
              </w:rPr>
            </w:pPr>
            <w:r w:rsidRPr="00BD6C5F">
              <w:rPr>
                <w:b/>
                <w:bCs/>
              </w:rPr>
              <w:t>Emp No</w:t>
            </w:r>
          </w:p>
        </w:tc>
        <w:tc>
          <w:tcPr>
            <w:tcW w:w="1757" w:type="dxa"/>
          </w:tcPr>
          <w:p w14:paraId="55D6B111" w14:textId="77777777" w:rsidR="00BC7DDA" w:rsidRPr="00BD6C5F" w:rsidRDefault="00BC7DDA" w:rsidP="00C53813">
            <w:pPr>
              <w:pStyle w:val="Tabletext"/>
            </w:pPr>
          </w:p>
        </w:tc>
        <w:tc>
          <w:tcPr>
            <w:tcW w:w="1757" w:type="dxa"/>
          </w:tcPr>
          <w:p w14:paraId="2853B514" w14:textId="77777777" w:rsidR="00BC7DDA" w:rsidRPr="00BD6C5F" w:rsidRDefault="00BC7DDA" w:rsidP="00C53813">
            <w:pPr>
              <w:pStyle w:val="Tabletext"/>
            </w:pPr>
          </w:p>
        </w:tc>
        <w:tc>
          <w:tcPr>
            <w:tcW w:w="1587" w:type="dxa"/>
          </w:tcPr>
          <w:p w14:paraId="2E567E9B" w14:textId="77777777" w:rsidR="00BC7DDA" w:rsidRPr="00BD6C5F" w:rsidRDefault="00BC7DDA" w:rsidP="00C53813">
            <w:pPr>
              <w:pStyle w:val="Tabletext"/>
            </w:pPr>
          </w:p>
        </w:tc>
        <w:tc>
          <w:tcPr>
            <w:tcW w:w="1361" w:type="dxa"/>
          </w:tcPr>
          <w:p w14:paraId="4743DEF1" w14:textId="77777777" w:rsidR="00BC7DDA" w:rsidRPr="00BD6C5F" w:rsidRDefault="00BC7DDA" w:rsidP="00C53813">
            <w:pPr>
              <w:pStyle w:val="Tabletext"/>
            </w:pPr>
          </w:p>
        </w:tc>
        <w:tc>
          <w:tcPr>
            <w:tcW w:w="1701" w:type="dxa"/>
          </w:tcPr>
          <w:p w14:paraId="11CCAD34" w14:textId="77777777" w:rsidR="00BC7DDA" w:rsidRPr="00BD6C5F" w:rsidRDefault="00BC7DDA" w:rsidP="00C53813">
            <w:pPr>
              <w:pStyle w:val="Tabletext"/>
            </w:pPr>
          </w:p>
        </w:tc>
        <w:tc>
          <w:tcPr>
            <w:tcW w:w="3685" w:type="dxa"/>
          </w:tcPr>
          <w:p w14:paraId="741D5BB6" w14:textId="77777777" w:rsidR="00BC7DDA" w:rsidRPr="00BD6C5F" w:rsidRDefault="00BC7DDA" w:rsidP="00C53813">
            <w:pPr>
              <w:pStyle w:val="Tabletext"/>
            </w:pPr>
          </w:p>
        </w:tc>
        <w:tc>
          <w:tcPr>
            <w:tcW w:w="1871" w:type="dxa"/>
          </w:tcPr>
          <w:p w14:paraId="25543B52" w14:textId="77777777" w:rsidR="00BC7DDA" w:rsidRPr="00BD6C5F" w:rsidRDefault="00BC7DDA" w:rsidP="00C53813">
            <w:pPr>
              <w:pStyle w:val="Tabletext"/>
            </w:pPr>
          </w:p>
        </w:tc>
      </w:tr>
      <w:tr w:rsidR="00C53813" w:rsidRPr="00BD6C5F" w14:paraId="5D4D7A56" w14:textId="77777777" w:rsidTr="00327E90">
        <w:trPr>
          <w:trHeight w:val="680"/>
        </w:trPr>
        <w:tc>
          <w:tcPr>
            <w:tcW w:w="1416" w:type="dxa"/>
          </w:tcPr>
          <w:p w14:paraId="30C58C33" w14:textId="77777777" w:rsidR="00BC7DDA" w:rsidRPr="00BD6C5F" w:rsidRDefault="009B03E9" w:rsidP="00C53813">
            <w:pPr>
              <w:pStyle w:val="Tabletext"/>
              <w:rPr>
                <w:b/>
                <w:bCs/>
              </w:rPr>
            </w:pPr>
            <w:r w:rsidRPr="00BD6C5F">
              <w:rPr>
                <w:b/>
                <w:bCs/>
              </w:rPr>
              <w:t>Emp No</w:t>
            </w:r>
          </w:p>
        </w:tc>
        <w:tc>
          <w:tcPr>
            <w:tcW w:w="1757" w:type="dxa"/>
          </w:tcPr>
          <w:p w14:paraId="25A03FD8" w14:textId="77777777" w:rsidR="00BC7DDA" w:rsidRPr="00BD6C5F" w:rsidRDefault="00BC7DDA" w:rsidP="00C53813">
            <w:pPr>
              <w:pStyle w:val="Tabletext"/>
            </w:pPr>
          </w:p>
        </w:tc>
        <w:tc>
          <w:tcPr>
            <w:tcW w:w="1757" w:type="dxa"/>
          </w:tcPr>
          <w:p w14:paraId="0FBE079B" w14:textId="77777777" w:rsidR="00BC7DDA" w:rsidRPr="00BD6C5F" w:rsidRDefault="00BC7DDA" w:rsidP="00C53813">
            <w:pPr>
              <w:pStyle w:val="Tabletext"/>
            </w:pPr>
          </w:p>
        </w:tc>
        <w:tc>
          <w:tcPr>
            <w:tcW w:w="1587" w:type="dxa"/>
          </w:tcPr>
          <w:p w14:paraId="08367963" w14:textId="77777777" w:rsidR="00BC7DDA" w:rsidRPr="00BD6C5F" w:rsidRDefault="00BC7DDA" w:rsidP="00C53813">
            <w:pPr>
              <w:pStyle w:val="Tabletext"/>
            </w:pPr>
          </w:p>
        </w:tc>
        <w:tc>
          <w:tcPr>
            <w:tcW w:w="1361" w:type="dxa"/>
          </w:tcPr>
          <w:p w14:paraId="2CDB87A9" w14:textId="77777777" w:rsidR="00BC7DDA" w:rsidRPr="00BD6C5F" w:rsidRDefault="00BC7DDA" w:rsidP="00C53813">
            <w:pPr>
              <w:pStyle w:val="Tabletext"/>
            </w:pPr>
          </w:p>
        </w:tc>
        <w:tc>
          <w:tcPr>
            <w:tcW w:w="1701" w:type="dxa"/>
          </w:tcPr>
          <w:p w14:paraId="7CF016D0" w14:textId="77777777" w:rsidR="00BC7DDA" w:rsidRPr="00BD6C5F" w:rsidRDefault="00BC7DDA" w:rsidP="00C53813">
            <w:pPr>
              <w:pStyle w:val="Tabletext"/>
            </w:pPr>
          </w:p>
        </w:tc>
        <w:tc>
          <w:tcPr>
            <w:tcW w:w="3685" w:type="dxa"/>
          </w:tcPr>
          <w:p w14:paraId="21A82126" w14:textId="77777777" w:rsidR="00BC7DDA" w:rsidRPr="00BD6C5F" w:rsidRDefault="00BC7DDA" w:rsidP="00C53813">
            <w:pPr>
              <w:pStyle w:val="Tabletext"/>
            </w:pPr>
          </w:p>
        </w:tc>
        <w:tc>
          <w:tcPr>
            <w:tcW w:w="1871" w:type="dxa"/>
          </w:tcPr>
          <w:p w14:paraId="4A0C84BF" w14:textId="77777777" w:rsidR="00BC7DDA" w:rsidRPr="00BD6C5F" w:rsidRDefault="00BC7DDA" w:rsidP="00C53813">
            <w:pPr>
              <w:pStyle w:val="Tabletext"/>
            </w:pPr>
          </w:p>
        </w:tc>
      </w:tr>
      <w:tr w:rsidR="00C53813" w:rsidRPr="00BD6C5F" w14:paraId="0CB81D9A" w14:textId="77777777" w:rsidTr="00327E90">
        <w:trPr>
          <w:trHeight w:val="680"/>
        </w:trPr>
        <w:tc>
          <w:tcPr>
            <w:tcW w:w="1416" w:type="dxa"/>
          </w:tcPr>
          <w:p w14:paraId="005B251D" w14:textId="77777777" w:rsidR="00BC7DDA" w:rsidRPr="00BD6C5F" w:rsidRDefault="009B03E9" w:rsidP="00C53813">
            <w:pPr>
              <w:pStyle w:val="Tabletext"/>
              <w:rPr>
                <w:b/>
                <w:bCs/>
              </w:rPr>
            </w:pPr>
            <w:r w:rsidRPr="00BD6C5F">
              <w:rPr>
                <w:b/>
                <w:bCs/>
              </w:rPr>
              <w:t>Emp No</w:t>
            </w:r>
          </w:p>
        </w:tc>
        <w:tc>
          <w:tcPr>
            <w:tcW w:w="1757" w:type="dxa"/>
          </w:tcPr>
          <w:p w14:paraId="43AB8447" w14:textId="77777777" w:rsidR="00BC7DDA" w:rsidRPr="00BD6C5F" w:rsidRDefault="00BC7DDA" w:rsidP="00C53813">
            <w:pPr>
              <w:pStyle w:val="Tabletext"/>
            </w:pPr>
          </w:p>
        </w:tc>
        <w:tc>
          <w:tcPr>
            <w:tcW w:w="1757" w:type="dxa"/>
          </w:tcPr>
          <w:p w14:paraId="25FE8138" w14:textId="77777777" w:rsidR="00BC7DDA" w:rsidRPr="00BD6C5F" w:rsidRDefault="00BC7DDA" w:rsidP="00C53813">
            <w:pPr>
              <w:pStyle w:val="Tabletext"/>
            </w:pPr>
          </w:p>
        </w:tc>
        <w:tc>
          <w:tcPr>
            <w:tcW w:w="1587" w:type="dxa"/>
          </w:tcPr>
          <w:p w14:paraId="2FB01903" w14:textId="77777777" w:rsidR="00BC7DDA" w:rsidRPr="00BD6C5F" w:rsidRDefault="00BC7DDA" w:rsidP="00C53813">
            <w:pPr>
              <w:pStyle w:val="Tabletext"/>
            </w:pPr>
          </w:p>
        </w:tc>
        <w:tc>
          <w:tcPr>
            <w:tcW w:w="1361" w:type="dxa"/>
          </w:tcPr>
          <w:p w14:paraId="11BC4F80" w14:textId="77777777" w:rsidR="00BC7DDA" w:rsidRPr="00BD6C5F" w:rsidRDefault="00BC7DDA" w:rsidP="00C53813">
            <w:pPr>
              <w:pStyle w:val="Tabletext"/>
            </w:pPr>
          </w:p>
        </w:tc>
        <w:tc>
          <w:tcPr>
            <w:tcW w:w="1701" w:type="dxa"/>
          </w:tcPr>
          <w:p w14:paraId="004298F3" w14:textId="77777777" w:rsidR="00BC7DDA" w:rsidRPr="00BD6C5F" w:rsidRDefault="00BC7DDA" w:rsidP="00C53813">
            <w:pPr>
              <w:pStyle w:val="Tabletext"/>
            </w:pPr>
          </w:p>
        </w:tc>
        <w:tc>
          <w:tcPr>
            <w:tcW w:w="3685" w:type="dxa"/>
          </w:tcPr>
          <w:p w14:paraId="15F265A4" w14:textId="77777777" w:rsidR="00BC7DDA" w:rsidRPr="00BD6C5F" w:rsidRDefault="00BC7DDA" w:rsidP="00C53813">
            <w:pPr>
              <w:pStyle w:val="Tabletext"/>
            </w:pPr>
          </w:p>
        </w:tc>
        <w:tc>
          <w:tcPr>
            <w:tcW w:w="1871" w:type="dxa"/>
          </w:tcPr>
          <w:p w14:paraId="0F32035F" w14:textId="77777777" w:rsidR="00BC7DDA" w:rsidRPr="00BD6C5F" w:rsidRDefault="00BC7DDA" w:rsidP="00C53813">
            <w:pPr>
              <w:pStyle w:val="Tabletext"/>
            </w:pPr>
          </w:p>
        </w:tc>
      </w:tr>
    </w:tbl>
    <w:p w14:paraId="52BD2306" w14:textId="18A4CE42" w:rsidR="00BC7DDA" w:rsidRPr="00BD6C5F" w:rsidRDefault="00BC7DDA" w:rsidP="00C53813"/>
    <w:tbl>
      <w:tblPr>
        <w:tblStyle w:val="MSATable-header"/>
        <w:tblW w:w="15135" w:type="dxa"/>
        <w:tblLayout w:type="fixed"/>
        <w:tblLook w:val="0620" w:firstRow="1" w:lastRow="0" w:firstColumn="0" w:lastColumn="0" w:noHBand="1" w:noVBand="1"/>
      </w:tblPr>
      <w:tblGrid>
        <w:gridCol w:w="1416"/>
        <w:gridCol w:w="2494"/>
        <w:gridCol w:w="1247"/>
        <w:gridCol w:w="1587"/>
        <w:gridCol w:w="3061"/>
        <w:gridCol w:w="1134"/>
        <w:gridCol w:w="1474"/>
        <w:gridCol w:w="1417"/>
        <w:gridCol w:w="1305"/>
      </w:tblGrid>
      <w:tr w:rsidR="00BC7DDA" w:rsidRPr="00BD6C5F" w14:paraId="5C316008"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Borders>
              <w:top w:val="nil"/>
              <w:left w:val="nil"/>
            </w:tcBorders>
            <w:shd w:val="clear" w:color="auto" w:fill="auto"/>
          </w:tcPr>
          <w:p w14:paraId="3CF58FBA" w14:textId="77777777" w:rsidR="00BC7DDA" w:rsidRPr="00BD6C5F" w:rsidRDefault="00BC7DDA" w:rsidP="00C53813">
            <w:pPr>
              <w:pStyle w:val="Tabletext"/>
              <w:rPr>
                <w:b w:val="0"/>
                <w:bCs/>
              </w:rPr>
            </w:pPr>
          </w:p>
        </w:tc>
        <w:tc>
          <w:tcPr>
            <w:tcW w:w="2494" w:type="dxa"/>
            <w:tcBorders>
              <w:right w:val="double" w:sz="4" w:space="0" w:color="auto"/>
            </w:tcBorders>
          </w:tcPr>
          <w:p w14:paraId="3397A9DD" w14:textId="77777777" w:rsidR="00BC7DDA" w:rsidRPr="00BD6C5F" w:rsidRDefault="009B03E9" w:rsidP="00C53813">
            <w:pPr>
              <w:pStyle w:val="Tabletext"/>
              <w:rPr>
                <w:b w:val="0"/>
                <w:bCs/>
              </w:rPr>
            </w:pPr>
            <w:r w:rsidRPr="00BD6C5F">
              <w:rPr>
                <w:bCs/>
              </w:rPr>
              <w:t>ASSIGNMENT</w:t>
            </w:r>
          </w:p>
        </w:tc>
        <w:tc>
          <w:tcPr>
            <w:tcW w:w="11225" w:type="dxa"/>
            <w:gridSpan w:val="7"/>
            <w:tcBorders>
              <w:left w:val="double" w:sz="4" w:space="0" w:color="auto"/>
            </w:tcBorders>
          </w:tcPr>
          <w:p w14:paraId="5C5C4E36" w14:textId="77777777" w:rsidR="00BC7DDA" w:rsidRPr="00BD6C5F" w:rsidRDefault="009B03E9" w:rsidP="00C53813">
            <w:pPr>
              <w:pStyle w:val="Tabletext"/>
              <w:rPr>
                <w:b w:val="0"/>
                <w:bCs/>
              </w:rPr>
            </w:pPr>
            <w:r w:rsidRPr="00BD6C5F">
              <w:rPr>
                <w:bCs/>
              </w:rPr>
              <w:t>CONTRACTUAL PAY AND BENEFITS</w:t>
            </w:r>
          </w:p>
        </w:tc>
      </w:tr>
      <w:tr w:rsidR="00BC7DDA" w:rsidRPr="00BD6C5F" w14:paraId="5C51B5E7"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Pr>
          <w:p w14:paraId="57868931" w14:textId="77777777" w:rsidR="00BC7DDA" w:rsidRPr="00BD6C5F" w:rsidRDefault="009B03E9" w:rsidP="00C53813">
            <w:pPr>
              <w:pStyle w:val="Tabletext"/>
              <w:rPr>
                <w:b w:val="0"/>
                <w:bCs/>
              </w:rPr>
            </w:pPr>
            <w:r w:rsidRPr="00BD6C5F">
              <w:rPr>
                <w:bCs/>
              </w:rPr>
              <w:t>Details</w:t>
            </w:r>
          </w:p>
        </w:tc>
        <w:tc>
          <w:tcPr>
            <w:tcW w:w="2494" w:type="dxa"/>
            <w:tcBorders>
              <w:right w:val="double" w:sz="4" w:space="0" w:color="auto"/>
            </w:tcBorders>
          </w:tcPr>
          <w:p w14:paraId="36A3FF6D" w14:textId="77777777" w:rsidR="00BC7DDA" w:rsidRPr="00BD6C5F" w:rsidRDefault="009B03E9" w:rsidP="00C53813">
            <w:pPr>
              <w:pStyle w:val="Tabletext"/>
              <w:rPr>
                <w:b w:val="0"/>
                <w:bCs/>
              </w:rPr>
            </w:pPr>
            <w:r w:rsidRPr="00BD6C5F">
              <w:rPr>
                <w:bCs/>
              </w:rPr>
              <w:t>% of working time dedicated to the provision of services under the contract</w:t>
            </w:r>
          </w:p>
        </w:tc>
        <w:tc>
          <w:tcPr>
            <w:tcW w:w="1247" w:type="dxa"/>
            <w:tcBorders>
              <w:left w:val="double" w:sz="4" w:space="0" w:color="auto"/>
            </w:tcBorders>
          </w:tcPr>
          <w:p w14:paraId="060DF4F9" w14:textId="77777777" w:rsidR="00BC7DDA" w:rsidRPr="00BD6C5F" w:rsidRDefault="009B03E9" w:rsidP="00C53813">
            <w:pPr>
              <w:pStyle w:val="Tabletext"/>
              <w:rPr>
                <w:b w:val="0"/>
                <w:bCs/>
              </w:rPr>
            </w:pPr>
            <w:r w:rsidRPr="00BD6C5F">
              <w:rPr>
                <w:bCs/>
              </w:rPr>
              <w:t>Salary (or hourly rate of pay)</w:t>
            </w:r>
          </w:p>
        </w:tc>
        <w:tc>
          <w:tcPr>
            <w:tcW w:w="1587" w:type="dxa"/>
          </w:tcPr>
          <w:p w14:paraId="1319490D" w14:textId="15CB4027" w:rsidR="00BC7DDA" w:rsidRPr="00BD6C5F" w:rsidRDefault="009B03E9" w:rsidP="00C53813">
            <w:pPr>
              <w:pStyle w:val="Tabletext"/>
              <w:rPr>
                <w:b w:val="0"/>
                <w:bCs/>
              </w:rPr>
            </w:pPr>
            <w:r w:rsidRPr="00BD6C5F">
              <w:rPr>
                <w:bCs/>
              </w:rPr>
              <w:t>Payment interval (weekly / fortnightly</w:t>
            </w:r>
            <w:r w:rsidR="00C53813" w:rsidRPr="00BD6C5F">
              <w:rPr>
                <w:bCs/>
              </w:rPr>
              <w:t xml:space="preserve"> </w:t>
            </w:r>
            <w:r w:rsidRPr="00BD6C5F">
              <w:rPr>
                <w:bCs/>
              </w:rPr>
              <w:t>/ monthly)</w:t>
            </w:r>
          </w:p>
        </w:tc>
        <w:tc>
          <w:tcPr>
            <w:tcW w:w="3061" w:type="dxa"/>
          </w:tcPr>
          <w:p w14:paraId="4C14208F" w14:textId="77777777" w:rsidR="00BC7DDA" w:rsidRPr="00BD6C5F" w:rsidRDefault="009B03E9" w:rsidP="00C53813">
            <w:pPr>
              <w:pStyle w:val="Tabletext"/>
              <w:rPr>
                <w:b w:val="0"/>
                <w:bCs/>
              </w:rPr>
            </w:pPr>
            <w:r w:rsidRPr="00BD6C5F">
              <w:rPr>
                <w:bCs/>
              </w:rPr>
              <w:t>Bonus payment for previous 12 months (please specify whether contractual or discretionary entitlement)</w:t>
            </w:r>
          </w:p>
        </w:tc>
        <w:tc>
          <w:tcPr>
            <w:tcW w:w="1134" w:type="dxa"/>
          </w:tcPr>
          <w:p w14:paraId="3F066ECE" w14:textId="77777777" w:rsidR="00BC7DDA" w:rsidRPr="00BD6C5F" w:rsidRDefault="009B03E9" w:rsidP="00C53813">
            <w:pPr>
              <w:pStyle w:val="Tabletext"/>
              <w:rPr>
                <w:b w:val="0"/>
                <w:bCs/>
              </w:rPr>
            </w:pPr>
            <w:r w:rsidRPr="00BD6C5F">
              <w:rPr>
                <w:bCs/>
              </w:rPr>
              <w:t>Pay review method</w:t>
            </w:r>
          </w:p>
        </w:tc>
        <w:tc>
          <w:tcPr>
            <w:tcW w:w="1474" w:type="dxa"/>
          </w:tcPr>
          <w:p w14:paraId="4CE11A4B" w14:textId="77777777" w:rsidR="00BC7DDA" w:rsidRPr="00BD6C5F" w:rsidRDefault="009B03E9" w:rsidP="00C53813">
            <w:pPr>
              <w:pStyle w:val="Tabletext"/>
              <w:rPr>
                <w:b w:val="0"/>
                <w:bCs/>
              </w:rPr>
            </w:pPr>
            <w:r w:rsidRPr="00BD6C5F">
              <w:rPr>
                <w:bCs/>
              </w:rPr>
              <w:t>Frequency of pay reviews</w:t>
            </w:r>
          </w:p>
        </w:tc>
        <w:tc>
          <w:tcPr>
            <w:tcW w:w="1417" w:type="dxa"/>
          </w:tcPr>
          <w:p w14:paraId="06234926" w14:textId="77777777" w:rsidR="00BC7DDA" w:rsidRPr="00BD6C5F" w:rsidRDefault="009B03E9" w:rsidP="00C53813">
            <w:pPr>
              <w:pStyle w:val="Tabletext"/>
              <w:rPr>
                <w:b w:val="0"/>
                <w:bCs/>
              </w:rPr>
            </w:pPr>
            <w:r w:rsidRPr="00BD6C5F">
              <w:rPr>
                <w:bCs/>
              </w:rPr>
              <w:t>Agreed pay increases</w:t>
            </w:r>
          </w:p>
        </w:tc>
        <w:tc>
          <w:tcPr>
            <w:tcW w:w="1304" w:type="dxa"/>
          </w:tcPr>
          <w:p w14:paraId="24D6B7B1" w14:textId="77777777" w:rsidR="00BC7DDA" w:rsidRPr="00BD6C5F" w:rsidRDefault="009B03E9" w:rsidP="00C53813">
            <w:pPr>
              <w:pStyle w:val="Tabletext"/>
              <w:rPr>
                <w:b w:val="0"/>
                <w:bCs/>
              </w:rPr>
            </w:pPr>
            <w:r w:rsidRPr="00BD6C5F">
              <w:rPr>
                <w:bCs/>
              </w:rPr>
              <w:t>Next pay review date</w:t>
            </w:r>
          </w:p>
        </w:tc>
      </w:tr>
      <w:tr w:rsidR="00BC7DDA" w:rsidRPr="00BD6C5F" w14:paraId="2FCC12B4" w14:textId="77777777" w:rsidTr="00327E90">
        <w:trPr>
          <w:trHeight w:val="680"/>
        </w:trPr>
        <w:tc>
          <w:tcPr>
            <w:tcW w:w="1416" w:type="dxa"/>
          </w:tcPr>
          <w:p w14:paraId="45BC3D07" w14:textId="77777777" w:rsidR="00BC7DDA" w:rsidRPr="00BD6C5F" w:rsidRDefault="009B03E9" w:rsidP="00C53813">
            <w:pPr>
              <w:pStyle w:val="Tabletext"/>
              <w:rPr>
                <w:b/>
                <w:bCs/>
              </w:rPr>
            </w:pPr>
            <w:r w:rsidRPr="00BD6C5F">
              <w:rPr>
                <w:b/>
                <w:bCs/>
              </w:rPr>
              <w:t>Emp No 1</w:t>
            </w:r>
          </w:p>
        </w:tc>
        <w:tc>
          <w:tcPr>
            <w:tcW w:w="2494" w:type="dxa"/>
            <w:tcBorders>
              <w:right w:val="double" w:sz="4" w:space="0" w:color="auto"/>
            </w:tcBorders>
          </w:tcPr>
          <w:p w14:paraId="617E14C6" w14:textId="77777777" w:rsidR="00BC7DDA" w:rsidRPr="00BD6C5F" w:rsidRDefault="00BC7DDA" w:rsidP="00C53813">
            <w:pPr>
              <w:pStyle w:val="Tabletext"/>
            </w:pPr>
          </w:p>
        </w:tc>
        <w:tc>
          <w:tcPr>
            <w:tcW w:w="1247" w:type="dxa"/>
            <w:tcBorders>
              <w:left w:val="double" w:sz="4" w:space="0" w:color="auto"/>
            </w:tcBorders>
          </w:tcPr>
          <w:p w14:paraId="3CEFEAF6" w14:textId="77777777" w:rsidR="00BC7DDA" w:rsidRPr="00BD6C5F" w:rsidRDefault="00BC7DDA" w:rsidP="00C53813">
            <w:pPr>
              <w:pStyle w:val="Tabletext"/>
            </w:pPr>
          </w:p>
        </w:tc>
        <w:tc>
          <w:tcPr>
            <w:tcW w:w="1587" w:type="dxa"/>
          </w:tcPr>
          <w:p w14:paraId="5B15C2F2" w14:textId="77777777" w:rsidR="00BC7DDA" w:rsidRPr="00BD6C5F" w:rsidRDefault="00BC7DDA" w:rsidP="00C53813">
            <w:pPr>
              <w:pStyle w:val="Tabletext"/>
            </w:pPr>
          </w:p>
        </w:tc>
        <w:tc>
          <w:tcPr>
            <w:tcW w:w="3061" w:type="dxa"/>
          </w:tcPr>
          <w:p w14:paraId="6CE4A71C" w14:textId="77777777" w:rsidR="00BC7DDA" w:rsidRPr="00BD6C5F" w:rsidRDefault="00BC7DDA" w:rsidP="00C53813">
            <w:pPr>
              <w:pStyle w:val="Tabletext"/>
            </w:pPr>
          </w:p>
        </w:tc>
        <w:tc>
          <w:tcPr>
            <w:tcW w:w="1134" w:type="dxa"/>
          </w:tcPr>
          <w:p w14:paraId="1AEBDE47" w14:textId="77777777" w:rsidR="00BC7DDA" w:rsidRPr="00BD6C5F" w:rsidRDefault="00BC7DDA" w:rsidP="00C53813">
            <w:pPr>
              <w:pStyle w:val="Tabletext"/>
            </w:pPr>
          </w:p>
        </w:tc>
        <w:tc>
          <w:tcPr>
            <w:tcW w:w="1474" w:type="dxa"/>
          </w:tcPr>
          <w:p w14:paraId="65BAFC11" w14:textId="77777777" w:rsidR="00BC7DDA" w:rsidRPr="00BD6C5F" w:rsidRDefault="00BC7DDA" w:rsidP="00C53813">
            <w:pPr>
              <w:pStyle w:val="Tabletext"/>
            </w:pPr>
          </w:p>
        </w:tc>
        <w:tc>
          <w:tcPr>
            <w:tcW w:w="1417" w:type="dxa"/>
          </w:tcPr>
          <w:p w14:paraId="516513CF" w14:textId="77777777" w:rsidR="00BC7DDA" w:rsidRPr="00BD6C5F" w:rsidRDefault="00BC7DDA" w:rsidP="00C53813">
            <w:pPr>
              <w:pStyle w:val="Tabletext"/>
            </w:pPr>
          </w:p>
        </w:tc>
        <w:tc>
          <w:tcPr>
            <w:tcW w:w="1304" w:type="dxa"/>
          </w:tcPr>
          <w:p w14:paraId="2DB5BACD" w14:textId="77777777" w:rsidR="00BC7DDA" w:rsidRPr="00BD6C5F" w:rsidRDefault="00BC7DDA" w:rsidP="00C53813">
            <w:pPr>
              <w:pStyle w:val="Tabletext"/>
            </w:pPr>
          </w:p>
        </w:tc>
      </w:tr>
      <w:tr w:rsidR="00BC7DDA" w:rsidRPr="00BD6C5F" w14:paraId="465167E4" w14:textId="77777777" w:rsidTr="00327E90">
        <w:trPr>
          <w:trHeight w:val="680"/>
        </w:trPr>
        <w:tc>
          <w:tcPr>
            <w:tcW w:w="1416" w:type="dxa"/>
          </w:tcPr>
          <w:p w14:paraId="42F66120" w14:textId="77777777" w:rsidR="00BC7DDA" w:rsidRPr="00BD6C5F" w:rsidRDefault="009B03E9" w:rsidP="00C53813">
            <w:pPr>
              <w:pStyle w:val="Tabletext"/>
              <w:rPr>
                <w:b/>
                <w:bCs/>
              </w:rPr>
            </w:pPr>
            <w:r w:rsidRPr="00BD6C5F">
              <w:rPr>
                <w:b/>
                <w:bCs/>
              </w:rPr>
              <w:t>Emp No 2</w:t>
            </w:r>
          </w:p>
        </w:tc>
        <w:tc>
          <w:tcPr>
            <w:tcW w:w="2494" w:type="dxa"/>
            <w:tcBorders>
              <w:right w:val="double" w:sz="4" w:space="0" w:color="auto"/>
            </w:tcBorders>
          </w:tcPr>
          <w:p w14:paraId="00F8EB62" w14:textId="77777777" w:rsidR="00BC7DDA" w:rsidRPr="00BD6C5F" w:rsidRDefault="00BC7DDA" w:rsidP="00C53813">
            <w:pPr>
              <w:pStyle w:val="Tabletext"/>
            </w:pPr>
          </w:p>
        </w:tc>
        <w:tc>
          <w:tcPr>
            <w:tcW w:w="1247" w:type="dxa"/>
            <w:tcBorders>
              <w:left w:val="double" w:sz="4" w:space="0" w:color="auto"/>
            </w:tcBorders>
          </w:tcPr>
          <w:p w14:paraId="686AD183" w14:textId="77777777" w:rsidR="00BC7DDA" w:rsidRPr="00BD6C5F" w:rsidRDefault="00BC7DDA" w:rsidP="00C53813">
            <w:pPr>
              <w:pStyle w:val="Tabletext"/>
            </w:pPr>
          </w:p>
        </w:tc>
        <w:tc>
          <w:tcPr>
            <w:tcW w:w="1587" w:type="dxa"/>
          </w:tcPr>
          <w:p w14:paraId="64F4704C" w14:textId="77777777" w:rsidR="00BC7DDA" w:rsidRPr="00BD6C5F" w:rsidRDefault="00BC7DDA" w:rsidP="00C53813">
            <w:pPr>
              <w:pStyle w:val="Tabletext"/>
            </w:pPr>
          </w:p>
        </w:tc>
        <w:tc>
          <w:tcPr>
            <w:tcW w:w="3061" w:type="dxa"/>
          </w:tcPr>
          <w:p w14:paraId="1084F385" w14:textId="77777777" w:rsidR="00BC7DDA" w:rsidRPr="00BD6C5F" w:rsidRDefault="00BC7DDA" w:rsidP="00C53813">
            <w:pPr>
              <w:pStyle w:val="Tabletext"/>
            </w:pPr>
          </w:p>
        </w:tc>
        <w:tc>
          <w:tcPr>
            <w:tcW w:w="1134" w:type="dxa"/>
          </w:tcPr>
          <w:p w14:paraId="577EFBF9" w14:textId="77777777" w:rsidR="00BC7DDA" w:rsidRPr="00BD6C5F" w:rsidRDefault="00BC7DDA" w:rsidP="00C53813">
            <w:pPr>
              <w:pStyle w:val="Tabletext"/>
            </w:pPr>
          </w:p>
        </w:tc>
        <w:tc>
          <w:tcPr>
            <w:tcW w:w="1474" w:type="dxa"/>
          </w:tcPr>
          <w:p w14:paraId="3D956450" w14:textId="77777777" w:rsidR="00BC7DDA" w:rsidRPr="00BD6C5F" w:rsidRDefault="00BC7DDA" w:rsidP="00C53813">
            <w:pPr>
              <w:pStyle w:val="Tabletext"/>
            </w:pPr>
          </w:p>
        </w:tc>
        <w:tc>
          <w:tcPr>
            <w:tcW w:w="1417" w:type="dxa"/>
          </w:tcPr>
          <w:p w14:paraId="27361746" w14:textId="77777777" w:rsidR="00BC7DDA" w:rsidRPr="00BD6C5F" w:rsidRDefault="00BC7DDA" w:rsidP="00C53813">
            <w:pPr>
              <w:pStyle w:val="Tabletext"/>
            </w:pPr>
          </w:p>
        </w:tc>
        <w:tc>
          <w:tcPr>
            <w:tcW w:w="1304" w:type="dxa"/>
          </w:tcPr>
          <w:p w14:paraId="61279379" w14:textId="77777777" w:rsidR="00BC7DDA" w:rsidRPr="00BD6C5F" w:rsidRDefault="00BC7DDA" w:rsidP="00C53813">
            <w:pPr>
              <w:pStyle w:val="Tabletext"/>
            </w:pPr>
          </w:p>
        </w:tc>
      </w:tr>
      <w:tr w:rsidR="00BC7DDA" w:rsidRPr="00BD6C5F" w14:paraId="5B9018ED" w14:textId="77777777" w:rsidTr="00327E90">
        <w:trPr>
          <w:trHeight w:val="680"/>
        </w:trPr>
        <w:tc>
          <w:tcPr>
            <w:tcW w:w="1416" w:type="dxa"/>
          </w:tcPr>
          <w:p w14:paraId="3C0B74FD" w14:textId="77777777" w:rsidR="00BC7DDA" w:rsidRPr="00BD6C5F" w:rsidRDefault="009B03E9" w:rsidP="00C53813">
            <w:pPr>
              <w:pStyle w:val="Tabletext"/>
              <w:rPr>
                <w:b/>
                <w:bCs/>
              </w:rPr>
            </w:pPr>
            <w:r w:rsidRPr="00BD6C5F">
              <w:rPr>
                <w:b/>
                <w:bCs/>
              </w:rPr>
              <w:t>Emp No</w:t>
            </w:r>
          </w:p>
        </w:tc>
        <w:tc>
          <w:tcPr>
            <w:tcW w:w="2494" w:type="dxa"/>
            <w:tcBorders>
              <w:right w:val="double" w:sz="4" w:space="0" w:color="auto"/>
            </w:tcBorders>
          </w:tcPr>
          <w:p w14:paraId="1E93DB9D" w14:textId="77777777" w:rsidR="00BC7DDA" w:rsidRPr="00BD6C5F" w:rsidRDefault="00BC7DDA" w:rsidP="00C53813">
            <w:pPr>
              <w:pStyle w:val="Tabletext"/>
            </w:pPr>
          </w:p>
        </w:tc>
        <w:tc>
          <w:tcPr>
            <w:tcW w:w="1247" w:type="dxa"/>
            <w:tcBorders>
              <w:left w:val="double" w:sz="4" w:space="0" w:color="auto"/>
            </w:tcBorders>
          </w:tcPr>
          <w:p w14:paraId="295CD760" w14:textId="77777777" w:rsidR="00BC7DDA" w:rsidRPr="00BD6C5F" w:rsidRDefault="00BC7DDA" w:rsidP="00C53813">
            <w:pPr>
              <w:pStyle w:val="Tabletext"/>
            </w:pPr>
          </w:p>
        </w:tc>
        <w:tc>
          <w:tcPr>
            <w:tcW w:w="1587" w:type="dxa"/>
          </w:tcPr>
          <w:p w14:paraId="69BF4056" w14:textId="77777777" w:rsidR="00BC7DDA" w:rsidRPr="00BD6C5F" w:rsidRDefault="00BC7DDA" w:rsidP="00C53813">
            <w:pPr>
              <w:pStyle w:val="Tabletext"/>
            </w:pPr>
          </w:p>
        </w:tc>
        <w:tc>
          <w:tcPr>
            <w:tcW w:w="3061" w:type="dxa"/>
          </w:tcPr>
          <w:p w14:paraId="69140180" w14:textId="77777777" w:rsidR="00BC7DDA" w:rsidRPr="00BD6C5F" w:rsidRDefault="00BC7DDA" w:rsidP="00C53813">
            <w:pPr>
              <w:pStyle w:val="Tabletext"/>
            </w:pPr>
          </w:p>
        </w:tc>
        <w:tc>
          <w:tcPr>
            <w:tcW w:w="1134" w:type="dxa"/>
          </w:tcPr>
          <w:p w14:paraId="3F8A78AC" w14:textId="77777777" w:rsidR="00BC7DDA" w:rsidRPr="00BD6C5F" w:rsidRDefault="00BC7DDA" w:rsidP="00C53813">
            <w:pPr>
              <w:pStyle w:val="Tabletext"/>
            </w:pPr>
          </w:p>
        </w:tc>
        <w:tc>
          <w:tcPr>
            <w:tcW w:w="1474" w:type="dxa"/>
          </w:tcPr>
          <w:p w14:paraId="3E442AE9" w14:textId="77777777" w:rsidR="00BC7DDA" w:rsidRPr="00BD6C5F" w:rsidRDefault="00BC7DDA" w:rsidP="00C53813">
            <w:pPr>
              <w:pStyle w:val="Tabletext"/>
            </w:pPr>
          </w:p>
        </w:tc>
        <w:tc>
          <w:tcPr>
            <w:tcW w:w="1417" w:type="dxa"/>
          </w:tcPr>
          <w:p w14:paraId="582F10F9" w14:textId="77777777" w:rsidR="00BC7DDA" w:rsidRPr="00BD6C5F" w:rsidRDefault="00BC7DDA" w:rsidP="00C53813">
            <w:pPr>
              <w:pStyle w:val="Tabletext"/>
            </w:pPr>
          </w:p>
        </w:tc>
        <w:tc>
          <w:tcPr>
            <w:tcW w:w="1304" w:type="dxa"/>
          </w:tcPr>
          <w:p w14:paraId="20AB029E" w14:textId="77777777" w:rsidR="00BC7DDA" w:rsidRPr="00BD6C5F" w:rsidRDefault="00BC7DDA" w:rsidP="00C53813">
            <w:pPr>
              <w:pStyle w:val="Tabletext"/>
            </w:pPr>
          </w:p>
        </w:tc>
      </w:tr>
      <w:tr w:rsidR="00BC7DDA" w:rsidRPr="00BD6C5F" w14:paraId="4E09E68D" w14:textId="77777777" w:rsidTr="00327E90">
        <w:trPr>
          <w:trHeight w:val="680"/>
        </w:trPr>
        <w:tc>
          <w:tcPr>
            <w:tcW w:w="1416" w:type="dxa"/>
          </w:tcPr>
          <w:p w14:paraId="42191869" w14:textId="77777777" w:rsidR="00BC7DDA" w:rsidRPr="00BD6C5F" w:rsidRDefault="009B03E9" w:rsidP="00C53813">
            <w:pPr>
              <w:pStyle w:val="Tabletext"/>
              <w:rPr>
                <w:b/>
                <w:bCs/>
              </w:rPr>
            </w:pPr>
            <w:r w:rsidRPr="00BD6C5F">
              <w:rPr>
                <w:b/>
                <w:bCs/>
              </w:rPr>
              <w:t>Emp No</w:t>
            </w:r>
          </w:p>
        </w:tc>
        <w:tc>
          <w:tcPr>
            <w:tcW w:w="2494" w:type="dxa"/>
            <w:tcBorders>
              <w:right w:val="double" w:sz="4" w:space="0" w:color="auto"/>
            </w:tcBorders>
          </w:tcPr>
          <w:p w14:paraId="57CA4597" w14:textId="77777777" w:rsidR="00BC7DDA" w:rsidRPr="00BD6C5F" w:rsidRDefault="00BC7DDA" w:rsidP="00C53813">
            <w:pPr>
              <w:pStyle w:val="Tabletext"/>
            </w:pPr>
          </w:p>
        </w:tc>
        <w:tc>
          <w:tcPr>
            <w:tcW w:w="1247" w:type="dxa"/>
            <w:tcBorders>
              <w:left w:val="double" w:sz="4" w:space="0" w:color="auto"/>
            </w:tcBorders>
          </w:tcPr>
          <w:p w14:paraId="05DC9CB5" w14:textId="77777777" w:rsidR="00BC7DDA" w:rsidRPr="00BD6C5F" w:rsidRDefault="00BC7DDA" w:rsidP="00C53813">
            <w:pPr>
              <w:pStyle w:val="Tabletext"/>
            </w:pPr>
          </w:p>
        </w:tc>
        <w:tc>
          <w:tcPr>
            <w:tcW w:w="1587" w:type="dxa"/>
          </w:tcPr>
          <w:p w14:paraId="7B747FFA" w14:textId="77777777" w:rsidR="00BC7DDA" w:rsidRPr="00BD6C5F" w:rsidRDefault="00BC7DDA" w:rsidP="00C53813">
            <w:pPr>
              <w:pStyle w:val="Tabletext"/>
            </w:pPr>
          </w:p>
        </w:tc>
        <w:tc>
          <w:tcPr>
            <w:tcW w:w="3061" w:type="dxa"/>
          </w:tcPr>
          <w:p w14:paraId="3F5E8AD0" w14:textId="77777777" w:rsidR="00BC7DDA" w:rsidRPr="00BD6C5F" w:rsidRDefault="00BC7DDA" w:rsidP="00C53813">
            <w:pPr>
              <w:pStyle w:val="Tabletext"/>
            </w:pPr>
          </w:p>
        </w:tc>
        <w:tc>
          <w:tcPr>
            <w:tcW w:w="1134" w:type="dxa"/>
          </w:tcPr>
          <w:p w14:paraId="2900241B" w14:textId="77777777" w:rsidR="00BC7DDA" w:rsidRPr="00BD6C5F" w:rsidRDefault="00BC7DDA" w:rsidP="00C53813">
            <w:pPr>
              <w:pStyle w:val="Tabletext"/>
            </w:pPr>
          </w:p>
        </w:tc>
        <w:tc>
          <w:tcPr>
            <w:tcW w:w="1474" w:type="dxa"/>
          </w:tcPr>
          <w:p w14:paraId="0575F1C9" w14:textId="77777777" w:rsidR="00BC7DDA" w:rsidRPr="00BD6C5F" w:rsidRDefault="00BC7DDA" w:rsidP="00C53813">
            <w:pPr>
              <w:pStyle w:val="Tabletext"/>
            </w:pPr>
          </w:p>
        </w:tc>
        <w:tc>
          <w:tcPr>
            <w:tcW w:w="1417" w:type="dxa"/>
          </w:tcPr>
          <w:p w14:paraId="18C9548F" w14:textId="77777777" w:rsidR="00BC7DDA" w:rsidRPr="00BD6C5F" w:rsidRDefault="00BC7DDA" w:rsidP="00C53813">
            <w:pPr>
              <w:pStyle w:val="Tabletext"/>
            </w:pPr>
          </w:p>
        </w:tc>
        <w:tc>
          <w:tcPr>
            <w:tcW w:w="1304" w:type="dxa"/>
          </w:tcPr>
          <w:p w14:paraId="7EBDAFB0" w14:textId="77777777" w:rsidR="00BC7DDA" w:rsidRPr="00BD6C5F" w:rsidRDefault="00BC7DDA" w:rsidP="00C53813">
            <w:pPr>
              <w:pStyle w:val="Tabletext"/>
            </w:pPr>
          </w:p>
        </w:tc>
      </w:tr>
      <w:tr w:rsidR="00BC7DDA" w:rsidRPr="00BD6C5F" w14:paraId="693EDD98" w14:textId="77777777" w:rsidTr="00327E90">
        <w:trPr>
          <w:trHeight w:val="680"/>
        </w:trPr>
        <w:tc>
          <w:tcPr>
            <w:tcW w:w="1416" w:type="dxa"/>
          </w:tcPr>
          <w:p w14:paraId="6CDE938D" w14:textId="77777777" w:rsidR="00BC7DDA" w:rsidRPr="00BD6C5F" w:rsidRDefault="009B03E9" w:rsidP="00C53813">
            <w:pPr>
              <w:pStyle w:val="Tabletext"/>
              <w:rPr>
                <w:b/>
                <w:bCs/>
              </w:rPr>
            </w:pPr>
            <w:r w:rsidRPr="00BD6C5F">
              <w:rPr>
                <w:b/>
                <w:bCs/>
              </w:rPr>
              <w:t>Emp No</w:t>
            </w:r>
          </w:p>
        </w:tc>
        <w:tc>
          <w:tcPr>
            <w:tcW w:w="2494" w:type="dxa"/>
            <w:tcBorders>
              <w:right w:val="double" w:sz="4" w:space="0" w:color="auto"/>
            </w:tcBorders>
          </w:tcPr>
          <w:p w14:paraId="31CF6A61" w14:textId="77777777" w:rsidR="00BC7DDA" w:rsidRPr="00BD6C5F" w:rsidRDefault="00BC7DDA" w:rsidP="00C53813">
            <w:pPr>
              <w:pStyle w:val="Tabletext"/>
            </w:pPr>
          </w:p>
        </w:tc>
        <w:tc>
          <w:tcPr>
            <w:tcW w:w="1247" w:type="dxa"/>
            <w:tcBorders>
              <w:left w:val="double" w:sz="4" w:space="0" w:color="auto"/>
            </w:tcBorders>
          </w:tcPr>
          <w:p w14:paraId="7D30E347" w14:textId="77777777" w:rsidR="00BC7DDA" w:rsidRPr="00BD6C5F" w:rsidRDefault="00BC7DDA" w:rsidP="00C53813">
            <w:pPr>
              <w:pStyle w:val="Tabletext"/>
            </w:pPr>
          </w:p>
        </w:tc>
        <w:tc>
          <w:tcPr>
            <w:tcW w:w="1587" w:type="dxa"/>
          </w:tcPr>
          <w:p w14:paraId="578C050A" w14:textId="77777777" w:rsidR="00BC7DDA" w:rsidRPr="00BD6C5F" w:rsidRDefault="00BC7DDA" w:rsidP="00C53813">
            <w:pPr>
              <w:pStyle w:val="Tabletext"/>
            </w:pPr>
          </w:p>
        </w:tc>
        <w:tc>
          <w:tcPr>
            <w:tcW w:w="3061" w:type="dxa"/>
          </w:tcPr>
          <w:p w14:paraId="31AA405A" w14:textId="77777777" w:rsidR="00BC7DDA" w:rsidRPr="00BD6C5F" w:rsidRDefault="00BC7DDA" w:rsidP="00C53813">
            <w:pPr>
              <w:pStyle w:val="Tabletext"/>
            </w:pPr>
          </w:p>
        </w:tc>
        <w:tc>
          <w:tcPr>
            <w:tcW w:w="1134" w:type="dxa"/>
          </w:tcPr>
          <w:p w14:paraId="6B738FDD" w14:textId="77777777" w:rsidR="00BC7DDA" w:rsidRPr="00BD6C5F" w:rsidRDefault="00BC7DDA" w:rsidP="00C53813">
            <w:pPr>
              <w:pStyle w:val="Tabletext"/>
            </w:pPr>
          </w:p>
        </w:tc>
        <w:tc>
          <w:tcPr>
            <w:tcW w:w="1474" w:type="dxa"/>
          </w:tcPr>
          <w:p w14:paraId="4B6302F3" w14:textId="77777777" w:rsidR="00BC7DDA" w:rsidRPr="00BD6C5F" w:rsidRDefault="00BC7DDA" w:rsidP="00C53813">
            <w:pPr>
              <w:pStyle w:val="Tabletext"/>
            </w:pPr>
          </w:p>
        </w:tc>
        <w:tc>
          <w:tcPr>
            <w:tcW w:w="1417" w:type="dxa"/>
          </w:tcPr>
          <w:p w14:paraId="3075133F" w14:textId="77777777" w:rsidR="00BC7DDA" w:rsidRPr="00BD6C5F" w:rsidRDefault="00BC7DDA" w:rsidP="00C53813">
            <w:pPr>
              <w:pStyle w:val="Tabletext"/>
            </w:pPr>
          </w:p>
        </w:tc>
        <w:tc>
          <w:tcPr>
            <w:tcW w:w="1304" w:type="dxa"/>
          </w:tcPr>
          <w:p w14:paraId="1670321A" w14:textId="77777777" w:rsidR="00BC7DDA" w:rsidRPr="00BD6C5F" w:rsidRDefault="00BC7DDA" w:rsidP="00C53813">
            <w:pPr>
              <w:pStyle w:val="Tabletext"/>
            </w:pPr>
          </w:p>
        </w:tc>
      </w:tr>
      <w:tr w:rsidR="00BC7DDA" w:rsidRPr="00BD6C5F" w14:paraId="0CC65086" w14:textId="77777777" w:rsidTr="00327E90">
        <w:trPr>
          <w:trHeight w:val="680"/>
        </w:trPr>
        <w:tc>
          <w:tcPr>
            <w:tcW w:w="1416" w:type="dxa"/>
          </w:tcPr>
          <w:p w14:paraId="2BC7FB5E" w14:textId="77777777" w:rsidR="00BC7DDA" w:rsidRPr="00BD6C5F" w:rsidRDefault="009B03E9" w:rsidP="00C53813">
            <w:pPr>
              <w:pStyle w:val="Tabletext"/>
              <w:rPr>
                <w:b/>
                <w:bCs/>
              </w:rPr>
            </w:pPr>
            <w:r w:rsidRPr="00BD6C5F">
              <w:rPr>
                <w:b/>
                <w:bCs/>
              </w:rPr>
              <w:t>Emp No</w:t>
            </w:r>
          </w:p>
        </w:tc>
        <w:tc>
          <w:tcPr>
            <w:tcW w:w="2494" w:type="dxa"/>
            <w:tcBorders>
              <w:right w:val="double" w:sz="4" w:space="0" w:color="auto"/>
            </w:tcBorders>
          </w:tcPr>
          <w:p w14:paraId="3203153F" w14:textId="77777777" w:rsidR="00BC7DDA" w:rsidRPr="00BD6C5F" w:rsidRDefault="00BC7DDA" w:rsidP="00C53813">
            <w:pPr>
              <w:pStyle w:val="Tabletext"/>
            </w:pPr>
          </w:p>
        </w:tc>
        <w:tc>
          <w:tcPr>
            <w:tcW w:w="1247" w:type="dxa"/>
            <w:tcBorders>
              <w:left w:val="double" w:sz="4" w:space="0" w:color="auto"/>
            </w:tcBorders>
          </w:tcPr>
          <w:p w14:paraId="3B52F265" w14:textId="77777777" w:rsidR="00BC7DDA" w:rsidRPr="00BD6C5F" w:rsidRDefault="00BC7DDA" w:rsidP="00C53813">
            <w:pPr>
              <w:pStyle w:val="Tabletext"/>
            </w:pPr>
          </w:p>
        </w:tc>
        <w:tc>
          <w:tcPr>
            <w:tcW w:w="1587" w:type="dxa"/>
          </w:tcPr>
          <w:p w14:paraId="7829E4BB" w14:textId="77777777" w:rsidR="00BC7DDA" w:rsidRPr="00BD6C5F" w:rsidRDefault="00BC7DDA" w:rsidP="00C53813">
            <w:pPr>
              <w:pStyle w:val="Tabletext"/>
            </w:pPr>
          </w:p>
        </w:tc>
        <w:tc>
          <w:tcPr>
            <w:tcW w:w="3061" w:type="dxa"/>
          </w:tcPr>
          <w:p w14:paraId="7A38C42E" w14:textId="77777777" w:rsidR="00BC7DDA" w:rsidRPr="00BD6C5F" w:rsidRDefault="00BC7DDA" w:rsidP="00C53813">
            <w:pPr>
              <w:pStyle w:val="Tabletext"/>
            </w:pPr>
          </w:p>
        </w:tc>
        <w:tc>
          <w:tcPr>
            <w:tcW w:w="1134" w:type="dxa"/>
          </w:tcPr>
          <w:p w14:paraId="6ECB086D" w14:textId="77777777" w:rsidR="00BC7DDA" w:rsidRPr="00BD6C5F" w:rsidRDefault="00BC7DDA" w:rsidP="00C53813">
            <w:pPr>
              <w:pStyle w:val="Tabletext"/>
            </w:pPr>
          </w:p>
        </w:tc>
        <w:tc>
          <w:tcPr>
            <w:tcW w:w="1474" w:type="dxa"/>
          </w:tcPr>
          <w:p w14:paraId="7E0F3734" w14:textId="77777777" w:rsidR="00BC7DDA" w:rsidRPr="00BD6C5F" w:rsidRDefault="00BC7DDA" w:rsidP="00C53813">
            <w:pPr>
              <w:pStyle w:val="Tabletext"/>
            </w:pPr>
          </w:p>
        </w:tc>
        <w:tc>
          <w:tcPr>
            <w:tcW w:w="1417" w:type="dxa"/>
          </w:tcPr>
          <w:p w14:paraId="28C5BE9A" w14:textId="77777777" w:rsidR="00BC7DDA" w:rsidRPr="00BD6C5F" w:rsidRDefault="00BC7DDA" w:rsidP="00C53813">
            <w:pPr>
              <w:pStyle w:val="Tabletext"/>
            </w:pPr>
          </w:p>
        </w:tc>
        <w:tc>
          <w:tcPr>
            <w:tcW w:w="1304" w:type="dxa"/>
          </w:tcPr>
          <w:p w14:paraId="452DE566" w14:textId="77777777" w:rsidR="00BC7DDA" w:rsidRPr="00BD6C5F" w:rsidRDefault="00BC7DDA" w:rsidP="00C53813">
            <w:pPr>
              <w:pStyle w:val="Tabletext"/>
            </w:pPr>
          </w:p>
        </w:tc>
      </w:tr>
      <w:tr w:rsidR="00BC7DDA" w:rsidRPr="00BD6C5F" w14:paraId="75A42DCA" w14:textId="77777777" w:rsidTr="00327E90">
        <w:trPr>
          <w:trHeight w:val="680"/>
        </w:trPr>
        <w:tc>
          <w:tcPr>
            <w:tcW w:w="1416" w:type="dxa"/>
          </w:tcPr>
          <w:p w14:paraId="2F0BEFAF" w14:textId="77777777" w:rsidR="00BC7DDA" w:rsidRPr="00BD6C5F" w:rsidRDefault="009B03E9" w:rsidP="00C53813">
            <w:pPr>
              <w:pStyle w:val="Tabletext"/>
              <w:rPr>
                <w:b/>
                <w:bCs/>
              </w:rPr>
            </w:pPr>
            <w:r w:rsidRPr="00BD6C5F">
              <w:rPr>
                <w:b/>
                <w:bCs/>
              </w:rPr>
              <w:t>Emp No</w:t>
            </w:r>
          </w:p>
        </w:tc>
        <w:tc>
          <w:tcPr>
            <w:tcW w:w="2494" w:type="dxa"/>
            <w:tcBorders>
              <w:right w:val="double" w:sz="4" w:space="0" w:color="auto"/>
            </w:tcBorders>
          </w:tcPr>
          <w:p w14:paraId="77F6DF97" w14:textId="77777777" w:rsidR="00BC7DDA" w:rsidRPr="00BD6C5F" w:rsidRDefault="00BC7DDA" w:rsidP="00C53813">
            <w:pPr>
              <w:pStyle w:val="Tabletext"/>
            </w:pPr>
          </w:p>
        </w:tc>
        <w:tc>
          <w:tcPr>
            <w:tcW w:w="1247" w:type="dxa"/>
            <w:tcBorders>
              <w:left w:val="double" w:sz="4" w:space="0" w:color="auto"/>
            </w:tcBorders>
          </w:tcPr>
          <w:p w14:paraId="54ECADF3" w14:textId="77777777" w:rsidR="00BC7DDA" w:rsidRPr="00BD6C5F" w:rsidRDefault="00BC7DDA" w:rsidP="00C53813">
            <w:pPr>
              <w:pStyle w:val="Tabletext"/>
            </w:pPr>
          </w:p>
        </w:tc>
        <w:tc>
          <w:tcPr>
            <w:tcW w:w="1587" w:type="dxa"/>
          </w:tcPr>
          <w:p w14:paraId="16DA1421" w14:textId="77777777" w:rsidR="00BC7DDA" w:rsidRPr="00BD6C5F" w:rsidRDefault="00BC7DDA" w:rsidP="00C53813">
            <w:pPr>
              <w:pStyle w:val="Tabletext"/>
            </w:pPr>
          </w:p>
        </w:tc>
        <w:tc>
          <w:tcPr>
            <w:tcW w:w="3061" w:type="dxa"/>
          </w:tcPr>
          <w:p w14:paraId="4742E917" w14:textId="77777777" w:rsidR="00BC7DDA" w:rsidRPr="00BD6C5F" w:rsidRDefault="00BC7DDA" w:rsidP="00C53813">
            <w:pPr>
              <w:pStyle w:val="Tabletext"/>
            </w:pPr>
          </w:p>
        </w:tc>
        <w:tc>
          <w:tcPr>
            <w:tcW w:w="1134" w:type="dxa"/>
          </w:tcPr>
          <w:p w14:paraId="6CF4EC8C" w14:textId="77777777" w:rsidR="00BC7DDA" w:rsidRPr="00BD6C5F" w:rsidRDefault="00BC7DDA" w:rsidP="00C53813">
            <w:pPr>
              <w:pStyle w:val="Tabletext"/>
            </w:pPr>
          </w:p>
        </w:tc>
        <w:tc>
          <w:tcPr>
            <w:tcW w:w="1474" w:type="dxa"/>
          </w:tcPr>
          <w:p w14:paraId="0B23A4DC" w14:textId="77777777" w:rsidR="00BC7DDA" w:rsidRPr="00BD6C5F" w:rsidRDefault="00BC7DDA" w:rsidP="00C53813">
            <w:pPr>
              <w:pStyle w:val="Tabletext"/>
            </w:pPr>
          </w:p>
        </w:tc>
        <w:tc>
          <w:tcPr>
            <w:tcW w:w="1417" w:type="dxa"/>
          </w:tcPr>
          <w:p w14:paraId="717831E8" w14:textId="77777777" w:rsidR="00BC7DDA" w:rsidRPr="00BD6C5F" w:rsidRDefault="00BC7DDA" w:rsidP="00C53813">
            <w:pPr>
              <w:pStyle w:val="Tabletext"/>
            </w:pPr>
          </w:p>
        </w:tc>
        <w:tc>
          <w:tcPr>
            <w:tcW w:w="1304" w:type="dxa"/>
          </w:tcPr>
          <w:p w14:paraId="2B1F9502" w14:textId="77777777" w:rsidR="00BC7DDA" w:rsidRPr="00BD6C5F" w:rsidRDefault="00BC7DDA" w:rsidP="00C53813">
            <w:pPr>
              <w:pStyle w:val="Tabletext"/>
            </w:pPr>
          </w:p>
        </w:tc>
      </w:tr>
    </w:tbl>
    <w:p w14:paraId="0837807D" w14:textId="766E8B25" w:rsidR="00BC7DDA" w:rsidRPr="00BD6C5F" w:rsidRDefault="00BC7DDA" w:rsidP="00C53813"/>
    <w:tbl>
      <w:tblPr>
        <w:tblStyle w:val="MSATable-header"/>
        <w:tblW w:w="15136" w:type="dxa"/>
        <w:tblLayout w:type="fixed"/>
        <w:tblLook w:val="0620" w:firstRow="1" w:lastRow="0" w:firstColumn="0" w:lastColumn="0" w:noHBand="1" w:noVBand="1"/>
      </w:tblPr>
      <w:tblGrid>
        <w:gridCol w:w="1416"/>
        <w:gridCol w:w="2154"/>
        <w:gridCol w:w="1531"/>
        <w:gridCol w:w="1587"/>
        <w:gridCol w:w="2041"/>
        <w:gridCol w:w="1871"/>
        <w:gridCol w:w="1531"/>
        <w:gridCol w:w="1474"/>
        <w:gridCol w:w="1531"/>
      </w:tblGrid>
      <w:tr w:rsidR="00BC7DDA" w:rsidRPr="00BD6C5F" w14:paraId="1DBD6AD6"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Borders>
              <w:top w:val="nil"/>
              <w:left w:val="nil"/>
            </w:tcBorders>
            <w:shd w:val="clear" w:color="auto" w:fill="auto"/>
          </w:tcPr>
          <w:p w14:paraId="5448E36C" w14:textId="77777777" w:rsidR="00BC7DDA" w:rsidRPr="00BD6C5F" w:rsidRDefault="00BC7DDA" w:rsidP="00E95E72">
            <w:pPr>
              <w:pStyle w:val="Tabletext"/>
              <w:rPr>
                <w:b w:val="0"/>
                <w:bCs/>
              </w:rPr>
            </w:pPr>
          </w:p>
        </w:tc>
        <w:tc>
          <w:tcPr>
            <w:tcW w:w="13720" w:type="dxa"/>
            <w:gridSpan w:val="8"/>
          </w:tcPr>
          <w:p w14:paraId="0B497FED" w14:textId="77777777" w:rsidR="00BC7DDA" w:rsidRPr="00BD6C5F" w:rsidRDefault="009B03E9" w:rsidP="00E95E72">
            <w:pPr>
              <w:pStyle w:val="Tabletext"/>
              <w:rPr>
                <w:b w:val="0"/>
                <w:bCs/>
              </w:rPr>
            </w:pPr>
            <w:r w:rsidRPr="00BD6C5F">
              <w:rPr>
                <w:bCs/>
              </w:rPr>
              <w:t>CONTRACTUAL PAY AND BENEFITS</w:t>
            </w:r>
          </w:p>
        </w:tc>
      </w:tr>
      <w:tr w:rsidR="00E95E72" w:rsidRPr="00BD6C5F" w14:paraId="515BD65A"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6" w:type="dxa"/>
          </w:tcPr>
          <w:p w14:paraId="06B84F04" w14:textId="77777777" w:rsidR="00E95E72" w:rsidRPr="00BD6C5F" w:rsidRDefault="00E95E72" w:rsidP="00E95E72">
            <w:pPr>
              <w:pStyle w:val="Tabletext"/>
              <w:rPr>
                <w:b w:val="0"/>
                <w:bCs/>
              </w:rPr>
            </w:pPr>
            <w:r w:rsidRPr="00BD6C5F">
              <w:rPr>
                <w:bCs/>
              </w:rPr>
              <w:t>Details</w:t>
            </w:r>
          </w:p>
        </w:tc>
        <w:tc>
          <w:tcPr>
            <w:tcW w:w="2154" w:type="dxa"/>
          </w:tcPr>
          <w:p w14:paraId="67BBF390" w14:textId="07098D44" w:rsidR="00E95E72" w:rsidRPr="00BD6C5F" w:rsidRDefault="00E95E72" w:rsidP="00E95E72">
            <w:pPr>
              <w:pStyle w:val="Tabletext"/>
              <w:rPr>
                <w:b w:val="0"/>
                <w:bCs/>
              </w:rPr>
            </w:pPr>
            <w:r w:rsidRPr="00BD6C5F">
              <w:rPr>
                <w:bCs/>
              </w:rPr>
              <w:t>Any existing or future commitment to training that has a time-off or financial implication</w:t>
            </w:r>
          </w:p>
        </w:tc>
        <w:tc>
          <w:tcPr>
            <w:tcW w:w="1531" w:type="dxa"/>
          </w:tcPr>
          <w:p w14:paraId="307BD479" w14:textId="58127F3C" w:rsidR="00E95E72" w:rsidRPr="00BD6C5F" w:rsidRDefault="00E95E72" w:rsidP="00E95E72">
            <w:pPr>
              <w:pStyle w:val="Tabletext"/>
              <w:rPr>
                <w:b w:val="0"/>
                <w:bCs/>
              </w:rPr>
            </w:pPr>
            <w:r w:rsidRPr="00BD6C5F">
              <w:rPr>
                <w:bCs/>
              </w:rPr>
              <w:t>Car allowance (£ per year)</w:t>
            </w:r>
          </w:p>
        </w:tc>
        <w:tc>
          <w:tcPr>
            <w:tcW w:w="1587" w:type="dxa"/>
          </w:tcPr>
          <w:p w14:paraId="1992F4C9" w14:textId="5745DD48" w:rsidR="00E95E72" w:rsidRPr="00BD6C5F" w:rsidRDefault="00E95E72" w:rsidP="00E95E72">
            <w:pPr>
              <w:pStyle w:val="Tabletext"/>
              <w:rPr>
                <w:b w:val="0"/>
                <w:bCs/>
              </w:rPr>
            </w:pPr>
            <w:r w:rsidRPr="00BD6C5F">
              <w:rPr>
                <w:bCs/>
              </w:rPr>
              <w:t>Lease or company car details</w:t>
            </w:r>
          </w:p>
        </w:tc>
        <w:tc>
          <w:tcPr>
            <w:tcW w:w="2041" w:type="dxa"/>
          </w:tcPr>
          <w:p w14:paraId="35C579CB" w14:textId="74692114" w:rsidR="00E95E72" w:rsidRPr="00BD6C5F" w:rsidRDefault="00E95E72" w:rsidP="00E95E72">
            <w:pPr>
              <w:pStyle w:val="Tabletext"/>
              <w:rPr>
                <w:b w:val="0"/>
                <w:bCs/>
              </w:rPr>
            </w:pPr>
            <w:r w:rsidRPr="00BD6C5F">
              <w:rPr>
                <w:bCs/>
              </w:rPr>
              <w:t>Any other allowances paid (e.g. shift allowance, standby allowance, travel allowance)</w:t>
            </w:r>
          </w:p>
        </w:tc>
        <w:tc>
          <w:tcPr>
            <w:tcW w:w="1871" w:type="dxa"/>
          </w:tcPr>
          <w:p w14:paraId="73DE321E" w14:textId="4E7769BA" w:rsidR="00E95E72" w:rsidRPr="00BD6C5F" w:rsidRDefault="00E95E72" w:rsidP="00E95E72">
            <w:pPr>
              <w:pStyle w:val="Tabletext"/>
              <w:rPr>
                <w:b w:val="0"/>
                <w:bCs/>
              </w:rPr>
            </w:pPr>
            <w:r w:rsidRPr="00BD6C5F">
              <w:rPr>
                <w:bCs/>
              </w:rPr>
              <w:t>Private medical insurance (please specify whether single or family cover)</w:t>
            </w:r>
          </w:p>
        </w:tc>
        <w:tc>
          <w:tcPr>
            <w:tcW w:w="1531" w:type="dxa"/>
          </w:tcPr>
          <w:p w14:paraId="2E358CC7" w14:textId="613904D8" w:rsidR="00E95E72" w:rsidRPr="00BD6C5F" w:rsidRDefault="00E95E72" w:rsidP="00E95E72">
            <w:pPr>
              <w:pStyle w:val="Tabletext"/>
              <w:rPr>
                <w:b w:val="0"/>
                <w:bCs/>
              </w:rPr>
            </w:pPr>
            <w:r w:rsidRPr="00BD6C5F">
              <w:rPr>
                <w:bCs/>
              </w:rPr>
              <w:t>Life assurance (xSalary)</w:t>
            </w:r>
          </w:p>
        </w:tc>
        <w:tc>
          <w:tcPr>
            <w:tcW w:w="1474" w:type="dxa"/>
          </w:tcPr>
          <w:p w14:paraId="57668D13" w14:textId="7CFD077E" w:rsidR="00E95E72" w:rsidRPr="00BD6C5F" w:rsidRDefault="00E95E72" w:rsidP="00E95E72">
            <w:pPr>
              <w:pStyle w:val="Tabletext"/>
              <w:rPr>
                <w:b w:val="0"/>
                <w:bCs/>
              </w:rPr>
            </w:pPr>
            <w:r w:rsidRPr="00BD6C5F">
              <w:rPr>
                <w:bCs/>
              </w:rPr>
              <w:t>Long Term Disability / PHI (% of Salary</w:t>
            </w:r>
          </w:p>
        </w:tc>
        <w:tc>
          <w:tcPr>
            <w:tcW w:w="1531" w:type="dxa"/>
          </w:tcPr>
          <w:p w14:paraId="143F097E" w14:textId="28319318" w:rsidR="00E95E72" w:rsidRPr="00BD6C5F" w:rsidRDefault="00E95E72" w:rsidP="00E95E72">
            <w:pPr>
              <w:pStyle w:val="Tabletext"/>
              <w:rPr>
                <w:b w:val="0"/>
                <w:bCs/>
              </w:rPr>
            </w:pPr>
            <w:r w:rsidRPr="00BD6C5F">
              <w:rPr>
                <w:bCs/>
              </w:rPr>
              <w:t>Any other benefits in kind</w:t>
            </w:r>
          </w:p>
        </w:tc>
      </w:tr>
      <w:tr w:rsidR="00BC7DDA" w:rsidRPr="00BD6C5F" w14:paraId="45024045" w14:textId="77777777" w:rsidTr="00327E90">
        <w:trPr>
          <w:trHeight w:val="680"/>
        </w:trPr>
        <w:tc>
          <w:tcPr>
            <w:tcW w:w="1416" w:type="dxa"/>
          </w:tcPr>
          <w:p w14:paraId="0993F8C1" w14:textId="77777777" w:rsidR="00BC7DDA" w:rsidRPr="00BD6C5F" w:rsidRDefault="009B03E9" w:rsidP="00E95E72">
            <w:pPr>
              <w:pStyle w:val="Tabletext"/>
              <w:rPr>
                <w:b/>
                <w:bCs/>
              </w:rPr>
            </w:pPr>
            <w:r w:rsidRPr="00BD6C5F">
              <w:rPr>
                <w:b/>
                <w:bCs/>
              </w:rPr>
              <w:t>Emp No 1</w:t>
            </w:r>
          </w:p>
        </w:tc>
        <w:tc>
          <w:tcPr>
            <w:tcW w:w="2154" w:type="dxa"/>
          </w:tcPr>
          <w:p w14:paraId="0CBABF63" w14:textId="77777777" w:rsidR="00BC7DDA" w:rsidRPr="00BD6C5F" w:rsidRDefault="00BC7DDA" w:rsidP="00E95E72">
            <w:pPr>
              <w:pStyle w:val="Tabletext"/>
            </w:pPr>
          </w:p>
        </w:tc>
        <w:tc>
          <w:tcPr>
            <w:tcW w:w="1531" w:type="dxa"/>
          </w:tcPr>
          <w:p w14:paraId="734CE013" w14:textId="77777777" w:rsidR="00BC7DDA" w:rsidRPr="00BD6C5F" w:rsidRDefault="00BC7DDA" w:rsidP="00E95E72">
            <w:pPr>
              <w:pStyle w:val="Tabletext"/>
            </w:pPr>
          </w:p>
        </w:tc>
        <w:tc>
          <w:tcPr>
            <w:tcW w:w="1587" w:type="dxa"/>
          </w:tcPr>
          <w:p w14:paraId="673D320F" w14:textId="77777777" w:rsidR="00BC7DDA" w:rsidRPr="00BD6C5F" w:rsidRDefault="00BC7DDA" w:rsidP="00E95E72">
            <w:pPr>
              <w:pStyle w:val="Tabletext"/>
            </w:pPr>
          </w:p>
        </w:tc>
        <w:tc>
          <w:tcPr>
            <w:tcW w:w="2041" w:type="dxa"/>
          </w:tcPr>
          <w:p w14:paraId="31B65EB7" w14:textId="77777777" w:rsidR="00BC7DDA" w:rsidRPr="00BD6C5F" w:rsidRDefault="00BC7DDA" w:rsidP="00E95E72">
            <w:pPr>
              <w:pStyle w:val="Tabletext"/>
            </w:pPr>
          </w:p>
        </w:tc>
        <w:tc>
          <w:tcPr>
            <w:tcW w:w="1871" w:type="dxa"/>
          </w:tcPr>
          <w:p w14:paraId="3C5C5039" w14:textId="77777777" w:rsidR="00BC7DDA" w:rsidRPr="00BD6C5F" w:rsidRDefault="00BC7DDA" w:rsidP="00E95E72">
            <w:pPr>
              <w:pStyle w:val="Tabletext"/>
            </w:pPr>
          </w:p>
        </w:tc>
        <w:tc>
          <w:tcPr>
            <w:tcW w:w="1531" w:type="dxa"/>
          </w:tcPr>
          <w:p w14:paraId="3C7E67F5" w14:textId="77777777" w:rsidR="00BC7DDA" w:rsidRPr="00BD6C5F" w:rsidRDefault="00BC7DDA" w:rsidP="00E95E72">
            <w:pPr>
              <w:pStyle w:val="Tabletext"/>
            </w:pPr>
          </w:p>
        </w:tc>
        <w:tc>
          <w:tcPr>
            <w:tcW w:w="1474" w:type="dxa"/>
          </w:tcPr>
          <w:p w14:paraId="58670642" w14:textId="77777777" w:rsidR="00BC7DDA" w:rsidRPr="00BD6C5F" w:rsidRDefault="00BC7DDA" w:rsidP="00E95E72">
            <w:pPr>
              <w:pStyle w:val="Tabletext"/>
            </w:pPr>
          </w:p>
        </w:tc>
        <w:tc>
          <w:tcPr>
            <w:tcW w:w="1531" w:type="dxa"/>
          </w:tcPr>
          <w:p w14:paraId="0367ED2B" w14:textId="77777777" w:rsidR="00BC7DDA" w:rsidRPr="00BD6C5F" w:rsidRDefault="00BC7DDA" w:rsidP="00E95E72">
            <w:pPr>
              <w:pStyle w:val="Tabletext"/>
            </w:pPr>
          </w:p>
        </w:tc>
      </w:tr>
      <w:tr w:rsidR="00BC7DDA" w:rsidRPr="00BD6C5F" w14:paraId="140C02B1" w14:textId="77777777" w:rsidTr="00327E90">
        <w:trPr>
          <w:trHeight w:val="680"/>
        </w:trPr>
        <w:tc>
          <w:tcPr>
            <w:tcW w:w="1416" w:type="dxa"/>
          </w:tcPr>
          <w:p w14:paraId="02687302" w14:textId="77777777" w:rsidR="00BC7DDA" w:rsidRPr="00BD6C5F" w:rsidRDefault="009B03E9" w:rsidP="00E95E72">
            <w:pPr>
              <w:pStyle w:val="Tabletext"/>
              <w:rPr>
                <w:b/>
                <w:bCs/>
              </w:rPr>
            </w:pPr>
            <w:r w:rsidRPr="00BD6C5F">
              <w:rPr>
                <w:b/>
                <w:bCs/>
              </w:rPr>
              <w:t>Emp No 2</w:t>
            </w:r>
          </w:p>
        </w:tc>
        <w:tc>
          <w:tcPr>
            <w:tcW w:w="2154" w:type="dxa"/>
          </w:tcPr>
          <w:p w14:paraId="7C10C254" w14:textId="77777777" w:rsidR="00BC7DDA" w:rsidRPr="00BD6C5F" w:rsidRDefault="00BC7DDA" w:rsidP="00E95E72">
            <w:pPr>
              <w:pStyle w:val="Tabletext"/>
            </w:pPr>
          </w:p>
        </w:tc>
        <w:tc>
          <w:tcPr>
            <w:tcW w:w="1531" w:type="dxa"/>
          </w:tcPr>
          <w:p w14:paraId="29FC0FF9" w14:textId="77777777" w:rsidR="00BC7DDA" w:rsidRPr="00BD6C5F" w:rsidRDefault="00BC7DDA" w:rsidP="00E95E72">
            <w:pPr>
              <w:pStyle w:val="Tabletext"/>
            </w:pPr>
          </w:p>
        </w:tc>
        <w:tc>
          <w:tcPr>
            <w:tcW w:w="1587" w:type="dxa"/>
          </w:tcPr>
          <w:p w14:paraId="45FD8CD0" w14:textId="77777777" w:rsidR="00BC7DDA" w:rsidRPr="00BD6C5F" w:rsidRDefault="00BC7DDA" w:rsidP="00E95E72">
            <w:pPr>
              <w:pStyle w:val="Tabletext"/>
            </w:pPr>
          </w:p>
        </w:tc>
        <w:tc>
          <w:tcPr>
            <w:tcW w:w="2041" w:type="dxa"/>
          </w:tcPr>
          <w:p w14:paraId="2B0FDABC" w14:textId="77777777" w:rsidR="00BC7DDA" w:rsidRPr="00BD6C5F" w:rsidRDefault="00BC7DDA" w:rsidP="00E95E72">
            <w:pPr>
              <w:pStyle w:val="Tabletext"/>
            </w:pPr>
          </w:p>
        </w:tc>
        <w:tc>
          <w:tcPr>
            <w:tcW w:w="1871" w:type="dxa"/>
          </w:tcPr>
          <w:p w14:paraId="1A47299A" w14:textId="77777777" w:rsidR="00BC7DDA" w:rsidRPr="00BD6C5F" w:rsidRDefault="00BC7DDA" w:rsidP="00E95E72">
            <w:pPr>
              <w:pStyle w:val="Tabletext"/>
            </w:pPr>
          </w:p>
        </w:tc>
        <w:tc>
          <w:tcPr>
            <w:tcW w:w="1531" w:type="dxa"/>
          </w:tcPr>
          <w:p w14:paraId="3713C17A" w14:textId="77777777" w:rsidR="00BC7DDA" w:rsidRPr="00BD6C5F" w:rsidRDefault="00BC7DDA" w:rsidP="00E95E72">
            <w:pPr>
              <w:pStyle w:val="Tabletext"/>
            </w:pPr>
          </w:p>
        </w:tc>
        <w:tc>
          <w:tcPr>
            <w:tcW w:w="1474" w:type="dxa"/>
          </w:tcPr>
          <w:p w14:paraId="0BF23892" w14:textId="77777777" w:rsidR="00BC7DDA" w:rsidRPr="00BD6C5F" w:rsidRDefault="00BC7DDA" w:rsidP="00E95E72">
            <w:pPr>
              <w:pStyle w:val="Tabletext"/>
            </w:pPr>
          </w:p>
        </w:tc>
        <w:tc>
          <w:tcPr>
            <w:tcW w:w="1531" w:type="dxa"/>
          </w:tcPr>
          <w:p w14:paraId="6670E4F2" w14:textId="77777777" w:rsidR="00BC7DDA" w:rsidRPr="00BD6C5F" w:rsidRDefault="00BC7DDA" w:rsidP="00E95E72">
            <w:pPr>
              <w:pStyle w:val="Tabletext"/>
            </w:pPr>
          </w:p>
        </w:tc>
      </w:tr>
      <w:tr w:rsidR="00BC7DDA" w:rsidRPr="00BD6C5F" w14:paraId="0C3C8997" w14:textId="77777777" w:rsidTr="00327E90">
        <w:trPr>
          <w:trHeight w:val="680"/>
        </w:trPr>
        <w:tc>
          <w:tcPr>
            <w:tcW w:w="1416" w:type="dxa"/>
          </w:tcPr>
          <w:p w14:paraId="2BCFED8F" w14:textId="77777777" w:rsidR="00BC7DDA" w:rsidRPr="00BD6C5F" w:rsidRDefault="009B03E9" w:rsidP="00E95E72">
            <w:pPr>
              <w:pStyle w:val="Tabletext"/>
              <w:rPr>
                <w:b/>
                <w:bCs/>
              </w:rPr>
            </w:pPr>
            <w:r w:rsidRPr="00BD6C5F">
              <w:rPr>
                <w:b/>
                <w:bCs/>
              </w:rPr>
              <w:t>Emp No</w:t>
            </w:r>
          </w:p>
        </w:tc>
        <w:tc>
          <w:tcPr>
            <w:tcW w:w="2154" w:type="dxa"/>
          </w:tcPr>
          <w:p w14:paraId="62D955B2" w14:textId="77777777" w:rsidR="00BC7DDA" w:rsidRPr="00BD6C5F" w:rsidRDefault="00BC7DDA" w:rsidP="00E95E72">
            <w:pPr>
              <w:pStyle w:val="Tabletext"/>
            </w:pPr>
          </w:p>
        </w:tc>
        <w:tc>
          <w:tcPr>
            <w:tcW w:w="1531" w:type="dxa"/>
          </w:tcPr>
          <w:p w14:paraId="46B98A32" w14:textId="77777777" w:rsidR="00BC7DDA" w:rsidRPr="00BD6C5F" w:rsidRDefault="00BC7DDA" w:rsidP="00E95E72">
            <w:pPr>
              <w:pStyle w:val="Tabletext"/>
            </w:pPr>
          </w:p>
        </w:tc>
        <w:tc>
          <w:tcPr>
            <w:tcW w:w="1587" w:type="dxa"/>
          </w:tcPr>
          <w:p w14:paraId="56F775A8" w14:textId="77777777" w:rsidR="00BC7DDA" w:rsidRPr="00BD6C5F" w:rsidRDefault="00BC7DDA" w:rsidP="00E95E72">
            <w:pPr>
              <w:pStyle w:val="Tabletext"/>
            </w:pPr>
          </w:p>
        </w:tc>
        <w:tc>
          <w:tcPr>
            <w:tcW w:w="2041" w:type="dxa"/>
          </w:tcPr>
          <w:p w14:paraId="6E699189" w14:textId="77777777" w:rsidR="00BC7DDA" w:rsidRPr="00BD6C5F" w:rsidRDefault="00BC7DDA" w:rsidP="00E95E72">
            <w:pPr>
              <w:pStyle w:val="Tabletext"/>
            </w:pPr>
          </w:p>
        </w:tc>
        <w:tc>
          <w:tcPr>
            <w:tcW w:w="1871" w:type="dxa"/>
          </w:tcPr>
          <w:p w14:paraId="63011700" w14:textId="77777777" w:rsidR="00BC7DDA" w:rsidRPr="00BD6C5F" w:rsidRDefault="00BC7DDA" w:rsidP="00E95E72">
            <w:pPr>
              <w:pStyle w:val="Tabletext"/>
            </w:pPr>
          </w:p>
        </w:tc>
        <w:tc>
          <w:tcPr>
            <w:tcW w:w="1531" w:type="dxa"/>
          </w:tcPr>
          <w:p w14:paraId="3BDC39EF" w14:textId="77777777" w:rsidR="00BC7DDA" w:rsidRPr="00BD6C5F" w:rsidRDefault="00BC7DDA" w:rsidP="00E95E72">
            <w:pPr>
              <w:pStyle w:val="Tabletext"/>
            </w:pPr>
          </w:p>
        </w:tc>
        <w:tc>
          <w:tcPr>
            <w:tcW w:w="1474" w:type="dxa"/>
          </w:tcPr>
          <w:p w14:paraId="0AA764FD" w14:textId="77777777" w:rsidR="00BC7DDA" w:rsidRPr="00BD6C5F" w:rsidRDefault="00BC7DDA" w:rsidP="00E95E72">
            <w:pPr>
              <w:pStyle w:val="Tabletext"/>
            </w:pPr>
          </w:p>
        </w:tc>
        <w:tc>
          <w:tcPr>
            <w:tcW w:w="1531" w:type="dxa"/>
          </w:tcPr>
          <w:p w14:paraId="52D9E53F" w14:textId="77777777" w:rsidR="00BC7DDA" w:rsidRPr="00BD6C5F" w:rsidRDefault="00BC7DDA" w:rsidP="00E95E72">
            <w:pPr>
              <w:pStyle w:val="Tabletext"/>
            </w:pPr>
          </w:p>
        </w:tc>
      </w:tr>
      <w:tr w:rsidR="00BC7DDA" w:rsidRPr="00BD6C5F" w14:paraId="7FF31882" w14:textId="77777777" w:rsidTr="00327E90">
        <w:trPr>
          <w:trHeight w:val="680"/>
        </w:trPr>
        <w:tc>
          <w:tcPr>
            <w:tcW w:w="1416" w:type="dxa"/>
          </w:tcPr>
          <w:p w14:paraId="09772852" w14:textId="77777777" w:rsidR="00BC7DDA" w:rsidRPr="00BD6C5F" w:rsidRDefault="009B03E9" w:rsidP="00E95E72">
            <w:pPr>
              <w:pStyle w:val="Tabletext"/>
              <w:rPr>
                <w:b/>
                <w:bCs/>
              </w:rPr>
            </w:pPr>
            <w:r w:rsidRPr="00BD6C5F">
              <w:rPr>
                <w:b/>
                <w:bCs/>
              </w:rPr>
              <w:t>Emp No</w:t>
            </w:r>
          </w:p>
        </w:tc>
        <w:tc>
          <w:tcPr>
            <w:tcW w:w="2154" w:type="dxa"/>
          </w:tcPr>
          <w:p w14:paraId="3B5289B0" w14:textId="77777777" w:rsidR="00BC7DDA" w:rsidRPr="00BD6C5F" w:rsidRDefault="00BC7DDA" w:rsidP="00E95E72">
            <w:pPr>
              <w:pStyle w:val="Tabletext"/>
            </w:pPr>
          </w:p>
        </w:tc>
        <w:tc>
          <w:tcPr>
            <w:tcW w:w="1531" w:type="dxa"/>
          </w:tcPr>
          <w:p w14:paraId="6878EBBE" w14:textId="77777777" w:rsidR="00BC7DDA" w:rsidRPr="00BD6C5F" w:rsidRDefault="00BC7DDA" w:rsidP="00E95E72">
            <w:pPr>
              <w:pStyle w:val="Tabletext"/>
            </w:pPr>
          </w:p>
        </w:tc>
        <w:tc>
          <w:tcPr>
            <w:tcW w:w="1587" w:type="dxa"/>
          </w:tcPr>
          <w:p w14:paraId="01F8CAD1" w14:textId="77777777" w:rsidR="00BC7DDA" w:rsidRPr="00BD6C5F" w:rsidRDefault="00BC7DDA" w:rsidP="00E95E72">
            <w:pPr>
              <w:pStyle w:val="Tabletext"/>
            </w:pPr>
          </w:p>
        </w:tc>
        <w:tc>
          <w:tcPr>
            <w:tcW w:w="2041" w:type="dxa"/>
          </w:tcPr>
          <w:p w14:paraId="408971E4" w14:textId="77777777" w:rsidR="00BC7DDA" w:rsidRPr="00BD6C5F" w:rsidRDefault="00BC7DDA" w:rsidP="00E95E72">
            <w:pPr>
              <w:pStyle w:val="Tabletext"/>
            </w:pPr>
          </w:p>
        </w:tc>
        <w:tc>
          <w:tcPr>
            <w:tcW w:w="1871" w:type="dxa"/>
          </w:tcPr>
          <w:p w14:paraId="73E319FC" w14:textId="77777777" w:rsidR="00BC7DDA" w:rsidRPr="00BD6C5F" w:rsidRDefault="00BC7DDA" w:rsidP="00E95E72">
            <w:pPr>
              <w:pStyle w:val="Tabletext"/>
            </w:pPr>
          </w:p>
        </w:tc>
        <w:tc>
          <w:tcPr>
            <w:tcW w:w="1531" w:type="dxa"/>
          </w:tcPr>
          <w:p w14:paraId="6A68C770" w14:textId="77777777" w:rsidR="00BC7DDA" w:rsidRPr="00BD6C5F" w:rsidRDefault="00BC7DDA" w:rsidP="00E95E72">
            <w:pPr>
              <w:pStyle w:val="Tabletext"/>
            </w:pPr>
          </w:p>
        </w:tc>
        <w:tc>
          <w:tcPr>
            <w:tcW w:w="1474" w:type="dxa"/>
          </w:tcPr>
          <w:p w14:paraId="50B80D4C" w14:textId="77777777" w:rsidR="00BC7DDA" w:rsidRPr="00BD6C5F" w:rsidRDefault="00BC7DDA" w:rsidP="00E95E72">
            <w:pPr>
              <w:pStyle w:val="Tabletext"/>
            </w:pPr>
          </w:p>
        </w:tc>
        <w:tc>
          <w:tcPr>
            <w:tcW w:w="1531" w:type="dxa"/>
          </w:tcPr>
          <w:p w14:paraId="3FE2EEE2" w14:textId="77777777" w:rsidR="00BC7DDA" w:rsidRPr="00BD6C5F" w:rsidRDefault="00BC7DDA" w:rsidP="00E95E72">
            <w:pPr>
              <w:pStyle w:val="Tabletext"/>
            </w:pPr>
          </w:p>
        </w:tc>
      </w:tr>
      <w:tr w:rsidR="00BC7DDA" w:rsidRPr="00BD6C5F" w14:paraId="7203C621" w14:textId="77777777" w:rsidTr="00327E90">
        <w:trPr>
          <w:trHeight w:val="680"/>
        </w:trPr>
        <w:tc>
          <w:tcPr>
            <w:tcW w:w="1416" w:type="dxa"/>
          </w:tcPr>
          <w:p w14:paraId="2C002D36" w14:textId="77777777" w:rsidR="00BC7DDA" w:rsidRPr="00BD6C5F" w:rsidRDefault="009B03E9" w:rsidP="00E95E72">
            <w:pPr>
              <w:pStyle w:val="Tabletext"/>
              <w:rPr>
                <w:b/>
                <w:bCs/>
              </w:rPr>
            </w:pPr>
            <w:r w:rsidRPr="00BD6C5F">
              <w:rPr>
                <w:b/>
                <w:bCs/>
              </w:rPr>
              <w:t>Emp No</w:t>
            </w:r>
          </w:p>
        </w:tc>
        <w:tc>
          <w:tcPr>
            <w:tcW w:w="2154" w:type="dxa"/>
          </w:tcPr>
          <w:p w14:paraId="1DD33F5F" w14:textId="77777777" w:rsidR="00BC7DDA" w:rsidRPr="00BD6C5F" w:rsidRDefault="00BC7DDA" w:rsidP="00E95E72">
            <w:pPr>
              <w:pStyle w:val="Tabletext"/>
            </w:pPr>
          </w:p>
        </w:tc>
        <w:tc>
          <w:tcPr>
            <w:tcW w:w="1531" w:type="dxa"/>
          </w:tcPr>
          <w:p w14:paraId="4C32CF51" w14:textId="77777777" w:rsidR="00BC7DDA" w:rsidRPr="00BD6C5F" w:rsidRDefault="00BC7DDA" w:rsidP="00E95E72">
            <w:pPr>
              <w:pStyle w:val="Tabletext"/>
            </w:pPr>
          </w:p>
        </w:tc>
        <w:tc>
          <w:tcPr>
            <w:tcW w:w="1587" w:type="dxa"/>
          </w:tcPr>
          <w:p w14:paraId="54482BEB" w14:textId="77777777" w:rsidR="00BC7DDA" w:rsidRPr="00BD6C5F" w:rsidRDefault="00BC7DDA" w:rsidP="00E95E72">
            <w:pPr>
              <w:pStyle w:val="Tabletext"/>
            </w:pPr>
          </w:p>
        </w:tc>
        <w:tc>
          <w:tcPr>
            <w:tcW w:w="2041" w:type="dxa"/>
          </w:tcPr>
          <w:p w14:paraId="6FC9B9E0" w14:textId="77777777" w:rsidR="00BC7DDA" w:rsidRPr="00BD6C5F" w:rsidRDefault="00BC7DDA" w:rsidP="00E95E72">
            <w:pPr>
              <w:pStyle w:val="Tabletext"/>
            </w:pPr>
          </w:p>
        </w:tc>
        <w:tc>
          <w:tcPr>
            <w:tcW w:w="1871" w:type="dxa"/>
          </w:tcPr>
          <w:p w14:paraId="28ECA89C" w14:textId="77777777" w:rsidR="00BC7DDA" w:rsidRPr="00BD6C5F" w:rsidRDefault="00BC7DDA" w:rsidP="00E95E72">
            <w:pPr>
              <w:pStyle w:val="Tabletext"/>
            </w:pPr>
          </w:p>
        </w:tc>
        <w:tc>
          <w:tcPr>
            <w:tcW w:w="1531" w:type="dxa"/>
          </w:tcPr>
          <w:p w14:paraId="1A0D213F" w14:textId="77777777" w:rsidR="00BC7DDA" w:rsidRPr="00BD6C5F" w:rsidRDefault="00BC7DDA" w:rsidP="00E95E72">
            <w:pPr>
              <w:pStyle w:val="Tabletext"/>
            </w:pPr>
          </w:p>
        </w:tc>
        <w:tc>
          <w:tcPr>
            <w:tcW w:w="1474" w:type="dxa"/>
          </w:tcPr>
          <w:p w14:paraId="04C126B0" w14:textId="77777777" w:rsidR="00BC7DDA" w:rsidRPr="00BD6C5F" w:rsidRDefault="00BC7DDA" w:rsidP="00E95E72">
            <w:pPr>
              <w:pStyle w:val="Tabletext"/>
            </w:pPr>
          </w:p>
        </w:tc>
        <w:tc>
          <w:tcPr>
            <w:tcW w:w="1531" w:type="dxa"/>
          </w:tcPr>
          <w:p w14:paraId="00F5D547" w14:textId="77777777" w:rsidR="00BC7DDA" w:rsidRPr="00BD6C5F" w:rsidRDefault="00BC7DDA" w:rsidP="00E95E72">
            <w:pPr>
              <w:pStyle w:val="Tabletext"/>
            </w:pPr>
          </w:p>
        </w:tc>
      </w:tr>
      <w:tr w:rsidR="00BC7DDA" w:rsidRPr="00BD6C5F" w14:paraId="42855208" w14:textId="77777777" w:rsidTr="00327E90">
        <w:trPr>
          <w:trHeight w:val="680"/>
        </w:trPr>
        <w:tc>
          <w:tcPr>
            <w:tcW w:w="1416" w:type="dxa"/>
          </w:tcPr>
          <w:p w14:paraId="15D4C8D1" w14:textId="77777777" w:rsidR="00BC7DDA" w:rsidRPr="00BD6C5F" w:rsidRDefault="009B03E9" w:rsidP="00E95E72">
            <w:pPr>
              <w:pStyle w:val="Tabletext"/>
              <w:rPr>
                <w:b/>
                <w:bCs/>
              </w:rPr>
            </w:pPr>
            <w:r w:rsidRPr="00BD6C5F">
              <w:rPr>
                <w:b/>
                <w:bCs/>
              </w:rPr>
              <w:t>Emp No</w:t>
            </w:r>
          </w:p>
        </w:tc>
        <w:tc>
          <w:tcPr>
            <w:tcW w:w="2154" w:type="dxa"/>
          </w:tcPr>
          <w:p w14:paraId="1F28BD70" w14:textId="77777777" w:rsidR="00BC7DDA" w:rsidRPr="00BD6C5F" w:rsidRDefault="00BC7DDA" w:rsidP="00E95E72">
            <w:pPr>
              <w:pStyle w:val="Tabletext"/>
            </w:pPr>
          </w:p>
        </w:tc>
        <w:tc>
          <w:tcPr>
            <w:tcW w:w="1531" w:type="dxa"/>
          </w:tcPr>
          <w:p w14:paraId="78F83E69" w14:textId="77777777" w:rsidR="00BC7DDA" w:rsidRPr="00BD6C5F" w:rsidRDefault="00BC7DDA" w:rsidP="00E95E72">
            <w:pPr>
              <w:pStyle w:val="Tabletext"/>
            </w:pPr>
          </w:p>
        </w:tc>
        <w:tc>
          <w:tcPr>
            <w:tcW w:w="1587" w:type="dxa"/>
          </w:tcPr>
          <w:p w14:paraId="667F4258" w14:textId="77777777" w:rsidR="00BC7DDA" w:rsidRPr="00BD6C5F" w:rsidRDefault="00BC7DDA" w:rsidP="00E95E72">
            <w:pPr>
              <w:pStyle w:val="Tabletext"/>
            </w:pPr>
          </w:p>
        </w:tc>
        <w:tc>
          <w:tcPr>
            <w:tcW w:w="2041" w:type="dxa"/>
          </w:tcPr>
          <w:p w14:paraId="3B212214" w14:textId="77777777" w:rsidR="00BC7DDA" w:rsidRPr="00BD6C5F" w:rsidRDefault="00BC7DDA" w:rsidP="00E95E72">
            <w:pPr>
              <w:pStyle w:val="Tabletext"/>
            </w:pPr>
          </w:p>
        </w:tc>
        <w:tc>
          <w:tcPr>
            <w:tcW w:w="1871" w:type="dxa"/>
          </w:tcPr>
          <w:p w14:paraId="012539A1" w14:textId="77777777" w:rsidR="00BC7DDA" w:rsidRPr="00BD6C5F" w:rsidRDefault="00BC7DDA" w:rsidP="00E95E72">
            <w:pPr>
              <w:pStyle w:val="Tabletext"/>
            </w:pPr>
          </w:p>
        </w:tc>
        <w:tc>
          <w:tcPr>
            <w:tcW w:w="1531" w:type="dxa"/>
          </w:tcPr>
          <w:p w14:paraId="0C20793C" w14:textId="77777777" w:rsidR="00BC7DDA" w:rsidRPr="00BD6C5F" w:rsidRDefault="00BC7DDA" w:rsidP="00E95E72">
            <w:pPr>
              <w:pStyle w:val="Tabletext"/>
            </w:pPr>
          </w:p>
        </w:tc>
        <w:tc>
          <w:tcPr>
            <w:tcW w:w="1474" w:type="dxa"/>
          </w:tcPr>
          <w:p w14:paraId="54D79890" w14:textId="77777777" w:rsidR="00BC7DDA" w:rsidRPr="00BD6C5F" w:rsidRDefault="00BC7DDA" w:rsidP="00E95E72">
            <w:pPr>
              <w:pStyle w:val="Tabletext"/>
            </w:pPr>
          </w:p>
        </w:tc>
        <w:tc>
          <w:tcPr>
            <w:tcW w:w="1531" w:type="dxa"/>
          </w:tcPr>
          <w:p w14:paraId="6E04A044" w14:textId="77777777" w:rsidR="00BC7DDA" w:rsidRPr="00BD6C5F" w:rsidRDefault="00BC7DDA" w:rsidP="00E95E72">
            <w:pPr>
              <w:pStyle w:val="Tabletext"/>
            </w:pPr>
          </w:p>
        </w:tc>
      </w:tr>
      <w:tr w:rsidR="00BC7DDA" w:rsidRPr="00BD6C5F" w14:paraId="2697821D" w14:textId="77777777" w:rsidTr="00327E90">
        <w:trPr>
          <w:trHeight w:val="680"/>
        </w:trPr>
        <w:tc>
          <w:tcPr>
            <w:tcW w:w="1416" w:type="dxa"/>
          </w:tcPr>
          <w:p w14:paraId="0FA8C42B" w14:textId="77777777" w:rsidR="00BC7DDA" w:rsidRPr="00BD6C5F" w:rsidRDefault="009B03E9" w:rsidP="00E95E72">
            <w:pPr>
              <w:pStyle w:val="Tabletext"/>
              <w:rPr>
                <w:b/>
                <w:bCs/>
              </w:rPr>
            </w:pPr>
            <w:r w:rsidRPr="00BD6C5F">
              <w:rPr>
                <w:b/>
                <w:bCs/>
              </w:rPr>
              <w:t>Emp No</w:t>
            </w:r>
          </w:p>
        </w:tc>
        <w:tc>
          <w:tcPr>
            <w:tcW w:w="2154" w:type="dxa"/>
          </w:tcPr>
          <w:p w14:paraId="587A4F21" w14:textId="77777777" w:rsidR="00BC7DDA" w:rsidRPr="00BD6C5F" w:rsidRDefault="00BC7DDA" w:rsidP="00E95E72">
            <w:pPr>
              <w:pStyle w:val="Tabletext"/>
            </w:pPr>
          </w:p>
        </w:tc>
        <w:tc>
          <w:tcPr>
            <w:tcW w:w="1531" w:type="dxa"/>
          </w:tcPr>
          <w:p w14:paraId="673A96F4" w14:textId="77777777" w:rsidR="00BC7DDA" w:rsidRPr="00BD6C5F" w:rsidRDefault="00BC7DDA" w:rsidP="00E95E72">
            <w:pPr>
              <w:pStyle w:val="Tabletext"/>
            </w:pPr>
          </w:p>
        </w:tc>
        <w:tc>
          <w:tcPr>
            <w:tcW w:w="1587" w:type="dxa"/>
          </w:tcPr>
          <w:p w14:paraId="4DBDF30B" w14:textId="77777777" w:rsidR="00BC7DDA" w:rsidRPr="00BD6C5F" w:rsidRDefault="00BC7DDA" w:rsidP="00E95E72">
            <w:pPr>
              <w:pStyle w:val="Tabletext"/>
            </w:pPr>
          </w:p>
        </w:tc>
        <w:tc>
          <w:tcPr>
            <w:tcW w:w="2041" w:type="dxa"/>
          </w:tcPr>
          <w:p w14:paraId="0B21D620" w14:textId="77777777" w:rsidR="00BC7DDA" w:rsidRPr="00BD6C5F" w:rsidRDefault="00BC7DDA" w:rsidP="00E95E72">
            <w:pPr>
              <w:pStyle w:val="Tabletext"/>
            </w:pPr>
          </w:p>
        </w:tc>
        <w:tc>
          <w:tcPr>
            <w:tcW w:w="1871" w:type="dxa"/>
          </w:tcPr>
          <w:p w14:paraId="2C203708" w14:textId="77777777" w:rsidR="00BC7DDA" w:rsidRPr="00BD6C5F" w:rsidRDefault="00BC7DDA" w:rsidP="00E95E72">
            <w:pPr>
              <w:pStyle w:val="Tabletext"/>
            </w:pPr>
          </w:p>
        </w:tc>
        <w:tc>
          <w:tcPr>
            <w:tcW w:w="1531" w:type="dxa"/>
          </w:tcPr>
          <w:p w14:paraId="6AEC0A97" w14:textId="77777777" w:rsidR="00BC7DDA" w:rsidRPr="00BD6C5F" w:rsidRDefault="00BC7DDA" w:rsidP="00E95E72">
            <w:pPr>
              <w:pStyle w:val="Tabletext"/>
            </w:pPr>
          </w:p>
        </w:tc>
        <w:tc>
          <w:tcPr>
            <w:tcW w:w="1474" w:type="dxa"/>
          </w:tcPr>
          <w:p w14:paraId="7C5F3724" w14:textId="77777777" w:rsidR="00BC7DDA" w:rsidRPr="00BD6C5F" w:rsidRDefault="00BC7DDA" w:rsidP="00E95E72">
            <w:pPr>
              <w:pStyle w:val="Tabletext"/>
            </w:pPr>
          </w:p>
        </w:tc>
        <w:tc>
          <w:tcPr>
            <w:tcW w:w="1531" w:type="dxa"/>
          </w:tcPr>
          <w:p w14:paraId="6BD35CAE" w14:textId="77777777" w:rsidR="00BC7DDA" w:rsidRPr="00BD6C5F" w:rsidRDefault="00BC7DDA" w:rsidP="00E95E72">
            <w:pPr>
              <w:pStyle w:val="Tabletext"/>
            </w:pPr>
          </w:p>
        </w:tc>
      </w:tr>
    </w:tbl>
    <w:p w14:paraId="1FD89D0A" w14:textId="0C863550" w:rsidR="00BC7DDA" w:rsidRPr="00BD6C5F" w:rsidRDefault="00BC7DDA" w:rsidP="00C53813"/>
    <w:tbl>
      <w:tblPr>
        <w:tblStyle w:val="MSATable-header"/>
        <w:tblW w:w="15136" w:type="dxa"/>
        <w:tblLayout w:type="fixed"/>
        <w:tblLook w:val="0620" w:firstRow="1" w:lastRow="0" w:firstColumn="0" w:lastColumn="0" w:noHBand="1" w:noVBand="1"/>
      </w:tblPr>
      <w:tblGrid>
        <w:gridCol w:w="1416"/>
        <w:gridCol w:w="1871"/>
        <w:gridCol w:w="1757"/>
        <w:gridCol w:w="4479"/>
        <w:gridCol w:w="2098"/>
        <w:gridCol w:w="1531"/>
        <w:gridCol w:w="1984"/>
      </w:tblGrid>
      <w:tr w:rsidR="00BC7DDA" w:rsidRPr="00BD6C5F" w14:paraId="123D0224" w14:textId="77777777" w:rsidTr="00F307AF">
        <w:trPr>
          <w:cnfStyle w:val="100000000000" w:firstRow="1" w:lastRow="0" w:firstColumn="0" w:lastColumn="0" w:oddVBand="0" w:evenVBand="0" w:oddHBand="0" w:evenHBand="0" w:firstRowFirstColumn="0" w:firstRowLastColumn="0" w:lastRowFirstColumn="0" w:lastRowLastColumn="0"/>
          <w:trHeight w:val="20"/>
          <w:tblHeader/>
        </w:trPr>
        <w:tc>
          <w:tcPr>
            <w:tcW w:w="1416" w:type="dxa"/>
            <w:tcBorders>
              <w:top w:val="nil"/>
              <w:left w:val="nil"/>
            </w:tcBorders>
            <w:shd w:val="clear" w:color="auto" w:fill="auto"/>
          </w:tcPr>
          <w:p w14:paraId="540D39DC" w14:textId="77777777" w:rsidR="00BC7DDA" w:rsidRPr="00BD6C5F" w:rsidRDefault="00BC7DDA" w:rsidP="00E95E72">
            <w:pPr>
              <w:pStyle w:val="Tabletext"/>
              <w:rPr>
                <w:b w:val="0"/>
                <w:bCs/>
              </w:rPr>
            </w:pPr>
          </w:p>
        </w:tc>
        <w:tc>
          <w:tcPr>
            <w:tcW w:w="13720" w:type="dxa"/>
            <w:gridSpan w:val="6"/>
          </w:tcPr>
          <w:p w14:paraId="1A7193BA" w14:textId="77777777" w:rsidR="00BC7DDA" w:rsidRPr="00BD6C5F" w:rsidRDefault="009B03E9" w:rsidP="00E95E72">
            <w:pPr>
              <w:pStyle w:val="Tabletext"/>
              <w:rPr>
                <w:b w:val="0"/>
                <w:bCs/>
              </w:rPr>
            </w:pPr>
            <w:r w:rsidRPr="00BD6C5F">
              <w:rPr>
                <w:bCs/>
              </w:rPr>
              <w:t>CONTRACTUAL PAY AND BENEFITS</w:t>
            </w:r>
          </w:p>
        </w:tc>
      </w:tr>
      <w:tr w:rsidR="00E95E72" w:rsidRPr="00BD6C5F" w14:paraId="02BB1824" w14:textId="77777777" w:rsidTr="00F307AF">
        <w:trPr>
          <w:cnfStyle w:val="100000000000" w:firstRow="1" w:lastRow="0" w:firstColumn="0" w:lastColumn="0" w:oddVBand="0" w:evenVBand="0" w:oddHBand="0" w:evenHBand="0" w:firstRowFirstColumn="0" w:firstRowLastColumn="0" w:lastRowFirstColumn="0" w:lastRowLastColumn="0"/>
          <w:trHeight w:val="20"/>
          <w:tblHeader/>
        </w:trPr>
        <w:tc>
          <w:tcPr>
            <w:tcW w:w="1416" w:type="dxa"/>
          </w:tcPr>
          <w:p w14:paraId="4987E210" w14:textId="77777777" w:rsidR="00E95E72" w:rsidRPr="00BD6C5F" w:rsidRDefault="00E95E72" w:rsidP="00E95E72">
            <w:pPr>
              <w:pStyle w:val="Tabletext"/>
              <w:rPr>
                <w:b w:val="0"/>
                <w:bCs/>
              </w:rPr>
            </w:pPr>
            <w:r w:rsidRPr="00BD6C5F">
              <w:rPr>
                <w:bCs/>
              </w:rPr>
              <w:t>Details</w:t>
            </w:r>
          </w:p>
        </w:tc>
        <w:tc>
          <w:tcPr>
            <w:tcW w:w="1871" w:type="dxa"/>
          </w:tcPr>
          <w:p w14:paraId="7CF8687C" w14:textId="54050F8D" w:rsidR="00E95E72" w:rsidRPr="00BD6C5F" w:rsidRDefault="00E95E72" w:rsidP="00E95E72">
            <w:pPr>
              <w:pStyle w:val="Tabletext"/>
              <w:rPr>
                <w:b w:val="0"/>
                <w:bCs/>
              </w:rPr>
            </w:pPr>
            <w:r w:rsidRPr="00BD6C5F">
              <w:rPr>
                <w:bCs/>
              </w:rPr>
              <w:t>Annual leave entitlement (excluding bank holidays)</w:t>
            </w:r>
          </w:p>
        </w:tc>
        <w:tc>
          <w:tcPr>
            <w:tcW w:w="1757" w:type="dxa"/>
          </w:tcPr>
          <w:p w14:paraId="60CD53BB" w14:textId="6AE27D5F" w:rsidR="00E95E72" w:rsidRPr="00BD6C5F" w:rsidRDefault="00E95E72" w:rsidP="00E95E72">
            <w:pPr>
              <w:pStyle w:val="Tabletext"/>
              <w:rPr>
                <w:b w:val="0"/>
                <w:bCs/>
              </w:rPr>
            </w:pPr>
            <w:r w:rsidRPr="00BD6C5F">
              <w:rPr>
                <w:bCs/>
              </w:rPr>
              <w:t>Bank holiday entitlement</w:t>
            </w:r>
          </w:p>
        </w:tc>
        <w:tc>
          <w:tcPr>
            <w:tcW w:w="4479" w:type="dxa"/>
          </w:tcPr>
          <w:p w14:paraId="40122259" w14:textId="110C01CA" w:rsidR="00E95E72" w:rsidRPr="00BD6C5F" w:rsidRDefault="00E95E72" w:rsidP="00E95E72">
            <w:pPr>
              <w:pStyle w:val="Tabletext"/>
              <w:rPr>
                <w:b w:val="0"/>
                <w:bCs/>
              </w:rPr>
            </w:pPr>
            <w:r w:rsidRPr="00BD6C5F">
              <w:rPr>
                <w:bCs/>
              </w:rPr>
              <w:t>Method of calculating holiday pay (i.e. based on fixed salary only or incl. entitlements to variable remuneration such as bonuses, allowances, commission or overtime pay?)</w:t>
            </w:r>
          </w:p>
        </w:tc>
        <w:tc>
          <w:tcPr>
            <w:tcW w:w="2098" w:type="dxa"/>
          </w:tcPr>
          <w:p w14:paraId="12BC7C03" w14:textId="40DD09AC" w:rsidR="00E95E72" w:rsidRPr="00BD6C5F" w:rsidRDefault="00E95E72" w:rsidP="00E95E72">
            <w:pPr>
              <w:pStyle w:val="Tabletext"/>
              <w:rPr>
                <w:b w:val="0"/>
                <w:bCs/>
              </w:rPr>
            </w:pPr>
            <w:r w:rsidRPr="00BD6C5F">
              <w:rPr>
                <w:bCs/>
              </w:rPr>
              <w:t>Maternity or paternity or shared parental leave entitlement and pay</w:t>
            </w:r>
          </w:p>
        </w:tc>
        <w:tc>
          <w:tcPr>
            <w:tcW w:w="1531" w:type="dxa"/>
          </w:tcPr>
          <w:p w14:paraId="63EE4419" w14:textId="39B57082" w:rsidR="00E95E72" w:rsidRPr="00BD6C5F" w:rsidRDefault="00E95E72" w:rsidP="00E95E72">
            <w:pPr>
              <w:pStyle w:val="Tabletext"/>
              <w:rPr>
                <w:b w:val="0"/>
                <w:bCs/>
              </w:rPr>
            </w:pPr>
            <w:r w:rsidRPr="00BD6C5F">
              <w:rPr>
                <w:bCs/>
              </w:rPr>
              <w:t>Sick leave entitlement and pay</w:t>
            </w:r>
          </w:p>
        </w:tc>
        <w:tc>
          <w:tcPr>
            <w:tcW w:w="1984" w:type="dxa"/>
          </w:tcPr>
          <w:p w14:paraId="46B75816" w14:textId="6CFDE4BC" w:rsidR="00E95E72" w:rsidRPr="00BD6C5F" w:rsidRDefault="00E95E72" w:rsidP="00E95E72">
            <w:pPr>
              <w:pStyle w:val="Tabletext"/>
              <w:rPr>
                <w:b w:val="0"/>
                <w:bCs/>
              </w:rPr>
            </w:pPr>
            <w:r w:rsidRPr="00BD6C5F">
              <w:rPr>
                <w:bCs/>
              </w:rPr>
              <w:t>Redundancy pay entitlement (statutory / enhanced / contractual / discretionary)</w:t>
            </w:r>
          </w:p>
        </w:tc>
      </w:tr>
      <w:tr w:rsidR="00E95E72" w:rsidRPr="00BD6C5F" w14:paraId="4D531491" w14:textId="77777777" w:rsidTr="00327E90">
        <w:trPr>
          <w:trHeight w:val="680"/>
        </w:trPr>
        <w:tc>
          <w:tcPr>
            <w:tcW w:w="1416" w:type="dxa"/>
          </w:tcPr>
          <w:p w14:paraId="1574AE9B" w14:textId="77777777" w:rsidR="00BC7DDA" w:rsidRPr="00BD6C5F" w:rsidRDefault="009B03E9" w:rsidP="00E95E72">
            <w:pPr>
              <w:pStyle w:val="Tabletext"/>
              <w:rPr>
                <w:b/>
                <w:bCs/>
              </w:rPr>
            </w:pPr>
            <w:r w:rsidRPr="00BD6C5F">
              <w:rPr>
                <w:b/>
                <w:bCs/>
              </w:rPr>
              <w:t>Emp No 1</w:t>
            </w:r>
          </w:p>
        </w:tc>
        <w:tc>
          <w:tcPr>
            <w:tcW w:w="1871" w:type="dxa"/>
          </w:tcPr>
          <w:p w14:paraId="385B1CBE" w14:textId="77777777" w:rsidR="00BC7DDA" w:rsidRPr="00BD6C5F" w:rsidRDefault="00BC7DDA" w:rsidP="00E95E72">
            <w:pPr>
              <w:pStyle w:val="Tabletext"/>
            </w:pPr>
          </w:p>
        </w:tc>
        <w:tc>
          <w:tcPr>
            <w:tcW w:w="1757" w:type="dxa"/>
          </w:tcPr>
          <w:p w14:paraId="1A6A73DA" w14:textId="77777777" w:rsidR="00BC7DDA" w:rsidRPr="00BD6C5F" w:rsidRDefault="00BC7DDA" w:rsidP="00E95E72">
            <w:pPr>
              <w:pStyle w:val="Tabletext"/>
            </w:pPr>
          </w:p>
        </w:tc>
        <w:tc>
          <w:tcPr>
            <w:tcW w:w="4479" w:type="dxa"/>
          </w:tcPr>
          <w:p w14:paraId="00EB28F9" w14:textId="77777777" w:rsidR="00BC7DDA" w:rsidRPr="00BD6C5F" w:rsidRDefault="00BC7DDA" w:rsidP="00E95E72">
            <w:pPr>
              <w:pStyle w:val="Tabletext"/>
            </w:pPr>
          </w:p>
        </w:tc>
        <w:tc>
          <w:tcPr>
            <w:tcW w:w="2098" w:type="dxa"/>
          </w:tcPr>
          <w:p w14:paraId="588F8377" w14:textId="77777777" w:rsidR="00BC7DDA" w:rsidRPr="00BD6C5F" w:rsidRDefault="00BC7DDA" w:rsidP="00E95E72">
            <w:pPr>
              <w:pStyle w:val="Tabletext"/>
            </w:pPr>
          </w:p>
        </w:tc>
        <w:tc>
          <w:tcPr>
            <w:tcW w:w="1531" w:type="dxa"/>
          </w:tcPr>
          <w:p w14:paraId="14B3501D" w14:textId="77777777" w:rsidR="00BC7DDA" w:rsidRPr="00BD6C5F" w:rsidRDefault="00BC7DDA" w:rsidP="00E95E72">
            <w:pPr>
              <w:pStyle w:val="Tabletext"/>
            </w:pPr>
          </w:p>
        </w:tc>
        <w:tc>
          <w:tcPr>
            <w:tcW w:w="1984" w:type="dxa"/>
          </w:tcPr>
          <w:p w14:paraId="3E152C59" w14:textId="77777777" w:rsidR="00BC7DDA" w:rsidRPr="00BD6C5F" w:rsidRDefault="00BC7DDA" w:rsidP="00E95E72">
            <w:pPr>
              <w:pStyle w:val="Tabletext"/>
            </w:pPr>
          </w:p>
        </w:tc>
      </w:tr>
      <w:tr w:rsidR="00E95E72" w:rsidRPr="00BD6C5F" w14:paraId="719BE9C7" w14:textId="77777777" w:rsidTr="00327E90">
        <w:trPr>
          <w:trHeight w:val="680"/>
        </w:trPr>
        <w:tc>
          <w:tcPr>
            <w:tcW w:w="1416" w:type="dxa"/>
          </w:tcPr>
          <w:p w14:paraId="0748EE66" w14:textId="77777777" w:rsidR="00BC7DDA" w:rsidRPr="00BD6C5F" w:rsidRDefault="009B03E9" w:rsidP="00E95E72">
            <w:pPr>
              <w:pStyle w:val="Tabletext"/>
              <w:rPr>
                <w:b/>
                <w:bCs/>
              </w:rPr>
            </w:pPr>
            <w:r w:rsidRPr="00BD6C5F">
              <w:rPr>
                <w:b/>
                <w:bCs/>
              </w:rPr>
              <w:t>Emp No 2</w:t>
            </w:r>
          </w:p>
        </w:tc>
        <w:tc>
          <w:tcPr>
            <w:tcW w:w="1871" w:type="dxa"/>
          </w:tcPr>
          <w:p w14:paraId="13EE6BDD" w14:textId="77777777" w:rsidR="00BC7DDA" w:rsidRPr="00BD6C5F" w:rsidRDefault="00BC7DDA" w:rsidP="00E95E72">
            <w:pPr>
              <w:pStyle w:val="Tabletext"/>
            </w:pPr>
          </w:p>
        </w:tc>
        <w:tc>
          <w:tcPr>
            <w:tcW w:w="1757" w:type="dxa"/>
          </w:tcPr>
          <w:p w14:paraId="3CACC897" w14:textId="77777777" w:rsidR="00BC7DDA" w:rsidRPr="00BD6C5F" w:rsidRDefault="00BC7DDA" w:rsidP="00E95E72">
            <w:pPr>
              <w:pStyle w:val="Tabletext"/>
            </w:pPr>
          </w:p>
        </w:tc>
        <w:tc>
          <w:tcPr>
            <w:tcW w:w="4479" w:type="dxa"/>
          </w:tcPr>
          <w:p w14:paraId="4B981163" w14:textId="77777777" w:rsidR="00BC7DDA" w:rsidRPr="00BD6C5F" w:rsidRDefault="00BC7DDA" w:rsidP="00E95E72">
            <w:pPr>
              <w:pStyle w:val="Tabletext"/>
            </w:pPr>
          </w:p>
        </w:tc>
        <w:tc>
          <w:tcPr>
            <w:tcW w:w="2098" w:type="dxa"/>
          </w:tcPr>
          <w:p w14:paraId="23DFD636" w14:textId="77777777" w:rsidR="00BC7DDA" w:rsidRPr="00BD6C5F" w:rsidRDefault="00BC7DDA" w:rsidP="00E95E72">
            <w:pPr>
              <w:pStyle w:val="Tabletext"/>
            </w:pPr>
          </w:p>
        </w:tc>
        <w:tc>
          <w:tcPr>
            <w:tcW w:w="1531" w:type="dxa"/>
          </w:tcPr>
          <w:p w14:paraId="5D29A7E3" w14:textId="77777777" w:rsidR="00BC7DDA" w:rsidRPr="00BD6C5F" w:rsidRDefault="00BC7DDA" w:rsidP="00E95E72">
            <w:pPr>
              <w:pStyle w:val="Tabletext"/>
            </w:pPr>
          </w:p>
        </w:tc>
        <w:tc>
          <w:tcPr>
            <w:tcW w:w="1984" w:type="dxa"/>
          </w:tcPr>
          <w:p w14:paraId="221A9A3D" w14:textId="77777777" w:rsidR="00BC7DDA" w:rsidRPr="00BD6C5F" w:rsidRDefault="00BC7DDA" w:rsidP="00E95E72">
            <w:pPr>
              <w:pStyle w:val="Tabletext"/>
            </w:pPr>
          </w:p>
        </w:tc>
      </w:tr>
      <w:tr w:rsidR="00E95E72" w:rsidRPr="00BD6C5F" w14:paraId="05D4A21A" w14:textId="77777777" w:rsidTr="00327E90">
        <w:trPr>
          <w:trHeight w:val="680"/>
        </w:trPr>
        <w:tc>
          <w:tcPr>
            <w:tcW w:w="1416" w:type="dxa"/>
          </w:tcPr>
          <w:p w14:paraId="05646C69" w14:textId="77777777" w:rsidR="00BC7DDA" w:rsidRPr="00BD6C5F" w:rsidRDefault="009B03E9" w:rsidP="00E95E72">
            <w:pPr>
              <w:pStyle w:val="Tabletext"/>
              <w:rPr>
                <w:b/>
                <w:bCs/>
              </w:rPr>
            </w:pPr>
            <w:r w:rsidRPr="00BD6C5F">
              <w:rPr>
                <w:b/>
                <w:bCs/>
              </w:rPr>
              <w:t>Emp No</w:t>
            </w:r>
          </w:p>
        </w:tc>
        <w:tc>
          <w:tcPr>
            <w:tcW w:w="1871" w:type="dxa"/>
          </w:tcPr>
          <w:p w14:paraId="789FA805" w14:textId="77777777" w:rsidR="00BC7DDA" w:rsidRPr="00BD6C5F" w:rsidRDefault="00BC7DDA" w:rsidP="00E95E72">
            <w:pPr>
              <w:pStyle w:val="Tabletext"/>
            </w:pPr>
          </w:p>
        </w:tc>
        <w:tc>
          <w:tcPr>
            <w:tcW w:w="1757" w:type="dxa"/>
          </w:tcPr>
          <w:p w14:paraId="1FFDCAA5" w14:textId="77777777" w:rsidR="00BC7DDA" w:rsidRPr="00BD6C5F" w:rsidRDefault="00BC7DDA" w:rsidP="00E95E72">
            <w:pPr>
              <w:pStyle w:val="Tabletext"/>
            </w:pPr>
          </w:p>
        </w:tc>
        <w:tc>
          <w:tcPr>
            <w:tcW w:w="4479" w:type="dxa"/>
          </w:tcPr>
          <w:p w14:paraId="6653D51C" w14:textId="77777777" w:rsidR="00BC7DDA" w:rsidRPr="00BD6C5F" w:rsidRDefault="00BC7DDA" w:rsidP="00E95E72">
            <w:pPr>
              <w:pStyle w:val="Tabletext"/>
            </w:pPr>
          </w:p>
        </w:tc>
        <w:tc>
          <w:tcPr>
            <w:tcW w:w="2098" w:type="dxa"/>
          </w:tcPr>
          <w:p w14:paraId="392383B7" w14:textId="77777777" w:rsidR="00BC7DDA" w:rsidRPr="00BD6C5F" w:rsidRDefault="00BC7DDA" w:rsidP="00E95E72">
            <w:pPr>
              <w:pStyle w:val="Tabletext"/>
            </w:pPr>
          </w:p>
        </w:tc>
        <w:tc>
          <w:tcPr>
            <w:tcW w:w="1531" w:type="dxa"/>
          </w:tcPr>
          <w:p w14:paraId="2280D694" w14:textId="77777777" w:rsidR="00BC7DDA" w:rsidRPr="00BD6C5F" w:rsidRDefault="00BC7DDA" w:rsidP="00E95E72">
            <w:pPr>
              <w:pStyle w:val="Tabletext"/>
            </w:pPr>
          </w:p>
        </w:tc>
        <w:tc>
          <w:tcPr>
            <w:tcW w:w="1984" w:type="dxa"/>
          </w:tcPr>
          <w:p w14:paraId="43B4B01A" w14:textId="77777777" w:rsidR="00BC7DDA" w:rsidRPr="00BD6C5F" w:rsidRDefault="00BC7DDA" w:rsidP="00E95E72">
            <w:pPr>
              <w:pStyle w:val="Tabletext"/>
            </w:pPr>
          </w:p>
        </w:tc>
      </w:tr>
      <w:tr w:rsidR="00E95E72" w:rsidRPr="00BD6C5F" w14:paraId="14359CEB" w14:textId="77777777" w:rsidTr="00327E90">
        <w:trPr>
          <w:trHeight w:val="680"/>
        </w:trPr>
        <w:tc>
          <w:tcPr>
            <w:tcW w:w="1416" w:type="dxa"/>
          </w:tcPr>
          <w:p w14:paraId="495B6BF4" w14:textId="77777777" w:rsidR="00BC7DDA" w:rsidRPr="00BD6C5F" w:rsidRDefault="009B03E9" w:rsidP="00E95E72">
            <w:pPr>
              <w:pStyle w:val="Tabletext"/>
              <w:rPr>
                <w:b/>
                <w:bCs/>
              </w:rPr>
            </w:pPr>
            <w:r w:rsidRPr="00BD6C5F">
              <w:rPr>
                <w:b/>
                <w:bCs/>
              </w:rPr>
              <w:t>Emp No</w:t>
            </w:r>
          </w:p>
        </w:tc>
        <w:tc>
          <w:tcPr>
            <w:tcW w:w="1871" w:type="dxa"/>
          </w:tcPr>
          <w:p w14:paraId="5349456F" w14:textId="77777777" w:rsidR="00BC7DDA" w:rsidRPr="00BD6C5F" w:rsidRDefault="00BC7DDA" w:rsidP="00E95E72">
            <w:pPr>
              <w:pStyle w:val="Tabletext"/>
            </w:pPr>
          </w:p>
        </w:tc>
        <w:tc>
          <w:tcPr>
            <w:tcW w:w="1757" w:type="dxa"/>
          </w:tcPr>
          <w:p w14:paraId="3CF98C57" w14:textId="77777777" w:rsidR="00BC7DDA" w:rsidRPr="00BD6C5F" w:rsidRDefault="00BC7DDA" w:rsidP="00E95E72">
            <w:pPr>
              <w:pStyle w:val="Tabletext"/>
            </w:pPr>
          </w:p>
        </w:tc>
        <w:tc>
          <w:tcPr>
            <w:tcW w:w="4479" w:type="dxa"/>
          </w:tcPr>
          <w:p w14:paraId="4C89B75A" w14:textId="77777777" w:rsidR="00BC7DDA" w:rsidRPr="00BD6C5F" w:rsidRDefault="00BC7DDA" w:rsidP="00E95E72">
            <w:pPr>
              <w:pStyle w:val="Tabletext"/>
            </w:pPr>
          </w:p>
        </w:tc>
        <w:tc>
          <w:tcPr>
            <w:tcW w:w="2098" w:type="dxa"/>
          </w:tcPr>
          <w:p w14:paraId="5A4BD80D" w14:textId="77777777" w:rsidR="00BC7DDA" w:rsidRPr="00BD6C5F" w:rsidRDefault="00BC7DDA" w:rsidP="00E95E72">
            <w:pPr>
              <w:pStyle w:val="Tabletext"/>
            </w:pPr>
          </w:p>
        </w:tc>
        <w:tc>
          <w:tcPr>
            <w:tcW w:w="1531" w:type="dxa"/>
          </w:tcPr>
          <w:p w14:paraId="2AAC5B31" w14:textId="77777777" w:rsidR="00BC7DDA" w:rsidRPr="00BD6C5F" w:rsidRDefault="00BC7DDA" w:rsidP="00E95E72">
            <w:pPr>
              <w:pStyle w:val="Tabletext"/>
            </w:pPr>
          </w:p>
        </w:tc>
        <w:tc>
          <w:tcPr>
            <w:tcW w:w="1984" w:type="dxa"/>
          </w:tcPr>
          <w:p w14:paraId="313332EE" w14:textId="77777777" w:rsidR="00BC7DDA" w:rsidRPr="00BD6C5F" w:rsidRDefault="00BC7DDA" w:rsidP="00E95E72">
            <w:pPr>
              <w:pStyle w:val="Tabletext"/>
            </w:pPr>
          </w:p>
        </w:tc>
      </w:tr>
      <w:tr w:rsidR="00E95E72" w:rsidRPr="00BD6C5F" w14:paraId="49BF69F5" w14:textId="77777777" w:rsidTr="00327E90">
        <w:trPr>
          <w:trHeight w:val="680"/>
        </w:trPr>
        <w:tc>
          <w:tcPr>
            <w:tcW w:w="1416" w:type="dxa"/>
          </w:tcPr>
          <w:p w14:paraId="67D1AFA5" w14:textId="77777777" w:rsidR="00BC7DDA" w:rsidRPr="00BD6C5F" w:rsidRDefault="009B03E9" w:rsidP="00E95E72">
            <w:pPr>
              <w:pStyle w:val="Tabletext"/>
              <w:rPr>
                <w:b/>
                <w:bCs/>
              </w:rPr>
            </w:pPr>
            <w:r w:rsidRPr="00BD6C5F">
              <w:rPr>
                <w:b/>
                <w:bCs/>
              </w:rPr>
              <w:t>Emp No</w:t>
            </w:r>
          </w:p>
        </w:tc>
        <w:tc>
          <w:tcPr>
            <w:tcW w:w="1871" w:type="dxa"/>
          </w:tcPr>
          <w:p w14:paraId="724C49B2" w14:textId="77777777" w:rsidR="00BC7DDA" w:rsidRPr="00BD6C5F" w:rsidRDefault="00BC7DDA" w:rsidP="00E95E72">
            <w:pPr>
              <w:pStyle w:val="Tabletext"/>
            </w:pPr>
          </w:p>
        </w:tc>
        <w:tc>
          <w:tcPr>
            <w:tcW w:w="1757" w:type="dxa"/>
          </w:tcPr>
          <w:p w14:paraId="73B41C0F" w14:textId="77777777" w:rsidR="00BC7DDA" w:rsidRPr="00BD6C5F" w:rsidRDefault="00BC7DDA" w:rsidP="00E95E72">
            <w:pPr>
              <w:pStyle w:val="Tabletext"/>
            </w:pPr>
          </w:p>
        </w:tc>
        <w:tc>
          <w:tcPr>
            <w:tcW w:w="4479" w:type="dxa"/>
          </w:tcPr>
          <w:p w14:paraId="5FA568F4" w14:textId="77777777" w:rsidR="00BC7DDA" w:rsidRPr="00BD6C5F" w:rsidRDefault="00BC7DDA" w:rsidP="00E95E72">
            <w:pPr>
              <w:pStyle w:val="Tabletext"/>
            </w:pPr>
          </w:p>
        </w:tc>
        <w:tc>
          <w:tcPr>
            <w:tcW w:w="2098" w:type="dxa"/>
          </w:tcPr>
          <w:p w14:paraId="67B83C12" w14:textId="77777777" w:rsidR="00BC7DDA" w:rsidRPr="00BD6C5F" w:rsidRDefault="00BC7DDA" w:rsidP="00E95E72">
            <w:pPr>
              <w:pStyle w:val="Tabletext"/>
            </w:pPr>
          </w:p>
        </w:tc>
        <w:tc>
          <w:tcPr>
            <w:tcW w:w="1531" w:type="dxa"/>
          </w:tcPr>
          <w:p w14:paraId="21E559CE" w14:textId="77777777" w:rsidR="00BC7DDA" w:rsidRPr="00BD6C5F" w:rsidRDefault="00BC7DDA" w:rsidP="00E95E72">
            <w:pPr>
              <w:pStyle w:val="Tabletext"/>
            </w:pPr>
          </w:p>
        </w:tc>
        <w:tc>
          <w:tcPr>
            <w:tcW w:w="1984" w:type="dxa"/>
          </w:tcPr>
          <w:p w14:paraId="76B2F073" w14:textId="77777777" w:rsidR="00BC7DDA" w:rsidRPr="00BD6C5F" w:rsidRDefault="00BC7DDA" w:rsidP="00E95E72">
            <w:pPr>
              <w:pStyle w:val="Tabletext"/>
            </w:pPr>
          </w:p>
        </w:tc>
      </w:tr>
      <w:tr w:rsidR="00E95E72" w:rsidRPr="00BD6C5F" w14:paraId="300038BD" w14:textId="77777777" w:rsidTr="00327E90">
        <w:trPr>
          <w:trHeight w:val="680"/>
        </w:trPr>
        <w:tc>
          <w:tcPr>
            <w:tcW w:w="1416" w:type="dxa"/>
          </w:tcPr>
          <w:p w14:paraId="4F50B159" w14:textId="77777777" w:rsidR="00BC7DDA" w:rsidRPr="00BD6C5F" w:rsidRDefault="009B03E9" w:rsidP="00E95E72">
            <w:pPr>
              <w:pStyle w:val="Tabletext"/>
              <w:rPr>
                <w:b/>
                <w:bCs/>
              </w:rPr>
            </w:pPr>
            <w:r w:rsidRPr="00BD6C5F">
              <w:rPr>
                <w:b/>
                <w:bCs/>
              </w:rPr>
              <w:t>Emp No</w:t>
            </w:r>
          </w:p>
        </w:tc>
        <w:tc>
          <w:tcPr>
            <w:tcW w:w="1871" w:type="dxa"/>
          </w:tcPr>
          <w:p w14:paraId="65B078E6" w14:textId="77777777" w:rsidR="00BC7DDA" w:rsidRPr="00BD6C5F" w:rsidRDefault="00BC7DDA" w:rsidP="00E95E72">
            <w:pPr>
              <w:pStyle w:val="Tabletext"/>
            </w:pPr>
          </w:p>
        </w:tc>
        <w:tc>
          <w:tcPr>
            <w:tcW w:w="1757" w:type="dxa"/>
          </w:tcPr>
          <w:p w14:paraId="3E1AFA07" w14:textId="77777777" w:rsidR="00BC7DDA" w:rsidRPr="00BD6C5F" w:rsidRDefault="00BC7DDA" w:rsidP="00E95E72">
            <w:pPr>
              <w:pStyle w:val="Tabletext"/>
            </w:pPr>
          </w:p>
        </w:tc>
        <w:tc>
          <w:tcPr>
            <w:tcW w:w="4479" w:type="dxa"/>
          </w:tcPr>
          <w:p w14:paraId="2BF6BCA8" w14:textId="77777777" w:rsidR="00BC7DDA" w:rsidRPr="00BD6C5F" w:rsidRDefault="00BC7DDA" w:rsidP="00E95E72">
            <w:pPr>
              <w:pStyle w:val="Tabletext"/>
            </w:pPr>
          </w:p>
        </w:tc>
        <w:tc>
          <w:tcPr>
            <w:tcW w:w="2098" w:type="dxa"/>
          </w:tcPr>
          <w:p w14:paraId="33B031E7" w14:textId="77777777" w:rsidR="00BC7DDA" w:rsidRPr="00BD6C5F" w:rsidRDefault="00BC7DDA" w:rsidP="00E95E72">
            <w:pPr>
              <w:pStyle w:val="Tabletext"/>
            </w:pPr>
          </w:p>
        </w:tc>
        <w:tc>
          <w:tcPr>
            <w:tcW w:w="1531" w:type="dxa"/>
          </w:tcPr>
          <w:p w14:paraId="09773F97" w14:textId="77777777" w:rsidR="00BC7DDA" w:rsidRPr="00BD6C5F" w:rsidRDefault="00BC7DDA" w:rsidP="00E95E72">
            <w:pPr>
              <w:pStyle w:val="Tabletext"/>
            </w:pPr>
          </w:p>
        </w:tc>
        <w:tc>
          <w:tcPr>
            <w:tcW w:w="1984" w:type="dxa"/>
          </w:tcPr>
          <w:p w14:paraId="3ECF4113" w14:textId="77777777" w:rsidR="00BC7DDA" w:rsidRPr="00BD6C5F" w:rsidRDefault="00BC7DDA" w:rsidP="00E95E72">
            <w:pPr>
              <w:pStyle w:val="Tabletext"/>
            </w:pPr>
          </w:p>
        </w:tc>
      </w:tr>
      <w:tr w:rsidR="00E95E72" w:rsidRPr="00BD6C5F" w14:paraId="652BA6FB" w14:textId="77777777" w:rsidTr="00327E90">
        <w:trPr>
          <w:trHeight w:val="680"/>
        </w:trPr>
        <w:tc>
          <w:tcPr>
            <w:tcW w:w="1416" w:type="dxa"/>
          </w:tcPr>
          <w:p w14:paraId="138D8567" w14:textId="77777777" w:rsidR="00BC7DDA" w:rsidRPr="00BD6C5F" w:rsidRDefault="009B03E9" w:rsidP="00E95E72">
            <w:pPr>
              <w:pStyle w:val="Tabletext"/>
              <w:rPr>
                <w:b/>
                <w:bCs/>
              </w:rPr>
            </w:pPr>
            <w:r w:rsidRPr="00BD6C5F">
              <w:rPr>
                <w:b/>
                <w:bCs/>
              </w:rPr>
              <w:t>Emp No</w:t>
            </w:r>
          </w:p>
        </w:tc>
        <w:tc>
          <w:tcPr>
            <w:tcW w:w="1871" w:type="dxa"/>
          </w:tcPr>
          <w:p w14:paraId="3743729F" w14:textId="77777777" w:rsidR="00BC7DDA" w:rsidRPr="00BD6C5F" w:rsidRDefault="00BC7DDA" w:rsidP="00E95E72">
            <w:pPr>
              <w:pStyle w:val="Tabletext"/>
            </w:pPr>
          </w:p>
        </w:tc>
        <w:tc>
          <w:tcPr>
            <w:tcW w:w="1757" w:type="dxa"/>
          </w:tcPr>
          <w:p w14:paraId="31910C10" w14:textId="77777777" w:rsidR="00BC7DDA" w:rsidRPr="00BD6C5F" w:rsidRDefault="00BC7DDA" w:rsidP="00E95E72">
            <w:pPr>
              <w:pStyle w:val="Tabletext"/>
            </w:pPr>
          </w:p>
        </w:tc>
        <w:tc>
          <w:tcPr>
            <w:tcW w:w="4479" w:type="dxa"/>
          </w:tcPr>
          <w:p w14:paraId="24889489" w14:textId="77777777" w:rsidR="00BC7DDA" w:rsidRPr="00BD6C5F" w:rsidRDefault="00BC7DDA" w:rsidP="00E95E72">
            <w:pPr>
              <w:pStyle w:val="Tabletext"/>
            </w:pPr>
          </w:p>
        </w:tc>
        <w:tc>
          <w:tcPr>
            <w:tcW w:w="2098" w:type="dxa"/>
          </w:tcPr>
          <w:p w14:paraId="26B713A1" w14:textId="77777777" w:rsidR="00BC7DDA" w:rsidRPr="00BD6C5F" w:rsidRDefault="00BC7DDA" w:rsidP="00E95E72">
            <w:pPr>
              <w:pStyle w:val="Tabletext"/>
            </w:pPr>
          </w:p>
        </w:tc>
        <w:tc>
          <w:tcPr>
            <w:tcW w:w="1531" w:type="dxa"/>
          </w:tcPr>
          <w:p w14:paraId="5878C261" w14:textId="77777777" w:rsidR="00BC7DDA" w:rsidRPr="00BD6C5F" w:rsidRDefault="00BC7DDA" w:rsidP="00E95E72">
            <w:pPr>
              <w:pStyle w:val="Tabletext"/>
            </w:pPr>
          </w:p>
        </w:tc>
        <w:tc>
          <w:tcPr>
            <w:tcW w:w="1984" w:type="dxa"/>
          </w:tcPr>
          <w:p w14:paraId="2BC5FA9A" w14:textId="77777777" w:rsidR="00BC7DDA" w:rsidRPr="00BD6C5F" w:rsidRDefault="00BC7DDA" w:rsidP="00E95E72">
            <w:pPr>
              <w:pStyle w:val="Tabletext"/>
            </w:pPr>
          </w:p>
        </w:tc>
      </w:tr>
    </w:tbl>
    <w:p w14:paraId="00B19CE3" w14:textId="0AE0B96F" w:rsidR="00BC7DDA" w:rsidRPr="00BD6C5F" w:rsidRDefault="00BC7DDA" w:rsidP="00327E90"/>
    <w:tbl>
      <w:tblPr>
        <w:tblStyle w:val="MSATable-header"/>
        <w:tblW w:w="15137" w:type="dxa"/>
        <w:tblLayout w:type="fixed"/>
        <w:tblLook w:val="0620" w:firstRow="1" w:lastRow="0" w:firstColumn="0" w:lastColumn="0" w:noHBand="1" w:noVBand="1"/>
      </w:tblPr>
      <w:tblGrid>
        <w:gridCol w:w="1417"/>
        <w:gridCol w:w="1701"/>
        <w:gridCol w:w="1644"/>
        <w:gridCol w:w="1984"/>
        <w:gridCol w:w="2041"/>
        <w:gridCol w:w="2381"/>
        <w:gridCol w:w="3969"/>
      </w:tblGrid>
      <w:tr w:rsidR="00BC7DDA" w:rsidRPr="00BD6C5F" w14:paraId="6F19A784" w14:textId="77777777" w:rsidTr="00DC770C">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38DC4F69" w14:textId="77777777" w:rsidR="00BC7DDA" w:rsidRPr="00BD6C5F" w:rsidRDefault="00BC7DDA" w:rsidP="00E95E72">
            <w:pPr>
              <w:pStyle w:val="Tabletext"/>
              <w:rPr>
                <w:b w:val="0"/>
                <w:bCs/>
              </w:rPr>
            </w:pPr>
          </w:p>
        </w:tc>
        <w:tc>
          <w:tcPr>
            <w:tcW w:w="13720" w:type="dxa"/>
            <w:gridSpan w:val="6"/>
          </w:tcPr>
          <w:p w14:paraId="76DF49A8" w14:textId="77777777" w:rsidR="00BC7DDA" w:rsidRPr="00BD6C5F" w:rsidRDefault="009B03E9" w:rsidP="00E95E72">
            <w:pPr>
              <w:pStyle w:val="Tabletext"/>
              <w:rPr>
                <w:b w:val="0"/>
                <w:bCs/>
              </w:rPr>
            </w:pPr>
            <w:r w:rsidRPr="00BD6C5F">
              <w:rPr>
                <w:bCs/>
              </w:rPr>
              <w:t>PENSIONS</w:t>
            </w:r>
          </w:p>
        </w:tc>
      </w:tr>
      <w:tr w:rsidR="00BC7DDA" w:rsidRPr="00BD6C5F" w14:paraId="7B7F3004" w14:textId="77777777" w:rsidTr="00F307AF">
        <w:trPr>
          <w:cnfStyle w:val="100000000000" w:firstRow="1" w:lastRow="0" w:firstColumn="0" w:lastColumn="0" w:oddVBand="0" w:evenVBand="0" w:oddHBand="0" w:evenHBand="0" w:firstRowFirstColumn="0" w:firstRowLastColumn="0" w:lastRowFirstColumn="0" w:lastRowLastColumn="0"/>
          <w:tblHeader/>
        </w:trPr>
        <w:tc>
          <w:tcPr>
            <w:tcW w:w="1417" w:type="dxa"/>
          </w:tcPr>
          <w:p w14:paraId="09FEF736" w14:textId="77777777" w:rsidR="00BC7DDA" w:rsidRPr="00BD6C5F" w:rsidRDefault="009B03E9" w:rsidP="00E95E72">
            <w:pPr>
              <w:pStyle w:val="Tabletext"/>
              <w:rPr>
                <w:b w:val="0"/>
                <w:bCs/>
              </w:rPr>
            </w:pPr>
            <w:r w:rsidRPr="00BD6C5F">
              <w:rPr>
                <w:bCs/>
              </w:rPr>
              <w:t>Details</w:t>
            </w:r>
          </w:p>
        </w:tc>
        <w:tc>
          <w:tcPr>
            <w:tcW w:w="1701" w:type="dxa"/>
          </w:tcPr>
          <w:p w14:paraId="2E47987C" w14:textId="77777777" w:rsidR="00BC7DDA" w:rsidRPr="00BD6C5F" w:rsidRDefault="009B03E9" w:rsidP="00E95E72">
            <w:pPr>
              <w:pStyle w:val="Tabletext"/>
              <w:rPr>
                <w:b w:val="0"/>
                <w:bCs/>
              </w:rPr>
            </w:pPr>
            <w:r w:rsidRPr="00BD6C5F">
              <w:rPr>
                <w:bCs/>
              </w:rPr>
              <w:t>Employee pension contribution rate</w:t>
            </w:r>
          </w:p>
        </w:tc>
        <w:tc>
          <w:tcPr>
            <w:tcW w:w="1644" w:type="dxa"/>
          </w:tcPr>
          <w:p w14:paraId="2541E7D8" w14:textId="77777777" w:rsidR="00BC7DDA" w:rsidRPr="00BD6C5F" w:rsidRDefault="009B03E9" w:rsidP="00E95E72">
            <w:pPr>
              <w:pStyle w:val="Tabletext"/>
              <w:rPr>
                <w:b w:val="0"/>
                <w:bCs/>
              </w:rPr>
            </w:pPr>
            <w:r w:rsidRPr="00BD6C5F">
              <w:rPr>
                <w:bCs/>
              </w:rPr>
              <w:t>Employer pension contribution rate</w:t>
            </w:r>
          </w:p>
        </w:tc>
        <w:tc>
          <w:tcPr>
            <w:tcW w:w="1984" w:type="dxa"/>
          </w:tcPr>
          <w:p w14:paraId="6CBB9D72" w14:textId="77777777" w:rsidR="00BC7DDA" w:rsidRPr="00BD6C5F" w:rsidRDefault="009B03E9" w:rsidP="00E95E72">
            <w:pPr>
              <w:pStyle w:val="Tabletext"/>
              <w:rPr>
                <w:b w:val="0"/>
                <w:bCs/>
              </w:rPr>
            </w:pPr>
            <w:r w:rsidRPr="00BD6C5F">
              <w:rPr>
                <w:bCs/>
              </w:rPr>
              <w:t>Please provide the name of the pension scheme and a link to the pension scheme website</w:t>
            </w:r>
          </w:p>
        </w:tc>
        <w:tc>
          <w:tcPr>
            <w:tcW w:w="2041" w:type="dxa"/>
          </w:tcPr>
          <w:p w14:paraId="6ED802A1" w14:textId="77777777" w:rsidR="00BC7DDA" w:rsidRPr="00BD6C5F" w:rsidRDefault="009B03E9" w:rsidP="00E95E72">
            <w:pPr>
              <w:pStyle w:val="Tabletext"/>
              <w:rPr>
                <w:b w:val="0"/>
                <w:bCs/>
              </w:rPr>
            </w:pPr>
            <w:r w:rsidRPr="00BD6C5F">
              <w:rPr>
                <w:bCs/>
              </w:rPr>
              <w:t>Is the scheme an occupational pension scheme as defined in the Pension Schemes Act 1993?</w:t>
            </w:r>
          </w:p>
        </w:tc>
        <w:tc>
          <w:tcPr>
            <w:tcW w:w="2381" w:type="dxa"/>
          </w:tcPr>
          <w:p w14:paraId="6FE9CDCD" w14:textId="77777777" w:rsidR="00BC7DDA" w:rsidRPr="00BD6C5F" w:rsidRDefault="009B03E9" w:rsidP="00E95E72">
            <w:pPr>
              <w:pStyle w:val="Tabletext"/>
              <w:rPr>
                <w:b w:val="0"/>
                <w:bCs/>
              </w:rPr>
            </w:pPr>
            <w:r w:rsidRPr="00BD6C5F">
              <w:rPr>
                <w:bCs/>
              </w:rPr>
              <w:t>If the scheme is not an occupational pension scheme, what type of scheme is it? E.g. personal pension scheme?</w:t>
            </w:r>
          </w:p>
        </w:tc>
        <w:tc>
          <w:tcPr>
            <w:tcW w:w="3969" w:type="dxa"/>
          </w:tcPr>
          <w:p w14:paraId="62A8A999" w14:textId="3410C2DB" w:rsidR="00BC7DDA" w:rsidRPr="00BD6C5F" w:rsidRDefault="009B03E9" w:rsidP="00E95E72">
            <w:pPr>
              <w:pStyle w:val="Tabletext"/>
              <w:rPr>
                <w:b w:val="0"/>
                <w:bCs/>
              </w:rPr>
            </w:pPr>
            <w:r w:rsidRPr="00BD6C5F">
              <w:rPr>
                <w:bCs/>
              </w:rPr>
              <w:t>Type of pension provision</w:t>
            </w:r>
            <w:r w:rsidR="00E95E72" w:rsidRPr="00BD6C5F">
              <w:rPr>
                <w:bCs/>
              </w:rPr>
              <w:t xml:space="preserve"> </w:t>
            </w:r>
            <w:r w:rsidRPr="00BD6C5F">
              <w:rPr>
                <w:bCs/>
              </w:rPr>
              <w:t>e.g. defined benefit (CARE or final salary, and whether a public sector scheme e.g. CSPS, NHSPS, LGPS etc. or a broadly comparable scheme) or a defined contribution scheme or an auto enrolment master trust?</w:t>
            </w:r>
          </w:p>
        </w:tc>
      </w:tr>
      <w:tr w:rsidR="00BC7DDA" w:rsidRPr="00BD6C5F" w14:paraId="73A16AF3" w14:textId="77777777" w:rsidTr="00327E90">
        <w:trPr>
          <w:trHeight w:val="680"/>
        </w:trPr>
        <w:tc>
          <w:tcPr>
            <w:tcW w:w="1417" w:type="dxa"/>
          </w:tcPr>
          <w:p w14:paraId="5961F6B3" w14:textId="77777777" w:rsidR="00BC7DDA" w:rsidRPr="00BD6C5F" w:rsidRDefault="009B03E9" w:rsidP="00E95E72">
            <w:pPr>
              <w:pStyle w:val="Tabletext"/>
              <w:rPr>
                <w:b/>
                <w:bCs/>
              </w:rPr>
            </w:pPr>
            <w:r w:rsidRPr="00BD6C5F">
              <w:rPr>
                <w:b/>
                <w:bCs/>
              </w:rPr>
              <w:t>Emp No 1</w:t>
            </w:r>
          </w:p>
        </w:tc>
        <w:tc>
          <w:tcPr>
            <w:tcW w:w="1701" w:type="dxa"/>
          </w:tcPr>
          <w:p w14:paraId="1E420493" w14:textId="77777777" w:rsidR="00BC7DDA" w:rsidRPr="00BD6C5F" w:rsidRDefault="00BC7DDA" w:rsidP="00E95E72">
            <w:pPr>
              <w:pStyle w:val="Tabletext"/>
            </w:pPr>
          </w:p>
        </w:tc>
        <w:tc>
          <w:tcPr>
            <w:tcW w:w="1644" w:type="dxa"/>
          </w:tcPr>
          <w:p w14:paraId="65B6432F" w14:textId="77777777" w:rsidR="00BC7DDA" w:rsidRPr="00BD6C5F" w:rsidRDefault="00BC7DDA" w:rsidP="00E95E72">
            <w:pPr>
              <w:pStyle w:val="Tabletext"/>
            </w:pPr>
          </w:p>
        </w:tc>
        <w:tc>
          <w:tcPr>
            <w:tcW w:w="1984" w:type="dxa"/>
          </w:tcPr>
          <w:p w14:paraId="1C3C3C5E" w14:textId="77777777" w:rsidR="00BC7DDA" w:rsidRPr="00BD6C5F" w:rsidRDefault="00BC7DDA" w:rsidP="00E95E72">
            <w:pPr>
              <w:pStyle w:val="Tabletext"/>
            </w:pPr>
          </w:p>
        </w:tc>
        <w:tc>
          <w:tcPr>
            <w:tcW w:w="2041" w:type="dxa"/>
          </w:tcPr>
          <w:p w14:paraId="4DE490E7" w14:textId="77777777" w:rsidR="00BC7DDA" w:rsidRPr="00BD6C5F" w:rsidRDefault="00BC7DDA" w:rsidP="00E95E72">
            <w:pPr>
              <w:pStyle w:val="Tabletext"/>
            </w:pPr>
          </w:p>
        </w:tc>
        <w:tc>
          <w:tcPr>
            <w:tcW w:w="2381" w:type="dxa"/>
          </w:tcPr>
          <w:p w14:paraId="5497D4F2" w14:textId="77777777" w:rsidR="00BC7DDA" w:rsidRPr="00BD6C5F" w:rsidRDefault="00BC7DDA" w:rsidP="00E95E72">
            <w:pPr>
              <w:pStyle w:val="Tabletext"/>
            </w:pPr>
          </w:p>
        </w:tc>
        <w:tc>
          <w:tcPr>
            <w:tcW w:w="3969" w:type="dxa"/>
          </w:tcPr>
          <w:p w14:paraId="5FD11863" w14:textId="77777777" w:rsidR="00BC7DDA" w:rsidRPr="00BD6C5F" w:rsidRDefault="00BC7DDA" w:rsidP="00E95E72">
            <w:pPr>
              <w:pStyle w:val="Tabletext"/>
            </w:pPr>
          </w:p>
        </w:tc>
      </w:tr>
      <w:tr w:rsidR="00BC7DDA" w:rsidRPr="00BD6C5F" w14:paraId="614AE0B0" w14:textId="77777777" w:rsidTr="00327E90">
        <w:trPr>
          <w:trHeight w:val="680"/>
        </w:trPr>
        <w:tc>
          <w:tcPr>
            <w:tcW w:w="1417" w:type="dxa"/>
          </w:tcPr>
          <w:p w14:paraId="1290D614" w14:textId="77777777" w:rsidR="00BC7DDA" w:rsidRPr="00BD6C5F" w:rsidRDefault="009B03E9" w:rsidP="00E95E72">
            <w:pPr>
              <w:pStyle w:val="Tabletext"/>
              <w:rPr>
                <w:b/>
                <w:bCs/>
              </w:rPr>
            </w:pPr>
            <w:r w:rsidRPr="00BD6C5F">
              <w:rPr>
                <w:b/>
                <w:bCs/>
              </w:rPr>
              <w:t>Emp No 2</w:t>
            </w:r>
          </w:p>
        </w:tc>
        <w:tc>
          <w:tcPr>
            <w:tcW w:w="1701" w:type="dxa"/>
          </w:tcPr>
          <w:p w14:paraId="59718306" w14:textId="77777777" w:rsidR="00BC7DDA" w:rsidRPr="00BD6C5F" w:rsidRDefault="00BC7DDA" w:rsidP="00E95E72">
            <w:pPr>
              <w:pStyle w:val="Tabletext"/>
            </w:pPr>
          </w:p>
        </w:tc>
        <w:tc>
          <w:tcPr>
            <w:tcW w:w="1644" w:type="dxa"/>
          </w:tcPr>
          <w:p w14:paraId="72BC5B23" w14:textId="77777777" w:rsidR="00BC7DDA" w:rsidRPr="00BD6C5F" w:rsidRDefault="00BC7DDA" w:rsidP="00E95E72">
            <w:pPr>
              <w:pStyle w:val="Tabletext"/>
            </w:pPr>
          </w:p>
        </w:tc>
        <w:tc>
          <w:tcPr>
            <w:tcW w:w="1984" w:type="dxa"/>
          </w:tcPr>
          <w:p w14:paraId="3F014560" w14:textId="77777777" w:rsidR="00BC7DDA" w:rsidRPr="00BD6C5F" w:rsidRDefault="00BC7DDA" w:rsidP="00E95E72">
            <w:pPr>
              <w:pStyle w:val="Tabletext"/>
            </w:pPr>
          </w:p>
        </w:tc>
        <w:tc>
          <w:tcPr>
            <w:tcW w:w="2041" w:type="dxa"/>
          </w:tcPr>
          <w:p w14:paraId="2ECF50DD" w14:textId="77777777" w:rsidR="00BC7DDA" w:rsidRPr="00BD6C5F" w:rsidRDefault="00BC7DDA" w:rsidP="00E95E72">
            <w:pPr>
              <w:pStyle w:val="Tabletext"/>
            </w:pPr>
          </w:p>
        </w:tc>
        <w:tc>
          <w:tcPr>
            <w:tcW w:w="2381" w:type="dxa"/>
          </w:tcPr>
          <w:p w14:paraId="625DF1B8" w14:textId="77777777" w:rsidR="00BC7DDA" w:rsidRPr="00BD6C5F" w:rsidRDefault="00BC7DDA" w:rsidP="00E95E72">
            <w:pPr>
              <w:pStyle w:val="Tabletext"/>
            </w:pPr>
          </w:p>
        </w:tc>
        <w:tc>
          <w:tcPr>
            <w:tcW w:w="3969" w:type="dxa"/>
          </w:tcPr>
          <w:p w14:paraId="490F0BF7" w14:textId="77777777" w:rsidR="00BC7DDA" w:rsidRPr="00BD6C5F" w:rsidRDefault="00BC7DDA" w:rsidP="00E95E72">
            <w:pPr>
              <w:pStyle w:val="Tabletext"/>
            </w:pPr>
          </w:p>
        </w:tc>
      </w:tr>
      <w:tr w:rsidR="00BC7DDA" w:rsidRPr="00BD6C5F" w14:paraId="60F20B20" w14:textId="77777777" w:rsidTr="00327E90">
        <w:trPr>
          <w:trHeight w:val="680"/>
        </w:trPr>
        <w:tc>
          <w:tcPr>
            <w:tcW w:w="1417" w:type="dxa"/>
          </w:tcPr>
          <w:p w14:paraId="109AB79A" w14:textId="77777777" w:rsidR="00BC7DDA" w:rsidRPr="00BD6C5F" w:rsidRDefault="009B03E9" w:rsidP="00E95E72">
            <w:pPr>
              <w:pStyle w:val="Tabletext"/>
              <w:rPr>
                <w:b/>
                <w:bCs/>
              </w:rPr>
            </w:pPr>
            <w:r w:rsidRPr="00BD6C5F">
              <w:rPr>
                <w:b/>
                <w:bCs/>
              </w:rPr>
              <w:t>Emp No</w:t>
            </w:r>
          </w:p>
        </w:tc>
        <w:tc>
          <w:tcPr>
            <w:tcW w:w="1701" w:type="dxa"/>
          </w:tcPr>
          <w:p w14:paraId="1A82457F" w14:textId="77777777" w:rsidR="00BC7DDA" w:rsidRPr="00BD6C5F" w:rsidRDefault="00BC7DDA" w:rsidP="00E95E72">
            <w:pPr>
              <w:pStyle w:val="Tabletext"/>
            </w:pPr>
          </w:p>
        </w:tc>
        <w:tc>
          <w:tcPr>
            <w:tcW w:w="1644" w:type="dxa"/>
          </w:tcPr>
          <w:p w14:paraId="12B0D59B" w14:textId="77777777" w:rsidR="00BC7DDA" w:rsidRPr="00BD6C5F" w:rsidRDefault="00BC7DDA" w:rsidP="00E95E72">
            <w:pPr>
              <w:pStyle w:val="Tabletext"/>
            </w:pPr>
          </w:p>
        </w:tc>
        <w:tc>
          <w:tcPr>
            <w:tcW w:w="1984" w:type="dxa"/>
          </w:tcPr>
          <w:p w14:paraId="24FF6531" w14:textId="77777777" w:rsidR="00BC7DDA" w:rsidRPr="00BD6C5F" w:rsidRDefault="00BC7DDA" w:rsidP="00E95E72">
            <w:pPr>
              <w:pStyle w:val="Tabletext"/>
            </w:pPr>
          </w:p>
        </w:tc>
        <w:tc>
          <w:tcPr>
            <w:tcW w:w="2041" w:type="dxa"/>
          </w:tcPr>
          <w:p w14:paraId="74D9C005" w14:textId="77777777" w:rsidR="00BC7DDA" w:rsidRPr="00BD6C5F" w:rsidRDefault="00BC7DDA" w:rsidP="00E95E72">
            <w:pPr>
              <w:pStyle w:val="Tabletext"/>
            </w:pPr>
          </w:p>
        </w:tc>
        <w:tc>
          <w:tcPr>
            <w:tcW w:w="2381" w:type="dxa"/>
          </w:tcPr>
          <w:p w14:paraId="60A87AFF" w14:textId="77777777" w:rsidR="00BC7DDA" w:rsidRPr="00BD6C5F" w:rsidRDefault="00BC7DDA" w:rsidP="00E95E72">
            <w:pPr>
              <w:pStyle w:val="Tabletext"/>
            </w:pPr>
          </w:p>
        </w:tc>
        <w:tc>
          <w:tcPr>
            <w:tcW w:w="3969" w:type="dxa"/>
          </w:tcPr>
          <w:p w14:paraId="3A837A27" w14:textId="77777777" w:rsidR="00BC7DDA" w:rsidRPr="00BD6C5F" w:rsidRDefault="00BC7DDA" w:rsidP="00E95E72">
            <w:pPr>
              <w:pStyle w:val="Tabletext"/>
            </w:pPr>
          </w:p>
        </w:tc>
      </w:tr>
      <w:tr w:rsidR="00BC7DDA" w:rsidRPr="00BD6C5F" w14:paraId="4D6AA09F" w14:textId="77777777" w:rsidTr="00327E90">
        <w:trPr>
          <w:trHeight w:val="680"/>
        </w:trPr>
        <w:tc>
          <w:tcPr>
            <w:tcW w:w="1417" w:type="dxa"/>
          </w:tcPr>
          <w:p w14:paraId="40A1A61D" w14:textId="77777777" w:rsidR="00BC7DDA" w:rsidRPr="00BD6C5F" w:rsidRDefault="009B03E9" w:rsidP="00E95E72">
            <w:pPr>
              <w:pStyle w:val="Tabletext"/>
              <w:rPr>
                <w:b/>
                <w:bCs/>
              </w:rPr>
            </w:pPr>
            <w:r w:rsidRPr="00BD6C5F">
              <w:rPr>
                <w:b/>
                <w:bCs/>
              </w:rPr>
              <w:t>Emp No</w:t>
            </w:r>
          </w:p>
        </w:tc>
        <w:tc>
          <w:tcPr>
            <w:tcW w:w="1701" w:type="dxa"/>
          </w:tcPr>
          <w:p w14:paraId="146E780F" w14:textId="77777777" w:rsidR="00BC7DDA" w:rsidRPr="00BD6C5F" w:rsidRDefault="00BC7DDA" w:rsidP="00E95E72">
            <w:pPr>
              <w:pStyle w:val="Tabletext"/>
            </w:pPr>
          </w:p>
        </w:tc>
        <w:tc>
          <w:tcPr>
            <w:tcW w:w="1644" w:type="dxa"/>
          </w:tcPr>
          <w:p w14:paraId="6D00A2E6" w14:textId="77777777" w:rsidR="00BC7DDA" w:rsidRPr="00BD6C5F" w:rsidRDefault="00BC7DDA" w:rsidP="00E95E72">
            <w:pPr>
              <w:pStyle w:val="Tabletext"/>
            </w:pPr>
          </w:p>
        </w:tc>
        <w:tc>
          <w:tcPr>
            <w:tcW w:w="1984" w:type="dxa"/>
          </w:tcPr>
          <w:p w14:paraId="4C764E63" w14:textId="77777777" w:rsidR="00BC7DDA" w:rsidRPr="00BD6C5F" w:rsidRDefault="00BC7DDA" w:rsidP="00E95E72">
            <w:pPr>
              <w:pStyle w:val="Tabletext"/>
            </w:pPr>
          </w:p>
        </w:tc>
        <w:tc>
          <w:tcPr>
            <w:tcW w:w="2041" w:type="dxa"/>
          </w:tcPr>
          <w:p w14:paraId="71A9F71D" w14:textId="77777777" w:rsidR="00BC7DDA" w:rsidRPr="00BD6C5F" w:rsidRDefault="00BC7DDA" w:rsidP="00E95E72">
            <w:pPr>
              <w:pStyle w:val="Tabletext"/>
            </w:pPr>
          </w:p>
        </w:tc>
        <w:tc>
          <w:tcPr>
            <w:tcW w:w="2381" w:type="dxa"/>
          </w:tcPr>
          <w:p w14:paraId="207A1ADC" w14:textId="77777777" w:rsidR="00BC7DDA" w:rsidRPr="00BD6C5F" w:rsidRDefault="00BC7DDA" w:rsidP="00E95E72">
            <w:pPr>
              <w:pStyle w:val="Tabletext"/>
            </w:pPr>
          </w:p>
        </w:tc>
        <w:tc>
          <w:tcPr>
            <w:tcW w:w="3969" w:type="dxa"/>
          </w:tcPr>
          <w:p w14:paraId="07651F33" w14:textId="77777777" w:rsidR="00BC7DDA" w:rsidRPr="00BD6C5F" w:rsidRDefault="00BC7DDA" w:rsidP="00E95E72">
            <w:pPr>
              <w:pStyle w:val="Tabletext"/>
            </w:pPr>
          </w:p>
        </w:tc>
      </w:tr>
      <w:tr w:rsidR="00BC7DDA" w:rsidRPr="00BD6C5F" w14:paraId="366F6AE4" w14:textId="77777777" w:rsidTr="00327E90">
        <w:trPr>
          <w:trHeight w:val="680"/>
        </w:trPr>
        <w:tc>
          <w:tcPr>
            <w:tcW w:w="1417" w:type="dxa"/>
          </w:tcPr>
          <w:p w14:paraId="0EA0DD57" w14:textId="77777777" w:rsidR="00BC7DDA" w:rsidRPr="00BD6C5F" w:rsidRDefault="009B03E9" w:rsidP="00E95E72">
            <w:pPr>
              <w:pStyle w:val="Tabletext"/>
              <w:rPr>
                <w:b/>
                <w:bCs/>
              </w:rPr>
            </w:pPr>
            <w:r w:rsidRPr="00BD6C5F">
              <w:rPr>
                <w:b/>
                <w:bCs/>
              </w:rPr>
              <w:t>Emp No</w:t>
            </w:r>
          </w:p>
        </w:tc>
        <w:tc>
          <w:tcPr>
            <w:tcW w:w="1701" w:type="dxa"/>
          </w:tcPr>
          <w:p w14:paraId="4C580375" w14:textId="77777777" w:rsidR="00BC7DDA" w:rsidRPr="00BD6C5F" w:rsidRDefault="00BC7DDA" w:rsidP="00E95E72">
            <w:pPr>
              <w:pStyle w:val="Tabletext"/>
            </w:pPr>
          </w:p>
        </w:tc>
        <w:tc>
          <w:tcPr>
            <w:tcW w:w="1644" w:type="dxa"/>
          </w:tcPr>
          <w:p w14:paraId="678989D3" w14:textId="77777777" w:rsidR="00BC7DDA" w:rsidRPr="00BD6C5F" w:rsidRDefault="00BC7DDA" w:rsidP="00E95E72">
            <w:pPr>
              <w:pStyle w:val="Tabletext"/>
            </w:pPr>
          </w:p>
        </w:tc>
        <w:tc>
          <w:tcPr>
            <w:tcW w:w="1984" w:type="dxa"/>
          </w:tcPr>
          <w:p w14:paraId="22795A31" w14:textId="77777777" w:rsidR="00BC7DDA" w:rsidRPr="00BD6C5F" w:rsidRDefault="00BC7DDA" w:rsidP="00E95E72">
            <w:pPr>
              <w:pStyle w:val="Tabletext"/>
            </w:pPr>
          </w:p>
        </w:tc>
        <w:tc>
          <w:tcPr>
            <w:tcW w:w="2041" w:type="dxa"/>
          </w:tcPr>
          <w:p w14:paraId="2485CAEA" w14:textId="77777777" w:rsidR="00BC7DDA" w:rsidRPr="00BD6C5F" w:rsidRDefault="00BC7DDA" w:rsidP="00E95E72">
            <w:pPr>
              <w:pStyle w:val="Tabletext"/>
            </w:pPr>
          </w:p>
        </w:tc>
        <w:tc>
          <w:tcPr>
            <w:tcW w:w="2381" w:type="dxa"/>
          </w:tcPr>
          <w:p w14:paraId="3BC646EE" w14:textId="77777777" w:rsidR="00BC7DDA" w:rsidRPr="00BD6C5F" w:rsidRDefault="00BC7DDA" w:rsidP="00E95E72">
            <w:pPr>
              <w:pStyle w:val="Tabletext"/>
            </w:pPr>
          </w:p>
        </w:tc>
        <w:tc>
          <w:tcPr>
            <w:tcW w:w="3969" w:type="dxa"/>
          </w:tcPr>
          <w:p w14:paraId="409BDCB9" w14:textId="77777777" w:rsidR="00BC7DDA" w:rsidRPr="00BD6C5F" w:rsidRDefault="00BC7DDA" w:rsidP="00E95E72">
            <w:pPr>
              <w:pStyle w:val="Tabletext"/>
            </w:pPr>
          </w:p>
        </w:tc>
      </w:tr>
      <w:tr w:rsidR="00BC7DDA" w:rsidRPr="00BD6C5F" w14:paraId="31339D1E" w14:textId="77777777" w:rsidTr="00327E90">
        <w:trPr>
          <w:trHeight w:val="680"/>
        </w:trPr>
        <w:tc>
          <w:tcPr>
            <w:tcW w:w="1417" w:type="dxa"/>
          </w:tcPr>
          <w:p w14:paraId="6B6483D1" w14:textId="77777777" w:rsidR="00BC7DDA" w:rsidRPr="00BD6C5F" w:rsidRDefault="009B03E9" w:rsidP="00E95E72">
            <w:pPr>
              <w:pStyle w:val="Tabletext"/>
              <w:rPr>
                <w:b/>
                <w:bCs/>
              </w:rPr>
            </w:pPr>
            <w:r w:rsidRPr="00BD6C5F">
              <w:rPr>
                <w:b/>
                <w:bCs/>
              </w:rPr>
              <w:t>Emp No</w:t>
            </w:r>
          </w:p>
        </w:tc>
        <w:tc>
          <w:tcPr>
            <w:tcW w:w="1701" w:type="dxa"/>
          </w:tcPr>
          <w:p w14:paraId="0A21E4B6" w14:textId="77777777" w:rsidR="00BC7DDA" w:rsidRPr="00BD6C5F" w:rsidRDefault="00BC7DDA" w:rsidP="00E95E72">
            <w:pPr>
              <w:pStyle w:val="Tabletext"/>
            </w:pPr>
          </w:p>
        </w:tc>
        <w:tc>
          <w:tcPr>
            <w:tcW w:w="1644" w:type="dxa"/>
          </w:tcPr>
          <w:p w14:paraId="514FD04A" w14:textId="77777777" w:rsidR="00BC7DDA" w:rsidRPr="00BD6C5F" w:rsidRDefault="00BC7DDA" w:rsidP="00E95E72">
            <w:pPr>
              <w:pStyle w:val="Tabletext"/>
            </w:pPr>
          </w:p>
        </w:tc>
        <w:tc>
          <w:tcPr>
            <w:tcW w:w="1984" w:type="dxa"/>
          </w:tcPr>
          <w:p w14:paraId="7DF68D3B" w14:textId="77777777" w:rsidR="00BC7DDA" w:rsidRPr="00BD6C5F" w:rsidRDefault="00BC7DDA" w:rsidP="00E95E72">
            <w:pPr>
              <w:pStyle w:val="Tabletext"/>
            </w:pPr>
          </w:p>
        </w:tc>
        <w:tc>
          <w:tcPr>
            <w:tcW w:w="2041" w:type="dxa"/>
          </w:tcPr>
          <w:p w14:paraId="76951547" w14:textId="77777777" w:rsidR="00BC7DDA" w:rsidRPr="00BD6C5F" w:rsidRDefault="00BC7DDA" w:rsidP="00E95E72">
            <w:pPr>
              <w:pStyle w:val="Tabletext"/>
            </w:pPr>
          </w:p>
        </w:tc>
        <w:tc>
          <w:tcPr>
            <w:tcW w:w="2381" w:type="dxa"/>
          </w:tcPr>
          <w:p w14:paraId="505E46F1" w14:textId="77777777" w:rsidR="00BC7DDA" w:rsidRPr="00BD6C5F" w:rsidRDefault="00BC7DDA" w:rsidP="00E95E72">
            <w:pPr>
              <w:pStyle w:val="Tabletext"/>
            </w:pPr>
          </w:p>
        </w:tc>
        <w:tc>
          <w:tcPr>
            <w:tcW w:w="3969" w:type="dxa"/>
          </w:tcPr>
          <w:p w14:paraId="4BD47905" w14:textId="77777777" w:rsidR="00BC7DDA" w:rsidRPr="00BD6C5F" w:rsidRDefault="00BC7DDA" w:rsidP="00E95E72">
            <w:pPr>
              <w:pStyle w:val="Tabletext"/>
            </w:pPr>
          </w:p>
        </w:tc>
      </w:tr>
      <w:tr w:rsidR="00BC7DDA" w:rsidRPr="00BD6C5F" w14:paraId="1C8FC4D3" w14:textId="77777777" w:rsidTr="00327E90">
        <w:trPr>
          <w:trHeight w:val="680"/>
        </w:trPr>
        <w:tc>
          <w:tcPr>
            <w:tcW w:w="1417" w:type="dxa"/>
          </w:tcPr>
          <w:p w14:paraId="241F5BBF" w14:textId="77777777" w:rsidR="00BC7DDA" w:rsidRPr="00BD6C5F" w:rsidRDefault="009B03E9" w:rsidP="00E95E72">
            <w:pPr>
              <w:pStyle w:val="Tabletext"/>
              <w:rPr>
                <w:b/>
                <w:bCs/>
              </w:rPr>
            </w:pPr>
            <w:r w:rsidRPr="00BD6C5F">
              <w:rPr>
                <w:b/>
                <w:bCs/>
              </w:rPr>
              <w:t>Emp No</w:t>
            </w:r>
          </w:p>
        </w:tc>
        <w:tc>
          <w:tcPr>
            <w:tcW w:w="1701" w:type="dxa"/>
          </w:tcPr>
          <w:p w14:paraId="620F6BAD" w14:textId="77777777" w:rsidR="00BC7DDA" w:rsidRPr="00BD6C5F" w:rsidRDefault="00BC7DDA" w:rsidP="00E95E72">
            <w:pPr>
              <w:pStyle w:val="Tabletext"/>
            </w:pPr>
          </w:p>
        </w:tc>
        <w:tc>
          <w:tcPr>
            <w:tcW w:w="1644" w:type="dxa"/>
          </w:tcPr>
          <w:p w14:paraId="04A2BC05" w14:textId="77777777" w:rsidR="00BC7DDA" w:rsidRPr="00BD6C5F" w:rsidRDefault="00BC7DDA" w:rsidP="00E95E72">
            <w:pPr>
              <w:pStyle w:val="Tabletext"/>
            </w:pPr>
          </w:p>
        </w:tc>
        <w:tc>
          <w:tcPr>
            <w:tcW w:w="1984" w:type="dxa"/>
          </w:tcPr>
          <w:p w14:paraId="7213BC11" w14:textId="77777777" w:rsidR="00BC7DDA" w:rsidRPr="00BD6C5F" w:rsidRDefault="00BC7DDA" w:rsidP="00E95E72">
            <w:pPr>
              <w:pStyle w:val="Tabletext"/>
            </w:pPr>
          </w:p>
        </w:tc>
        <w:tc>
          <w:tcPr>
            <w:tcW w:w="2041" w:type="dxa"/>
          </w:tcPr>
          <w:p w14:paraId="7A22D77A" w14:textId="77777777" w:rsidR="00BC7DDA" w:rsidRPr="00BD6C5F" w:rsidRDefault="00BC7DDA" w:rsidP="00E95E72">
            <w:pPr>
              <w:pStyle w:val="Tabletext"/>
            </w:pPr>
          </w:p>
        </w:tc>
        <w:tc>
          <w:tcPr>
            <w:tcW w:w="2381" w:type="dxa"/>
          </w:tcPr>
          <w:p w14:paraId="25B1548A" w14:textId="77777777" w:rsidR="00BC7DDA" w:rsidRPr="00BD6C5F" w:rsidRDefault="00BC7DDA" w:rsidP="00E95E72">
            <w:pPr>
              <w:pStyle w:val="Tabletext"/>
            </w:pPr>
          </w:p>
        </w:tc>
        <w:tc>
          <w:tcPr>
            <w:tcW w:w="3969" w:type="dxa"/>
          </w:tcPr>
          <w:p w14:paraId="1F04F74B" w14:textId="77777777" w:rsidR="00BC7DDA" w:rsidRPr="00BD6C5F" w:rsidRDefault="00BC7DDA" w:rsidP="00E95E72">
            <w:pPr>
              <w:pStyle w:val="Tabletext"/>
            </w:pPr>
          </w:p>
        </w:tc>
      </w:tr>
    </w:tbl>
    <w:p w14:paraId="5E958780" w14:textId="0210197D" w:rsidR="00BC7DDA" w:rsidRPr="00BD6C5F" w:rsidRDefault="00BC7DDA" w:rsidP="00C53813"/>
    <w:tbl>
      <w:tblPr>
        <w:tblStyle w:val="MSATable-header"/>
        <w:tblW w:w="15137" w:type="dxa"/>
        <w:tblLayout w:type="fixed"/>
        <w:tblLook w:val="0620" w:firstRow="1" w:lastRow="0" w:firstColumn="0" w:lastColumn="0" w:noHBand="1" w:noVBand="1"/>
      </w:tblPr>
      <w:tblGrid>
        <w:gridCol w:w="1417"/>
        <w:gridCol w:w="1928"/>
        <w:gridCol w:w="1814"/>
        <w:gridCol w:w="1361"/>
        <w:gridCol w:w="1984"/>
        <w:gridCol w:w="4762"/>
        <w:gridCol w:w="1871"/>
      </w:tblGrid>
      <w:tr w:rsidR="00BC7DDA" w:rsidRPr="00BD6C5F" w14:paraId="3F0958EF" w14:textId="77777777" w:rsidTr="008F1818">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297C1224" w14:textId="77777777" w:rsidR="00BC7DDA" w:rsidRPr="00BD6C5F" w:rsidRDefault="00BC7DDA" w:rsidP="000B320F">
            <w:pPr>
              <w:pStyle w:val="Tabletext"/>
              <w:rPr>
                <w:b w:val="0"/>
                <w:bCs/>
              </w:rPr>
            </w:pPr>
          </w:p>
        </w:tc>
        <w:tc>
          <w:tcPr>
            <w:tcW w:w="13720" w:type="dxa"/>
            <w:gridSpan w:val="6"/>
          </w:tcPr>
          <w:p w14:paraId="17D0C459" w14:textId="77777777" w:rsidR="00BC7DDA" w:rsidRPr="00BD6C5F" w:rsidRDefault="009B03E9" w:rsidP="000B320F">
            <w:pPr>
              <w:pStyle w:val="Tabletext"/>
              <w:rPr>
                <w:b w:val="0"/>
                <w:bCs/>
              </w:rPr>
            </w:pPr>
            <w:r w:rsidRPr="00BD6C5F">
              <w:rPr>
                <w:bCs/>
              </w:rPr>
              <w:t>PENSIONS</w:t>
            </w:r>
          </w:p>
        </w:tc>
      </w:tr>
      <w:tr w:rsidR="00BC7DDA" w:rsidRPr="00BD6C5F" w14:paraId="1DA93178" w14:textId="77777777" w:rsidTr="00327E90">
        <w:trPr>
          <w:cnfStyle w:val="100000000000" w:firstRow="1" w:lastRow="0" w:firstColumn="0" w:lastColumn="0" w:oddVBand="0" w:evenVBand="0" w:oddHBand="0" w:evenHBand="0" w:firstRowFirstColumn="0" w:firstRowLastColumn="0" w:lastRowFirstColumn="0" w:lastRowLastColumn="0"/>
          <w:tblHeader/>
        </w:trPr>
        <w:tc>
          <w:tcPr>
            <w:tcW w:w="1417" w:type="dxa"/>
          </w:tcPr>
          <w:p w14:paraId="126FA6A1" w14:textId="77777777" w:rsidR="00BC7DDA" w:rsidRPr="00BD6C5F" w:rsidRDefault="009B03E9" w:rsidP="000B320F">
            <w:pPr>
              <w:pStyle w:val="Tabletext"/>
              <w:rPr>
                <w:b w:val="0"/>
                <w:bCs/>
              </w:rPr>
            </w:pPr>
            <w:r w:rsidRPr="00BD6C5F">
              <w:rPr>
                <w:bCs/>
              </w:rPr>
              <w:t>Details</w:t>
            </w:r>
          </w:p>
        </w:tc>
        <w:tc>
          <w:tcPr>
            <w:tcW w:w="1928" w:type="dxa"/>
          </w:tcPr>
          <w:p w14:paraId="2F91D89C" w14:textId="77777777" w:rsidR="00BC7DDA" w:rsidRPr="00BD6C5F" w:rsidRDefault="009B03E9" w:rsidP="000B320F">
            <w:pPr>
              <w:pStyle w:val="Tabletext"/>
              <w:rPr>
                <w:b w:val="0"/>
                <w:bCs/>
              </w:rPr>
            </w:pPr>
            <w:r w:rsidRPr="00BD6C5F">
              <w:rPr>
                <w:bCs/>
              </w:rPr>
              <w:t>If the Employee is in the Local Government Pension Scheme, please supply details of Fund and Administering Authority.</w:t>
            </w:r>
          </w:p>
        </w:tc>
        <w:tc>
          <w:tcPr>
            <w:tcW w:w="1814" w:type="dxa"/>
          </w:tcPr>
          <w:p w14:paraId="06B4D3B2" w14:textId="77777777" w:rsidR="00BC7DDA" w:rsidRPr="00BD6C5F" w:rsidRDefault="009B03E9" w:rsidP="000B320F">
            <w:pPr>
              <w:pStyle w:val="Tabletext"/>
              <w:rPr>
                <w:b w:val="0"/>
                <w:bCs/>
              </w:rPr>
            </w:pPr>
            <w:r w:rsidRPr="00BD6C5F">
              <w:rPr>
                <w:bCs/>
              </w:rPr>
              <w:t>If the Employee is in the Civil Service Pension Scheme, please provide details of the Admission Agreement.</w:t>
            </w:r>
          </w:p>
        </w:tc>
        <w:tc>
          <w:tcPr>
            <w:tcW w:w="1361" w:type="dxa"/>
          </w:tcPr>
          <w:p w14:paraId="157601F5" w14:textId="59841BA3" w:rsidR="00BC7DDA" w:rsidRPr="00BD6C5F" w:rsidRDefault="009B03E9" w:rsidP="000B320F">
            <w:pPr>
              <w:pStyle w:val="Tabletext"/>
              <w:rPr>
                <w:b w:val="0"/>
                <w:bCs/>
              </w:rPr>
            </w:pPr>
            <w:r w:rsidRPr="00BD6C5F">
              <w:rPr>
                <w:bCs/>
              </w:rPr>
              <w:t>If the Employee is in the NHSPS,</w:t>
            </w:r>
            <w:r w:rsidR="000B320F" w:rsidRPr="00BD6C5F">
              <w:rPr>
                <w:bCs/>
              </w:rPr>
              <w:t xml:space="preserve"> </w:t>
            </w:r>
            <w:r w:rsidRPr="00BD6C5F">
              <w:rPr>
                <w:bCs/>
              </w:rPr>
              <w:t>please provide details of the Direction Letter.</w:t>
            </w:r>
          </w:p>
        </w:tc>
        <w:tc>
          <w:tcPr>
            <w:tcW w:w="1984" w:type="dxa"/>
          </w:tcPr>
          <w:p w14:paraId="08947DF9" w14:textId="77777777" w:rsidR="00BC7DDA" w:rsidRPr="00BD6C5F" w:rsidRDefault="009B03E9" w:rsidP="000B320F">
            <w:pPr>
              <w:pStyle w:val="Tabletext"/>
              <w:rPr>
                <w:b w:val="0"/>
                <w:bCs/>
              </w:rPr>
            </w:pPr>
            <w:r w:rsidRPr="00BD6C5F">
              <w:rPr>
                <w:bCs/>
              </w:rPr>
              <w:t>If the Employee is in a broadly comparable pension scheme, please supply a copy of the GAD</w:t>
            </w:r>
          </w:p>
          <w:p w14:paraId="43B177B9" w14:textId="77777777" w:rsidR="00BC7DDA" w:rsidRPr="00BD6C5F" w:rsidRDefault="009B03E9" w:rsidP="000B320F">
            <w:pPr>
              <w:pStyle w:val="Tabletext"/>
              <w:rPr>
                <w:b w:val="0"/>
                <w:bCs/>
              </w:rPr>
            </w:pPr>
            <w:r w:rsidRPr="00BD6C5F">
              <w:rPr>
                <w:bCs/>
              </w:rPr>
              <w:t>certificate of Broad Comparability.</w:t>
            </w:r>
          </w:p>
        </w:tc>
        <w:tc>
          <w:tcPr>
            <w:tcW w:w="4762" w:type="dxa"/>
          </w:tcPr>
          <w:p w14:paraId="0A4ACBE0" w14:textId="77777777" w:rsidR="00BC7DDA" w:rsidRPr="00BD6C5F" w:rsidRDefault="009B03E9" w:rsidP="000B320F">
            <w:pPr>
              <w:pStyle w:val="Tabletext"/>
              <w:rPr>
                <w:b w:val="0"/>
                <w:bCs/>
              </w:rPr>
            </w:pPr>
            <w:r w:rsidRPr="00BD6C5F">
              <w:rPr>
                <w:bCs/>
              </w:rPr>
              <w:t>Did Fair Deal or any other similar pension protection for ex-public sector employees apply to the employee when they TUPE transferred into your employment? If so, what was the nature of that protection (e.g. right to participate in a public sector pension scheme, or a broadly comparable scheme, or to bulk transfer past pension service into their current scheme)?</w:t>
            </w:r>
          </w:p>
        </w:tc>
        <w:tc>
          <w:tcPr>
            <w:tcW w:w="1871" w:type="dxa"/>
          </w:tcPr>
          <w:p w14:paraId="727C17C7" w14:textId="77777777" w:rsidR="00BC7DDA" w:rsidRPr="00BD6C5F" w:rsidRDefault="009B03E9" w:rsidP="000B320F">
            <w:pPr>
              <w:pStyle w:val="Tabletext"/>
              <w:rPr>
                <w:b w:val="0"/>
                <w:bCs/>
              </w:rPr>
            </w:pPr>
            <w:r w:rsidRPr="00BD6C5F">
              <w:rPr>
                <w:bCs/>
              </w:rPr>
              <w:t>If Fair Deal, Best Value or other pension protection applied, which public sector employer did they originally transfer out of and when?</w:t>
            </w:r>
          </w:p>
        </w:tc>
      </w:tr>
      <w:tr w:rsidR="00BC7DDA" w:rsidRPr="00BD6C5F" w14:paraId="2202A265" w14:textId="77777777" w:rsidTr="00327E90">
        <w:trPr>
          <w:trHeight w:val="624"/>
        </w:trPr>
        <w:tc>
          <w:tcPr>
            <w:tcW w:w="1417" w:type="dxa"/>
          </w:tcPr>
          <w:p w14:paraId="7EDB8BF3" w14:textId="77777777" w:rsidR="00BC7DDA" w:rsidRPr="00BD6C5F" w:rsidRDefault="009B03E9" w:rsidP="000B320F">
            <w:pPr>
              <w:pStyle w:val="Tabletext"/>
              <w:rPr>
                <w:b/>
                <w:bCs/>
              </w:rPr>
            </w:pPr>
            <w:r w:rsidRPr="00BD6C5F">
              <w:rPr>
                <w:b/>
                <w:bCs/>
              </w:rPr>
              <w:t>Emp No 1</w:t>
            </w:r>
          </w:p>
        </w:tc>
        <w:tc>
          <w:tcPr>
            <w:tcW w:w="1928" w:type="dxa"/>
          </w:tcPr>
          <w:p w14:paraId="4794F4CB" w14:textId="77777777" w:rsidR="00BC7DDA" w:rsidRPr="00BD6C5F" w:rsidRDefault="00BC7DDA" w:rsidP="000B320F">
            <w:pPr>
              <w:pStyle w:val="Tabletext"/>
            </w:pPr>
          </w:p>
        </w:tc>
        <w:tc>
          <w:tcPr>
            <w:tcW w:w="1814" w:type="dxa"/>
          </w:tcPr>
          <w:p w14:paraId="387FF1FA" w14:textId="77777777" w:rsidR="00BC7DDA" w:rsidRPr="00BD6C5F" w:rsidRDefault="00BC7DDA" w:rsidP="000B320F">
            <w:pPr>
              <w:pStyle w:val="Tabletext"/>
            </w:pPr>
          </w:p>
        </w:tc>
        <w:tc>
          <w:tcPr>
            <w:tcW w:w="1361" w:type="dxa"/>
          </w:tcPr>
          <w:p w14:paraId="1F72E2AF" w14:textId="77777777" w:rsidR="00BC7DDA" w:rsidRPr="00BD6C5F" w:rsidRDefault="00BC7DDA" w:rsidP="000B320F">
            <w:pPr>
              <w:pStyle w:val="Tabletext"/>
            </w:pPr>
          </w:p>
        </w:tc>
        <w:tc>
          <w:tcPr>
            <w:tcW w:w="1984" w:type="dxa"/>
          </w:tcPr>
          <w:p w14:paraId="156F0568" w14:textId="77777777" w:rsidR="00BC7DDA" w:rsidRPr="00BD6C5F" w:rsidRDefault="00BC7DDA" w:rsidP="000B320F">
            <w:pPr>
              <w:pStyle w:val="Tabletext"/>
            </w:pPr>
          </w:p>
        </w:tc>
        <w:tc>
          <w:tcPr>
            <w:tcW w:w="4762" w:type="dxa"/>
          </w:tcPr>
          <w:p w14:paraId="5F2F123D" w14:textId="77777777" w:rsidR="00BC7DDA" w:rsidRPr="00BD6C5F" w:rsidRDefault="00BC7DDA" w:rsidP="000B320F">
            <w:pPr>
              <w:pStyle w:val="Tabletext"/>
            </w:pPr>
          </w:p>
        </w:tc>
        <w:tc>
          <w:tcPr>
            <w:tcW w:w="1871" w:type="dxa"/>
          </w:tcPr>
          <w:p w14:paraId="2BDB957D" w14:textId="77777777" w:rsidR="00BC7DDA" w:rsidRPr="00BD6C5F" w:rsidRDefault="00BC7DDA" w:rsidP="000B320F">
            <w:pPr>
              <w:pStyle w:val="Tabletext"/>
            </w:pPr>
          </w:p>
        </w:tc>
      </w:tr>
      <w:tr w:rsidR="00BC7DDA" w:rsidRPr="00BD6C5F" w14:paraId="063422BC" w14:textId="77777777" w:rsidTr="00327E90">
        <w:trPr>
          <w:trHeight w:val="624"/>
        </w:trPr>
        <w:tc>
          <w:tcPr>
            <w:tcW w:w="1417" w:type="dxa"/>
          </w:tcPr>
          <w:p w14:paraId="5A1CC931" w14:textId="77777777" w:rsidR="00BC7DDA" w:rsidRPr="00BD6C5F" w:rsidRDefault="009B03E9" w:rsidP="000B320F">
            <w:pPr>
              <w:pStyle w:val="Tabletext"/>
              <w:rPr>
                <w:b/>
                <w:bCs/>
              </w:rPr>
            </w:pPr>
            <w:r w:rsidRPr="00BD6C5F">
              <w:rPr>
                <w:b/>
                <w:bCs/>
              </w:rPr>
              <w:t>Emp No 2</w:t>
            </w:r>
          </w:p>
        </w:tc>
        <w:tc>
          <w:tcPr>
            <w:tcW w:w="1928" w:type="dxa"/>
          </w:tcPr>
          <w:p w14:paraId="1D5F481A" w14:textId="77777777" w:rsidR="00BC7DDA" w:rsidRPr="00BD6C5F" w:rsidRDefault="00BC7DDA" w:rsidP="000B320F">
            <w:pPr>
              <w:pStyle w:val="Tabletext"/>
            </w:pPr>
          </w:p>
        </w:tc>
        <w:tc>
          <w:tcPr>
            <w:tcW w:w="1814" w:type="dxa"/>
          </w:tcPr>
          <w:p w14:paraId="6B5DC51D" w14:textId="77777777" w:rsidR="00BC7DDA" w:rsidRPr="00BD6C5F" w:rsidRDefault="00BC7DDA" w:rsidP="000B320F">
            <w:pPr>
              <w:pStyle w:val="Tabletext"/>
            </w:pPr>
          </w:p>
        </w:tc>
        <w:tc>
          <w:tcPr>
            <w:tcW w:w="1361" w:type="dxa"/>
          </w:tcPr>
          <w:p w14:paraId="075FE82B" w14:textId="77777777" w:rsidR="00BC7DDA" w:rsidRPr="00BD6C5F" w:rsidRDefault="00BC7DDA" w:rsidP="000B320F">
            <w:pPr>
              <w:pStyle w:val="Tabletext"/>
            </w:pPr>
          </w:p>
        </w:tc>
        <w:tc>
          <w:tcPr>
            <w:tcW w:w="1984" w:type="dxa"/>
          </w:tcPr>
          <w:p w14:paraId="055A6C34" w14:textId="77777777" w:rsidR="00BC7DDA" w:rsidRPr="00BD6C5F" w:rsidRDefault="00BC7DDA" w:rsidP="000B320F">
            <w:pPr>
              <w:pStyle w:val="Tabletext"/>
            </w:pPr>
          </w:p>
        </w:tc>
        <w:tc>
          <w:tcPr>
            <w:tcW w:w="4762" w:type="dxa"/>
          </w:tcPr>
          <w:p w14:paraId="78F5AB4D" w14:textId="77777777" w:rsidR="00BC7DDA" w:rsidRPr="00BD6C5F" w:rsidRDefault="00BC7DDA" w:rsidP="000B320F">
            <w:pPr>
              <w:pStyle w:val="Tabletext"/>
            </w:pPr>
          </w:p>
        </w:tc>
        <w:tc>
          <w:tcPr>
            <w:tcW w:w="1871" w:type="dxa"/>
          </w:tcPr>
          <w:p w14:paraId="03B9B3D2" w14:textId="77777777" w:rsidR="00BC7DDA" w:rsidRPr="00BD6C5F" w:rsidRDefault="00BC7DDA" w:rsidP="000B320F">
            <w:pPr>
              <w:pStyle w:val="Tabletext"/>
            </w:pPr>
          </w:p>
        </w:tc>
      </w:tr>
      <w:tr w:rsidR="00BC7DDA" w:rsidRPr="00BD6C5F" w14:paraId="22A0F564" w14:textId="77777777" w:rsidTr="00327E90">
        <w:trPr>
          <w:trHeight w:val="624"/>
        </w:trPr>
        <w:tc>
          <w:tcPr>
            <w:tcW w:w="1417" w:type="dxa"/>
          </w:tcPr>
          <w:p w14:paraId="1925368E" w14:textId="77777777" w:rsidR="00BC7DDA" w:rsidRPr="00BD6C5F" w:rsidRDefault="009B03E9" w:rsidP="000B320F">
            <w:pPr>
              <w:pStyle w:val="Tabletext"/>
              <w:rPr>
                <w:b/>
                <w:bCs/>
              </w:rPr>
            </w:pPr>
            <w:r w:rsidRPr="00BD6C5F">
              <w:rPr>
                <w:b/>
                <w:bCs/>
              </w:rPr>
              <w:t>Emp No</w:t>
            </w:r>
          </w:p>
        </w:tc>
        <w:tc>
          <w:tcPr>
            <w:tcW w:w="1928" w:type="dxa"/>
          </w:tcPr>
          <w:p w14:paraId="43AA982A" w14:textId="77777777" w:rsidR="00BC7DDA" w:rsidRPr="00BD6C5F" w:rsidRDefault="00BC7DDA" w:rsidP="000B320F">
            <w:pPr>
              <w:pStyle w:val="Tabletext"/>
            </w:pPr>
          </w:p>
        </w:tc>
        <w:tc>
          <w:tcPr>
            <w:tcW w:w="1814" w:type="dxa"/>
          </w:tcPr>
          <w:p w14:paraId="029C4E0A" w14:textId="77777777" w:rsidR="00BC7DDA" w:rsidRPr="00BD6C5F" w:rsidRDefault="00BC7DDA" w:rsidP="000B320F">
            <w:pPr>
              <w:pStyle w:val="Tabletext"/>
            </w:pPr>
          </w:p>
        </w:tc>
        <w:tc>
          <w:tcPr>
            <w:tcW w:w="1361" w:type="dxa"/>
          </w:tcPr>
          <w:p w14:paraId="416A93C0" w14:textId="77777777" w:rsidR="00BC7DDA" w:rsidRPr="00BD6C5F" w:rsidRDefault="00BC7DDA" w:rsidP="000B320F">
            <w:pPr>
              <w:pStyle w:val="Tabletext"/>
            </w:pPr>
          </w:p>
        </w:tc>
        <w:tc>
          <w:tcPr>
            <w:tcW w:w="1984" w:type="dxa"/>
          </w:tcPr>
          <w:p w14:paraId="30B2F67C" w14:textId="77777777" w:rsidR="00BC7DDA" w:rsidRPr="00BD6C5F" w:rsidRDefault="00BC7DDA" w:rsidP="000B320F">
            <w:pPr>
              <w:pStyle w:val="Tabletext"/>
            </w:pPr>
          </w:p>
        </w:tc>
        <w:tc>
          <w:tcPr>
            <w:tcW w:w="4762" w:type="dxa"/>
          </w:tcPr>
          <w:p w14:paraId="5CA6B355" w14:textId="77777777" w:rsidR="00BC7DDA" w:rsidRPr="00BD6C5F" w:rsidRDefault="00BC7DDA" w:rsidP="000B320F">
            <w:pPr>
              <w:pStyle w:val="Tabletext"/>
            </w:pPr>
          </w:p>
        </w:tc>
        <w:tc>
          <w:tcPr>
            <w:tcW w:w="1871" w:type="dxa"/>
          </w:tcPr>
          <w:p w14:paraId="023ABE3E" w14:textId="77777777" w:rsidR="00BC7DDA" w:rsidRPr="00BD6C5F" w:rsidRDefault="00BC7DDA" w:rsidP="000B320F">
            <w:pPr>
              <w:pStyle w:val="Tabletext"/>
            </w:pPr>
          </w:p>
        </w:tc>
      </w:tr>
      <w:tr w:rsidR="00BC7DDA" w:rsidRPr="00BD6C5F" w14:paraId="7FCDAD43" w14:textId="77777777" w:rsidTr="00327E90">
        <w:trPr>
          <w:trHeight w:val="624"/>
        </w:trPr>
        <w:tc>
          <w:tcPr>
            <w:tcW w:w="1417" w:type="dxa"/>
          </w:tcPr>
          <w:p w14:paraId="13F2BEE5" w14:textId="77777777" w:rsidR="00BC7DDA" w:rsidRPr="00BD6C5F" w:rsidRDefault="009B03E9" w:rsidP="000B320F">
            <w:pPr>
              <w:pStyle w:val="Tabletext"/>
              <w:rPr>
                <w:b/>
                <w:bCs/>
              </w:rPr>
            </w:pPr>
            <w:r w:rsidRPr="00BD6C5F">
              <w:rPr>
                <w:b/>
                <w:bCs/>
              </w:rPr>
              <w:t>Emp No</w:t>
            </w:r>
          </w:p>
        </w:tc>
        <w:tc>
          <w:tcPr>
            <w:tcW w:w="1928" w:type="dxa"/>
          </w:tcPr>
          <w:p w14:paraId="62921F32" w14:textId="77777777" w:rsidR="00BC7DDA" w:rsidRPr="00BD6C5F" w:rsidRDefault="00BC7DDA" w:rsidP="000B320F">
            <w:pPr>
              <w:pStyle w:val="Tabletext"/>
            </w:pPr>
          </w:p>
        </w:tc>
        <w:tc>
          <w:tcPr>
            <w:tcW w:w="1814" w:type="dxa"/>
          </w:tcPr>
          <w:p w14:paraId="1AC3B05C" w14:textId="77777777" w:rsidR="00BC7DDA" w:rsidRPr="00BD6C5F" w:rsidRDefault="00BC7DDA" w:rsidP="000B320F">
            <w:pPr>
              <w:pStyle w:val="Tabletext"/>
            </w:pPr>
          </w:p>
        </w:tc>
        <w:tc>
          <w:tcPr>
            <w:tcW w:w="1361" w:type="dxa"/>
          </w:tcPr>
          <w:p w14:paraId="6051822D" w14:textId="77777777" w:rsidR="00BC7DDA" w:rsidRPr="00BD6C5F" w:rsidRDefault="00BC7DDA" w:rsidP="000B320F">
            <w:pPr>
              <w:pStyle w:val="Tabletext"/>
            </w:pPr>
          </w:p>
        </w:tc>
        <w:tc>
          <w:tcPr>
            <w:tcW w:w="1984" w:type="dxa"/>
          </w:tcPr>
          <w:p w14:paraId="31FBE080" w14:textId="77777777" w:rsidR="00BC7DDA" w:rsidRPr="00BD6C5F" w:rsidRDefault="00BC7DDA" w:rsidP="000B320F">
            <w:pPr>
              <w:pStyle w:val="Tabletext"/>
            </w:pPr>
          </w:p>
        </w:tc>
        <w:tc>
          <w:tcPr>
            <w:tcW w:w="4762" w:type="dxa"/>
          </w:tcPr>
          <w:p w14:paraId="26E05469" w14:textId="77777777" w:rsidR="00BC7DDA" w:rsidRPr="00BD6C5F" w:rsidRDefault="00BC7DDA" w:rsidP="000B320F">
            <w:pPr>
              <w:pStyle w:val="Tabletext"/>
            </w:pPr>
          </w:p>
        </w:tc>
        <w:tc>
          <w:tcPr>
            <w:tcW w:w="1871" w:type="dxa"/>
          </w:tcPr>
          <w:p w14:paraId="071305AF" w14:textId="77777777" w:rsidR="00BC7DDA" w:rsidRPr="00BD6C5F" w:rsidRDefault="00BC7DDA" w:rsidP="000B320F">
            <w:pPr>
              <w:pStyle w:val="Tabletext"/>
            </w:pPr>
          </w:p>
        </w:tc>
      </w:tr>
      <w:tr w:rsidR="00BC7DDA" w:rsidRPr="00BD6C5F" w14:paraId="347C0066" w14:textId="77777777" w:rsidTr="00327E90">
        <w:trPr>
          <w:trHeight w:val="624"/>
        </w:trPr>
        <w:tc>
          <w:tcPr>
            <w:tcW w:w="1417" w:type="dxa"/>
          </w:tcPr>
          <w:p w14:paraId="107CE75E" w14:textId="77777777" w:rsidR="00BC7DDA" w:rsidRPr="00BD6C5F" w:rsidRDefault="009B03E9" w:rsidP="000B320F">
            <w:pPr>
              <w:pStyle w:val="Tabletext"/>
              <w:rPr>
                <w:b/>
                <w:bCs/>
              </w:rPr>
            </w:pPr>
            <w:r w:rsidRPr="00BD6C5F">
              <w:rPr>
                <w:b/>
                <w:bCs/>
              </w:rPr>
              <w:t>Emp No</w:t>
            </w:r>
          </w:p>
        </w:tc>
        <w:tc>
          <w:tcPr>
            <w:tcW w:w="1928" w:type="dxa"/>
          </w:tcPr>
          <w:p w14:paraId="22C4B6B9" w14:textId="77777777" w:rsidR="00BC7DDA" w:rsidRPr="00BD6C5F" w:rsidRDefault="00BC7DDA" w:rsidP="000B320F">
            <w:pPr>
              <w:pStyle w:val="Tabletext"/>
            </w:pPr>
          </w:p>
        </w:tc>
        <w:tc>
          <w:tcPr>
            <w:tcW w:w="1814" w:type="dxa"/>
          </w:tcPr>
          <w:p w14:paraId="6FA2AC2C" w14:textId="77777777" w:rsidR="00BC7DDA" w:rsidRPr="00BD6C5F" w:rsidRDefault="00BC7DDA" w:rsidP="000B320F">
            <w:pPr>
              <w:pStyle w:val="Tabletext"/>
            </w:pPr>
          </w:p>
        </w:tc>
        <w:tc>
          <w:tcPr>
            <w:tcW w:w="1361" w:type="dxa"/>
          </w:tcPr>
          <w:p w14:paraId="4EB41370" w14:textId="77777777" w:rsidR="00BC7DDA" w:rsidRPr="00BD6C5F" w:rsidRDefault="00BC7DDA" w:rsidP="000B320F">
            <w:pPr>
              <w:pStyle w:val="Tabletext"/>
            </w:pPr>
          </w:p>
        </w:tc>
        <w:tc>
          <w:tcPr>
            <w:tcW w:w="1984" w:type="dxa"/>
          </w:tcPr>
          <w:p w14:paraId="6D5A887A" w14:textId="77777777" w:rsidR="00BC7DDA" w:rsidRPr="00BD6C5F" w:rsidRDefault="00BC7DDA" w:rsidP="000B320F">
            <w:pPr>
              <w:pStyle w:val="Tabletext"/>
            </w:pPr>
          </w:p>
        </w:tc>
        <w:tc>
          <w:tcPr>
            <w:tcW w:w="4762" w:type="dxa"/>
          </w:tcPr>
          <w:p w14:paraId="45329386" w14:textId="77777777" w:rsidR="00BC7DDA" w:rsidRPr="00BD6C5F" w:rsidRDefault="00BC7DDA" w:rsidP="000B320F">
            <w:pPr>
              <w:pStyle w:val="Tabletext"/>
            </w:pPr>
          </w:p>
        </w:tc>
        <w:tc>
          <w:tcPr>
            <w:tcW w:w="1871" w:type="dxa"/>
          </w:tcPr>
          <w:p w14:paraId="40526867" w14:textId="77777777" w:rsidR="00BC7DDA" w:rsidRPr="00BD6C5F" w:rsidRDefault="00BC7DDA" w:rsidP="000B320F">
            <w:pPr>
              <w:pStyle w:val="Tabletext"/>
            </w:pPr>
          </w:p>
        </w:tc>
      </w:tr>
      <w:tr w:rsidR="00BC7DDA" w:rsidRPr="00BD6C5F" w14:paraId="32ED567F" w14:textId="77777777" w:rsidTr="00327E90">
        <w:trPr>
          <w:trHeight w:val="624"/>
        </w:trPr>
        <w:tc>
          <w:tcPr>
            <w:tcW w:w="1417" w:type="dxa"/>
          </w:tcPr>
          <w:p w14:paraId="14281FC0" w14:textId="77777777" w:rsidR="00BC7DDA" w:rsidRPr="00BD6C5F" w:rsidRDefault="009B03E9" w:rsidP="000B320F">
            <w:pPr>
              <w:pStyle w:val="Tabletext"/>
              <w:rPr>
                <w:b/>
                <w:bCs/>
              </w:rPr>
            </w:pPr>
            <w:r w:rsidRPr="00BD6C5F">
              <w:rPr>
                <w:b/>
                <w:bCs/>
              </w:rPr>
              <w:t>Emp No</w:t>
            </w:r>
          </w:p>
        </w:tc>
        <w:tc>
          <w:tcPr>
            <w:tcW w:w="1928" w:type="dxa"/>
          </w:tcPr>
          <w:p w14:paraId="6256C24B" w14:textId="77777777" w:rsidR="00BC7DDA" w:rsidRPr="00BD6C5F" w:rsidRDefault="00BC7DDA" w:rsidP="000B320F">
            <w:pPr>
              <w:pStyle w:val="Tabletext"/>
            </w:pPr>
          </w:p>
        </w:tc>
        <w:tc>
          <w:tcPr>
            <w:tcW w:w="1814" w:type="dxa"/>
          </w:tcPr>
          <w:p w14:paraId="3568A445" w14:textId="77777777" w:rsidR="00BC7DDA" w:rsidRPr="00BD6C5F" w:rsidRDefault="00BC7DDA" w:rsidP="000B320F">
            <w:pPr>
              <w:pStyle w:val="Tabletext"/>
            </w:pPr>
          </w:p>
        </w:tc>
        <w:tc>
          <w:tcPr>
            <w:tcW w:w="1361" w:type="dxa"/>
          </w:tcPr>
          <w:p w14:paraId="0A72A98F" w14:textId="77777777" w:rsidR="00BC7DDA" w:rsidRPr="00BD6C5F" w:rsidRDefault="00BC7DDA" w:rsidP="000B320F">
            <w:pPr>
              <w:pStyle w:val="Tabletext"/>
            </w:pPr>
          </w:p>
        </w:tc>
        <w:tc>
          <w:tcPr>
            <w:tcW w:w="1984" w:type="dxa"/>
          </w:tcPr>
          <w:p w14:paraId="6BDF9928" w14:textId="77777777" w:rsidR="00BC7DDA" w:rsidRPr="00BD6C5F" w:rsidRDefault="00BC7DDA" w:rsidP="000B320F">
            <w:pPr>
              <w:pStyle w:val="Tabletext"/>
            </w:pPr>
          </w:p>
        </w:tc>
        <w:tc>
          <w:tcPr>
            <w:tcW w:w="4762" w:type="dxa"/>
          </w:tcPr>
          <w:p w14:paraId="7C0374EF" w14:textId="77777777" w:rsidR="00BC7DDA" w:rsidRPr="00BD6C5F" w:rsidRDefault="00BC7DDA" w:rsidP="000B320F">
            <w:pPr>
              <w:pStyle w:val="Tabletext"/>
            </w:pPr>
          </w:p>
        </w:tc>
        <w:tc>
          <w:tcPr>
            <w:tcW w:w="1871" w:type="dxa"/>
          </w:tcPr>
          <w:p w14:paraId="2BA9FA20" w14:textId="77777777" w:rsidR="00BC7DDA" w:rsidRPr="00BD6C5F" w:rsidRDefault="00BC7DDA" w:rsidP="000B320F">
            <w:pPr>
              <w:pStyle w:val="Tabletext"/>
            </w:pPr>
          </w:p>
        </w:tc>
      </w:tr>
      <w:tr w:rsidR="00BC7DDA" w:rsidRPr="00BD6C5F" w14:paraId="63E35738" w14:textId="77777777" w:rsidTr="00327E90">
        <w:trPr>
          <w:trHeight w:val="624"/>
        </w:trPr>
        <w:tc>
          <w:tcPr>
            <w:tcW w:w="1417" w:type="dxa"/>
          </w:tcPr>
          <w:p w14:paraId="561C1ACE" w14:textId="77777777" w:rsidR="00BC7DDA" w:rsidRPr="00BD6C5F" w:rsidRDefault="009B03E9" w:rsidP="000B320F">
            <w:pPr>
              <w:pStyle w:val="Tabletext"/>
              <w:rPr>
                <w:b/>
                <w:bCs/>
              </w:rPr>
            </w:pPr>
            <w:r w:rsidRPr="00BD6C5F">
              <w:rPr>
                <w:b/>
                <w:bCs/>
              </w:rPr>
              <w:t>Emp No</w:t>
            </w:r>
          </w:p>
        </w:tc>
        <w:tc>
          <w:tcPr>
            <w:tcW w:w="1928" w:type="dxa"/>
          </w:tcPr>
          <w:p w14:paraId="0F3D346B" w14:textId="77777777" w:rsidR="00BC7DDA" w:rsidRPr="00BD6C5F" w:rsidRDefault="00BC7DDA" w:rsidP="000B320F">
            <w:pPr>
              <w:pStyle w:val="Tabletext"/>
            </w:pPr>
          </w:p>
        </w:tc>
        <w:tc>
          <w:tcPr>
            <w:tcW w:w="1814" w:type="dxa"/>
          </w:tcPr>
          <w:p w14:paraId="3A10AFB5" w14:textId="77777777" w:rsidR="00BC7DDA" w:rsidRPr="00BD6C5F" w:rsidRDefault="00BC7DDA" w:rsidP="000B320F">
            <w:pPr>
              <w:pStyle w:val="Tabletext"/>
            </w:pPr>
          </w:p>
        </w:tc>
        <w:tc>
          <w:tcPr>
            <w:tcW w:w="1361" w:type="dxa"/>
          </w:tcPr>
          <w:p w14:paraId="2D318D7E" w14:textId="77777777" w:rsidR="00BC7DDA" w:rsidRPr="00BD6C5F" w:rsidRDefault="00BC7DDA" w:rsidP="000B320F">
            <w:pPr>
              <w:pStyle w:val="Tabletext"/>
            </w:pPr>
          </w:p>
        </w:tc>
        <w:tc>
          <w:tcPr>
            <w:tcW w:w="1984" w:type="dxa"/>
          </w:tcPr>
          <w:p w14:paraId="610DF356" w14:textId="77777777" w:rsidR="00BC7DDA" w:rsidRPr="00BD6C5F" w:rsidRDefault="00BC7DDA" w:rsidP="000B320F">
            <w:pPr>
              <w:pStyle w:val="Tabletext"/>
            </w:pPr>
          </w:p>
        </w:tc>
        <w:tc>
          <w:tcPr>
            <w:tcW w:w="4762" w:type="dxa"/>
          </w:tcPr>
          <w:p w14:paraId="6F3D1EE7" w14:textId="77777777" w:rsidR="00BC7DDA" w:rsidRPr="00BD6C5F" w:rsidRDefault="00BC7DDA" w:rsidP="000B320F">
            <w:pPr>
              <w:pStyle w:val="Tabletext"/>
            </w:pPr>
          </w:p>
        </w:tc>
        <w:tc>
          <w:tcPr>
            <w:tcW w:w="1871" w:type="dxa"/>
          </w:tcPr>
          <w:p w14:paraId="16D77D01" w14:textId="77777777" w:rsidR="00BC7DDA" w:rsidRPr="00BD6C5F" w:rsidRDefault="00BC7DDA" w:rsidP="000B320F">
            <w:pPr>
              <w:pStyle w:val="Tabletext"/>
            </w:pPr>
          </w:p>
        </w:tc>
      </w:tr>
    </w:tbl>
    <w:p w14:paraId="47D644F1" w14:textId="2E8D9E91" w:rsidR="00BC7DDA" w:rsidRPr="00BD6C5F" w:rsidRDefault="00BC7DDA" w:rsidP="00C53813"/>
    <w:tbl>
      <w:tblPr>
        <w:tblStyle w:val="MSATable-header"/>
        <w:tblW w:w="15137" w:type="dxa"/>
        <w:tblLayout w:type="fixed"/>
        <w:tblLook w:val="0620" w:firstRow="1" w:lastRow="0" w:firstColumn="0" w:lastColumn="0" w:noHBand="1" w:noVBand="1"/>
      </w:tblPr>
      <w:tblGrid>
        <w:gridCol w:w="1417"/>
        <w:gridCol w:w="4252"/>
        <w:gridCol w:w="4252"/>
        <w:gridCol w:w="5216"/>
      </w:tblGrid>
      <w:tr w:rsidR="00BC7DDA" w:rsidRPr="00BD6C5F" w14:paraId="2D9FD09A" w14:textId="77777777" w:rsidTr="008F1818">
        <w:trPr>
          <w:cnfStyle w:val="100000000000" w:firstRow="1" w:lastRow="0" w:firstColumn="0" w:lastColumn="0" w:oddVBand="0" w:evenVBand="0" w:oddHBand="0" w:evenHBand="0" w:firstRowFirstColumn="0" w:firstRowLastColumn="0" w:lastRowFirstColumn="0" w:lastRowLastColumn="0"/>
          <w:trHeight w:val="20"/>
          <w:tblHeader/>
        </w:trPr>
        <w:tc>
          <w:tcPr>
            <w:tcW w:w="1417" w:type="dxa"/>
            <w:tcBorders>
              <w:top w:val="nil"/>
              <w:left w:val="nil"/>
            </w:tcBorders>
            <w:shd w:val="clear" w:color="auto" w:fill="auto"/>
          </w:tcPr>
          <w:p w14:paraId="021FB8F5" w14:textId="77777777" w:rsidR="00BC7DDA" w:rsidRPr="00BD6C5F" w:rsidRDefault="00BC7DDA" w:rsidP="000B320F">
            <w:pPr>
              <w:pStyle w:val="Tabletext"/>
              <w:rPr>
                <w:b w:val="0"/>
                <w:bCs/>
              </w:rPr>
            </w:pPr>
          </w:p>
        </w:tc>
        <w:tc>
          <w:tcPr>
            <w:tcW w:w="13720" w:type="dxa"/>
            <w:gridSpan w:val="3"/>
          </w:tcPr>
          <w:p w14:paraId="16073598" w14:textId="77777777" w:rsidR="00BC7DDA" w:rsidRPr="00BD6C5F" w:rsidRDefault="009B03E9" w:rsidP="000B320F">
            <w:pPr>
              <w:pStyle w:val="Tabletext"/>
              <w:rPr>
                <w:b w:val="0"/>
                <w:bCs/>
              </w:rPr>
            </w:pPr>
            <w:r w:rsidRPr="00BD6C5F">
              <w:rPr>
                <w:bCs/>
              </w:rPr>
              <w:t>OTHER</w:t>
            </w:r>
          </w:p>
        </w:tc>
      </w:tr>
      <w:tr w:rsidR="00BC7DDA" w:rsidRPr="00BD6C5F" w14:paraId="0764A1FA" w14:textId="77777777" w:rsidTr="00327E90">
        <w:trPr>
          <w:cnfStyle w:val="100000000000" w:firstRow="1" w:lastRow="0" w:firstColumn="0" w:lastColumn="0" w:oddVBand="0" w:evenVBand="0" w:oddHBand="0" w:evenHBand="0" w:firstRowFirstColumn="0" w:firstRowLastColumn="0" w:lastRowFirstColumn="0" w:lastRowLastColumn="0"/>
          <w:trHeight w:val="20"/>
          <w:tblHeader/>
        </w:trPr>
        <w:tc>
          <w:tcPr>
            <w:tcW w:w="1417" w:type="dxa"/>
          </w:tcPr>
          <w:p w14:paraId="67128041" w14:textId="77777777" w:rsidR="00BC7DDA" w:rsidRPr="00BD6C5F" w:rsidRDefault="009B03E9" w:rsidP="000B320F">
            <w:pPr>
              <w:pStyle w:val="Tabletext"/>
              <w:rPr>
                <w:b w:val="0"/>
                <w:bCs/>
              </w:rPr>
            </w:pPr>
            <w:r w:rsidRPr="00BD6C5F">
              <w:rPr>
                <w:bCs/>
              </w:rPr>
              <w:t>Details</w:t>
            </w:r>
          </w:p>
        </w:tc>
        <w:tc>
          <w:tcPr>
            <w:tcW w:w="4252" w:type="dxa"/>
          </w:tcPr>
          <w:p w14:paraId="4BCF356C" w14:textId="77777777" w:rsidR="00BC7DDA" w:rsidRPr="00BD6C5F" w:rsidRDefault="009B03E9" w:rsidP="000B320F">
            <w:pPr>
              <w:pStyle w:val="Tabletext"/>
              <w:rPr>
                <w:b w:val="0"/>
                <w:bCs/>
              </w:rPr>
            </w:pPr>
            <w:r w:rsidRPr="00BD6C5F">
              <w:rPr>
                <w:bCs/>
              </w:rPr>
              <w:t>Security Check Level</w:t>
            </w:r>
          </w:p>
        </w:tc>
        <w:tc>
          <w:tcPr>
            <w:tcW w:w="4252" w:type="dxa"/>
          </w:tcPr>
          <w:p w14:paraId="67415B14" w14:textId="77777777" w:rsidR="00BC7DDA" w:rsidRPr="00BD6C5F" w:rsidRDefault="009B03E9" w:rsidP="000B320F">
            <w:pPr>
              <w:pStyle w:val="Tabletext"/>
              <w:rPr>
                <w:b w:val="0"/>
                <w:bCs/>
              </w:rPr>
            </w:pPr>
            <w:r w:rsidRPr="00BD6C5F">
              <w:rPr>
                <w:bCs/>
              </w:rPr>
              <w:t>Security Clearance Expiry date</w:t>
            </w:r>
          </w:p>
        </w:tc>
        <w:tc>
          <w:tcPr>
            <w:tcW w:w="5216" w:type="dxa"/>
          </w:tcPr>
          <w:p w14:paraId="51500F37" w14:textId="77777777" w:rsidR="00BC7DDA" w:rsidRPr="00BD6C5F" w:rsidRDefault="009B03E9" w:rsidP="000B320F">
            <w:pPr>
              <w:pStyle w:val="Tabletext"/>
              <w:rPr>
                <w:b w:val="0"/>
                <w:bCs/>
              </w:rPr>
            </w:pPr>
            <w:r w:rsidRPr="00BD6C5F">
              <w:rPr>
                <w:bCs/>
              </w:rPr>
              <w:t>Additional info or comments</w:t>
            </w:r>
          </w:p>
        </w:tc>
      </w:tr>
      <w:tr w:rsidR="00BC7DDA" w:rsidRPr="00BD6C5F" w14:paraId="1B8D7383" w14:textId="77777777" w:rsidTr="00327E90">
        <w:trPr>
          <w:trHeight w:val="680"/>
        </w:trPr>
        <w:tc>
          <w:tcPr>
            <w:tcW w:w="1417" w:type="dxa"/>
          </w:tcPr>
          <w:p w14:paraId="3AA6A400" w14:textId="77777777" w:rsidR="00BC7DDA" w:rsidRPr="00BD6C5F" w:rsidRDefault="009B03E9" w:rsidP="000B320F">
            <w:pPr>
              <w:pStyle w:val="Tabletext"/>
              <w:rPr>
                <w:b/>
                <w:bCs/>
              </w:rPr>
            </w:pPr>
            <w:r w:rsidRPr="00BD6C5F">
              <w:rPr>
                <w:b/>
                <w:bCs/>
              </w:rPr>
              <w:t>Emp No 1</w:t>
            </w:r>
          </w:p>
        </w:tc>
        <w:tc>
          <w:tcPr>
            <w:tcW w:w="4252" w:type="dxa"/>
          </w:tcPr>
          <w:p w14:paraId="25EE65F9" w14:textId="77777777" w:rsidR="00BC7DDA" w:rsidRPr="00BD6C5F" w:rsidRDefault="00BC7DDA" w:rsidP="000B320F">
            <w:pPr>
              <w:pStyle w:val="Tabletext"/>
            </w:pPr>
          </w:p>
        </w:tc>
        <w:tc>
          <w:tcPr>
            <w:tcW w:w="4252" w:type="dxa"/>
          </w:tcPr>
          <w:p w14:paraId="45CAD05B" w14:textId="77777777" w:rsidR="00BC7DDA" w:rsidRPr="00BD6C5F" w:rsidRDefault="00BC7DDA" w:rsidP="000B320F">
            <w:pPr>
              <w:pStyle w:val="Tabletext"/>
            </w:pPr>
          </w:p>
        </w:tc>
        <w:tc>
          <w:tcPr>
            <w:tcW w:w="5216" w:type="dxa"/>
          </w:tcPr>
          <w:p w14:paraId="10A8172A" w14:textId="77777777" w:rsidR="00BC7DDA" w:rsidRPr="00BD6C5F" w:rsidRDefault="00BC7DDA" w:rsidP="000B320F">
            <w:pPr>
              <w:pStyle w:val="Tabletext"/>
            </w:pPr>
          </w:p>
        </w:tc>
      </w:tr>
      <w:tr w:rsidR="00BC7DDA" w:rsidRPr="00BD6C5F" w14:paraId="304FFFDF" w14:textId="77777777" w:rsidTr="00327E90">
        <w:trPr>
          <w:trHeight w:val="680"/>
        </w:trPr>
        <w:tc>
          <w:tcPr>
            <w:tcW w:w="1417" w:type="dxa"/>
          </w:tcPr>
          <w:p w14:paraId="1C95267C" w14:textId="77777777" w:rsidR="00BC7DDA" w:rsidRPr="00BD6C5F" w:rsidRDefault="009B03E9" w:rsidP="000B320F">
            <w:pPr>
              <w:pStyle w:val="Tabletext"/>
              <w:rPr>
                <w:b/>
                <w:bCs/>
              </w:rPr>
            </w:pPr>
            <w:r w:rsidRPr="00BD6C5F">
              <w:rPr>
                <w:b/>
                <w:bCs/>
              </w:rPr>
              <w:t>Emp No 2</w:t>
            </w:r>
          </w:p>
        </w:tc>
        <w:tc>
          <w:tcPr>
            <w:tcW w:w="4252" w:type="dxa"/>
          </w:tcPr>
          <w:p w14:paraId="20F217E0" w14:textId="77777777" w:rsidR="00BC7DDA" w:rsidRPr="00BD6C5F" w:rsidRDefault="00BC7DDA" w:rsidP="000B320F">
            <w:pPr>
              <w:pStyle w:val="Tabletext"/>
            </w:pPr>
          </w:p>
        </w:tc>
        <w:tc>
          <w:tcPr>
            <w:tcW w:w="4252" w:type="dxa"/>
          </w:tcPr>
          <w:p w14:paraId="028AA207" w14:textId="77777777" w:rsidR="00BC7DDA" w:rsidRPr="00BD6C5F" w:rsidRDefault="00BC7DDA" w:rsidP="000B320F">
            <w:pPr>
              <w:pStyle w:val="Tabletext"/>
            </w:pPr>
          </w:p>
        </w:tc>
        <w:tc>
          <w:tcPr>
            <w:tcW w:w="5216" w:type="dxa"/>
          </w:tcPr>
          <w:p w14:paraId="1B769C1F" w14:textId="77777777" w:rsidR="00BC7DDA" w:rsidRPr="00BD6C5F" w:rsidRDefault="00BC7DDA" w:rsidP="000B320F">
            <w:pPr>
              <w:pStyle w:val="Tabletext"/>
            </w:pPr>
          </w:p>
        </w:tc>
      </w:tr>
      <w:tr w:rsidR="00BC7DDA" w:rsidRPr="00BD6C5F" w14:paraId="214C6D6B" w14:textId="77777777" w:rsidTr="00327E90">
        <w:trPr>
          <w:trHeight w:val="680"/>
        </w:trPr>
        <w:tc>
          <w:tcPr>
            <w:tcW w:w="1417" w:type="dxa"/>
          </w:tcPr>
          <w:p w14:paraId="0817D7BF" w14:textId="77777777" w:rsidR="00BC7DDA" w:rsidRPr="00BD6C5F" w:rsidRDefault="009B03E9" w:rsidP="000B320F">
            <w:pPr>
              <w:pStyle w:val="Tabletext"/>
              <w:rPr>
                <w:b/>
                <w:bCs/>
              </w:rPr>
            </w:pPr>
            <w:r w:rsidRPr="00BD6C5F">
              <w:rPr>
                <w:b/>
                <w:bCs/>
              </w:rPr>
              <w:t>Emp No</w:t>
            </w:r>
          </w:p>
        </w:tc>
        <w:tc>
          <w:tcPr>
            <w:tcW w:w="4252" w:type="dxa"/>
          </w:tcPr>
          <w:p w14:paraId="15BC63AD" w14:textId="77777777" w:rsidR="00BC7DDA" w:rsidRPr="00BD6C5F" w:rsidRDefault="00BC7DDA" w:rsidP="000B320F">
            <w:pPr>
              <w:pStyle w:val="Tabletext"/>
            </w:pPr>
          </w:p>
        </w:tc>
        <w:tc>
          <w:tcPr>
            <w:tcW w:w="4252" w:type="dxa"/>
          </w:tcPr>
          <w:p w14:paraId="77489A8B" w14:textId="77777777" w:rsidR="00BC7DDA" w:rsidRPr="00BD6C5F" w:rsidRDefault="00BC7DDA" w:rsidP="000B320F">
            <w:pPr>
              <w:pStyle w:val="Tabletext"/>
            </w:pPr>
          </w:p>
        </w:tc>
        <w:tc>
          <w:tcPr>
            <w:tcW w:w="5216" w:type="dxa"/>
          </w:tcPr>
          <w:p w14:paraId="375DB744" w14:textId="77777777" w:rsidR="00BC7DDA" w:rsidRPr="00BD6C5F" w:rsidRDefault="00BC7DDA" w:rsidP="000B320F">
            <w:pPr>
              <w:pStyle w:val="Tabletext"/>
            </w:pPr>
          </w:p>
        </w:tc>
      </w:tr>
      <w:tr w:rsidR="00BC7DDA" w:rsidRPr="00BD6C5F" w14:paraId="621F82D0" w14:textId="77777777" w:rsidTr="00327E90">
        <w:trPr>
          <w:trHeight w:val="680"/>
        </w:trPr>
        <w:tc>
          <w:tcPr>
            <w:tcW w:w="1417" w:type="dxa"/>
          </w:tcPr>
          <w:p w14:paraId="0C0E60D0" w14:textId="77777777" w:rsidR="00BC7DDA" w:rsidRPr="00BD6C5F" w:rsidRDefault="009B03E9" w:rsidP="000B320F">
            <w:pPr>
              <w:pStyle w:val="Tabletext"/>
              <w:rPr>
                <w:b/>
                <w:bCs/>
              </w:rPr>
            </w:pPr>
            <w:r w:rsidRPr="00BD6C5F">
              <w:rPr>
                <w:b/>
                <w:bCs/>
              </w:rPr>
              <w:t>Emp No</w:t>
            </w:r>
          </w:p>
        </w:tc>
        <w:tc>
          <w:tcPr>
            <w:tcW w:w="4252" w:type="dxa"/>
          </w:tcPr>
          <w:p w14:paraId="1EA4D538" w14:textId="77777777" w:rsidR="00BC7DDA" w:rsidRPr="00BD6C5F" w:rsidRDefault="00BC7DDA" w:rsidP="000B320F">
            <w:pPr>
              <w:pStyle w:val="Tabletext"/>
            </w:pPr>
          </w:p>
        </w:tc>
        <w:tc>
          <w:tcPr>
            <w:tcW w:w="4252" w:type="dxa"/>
          </w:tcPr>
          <w:p w14:paraId="34948E06" w14:textId="77777777" w:rsidR="00BC7DDA" w:rsidRPr="00BD6C5F" w:rsidRDefault="00BC7DDA" w:rsidP="000B320F">
            <w:pPr>
              <w:pStyle w:val="Tabletext"/>
            </w:pPr>
          </w:p>
        </w:tc>
        <w:tc>
          <w:tcPr>
            <w:tcW w:w="5216" w:type="dxa"/>
          </w:tcPr>
          <w:p w14:paraId="42195D5D" w14:textId="77777777" w:rsidR="00BC7DDA" w:rsidRPr="00BD6C5F" w:rsidRDefault="00BC7DDA" w:rsidP="000B320F">
            <w:pPr>
              <w:pStyle w:val="Tabletext"/>
            </w:pPr>
          </w:p>
        </w:tc>
      </w:tr>
      <w:tr w:rsidR="00BC7DDA" w:rsidRPr="00BD6C5F" w14:paraId="5D47E1A7" w14:textId="77777777" w:rsidTr="00327E90">
        <w:trPr>
          <w:trHeight w:val="680"/>
        </w:trPr>
        <w:tc>
          <w:tcPr>
            <w:tcW w:w="1417" w:type="dxa"/>
          </w:tcPr>
          <w:p w14:paraId="6DEA5115" w14:textId="77777777" w:rsidR="00BC7DDA" w:rsidRPr="00BD6C5F" w:rsidRDefault="009B03E9" w:rsidP="000B320F">
            <w:pPr>
              <w:pStyle w:val="Tabletext"/>
              <w:rPr>
                <w:b/>
                <w:bCs/>
              </w:rPr>
            </w:pPr>
            <w:r w:rsidRPr="00BD6C5F">
              <w:rPr>
                <w:b/>
                <w:bCs/>
              </w:rPr>
              <w:t>Emp No</w:t>
            </w:r>
          </w:p>
        </w:tc>
        <w:tc>
          <w:tcPr>
            <w:tcW w:w="4252" w:type="dxa"/>
          </w:tcPr>
          <w:p w14:paraId="51358591" w14:textId="77777777" w:rsidR="00BC7DDA" w:rsidRPr="00BD6C5F" w:rsidRDefault="00BC7DDA" w:rsidP="000B320F">
            <w:pPr>
              <w:pStyle w:val="Tabletext"/>
            </w:pPr>
          </w:p>
        </w:tc>
        <w:tc>
          <w:tcPr>
            <w:tcW w:w="4252" w:type="dxa"/>
          </w:tcPr>
          <w:p w14:paraId="0D51FE18" w14:textId="77777777" w:rsidR="00BC7DDA" w:rsidRPr="00BD6C5F" w:rsidRDefault="00BC7DDA" w:rsidP="000B320F">
            <w:pPr>
              <w:pStyle w:val="Tabletext"/>
            </w:pPr>
          </w:p>
        </w:tc>
        <w:tc>
          <w:tcPr>
            <w:tcW w:w="5216" w:type="dxa"/>
          </w:tcPr>
          <w:p w14:paraId="1D8DA035" w14:textId="77777777" w:rsidR="00BC7DDA" w:rsidRPr="00BD6C5F" w:rsidRDefault="00BC7DDA" w:rsidP="000B320F">
            <w:pPr>
              <w:pStyle w:val="Tabletext"/>
            </w:pPr>
          </w:p>
        </w:tc>
      </w:tr>
      <w:tr w:rsidR="00BC7DDA" w:rsidRPr="00BD6C5F" w14:paraId="49914C03" w14:textId="77777777" w:rsidTr="00327E90">
        <w:trPr>
          <w:trHeight w:val="680"/>
        </w:trPr>
        <w:tc>
          <w:tcPr>
            <w:tcW w:w="1417" w:type="dxa"/>
          </w:tcPr>
          <w:p w14:paraId="29A899B0" w14:textId="77777777" w:rsidR="00BC7DDA" w:rsidRPr="00BD6C5F" w:rsidRDefault="009B03E9" w:rsidP="000B320F">
            <w:pPr>
              <w:pStyle w:val="Tabletext"/>
              <w:rPr>
                <w:b/>
                <w:bCs/>
              </w:rPr>
            </w:pPr>
            <w:r w:rsidRPr="00BD6C5F">
              <w:rPr>
                <w:b/>
                <w:bCs/>
              </w:rPr>
              <w:t>Emp No</w:t>
            </w:r>
          </w:p>
        </w:tc>
        <w:tc>
          <w:tcPr>
            <w:tcW w:w="4252" w:type="dxa"/>
          </w:tcPr>
          <w:p w14:paraId="441CBC7E" w14:textId="77777777" w:rsidR="00BC7DDA" w:rsidRPr="00BD6C5F" w:rsidRDefault="00BC7DDA" w:rsidP="000B320F">
            <w:pPr>
              <w:pStyle w:val="Tabletext"/>
            </w:pPr>
          </w:p>
        </w:tc>
        <w:tc>
          <w:tcPr>
            <w:tcW w:w="4252" w:type="dxa"/>
          </w:tcPr>
          <w:p w14:paraId="1D781986" w14:textId="77777777" w:rsidR="00BC7DDA" w:rsidRPr="00BD6C5F" w:rsidRDefault="00BC7DDA" w:rsidP="000B320F">
            <w:pPr>
              <w:pStyle w:val="Tabletext"/>
            </w:pPr>
          </w:p>
        </w:tc>
        <w:tc>
          <w:tcPr>
            <w:tcW w:w="5216" w:type="dxa"/>
          </w:tcPr>
          <w:p w14:paraId="2377E4CD" w14:textId="77777777" w:rsidR="00BC7DDA" w:rsidRPr="00BD6C5F" w:rsidRDefault="00BC7DDA" w:rsidP="000B320F">
            <w:pPr>
              <w:pStyle w:val="Tabletext"/>
            </w:pPr>
          </w:p>
        </w:tc>
      </w:tr>
      <w:tr w:rsidR="00BC7DDA" w:rsidRPr="00BD6C5F" w14:paraId="5644B0E8" w14:textId="77777777" w:rsidTr="00327E90">
        <w:trPr>
          <w:trHeight w:val="680"/>
        </w:trPr>
        <w:tc>
          <w:tcPr>
            <w:tcW w:w="1417" w:type="dxa"/>
          </w:tcPr>
          <w:p w14:paraId="661DEA20" w14:textId="77777777" w:rsidR="00BC7DDA" w:rsidRPr="00BD6C5F" w:rsidRDefault="009B03E9" w:rsidP="000B320F">
            <w:pPr>
              <w:pStyle w:val="Tabletext"/>
              <w:rPr>
                <w:b/>
                <w:bCs/>
              </w:rPr>
            </w:pPr>
            <w:r w:rsidRPr="00BD6C5F">
              <w:rPr>
                <w:b/>
                <w:bCs/>
              </w:rPr>
              <w:t>Emp No</w:t>
            </w:r>
          </w:p>
        </w:tc>
        <w:tc>
          <w:tcPr>
            <w:tcW w:w="4252" w:type="dxa"/>
          </w:tcPr>
          <w:p w14:paraId="24ABC211" w14:textId="77777777" w:rsidR="00BC7DDA" w:rsidRPr="00BD6C5F" w:rsidRDefault="00BC7DDA" w:rsidP="000B320F">
            <w:pPr>
              <w:pStyle w:val="Tabletext"/>
            </w:pPr>
          </w:p>
        </w:tc>
        <w:tc>
          <w:tcPr>
            <w:tcW w:w="4252" w:type="dxa"/>
          </w:tcPr>
          <w:p w14:paraId="6C40C3FD" w14:textId="77777777" w:rsidR="00BC7DDA" w:rsidRPr="00BD6C5F" w:rsidRDefault="00BC7DDA" w:rsidP="000B320F">
            <w:pPr>
              <w:pStyle w:val="Tabletext"/>
            </w:pPr>
          </w:p>
        </w:tc>
        <w:tc>
          <w:tcPr>
            <w:tcW w:w="5216" w:type="dxa"/>
          </w:tcPr>
          <w:p w14:paraId="0BABBB7F" w14:textId="77777777" w:rsidR="00BC7DDA" w:rsidRPr="00BD6C5F" w:rsidRDefault="00BC7DDA" w:rsidP="000B320F">
            <w:pPr>
              <w:pStyle w:val="Tabletext"/>
            </w:pPr>
          </w:p>
        </w:tc>
      </w:tr>
    </w:tbl>
    <w:p w14:paraId="2D42FF00" w14:textId="77777777" w:rsidR="00854571" w:rsidRPr="00BD6C5F" w:rsidRDefault="00854571" w:rsidP="00E238E6"/>
    <w:p w14:paraId="127018ED" w14:textId="44635F24" w:rsidR="00E238E6" w:rsidRPr="00BD6C5F" w:rsidRDefault="00E238E6" w:rsidP="00E238E6"/>
    <w:p w14:paraId="3345B628" w14:textId="77777777" w:rsidR="00E238E6" w:rsidRPr="00BD6C5F" w:rsidRDefault="00E238E6" w:rsidP="00E238E6"/>
    <w:p w14:paraId="713FA3EA" w14:textId="2B771512" w:rsidR="00E238E6" w:rsidRPr="00BD6C5F" w:rsidRDefault="00E238E6" w:rsidP="00E238E6">
      <w:pPr>
        <w:sectPr w:rsidR="00E238E6" w:rsidRPr="00BD6C5F" w:rsidSect="00EA65BF">
          <w:footerReference w:type="default" r:id="rId117"/>
          <w:pgSz w:w="16840" w:h="11910" w:orient="landscape"/>
          <w:pgMar w:top="1701" w:right="851" w:bottom="1134" w:left="851" w:header="567" w:footer="567" w:gutter="0"/>
          <w:cols w:space="720"/>
          <w:docGrid w:linePitch="299"/>
        </w:sectPr>
      </w:pPr>
    </w:p>
    <w:p w14:paraId="6703D57C" w14:textId="6CE034F7" w:rsidR="00713E2F" w:rsidRDefault="00713E2F" w:rsidP="00713E2F">
      <w:pPr>
        <w:pStyle w:val="Dividername"/>
      </w:pPr>
      <w:bookmarkStart w:id="1826" w:name="_bookmark600"/>
      <w:bookmarkStart w:id="1827" w:name="_bookmark601"/>
      <w:bookmarkEnd w:id="1826"/>
      <w:bookmarkEnd w:id="1827"/>
      <w:r>
        <w:lastRenderedPageBreak/>
        <w:t xml:space="preserve">Schedule </w:t>
      </w:r>
      <w:bookmarkStart w:id="1828" w:name="Schedule_29"/>
      <w:r>
        <w:t>29</w:t>
      </w:r>
      <w:bookmarkEnd w:id="1828"/>
    </w:p>
    <w:p w14:paraId="1921F6C7" w14:textId="71CF6299" w:rsidR="00713E2F" w:rsidRDefault="00713E2F" w:rsidP="00713E2F">
      <w:pPr>
        <w:pStyle w:val="Dividername"/>
      </w:pPr>
      <w:r w:rsidRPr="00713E2F">
        <w:t>Key Personnel</w:t>
      </w:r>
    </w:p>
    <w:p w14:paraId="4704E604" w14:textId="77777777" w:rsidR="00713E2F" w:rsidRDefault="00713E2F" w:rsidP="00713E2F"/>
    <w:p w14:paraId="713EF02D" w14:textId="0E83C2BF" w:rsidR="00BC7DDA" w:rsidRPr="00BD6C5F" w:rsidRDefault="006E4DF6" w:rsidP="00713E2F">
      <w:pPr>
        <w:pStyle w:val="Heading1"/>
        <w:pageBreakBefore/>
      </w:pPr>
      <w:bookmarkStart w:id="1829" w:name="_Toc141721063"/>
      <w:r w:rsidRPr="00BD6C5F">
        <w:lastRenderedPageBreak/>
        <w:t>Schedule 29</w:t>
      </w:r>
      <w:r w:rsidR="001475FD" w:rsidRPr="00BD6C5F">
        <w:t>:</w:t>
      </w:r>
      <w:r w:rsidR="00854571" w:rsidRPr="00BD6C5F">
        <w:t xml:space="preserve"> </w:t>
      </w:r>
      <w:bookmarkStart w:id="1830" w:name="_Ref98253067"/>
      <w:bookmarkStart w:id="1831" w:name="_Toc98332794"/>
      <w:bookmarkStart w:id="1832" w:name="_Toc98852962"/>
      <w:r w:rsidRPr="00BD6C5F">
        <w:t>Key Personnel</w:t>
      </w:r>
      <w:bookmarkEnd w:id="1830"/>
      <w:bookmarkEnd w:id="1831"/>
      <w:bookmarkEnd w:id="1832"/>
      <w:bookmarkEnd w:id="1829"/>
    </w:p>
    <w:p w14:paraId="70BAD985" w14:textId="245E97AA" w:rsidR="00325019" w:rsidRPr="00BD6C5F" w:rsidRDefault="00325019" w:rsidP="006E4DF6">
      <w:pPr>
        <w:jc w:val="center"/>
      </w:pPr>
      <w:r w:rsidRPr="00BD6C5F">
        <w:t>This is the schedule referred to in the foregoing agreement betwee</w:t>
      </w:r>
      <w:r w:rsidR="00E6623F" w:rsidRPr="00BD6C5F">
        <w:t>n [</w:t>
      </w:r>
      <w:r w:rsidR="00E6623F" w:rsidRPr="00BD6C5F">
        <w:rPr>
          <w:highlight w:val="yellow"/>
        </w:rPr>
        <w:t>name of party</w:t>
      </w:r>
      <w:r w:rsidR="00E6623F" w:rsidRPr="00BD6C5F">
        <w:t>] and [</w:t>
      </w:r>
      <w:r w:rsidR="00E6623F" w:rsidRPr="00BD6C5F">
        <w:rPr>
          <w:highlight w:val="yellow"/>
        </w:rPr>
        <w:t>name of party</w:t>
      </w:r>
      <w:r w:rsidR="00E6623F" w:rsidRPr="00BD6C5F">
        <w:t>] dated [</w:t>
      </w:r>
      <w:r w:rsidR="00E6623F" w:rsidRPr="00BD6C5F">
        <w:rPr>
          <w:highlight w:val="yellow"/>
        </w:rPr>
        <w:t>date</w:t>
      </w:r>
      <w:r w:rsidR="00E6623F" w:rsidRPr="00BD6C5F">
        <w:t>]</w:t>
      </w:r>
    </w:p>
    <w:p w14:paraId="5ADC691F" w14:textId="77777777" w:rsidR="006E4DF6" w:rsidRPr="00BD6C5F" w:rsidRDefault="006E4DF6" w:rsidP="006E4DF6"/>
    <w:p w14:paraId="4FF81C96" w14:textId="3520CB1E" w:rsidR="00DC7C3A" w:rsidRPr="00BD6C5F" w:rsidRDefault="00DC7C3A" w:rsidP="006E4DF6">
      <w:pPr>
        <w:pStyle w:val="BodyText"/>
        <w:spacing w:before="100" w:after="200"/>
        <w:rPr>
          <w:rFonts w:asciiTheme="minorHAnsi" w:hAnsiTheme="minorHAnsi" w:cstheme="minorHAnsi"/>
        </w:rPr>
      </w:pPr>
      <w:r w:rsidRPr="00BD6C5F">
        <w:rPr>
          <w:rFonts w:asciiTheme="minorHAnsi" w:hAnsiTheme="minorHAnsi" w:cstheme="minorHAnsi"/>
        </w:rPr>
        <w:t>This</w:t>
      </w:r>
      <w:r w:rsidR="002023EF" w:rsidRPr="00BD6C5F">
        <w:rPr>
          <w:rFonts w:asciiTheme="minorHAnsi" w:hAnsiTheme="minorHAnsi" w:cstheme="minorHAnsi"/>
        </w:rPr>
        <w:t xml:space="preserve"> Schedule</w:t>
      </w:r>
      <w:r w:rsidRPr="00BD6C5F">
        <w:rPr>
          <w:rFonts w:asciiTheme="minorHAnsi" w:hAnsiTheme="minorHAnsi" w:cstheme="minorHAnsi"/>
        </w:rPr>
        <w:t xml:space="preserve"> lists the key roles (</w:t>
      </w:r>
      <w:r w:rsidR="00A4555C" w:rsidRPr="00BD6C5F">
        <w:rPr>
          <w:rFonts w:asciiTheme="minorHAnsi" w:hAnsiTheme="minorHAnsi" w:cstheme="minorHAnsi"/>
        </w:rPr>
        <w:t>“</w:t>
      </w:r>
      <w:r w:rsidRPr="00BD6C5F">
        <w:rPr>
          <w:rFonts w:asciiTheme="minorHAnsi" w:hAnsiTheme="minorHAnsi" w:cstheme="minorHAnsi"/>
          <w:b/>
        </w:rPr>
        <w:t>Key Roles</w:t>
      </w:r>
      <w:r w:rsidR="00A4555C" w:rsidRPr="00BD6C5F">
        <w:rPr>
          <w:rFonts w:asciiTheme="minorHAnsi" w:hAnsiTheme="minorHAnsi" w:cstheme="minorHAnsi"/>
        </w:rPr>
        <w:t>”</w:t>
      </w:r>
      <w:r w:rsidRPr="00BD6C5F">
        <w:rPr>
          <w:rFonts w:asciiTheme="minorHAnsi" w:hAnsiTheme="minorHAnsi" w:cstheme="minorHAnsi"/>
        </w:rPr>
        <w:t xml:space="preserve">) and names of the persons who the Supplier shall appoint to fill those Key Roles at the </w:t>
      </w:r>
      <w:r w:rsidR="000D5495">
        <w:rPr>
          <w:rFonts w:asciiTheme="minorHAnsi" w:hAnsiTheme="minorHAnsi" w:cstheme="minorHAnsi"/>
        </w:rPr>
        <w:t>Operational Service Commencement</w:t>
      </w:r>
      <w:r w:rsidRPr="00BD6C5F">
        <w:rPr>
          <w:rFonts w:asciiTheme="minorHAnsi" w:hAnsiTheme="minorHAnsi" w:cstheme="minorHAnsi"/>
        </w:rPr>
        <w:t xml:space="preserve"> Date (</w:t>
      </w:r>
      <w:r w:rsidR="00A4555C" w:rsidRPr="00BD6C5F">
        <w:rPr>
          <w:rFonts w:asciiTheme="minorHAnsi" w:hAnsiTheme="minorHAnsi" w:cstheme="minorHAnsi"/>
        </w:rPr>
        <w:t>“</w:t>
      </w:r>
      <w:r w:rsidRPr="00BD6C5F">
        <w:rPr>
          <w:rFonts w:asciiTheme="minorHAnsi" w:hAnsiTheme="minorHAnsi" w:cstheme="minorHAnsi"/>
          <w:b/>
        </w:rPr>
        <w:t>Key Personnel</w:t>
      </w:r>
      <w:r w:rsidR="00A4555C" w:rsidRPr="00BD6C5F">
        <w:rPr>
          <w:rFonts w:asciiTheme="minorHAnsi" w:hAnsiTheme="minorHAnsi" w:cstheme="minorHAnsi"/>
        </w:rPr>
        <w:t>”</w:t>
      </w:r>
      <w:r w:rsidRPr="00BD6C5F">
        <w:rPr>
          <w:rFonts w:asciiTheme="minorHAnsi" w:hAnsiTheme="minorHAnsi" w:cstheme="minorHAnsi"/>
        </w:rPr>
        <w:t>).</w:t>
      </w:r>
    </w:p>
    <w:tbl>
      <w:tblPr>
        <w:tblStyle w:val="MSATable-header"/>
        <w:tblW w:w="10206" w:type="dxa"/>
        <w:tblLayout w:type="fixed"/>
        <w:tblLook w:val="0620" w:firstRow="1" w:lastRow="0" w:firstColumn="0" w:lastColumn="0" w:noHBand="1" w:noVBand="1"/>
      </w:tblPr>
      <w:tblGrid>
        <w:gridCol w:w="1531"/>
        <w:gridCol w:w="1587"/>
        <w:gridCol w:w="1986"/>
        <w:gridCol w:w="3345"/>
        <w:gridCol w:w="1757"/>
      </w:tblGrid>
      <w:tr w:rsidR="00BC7DDA" w:rsidRPr="00BD6C5F" w14:paraId="7BE0EE05" w14:textId="77777777" w:rsidTr="006E4DF6">
        <w:trPr>
          <w:cnfStyle w:val="100000000000" w:firstRow="1" w:lastRow="0" w:firstColumn="0" w:lastColumn="0" w:oddVBand="0" w:evenVBand="0" w:oddHBand="0" w:evenHBand="0" w:firstRowFirstColumn="0" w:firstRowLastColumn="0" w:lastRowFirstColumn="0" w:lastRowLastColumn="0"/>
          <w:tblHeader/>
        </w:trPr>
        <w:tc>
          <w:tcPr>
            <w:tcW w:w="1531" w:type="dxa"/>
            <w:vAlign w:val="bottom"/>
          </w:tcPr>
          <w:p w14:paraId="67EB9CE8" w14:textId="77777777" w:rsidR="00BC7DDA" w:rsidRPr="00BD6C5F" w:rsidRDefault="009B03E9" w:rsidP="006E4DF6">
            <w:pPr>
              <w:pStyle w:val="Tabletext"/>
            </w:pPr>
            <w:r w:rsidRPr="00BD6C5F">
              <w:t>KEY ROLE</w:t>
            </w:r>
          </w:p>
        </w:tc>
        <w:tc>
          <w:tcPr>
            <w:tcW w:w="1587" w:type="dxa"/>
            <w:vAlign w:val="bottom"/>
          </w:tcPr>
          <w:p w14:paraId="7FFD5F40" w14:textId="7D8A7B24" w:rsidR="00BC7DDA" w:rsidRPr="00BD6C5F" w:rsidRDefault="009B03E9" w:rsidP="006E4DF6">
            <w:pPr>
              <w:pStyle w:val="Tabletext"/>
            </w:pPr>
            <w:r w:rsidRPr="00BD6C5F">
              <w:t>Name of KEY</w:t>
            </w:r>
            <w:r w:rsidR="006E4DF6" w:rsidRPr="00BD6C5F">
              <w:t xml:space="preserve"> </w:t>
            </w:r>
            <w:r w:rsidRPr="00BD6C5F">
              <w:t>Personnel</w:t>
            </w:r>
          </w:p>
        </w:tc>
        <w:tc>
          <w:tcPr>
            <w:tcW w:w="1986" w:type="dxa"/>
            <w:vAlign w:val="bottom"/>
          </w:tcPr>
          <w:p w14:paraId="363C1D73" w14:textId="77777777" w:rsidR="00BC7DDA" w:rsidRPr="00BD6C5F" w:rsidRDefault="009B03E9" w:rsidP="006E4DF6">
            <w:pPr>
              <w:pStyle w:val="Tabletext"/>
            </w:pPr>
            <w:r w:rsidRPr="00BD6C5F">
              <w:t>Responsibilities/ Authorities</w:t>
            </w:r>
          </w:p>
        </w:tc>
        <w:tc>
          <w:tcPr>
            <w:tcW w:w="3345" w:type="dxa"/>
            <w:vAlign w:val="bottom"/>
          </w:tcPr>
          <w:p w14:paraId="061C6174" w14:textId="3C5CC1C9" w:rsidR="00BC7DDA" w:rsidRPr="00BD6C5F" w:rsidRDefault="009B03E9" w:rsidP="006E4DF6">
            <w:pPr>
              <w:pStyle w:val="Tabletext"/>
            </w:pPr>
            <w:r w:rsidRPr="00BD6C5F">
              <w:t>Phase of the project during which they will be a MEMBER OF</w:t>
            </w:r>
            <w:r w:rsidR="006E4DF6" w:rsidRPr="00BD6C5F">
              <w:t xml:space="preserve"> </w:t>
            </w:r>
            <w:r w:rsidRPr="00BD6C5F">
              <w:t>Key Personnel</w:t>
            </w:r>
          </w:p>
        </w:tc>
        <w:tc>
          <w:tcPr>
            <w:tcW w:w="1757" w:type="dxa"/>
            <w:vAlign w:val="bottom"/>
          </w:tcPr>
          <w:p w14:paraId="0AF88A5E" w14:textId="3AB935C6" w:rsidR="00BC7DDA" w:rsidRPr="00BD6C5F" w:rsidRDefault="009B03E9" w:rsidP="006E4DF6">
            <w:pPr>
              <w:pStyle w:val="Tabletext"/>
            </w:pPr>
            <w:r w:rsidRPr="00BD6C5F">
              <w:t>MINIMUM PERIOD in</w:t>
            </w:r>
            <w:r w:rsidR="006E4DF6" w:rsidRPr="00BD6C5F">
              <w:t xml:space="preserve"> </w:t>
            </w:r>
            <w:r w:rsidRPr="00BD6C5F">
              <w:t>Key Role</w:t>
            </w:r>
          </w:p>
        </w:tc>
      </w:tr>
      <w:tr w:rsidR="00BC7DDA" w:rsidRPr="00BD6C5F" w14:paraId="61820EC1" w14:textId="77777777" w:rsidTr="006E4DF6">
        <w:tc>
          <w:tcPr>
            <w:tcW w:w="1531" w:type="dxa"/>
          </w:tcPr>
          <w:p w14:paraId="7F1826A8" w14:textId="77777777" w:rsidR="00BC7DDA" w:rsidRPr="00BD6C5F" w:rsidRDefault="00BC7DDA" w:rsidP="006E4DF6">
            <w:pPr>
              <w:pStyle w:val="Tabletext"/>
            </w:pPr>
          </w:p>
        </w:tc>
        <w:tc>
          <w:tcPr>
            <w:tcW w:w="1587" w:type="dxa"/>
          </w:tcPr>
          <w:p w14:paraId="5C8FEA26" w14:textId="77777777" w:rsidR="00BC7DDA" w:rsidRPr="00BD6C5F" w:rsidRDefault="00BC7DDA" w:rsidP="006E4DF6">
            <w:pPr>
              <w:pStyle w:val="Tabletext"/>
            </w:pPr>
          </w:p>
        </w:tc>
        <w:tc>
          <w:tcPr>
            <w:tcW w:w="1986" w:type="dxa"/>
          </w:tcPr>
          <w:p w14:paraId="18169C08" w14:textId="77777777" w:rsidR="00BC7DDA" w:rsidRPr="00BD6C5F" w:rsidRDefault="00BC7DDA" w:rsidP="006E4DF6">
            <w:pPr>
              <w:pStyle w:val="Tabletext"/>
            </w:pPr>
          </w:p>
        </w:tc>
        <w:tc>
          <w:tcPr>
            <w:tcW w:w="3345" w:type="dxa"/>
          </w:tcPr>
          <w:p w14:paraId="366CABC9" w14:textId="77777777" w:rsidR="00BC7DDA" w:rsidRPr="00BD6C5F" w:rsidRDefault="00BC7DDA" w:rsidP="006E4DF6">
            <w:pPr>
              <w:pStyle w:val="Tabletext"/>
            </w:pPr>
          </w:p>
        </w:tc>
        <w:tc>
          <w:tcPr>
            <w:tcW w:w="1757" w:type="dxa"/>
          </w:tcPr>
          <w:p w14:paraId="0206FF70" w14:textId="77777777" w:rsidR="00BC7DDA" w:rsidRPr="00BD6C5F" w:rsidRDefault="00BC7DDA" w:rsidP="006E4DF6">
            <w:pPr>
              <w:pStyle w:val="Tabletext"/>
            </w:pPr>
          </w:p>
        </w:tc>
      </w:tr>
      <w:tr w:rsidR="00BC7DDA" w:rsidRPr="00BD6C5F" w14:paraId="3BCE17CE" w14:textId="77777777" w:rsidTr="006E4DF6">
        <w:tc>
          <w:tcPr>
            <w:tcW w:w="1531" w:type="dxa"/>
          </w:tcPr>
          <w:p w14:paraId="557CDC41" w14:textId="77777777" w:rsidR="00BC7DDA" w:rsidRPr="00BD6C5F" w:rsidRDefault="00BC7DDA" w:rsidP="006E4DF6">
            <w:pPr>
              <w:pStyle w:val="Tabletext"/>
            </w:pPr>
          </w:p>
        </w:tc>
        <w:tc>
          <w:tcPr>
            <w:tcW w:w="1587" w:type="dxa"/>
          </w:tcPr>
          <w:p w14:paraId="321A87CD" w14:textId="77777777" w:rsidR="00BC7DDA" w:rsidRPr="00BD6C5F" w:rsidRDefault="00BC7DDA" w:rsidP="006E4DF6">
            <w:pPr>
              <w:pStyle w:val="Tabletext"/>
            </w:pPr>
          </w:p>
        </w:tc>
        <w:tc>
          <w:tcPr>
            <w:tcW w:w="1986" w:type="dxa"/>
          </w:tcPr>
          <w:p w14:paraId="3ED88350" w14:textId="77777777" w:rsidR="00BC7DDA" w:rsidRPr="00BD6C5F" w:rsidRDefault="00BC7DDA" w:rsidP="006E4DF6">
            <w:pPr>
              <w:pStyle w:val="Tabletext"/>
            </w:pPr>
          </w:p>
        </w:tc>
        <w:tc>
          <w:tcPr>
            <w:tcW w:w="3345" w:type="dxa"/>
          </w:tcPr>
          <w:p w14:paraId="1332649D" w14:textId="77777777" w:rsidR="00BC7DDA" w:rsidRPr="00BD6C5F" w:rsidRDefault="00BC7DDA" w:rsidP="006E4DF6">
            <w:pPr>
              <w:pStyle w:val="Tabletext"/>
            </w:pPr>
          </w:p>
        </w:tc>
        <w:tc>
          <w:tcPr>
            <w:tcW w:w="1757" w:type="dxa"/>
          </w:tcPr>
          <w:p w14:paraId="0F4A98A1" w14:textId="77777777" w:rsidR="00BC7DDA" w:rsidRPr="00BD6C5F" w:rsidRDefault="00BC7DDA" w:rsidP="006E4DF6">
            <w:pPr>
              <w:pStyle w:val="Tabletext"/>
            </w:pPr>
          </w:p>
        </w:tc>
      </w:tr>
      <w:tr w:rsidR="00BC7DDA" w:rsidRPr="00BD6C5F" w14:paraId="721E8BB6" w14:textId="77777777" w:rsidTr="006E4DF6">
        <w:tc>
          <w:tcPr>
            <w:tcW w:w="1531" w:type="dxa"/>
          </w:tcPr>
          <w:p w14:paraId="6C73FFF7" w14:textId="77777777" w:rsidR="00BC7DDA" w:rsidRPr="00BD6C5F" w:rsidRDefault="00BC7DDA" w:rsidP="006E4DF6">
            <w:pPr>
              <w:pStyle w:val="Tabletext"/>
            </w:pPr>
          </w:p>
        </w:tc>
        <w:tc>
          <w:tcPr>
            <w:tcW w:w="1587" w:type="dxa"/>
          </w:tcPr>
          <w:p w14:paraId="392FA788" w14:textId="77777777" w:rsidR="00BC7DDA" w:rsidRPr="00BD6C5F" w:rsidRDefault="00BC7DDA" w:rsidP="006E4DF6">
            <w:pPr>
              <w:pStyle w:val="Tabletext"/>
            </w:pPr>
          </w:p>
        </w:tc>
        <w:tc>
          <w:tcPr>
            <w:tcW w:w="1986" w:type="dxa"/>
          </w:tcPr>
          <w:p w14:paraId="743AEF89" w14:textId="77777777" w:rsidR="00BC7DDA" w:rsidRPr="00BD6C5F" w:rsidRDefault="00BC7DDA" w:rsidP="006E4DF6">
            <w:pPr>
              <w:pStyle w:val="Tabletext"/>
            </w:pPr>
          </w:p>
        </w:tc>
        <w:tc>
          <w:tcPr>
            <w:tcW w:w="3345" w:type="dxa"/>
          </w:tcPr>
          <w:p w14:paraId="14044086" w14:textId="77777777" w:rsidR="00BC7DDA" w:rsidRPr="00BD6C5F" w:rsidRDefault="00BC7DDA" w:rsidP="006E4DF6">
            <w:pPr>
              <w:pStyle w:val="Tabletext"/>
            </w:pPr>
          </w:p>
        </w:tc>
        <w:tc>
          <w:tcPr>
            <w:tcW w:w="1757" w:type="dxa"/>
          </w:tcPr>
          <w:p w14:paraId="022C21EF" w14:textId="77777777" w:rsidR="00BC7DDA" w:rsidRPr="00BD6C5F" w:rsidRDefault="00BC7DDA" w:rsidP="006E4DF6">
            <w:pPr>
              <w:pStyle w:val="Tabletext"/>
            </w:pPr>
          </w:p>
        </w:tc>
      </w:tr>
    </w:tbl>
    <w:p w14:paraId="7359A6DE" w14:textId="77777777" w:rsidR="00854571" w:rsidRPr="00BD6C5F" w:rsidRDefault="00854571" w:rsidP="006E4DF6"/>
    <w:p w14:paraId="75037F6D" w14:textId="77777777" w:rsidR="00E238E6" w:rsidRPr="00BD6C5F" w:rsidRDefault="00E238E6" w:rsidP="006E4DF6"/>
    <w:p w14:paraId="051E405C" w14:textId="77777777" w:rsidR="00E238E6" w:rsidRPr="00BD6C5F" w:rsidRDefault="00E238E6" w:rsidP="006E4DF6"/>
    <w:p w14:paraId="51157D82" w14:textId="223C79ED" w:rsidR="00E238E6" w:rsidRPr="00BD6C5F" w:rsidRDefault="00E238E6" w:rsidP="006E4DF6">
      <w:pPr>
        <w:sectPr w:rsidR="00E238E6" w:rsidRPr="00BD6C5F" w:rsidSect="00EA65BF">
          <w:headerReference w:type="default" r:id="rId118"/>
          <w:footerReference w:type="default" r:id="rId119"/>
          <w:pgSz w:w="11910" w:h="16840"/>
          <w:pgMar w:top="1701" w:right="851" w:bottom="1134" w:left="851" w:header="567" w:footer="567" w:gutter="0"/>
          <w:cols w:space="720"/>
        </w:sectPr>
      </w:pPr>
    </w:p>
    <w:p w14:paraId="5245DE79" w14:textId="3302CB0A" w:rsidR="00713E2F" w:rsidRDefault="00713E2F" w:rsidP="00713E2F">
      <w:pPr>
        <w:pStyle w:val="Dividername"/>
      </w:pPr>
      <w:bookmarkStart w:id="1833" w:name="_bookmark602"/>
      <w:bookmarkStart w:id="1834" w:name="_bookmark603"/>
      <w:bookmarkEnd w:id="1833"/>
      <w:bookmarkEnd w:id="1834"/>
      <w:r>
        <w:lastRenderedPageBreak/>
        <w:t xml:space="preserve">Schedule </w:t>
      </w:r>
      <w:bookmarkStart w:id="1835" w:name="Schedule_30"/>
      <w:r>
        <w:t>30</w:t>
      </w:r>
      <w:bookmarkEnd w:id="1835"/>
    </w:p>
    <w:p w14:paraId="5D749967" w14:textId="6E61D7C3" w:rsidR="00713E2F" w:rsidRDefault="00713E2F" w:rsidP="00713E2F">
      <w:pPr>
        <w:pStyle w:val="Dividername"/>
      </w:pPr>
      <w:r w:rsidRPr="00713E2F">
        <w:t>Guarantee</w:t>
      </w:r>
    </w:p>
    <w:p w14:paraId="5D2DEF44" w14:textId="77777777" w:rsidR="00713E2F" w:rsidRDefault="00713E2F" w:rsidP="00713E2F"/>
    <w:p w14:paraId="0B6B432C" w14:textId="059405C1" w:rsidR="00BC7DDA" w:rsidRPr="00BD6C5F" w:rsidRDefault="006E4DF6" w:rsidP="00713E2F">
      <w:pPr>
        <w:pStyle w:val="Heading1"/>
        <w:pageBreakBefore/>
      </w:pPr>
      <w:bookmarkStart w:id="1836" w:name="_Toc141721064"/>
      <w:r w:rsidRPr="00BD6C5F">
        <w:lastRenderedPageBreak/>
        <w:t>Schedule 30</w:t>
      </w:r>
      <w:r w:rsidR="001475FD" w:rsidRPr="00BD6C5F">
        <w:t>:</w:t>
      </w:r>
      <w:r w:rsidR="00854571" w:rsidRPr="00BD6C5F">
        <w:t xml:space="preserve"> </w:t>
      </w:r>
      <w:bookmarkStart w:id="1837" w:name="_Ref98253072"/>
      <w:bookmarkStart w:id="1838" w:name="_Toc98332795"/>
      <w:bookmarkStart w:id="1839" w:name="_Toc98852963"/>
      <w:r w:rsidRPr="00BD6C5F">
        <w:t>Guarantee</w:t>
      </w:r>
      <w:bookmarkEnd w:id="1837"/>
      <w:bookmarkEnd w:id="1838"/>
      <w:bookmarkEnd w:id="1839"/>
      <w:bookmarkEnd w:id="1836"/>
    </w:p>
    <w:p w14:paraId="0205361C" w14:textId="2631C9DE" w:rsidR="00325019" w:rsidRPr="00BD6C5F" w:rsidRDefault="00325019" w:rsidP="006E4DF6">
      <w:pPr>
        <w:jc w:val="center"/>
      </w:pPr>
      <w:r w:rsidRPr="00BD6C5F">
        <w:t>This is the schedule referred to in the foregoing agreement betwee</w:t>
      </w:r>
      <w:r w:rsidR="00E6623F" w:rsidRPr="00BD6C5F">
        <w:t>n [</w:t>
      </w:r>
      <w:r w:rsidR="00E6623F" w:rsidRPr="00BD6C5F">
        <w:rPr>
          <w:highlight w:val="yellow"/>
        </w:rPr>
        <w:t>name of party</w:t>
      </w:r>
      <w:r w:rsidR="00E6623F" w:rsidRPr="00BD6C5F">
        <w:t>] and [</w:t>
      </w:r>
      <w:r w:rsidR="00E6623F" w:rsidRPr="00BD6C5F">
        <w:rPr>
          <w:highlight w:val="yellow"/>
        </w:rPr>
        <w:t>name of party</w:t>
      </w:r>
      <w:r w:rsidR="00E6623F" w:rsidRPr="00BD6C5F">
        <w:t>] dated [</w:t>
      </w:r>
      <w:r w:rsidR="00E6623F" w:rsidRPr="00BD6C5F">
        <w:rPr>
          <w:highlight w:val="yellow"/>
        </w:rPr>
        <w:t>date</w:t>
      </w:r>
      <w:r w:rsidR="00E6623F" w:rsidRPr="00BD6C5F">
        <w:t>]</w:t>
      </w:r>
    </w:p>
    <w:p w14:paraId="479AC1C5" w14:textId="77777777" w:rsidR="006E4DF6" w:rsidRPr="00BD6C5F" w:rsidRDefault="006E4DF6" w:rsidP="006E4DF6"/>
    <w:p w14:paraId="4D6AC172" w14:textId="77777777" w:rsidR="00BC7DDA" w:rsidRPr="00BD6C5F" w:rsidRDefault="009B03E9" w:rsidP="006E4DF6">
      <w:pPr>
        <w:spacing w:before="100" w:after="200"/>
        <w:jc w:val="center"/>
        <w:rPr>
          <w:b/>
          <w:bCs/>
        </w:rPr>
      </w:pPr>
      <w:r w:rsidRPr="00BD6C5F">
        <w:rPr>
          <w:b/>
          <w:bCs/>
          <w:highlight w:val="yellow"/>
        </w:rPr>
        <w:t>[Insert the name of the Guarantor]</w:t>
      </w:r>
    </w:p>
    <w:p w14:paraId="138C0D9B" w14:textId="77777777" w:rsidR="00BC7DDA" w:rsidRPr="00BD6C5F" w:rsidRDefault="009B03E9" w:rsidP="006E4DF6">
      <w:pPr>
        <w:widowControl/>
        <w:spacing w:before="100" w:after="200"/>
        <w:jc w:val="center"/>
        <w:rPr>
          <w:rFonts w:asciiTheme="minorHAnsi" w:hAnsiTheme="minorHAnsi" w:cstheme="minorHAnsi"/>
          <w:b/>
          <w:szCs w:val="24"/>
        </w:rPr>
      </w:pPr>
      <w:r w:rsidRPr="00BD6C5F">
        <w:rPr>
          <w:rFonts w:asciiTheme="minorHAnsi" w:hAnsiTheme="minorHAnsi" w:cstheme="minorHAnsi"/>
          <w:b/>
          <w:szCs w:val="24"/>
        </w:rPr>
        <w:t>- and -</w:t>
      </w:r>
    </w:p>
    <w:p w14:paraId="7EF2A8F4" w14:textId="77777777" w:rsidR="00BC7DDA" w:rsidRPr="00BD6C5F" w:rsidRDefault="009B03E9" w:rsidP="006E4DF6">
      <w:pPr>
        <w:widowControl/>
        <w:spacing w:before="100" w:after="200"/>
        <w:jc w:val="center"/>
        <w:rPr>
          <w:rFonts w:asciiTheme="minorHAnsi" w:hAnsiTheme="minorHAnsi" w:cstheme="minorHAnsi"/>
          <w:b/>
          <w:iCs/>
          <w:szCs w:val="24"/>
        </w:rPr>
      </w:pPr>
      <w:r w:rsidRPr="00BD6C5F">
        <w:rPr>
          <w:rFonts w:asciiTheme="minorHAnsi" w:hAnsiTheme="minorHAnsi" w:cstheme="minorHAnsi"/>
          <w:b/>
          <w:iCs/>
          <w:szCs w:val="24"/>
          <w:shd w:val="clear" w:color="auto" w:fill="FFFF00"/>
        </w:rPr>
        <w:t>[Insert the name of the Authority]</w:t>
      </w:r>
    </w:p>
    <w:p w14:paraId="026CE499" w14:textId="77777777" w:rsidR="00BC7DDA" w:rsidRPr="00BD6C5F" w:rsidRDefault="00BC7DDA" w:rsidP="006E4DF6">
      <w:pPr>
        <w:pStyle w:val="BodyText"/>
        <w:widowControl/>
        <w:spacing w:before="100" w:after="200"/>
        <w:rPr>
          <w:rFonts w:asciiTheme="minorHAnsi" w:hAnsiTheme="minorHAnsi" w:cstheme="minorHAnsi"/>
          <w:bCs/>
          <w:iCs/>
        </w:rPr>
      </w:pPr>
    </w:p>
    <w:p w14:paraId="268A7B47" w14:textId="77777777" w:rsidR="00BC7DDA" w:rsidRPr="00BD6C5F" w:rsidRDefault="009B03E9" w:rsidP="006E4DF6">
      <w:pPr>
        <w:widowControl/>
        <w:spacing w:before="100" w:after="200"/>
        <w:jc w:val="center"/>
        <w:rPr>
          <w:rFonts w:asciiTheme="minorHAnsi" w:hAnsiTheme="minorHAnsi" w:cstheme="minorHAnsi"/>
          <w:b/>
          <w:szCs w:val="24"/>
        </w:rPr>
      </w:pPr>
      <w:r w:rsidRPr="00BD6C5F">
        <w:rPr>
          <w:rFonts w:asciiTheme="minorHAnsi" w:hAnsiTheme="minorHAnsi" w:cstheme="minorHAnsi"/>
          <w:b/>
          <w:szCs w:val="24"/>
        </w:rPr>
        <w:t>GUARANTEE</w:t>
      </w:r>
    </w:p>
    <w:p w14:paraId="5031D932" w14:textId="7233DC91" w:rsidR="001F3579" w:rsidRPr="00BD6C5F" w:rsidRDefault="001F3579" w:rsidP="006E4DF6">
      <w:pPr>
        <w:widowControl/>
        <w:pBdr>
          <w:top w:val="nil"/>
          <w:left w:val="nil"/>
          <w:bottom w:val="nil"/>
          <w:right w:val="nil"/>
          <w:between w:val="nil"/>
        </w:pBdr>
        <w:tabs>
          <w:tab w:val="left" w:pos="3402"/>
        </w:tabs>
        <w:spacing w:before="100" w:after="200"/>
        <w:rPr>
          <w:rFonts w:asciiTheme="minorHAnsi" w:hAnsiTheme="minorHAnsi" w:cstheme="minorHAnsi"/>
          <w:bCs/>
          <w:iCs/>
          <w:szCs w:val="24"/>
        </w:rPr>
      </w:pPr>
      <w:r w:rsidRPr="00BD6C5F">
        <w:rPr>
          <w:rFonts w:asciiTheme="minorHAnsi" w:hAnsiTheme="minorHAnsi" w:cstheme="minorHAnsi"/>
          <w:bCs/>
          <w:iCs/>
          <w:szCs w:val="24"/>
          <w:highlight w:val="yellow"/>
        </w:rPr>
        <w:t>[</w:t>
      </w:r>
      <w:r w:rsidRPr="004C60F6">
        <w:rPr>
          <w:rFonts w:asciiTheme="minorHAnsi" w:hAnsiTheme="minorHAnsi" w:cstheme="minorHAnsi"/>
          <w:b/>
          <w:i/>
          <w:szCs w:val="24"/>
          <w:highlight w:val="yellow"/>
        </w:rPr>
        <w:t>Guidance: this is a draft form of guarantee which can be used to procure a Guarantee, but it will need to be amended to reflect the Beneficiary</w:t>
      </w:r>
      <w:r w:rsidR="00A4555C" w:rsidRPr="004C60F6">
        <w:rPr>
          <w:rFonts w:asciiTheme="minorHAnsi" w:hAnsiTheme="minorHAnsi" w:cstheme="minorHAnsi"/>
          <w:b/>
          <w:i/>
          <w:szCs w:val="24"/>
          <w:highlight w:val="yellow"/>
        </w:rPr>
        <w:t>’</w:t>
      </w:r>
      <w:r w:rsidRPr="004C60F6">
        <w:rPr>
          <w:rFonts w:asciiTheme="minorHAnsi" w:hAnsiTheme="minorHAnsi" w:cstheme="minorHAnsi"/>
          <w:b/>
          <w:i/>
          <w:szCs w:val="24"/>
          <w:highlight w:val="yellow"/>
        </w:rPr>
        <w:t>s requirements</w:t>
      </w:r>
      <w:r w:rsidRPr="00BD6C5F">
        <w:rPr>
          <w:rFonts w:asciiTheme="minorHAnsi" w:hAnsiTheme="minorHAnsi" w:cstheme="minorHAnsi"/>
          <w:bCs/>
          <w:iCs/>
          <w:szCs w:val="24"/>
          <w:highlight w:val="yellow"/>
        </w:rPr>
        <w:t>.]</w:t>
      </w:r>
    </w:p>
    <w:p w14:paraId="29F200D3" w14:textId="77777777" w:rsidR="001F3579" w:rsidRPr="00BD6C5F" w:rsidRDefault="001F3579" w:rsidP="006E4DF6">
      <w:pPr>
        <w:widowControl/>
        <w:spacing w:before="100" w:after="200"/>
        <w:jc w:val="center"/>
        <w:rPr>
          <w:rFonts w:asciiTheme="minorHAnsi" w:hAnsiTheme="minorHAnsi" w:cstheme="minorHAnsi"/>
          <w:b/>
          <w:szCs w:val="24"/>
        </w:rPr>
      </w:pPr>
    </w:p>
    <w:p w14:paraId="06E2B606" w14:textId="6380C834" w:rsidR="00BC7DDA" w:rsidRPr="00BD6C5F" w:rsidRDefault="009B03E9" w:rsidP="006E4DF6">
      <w:pPr>
        <w:widowControl/>
        <w:spacing w:before="100" w:after="200"/>
        <w:rPr>
          <w:rFonts w:asciiTheme="minorHAnsi" w:hAnsiTheme="minorHAnsi" w:cstheme="minorHAnsi"/>
          <w:szCs w:val="24"/>
        </w:rPr>
      </w:pPr>
      <w:r w:rsidRPr="00BD6C5F">
        <w:rPr>
          <w:rFonts w:asciiTheme="minorHAnsi" w:hAnsiTheme="minorHAnsi" w:cstheme="minorHAnsi"/>
          <w:b/>
          <w:szCs w:val="24"/>
        </w:rPr>
        <w:t xml:space="preserve">THIS GUARANTEE </w:t>
      </w:r>
      <w:r w:rsidRPr="00BD6C5F">
        <w:rPr>
          <w:rFonts w:asciiTheme="minorHAnsi" w:hAnsiTheme="minorHAnsi" w:cstheme="minorHAnsi"/>
          <w:szCs w:val="24"/>
        </w:rPr>
        <w:t>is made on [</w:t>
      </w:r>
      <w:r w:rsidRPr="00A21F25">
        <w:rPr>
          <w:rFonts w:asciiTheme="minorHAnsi" w:hAnsiTheme="minorHAnsi" w:cstheme="minorHAnsi"/>
          <w:b/>
          <w:bCs/>
          <w:szCs w:val="24"/>
          <w:highlight w:val="yellow"/>
        </w:rPr>
        <w:t>Insert</w:t>
      </w:r>
      <w:r w:rsidRPr="00BD6C5F">
        <w:rPr>
          <w:rFonts w:asciiTheme="minorHAnsi" w:hAnsiTheme="minorHAnsi" w:cstheme="minorHAnsi"/>
          <w:szCs w:val="24"/>
          <w:highlight w:val="yellow"/>
        </w:rPr>
        <w:t xml:space="preserve"> date of execution</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Guarantee</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426DB901" w14:textId="77777777" w:rsidR="00BC7DDA" w:rsidRPr="00BD6C5F" w:rsidRDefault="009B03E9" w:rsidP="00334BB6">
      <w:pPr>
        <w:widowControl/>
        <w:spacing w:before="100" w:after="200"/>
        <w:rPr>
          <w:rFonts w:asciiTheme="minorHAnsi" w:hAnsiTheme="minorHAnsi" w:cstheme="minorHAnsi"/>
          <w:b/>
          <w:szCs w:val="24"/>
        </w:rPr>
      </w:pPr>
      <w:r w:rsidRPr="00BD6C5F">
        <w:rPr>
          <w:rFonts w:asciiTheme="minorHAnsi" w:hAnsiTheme="minorHAnsi" w:cstheme="minorHAnsi"/>
          <w:b/>
          <w:szCs w:val="24"/>
        </w:rPr>
        <w:t>BETWEEN:</w:t>
      </w:r>
    </w:p>
    <w:p w14:paraId="065F3761" w14:textId="5A3336B3" w:rsidR="00BC7DDA" w:rsidRPr="00BD6C5F" w:rsidRDefault="009B03E9" w:rsidP="001A5A96">
      <w:pPr>
        <w:pStyle w:val="ListParagraph"/>
        <w:widowControl/>
        <w:numPr>
          <w:ilvl w:val="0"/>
          <w:numId w:val="2"/>
        </w:numPr>
        <w:tabs>
          <w:tab w:val="left" w:pos="900"/>
          <w:tab w:val="left" w:pos="901"/>
        </w:tabs>
        <w:spacing w:before="100" w:after="200"/>
        <w:ind w:left="720" w:hanging="720"/>
        <w:rPr>
          <w:rFonts w:asciiTheme="minorHAnsi" w:hAnsiTheme="minorHAnsi" w:cstheme="minorHAnsi"/>
          <w:szCs w:val="24"/>
        </w:rPr>
      </w:pPr>
      <w:r w:rsidRPr="002D3DCF">
        <w:rPr>
          <w:rFonts w:asciiTheme="minorHAnsi" w:hAnsiTheme="minorHAnsi" w:cstheme="minorHAnsi"/>
          <w:b/>
          <w:szCs w:val="24"/>
          <w:shd w:val="clear" w:color="auto" w:fill="FFFF00"/>
        </w:rPr>
        <w:t>[</w:t>
      </w:r>
      <w:r w:rsidRPr="00BD6C5F">
        <w:rPr>
          <w:rFonts w:asciiTheme="minorHAnsi" w:hAnsiTheme="minorHAnsi" w:cstheme="minorHAnsi"/>
          <w:b/>
          <w:szCs w:val="24"/>
          <w:shd w:val="clear" w:color="auto" w:fill="FFFF00"/>
        </w:rPr>
        <w:t>INSERT NAME OF THE GUARANTOR</w:t>
      </w:r>
      <w:r w:rsidRPr="002D3DCF">
        <w:rPr>
          <w:rFonts w:asciiTheme="minorHAnsi" w:hAnsiTheme="minorHAnsi" w:cstheme="minorHAnsi"/>
          <w:bCs/>
          <w:szCs w:val="24"/>
          <w:shd w:val="clear" w:color="auto" w:fill="FFFF00"/>
        </w:rPr>
        <w:t xml:space="preserve">] </w:t>
      </w:r>
      <w:r w:rsidRPr="00BD6C5F">
        <w:rPr>
          <w:rFonts w:asciiTheme="minorHAnsi" w:hAnsiTheme="minorHAnsi" w:cstheme="minorHAnsi"/>
          <w:szCs w:val="24"/>
          <w:shd w:val="clear" w:color="auto" w:fill="FFFF00"/>
        </w:rPr>
        <w:t>[a company incorporated in [Scotland] under registered number [</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registered number] whose registered office is at [</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registered office]] </w:t>
      </w:r>
      <w:r w:rsidRPr="00BD6C5F">
        <w:rPr>
          <w:rFonts w:asciiTheme="minorHAnsi" w:hAnsiTheme="minorHAnsi" w:cstheme="minorHAnsi"/>
          <w:b/>
          <w:bCs/>
          <w:szCs w:val="24"/>
          <w:shd w:val="clear" w:color="auto" w:fill="FFFF00"/>
        </w:rPr>
        <w:t>[</w:t>
      </w:r>
      <w:r w:rsidRPr="00BD6C5F">
        <w:rPr>
          <w:rFonts w:asciiTheme="minorHAnsi" w:hAnsiTheme="minorHAnsi" w:cstheme="minorHAnsi"/>
          <w:b/>
          <w:szCs w:val="24"/>
          <w:shd w:val="clear" w:color="auto" w:fill="FFFF00"/>
        </w:rPr>
        <w:t xml:space="preserve">OR] </w:t>
      </w:r>
      <w:r w:rsidRPr="00BD6C5F">
        <w:rPr>
          <w:rFonts w:asciiTheme="minorHAnsi" w:hAnsiTheme="minorHAnsi" w:cstheme="minorHAnsi"/>
          <w:szCs w:val="24"/>
          <w:shd w:val="clear" w:color="auto" w:fill="FFFF00"/>
        </w:rPr>
        <w:t>[a company incorporated under the laws of [insert country], registered in [</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country] with number [</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number] at [insert place of registration], whose principal office is at [</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office details]</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Guarantor</w:t>
      </w:r>
      <w:r w:rsidR="00A4555C" w:rsidRPr="00BD6C5F">
        <w:rPr>
          <w:rFonts w:asciiTheme="minorHAnsi" w:hAnsiTheme="minorHAnsi" w:cstheme="minorHAnsi"/>
          <w:szCs w:val="24"/>
        </w:rPr>
        <w:t>”</w:t>
      </w:r>
      <w:r w:rsidRPr="00BD6C5F">
        <w:rPr>
          <w:rFonts w:asciiTheme="minorHAnsi" w:hAnsiTheme="minorHAnsi" w:cstheme="minorHAnsi"/>
          <w:szCs w:val="24"/>
        </w:rPr>
        <w:t>); and</w:t>
      </w:r>
    </w:p>
    <w:p w14:paraId="0DDC39D1" w14:textId="739E1BA7" w:rsidR="00BC7DDA" w:rsidRPr="00BD6C5F" w:rsidRDefault="009B03E9" w:rsidP="001A5A96">
      <w:pPr>
        <w:pStyle w:val="ListParagraph"/>
        <w:widowControl/>
        <w:numPr>
          <w:ilvl w:val="0"/>
          <w:numId w:val="2"/>
        </w:numPr>
        <w:tabs>
          <w:tab w:val="left" w:pos="900"/>
          <w:tab w:val="left" w:pos="901"/>
        </w:tabs>
        <w:spacing w:before="100" w:after="200" w:line="242" w:lineRule="auto"/>
        <w:ind w:left="720" w:hanging="720"/>
        <w:rPr>
          <w:rFonts w:asciiTheme="minorHAnsi" w:hAnsiTheme="minorHAnsi" w:cstheme="minorHAnsi"/>
          <w:szCs w:val="24"/>
        </w:rPr>
      </w:pPr>
      <w:r w:rsidRPr="002D3DCF">
        <w:rPr>
          <w:rFonts w:asciiTheme="minorHAnsi" w:hAnsiTheme="minorHAnsi" w:cstheme="minorHAnsi"/>
          <w:bCs/>
          <w:szCs w:val="24"/>
          <w:shd w:val="clear" w:color="auto" w:fill="FFFF00"/>
        </w:rPr>
        <w:t>[</w:t>
      </w:r>
      <w:r w:rsidRPr="00BD6C5F">
        <w:rPr>
          <w:rFonts w:asciiTheme="minorHAnsi" w:hAnsiTheme="minorHAnsi" w:cstheme="minorHAnsi"/>
          <w:b/>
          <w:szCs w:val="24"/>
          <w:shd w:val="clear" w:color="auto" w:fill="FFFF00"/>
        </w:rPr>
        <w:t>INSERT NAME OF THE AUTHORITY</w:t>
      </w:r>
      <w:r w:rsidRPr="002D3DCF">
        <w:rPr>
          <w:rFonts w:asciiTheme="minorHAnsi" w:hAnsiTheme="minorHAnsi" w:cstheme="minorHAnsi"/>
          <w:bCs/>
          <w:szCs w:val="24"/>
          <w:shd w:val="clear" w:color="auto" w:fill="FFFF00"/>
        </w:rPr>
        <w:t>]</w:t>
      </w:r>
      <w:r w:rsidR="00A82039" w:rsidRPr="00BD6C5F">
        <w:t xml:space="preserve">, </w:t>
      </w:r>
      <w:r w:rsidRPr="00BD6C5F">
        <w:rPr>
          <w:rFonts w:asciiTheme="minorHAnsi" w:hAnsiTheme="minorHAnsi" w:cstheme="minorHAnsi"/>
          <w:szCs w:val="24"/>
          <w:shd w:val="clear" w:color="auto" w:fill="FFFF00"/>
        </w:rPr>
        <w:t>[acting on behalf of the Crown]</w:t>
      </w:r>
      <w:r w:rsidRPr="00BD6C5F">
        <w:rPr>
          <w:rFonts w:asciiTheme="minorHAnsi" w:hAnsiTheme="minorHAnsi" w:cstheme="minorHAnsi"/>
          <w:szCs w:val="24"/>
        </w:rPr>
        <w:t xml:space="preserve"> o</w:t>
      </w:r>
      <w:r w:rsidR="00A82039" w:rsidRPr="00BD6C5F">
        <w:rPr>
          <w:rFonts w:asciiTheme="minorHAnsi" w:hAnsiTheme="minorHAnsi" w:cstheme="minorHAnsi"/>
          <w:szCs w:val="24"/>
        </w:rPr>
        <w:t xml:space="preserve">f </w:t>
      </w:r>
      <w:r w:rsidRPr="00BD6C5F">
        <w:rPr>
          <w:rFonts w:asciiTheme="minorHAnsi" w:hAnsiTheme="minorHAnsi" w:cstheme="minorHAnsi"/>
          <w:szCs w:val="24"/>
          <w:shd w:val="clear" w:color="auto" w:fill="FFFF00"/>
        </w:rPr>
        <w:t>[</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the Authority</w:t>
      </w:r>
      <w:r w:rsidR="00A4555C" w:rsidRPr="00BD6C5F">
        <w:rPr>
          <w:rFonts w:asciiTheme="minorHAnsi" w:hAnsiTheme="minorHAnsi" w:cstheme="minorHAnsi"/>
          <w:szCs w:val="24"/>
          <w:shd w:val="clear" w:color="auto" w:fill="FFFF00"/>
        </w:rPr>
        <w:t>’</w:t>
      </w:r>
      <w:r w:rsidRPr="00BD6C5F">
        <w:rPr>
          <w:rFonts w:asciiTheme="minorHAnsi" w:hAnsiTheme="minorHAnsi" w:cstheme="minorHAnsi"/>
          <w:szCs w:val="24"/>
          <w:shd w:val="clear" w:color="auto" w:fill="FFFF00"/>
        </w:rPr>
        <w:t>s address]</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Authority</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54A2B588" w14:textId="5E67ECE1" w:rsidR="00BC7DDA" w:rsidRPr="00BD6C5F" w:rsidRDefault="009B03E9" w:rsidP="00334BB6">
      <w:pPr>
        <w:widowControl/>
        <w:spacing w:before="100" w:after="200"/>
        <w:rPr>
          <w:rFonts w:asciiTheme="minorHAnsi" w:hAnsiTheme="minorHAnsi" w:cstheme="minorHAnsi"/>
          <w:szCs w:val="24"/>
        </w:rPr>
      </w:pPr>
      <w:r w:rsidRPr="00BD6C5F">
        <w:rPr>
          <w:rFonts w:asciiTheme="minorHAnsi" w:hAnsiTheme="minorHAnsi" w:cstheme="minorHAnsi"/>
          <w:szCs w:val="24"/>
        </w:rPr>
        <w:t xml:space="preserve">together the </w:t>
      </w:r>
      <w:r w:rsidR="00A4555C" w:rsidRPr="00BD6C5F">
        <w:rPr>
          <w:rFonts w:asciiTheme="minorHAnsi" w:hAnsiTheme="minorHAnsi" w:cstheme="minorHAnsi"/>
          <w:szCs w:val="24"/>
        </w:rPr>
        <w:t>“</w:t>
      </w:r>
      <w:r w:rsidRPr="00BD6C5F">
        <w:rPr>
          <w:rFonts w:asciiTheme="minorHAnsi" w:hAnsiTheme="minorHAnsi" w:cstheme="minorHAnsi"/>
          <w:b/>
          <w:szCs w:val="24"/>
        </w:rPr>
        <w:t>Parties</w:t>
      </w:r>
      <w:r w:rsidR="00A4555C" w:rsidRPr="00BD6C5F">
        <w:rPr>
          <w:rFonts w:asciiTheme="minorHAnsi" w:hAnsiTheme="minorHAnsi" w:cstheme="minorHAnsi"/>
          <w:szCs w:val="24"/>
        </w:rPr>
        <w:t>”</w:t>
      </w:r>
      <w:r w:rsidRPr="00BD6C5F">
        <w:rPr>
          <w:rFonts w:asciiTheme="minorHAnsi" w:hAnsiTheme="minorHAnsi" w:cstheme="minorHAnsi"/>
          <w:szCs w:val="24"/>
        </w:rPr>
        <w:t xml:space="preserve"> and each a </w:t>
      </w:r>
      <w:r w:rsidR="00A4555C" w:rsidRPr="00BD6C5F">
        <w:rPr>
          <w:rFonts w:asciiTheme="minorHAnsi" w:hAnsiTheme="minorHAnsi" w:cstheme="minorHAnsi"/>
          <w:szCs w:val="24"/>
        </w:rPr>
        <w:t>“</w:t>
      </w:r>
      <w:r w:rsidRPr="00BD6C5F">
        <w:rPr>
          <w:rFonts w:asciiTheme="minorHAnsi" w:hAnsiTheme="minorHAnsi" w:cstheme="minorHAnsi"/>
          <w:b/>
          <w:szCs w:val="24"/>
        </w:rPr>
        <w:t>Party</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011AFB80" w14:textId="77777777" w:rsidR="00BC7DDA" w:rsidRPr="00BD6C5F" w:rsidRDefault="009B03E9" w:rsidP="00334BB6">
      <w:pPr>
        <w:widowControl/>
        <w:spacing w:before="100" w:after="200"/>
        <w:rPr>
          <w:rFonts w:asciiTheme="minorHAnsi" w:hAnsiTheme="minorHAnsi" w:cstheme="minorHAnsi"/>
          <w:b/>
          <w:szCs w:val="24"/>
        </w:rPr>
      </w:pPr>
      <w:r w:rsidRPr="00BD6C5F">
        <w:rPr>
          <w:rFonts w:asciiTheme="minorHAnsi" w:hAnsiTheme="minorHAnsi" w:cstheme="minorHAnsi"/>
          <w:b/>
          <w:szCs w:val="24"/>
        </w:rPr>
        <w:t>BACKGROUND:</w:t>
      </w:r>
    </w:p>
    <w:p w14:paraId="032F0FDB" w14:textId="113DAECD" w:rsidR="00BC7DDA" w:rsidRPr="00BD6C5F" w:rsidRDefault="009B03E9" w:rsidP="001A5A96">
      <w:pPr>
        <w:pStyle w:val="ListParagraph"/>
        <w:widowControl/>
        <w:numPr>
          <w:ilvl w:val="1"/>
          <w:numId w:val="2"/>
        </w:numPr>
        <w:tabs>
          <w:tab w:val="left" w:pos="900"/>
          <w:tab w:val="left" w:pos="901"/>
        </w:tabs>
        <w:spacing w:before="100" w:after="200" w:line="242" w:lineRule="auto"/>
        <w:ind w:hanging="720"/>
        <w:rPr>
          <w:rFonts w:asciiTheme="minorHAnsi" w:hAnsiTheme="minorHAnsi" w:cstheme="minorHAnsi"/>
          <w:szCs w:val="24"/>
        </w:rPr>
      </w:pPr>
      <w:bookmarkStart w:id="1840" w:name="_bookmark604"/>
      <w:bookmarkEnd w:id="1840"/>
      <w:r w:rsidRPr="00BD6C5F">
        <w:rPr>
          <w:rFonts w:asciiTheme="minorHAnsi" w:hAnsiTheme="minorHAnsi" w:cstheme="minorHAnsi"/>
          <w:szCs w:val="24"/>
        </w:rPr>
        <w:t xml:space="preserve">The Authority </w:t>
      </w:r>
      <w:r w:rsidRPr="00BD6C5F">
        <w:rPr>
          <w:rFonts w:asciiTheme="minorHAnsi" w:hAnsiTheme="minorHAnsi" w:cstheme="minorHAnsi"/>
          <w:szCs w:val="24"/>
          <w:shd w:val="clear" w:color="auto" w:fill="FFFF00"/>
        </w:rPr>
        <w:t>[has awarded]</w:t>
      </w:r>
      <w:r w:rsidRPr="00BD6C5F">
        <w:rPr>
          <w:rFonts w:asciiTheme="minorHAnsi" w:hAnsiTheme="minorHAnsi" w:cstheme="minorHAnsi"/>
          <w:szCs w:val="24"/>
        </w:rPr>
        <w:t xml:space="preserve"> a contract dated </w:t>
      </w:r>
      <w:r w:rsidRPr="00BD6C5F">
        <w:rPr>
          <w:rFonts w:asciiTheme="minorHAnsi" w:hAnsiTheme="minorHAnsi" w:cstheme="minorHAnsi"/>
          <w:szCs w:val="24"/>
          <w:shd w:val="clear" w:color="auto" w:fill="FFFF00"/>
        </w:rPr>
        <w:t>[</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date]</w:t>
      </w:r>
      <w:r w:rsidRPr="00BD6C5F">
        <w:rPr>
          <w:rFonts w:asciiTheme="minorHAnsi" w:hAnsiTheme="minorHAnsi" w:cstheme="minorHAnsi"/>
          <w:szCs w:val="24"/>
        </w:rPr>
        <w:t xml:space="preserve"> to </w:t>
      </w:r>
      <w:r w:rsidRPr="00BD6C5F">
        <w:rPr>
          <w:rFonts w:asciiTheme="minorHAnsi" w:hAnsiTheme="minorHAnsi" w:cstheme="minorHAnsi"/>
          <w:szCs w:val="24"/>
          <w:shd w:val="clear" w:color="auto" w:fill="FFFF00"/>
        </w:rPr>
        <w:t>[</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details of the Supplier]</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Supplier</w:t>
      </w:r>
      <w:r w:rsidR="00A4555C" w:rsidRPr="00BD6C5F">
        <w:rPr>
          <w:rFonts w:asciiTheme="minorHAnsi" w:hAnsiTheme="minorHAnsi" w:cstheme="minorHAnsi"/>
          <w:szCs w:val="24"/>
        </w:rPr>
        <w:t>”</w:t>
      </w:r>
      <w:r w:rsidRPr="00BD6C5F">
        <w:rPr>
          <w:rFonts w:asciiTheme="minorHAnsi" w:hAnsiTheme="minorHAnsi" w:cstheme="minorHAnsi"/>
          <w:szCs w:val="24"/>
        </w:rPr>
        <w:t xml:space="preserve">) for the provision of </w:t>
      </w:r>
      <w:r w:rsidRPr="00BD6C5F">
        <w:rPr>
          <w:rFonts w:asciiTheme="minorHAnsi" w:hAnsiTheme="minorHAnsi" w:cstheme="minorHAnsi"/>
          <w:szCs w:val="24"/>
          <w:shd w:val="clear" w:color="auto" w:fill="FFFF00"/>
        </w:rPr>
        <w:t>[</w:t>
      </w:r>
      <w:r w:rsidRPr="00A21F25">
        <w:rPr>
          <w:rFonts w:asciiTheme="minorHAnsi" w:hAnsiTheme="minorHAnsi" w:cstheme="minorHAnsi"/>
          <w:b/>
          <w:bCs/>
          <w:szCs w:val="24"/>
          <w:shd w:val="clear" w:color="auto" w:fill="FFFF00"/>
        </w:rPr>
        <w:t>insert</w:t>
      </w:r>
      <w:r w:rsidRPr="00BD6C5F">
        <w:rPr>
          <w:rFonts w:asciiTheme="minorHAnsi" w:hAnsiTheme="minorHAnsi" w:cstheme="minorHAnsi"/>
          <w:szCs w:val="24"/>
          <w:shd w:val="clear" w:color="auto" w:fill="FFFF00"/>
        </w:rPr>
        <w:t xml:space="preserve"> details of goods or services to be provided]</w:t>
      </w:r>
      <w:r w:rsidRPr="00BD6C5F">
        <w:rPr>
          <w:rFonts w:asciiTheme="minorHAnsi" w:hAnsiTheme="minorHAnsi" w:cstheme="minorHAnsi"/>
          <w:szCs w:val="24"/>
        </w:rPr>
        <w:t xml:space="preserve"> (the </w:t>
      </w:r>
      <w:r w:rsidR="00A4555C" w:rsidRPr="00BD6C5F">
        <w:rPr>
          <w:rFonts w:asciiTheme="minorHAnsi" w:hAnsiTheme="minorHAnsi" w:cstheme="minorHAnsi"/>
          <w:szCs w:val="24"/>
        </w:rPr>
        <w:t>“</w:t>
      </w:r>
      <w:r w:rsidRPr="00BD6C5F">
        <w:rPr>
          <w:rFonts w:asciiTheme="minorHAnsi" w:hAnsiTheme="minorHAnsi" w:cstheme="minorHAnsi"/>
          <w:b/>
          <w:szCs w:val="24"/>
        </w:rPr>
        <w:t>Guaranteed Agreement</w:t>
      </w:r>
      <w:r w:rsidR="00A4555C" w:rsidRPr="00BD6C5F">
        <w:rPr>
          <w:rFonts w:asciiTheme="minorHAnsi" w:hAnsiTheme="minorHAnsi" w:cstheme="minorHAnsi"/>
          <w:szCs w:val="24"/>
        </w:rPr>
        <w:t>”</w:t>
      </w:r>
      <w:r w:rsidRPr="00BD6C5F">
        <w:rPr>
          <w:rFonts w:asciiTheme="minorHAnsi" w:hAnsiTheme="minorHAnsi" w:cstheme="minorHAnsi"/>
          <w:szCs w:val="24"/>
        </w:rPr>
        <w:t>).</w:t>
      </w:r>
    </w:p>
    <w:p w14:paraId="3F7FFA6F" w14:textId="77777777" w:rsidR="00BC7DDA" w:rsidRPr="00BD6C5F" w:rsidRDefault="009B03E9" w:rsidP="001A5A96">
      <w:pPr>
        <w:pStyle w:val="ListParagraph"/>
        <w:widowControl/>
        <w:numPr>
          <w:ilvl w:val="1"/>
          <w:numId w:val="2"/>
        </w:numPr>
        <w:tabs>
          <w:tab w:val="left" w:pos="900"/>
          <w:tab w:val="left" w:pos="901"/>
        </w:tabs>
        <w:spacing w:before="100" w:after="200"/>
        <w:ind w:hanging="720"/>
        <w:rPr>
          <w:rFonts w:asciiTheme="minorHAnsi" w:hAnsiTheme="minorHAnsi" w:cstheme="minorHAnsi"/>
          <w:szCs w:val="24"/>
        </w:rPr>
      </w:pPr>
      <w:r w:rsidRPr="00BD6C5F">
        <w:rPr>
          <w:rFonts w:asciiTheme="minorHAnsi" w:hAnsiTheme="minorHAnsi" w:cstheme="minorHAnsi"/>
          <w:szCs w:val="24"/>
        </w:rPr>
        <w:t>It is a condition of the Authority entering into the Guaranteed Agreement that the Supplier procures the execution and delivery to the Authority of a parent company guarantee substantially in the form of this Guarantee.</w:t>
      </w:r>
    </w:p>
    <w:p w14:paraId="2BB74A4E" w14:textId="77777777" w:rsidR="00BC7DDA" w:rsidRPr="00BD6C5F" w:rsidRDefault="009B03E9" w:rsidP="001A5A96">
      <w:pPr>
        <w:pStyle w:val="ListParagraph"/>
        <w:widowControl/>
        <w:numPr>
          <w:ilvl w:val="1"/>
          <w:numId w:val="2"/>
        </w:numPr>
        <w:tabs>
          <w:tab w:val="left" w:pos="900"/>
          <w:tab w:val="left" w:pos="901"/>
        </w:tabs>
        <w:spacing w:before="100" w:after="200" w:line="242" w:lineRule="auto"/>
        <w:ind w:hanging="720"/>
        <w:rPr>
          <w:rFonts w:asciiTheme="minorHAnsi" w:hAnsiTheme="minorHAnsi" w:cstheme="minorHAnsi"/>
          <w:szCs w:val="24"/>
        </w:rPr>
      </w:pPr>
      <w:r w:rsidRPr="00BD6C5F">
        <w:rPr>
          <w:rFonts w:asciiTheme="minorHAnsi" w:hAnsiTheme="minorHAnsi" w:cstheme="minorHAnsi"/>
          <w:szCs w:val="24"/>
        </w:rPr>
        <w:t>The Guarantor has agreed to guarantee the due performance of the Guaranteed Agreement.</w:t>
      </w:r>
    </w:p>
    <w:p w14:paraId="31AA52A0" w14:textId="77777777" w:rsidR="00BC7DDA" w:rsidRPr="00BD6C5F" w:rsidRDefault="009B03E9" w:rsidP="00334BB6">
      <w:pPr>
        <w:widowControl/>
        <w:spacing w:before="100" w:after="200"/>
        <w:rPr>
          <w:rFonts w:asciiTheme="minorHAnsi" w:hAnsiTheme="minorHAnsi" w:cstheme="minorHAnsi"/>
          <w:szCs w:val="24"/>
        </w:rPr>
      </w:pPr>
      <w:r w:rsidRPr="00BD6C5F">
        <w:rPr>
          <w:rFonts w:asciiTheme="minorHAnsi" w:hAnsiTheme="minorHAnsi" w:cstheme="minorHAnsi"/>
          <w:b/>
          <w:szCs w:val="24"/>
        </w:rPr>
        <w:t xml:space="preserve">IT IS AGREED </w:t>
      </w:r>
      <w:r w:rsidRPr="00BD6C5F">
        <w:rPr>
          <w:rFonts w:asciiTheme="minorHAnsi" w:hAnsiTheme="minorHAnsi" w:cstheme="minorHAnsi"/>
          <w:szCs w:val="24"/>
        </w:rPr>
        <w:t>as follows:</w:t>
      </w:r>
    </w:p>
    <w:p w14:paraId="6E30981E" w14:textId="1694CB4B" w:rsidR="00BC7DDA" w:rsidRPr="00BD6C5F" w:rsidRDefault="00E6623F" w:rsidP="00B71FC0">
      <w:pPr>
        <w:pStyle w:val="Numbered1"/>
        <w:numPr>
          <w:ilvl w:val="0"/>
          <w:numId w:val="121"/>
        </w:numPr>
      </w:pPr>
      <w:r w:rsidRPr="00BD6C5F">
        <w:lastRenderedPageBreak/>
        <w:t>Definitions and Interpretation</w:t>
      </w:r>
    </w:p>
    <w:p w14:paraId="5948A87D" w14:textId="77777777" w:rsidR="00BC7DDA" w:rsidRPr="00730F71" w:rsidRDefault="009B03E9" w:rsidP="00730F71">
      <w:pPr>
        <w:keepNext/>
        <w:keepLines/>
        <w:spacing w:before="100" w:after="200"/>
        <w:ind w:left="720"/>
        <w:rPr>
          <w:b/>
          <w:bCs/>
        </w:rPr>
      </w:pPr>
      <w:r w:rsidRPr="00730F71">
        <w:rPr>
          <w:b/>
          <w:bCs/>
        </w:rPr>
        <w:t>Definitions</w:t>
      </w:r>
    </w:p>
    <w:p w14:paraId="5374AB56" w14:textId="77777777" w:rsidR="00BC7DDA" w:rsidRPr="00BD6C5F" w:rsidRDefault="009B03E9" w:rsidP="00FD4E48">
      <w:pPr>
        <w:pStyle w:val="Numbered11"/>
        <w:keepNext/>
      </w:pPr>
      <w:r w:rsidRPr="00BD6C5F">
        <w:t xml:space="preserve">The </w:t>
      </w:r>
      <w:r w:rsidRPr="00BD6C5F">
        <w:rPr>
          <w:b/>
        </w:rPr>
        <w:t xml:space="preserve">following </w:t>
      </w:r>
      <w:r w:rsidRPr="00BD6C5F">
        <w:t>definitions apply in this Guarantee:</w:t>
      </w:r>
    </w:p>
    <w:tbl>
      <w:tblPr>
        <w:tblW w:w="9581" w:type="dxa"/>
        <w:tblInd w:w="708" w:type="dxa"/>
        <w:tblLayout w:type="fixed"/>
        <w:tblCellMar>
          <w:left w:w="0" w:type="dxa"/>
          <w:bottom w:w="170" w:type="dxa"/>
          <w:right w:w="113" w:type="dxa"/>
        </w:tblCellMar>
        <w:tblLook w:val="01E0" w:firstRow="1" w:lastRow="1" w:firstColumn="1" w:lastColumn="1" w:noHBand="0" w:noVBand="0"/>
      </w:tblPr>
      <w:tblGrid>
        <w:gridCol w:w="3572"/>
        <w:gridCol w:w="6009"/>
      </w:tblGrid>
      <w:tr w:rsidR="00BC7DDA" w:rsidRPr="00BD6C5F" w14:paraId="53EB9952" w14:textId="77777777" w:rsidTr="00334BB6">
        <w:tc>
          <w:tcPr>
            <w:tcW w:w="3572" w:type="dxa"/>
          </w:tcPr>
          <w:p w14:paraId="02F20793" w14:textId="6910D743" w:rsidR="00BC7DDA" w:rsidRPr="00BD6C5F" w:rsidRDefault="00A4555C" w:rsidP="00334BB6">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Business Day</w:t>
            </w:r>
            <w:r w:rsidRPr="00BD6C5F">
              <w:rPr>
                <w:rFonts w:asciiTheme="minorHAnsi" w:hAnsiTheme="minorHAnsi" w:cstheme="minorHAnsi"/>
                <w:b/>
              </w:rPr>
              <w:t>”</w:t>
            </w:r>
          </w:p>
        </w:tc>
        <w:tc>
          <w:tcPr>
            <w:tcW w:w="6009" w:type="dxa"/>
          </w:tcPr>
          <w:p w14:paraId="1A1933F9" w14:textId="77777777" w:rsidR="00BC7DDA" w:rsidRPr="00BD6C5F" w:rsidRDefault="009B03E9" w:rsidP="00334BB6">
            <w:pPr>
              <w:pStyle w:val="Tabletext"/>
            </w:pPr>
            <w:r w:rsidRPr="00BD6C5F">
              <w:t>means a day, other than a Saturday, Sunday or public holiday in Scotland, when banks in Edinburgh are open for business;</w:t>
            </w:r>
          </w:p>
        </w:tc>
      </w:tr>
      <w:tr w:rsidR="00BC7DDA" w:rsidRPr="00BD6C5F" w14:paraId="65798CBC" w14:textId="77777777" w:rsidTr="00334BB6">
        <w:tc>
          <w:tcPr>
            <w:tcW w:w="3572" w:type="dxa"/>
          </w:tcPr>
          <w:p w14:paraId="1065C2AC" w14:textId="74142FA5" w:rsidR="00BC7DDA" w:rsidRPr="00BD6C5F" w:rsidRDefault="00A4555C" w:rsidP="00334BB6">
            <w:pPr>
              <w:pStyle w:val="Tabletext"/>
              <w:rPr>
                <w:rFonts w:asciiTheme="minorHAnsi" w:hAnsiTheme="minorHAnsi" w:cstheme="minorHAnsi"/>
                <w:b/>
              </w:rPr>
            </w:pPr>
            <w:r w:rsidRPr="00BD6C5F">
              <w:rPr>
                <w:rFonts w:asciiTheme="minorHAnsi" w:hAnsiTheme="minorHAnsi" w:cstheme="minorHAnsi"/>
                <w:b/>
              </w:rPr>
              <w:t>“</w:t>
            </w:r>
            <w:r w:rsidR="009B03E9" w:rsidRPr="00BD6C5F">
              <w:rPr>
                <w:rFonts w:asciiTheme="minorHAnsi" w:hAnsiTheme="minorHAnsi" w:cstheme="minorHAnsi"/>
                <w:b/>
              </w:rPr>
              <w:t>Control</w:t>
            </w:r>
            <w:r w:rsidRPr="00BD6C5F">
              <w:rPr>
                <w:rFonts w:asciiTheme="minorHAnsi" w:hAnsiTheme="minorHAnsi" w:cstheme="minorHAnsi"/>
                <w:b/>
              </w:rPr>
              <w:t>”</w:t>
            </w:r>
          </w:p>
        </w:tc>
        <w:tc>
          <w:tcPr>
            <w:tcW w:w="6009" w:type="dxa"/>
          </w:tcPr>
          <w:p w14:paraId="2AE9F8D5" w14:textId="77777777" w:rsidR="00BC7DDA" w:rsidRPr="00BD6C5F" w:rsidRDefault="009B03E9" w:rsidP="00334BB6">
            <w:pPr>
              <w:pStyle w:val="Tabletext"/>
              <w:rPr>
                <w:rFonts w:asciiTheme="minorHAnsi" w:hAnsiTheme="minorHAnsi" w:cstheme="minorHAnsi"/>
              </w:rPr>
            </w:pPr>
            <w:r w:rsidRPr="00BD6C5F">
              <w:rPr>
                <w:rFonts w:asciiTheme="minorHAnsi" w:hAnsiTheme="minorHAnsi" w:cstheme="minorHAnsi"/>
              </w:rPr>
              <w:t>means the power of a person to secure that the affairs of a body corporate are conducted in accordance with the wishes of that person:</w:t>
            </w:r>
          </w:p>
          <w:p w14:paraId="6CFBCDA1" w14:textId="77777777" w:rsidR="00BC7DDA" w:rsidRPr="00BD6C5F" w:rsidRDefault="009B03E9" w:rsidP="0040545B">
            <w:pPr>
              <w:pStyle w:val="Tablea"/>
            </w:pPr>
            <w:r w:rsidRPr="00BD6C5F">
              <w:t>by means of the holding of shares or the possession of voting power in relation to that body or any other body corporate; or</w:t>
            </w:r>
          </w:p>
          <w:p w14:paraId="15AF6115" w14:textId="77777777" w:rsidR="00525BA0" w:rsidRPr="00BD6C5F" w:rsidRDefault="009B03E9" w:rsidP="003A5D4B">
            <w:pPr>
              <w:pStyle w:val="Tablea"/>
            </w:pPr>
            <w:r w:rsidRPr="00BD6C5F">
              <w:t>as a result of any powers conferred by the constitutional or corporate documents, or</w:t>
            </w:r>
          </w:p>
          <w:p w14:paraId="130C99EB" w14:textId="37C55735" w:rsidR="00525BA0" w:rsidRPr="00BD6C5F" w:rsidRDefault="00525BA0" w:rsidP="003A5D4B">
            <w:pPr>
              <w:pStyle w:val="Tablea"/>
            </w:pPr>
            <w:r w:rsidRPr="00BD6C5F">
              <w:t>any other document regulating that body or any other body corporate;</w:t>
            </w:r>
          </w:p>
        </w:tc>
      </w:tr>
      <w:tr w:rsidR="00525BA0" w:rsidRPr="00BD6C5F" w14:paraId="343A6812" w14:textId="77777777" w:rsidTr="00334BB6">
        <w:tc>
          <w:tcPr>
            <w:tcW w:w="3572" w:type="dxa"/>
          </w:tcPr>
          <w:p w14:paraId="63ADB73A" w14:textId="415D6A57" w:rsidR="00525BA0" w:rsidRPr="00BD6C5F" w:rsidRDefault="00A4555C" w:rsidP="00334BB6">
            <w:pPr>
              <w:pStyle w:val="Tabletext"/>
              <w:rPr>
                <w:rFonts w:asciiTheme="minorHAnsi" w:hAnsiTheme="minorHAnsi" w:cstheme="minorHAnsi"/>
                <w:b/>
                <w:bCs/>
              </w:rPr>
            </w:pPr>
            <w:r w:rsidRPr="00BD6C5F">
              <w:rPr>
                <w:rFonts w:asciiTheme="minorHAnsi" w:hAnsiTheme="minorHAnsi" w:cstheme="minorHAnsi"/>
                <w:b/>
                <w:bCs/>
              </w:rPr>
              <w:t>“</w:t>
            </w:r>
            <w:r w:rsidR="00525BA0" w:rsidRPr="00BD6C5F">
              <w:rPr>
                <w:rFonts w:asciiTheme="minorHAnsi" w:hAnsiTheme="minorHAnsi" w:cstheme="minorHAnsi"/>
                <w:b/>
                <w:bCs/>
              </w:rPr>
              <w:t>Guaranteed Agreement</w:t>
            </w:r>
            <w:r w:rsidRPr="00BD6C5F">
              <w:rPr>
                <w:rFonts w:asciiTheme="minorHAnsi" w:hAnsiTheme="minorHAnsi" w:cstheme="minorHAnsi"/>
                <w:b/>
                <w:bCs/>
              </w:rPr>
              <w:t>”</w:t>
            </w:r>
          </w:p>
        </w:tc>
        <w:tc>
          <w:tcPr>
            <w:tcW w:w="6009" w:type="dxa"/>
          </w:tcPr>
          <w:p w14:paraId="1A5B1B7E" w14:textId="7E245264" w:rsidR="00525BA0" w:rsidRPr="00BD6C5F" w:rsidRDefault="00525BA0" w:rsidP="00334BB6">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to it in Recital (A);</w:t>
            </w:r>
          </w:p>
        </w:tc>
      </w:tr>
      <w:tr w:rsidR="00525BA0" w:rsidRPr="00BD6C5F" w14:paraId="456D039E" w14:textId="77777777" w:rsidTr="00334BB6">
        <w:tc>
          <w:tcPr>
            <w:tcW w:w="3572" w:type="dxa"/>
          </w:tcPr>
          <w:p w14:paraId="5D616247" w14:textId="18138EE3" w:rsidR="00525BA0" w:rsidRPr="00BD6C5F" w:rsidRDefault="00A4555C" w:rsidP="00334BB6">
            <w:pPr>
              <w:pStyle w:val="Tabletext"/>
              <w:rPr>
                <w:rFonts w:asciiTheme="minorHAnsi" w:hAnsiTheme="minorHAnsi" w:cstheme="minorHAnsi"/>
                <w:b/>
              </w:rPr>
            </w:pPr>
            <w:r w:rsidRPr="00BD6C5F">
              <w:rPr>
                <w:rFonts w:asciiTheme="minorHAnsi" w:hAnsiTheme="minorHAnsi" w:cstheme="minorHAnsi"/>
                <w:b/>
                <w:bCs/>
              </w:rPr>
              <w:t>“</w:t>
            </w:r>
            <w:r w:rsidR="00525BA0" w:rsidRPr="00BD6C5F">
              <w:rPr>
                <w:rFonts w:asciiTheme="minorHAnsi" w:hAnsiTheme="minorHAnsi" w:cstheme="minorHAnsi"/>
                <w:b/>
                <w:bCs/>
              </w:rPr>
              <w:t>Guaranteed Obligations</w:t>
            </w:r>
            <w:r w:rsidRPr="00BD6C5F">
              <w:rPr>
                <w:rFonts w:asciiTheme="minorHAnsi" w:hAnsiTheme="minorHAnsi" w:cstheme="minorHAnsi"/>
                <w:b/>
                <w:bCs/>
              </w:rPr>
              <w:t>”</w:t>
            </w:r>
          </w:p>
        </w:tc>
        <w:tc>
          <w:tcPr>
            <w:tcW w:w="6009" w:type="dxa"/>
          </w:tcPr>
          <w:p w14:paraId="7C0420D8" w14:textId="4FA64875" w:rsidR="00525BA0" w:rsidRPr="00BD6C5F" w:rsidRDefault="00525BA0" w:rsidP="00334BB6">
            <w:pPr>
              <w:pStyle w:val="Tabletext"/>
              <w:rPr>
                <w:rFonts w:asciiTheme="minorHAnsi" w:hAnsiTheme="minorHAnsi" w:cstheme="minorHAnsi"/>
              </w:rPr>
            </w:pPr>
            <w:r w:rsidRPr="00BD6C5F">
              <w:rPr>
                <w:rFonts w:asciiTheme="minorHAnsi" w:hAnsiTheme="minorHAnsi" w:cstheme="minorHAnsi"/>
              </w:rPr>
              <w:t xml:space="preserve">has </w:t>
            </w:r>
            <w:r w:rsidRPr="00BD6C5F">
              <w:t>the</w:t>
            </w:r>
            <w:r w:rsidRPr="00BD6C5F">
              <w:rPr>
                <w:rFonts w:asciiTheme="minorHAnsi" w:hAnsiTheme="minorHAnsi" w:cstheme="minorHAnsi"/>
              </w:rPr>
              <w:t xml:space="preserve"> meaning given to it in Clause 2.</w:t>
            </w:r>
            <w:r w:rsidR="006509FE">
              <w:rPr>
                <w:rFonts w:asciiTheme="minorHAnsi" w:hAnsiTheme="minorHAnsi" w:cstheme="minorHAnsi"/>
              </w:rPr>
              <w:t>1.1</w:t>
            </w:r>
            <w:r w:rsidRPr="00BD6C5F">
              <w:rPr>
                <w:rFonts w:asciiTheme="minorHAnsi" w:hAnsiTheme="minorHAnsi" w:cstheme="minorHAnsi"/>
              </w:rPr>
              <w:t>;</w:t>
            </w:r>
          </w:p>
        </w:tc>
      </w:tr>
      <w:tr w:rsidR="00525BA0" w:rsidRPr="00BD6C5F" w14:paraId="256B6BCE" w14:textId="77777777" w:rsidTr="00334BB6">
        <w:tc>
          <w:tcPr>
            <w:tcW w:w="3572" w:type="dxa"/>
          </w:tcPr>
          <w:p w14:paraId="09F0DBEC" w14:textId="29540A15" w:rsidR="00525BA0" w:rsidRPr="00BD6C5F" w:rsidRDefault="00A4555C" w:rsidP="00334BB6">
            <w:pPr>
              <w:pStyle w:val="Tabletext"/>
              <w:rPr>
                <w:rFonts w:asciiTheme="minorHAnsi" w:hAnsiTheme="minorHAnsi" w:cstheme="minorHAnsi"/>
                <w:b/>
              </w:rPr>
            </w:pPr>
            <w:r w:rsidRPr="00BD6C5F">
              <w:rPr>
                <w:rFonts w:asciiTheme="minorHAnsi" w:hAnsiTheme="minorHAnsi" w:cstheme="minorHAnsi"/>
                <w:b/>
              </w:rPr>
              <w:t>“</w:t>
            </w:r>
            <w:r w:rsidR="00525BA0" w:rsidRPr="00BD6C5F">
              <w:rPr>
                <w:rFonts w:asciiTheme="minorHAnsi" w:hAnsiTheme="minorHAnsi" w:cstheme="minorHAnsi"/>
                <w:b/>
              </w:rPr>
              <w:t>Supplier</w:t>
            </w:r>
            <w:r w:rsidRPr="00BD6C5F">
              <w:rPr>
                <w:rFonts w:asciiTheme="minorHAnsi" w:hAnsiTheme="minorHAnsi" w:cstheme="minorHAnsi"/>
                <w:b/>
              </w:rPr>
              <w:t>”</w:t>
            </w:r>
          </w:p>
        </w:tc>
        <w:tc>
          <w:tcPr>
            <w:tcW w:w="6009" w:type="dxa"/>
          </w:tcPr>
          <w:p w14:paraId="7831B14A" w14:textId="21B44455" w:rsidR="00525BA0" w:rsidRPr="00BD6C5F" w:rsidRDefault="00525BA0" w:rsidP="00334BB6">
            <w:pPr>
              <w:pStyle w:val="Tabletext"/>
              <w:rPr>
                <w:rFonts w:asciiTheme="minorHAnsi" w:hAnsiTheme="minorHAnsi" w:cstheme="minorHAnsi"/>
              </w:rPr>
            </w:pPr>
            <w:r w:rsidRPr="00BD6C5F">
              <w:rPr>
                <w:rFonts w:asciiTheme="minorHAnsi" w:hAnsiTheme="minorHAnsi" w:cstheme="minorHAnsi"/>
              </w:rPr>
              <w:t xml:space="preserve">has the </w:t>
            </w:r>
            <w:r w:rsidRPr="00BD6C5F">
              <w:t>meaning</w:t>
            </w:r>
            <w:r w:rsidRPr="00BD6C5F">
              <w:rPr>
                <w:rFonts w:asciiTheme="minorHAnsi" w:hAnsiTheme="minorHAnsi" w:cstheme="minorHAnsi"/>
              </w:rPr>
              <w:t xml:space="preserve"> given to it in Recital (A);</w:t>
            </w:r>
          </w:p>
        </w:tc>
      </w:tr>
      <w:tr w:rsidR="00525BA0" w:rsidRPr="00BD6C5F" w14:paraId="64BE7681" w14:textId="77777777" w:rsidTr="00334BB6">
        <w:tc>
          <w:tcPr>
            <w:tcW w:w="3572" w:type="dxa"/>
          </w:tcPr>
          <w:p w14:paraId="63819EC1" w14:textId="3CD48886" w:rsidR="00525BA0" w:rsidRPr="00BD6C5F" w:rsidRDefault="00A4555C" w:rsidP="00334BB6">
            <w:pPr>
              <w:pStyle w:val="Tabletext"/>
              <w:rPr>
                <w:rFonts w:asciiTheme="minorHAnsi" w:hAnsiTheme="minorHAnsi" w:cstheme="minorHAnsi"/>
                <w:b/>
              </w:rPr>
            </w:pPr>
            <w:r w:rsidRPr="00BD6C5F">
              <w:rPr>
                <w:rFonts w:asciiTheme="minorHAnsi" w:hAnsiTheme="minorHAnsi" w:cstheme="minorHAnsi"/>
                <w:b/>
              </w:rPr>
              <w:t>“</w:t>
            </w:r>
            <w:r w:rsidR="00525BA0" w:rsidRPr="00BD6C5F">
              <w:rPr>
                <w:rFonts w:asciiTheme="minorHAnsi" w:hAnsiTheme="minorHAnsi" w:cstheme="minorHAnsi"/>
                <w:b/>
              </w:rPr>
              <w:t>VAT</w:t>
            </w:r>
            <w:r w:rsidRPr="00BD6C5F">
              <w:rPr>
                <w:rFonts w:asciiTheme="minorHAnsi" w:hAnsiTheme="minorHAnsi" w:cstheme="minorHAnsi"/>
                <w:b/>
              </w:rPr>
              <w:t>”</w:t>
            </w:r>
          </w:p>
        </w:tc>
        <w:tc>
          <w:tcPr>
            <w:tcW w:w="6009" w:type="dxa"/>
          </w:tcPr>
          <w:p w14:paraId="7EB444C0" w14:textId="66952ED8" w:rsidR="00525BA0" w:rsidRPr="00BD6C5F" w:rsidRDefault="00525BA0" w:rsidP="00334BB6">
            <w:pPr>
              <w:pStyle w:val="Tabletext"/>
              <w:rPr>
                <w:rFonts w:asciiTheme="minorHAnsi" w:hAnsiTheme="minorHAnsi" w:cstheme="minorHAnsi"/>
              </w:rPr>
            </w:pPr>
            <w:r w:rsidRPr="00BD6C5F">
              <w:rPr>
                <w:rFonts w:asciiTheme="minorHAnsi" w:hAnsiTheme="minorHAnsi" w:cstheme="minorHAnsi"/>
              </w:rPr>
              <w:t>means value added tax or any equivalent tax chargeable in the UK or elsewhere.</w:t>
            </w:r>
          </w:p>
        </w:tc>
      </w:tr>
    </w:tbl>
    <w:p w14:paraId="008F25B9" w14:textId="3D276D6D" w:rsidR="00BC7DDA" w:rsidRPr="00BD6C5F" w:rsidRDefault="00BC7DDA" w:rsidP="00334BB6"/>
    <w:p w14:paraId="5E2D0939" w14:textId="77777777" w:rsidR="00BC7DDA" w:rsidRPr="00BD6C5F" w:rsidRDefault="009B03E9" w:rsidP="0047129D">
      <w:pPr>
        <w:keepNext/>
        <w:keepLines/>
        <w:spacing w:before="100" w:after="200"/>
        <w:ind w:left="720"/>
        <w:rPr>
          <w:b/>
          <w:bCs/>
        </w:rPr>
      </w:pPr>
      <w:r w:rsidRPr="00BD6C5F">
        <w:rPr>
          <w:b/>
          <w:bCs/>
        </w:rPr>
        <w:t>Interpretation</w:t>
      </w:r>
    </w:p>
    <w:p w14:paraId="00C7C5B9" w14:textId="77777777" w:rsidR="00BC7DDA" w:rsidRPr="00BD6C5F" w:rsidRDefault="009B03E9" w:rsidP="00FD4E48">
      <w:pPr>
        <w:pStyle w:val="Numbered11"/>
        <w:keepNext/>
      </w:pPr>
      <w:r w:rsidRPr="00BD6C5F">
        <w:t>Unless otherwise stated, any reference in this Guarantee to:</w:t>
      </w:r>
    </w:p>
    <w:p w14:paraId="0AF900E9" w14:textId="3D1FA5D6" w:rsidR="00BC7DDA" w:rsidRPr="00BD6C5F" w:rsidRDefault="009B03E9" w:rsidP="00E6623F">
      <w:pPr>
        <w:pStyle w:val="Numbered111"/>
      </w:pPr>
      <w:r w:rsidRPr="00BD6C5F">
        <w:t xml:space="preserve">the </w:t>
      </w:r>
      <w:r w:rsidR="00A4555C" w:rsidRPr="00BD6C5F">
        <w:t>“</w:t>
      </w:r>
      <w:r w:rsidRPr="00BD6C5F">
        <w:t>Guarantor</w:t>
      </w:r>
      <w:r w:rsidR="00A4555C" w:rsidRPr="00BD6C5F">
        <w:t>”</w:t>
      </w:r>
      <w:r w:rsidRPr="00BD6C5F">
        <w:t xml:space="preserve">, the </w:t>
      </w:r>
      <w:r w:rsidR="00A4555C" w:rsidRPr="00BD6C5F">
        <w:t>“</w:t>
      </w:r>
      <w:r w:rsidRPr="00BD6C5F">
        <w:t>Authority</w:t>
      </w:r>
      <w:r w:rsidR="00A4555C" w:rsidRPr="00BD6C5F">
        <w:t>”</w:t>
      </w:r>
      <w:r w:rsidRPr="00BD6C5F">
        <w:t xml:space="preserve">, the </w:t>
      </w:r>
      <w:r w:rsidR="00A4555C" w:rsidRPr="00BD6C5F">
        <w:t>“</w:t>
      </w:r>
      <w:r w:rsidRPr="00BD6C5F">
        <w:t>Supplier</w:t>
      </w:r>
      <w:r w:rsidR="00A4555C" w:rsidRPr="00BD6C5F">
        <w:t>”</w:t>
      </w:r>
      <w:r w:rsidRPr="00BD6C5F">
        <w:t xml:space="preserve"> or any other person shall be construed so as to include their successors in title, permitted assign</w:t>
      </w:r>
      <w:r w:rsidR="0092630C">
        <w:t>ation</w:t>
      </w:r>
      <w:r w:rsidRPr="00BD6C5F">
        <w:t>s and permitted transferees, whether direct or indirect;</w:t>
      </w:r>
    </w:p>
    <w:p w14:paraId="0DA48EB1" w14:textId="738A6610" w:rsidR="00BC7DDA" w:rsidRPr="00BD6C5F" w:rsidRDefault="00A4555C" w:rsidP="00E6623F">
      <w:pPr>
        <w:pStyle w:val="Numbered111"/>
      </w:pPr>
      <w:r w:rsidRPr="00BD6C5F">
        <w:t>“</w:t>
      </w:r>
      <w:r w:rsidR="009B03E9" w:rsidRPr="00BD6C5F">
        <w:t>assets</w:t>
      </w:r>
      <w:r w:rsidRPr="00BD6C5F">
        <w:t>”</w:t>
      </w:r>
      <w:r w:rsidR="009B03E9" w:rsidRPr="00BD6C5F">
        <w:t xml:space="preserve"> includes present and future properties, revenues and rights of every description;</w:t>
      </w:r>
    </w:p>
    <w:p w14:paraId="7D02C313" w14:textId="46B84DD1" w:rsidR="00BC7DDA" w:rsidRPr="00BD6C5F" w:rsidRDefault="009B03E9" w:rsidP="00E6623F">
      <w:pPr>
        <w:pStyle w:val="Numbered111"/>
      </w:pPr>
      <w:r w:rsidRPr="00BD6C5F">
        <w:t xml:space="preserve">this </w:t>
      </w:r>
      <w:r w:rsidR="00A4555C" w:rsidRPr="00BD6C5F">
        <w:t>“</w:t>
      </w:r>
      <w:r w:rsidRPr="00BD6C5F">
        <w:t>Guarantee</w:t>
      </w:r>
      <w:r w:rsidR="00A4555C" w:rsidRPr="00BD6C5F">
        <w:t>”</w:t>
      </w:r>
      <w:r w:rsidRPr="00BD6C5F">
        <w:t>, or any other agreement or instrument is a reference to, this agreement or other agreement or instrument as amended, novated, supplemented, extended or restated;</w:t>
      </w:r>
    </w:p>
    <w:p w14:paraId="6E029CE2" w14:textId="678F1F93" w:rsidR="00BC7DDA" w:rsidRPr="00BD6C5F" w:rsidRDefault="00A4555C" w:rsidP="00E6623F">
      <w:pPr>
        <w:pStyle w:val="Numbered111"/>
      </w:pPr>
      <w:r w:rsidRPr="00BD6C5F">
        <w:t>“</w:t>
      </w:r>
      <w:r w:rsidR="009B03E9" w:rsidRPr="00BD6C5F">
        <w:t>indebtedness</w:t>
      </w:r>
      <w:r w:rsidRPr="00BD6C5F">
        <w:t>”</w:t>
      </w:r>
      <w:r w:rsidR="009B03E9" w:rsidRPr="00BD6C5F">
        <w:t xml:space="preserve"> includes any obligation (whether incurred as principal or as surety) for the payment or repayment of money, whether present or future, actual or contingent;</w:t>
      </w:r>
    </w:p>
    <w:p w14:paraId="75497EC3" w14:textId="29CAB7D1" w:rsidR="00BC7DDA" w:rsidRPr="00BD6C5F" w:rsidRDefault="009B03E9" w:rsidP="00E6623F">
      <w:pPr>
        <w:pStyle w:val="Numbered111"/>
      </w:pPr>
      <w:r w:rsidRPr="00BD6C5F">
        <w:t xml:space="preserve">a </w:t>
      </w:r>
      <w:r w:rsidR="00A4555C" w:rsidRPr="00BD6C5F">
        <w:t>“</w:t>
      </w:r>
      <w:r w:rsidRPr="00BD6C5F">
        <w:t>person</w:t>
      </w:r>
      <w:r w:rsidR="00A4555C" w:rsidRPr="00BD6C5F">
        <w:t>”</w:t>
      </w:r>
      <w:r w:rsidRPr="00BD6C5F">
        <w:t xml:space="preserve"> includes any individual, firm, company, corporation, government, </w:t>
      </w:r>
      <w:r w:rsidRPr="00BD6C5F">
        <w:lastRenderedPageBreak/>
        <w:t>state or agency of a state or any association, trust, joint venture, consortium, partnership or other entity (whether or not having separate legal personality);</w:t>
      </w:r>
    </w:p>
    <w:p w14:paraId="1F90F800" w14:textId="647FF918" w:rsidR="00BC7DDA" w:rsidRPr="00BD6C5F" w:rsidRDefault="009B03E9" w:rsidP="00E6623F">
      <w:pPr>
        <w:pStyle w:val="Numbered111"/>
      </w:pPr>
      <w:r w:rsidRPr="00BD6C5F">
        <w:t xml:space="preserve">the words </w:t>
      </w:r>
      <w:r w:rsidR="00A4555C" w:rsidRPr="00BD6C5F">
        <w:t>“</w:t>
      </w:r>
      <w:r w:rsidRPr="00BD6C5F">
        <w:t>including</w:t>
      </w:r>
      <w:r w:rsidR="00A4555C" w:rsidRPr="00BD6C5F">
        <w:t>”</w:t>
      </w:r>
      <w:r w:rsidRPr="00BD6C5F">
        <w:t xml:space="preserve">, </w:t>
      </w:r>
      <w:r w:rsidR="00A4555C" w:rsidRPr="00BD6C5F">
        <w:t>“</w:t>
      </w:r>
      <w:r w:rsidRPr="00BD6C5F">
        <w:t>includes</w:t>
      </w:r>
      <w:r w:rsidR="00A4555C" w:rsidRPr="00BD6C5F">
        <w:t>”</w:t>
      </w:r>
      <w:r w:rsidRPr="00BD6C5F">
        <w:t xml:space="preserve">, </w:t>
      </w:r>
      <w:r w:rsidR="00A4555C" w:rsidRPr="00BD6C5F">
        <w:t>“</w:t>
      </w:r>
      <w:r w:rsidRPr="00BD6C5F">
        <w:t>in particular</w:t>
      </w:r>
      <w:r w:rsidR="00A4555C" w:rsidRPr="00BD6C5F">
        <w:t>”</w:t>
      </w:r>
      <w:r w:rsidRPr="00BD6C5F">
        <w:t xml:space="preserve">, </w:t>
      </w:r>
      <w:r w:rsidR="00A4555C" w:rsidRPr="00BD6C5F">
        <w:t>“</w:t>
      </w:r>
      <w:r w:rsidRPr="00BD6C5F">
        <w:t>for example</w:t>
      </w:r>
      <w:r w:rsidR="00A4555C" w:rsidRPr="00BD6C5F">
        <w:t>”</w:t>
      </w:r>
      <w:r w:rsidRPr="00BD6C5F">
        <w:t xml:space="preserve"> or similar shall be construed as illustrative and without limitation to the generality of the related general words; and</w:t>
      </w:r>
    </w:p>
    <w:p w14:paraId="1786E6E7" w14:textId="77777777" w:rsidR="00BC7DDA" w:rsidRPr="00BD6C5F" w:rsidRDefault="009B03E9" w:rsidP="00E6623F">
      <w:pPr>
        <w:pStyle w:val="Numbered111"/>
      </w:pPr>
      <w:r w:rsidRPr="00BD6C5F">
        <w:t>a time of day is a reference to London time.</w:t>
      </w:r>
    </w:p>
    <w:p w14:paraId="2D54E9A9" w14:textId="5AADD483" w:rsidR="00BC7DDA" w:rsidRPr="00BD6C5F" w:rsidRDefault="00AA48C6" w:rsidP="00C5057A">
      <w:pPr>
        <w:pStyle w:val="Numbered1"/>
      </w:pPr>
      <w:r w:rsidRPr="00BD6C5F">
        <w:t>Guarantee and Indemnity</w:t>
      </w:r>
    </w:p>
    <w:p w14:paraId="2D94C5A6" w14:textId="77777777" w:rsidR="00BC7DDA" w:rsidRPr="00BD6C5F" w:rsidRDefault="009B03E9" w:rsidP="00FD4E48">
      <w:pPr>
        <w:pStyle w:val="Numbered11"/>
        <w:keepNext/>
      </w:pPr>
      <w:bookmarkStart w:id="1841" w:name="_bookmark605"/>
      <w:bookmarkEnd w:id="1841"/>
      <w:r w:rsidRPr="00BD6C5F">
        <w:t>The Guarantor:</w:t>
      </w:r>
    </w:p>
    <w:p w14:paraId="3F6F2F32" w14:textId="48E1E389" w:rsidR="00BC7DDA" w:rsidRPr="00BD6C5F" w:rsidRDefault="009B03E9" w:rsidP="00AA48C6">
      <w:pPr>
        <w:pStyle w:val="Numbered111"/>
      </w:pPr>
      <w:bookmarkStart w:id="1842" w:name="_bookmark606"/>
      <w:bookmarkEnd w:id="1842"/>
      <w:r w:rsidRPr="00BD6C5F">
        <w:t>guarantees to the Authority the due and punctual performance of all of the Supplier</w:t>
      </w:r>
      <w:r w:rsidR="00A4555C" w:rsidRPr="00BD6C5F">
        <w:t>’</w:t>
      </w:r>
      <w:r w:rsidRPr="00BD6C5F">
        <w:t>s present and future obligations under and in connection with the Guaranteed Agreement if and when they</w:t>
      </w:r>
      <w:r w:rsidR="00525BA0" w:rsidRPr="00BD6C5F">
        <w:t xml:space="preserve"> become due and performable in accordance with the terms of the Guaranteed Agreement (the </w:t>
      </w:r>
      <w:r w:rsidR="00A4555C" w:rsidRPr="00BD6C5F">
        <w:t>“</w:t>
      </w:r>
      <w:r w:rsidR="00525BA0" w:rsidRPr="00BD6C5F">
        <w:rPr>
          <w:b/>
        </w:rPr>
        <w:t>Guaranteed Obligations</w:t>
      </w:r>
      <w:r w:rsidR="00A4555C" w:rsidRPr="00BD6C5F">
        <w:t>”</w:t>
      </w:r>
      <w:r w:rsidR="00525BA0" w:rsidRPr="00BD6C5F">
        <w:t>);</w:t>
      </w:r>
    </w:p>
    <w:p w14:paraId="09A79932" w14:textId="485EC2B3" w:rsidR="00525BA0" w:rsidRPr="00BD6C5F" w:rsidRDefault="009B03E9" w:rsidP="00AA48C6">
      <w:pPr>
        <w:pStyle w:val="Numbered111"/>
      </w:pPr>
      <w:r w:rsidRPr="00BD6C5F">
        <w:t>shall pay to the Authority from time to time on demand all monies (together with interest on such sum accrued before and after the date of demand until the date of payment) that have become payable by the Supplier to the Authority under or in connection with the Guaranteed Agreement but which has not been paid at the time the demand is made; and</w:t>
      </w:r>
    </w:p>
    <w:p w14:paraId="7832BE57" w14:textId="4490FA5C" w:rsidR="00BC7DDA" w:rsidRPr="00BD6C5F" w:rsidRDefault="009B03E9" w:rsidP="00AA48C6">
      <w:pPr>
        <w:pStyle w:val="Numbered111"/>
      </w:pPr>
      <w:r w:rsidRPr="00BD6C5F">
        <w:t>shall, if the Supplier fails to perform in full and on time any of the Guaranteed Obligations and upon written notice from the Authority, immediately on demand perform or procure performance of the same at the Guarantor</w:t>
      </w:r>
      <w:r w:rsidR="00A4555C" w:rsidRPr="00BD6C5F">
        <w:t>’</w:t>
      </w:r>
      <w:r w:rsidRPr="00BD6C5F">
        <w:t>s own expense.</w:t>
      </w:r>
    </w:p>
    <w:p w14:paraId="4DBD1607" w14:textId="1E42AB91" w:rsidR="00BC7DDA" w:rsidRPr="00BD6C5F" w:rsidRDefault="009B03E9" w:rsidP="00C5057A">
      <w:pPr>
        <w:pStyle w:val="Numbered11"/>
      </w:pPr>
      <w:bookmarkStart w:id="1843" w:name="_bookmark607"/>
      <w:bookmarkEnd w:id="1843"/>
      <w:r w:rsidRPr="00BD6C5F">
        <w:t xml:space="preserve">The Guarantor, as principal obligor and as a separate and independent obligation and liability from its obligations and liabilities under </w:t>
      </w:r>
      <w:r w:rsidR="005E736B" w:rsidRPr="00BD6C5F">
        <w:t>Clause </w:t>
      </w:r>
      <w:r w:rsidRPr="00BD6C5F">
        <w:t>2.1, shall indemnify and keep indemnified the Authority in full and on demand from and against all and any losses, damages, costs and expenses suffered or incurred by the Authority arising out of, or in connection with:</w:t>
      </w:r>
    </w:p>
    <w:p w14:paraId="6A02DF49" w14:textId="77777777" w:rsidR="00BC7DDA" w:rsidRPr="00BD6C5F" w:rsidRDefault="009B03E9" w:rsidP="00AA48C6">
      <w:pPr>
        <w:pStyle w:val="Numbered111"/>
      </w:pPr>
      <w:r w:rsidRPr="00BD6C5F">
        <w:t>any failure by the Supplier to perform or discharge the Guaranteed Obligations; or</w:t>
      </w:r>
    </w:p>
    <w:p w14:paraId="0B3CDE12" w14:textId="77777777" w:rsidR="00BC7DDA" w:rsidRPr="00BD6C5F" w:rsidRDefault="009B03E9" w:rsidP="00AA48C6">
      <w:pPr>
        <w:pStyle w:val="Numbered111"/>
      </w:pPr>
      <w:r w:rsidRPr="00BD6C5F">
        <w:t>any of the Guaranteed Obligations being or becoming wholly or partially unenforceable for any reason,</w:t>
      </w:r>
    </w:p>
    <w:p w14:paraId="39201741" w14:textId="6FC9A600" w:rsidR="00BC7DDA" w:rsidRPr="00BD6C5F" w:rsidRDefault="009B03E9" w:rsidP="00AA48C6">
      <w:pPr>
        <w:pStyle w:val="Numbered111"/>
      </w:pPr>
      <w:r w:rsidRPr="00BD6C5F">
        <w:t>provided that the Guarantor</w:t>
      </w:r>
      <w:r w:rsidR="00A4555C" w:rsidRPr="00BD6C5F">
        <w:t>’</w:t>
      </w:r>
      <w:r w:rsidRPr="00BD6C5F">
        <w:t xml:space="preserve">s liability under this </w:t>
      </w:r>
      <w:r w:rsidR="005E736B" w:rsidRPr="00BD6C5F">
        <w:t>Clause </w:t>
      </w:r>
      <w:r w:rsidRPr="00BD6C5F">
        <w:t>2.2 shall be no greater than the Supplier</w:t>
      </w:r>
      <w:r w:rsidR="00A4555C" w:rsidRPr="00BD6C5F">
        <w:t>’</w:t>
      </w:r>
      <w:r w:rsidRPr="00BD6C5F">
        <w:t>s liability under the Guaranteed Agreement was (or would have been had the relevant Guaranteed Obligation been fully enforceable).</w:t>
      </w:r>
    </w:p>
    <w:p w14:paraId="0C2F57AA" w14:textId="7C2B70A1" w:rsidR="0047129D" w:rsidRPr="00BD6C5F" w:rsidRDefault="00AA48C6" w:rsidP="00C5057A">
      <w:pPr>
        <w:pStyle w:val="Numbered1"/>
      </w:pPr>
      <w:r w:rsidRPr="00BD6C5F">
        <w:t>Authority Protections</w:t>
      </w:r>
    </w:p>
    <w:p w14:paraId="1F28F3BA" w14:textId="71B01C01" w:rsidR="00BC7DDA" w:rsidRPr="00BD6C5F" w:rsidRDefault="009B03E9" w:rsidP="0047129D">
      <w:pPr>
        <w:keepNext/>
        <w:keepLines/>
        <w:spacing w:before="100" w:after="200"/>
        <w:ind w:left="720"/>
        <w:rPr>
          <w:b/>
          <w:bCs/>
        </w:rPr>
      </w:pPr>
      <w:r w:rsidRPr="00BD6C5F">
        <w:rPr>
          <w:b/>
          <w:bCs/>
        </w:rPr>
        <w:t>Continuing Guarantee</w:t>
      </w:r>
    </w:p>
    <w:p w14:paraId="011AFB9E" w14:textId="77777777" w:rsidR="00BC7DDA" w:rsidRPr="00BD6C5F" w:rsidRDefault="009B03E9" w:rsidP="00C5057A">
      <w:pPr>
        <w:pStyle w:val="Numbered11"/>
      </w:pPr>
      <w:r w:rsidRPr="00BD6C5F">
        <w:t>This Guarantee is, and shall at all times be, a continuing and irrevocable security until the Guaranteed Obligations have been satisfied or performed in full, and is in addition to and not in substitution for and shall not merge with any other right, remedy, guarantee or security which the Authority may at any time hold for the performance of the Guaranteed Obligations and may be enforced without first having recourse to any such security.</w:t>
      </w:r>
    </w:p>
    <w:p w14:paraId="03339619" w14:textId="572886AE" w:rsidR="00BC7DDA" w:rsidRPr="00BD6C5F" w:rsidRDefault="009B03E9" w:rsidP="0047129D">
      <w:pPr>
        <w:keepNext/>
        <w:keepLines/>
        <w:spacing w:before="100" w:after="200"/>
        <w:ind w:left="720"/>
        <w:rPr>
          <w:b/>
          <w:bCs/>
        </w:rPr>
      </w:pPr>
      <w:r w:rsidRPr="00BD6C5F">
        <w:rPr>
          <w:b/>
          <w:bCs/>
        </w:rPr>
        <w:lastRenderedPageBreak/>
        <w:t>Preservation of the Guarantor</w:t>
      </w:r>
      <w:r w:rsidR="00A4555C" w:rsidRPr="00BD6C5F">
        <w:rPr>
          <w:b/>
          <w:bCs/>
        </w:rPr>
        <w:t>’</w:t>
      </w:r>
      <w:r w:rsidRPr="00BD6C5F">
        <w:rPr>
          <w:b/>
          <w:bCs/>
        </w:rPr>
        <w:t>s liability</w:t>
      </w:r>
    </w:p>
    <w:p w14:paraId="6D11EB50" w14:textId="14BB20E7" w:rsidR="00BC7DDA" w:rsidRPr="00BD6C5F" w:rsidRDefault="009B03E9" w:rsidP="00FD4E48">
      <w:pPr>
        <w:pStyle w:val="Numbered11"/>
        <w:keepNext/>
      </w:pPr>
      <w:r w:rsidRPr="00BD6C5F">
        <w:t>The Guarantor</w:t>
      </w:r>
      <w:r w:rsidR="00A4555C" w:rsidRPr="00BD6C5F">
        <w:t>’</w:t>
      </w:r>
      <w:r w:rsidRPr="00BD6C5F">
        <w:t>s liability under this Guarantee shall not be reduced, discharged or otherwise adversely affected by:</w:t>
      </w:r>
    </w:p>
    <w:p w14:paraId="637D442C" w14:textId="77777777" w:rsidR="00BC7DDA" w:rsidRPr="00BD6C5F" w:rsidRDefault="009B03E9" w:rsidP="00AA48C6">
      <w:pPr>
        <w:pStyle w:val="Numbered111"/>
      </w:pPr>
      <w:r w:rsidRPr="00BD6C5F">
        <w:t>any arrangement made between the Supplier and the Authority;</w:t>
      </w:r>
    </w:p>
    <w:p w14:paraId="57AD3110" w14:textId="77777777" w:rsidR="00BC7DDA" w:rsidRPr="00BD6C5F" w:rsidRDefault="009B03E9" w:rsidP="00AA48C6">
      <w:pPr>
        <w:pStyle w:val="Numbered111"/>
      </w:pPr>
      <w:r w:rsidRPr="00BD6C5F">
        <w:t>any partial performance (except to the extent of such partial performance) by the Supplier of the Guaranteed Obligations;</w:t>
      </w:r>
    </w:p>
    <w:p w14:paraId="76631223" w14:textId="1ABB3871" w:rsidR="00BC7DDA" w:rsidRPr="00BD6C5F" w:rsidRDefault="009B03E9" w:rsidP="00AA48C6">
      <w:pPr>
        <w:pStyle w:val="Numbered111"/>
      </w:pPr>
      <w:r w:rsidRPr="00BD6C5F">
        <w:t xml:space="preserve">any alteration in the obligations undertaken by the Supplier whether by way of any variation referred to in </w:t>
      </w:r>
      <w:r w:rsidR="005E736B" w:rsidRPr="00BD6C5F">
        <w:t>Clause </w:t>
      </w:r>
      <w:r w:rsidRPr="00BD6C5F">
        <w:t>4 or otherwise;</w:t>
      </w:r>
    </w:p>
    <w:p w14:paraId="51BBCF23" w14:textId="77777777" w:rsidR="00BC7DDA" w:rsidRPr="00BD6C5F" w:rsidRDefault="009B03E9" w:rsidP="00AA48C6">
      <w:pPr>
        <w:pStyle w:val="Numbered111"/>
      </w:pPr>
      <w:r w:rsidRPr="00BD6C5F">
        <w:t>any waiver or forbearance by the Authority whether as to payment, time, performance or otherwise;</w:t>
      </w:r>
    </w:p>
    <w:p w14:paraId="2D064676" w14:textId="77777777" w:rsidR="00BC7DDA" w:rsidRPr="00BD6C5F" w:rsidRDefault="009B03E9" w:rsidP="00AA48C6">
      <w:pPr>
        <w:pStyle w:val="Numbered111"/>
      </w:pPr>
      <w:r w:rsidRPr="00BD6C5F">
        <w:t>the taking, variation, renewal or release of, the enforcement or neglect to perfect or enforce any right, guarantee, remedy or security from or against the Supplier or any other person;</w:t>
      </w:r>
    </w:p>
    <w:p w14:paraId="64C9E10D" w14:textId="527937D9" w:rsidR="00BC7DDA" w:rsidRPr="00BD6C5F" w:rsidRDefault="009B03E9" w:rsidP="00AA48C6">
      <w:pPr>
        <w:pStyle w:val="Numbered111"/>
      </w:pPr>
      <w:r w:rsidRPr="00BD6C5F">
        <w:t>any unenforceability, illegality or invalidity of any of the provisions of the Guaranteed Agreement or any of the Supplier</w:t>
      </w:r>
      <w:r w:rsidR="00A4555C" w:rsidRPr="00BD6C5F">
        <w:t>’</w:t>
      </w:r>
      <w:r w:rsidRPr="00BD6C5F">
        <w:t>s obligations under the Guaranteed Agreement, so that this Guarantee shall be construed as if there were no such unenforceability, illegality or invalidity;</w:t>
      </w:r>
    </w:p>
    <w:p w14:paraId="2FCB94CD" w14:textId="77777777" w:rsidR="00BC7DDA" w:rsidRPr="00BD6C5F" w:rsidRDefault="009B03E9" w:rsidP="00AA48C6">
      <w:pPr>
        <w:pStyle w:val="Numbered111"/>
      </w:pPr>
      <w:r w:rsidRPr="00BD6C5F">
        <w:t>any dissolution, amalgamation, reconstruction, reorganisation, change in status, function, Control or ownership, insolvency, liquidation, administration, voluntary arrangement, or appointment of a receiver, of the Supplier or any other person.</w:t>
      </w:r>
    </w:p>
    <w:p w14:paraId="30185796" w14:textId="77777777" w:rsidR="00BC7DDA" w:rsidRPr="00BD6C5F" w:rsidRDefault="009B03E9" w:rsidP="0047129D">
      <w:pPr>
        <w:keepNext/>
        <w:keepLines/>
        <w:spacing w:before="100" w:after="200"/>
        <w:ind w:left="720"/>
        <w:rPr>
          <w:b/>
          <w:bCs/>
        </w:rPr>
      </w:pPr>
      <w:r w:rsidRPr="00BD6C5F">
        <w:rPr>
          <w:b/>
          <w:bCs/>
        </w:rPr>
        <w:t>Immediate demand</w:t>
      </w:r>
    </w:p>
    <w:p w14:paraId="30E4EA89" w14:textId="77777777" w:rsidR="00BC7DDA" w:rsidRPr="00BD6C5F" w:rsidRDefault="009B03E9" w:rsidP="00C5057A">
      <w:pPr>
        <w:pStyle w:val="Numbered11"/>
      </w:pPr>
      <w:r w:rsidRPr="00BD6C5F">
        <w:t>The Guarantor waives any right it may have to require the Authority to proceed against, enforce any other right or claim for payment against, or take any other action against, the Supplier or any other person before claiming from the Guarantor under this Guarantee.</w:t>
      </w:r>
    </w:p>
    <w:p w14:paraId="590669D4" w14:textId="77777777" w:rsidR="00BC7DDA" w:rsidRPr="00BD6C5F" w:rsidRDefault="009B03E9" w:rsidP="0047129D">
      <w:pPr>
        <w:keepNext/>
        <w:keepLines/>
        <w:spacing w:before="100" w:after="200"/>
        <w:ind w:left="720"/>
        <w:rPr>
          <w:b/>
          <w:bCs/>
        </w:rPr>
      </w:pPr>
      <w:r w:rsidRPr="00BD6C5F">
        <w:rPr>
          <w:b/>
          <w:bCs/>
        </w:rPr>
        <w:t>Deferral of rights</w:t>
      </w:r>
    </w:p>
    <w:p w14:paraId="6616BE9C" w14:textId="77777777" w:rsidR="00BC7DDA" w:rsidRPr="00BD6C5F" w:rsidRDefault="009B03E9" w:rsidP="00C5057A">
      <w:pPr>
        <w:pStyle w:val="Numbered11"/>
      </w:pPr>
      <w:bookmarkStart w:id="1844" w:name="_bookmark608"/>
      <w:bookmarkEnd w:id="1844"/>
      <w:r w:rsidRPr="00BD6C5F">
        <w:t>Until all amounts which may be or become payable under the Guaranteed Agreement or this Guarantee have been irrevocably paid in full, the Guarantor shall not, as a result of this Guarantee or any payment performance under this Guarantee:</w:t>
      </w:r>
    </w:p>
    <w:p w14:paraId="119B4349" w14:textId="77777777" w:rsidR="00BC7DDA" w:rsidRPr="00BD6C5F" w:rsidRDefault="009B03E9" w:rsidP="00AA48C6">
      <w:pPr>
        <w:pStyle w:val="Numbered111"/>
      </w:pPr>
      <w:r w:rsidRPr="00BD6C5F">
        <w:t>be subrogated to any right or security of the Authority;</w:t>
      </w:r>
    </w:p>
    <w:p w14:paraId="0C710E7B" w14:textId="77777777" w:rsidR="00BC7DDA" w:rsidRPr="00BD6C5F" w:rsidRDefault="009B03E9" w:rsidP="00AA48C6">
      <w:pPr>
        <w:pStyle w:val="Numbered111"/>
      </w:pPr>
      <w:r w:rsidRPr="00BD6C5F">
        <w:t>claim or prove in competition with the Authority against the Supplier or any other person;</w:t>
      </w:r>
    </w:p>
    <w:p w14:paraId="684538AF" w14:textId="77777777" w:rsidR="00BC7DDA" w:rsidRPr="00BD6C5F" w:rsidRDefault="009B03E9" w:rsidP="00AA48C6">
      <w:pPr>
        <w:pStyle w:val="Numbered111"/>
      </w:pPr>
      <w:r w:rsidRPr="00BD6C5F">
        <w:t>demand or accept repayment in whole or in part of any indebtedness due from the Supplier;</w:t>
      </w:r>
    </w:p>
    <w:p w14:paraId="429C6DA9" w14:textId="77777777" w:rsidR="00BC7DDA" w:rsidRPr="00BD6C5F" w:rsidRDefault="009B03E9" w:rsidP="00AA48C6">
      <w:pPr>
        <w:pStyle w:val="Numbered111"/>
      </w:pPr>
      <w:r w:rsidRPr="00BD6C5F">
        <w:t>take the benefit of, share in or enforce any security or other guarantee or indemnity against the Supplier; or</w:t>
      </w:r>
    </w:p>
    <w:p w14:paraId="0627CF4E" w14:textId="77777777" w:rsidR="00BC7DDA" w:rsidRPr="00BD6C5F" w:rsidRDefault="009B03E9" w:rsidP="00AA48C6">
      <w:pPr>
        <w:pStyle w:val="Numbered111"/>
      </w:pPr>
      <w:r w:rsidRPr="00BD6C5F">
        <w:t>claim any right of contribution, set-off or indemnity from the Supplier,</w:t>
      </w:r>
    </w:p>
    <w:p w14:paraId="40488DD2" w14:textId="77777777" w:rsidR="00BC7DDA" w:rsidRPr="00BD6C5F" w:rsidRDefault="009B03E9" w:rsidP="0047129D">
      <w:pPr>
        <w:pStyle w:val="BodyText"/>
        <w:widowControl/>
        <w:spacing w:before="100" w:after="200"/>
        <w:ind w:left="720"/>
        <w:rPr>
          <w:rFonts w:asciiTheme="minorHAnsi" w:hAnsiTheme="minorHAnsi" w:cstheme="minorHAnsi"/>
        </w:rPr>
      </w:pPr>
      <w:r w:rsidRPr="00BD6C5F">
        <w:rPr>
          <w:rFonts w:asciiTheme="minorHAnsi" w:hAnsiTheme="minorHAnsi" w:cstheme="minorHAnsi"/>
        </w:rPr>
        <w:lastRenderedPageBreak/>
        <w:t>without the prior written consent of the Authority (and in such case only in accordance with any written instructions of the Authority).</w:t>
      </w:r>
    </w:p>
    <w:p w14:paraId="447A54BE" w14:textId="01456BAA" w:rsidR="00696658" w:rsidRPr="00BD6C5F" w:rsidRDefault="009B03E9" w:rsidP="00C5057A">
      <w:pPr>
        <w:pStyle w:val="Numbered11"/>
      </w:pPr>
      <w:r w:rsidRPr="00BD6C5F">
        <w:t xml:space="preserve">If the Guarantor receives any payment or other benefit in breach of </w:t>
      </w:r>
      <w:r w:rsidR="005E736B" w:rsidRPr="00BD6C5F">
        <w:t>Clause </w:t>
      </w:r>
      <w:r w:rsidRPr="00BD6C5F">
        <w:t xml:space="preserve">3.4, or as a result of any action taken in accordance with a written instruction of the Authority given pursuant to </w:t>
      </w:r>
      <w:r w:rsidR="005E736B" w:rsidRPr="00BD6C5F">
        <w:t>Clause </w:t>
      </w:r>
      <w:r w:rsidRPr="00BD6C5F">
        <w:t>3.4, such payment of other benefit,</w:t>
      </w:r>
      <w:r w:rsidR="00696658" w:rsidRPr="00BD6C5F">
        <w:t xml:space="preserve"> and any benefit derived directly or indirectly by the Guarantor therefrom, shall be held by the Guarantor on trust for the Authority applied towards the discharge of the Guarantor</w:t>
      </w:r>
      <w:r w:rsidR="00A4555C" w:rsidRPr="00BD6C5F">
        <w:t>’</w:t>
      </w:r>
      <w:r w:rsidR="00696658" w:rsidRPr="00BD6C5F">
        <w:t>s obligations to the Authority under this Guarantee.</w:t>
      </w:r>
    </w:p>
    <w:p w14:paraId="76E02A3A" w14:textId="2466EDBF" w:rsidR="00BC7DDA" w:rsidRPr="00BD6C5F" w:rsidRDefault="00AA48C6" w:rsidP="00C5057A">
      <w:pPr>
        <w:pStyle w:val="Numbered1"/>
      </w:pPr>
      <w:bookmarkStart w:id="1845" w:name="_bookmark609"/>
      <w:bookmarkEnd w:id="1845"/>
      <w:r w:rsidRPr="00BD6C5F">
        <w:t>Variation of the Guaranteed Agreement</w:t>
      </w:r>
    </w:p>
    <w:p w14:paraId="10C0F6CC" w14:textId="77777777" w:rsidR="00BC7DDA" w:rsidRPr="00BD6C5F" w:rsidRDefault="009B03E9" w:rsidP="00C5057A">
      <w:pPr>
        <w:pStyle w:val="Numbered11"/>
      </w:pPr>
      <w:r w:rsidRPr="00BD6C5F">
        <w:t>The Guarantor confirms that it intends that this Guarantee shall extend and apply from time to time to any variation, increase, extension or addition of the Guaranteed Agreement, however, fundamental, and any associated fees, costs and/or expenses.</w:t>
      </w:r>
    </w:p>
    <w:p w14:paraId="55C8B02C" w14:textId="02C0B0F5" w:rsidR="00BC7DDA" w:rsidRPr="00BD6C5F" w:rsidRDefault="00AA48C6" w:rsidP="00C5057A">
      <w:pPr>
        <w:pStyle w:val="Numbered1"/>
      </w:pPr>
      <w:r w:rsidRPr="00BD6C5F">
        <w:t>Payment and Costs</w:t>
      </w:r>
    </w:p>
    <w:p w14:paraId="0F1B6D71" w14:textId="77777777" w:rsidR="00BC7DDA" w:rsidRPr="00BD6C5F" w:rsidRDefault="009B03E9" w:rsidP="00FD4E48">
      <w:pPr>
        <w:pStyle w:val="Numbered11"/>
        <w:keepNext/>
      </w:pPr>
      <w:r w:rsidRPr="00BD6C5F">
        <w:t>All sums payable by the Guarantor under this Guarantee shall be paid in full to the Authority in pounds sterling:</w:t>
      </w:r>
    </w:p>
    <w:p w14:paraId="2A423948" w14:textId="77777777" w:rsidR="00BC7DDA" w:rsidRPr="00BD6C5F" w:rsidRDefault="009B03E9" w:rsidP="00AA48C6">
      <w:pPr>
        <w:pStyle w:val="Numbered111"/>
      </w:pPr>
      <w:r w:rsidRPr="00BD6C5F">
        <w:t>without any set-off, condition or counterclaim whatsoever; and</w:t>
      </w:r>
    </w:p>
    <w:p w14:paraId="499C3F98" w14:textId="77777777" w:rsidR="00BC7DDA" w:rsidRPr="00BD6C5F" w:rsidRDefault="009B03E9" w:rsidP="00AA48C6">
      <w:pPr>
        <w:pStyle w:val="Numbered111"/>
      </w:pPr>
      <w:r w:rsidRPr="00BD6C5F">
        <w:t>free and clear of any deductions or withholdings whatsoever except as may be required by applicable law which is binding on the Guarantor.</w:t>
      </w:r>
    </w:p>
    <w:p w14:paraId="0A408C27" w14:textId="77777777" w:rsidR="00BC7DDA" w:rsidRPr="00BD6C5F" w:rsidRDefault="009B03E9" w:rsidP="00FD4E48">
      <w:pPr>
        <w:pStyle w:val="Numbered11"/>
        <w:keepNext/>
      </w:pPr>
      <w:r w:rsidRPr="00BD6C5F">
        <w:t>If any deduction or withholding is required by any applicable law to be made by the Guarantor:</w:t>
      </w:r>
    </w:p>
    <w:p w14:paraId="694D7727" w14:textId="77777777" w:rsidR="00BC7DDA" w:rsidRPr="00BD6C5F" w:rsidRDefault="009B03E9" w:rsidP="00AA48C6">
      <w:pPr>
        <w:pStyle w:val="Numbered111"/>
      </w:pPr>
      <w:r w:rsidRPr="00BD6C5F">
        <w:t>the amount of the payment due from the Guarantor shall be increased to an amount which (after making any deduction or withholding) leaves an amount equal to the payment which would have been due if no deduction or withholding had been required; and</w:t>
      </w:r>
    </w:p>
    <w:p w14:paraId="5BE0FBD7" w14:textId="77777777" w:rsidR="00BC7DDA" w:rsidRPr="00BD6C5F" w:rsidRDefault="009B03E9" w:rsidP="00AA48C6">
      <w:pPr>
        <w:pStyle w:val="Numbered111"/>
      </w:pPr>
      <w:r w:rsidRPr="00BD6C5F">
        <w:t>the Guarantor shall promptly deliver to the Authority all receipts issued to it evidencing each deduction or withholding which it has made.</w:t>
      </w:r>
    </w:p>
    <w:p w14:paraId="612A5DCA" w14:textId="77777777" w:rsidR="00BC7DDA" w:rsidRPr="00BD6C5F" w:rsidRDefault="009B03E9" w:rsidP="00C5057A">
      <w:pPr>
        <w:pStyle w:val="Numbered11"/>
      </w:pPr>
      <w:r w:rsidRPr="00BD6C5F">
        <w:t>The Guarantor shall not and may not direct the application by the Authority of any sums received by the Authority from the Guarantor under any of the terms in this Guarantee.</w:t>
      </w:r>
    </w:p>
    <w:p w14:paraId="315D03CC" w14:textId="77777777" w:rsidR="00BC7DDA" w:rsidRPr="00BD6C5F" w:rsidRDefault="009B03E9" w:rsidP="00C5057A">
      <w:pPr>
        <w:pStyle w:val="Numbered11"/>
      </w:pPr>
      <w:r w:rsidRPr="00BD6C5F">
        <w:t>The Guarantor shall pay interest on any amount due under this Guarantee at the applicable rate under the Late Payment of Commercial Debts (Interest) Act 1998, accruing on a daily basis from the due date up to the date of actual payment, whether before or after judgment.</w:t>
      </w:r>
    </w:p>
    <w:p w14:paraId="586774C9" w14:textId="77777777" w:rsidR="00BC7DDA" w:rsidRPr="00BD6C5F" w:rsidRDefault="009B03E9" w:rsidP="00FD4E48">
      <w:pPr>
        <w:pStyle w:val="Numbered11"/>
        <w:keepNext/>
      </w:pPr>
      <w:r w:rsidRPr="00BD6C5F">
        <w:t>The Guarantor shall, on a full indemnity basis, pay to the Authority on demand the amount of all costs and expenses (including legal and out-of-pocket expenses and any VAT on those costs and expenses) which the Authority incurs in connection with:</w:t>
      </w:r>
    </w:p>
    <w:p w14:paraId="13F82E65" w14:textId="77777777" w:rsidR="00BC7DDA" w:rsidRPr="00BD6C5F" w:rsidRDefault="009B03E9" w:rsidP="00AA48C6">
      <w:pPr>
        <w:pStyle w:val="Numbered111"/>
      </w:pPr>
      <w:r w:rsidRPr="00BD6C5F">
        <w:t>the preservation, or exercise and enforcement, of any rights under or in connection with this Guarantee or any attempt to do so; and</w:t>
      </w:r>
    </w:p>
    <w:p w14:paraId="33189755" w14:textId="77777777" w:rsidR="00BC7DDA" w:rsidRPr="00BD6C5F" w:rsidRDefault="009B03E9" w:rsidP="00AA48C6">
      <w:pPr>
        <w:pStyle w:val="Numbered111"/>
      </w:pPr>
      <w:r w:rsidRPr="00BD6C5F">
        <w:t>any discharge or release of this Guarantee.</w:t>
      </w:r>
    </w:p>
    <w:p w14:paraId="2DA6FB59" w14:textId="3A6A3732" w:rsidR="00BC7DDA" w:rsidRPr="00BD6C5F" w:rsidRDefault="00AA48C6" w:rsidP="00C5057A">
      <w:pPr>
        <w:pStyle w:val="Numbered1"/>
      </w:pPr>
      <w:r w:rsidRPr="00BD6C5F">
        <w:lastRenderedPageBreak/>
        <w:t>Conditional Discharge</w:t>
      </w:r>
    </w:p>
    <w:p w14:paraId="7A053EA6" w14:textId="77777777" w:rsidR="00BC7DDA" w:rsidRPr="00BD6C5F" w:rsidRDefault="009B03E9" w:rsidP="00C5057A">
      <w:pPr>
        <w:pStyle w:val="Numbered11"/>
      </w:pPr>
      <w:bookmarkStart w:id="1846" w:name="_bookmark610"/>
      <w:bookmarkEnd w:id="1846"/>
      <w:r w:rsidRPr="00BD6C5F">
        <w:t>Any release, discharge or settlement between the Guarantor and the Authority in relation to this Guarantee shall be conditional on no right, security, disposition or payment to the Authority by the Guarantor, the Supplier or any other person being avoided, set aside or ordered to be refunded pursuant to any enactment or law relating to breach of duty by any person, bankruptcy, liquidation, administration, protection from creditors generally or insolvency for any other reason.</w:t>
      </w:r>
    </w:p>
    <w:p w14:paraId="364164C9" w14:textId="038996F9" w:rsidR="00BC7DDA" w:rsidRPr="00BD6C5F" w:rsidRDefault="009B03E9" w:rsidP="00C5057A">
      <w:pPr>
        <w:pStyle w:val="Numbered11"/>
      </w:pPr>
      <w:r w:rsidRPr="00BD6C5F">
        <w:t xml:space="preserve">If any such right, security, disposition or payment as referred to in </w:t>
      </w:r>
      <w:r w:rsidR="005E736B" w:rsidRPr="00BD6C5F">
        <w:t>Clause </w:t>
      </w:r>
      <w:r w:rsidRPr="00BD6C5F">
        <w:t>6.1 is avoided, set aside or ordered to be refunded, the Authority shall be entitled subsequently to enforce this Guarantee against the Guarantor as if such release, discharge or settlement had not occurred and any such security, disposition or payment has not been made.</w:t>
      </w:r>
    </w:p>
    <w:p w14:paraId="05C43DE0" w14:textId="0FBFC229" w:rsidR="00BC7DDA" w:rsidRPr="00BD6C5F" w:rsidRDefault="00AA48C6" w:rsidP="00C5057A">
      <w:pPr>
        <w:pStyle w:val="Numbered1"/>
      </w:pPr>
      <w:r w:rsidRPr="00BD6C5F">
        <w:t>Representations and Warranties</w:t>
      </w:r>
    </w:p>
    <w:p w14:paraId="54867F75" w14:textId="77777777" w:rsidR="00BC7DDA" w:rsidRPr="00BD6C5F" w:rsidRDefault="009B03E9" w:rsidP="00FD4E48">
      <w:pPr>
        <w:pStyle w:val="Numbered11"/>
        <w:keepNext/>
      </w:pPr>
      <w:r w:rsidRPr="00BD6C5F">
        <w:t>The Guarantor represents and warrants to the Authority that:</w:t>
      </w:r>
    </w:p>
    <w:p w14:paraId="46D4977A" w14:textId="793B4306" w:rsidR="00BC7DDA" w:rsidRPr="00BD6C5F" w:rsidRDefault="009B03E9" w:rsidP="00AA48C6">
      <w:pPr>
        <w:pStyle w:val="Numbered111"/>
      </w:pPr>
      <w:r w:rsidRPr="00BD6C5F">
        <w:t>it is duly incorporated with limited liability and is a validly existing company under the laws of its place of incorporation, has the capacity to sue or be sued in its own name, and has power to carry on its business as now being conducted and to own its property and other assets;</w:t>
      </w:r>
    </w:p>
    <w:p w14:paraId="64C3F358" w14:textId="77777777" w:rsidR="00BC7DDA" w:rsidRPr="00BD6C5F" w:rsidRDefault="009B03E9" w:rsidP="00AA48C6">
      <w:pPr>
        <w:pStyle w:val="Numbered111"/>
      </w:pPr>
      <w:r w:rsidRPr="00BD6C5F">
        <w:t>it has full power under its constitution or equivalent constitutional documents in the jurisdiction in which it is established to enter into this Guarantee;</w:t>
      </w:r>
    </w:p>
    <w:p w14:paraId="4C5B5082" w14:textId="77777777" w:rsidR="00BC7DDA" w:rsidRPr="00BD6C5F" w:rsidRDefault="009B03E9" w:rsidP="00AA48C6">
      <w:pPr>
        <w:pStyle w:val="Numbered111"/>
      </w:pPr>
      <w:r w:rsidRPr="00BD6C5F">
        <w:t>it has full power to perform the obligations expressed to be assumed by it or contemplated by this Guarantee;</w:t>
      </w:r>
    </w:p>
    <w:p w14:paraId="662C6763" w14:textId="77777777" w:rsidR="00BC7DDA" w:rsidRPr="00BD6C5F" w:rsidRDefault="009B03E9" w:rsidP="00AA48C6">
      <w:pPr>
        <w:pStyle w:val="Numbered111"/>
      </w:pPr>
      <w:r w:rsidRPr="00BD6C5F">
        <w:t>it has been duly authorised to enter into this Guarantee;</w:t>
      </w:r>
    </w:p>
    <w:p w14:paraId="50872AD6" w14:textId="77777777" w:rsidR="00BC7DDA" w:rsidRPr="00BD6C5F" w:rsidRDefault="009B03E9" w:rsidP="00AA48C6">
      <w:pPr>
        <w:pStyle w:val="Numbered111"/>
      </w:pPr>
      <w:r w:rsidRPr="00BD6C5F">
        <w:t>it has taken all necessary corporate action to authorise the execution, delivery and performance of this Guarantee;</w:t>
      </w:r>
    </w:p>
    <w:p w14:paraId="6C8346D4" w14:textId="77777777" w:rsidR="00BC7DDA" w:rsidRPr="00BD6C5F" w:rsidRDefault="009B03E9" w:rsidP="00AA48C6">
      <w:pPr>
        <w:pStyle w:val="Numbered111"/>
      </w:pPr>
      <w:r w:rsidRPr="00BD6C5F">
        <w:t>this Guarantee when executed and delivered will constitute a legally binding obligation on it enforceable in accordance with its terms;</w:t>
      </w:r>
    </w:p>
    <w:p w14:paraId="03413339" w14:textId="77777777" w:rsidR="00BC7DDA" w:rsidRPr="00BD6C5F" w:rsidRDefault="009B03E9" w:rsidP="00AA48C6">
      <w:pPr>
        <w:pStyle w:val="Numbered111"/>
      </w:pPr>
      <w:r w:rsidRPr="00BD6C5F">
        <w:t>all necessary consents and authorisations for the giving and implementation of this Guarantee have been obtained;</w:t>
      </w:r>
    </w:p>
    <w:p w14:paraId="7756BD16" w14:textId="7586B567" w:rsidR="00BC7DDA" w:rsidRPr="00BD6C5F" w:rsidRDefault="009B03E9" w:rsidP="00AA48C6">
      <w:pPr>
        <w:pStyle w:val="Numbered111"/>
      </w:pPr>
      <w:r w:rsidRPr="00BD6C5F">
        <w:t>that its entry into and performance of its obligations under this Guarantee will not constitute any breach of or default under any contractual, government or public obligation binding on it; and</w:t>
      </w:r>
    </w:p>
    <w:p w14:paraId="1A54E534" w14:textId="77777777" w:rsidR="00A56083" w:rsidRPr="00BD6C5F" w:rsidRDefault="00A56083" w:rsidP="00AA48C6">
      <w:pPr>
        <w:pStyle w:val="Numbered111"/>
      </w:pPr>
      <w:r w:rsidRPr="00BD6C5F">
        <w:t>that it is not engaged in any litigation or arbitration proceedings that might affect its capacity or ability to perform its obligations under this Guarantee and to the best of its knowledge no such legal or arbitration proceedings have been threatened or are pending against it.</w:t>
      </w:r>
    </w:p>
    <w:p w14:paraId="4DEC4FC9" w14:textId="69D5DB04" w:rsidR="00BC7DDA" w:rsidRPr="00BD6C5F" w:rsidRDefault="00AA48C6" w:rsidP="00C5057A">
      <w:pPr>
        <w:pStyle w:val="Numbered1"/>
      </w:pPr>
      <w:r w:rsidRPr="00BD6C5F">
        <w:t>Assignation</w:t>
      </w:r>
    </w:p>
    <w:p w14:paraId="7DBDBD8A" w14:textId="4CDFABFB" w:rsidR="00BC7DDA" w:rsidRPr="00BD6C5F" w:rsidRDefault="009B03E9" w:rsidP="00C5057A">
      <w:pPr>
        <w:pStyle w:val="Numbered11"/>
      </w:pPr>
      <w:r w:rsidRPr="00BD6C5F">
        <w:t xml:space="preserve">The Authority shall be entitled by notice in writing to the Guarantor to </w:t>
      </w:r>
      <w:r w:rsidR="007B217F">
        <w:t xml:space="preserve">carry out an </w:t>
      </w:r>
      <w:r w:rsidRPr="00BD6C5F">
        <w:t>assign</w:t>
      </w:r>
      <w:r w:rsidR="007B217F">
        <w:t>ation</w:t>
      </w:r>
      <w:r w:rsidRPr="00BD6C5F">
        <w:t xml:space="preserve"> the benefit of this Guarantee at any time to any person without the consent of the Guarantor being required and any such assignation shall not release the Guarantor </w:t>
      </w:r>
      <w:r w:rsidRPr="00BD6C5F">
        <w:lastRenderedPageBreak/>
        <w:t>from liability under this Guarantee.</w:t>
      </w:r>
    </w:p>
    <w:p w14:paraId="731D4A12" w14:textId="51F1540D" w:rsidR="00BC7DDA" w:rsidRPr="00BD6C5F" w:rsidRDefault="009B03E9" w:rsidP="00C5057A">
      <w:pPr>
        <w:pStyle w:val="Numbered11"/>
      </w:pPr>
      <w:r w:rsidRPr="00BD6C5F">
        <w:t>The Guarantor may not</w:t>
      </w:r>
      <w:r w:rsidR="007B217F">
        <w:t xml:space="preserve"> carry out an</w:t>
      </w:r>
      <w:r w:rsidRPr="00BD6C5F">
        <w:t xml:space="preserve"> assign</w:t>
      </w:r>
      <w:r w:rsidR="007B217F">
        <w:t>ation</w:t>
      </w:r>
      <w:r w:rsidRPr="00BD6C5F">
        <w:t xml:space="preserve"> or transfer any of its rights and/or obligations under this Guarantee without the prior written consent of the Authority.</w:t>
      </w:r>
    </w:p>
    <w:p w14:paraId="45AF86F4" w14:textId="6E17124A" w:rsidR="00BC7DDA" w:rsidRPr="00BD6C5F" w:rsidRDefault="00AA48C6" w:rsidP="00C5057A">
      <w:pPr>
        <w:pStyle w:val="Numbered1"/>
      </w:pPr>
      <w:r w:rsidRPr="00BD6C5F">
        <w:t>Variation</w:t>
      </w:r>
    </w:p>
    <w:p w14:paraId="79D92690" w14:textId="77777777" w:rsidR="00BC7DDA" w:rsidRPr="00BD6C5F" w:rsidRDefault="009B03E9" w:rsidP="00C5057A">
      <w:pPr>
        <w:pStyle w:val="Numbered11"/>
      </w:pPr>
      <w:r w:rsidRPr="00BD6C5F">
        <w:t>No variation of this Guarantee shall be effective unless it is in writing and signed by the parties.</w:t>
      </w:r>
    </w:p>
    <w:p w14:paraId="1AA9600B" w14:textId="69678404" w:rsidR="00BC7DDA" w:rsidRPr="00BD6C5F" w:rsidRDefault="00AA48C6" w:rsidP="00C5057A">
      <w:pPr>
        <w:pStyle w:val="Numbered1"/>
      </w:pPr>
      <w:r w:rsidRPr="00BD6C5F">
        <w:t xml:space="preserve">Demands </w:t>
      </w:r>
      <w:r w:rsidR="00730F71">
        <w:t>a</w:t>
      </w:r>
      <w:r w:rsidRPr="00BD6C5F">
        <w:t>nd Notices</w:t>
      </w:r>
    </w:p>
    <w:p w14:paraId="6ED6580A" w14:textId="77777777" w:rsidR="00BC7DDA" w:rsidRPr="00BD6C5F" w:rsidRDefault="009B03E9" w:rsidP="00FD4E48">
      <w:pPr>
        <w:pStyle w:val="Numbered11"/>
        <w:keepNext/>
      </w:pPr>
      <w:r w:rsidRPr="00BD6C5F">
        <w:t>Any demand or notice served by the Authority on the Guarantor under this Guarantee shall be in writing, addressed to:</w:t>
      </w:r>
    </w:p>
    <w:p w14:paraId="2FFC73DE" w14:textId="0E49D28C" w:rsidR="00BC7DDA" w:rsidRPr="00BD6C5F" w:rsidRDefault="009B03E9" w:rsidP="00AA48C6">
      <w:pPr>
        <w:pStyle w:val="Numbered111"/>
      </w:pPr>
      <w:r w:rsidRPr="00BD6C5F">
        <w:t xml:space="preserve">For the Attention of </w:t>
      </w:r>
      <w:r w:rsidRPr="00BD6C5F">
        <w:rPr>
          <w:shd w:val="clear" w:color="auto" w:fill="FFFF00"/>
        </w:rPr>
        <w:t>[</w:t>
      </w:r>
      <w:r w:rsidRPr="00A21F25">
        <w:rPr>
          <w:b/>
          <w:bCs/>
          <w:shd w:val="clear" w:color="auto" w:fill="FFFF00"/>
        </w:rPr>
        <w:t>insert</w:t>
      </w:r>
      <w:r w:rsidRPr="002D3DCF">
        <w:rPr>
          <w:shd w:val="clear" w:color="auto" w:fill="FFFF00"/>
        </w:rPr>
        <w:t xml:space="preserve"> details]</w:t>
      </w:r>
    </w:p>
    <w:p w14:paraId="411EFB2F" w14:textId="0361C584" w:rsidR="00EB6119" w:rsidRPr="00BD6C5F" w:rsidRDefault="00EB6119" w:rsidP="00AA48C6">
      <w:pPr>
        <w:pStyle w:val="Numbered111"/>
      </w:pPr>
      <w:r w:rsidRPr="00BD6C5F">
        <w:rPr>
          <w:highlight w:val="yellow"/>
        </w:rPr>
        <w:t>[Address of the Guarantor in Scotland</w:t>
      </w:r>
      <w:r w:rsidR="00274508" w:rsidRPr="00BD6C5F">
        <w:rPr>
          <w:highlight w:val="yellow"/>
        </w:rPr>
        <w:t>]</w:t>
      </w:r>
    </w:p>
    <w:p w14:paraId="7EDCFBD0" w14:textId="77777777" w:rsidR="00BC7DDA" w:rsidRPr="00BD6C5F" w:rsidRDefault="009B03E9" w:rsidP="00C5057A">
      <w:pPr>
        <w:pStyle w:val="Numbered11"/>
      </w:pPr>
      <w:r w:rsidRPr="00BD6C5F">
        <w:t>or such other address in Scotland as the Guarantor has from time to time notified to the Authority in writing in accordance with the terms of this Guarantee as being an address or facsimile number for the receipt of such demands or notices.</w:t>
      </w:r>
    </w:p>
    <w:p w14:paraId="7EB55F42" w14:textId="77777777" w:rsidR="00BC7DDA" w:rsidRPr="00BD6C5F" w:rsidRDefault="009B03E9" w:rsidP="00FD4E48">
      <w:pPr>
        <w:pStyle w:val="Numbered11"/>
        <w:keepNext/>
      </w:pPr>
      <w:r w:rsidRPr="00BD6C5F">
        <w:t>Any notice or demand served on the Guarantor or the Authority under this Guarantee shall be deemed to have been served:</w:t>
      </w:r>
    </w:p>
    <w:p w14:paraId="0F145B32" w14:textId="77777777" w:rsidR="00BC7DDA" w:rsidRPr="00BD6C5F" w:rsidRDefault="009B03E9" w:rsidP="00AA48C6">
      <w:pPr>
        <w:pStyle w:val="Numbered111"/>
      </w:pPr>
      <w:r w:rsidRPr="00BD6C5F">
        <w:t>if delivered by hand, at the time of delivery; or</w:t>
      </w:r>
    </w:p>
    <w:p w14:paraId="1AFB3627" w14:textId="77777777" w:rsidR="00BC7DDA" w:rsidRPr="00BD6C5F" w:rsidRDefault="009B03E9" w:rsidP="00AA48C6">
      <w:pPr>
        <w:pStyle w:val="Numbered111"/>
      </w:pPr>
      <w:r w:rsidRPr="00BD6C5F">
        <w:t>if posted, at 10.00 a.m. on the second Business Day after it was put into the post.</w:t>
      </w:r>
    </w:p>
    <w:p w14:paraId="3259375B" w14:textId="77777777" w:rsidR="00BC7DDA" w:rsidRPr="00BD6C5F" w:rsidRDefault="009B03E9" w:rsidP="00C5057A">
      <w:pPr>
        <w:pStyle w:val="Numbered11"/>
      </w:pPr>
      <w:r w:rsidRPr="00BD6C5F">
        <w:t>In proving service of a notice or demand on the Guarantor it shall be sufficient to prove that delivery was made, or that the envelope containing the notice or demand was properly addressed and posted as a prepaid first class recorded delivery letter.</w:t>
      </w:r>
    </w:p>
    <w:p w14:paraId="23AD78F3" w14:textId="77777777" w:rsidR="00BC7DDA" w:rsidRPr="00BD6C5F" w:rsidRDefault="009B03E9" w:rsidP="00C5057A">
      <w:pPr>
        <w:pStyle w:val="Numbered11"/>
      </w:pPr>
      <w:r w:rsidRPr="00BD6C5F">
        <w:t>Any notice purported to be served on the Authority under this Guarantee shall only be valid when received in writing by the Authority.</w:t>
      </w:r>
    </w:p>
    <w:p w14:paraId="5105C26A" w14:textId="7CA67CAA" w:rsidR="00BC7DDA" w:rsidRPr="00BD6C5F" w:rsidRDefault="00AA48C6" w:rsidP="00C5057A">
      <w:pPr>
        <w:pStyle w:val="Numbered1"/>
      </w:pPr>
      <w:r w:rsidRPr="00BD6C5F">
        <w:t>Entire Agreement</w:t>
      </w:r>
    </w:p>
    <w:p w14:paraId="650048ED" w14:textId="77777777" w:rsidR="00BC7DDA" w:rsidRPr="00BD6C5F" w:rsidRDefault="009B03E9" w:rsidP="00C5057A">
      <w:pPr>
        <w:pStyle w:val="Numbered11"/>
      </w:pPr>
      <w:r w:rsidRPr="00BD6C5F">
        <w:t>This Guarantee constitutes the entire agreement between the parties and supersedes and extinguishes all previous agreements, promises, assurances, warranties, representations and understandings between them, whether written or oral, relating to its subject matter.</w:t>
      </w:r>
    </w:p>
    <w:p w14:paraId="22EC85A0" w14:textId="7E0870EC" w:rsidR="00BC7DDA" w:rsidRPr="00BD6C5F" w:rsidRDefault="009B03E9" w:rsidP="00C5057A">
      <w:pPr>
        <w:pStyle w:val="Numbered11"/>
      </w:pPr>
      <w:r w:rsidRPr="00BD6C5F">
        <w:t>The Guarantor acknowledges that it has not entered into this Guarantee in reliance upon, nor has it been induced to enter into this Guarantee by, any representation, warranty or undertaking made by or on behalf of the Authority</w:t>
      </w:r>
      <w:r w:rsidR="00DB2677" w:rsidRPr="00BD6C5F">
        <w:t xml:space="preserve"> </w:t>
      </w:r>
      <w:r w:rsidRPr="00BD6C5F">
        <w:t>(whether express or implied and whether pursuant to statute or otherwise) which is not set out in this Guarantee.</w:t>
      </w:r>
    </w:p>
    <w:p w14:paraId="66CF1FDE" w14:textId="653CD967" w:rsidR="00BC7DDA" w:rsidRPr="00BD6C5F" w:rsidRDefault="00AA48C6" w:rsidP="00C5057A">
      <w:pPr>
        <w:pStyle w:val="Numbered1"/>
      </w:pPr>
      <w:r w:rsidRPr="00BD6C5F">
        <w:t>Waiver</w:t>
      </w:r>
    </w:p>
    <w:p w14:paraId="33067233" w14:textId="1A15135A" w:rsidR="00BC7DDA" w:rsidRPr="00BD6C5F" w:rsidRDefault="009B03E9" w:rsidP="00C5057A">
      <w:pPr>
        <w:pStyle w:val="Numbered11"/>
      </w:pPr>
      <w:r w:rsidRPr="00BD6C5F">
        <w:t xml:space="preserve">No failure or delay by the Authority to exercise any right or remedy provided under this Guarantee or by law shall constitute a waiver of that or any other right or remedy, nor shall it prevent or restrict the further exercise of that or any other right or remedy. No </w:t>
      </w:r>
      <w:r w:rsidRPr="00BD6C5F">
        <w:lastRenderedPageBreak/>
        <w:t>single or partial exercise of such right or remedy shall prevent or restrict the further exercise of that or any other right or remedy.</w:t>
      </w:r>
    </w:p>
    <w:p w14:paraId="1957CD3F" w14:textId="77777777" w:rsidR="00BC7DDA" w:rsidRPr="00BD6C5F" w:rsidRDefault="009B03E9" w:rsidP="00C5057A">
      <w:pPr>
        <w:pStyle w:val="Numbered11"/>
      </w:pPr>
      <w:r w:rsidRPr="00BD6C5F">
        <w:t>Any waiver by the Authority of any terms of this Guarantee, or of any Guaranteed Obligations, shall only be effective if given in writing and then only for the purpose and upon the terms and conditions, if any, on which it is given.</w:t>
      </w:r>
    </w:p>
    <w:p w14:paraId="58699EA3" w14:textId="1B98D028" w:rsidR="00BC7DDA" w:rsidRPr="00BD6C5F" w:rsidRDefault="00AA48C6" w:rsidP="00C5057A">
      <w:pPr>
        <w:pStyle w:val="Numbered1"/>
      </w:pPr>
      <w:r w:rsidRPr="00BD6C5F">
        <w:t>Severance</w:t>
      </w:r>
    </w:p>
    <w:p w14:paraId="66F7A842" w14:textId="77777777" w:rsidR="00BC7DDA" w:rsidRPr="00BD6C5F" w:rsidRDefault="009B03E9" w:rsidP="00C5057A">
      <w:pPr>
        <w:pStyle w:val="Numbered11"/>
      </w:pPr>
      <w:r w:rsidRPr="00BD6C5F">
        <w:t>If any provision or part-provision of this Guarantee is or becomes invalid, illegal or unenforceable for any reason, such provision or part-provision shall be deemed deleted, but that shall not affect the validity and enforceability of the rest of this Guarantee.</w:t>
      </w:r>
    </w:p>
    <w:p w14:paraId="45FECC09" w14:textId="13FEB7B2" w:rsidR="00BC7DDA" w:rsidRPr="00BD6C5F" w:rsidRDefault="00AA48C6" w:rsidP="00C5057A">
      <w:pPr>
        <w:pStyle w:val="Numbered1"/>
      </w:pPr>
      <w:r w:rsidRPr="00BD6C5F">
        <w:t>Third Party Rights</w:t>
      </w:r>
    </w:p>
    <w:p w14:paraId="5AE649DD" w14:textId="77777777" w:rsidR="00BC7DDA" w:rsidRPr="00BD6C5F" w:rsidRDefault="009B03E9" w:rsidP="00C5057A">
      <w:pPr>
        <w:pStyle w:val="Numbered11"/>
      </w:pPr>
      <w:r w:rsidRPr="00BD6C5F">
        <w:t>A person who is not a Party to this Guarantee shall have no right under the Contract (Third Party Rights) Act 2017 (as amended, updated or replaced from time to time) to enforce any of its terms but this does not affect any third party right which exists or is available independently of that Act.</w:t>
      </w:r>
    </w:p>
    <w:p w14:paraId="4FAC7FE5" w14:textId="7884F5A2" w:rsidR="00BC7DDA" w:rsidRPr="00BD6C5F" w:rsidRDefault="00AA48C6" w:rsidP="00C5057A">
      <w:pPr>
        <w:pStyle w:val="Numbered1"/>
      </w:pPr>
      <w:bookmarkStart w:id="1847" w:name="_bookmark611"/>
      <w:bookmarkEnd w:id="1847"/>
      <w:r w:rsidRPr="00BD6C5F">
        <w:t>Governing Law And Jurisdiction</w:t>
      </w:r>
    </w:p>
    <w:p w14:paraId="27B36183" w14:textId="77777777" w:rsidR="00BC7DDA" w:rsidRPr="00BD6C5F" w:rsidRDefault="009B03E9" w:rsidP="00C5057A">
      <w:pPr>
        <w:pStyle w:val="Numbered11"/>
      </w:pPr>
      <w:r w:rsidRPr="00BD6C5F">
        <w:t>This Guarantee and any issues, disputes or claims (whether contractual or non-contractual) arising out of or in connection with it or its subject matter or formation shall be governed by and construed in accordance with the laws of Scotland.</w:t>
      </w:r>
    </w:p>
    <w:p w14:paraId="27B0B8F5" w14:textId="77777777" w:rsidR="00BC7DDA" w:rsidRPr="00BD6C5F" w:rsidRDefault="009B03E9" w:rsidP="00C5057A">
      <w:pPr>
        <w:pStyle w:val="Numbered11"/>
      </w:pPr>
      <w:bookmarkStart w:id="1848" w:name="_bookmark612"/>
      <w:bookmarkEnd w:id="1848"/>
      <w:r w:rsidRPr="00BD6C5F">
        <w:t>The Guarantor irrevocably agrees for the benefit of the Authority that the Court of Session shall have jurisdiction to settle any dispute or claim (whether contractual or non-contractual) that arises out of or in connection with this Guarantee or its subject matter or formation.</w:t>
      </w:r>
    </w:p>
    <w:p w14:paraId="41B444BA" w14:textId="2B95B663" w:rsidR="00BC7DDA" w:rsidRPr="00BD6C5F" w:rsidRDefault="009B03E9" w:rsidP="00C5057A">
      <w:pPr>
        <w:pStyle w:val="Numbered11"/>
      </w:pPr>
      <w:r w:rsidRPr="00BD6C5F">
        <w:t xml:space="preserve">Nothing contained in </w:t>
      </w:r>
      <w:r w:rsidR="005E736B" w:rsidRPr="00BD6C5F">
        <w:t>Clause </w:t>
      </w:r>
      <w:r w:rsidRPr="00BD6C5F">
        <w:t>15.2 shall limit the rights of the Authority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BBD767A" w14:textId="1A210962" w:rsidR="00BC7DDA" w:rsidRPr="00BD6C5F" w:rsidRDefault="009B03E9" w:rsidP="00C5057A">
      <w:pPr>
        <w:pStyle w:val="Numbered11"/>
      </w:pPr>
      <w:r w:rsidRPr="00BD6C5F">
        <w:t xml:space="preserve">The Guarantor irrevocably waives any objection which it may have now or in the future to the Court of Session being nominated for the purpose of this </w:t>
      </w:r>
      <w:r w:rsidR="005E736B" w:rsidRPr="00BD6C5F">
        <w:t>Clause </w:t>
      </w:r>
      <w:r w:rsidRPr="00BD6C5F">
        <w:t>on the ground of venue or otherwise and agrees not to claim that any such court is not a convenient or appropriate forum.</w:t>
      </w:r>
    </w:p>
    <w:p w14:paraId="64F50615" w14:textId="3816807A" w:rsidR="00BC7DDA" w:rsidRPr="00BD6C5F" w:rsidRDefault="009B03E9" w:rsidP="00C5057A">
      <w:pPr>
        <w:pStyle w:val="Numbered11"/>
      </w:pPr>
      <w:r w:rsidRPr="00BD6C5F">
        <w:rPr>
          <w:shd w:val="clear" w:color="auto" w:fill="FFFF00"/>
        </w:rPr>
        <w:t>[The Guarantor irrevocably appoints [</w:t>
      </w:r>
      <w:r w:rsidRPr="00A21F25">
        <w:rPr>
          <w:b/>
          <w:bCs/>
          <w:shd w:val="clear" w:color="auto" w:fill="FFFF00"/>
        </w:rPr>
        <w:t>Insert</w:t>
      </w:r>
      <w:r w:rsidRPr="00BD6C5F">
        <w:rPr>
          <w:shd w:val="clear" w:color="auto" w:fill="FFFF00"/>
        </w:rPr>
        <w:t xml:space="preserve"> name of agent] of [</w:t>
      </w:r>
      <w:r w:rsidRPr="00A21F25">
        <w:rPr>
          <w:b/>
          <w:bCs/>
          <w:shd w:val="clear" w:color="auto" w:fill="FFFF00"/>
        </w:rPr>
        <w:t>Insert</w:t>
      </w:r>
      <w:r w:rsidRPr="00BD6C5F">
        <w:rPr>
          <w:shd w:val="clear" w:color="auto" w:fill="FFFF00"/>
        </w:rPr>
        <w:t xml:space="preserve"> address of agent] as its agent to receive on its behalf in Scotland service of any proceedings under this </w:t>
      </w:r>
      <w:r w:rsidR="005E736B" w:rsidRPr="00BD6C5F">
        <w:rPr>
          <w:shd w:val="clear" w:color="auto" w:fill="FFFF00"/>
        </w:rPr>
        <w:t>Clause </w:t>
      </w:r>
      <w:r w:rsidRPr="00BD6C5F">
        <w:rPr>
          <w:shd w:val="clear" w:color="auto" w:fill="FFFF00"/>
        </w:rPr>
        <w:t>15. Such service shall be deemed completed on delivery to such agent (whether or not it is forwarded to and received by the Guarantor) and shall be valid until such time as the Authority has received prior written notice that such agent has ceased to act as agent. If for any reason such agent ceases to be able to act as agent or no longer has an address in Scotland, the Guarantor shall appoint a substitute acceptable to the Authority and deliver to the Authority the new agent</w:t>
      </w:r>
      <w:r w:rsidR="00A4555C" w:rsidRPr="00BD6C5F">
        <w:rPr>
          <w:shd w:val="clear" w:color="auto" w:fill="FFFF00"/>
        </w:rPr>
        <w:t>’</w:t>
      </w:r>
      <w:r w:rsidRPr="00BD6C5F">
        <w:rPr>
          <w:shd w:val="clear" w:color="auto" w:fill="FFFF00"/>
        </w:rPr>
        <w:t>s name and address within Scotland.]</w:t>
      </w:r>
    </w:p>
    <w:p w14:paraId="78AB6BCF" w14:textId="77777777" w:rsidR="00BC7DDA" w:rsidRPr="00BD6C5F" w:rsidRDefault="00BC7DDA" w:rsidP="0047129D"/>
    <w:p w14:paraId="6353CEAC" w14:textId="77777777" w:rsidR="00BC7DDA" w:rsidRPr="00BD6C5F" w:rsidRDefault="009B03E9" w:rsidP="0047129D">
      <w:pPr>
        <w:keepNext/>
        <w:keepLines/>
        <w:pageBreakBefore/>
        <w:spacing w:before="100" w:after="200"/>
        <w:rPr>
          <w:b/>
          <w:bCs/>
        </w:rPr>
      </w:pPr>
      <w:r w:rsidRPr="00BD6C5F">
        <w:rPr>
          <w:b/>
          <w:bCs/>
        </w:rPr>
        <w:lastRenderedPageBreak/>
        <w:t xml:space="preserve">IN WITNESS WHEREOF these presents consisting of this page and the </w:t>
      </w:r>
      <w:r w:rsidRPr="00BD6C5F">
        <w:rPr>
          <w:b/>
          <w:bCs/>
          <w:highlight w:val="yellow"/>
        </w:rPr>
        <w:t>[ ]</w:t>
      </w:r>
      <w:r w:rsidRPr="00BD6C5F">
        <w:rPr>
          <w:b/>
          <w:bCs/>
        </w:rPr>
        <w:t xml:space="preserve"> preceding pages are executed in duplicate as follows:</w:t>
      </w:r>
    </w:p>
    <w:tbl>
      <w:tblPr>
        <w:tblW w:w="9375" w:type="dxa"/>
        <w:tblLayout w:type="fixed"/>
        <w:tblLook w:val="04A0" w:firstRow="1" w:lastRow="0" w:firstColumn="1" w:lastColumn="0" w:noHBand="0" w:noVBand="1"/>
      </w:tblPr>
      <w:tblGrid>
        <w:gridCol w:w="2250"/>
        <w:gridCol w:w="2340"/>
        <w:gridCol w:w="360"/>
        <w:gridCol w:w="1620"/>
        <w:gridCol w:w="2805"/>
      </w:tblGrid>
      <w:tr w:rsidR="003C6E29" w:rsidRPr="003B05DC" w14:paraId="5B866157" w14:textId="77777777" w:rsidTr="00B878F4">
        <w:trPr>
          <w:cantSplit/>
        </w:trPr>
        <w:tc>
          <w:tcPr>
            <w:tcW w:w="4590" w:type="dxa"/>
            <w:gridSpan w:val="2"/>
            <w:hideMark/>
          </w:tcPr>
          <w:p w14:paraId="5FD78900" w14:textId="77777777" w:rsidR="003C6E29" w:rsidRPr="003B05DC" w:rsidRDefault="003C6E29" w:rsidP="00B878F4">
            <w:pPr>
              <w:pStyle w:val="Executionclause"/>
              <w:keepNext/>
              <w:rPr>
                <w:rFonts w:ascii="Arial" w:hAnsi="Arial" w:cs="Arial"/>
                <w:sz w:val="24"/>
                <w:szCs w:val="24"/>
                <w:lang w:val="en-US"/>
              </w:rPr>
            </w:pPr>
            <w:r w:rsidRPr="003B05DC">
              <w:rPr>
                <w:rFonts w:ascii="Arial" w:hAnsi="Arial" w:cs="Arial"/>
                <w:b/>
                <w:sz w:val="24"/>
                <w:szCs w:val="24"/>
                <w:lang w:val="en-US"/>
              </w:rPr>
              <w:t xml:space="preserve">SUBSCRIBED </w:t>
            </w:r>
            <w:r w:rsidRPr="003B05DC">
              <w:rPr>
                <w:rFonts w:ascii="Arial" w:hAnsi="Arial" w:cs="Arial"/>
                <w:sz w:val="24"/>
                <w:szCs w:val="24"/>
                <w:lang w:val="en-US"/>
              </w:rPr>
              <w:t xml:space="preserve">for and on behalf of </w:t>
            </w:r>
            <w:r w:rsidRPr="003B05DC">
              <w:rPr>
                <w:rFonts w:ascii="Arial" w:hAnsi="Arial" w:cs="Arial"/>
                <w:sz w:val="24"/>
                <w:szCs w:val="24"/>
                <w:highlight w:val="yellow"/>
                <w:lang w:val="en-US"/>
              </w:rPr>
              <w:t>[</w:t>
            </w:r>
            <w:r w:rsidRPr="003B05DC">
              <w:rPr>
                <w:rFonts w:ascii="Arial" w:hAnsi="Arial" w:cs="Arial"/>
                <w:b/>
                <w:bCs/>
                <w:caps/>
                <w:sz w:val="24"/>
                <w:szCs w:val="24"/>
                <w:highlight w:val="yellow"/>
                <w:lang w:val="en-US"/>
              </w:rPr>
              <w:t>name of GUARANTOR</w:t>
            </w:r>
            <w:r w:rsidRPr="003B05DC">
              <w:rPr>
                <w:rFonts w:ascii="Arial" w:hAnsi="Arial" w:cs="Arial"/>
                <w:sz w:val="24"/>
                <w:szCs w:val="24"/>
                <w:highlight w:val="yellow"/>
                <w:lang w:val="en-US"/>
              </w:rPr>
              <w:t>]</w:t>
            </w:r>
            <w:r w:rsidRPr="003B05DC">
              <w:rPr>
                <w:rFonts w:ascii="Arial" w:hAnsi="Arial" w:cs="Arial"/>
                <w:sz w:val="24"/>
                <w:szCs w:val="24"/>
                <w:lang w:val="en-US"/>
              </w:rPr>
              <w:t xml:space="preserve"> by </w:t>
            </w:r>
            <w:r w:rsidRPr="003B05DC">
              <w:rPr>
                <w:rFonts w:ascii="Arial" w:hAnsi="Arial" w:cs="Arial"/>
                <w:sz w:val="24"/>
                <w:szCs w:val="24"/>
                <w:highlight w:val="yellow"/>
                <w:lang w:val="en-US"/>
              </w:rPr>
              <w:t>[a director][the secretary][an authorised</w:t>
            </w:r>
            <w:r w:rsidRPr="003B05DC">
              <w:rPr>
                <w:rFonts w:ascii="Arial" w:hAnsi="Arial" w:cs="Arial"/>
                <w:b/>
                <w:sz w:val="24"/>
                <w:szCs w:val="24"/>
                <w:highlight w:val="yellow"/>
                <w:lang w:val="en-US"/>
              </w:rPr>
              <w:t xml:space="preserve"> </w:t>
            </w:r>
            <w:r w:rsidRPr="003B05DC">
              <w:rPr>
                <w:rFonts w:ascii="Arial" w:hAnsi="Arial" w:cs="Arial"/>
                <w:sz w:val="24"/>
                <w:szCs w:val="24"/>
                <w:highlight w:val="yellow"/>
                <w:lang w:val="en-US"/>
              </w:rPr>
              <w:t>signatory]</w:t>
            </w:r>
            <w:r w:rsidRPr="003B05DC">
              <w:rPr>
                <w:rFonts w:ascii="Arial" w:hAnsi="Arial" w:cs="Arial"/>
                <w:sz w:val="24"/>
                <w:szCs w:val="24"/>
                <w:lang w:val="en-US"/>
              </w:rPr>
              <w:t xml:space="preserve"> in the presence of a witness on the </w:t>
            </w:r>
            <w:r w:rsidRPr="003B05DC">
              <w:rPr>
                <w:rFonts w:ascii="Arial" w:hAnsi="Arial" w:cs="Arial"/>
                <w:sz w:val="24"/>
                <w:szCs w:val="24"/>
                <w:highlight w:val="yellow"/>
                <w:lang w:val="en-US"/>
              </w:rPr>
              <w:t>[</w:t>
            </w:r>
            <w:r w:rsidRPr="003B05DC">
              <w:rPr>
                <w:rFonts w:ascii="Arial" w:hAnsi="Arial" w:cs="Arial"/>
                <w:b/>
                <w:sz w:val="24"/>
                <w:szCs w:val="24"/>
                <w:highlight w:val="yellow"/>
                <w:lang w:val="en-US"/>
              </w:rPr>
              <w:t>DATE</w:t>
            </w:r>
            <w:r w:rsidRPr="003B05DC">
              <w:rPr>
                <w:rFonts w:ascii="Arial" w:hAnsi="Arial" w:cs="Arial"/>
                <w:sz w:val="24"/>
                <w:szCs w:val="24"/>
                <w:highlight w:val="yellow"/>
                <w:lang w:val="en-US"/>
              </w:rPr>
              <w:t>]</w:t>
            </w:r>
            <w:r w:rsidRPr="003B05DC">
              <w:rPr>
                <w:rFonts w:ascii="Arial" w:hAnsi="Arial" w:cs="Arial"/>
                <w:sz w:val="24"/>
                <w:szCs w:val="24"/>
                <w:lang w:val="en-US"/>
              </w:rPr>
              <w:t xml:space="preserve"> day of </w:t>
            </w:r>
            <w:r w:rsidRPr="003B05DC">
              <w:rPr>
                <w:rFonts w:ascii="Arial" w:hAnsi="Arial" w:cs="Arial"/>
                <w:sz w:val="24"/>
                <w:szCs w:val="24"/>
                <w:highlight w:val="yellow"/>
                <w:lang w:val="en-US"/>
              </w:rPr>
              <w:t>[</w:t>
            </w:r>
            <w:r w:rsidRPr="003B05DC">
              <w:rPr>
                <w:rFonts w:ascii="Arial" w:hAnsi="Arial" w:cs="Arial"/>
                <w:b/>
                <w:sz w:val="24"/>
                <w:szCs w:val="24"/>
                <w:highlight w:val="yellow"/>
                <w:lang w:val="en-US"/>
              </w:rPr>
              <w:t>MONTH</w:t>
            </w:r>
            <w:r w:rsidRPr="003B05DC">
              <w:rPr>
                <w:rFonts w:ascii="Arial" w:hAnsi="Arial" w:cs="Arial"/>
                <w:sz w:val="24"/>
                <w:szCs w:val="24"/>
                <w:highlight w:val="yellow"/>
                <w:lang w:val="en-US"/>
              </w:rPr>
              <w:t>] [</w:t>
            </w:r>
            <w:r w:rsidRPr="003B05DC">
              <w:rPr>
                <w:rFonts w:ascii="Arial" w:hAnsi="Arial" w:cs="Arial"/>
                <w:b/>
                <w:sz w:val="24"/>
                <w:szCs w:val="24"/>
                <w:highlight w:val="yellow"/>
                <w:lang w:val="en-US"/>
              </w:rPr>
              <w:t>YEAR</w:t>
            </w:r>
            <w:r w:rsidRPr="003B05DC">
              <w:rPr>
                <w:rFonts w:ascii="Arial" w:hAnsi="Arial" w:cs="Arial"/>
                <w:sz w:val="24"/>
                <w:szCs w:val="24"/>
                <w:highlight w:val="yellow"/>
                <w:lang w:val="en-US"/>
              </w:rPr>
              <w:t>]</w:t>
            </w:r>
            <w:r w:rsidRPr="003B05DC">
              <w:rPr>
                <w:rFonts w:ascii="Arial" w:hAnsi="Arial" w:cs="Arial"/>
                <w:sz w:val="24"/>
                <w:szCs w:val="24"/>
                <w:lang w:val="en-US"/>
              </w:rPr>
              <w:t xml:space="preserve"> at </w:t>
            </w:r>
            <w:r w:rsidRPr="003B05DC">
              <w:rPr>
                <w:rFonts w:ascii="Arial" w:hAnsi="Arial" w:cs="Arial"/>
                <w:sz w:val="24"/>
                <w:szCs w:val="24"/>
                <w:highlight w:val="yellow"/>
                <w:lang w:val="en-US"/>
              </w:rPr>
              <w:t>[</w:t>
            </w:r>
            <w:r w:rsidRPr="003B05DC">
              <w:rPr>
                <w:rFonts w:ascii="Arial" w:hAnsi="Arial" w:cs="Arial"/>
                <w:b/>
                <w:sz w:val="24"/>
                <w:szCs w:val="24"/>
                <w:highlight w:val="yellow"/>
                <w:lang w:val="en-US"/>
              </w:rPr>
              <w:t>PLACE OF SUBSCRIPTION</w:t>
            </w:r>
            <w:r w:rsidRPr="003B05DC">
              <w:rPr>
                <w:rFonts w:ascii="Arial" w:hAnsi="Arial" w:cs="Arial"/>
                <w:sz w:val="24"/>
                <w:szCs w:val="24"/>
                <w:highlight w:val="yellow"/>
                <w:lang w:val="en-US"/>
              </w:rPr>
              <w:t>]:</w:t>
            </w:r>
          </w:p>
        </w:tc>
        <w:tc>
          <w:tcPr>
            <w:tcW w:w="360" w:type="dxa"/>
            <w:hideMark/>
          </w:tcPr>
          <w:p w14:paraId="6AAFA608" w14:textId="77777777" w:rsidR="003C6E29" w:rsidRPr="003B05DC" w:rsidRDefault="003C6E29" w:rsidP="00B878F4">
            <w:pPr>
              <w:pStyle w:val="Executionclause"/>
              <w:keepNext/>
              <w:rPr>
                <w:rFonts w:ascii="Arial" w:hAnsi="Arial" w:cs="Arial"/>
                <w:sz w:val="24"/>
                <w:szCs w:val="24"/>
                <w:lang w:val="en-US"/>
              </w:rPr>
            </w:pPr>
          </w:p>
        </w:tc>
        <w:tc>
          <w:tcPr>
            <w:tcW w:w="1620" w:type="dxa"/>
            <w:vAlign w:val="bottom"/>
            <w:hideMark/>
          </w:tcPr>
          <w:p w14:paraId="6F81635C" w14:textId="77777777" w:rsidR="003C6E29" w:rsidRPr="003B05DC" w:rsidRDefault="003C6E29" w:rsidP="00B878F4">
            <w:pPr>
              <w:pStyle w:val="Executionclause"/>
              <w:keepNext/>
              <w:jc w:val="right"/>
              <w:rPr>
                <w:rFonts w:ascii="Arial" w:hAnsi="Arial" w:cs="Arial"/>
                <w:sz w:val="24"/>
                <w:szCs w:val="24"/>
                <w:lang w:val="en-US"/>
              </w:rPr>
            </w:pPr>
            <w:r w:rsidRPr="003B05DC">
              <w:rPr>
                <w:rFonts w:ascii="Arial" w:hAnsi="Arial" w:cs="Arial"/>
                <w:sz w:val="24"/>
                <w:szCs w:val="24"/>
                <w:lang w:val="en-US"/>
              </w:rPr>
              <w:t>Signature</w:t>
            </w:r>
          </w:p>
        </w:tc>
        <w:tc>
          <w:tcPr>
            <w:tcW w:w="2805" w:type="dxa"/>
            <w:tcBorders>
              <w:top w:val="nil"/>
              <w:left w:val="nil"/>
              <w:bottom w:val="dashed" w:sz="4" w:space="0" w:color="auto"/>
              <w:right w:val="nil"/>
            </w:tcBorders>
          </w:tcPr>
          <w:p w14:paraId="51CDB42F" w14:textId="77777777" w:rsidR="003C6E29" w:rsidRPr="003B05DC" w:rsidRDefault="003C6E29" w:rsidP="00B878F4">
            <w:pPr>
              <w:pStyle w:val="Executionclause"/>
              <w:keepNext/>
              <w:rPr>
                <w:rFonts w:ascii="Arial" w:hAnsi="Arial" w:cs="Arial"/>
                <w:b/>
                <w:bCs/>
                <w:sz w:val="24"/>
                <w:szCs w:val="24"/>
                <w:lang w:val="en-US"/>
              </w:rPr>
            </w:pPr>
          </w:p>
        </w:tc>
      </w:tr>
      <w:tr w:rsidR="003C6E29" w:rsidRPr="003B05DC" w14:paraId="617E8123" w14:textId="77777777" w:rsidTr="00B878F4">
        <w:trPr>
          <w:cantSplit/>
        </w:trPr>
        <w:tc>
          <w:tcPr>
            <w:tcW w:w="4590" w:type="dxa"/>
            <w:gridSpan w:val="2"/>
          </w:tcPr>
          <w:p w14:paraId="4D512085" w14:textId="77777777" w:rsidR="003C6E29" w:rsidRPr="003B05DC" w:rsidRDefault="003C6E29" w:rsidP="00B878F4">
            <w:pPr>
              <w:pStyle w:val="Executionclause"/>
              <w:keepNext/>
              <w:rPr>
                <w:rFonts w:ascii="Arial" w:hAnsi="Arial" w:cs="Arial"/>
                <w:sz w:val="24"/>
                <w:szCs w:val="24"/>
                <w:lang w:val="en-US"/>
              </w:rPr>
            </w:pPr>
          </w:p>
        </w:tc>
        <w:tc>
          <w:tcPr>
            <w:tcW w:w="360" w:type="dxa"/>
          </w:tcPr>
          <w:p w14:paraId="3C5966F5" w14:textId="77777777" w:rsidR="003C6E29" w:rsidRPr="003B05DC" w:rsidRDefault="003C6E29" w:rsidP="00B878F4">
            <w:pPr>
              <w:pStyle w:val="Executionclause"/>
              <w:keepNext/>
              <w:rPr>
                <w:rFonts w:ascii="Arial" w:hAnsi="Arial" w:cs="Arial"/>
                <w:sz w:val="24"/>
                <w:szCs w:val="24"/>
                <w:lang w:val="en-US"/>
              </w:rPr>
            </w:pPr>
          </w:p>
        </w:tc>
        <w:tc>
          <w:tcPr>
            <w:tcW w:w="1620" w:type="dxa"/>
          </w:tcPr>
          <w:p w14:paraId="4CCF9A46" w14:textId="77777777" w:rsidR="003C6E29" w:rsidRPr="003B05DC" w:rsidRDefault="003C6E29" w:rsidP="00B878F4">
            <w:pPr>
              <w:pStyle w:val="Executionclause"/>
              <w:keepNext/>
              <w:jc w:val="right"/>
              <w:rPr>
                <w:rFonts w:ascii="Arial" w:hAnsi="Arial" w:cs="Arial"/>
                <w:sz w:val="24"/>
                <w:szCs w:val="24"/>
                <w:lang w:val="en-US"/>
              </w:rPr>
            </w:pPr>
          </w:p>
        </w:tc>
        <w:tc>
          <w:tcPr>
            <w:tcW w:w="2805" w:type="dxa"/>
            <w:tcBorders>
              <w:top w:val="dashed" w:sz="4" w:space="0" w:color="auto"/>
              <w:left w:val="nil"/>
              <w:bottom w:val="nil"/>
              <w:right w:val="nil"/>
            </w:tcBorders>
          </w:tcPr>
          <w:p w14:paraId="535E3E07" w14:textId="77777777" w:rsidR="003C6E29" w:rsidRPr="003B05DC" w:rsidRDefault="003C6E29" w:rsidP="00B878F4">
            <w:pPr>
              <w:pStyle w:val="Executionclause"/>
              <w:keepNext/>
              <w:rPr>
                <w:rFonts w:ascii="Arial" w:hAnsi="Arial" w:cs="Arial"/>
                <w:b/>
                <w:bCs/>
                <w:sz w:val="24"/>
                <w:szCs w:val="24"/>
                <w:lang w:val="en-US"/>
              </w:rPr>
            </w:pPr>
          </w:p>
        </w:tc>
      </w:tr>
      <w:tr w:rsidR="003C6E29" w:rsidRPr="003B05DC" w14:paraId="5A40A8D1" w14:textId="77777777" w:rsidTr="00B878F4">
        <w:trPr>
          <w:cantSplit/>
        </w:trPr>
        <w:tc>
          <w:tcPr>
            <w:tcW w:w="4590" w:type="dxa"/>
            <w:gridSpan w:val="2"/>
          </w:tcPr>
          <w:p w14:paraId="4D2CF973" w14:textId="77777777" w:rsidR="003C6E29" w:rsidRPr="003B05DC" w:rsidRDefault="003C6E29" w:rsidP="00B878F4">
            <w:pPr>
              <w:pStyle w:val="Executionclause"/>
              <w:keepNext/>
              <w:rPr>
                <w:rFonts w:ascii="Arial" w:hAnsi="Arial" w:cs="Arial"/>
                <w:sz w:val="24"/>
                <w:szCs w:val="24"/>
                <w:lang w:val="en-US"/>
              </w:rPr>
            </w:pPr>
          </w:p>
        </w:tc>
        <w:tc>
          <w:tcPr>
            <w:tcW w:w="360" w:type="dxa"/>
          </w:tcPr>
          <w:p w14:paraId="516A9388" w14:textId="77777777" w:rsidR="003C6E29" w:rsidRPr="003B05DC" w:rsidRDefault="003C6E29" w:rsidP="00B878F4">
            <w:pPr>
              <w:pStyle w:val="Executionclause"/>
              <w:keepNext/>
              <w:rPr>
                <w:rFonts w:ascii="Arial" w:hAnsi="Arial" w:cs="Arial"/>
                <w:sz w:val="24"/>
                <w:szCs w:val="24"/>
                <w:lang w:val="en-US"/>
              </w:rPr>
            </w:pPr>
          </w:p>
        </w:tc>
        <w:tc>
          <w:tcPr>
            <w:tcW w:w="1620" w:type="dxa"/>
            <w:hideMark/>
          </w:tcPr>
          <w:p w14:paraId="00AAB1AF" w14:textId="77777777" w:rsidR="003C6E29" w:rsidRPr="003B05DC" w:rsidRDefault="003C6E29" w:rsidP="00B878F4">
            <w:pPr>
              <w:pStyle w:val="Executionclause"/>
              <w:keepNext/>
              <w:spacing w:before="40"/>
              <w:jc w:val="right"/>
              <w:rPr>
                <w:rFonts w:ascii="Arial" w:hAnsi="Arial" w:cs="Arial"/>
                <w:sz w:val="24"/>
                <w:szCs w:val="24"/>
                <w:lang w:val="en-US"/>
              </w:rPr>
            </w:pPr>
            <w:r w:rsidRPr="003B05DC">
              <w:rPr>
                <w:rFonts w:ascii="Arial" w:hAnsi="Arial" w:cs="Arial"/>
                <w:sz w:val="24"/>
                <w:szCs w:val="24"/>
                <w:lang w:val="en-US"/>
              </w:rPr>
              <w:t>Name (block capitals)</w:t>
            </w:r>
          </w:p>
        </w:tc>
        <w:tc>
          <w:tcPr>
            <w:tcW w:w="2805" w:type="dxa"/>
            <w:tcBorders>
              <w:top w:val="nil"/>
              <w:left w:val="nil"/>
              <w:bottom w:val="dashed" w:sz="4" w:space="0" w:color="auto"/>
              <w:right w:val="nil"/>
            </w:tcBorders>
          </w:tcPr>
          <w:p w14:paraId="2F6F41EB" w14:textId="77777777" w:rsidR="003C6E29" w:rsidRPr="003B05DC" w:rsidRDefault="003C6E29" w:rsidP="00B878F4">
            <w:pPr>
              <w:pStyle w:val="Executionclause"/>
              <w:keepNext/>
              <w:rPr>
                <w:rFonts w:ascii="Arial" w:hAnsi="Arial" w:cs="Arial"/>
                <w:b/>
                <w:bCs/>
                <w:sz w:val="24"/>
                <w:szCs w:val="24"/>
                <w:lang w:val="en-US"/>
              </w:rPr>
            </w:pPr>
          </w:p>
        </w:tc>
      </w:tr>
      <w:tr w:rsidR="003C6E29" w:rsidRPr="003B05DC" w14:paraId="64EBEEB7" w14:textId="77777777" w:rsidTr="00B878F4">
        <w:trPr>
          <w:cantSplit/>
        </w:trPr>
        <w:tc>
          <w:tcPr>
            <w:tcW w:w="4590" w:type="dxa"/>
            <w:gridSpan w:val="2"/>
          </w:tcPr>
          <w:p w14:paraId="7D993419" w14:textId="77777777" w:rsidR="003C6E29" w:rsidRPr="003B05DC" w:rsidRDefault="003C6E29" w:rsidP="00B878F4">
            <w:pPr>
              <w:pStyle w:val="Executionclause"/>
              <w:keepNext/>
              <w:rPr>
                <w:rFonts w:ascii="Arial" w:hAnsi="Arial" w:cs="Arial"/>
                <w:sz w:val="24"/>
                <w:szCs w:val="24"/>
                <w:lang w:val="en-US"/>
              </w:rPr>
            </w:pPr>
          </w:p>
        </w:tc>
        <w:tc>
          <w:tcPr>
            <w:tcW w:w="360" w:type="dxa"/>
          </w:tcPr>
          <w:p w14:paraId="7970A741" w14:textId="77777777" w:rsidR="003C6E29" w:rsidRPr="003B05DC" w:rsidRDefault="003C6E29" w:rsidP="00B878F4">
            <w:pPr>
              <w:pStyle w:val="Executionclause"/>
              <w:keepNext/>
              <w:rPr>
                <w:rFonts w:ascii="Arial" w:hAnsi="Arial" w:cs="Arial"/>
                <w:sz w:val="24"/>
                <w:szCs w:val="24"/>
                <w:lang w:val="en-US"/>
              </w:rPr>
            </w:pPr>
          </w:p>
        </w:tc>
        <w:tc>
          <w:tcPr>
            <w:tcW w:w="1620" w:type="dxa"/>
          </w:tcPr>
          <w:p w14:paraId="71CD5256" w14:textId="77777777" w:rsidR="003C6E29" w:rsidRPr="003B05DC" w:rsidRDefault="003C6E29" w:rsidP="00B878F4">
            <w:pPr>
              <w:pStyle w:val="Executionclause"/>
              <w:keepNext/>
              <w:rPr>
                <w:rFonts w:ascii="Arial" w:hAnsi="Arial" w:cs="Arial"/>
                <w:sz w:val="24"/>
                <w:szCs w:val="24"/>
                <w:lang w:val="en-US"/>
              </w:rPr>
            </w:pPr>
          </w:p>
        </w:tc>
        <w:tc>
          <w:tcPr>
            <w:tcW w:w="2805" w:type="dxa"/>
            <w:tcBorders>
              <w:top w:val="dashed" w:sz="4" w:space="0" w:color="auto"/>
              <w:left w:val="nil"/>
              <w:bottom w:val="nil"/>
              <w:right w:val="nil"/>
            </w:tcBorders>
            <w:hideMark/>
          </w:tcPr>
          <w:p w14:paraId="6CDC9278" w14:textId="77777777" w:rsidR="003C6E29" w:rsidRPr="003B05DC" w:rsidRDefault="003C6E29" w:rsidP="00B878F4">
            <w:pPr>
              <w:pStyle w:val="Executionclause"/>
              <w:keepNext/>
              <w:spacing w:before="40"/>
              <w:rPr>
                <w:rFonts w:ascii="Arial" w:hAnsi="Arial" w:cs="Arial"/>
                <w:bCs/>
                <w:sz w:val="24"/>
                <w:szCs w:val="24"/>
                <w:highlight w:val="yellow"/>
                <w:lang w:val="en-US"/>
              </w:rPr>
            </w:pPr>
            <w:r w:rsidRPr="003B05DC">
              <w:rPr>
                <w:rFonts w:ascii="Arial" w:hAnsi="Arial" w:cs="Arial"/>
                <w:bCs/>
                <w:sz w:val="24"/>
                <w:szCs w:val="24"/>
                <w:highlight w:val="yellow"/>
                <w:lang w:val="en-US"/>
              </w:rPr>
              <w:t>[</w:t>
            </w:r>
            <w:r w:rsidRPr="003B05DC">
              <w:rPr>
                <w:rFonts w:ascii="Arial" w:hAnsi="Arial" w:cs="Arial"/>
                <w:b/>
                <w:bCs/>
                <w:sz w:val="24"/>
                <w:szCs w:val="24"/>
                <w:highlight w:val="yellow"/>
                <w:lang w:val="en-US"/>
              </w:rPr>
              <w:t>Director</w:t>
            </w:r>
            <w:r w:rsidRPr="003B05DC">
              <w:rPr>
                <w:rFonts w:ascii="Arial" w:hAnsi="Arial" w:cs="Arial"/>
                <w:sz w:val="24"/>
                <w:szCs w:val="24"/>
                <w:highlight w:val="yellow"/>
                <w:lang w:val="en-US"/>
              </w:rPr>
              <w:t>][</w:t>
            </w:r>
            <w:r w:rsidRPr="003B05DC">
              <w:rPr>
                <w:rFonts w:ascii="Arial" w:hAnsi="Arial" w:cs="Arial"/>
                <w:b/>
                <w:sz w:val="24"/>
                <w:szCs w:val="24"/>
                <w:highlight w:val="yellow"/>
                <w:lang w:val="en-US"/>
              </w:rPr>
              <w:t>Secretary</w:t>
            </w:r>
            <w:r w:rsidRPr="003B05DC">
              <w:rPr>
                <w:rFonts w:ascii="Arial" w:hAnsi="Arial" w:cs="Arial"/>
                <w:sz w:val="24"/>
                <w:szCs w:val="24"/>
                <w:highlight w:val="yellow"/>
                <w:lang w:val="en-US"/>
              </w:rPr>
              <w:t>]</w:t>
            </w:r>
            <w:r w:rsidRPr="003B05DC">
              <w:rPr>
                <w:rFonts w:ascii="Arial" w:hAnsi="Arial" w:cs="Arial"/>
                <w:sz w:val="24"/>
                <w:szCs w:val="24"/>
                <w:highlight w:val="yellow"/>
                <w:lang w:val="en-US"/>
              </w:rPr>
              <w:br/>
              <w:t>[</w:t>
            </w:r>
            <w:r w:rsidRPr="003B05DC">
              <w:rPr>
                <w:rFonts w:ascii="Arial" w:hAnsi="Arial" w:cs="Arial"/>
                <w:b/>
                <w:sz w:val="24"/>
                <w:szCs w:val="24"/>
                <w:highlight w:val="yellow"/>
                <w:lang w:val="en-US"/>
              </w:rPr>
              <w:t>Authorised Signatory</w:t>
            </w:r>
            <w:r w:rsidRPr="003B05DC">
              <w:rPr>
                <w:rFonts w:ascii="Arial" w:hAnsi="Arial" w:cs="Arial"/>
                <w:sz w:val="24"/>
                <w:szCs w:val="24"/>
                <w:highlight w:val="yellow"/>
                <w:lang w:val="en-US"/>
              </w:rPr>
              <w:t>]</w:t>
            </w:r>
          </w:p>
        </w:tc>
      </w:tr>
      <w:tr w:rsidR="003C6E29" w:rsidRPr="003B05DC" w14:paraId="44A350DF" w14:textId="77777777" w:rsidTr="00B878F4">
        <w:trPr>
          <w:cantSplit/>
        </w:trPr>
        <w:tc>
          <w:tcPr>
            <w:tcW w:w="2250" w:type="dxa"/>
            <w:hideMark/>
          </w:tcPr>
          <w:p w14:paraId="4A31DCB0" w14:textId="77777777" w:rsidR="003C6E29" w:rsidRPr="003B05DC" w:rsidRDefault="003C6E29" w:rsidP="00B878F4">
            <w:pPr>
              <w:pStyle w:val="Executionclause"/>
              <w:keepNext/>
              <w:spacing w:before="40"/>
              <w:rPr>
                <w:rFonts w:ascii="Arial" w:hAnsi="Arial" w:cs="Arial"/>
                <w:sz w:val="24"/>
                <w:szCs w:val="24"/>
                <w:lang w:val="en-US"/>
              </w:rPr>
            </w:pPr>
            <w:r w:rsidRPr="003B05DC">
              <w:rPr>
                <w:rFonts w:ascii="Arial" w:hAnsi="Arial" w:cs="Arial"/>
                <w:sz w:val="24"/>
                <w:szCs w:val="24"/>
                <w:lang w:val="en-US"/>
              </w:rPr>
              <w:t>Witness signature</w:t>
            </w:r>
          </w:p>
        </w:tc>
        <w:tc>
          <w:tcPr>
            <w:tcW w:w="2700" w:type="dxa"/>
            <w:gridSpan w:val="2"/>
            <w:tcBorders>
              <w:top w:val="nil"/>
              <w:left w:val="nil"/>
              <w:bottom w:val="dashed" w:sz="4" w:space="0" w:color="auto"/>
              <w:right w:val="nil"/>
            </w:tcBorders>
          </w:tcPr>
          <w:p w14:paraId="75EC2F97"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00EAA407"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2D4BDD8E" w14:textId="77777777" w:rsidTr="00B878F4">
        <w:trPr>
          <w:cantSplit/>
        </w:trPr>
        <w:tc>
          <w:tcPr>
            <w:tcW w:w="2250" w:type="dxa"/>
          </w:tcPr>
          <w:p w14:paraId="48625AEC" w14:textId="77777777" w:rsidR="003C6E29" w:rsidRPr="003B05DC" w:rsidRDefault="003C6E29" w:rsidP="00B878F4">
            <w:pPr>
              <w:pStyle w:val="Executionclause"/>
              <w:keepNext/>
              <w:spacing w:before="40"/>
              <w:jc w:val="right"/>
              <w:rPr>
                <w:rFonts w:ascii="Arial" w:hAnsi="Arial" w:cs="Arial"/>
                <w:sz w:val="24"/>
                <w:szCs w:val="24"/>
                <w:lang w:val="en-US"/>
              </w:rPr>
            </w:pPr>
          </w:p>
        </w:tc>
        <w:tc>
          <w:tcPr>
            <w:tcW w:w="2700" w:type="dxa"/>
            <w:gridSpan w:val="2"/>
          </w:tcPr>
          <w:p w14:paraId="0046E1DC"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3A536B65"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41C91EB3" w14:textId="77777777" w:rsidTr="00B878F4">
        <w:trPr>
          <w:cantSplit/>
        </w:trPr>
        <w:tc>
          <w:tcPr>
            <w:tcW w:w="2250" w:type="dxa"/>
            <w:hideMark/>
          </w:tcPr>
          <w:p w14:paraId="527F6CF9" w14:textId="77777777" w:rsidR="003C6E29" w:rsidRPr="003B05DC" w:rsidRDefault="003C6E29" w:rsidP="00B878F4">
            <w:pPr>
              <w:pStyle w:val="Executionclause"/>
              <w:keepNext/>
              <w:spacing w:before="40"/>
              <w:rPr>
                <w:rFonts w:ascii="Arial" w:hAnsi="Arial" w:cs="Arial"/>
                <w:sz w:val="24"/>
                <w:szCs w:val="24"/>
                <w:lang w:val="en-US"/>
              </w:rPr>
            </w:pPr>
            <w:r w:rsidRPr="003B05DC">
              <w:rPr>
                <w:rFonts w:ascii="Arial" w:hAnsi="Arial" w:cs="Arial"/>
                <w:sz w:val="24"/>
                <w:szCs w:val="24"/>
                <w:lang w:val="en-US"/>
              </w:rPr>
              <w:t xml:space="preserve">Witness name </w:t>
            </w:r>
          </w:p>
        </w:tc>
        <w:tc>
          <w:tcPr>
            <w:tcW w:w="2700" w:type="dxa"/>
            <w:gridSpan w:val="2"/>
            <w:tcBorders>
              <w:top w:val="nil"/>
              <w:left w:val="nil"/>
              <w:bottom w:val="dashed" w:sz="4" w:space="0" w:color="auto"/>
              <w:right w:val="nil"/>
            </w:tcBorders>
          </w:tcPr>
          <w:p w14:paraId="7D8464DE"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5B1EA5BD"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1A715A1B" w14:textId="77777777" w:rsidTr="00B878F4">
        <w:trPr>
          <w:cantSplit/>
        </w:trPr>
        <w:tc>
          <w:tcPr>
            <w:tcW w:w="2250" w:type="dxa"/>
            <w:hideMark/>
          </w:tcPr>
          <w:p w14:paraId="5BAB871A" w14:textId="77777777" w:rsidR="003C6E29" w:rsidRPr="003B05DC" w:rsidRDefault="003C6E29" w:rsidP="00B878F4">
            <w:pPr>
              <w:pStyle w:val="Executionclause"/>
              <w:keepNext/>
              <w:rPr>
                <w:rFonts w:ascii="Arial" w:hAnsi="Arial" w:cs="Arial"/>
                <w:sz w:val="24"/>
                <w:szCs w:val="24"/>
                <w:lang w:val="en-US"/>
              </w:rPr>
            </w:pPr>
            <w:r w:rsidRPr="003B05DC">
              <w:rPr>
                <w:rFonts w:ascii="Arial" w:hAnsi="Arial" w:cs="Arial"/>
                <w:sz w:val="24"/>
                <w:szCs w:val="24"/>
                <w:lang w:val="en-US"/>
              </w:rPr>
              <w:t>(block capitals)</w:t>
            </w:r>
          </w:p>
        </w:tc>
        <w:tc>
          <w:tcPr>
            <w:tcW w:w="2700" w:type="dxa"/>
            <w:gridSpan w:val="2"/>
            <w:tcBorders>
              <w:top w:val="dashed" w:sz="4" w:space="0" w:color="auto"/>
              <w:left w:val="nil"/>
              <w:bottom w:val="nil"/>
              <w:right w:val="nil"/>
            </w:tcBorders>
          </w:tcPr>
          <w:p w14:paraId="5E6AD49F"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436BD258"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45B8AEB1" w14:textId="77777777" w:rsidTr="00B878F4">
        <w:trPr>
          <w:cantSplit/>
        </w:trPr>
        <w:tc>
          <w:tcPr>
            <w:tcW w:w="2250" w:type="dxa"/>
          </w:tcPr>
          <w:p w14:paraId="099A7303" w14:textId="77777777" w:rsidR="003C6E29" w:rsidRPr="003B05DC" w:rsidRDefault="003C6E29" w:rsidP="00B878F4">
            <w:pPr>
              <w:pStyle w:val="Executionclause"/>
              <w:keepNext/>
              <w:spacing w:before="40"/>
              <w:jc w:val="right"/>
              <w:rPr>
                <w:rFonts w:ascii="Arial" w:hAnsi="Arial" w:cs="Arial"/>
                <w:sz w:val="24"/>
                <w:szCs w:val="24"/>
                <w:lang w:val="en-US"/>
              </w:rPr>
            </w:pPr>
          </w:p>
        </w:tc>
        <w:tc>
          <w:tcPr>
            <w:tcW w:w="2700" w:type="dxa"/>
            <w:gridSpan w:val="2"/>
          </w:tcPr>
          <w:p w14:paraId="053AEC39"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4084E7AD"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607988A0" w14:textId="77777777" w:rsidTr="00B878F4">
        <w:trPr>
          <w:cantSplit/>
        </w:trPr>
        <w:tc>
          <w:tcPr>
            <w:tcW w:w="2250" w:type="dxa"/>
            <w:hideMark/>
          </w:tcPr>
          <w:p w14:paraId="591283C8" w14:textId="77777777" w:rsidR="003C6E29" w:rsidRPr="003B05DC" w:rsidRDefault="003C6E29" w:rsidP="00B878F4">
            <w:pPr>
              <w:pStyle w:val="Executionclause"/>
              <w:keepNext/>
              <w:spacing w:before="40"/>
              <w:rPr>
                <w:rFonts w:ascii="Arial" w:hAnsi="Arial" w:cs="Arial"/>
                <w:sz w:val="24"/>
                <w:szCs w:val="24"/>
                <w:lang w:val="en-US"/>
              </w:rPr>
            </w:pPr>
            <w:r w:rsidRPr="003B05DC">
              <w:rPr>
                <w:rFonts w:ascii="Arial" w:hAnsi="Arial" w:cs="Arial"/>
                <w:sz w:val="24"/>
                <w:szCs w:val="24"/>
                <w:lang w:val="en-US"/>
              </w:rPr>
              <w:t>Witness address</w:t>
            </w:r>
          </w:p>
        </w:tc>
        <w:tc>
          <w:tcPr>
            <w:tcW w:w="2700" w:type="dxa"/>
            <w:gridSpan w:val="2"/>
            <w:tcBorders>
              <w:top w:val="nil"/>
              <w:left w:val="nil"/>
              <w:bottom w:val="dashed" w:sz="4" w:space="0" w:color="auto"/>
              <w:right w:val="nil"/>
            </w:tcBorders>
          </w:tcPr>
          <w:p w14:paraId="36567470"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2DBDABEE"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64CB1C32" w14:textId="77777777" w:rsidTr="00B878F4">
        <w:trPr>
          <w:cantSplit/>
        </w:trPr>
        <w:tc>
          <w:tcPr>
            <w:tcW w:w="2250" w:type="dxa"/>
          </w:tcPr>
          <w:p w14:paraId="317B40B0" w14:textId="77777777" w:rsidR="003C6E29" w:rsidRPr="003B05DC" w:rsidRDefault="003C6E29" w:rsidP="00B878F4">
            <w:pPr>
              <w:pStyle w:val="Executionclause"/>
              <w:keepNext/>
              <w:spacing w:before="40"/>
              <w:jc w:val="right"/>
              <w:rPr>
                <w:rFonts w:ascii="Arial" w:hAnsi="Arial" w:cs="Arial"/>
                <w:sz w:val="24"/>
                <w:szCs w:val="24"/>
                <w:lang w:val="en-US"/>
              </w:rPr>
            </w:pPr>
          </w:p>
        </w:tc>
        <w:tc>
          <w:tcPr>
            <w:tcW w:w="2700" w:type="dxa"/>
            <w:gridSpan w:val="2"/>
          </w:tcPr>
          <w:p w14:paraId="606D5C41" w14:textId="77777777" w:rsidR="003C6E29" w:rsidRPr="003B05DC" w:rsidRDefault="003C6E29" w:rsidP="00B878F4">
            <w:pPr>
              <w:pStyle w:val="Executionclause"/>
              <w:keepNext/>
              <w:rPr>
                <w:rFonts w:ascii="Arial" w:hAnsi="Arial" w:cs="Arial"/>
                <w:sz w:val="24"/>
                <w:szCs w:val="24"/>
                <w:lang w:val="en-US"/>
              </w:rPr>
            </w:pPr>
          </w:p>
        </w:tc>
        <w:tc>
          <w:tcPr>
            <w:tcW w:w="4425" w:type="dxa"/>
            <w:gridSpan w:val="2"/>
          </w:tcPr>
          <w:p w14:paraId="5E790BEB" w14:textId="77777777" w:rsidR="003C6E29" w:rsidRPr="003B05DC" w:rsidRDefault="003C6E29" w:rsidP="00B878F4">
            <w:pPr>
              <w:pStyle w:val="Executionclause"/>
              <w:keepNext/>
              <w:rPr>
                <w:rFonts w:ascii="Arial" w:hAnsi="Arial" w:cs="Arial"/>
                <w:sz w:val="24"/>
                <w:szCs w:val="24"/>
                <w:lang w:val="en-US"/>
              </w:rPr>
            </w:pPr>
          </w:p>
        </w:tc>
      </w:tr>
      <w:tr w:rsidR="003C6E29" w:rsidRPr="003B05DC" w14:paraId="73E8DFD2" w14:textId="77777777" w:rsidTr="00B878F4">
        <w:trPr>
          <w:cantSplit/>
        </w:trPr>
        <w:tc>
          <w:tcPr>
            <w:tcW w:w="2250" w:type="dxa"/>
          </w:tcPr>
          <w:p w14:paraId="5F05A498" w14:textId="77777777" w:rsidR="003C6E29" w:rsidRPr="003B05DC" w:rsidRDefault="003C6E29" w:rsidP="00B878F4">
            <w:pPr>
              <w:pStyle w:val="Executionclause"/>
              <w:keepNext/>
              <w:spacing w:before="40"/>
              <w:jc w:val="right"/>
              <w:rPr>
                <w:rFonts w:ascii="Arial" w:hAnsi="Arial" w:cs="Arial"/>
                <w:sz w:val="24"/>
                <w:szCs w:val="24"/>
                <w:lang w:val="en-US"/>
              </w:rPr>
            </w:pPr>
          </w:p>
        </w:tc>
        <w:tc>
          <w:tcPr>
            <w:tcW w:w="2700" w:type="dxa"/>
            <w:gridSpan w:val="2"/>
            <w:tcBorders>
              <w:top w:val="nil"/>
              <w:left w:val="nil"/>
              <w:bottom w:val="dashed" w:sz="4" w:space="0" w:color="auto"/>
              <w:right w:val="nil"/>
            </w:tcBorders>
          </w:tcPr>
          <w:p w14:paraId="768853C6" w14:textId="77777777" w:rsidR="003C6E29" w:rsidRPr="003B05DC" w:rsidRDefault="003C6E29" w:rsidP="00B878F4">
            <w:pPr>
              <w:pStyle w:val="Executionclause"/>
              <w:rPr>
                <w:rFonts w:ascii="Arial" w:hAnsi="Arial" w:cs="Arial"/>
                <w:sz w:val="24"/>
                <w:szCs w:val="24"/>
                <w:lang w:val="en-US"/>
              </w:rPr>
            </w:pPr>
          </w:p>
        </w:tc>
        <w:tc>
          <w:tcPr>
            <w:tcW w:w="4425" w:type="dxa"/>
            <w:gridSpan w:val="2"/>
          </w:tcPr>
          <w:p w14:paraId="6702DD18" w14:textId="77777777" w:rsidR="003C6E29" w:rsidRPr="003B05DC" w:rsidRDefault="003C6E29" w:rsidP="00B878F4">
            <w:pPr>
              <w:pStyle w:val="Executionclause"/>
              <w:rPr>
                <w:rFonts w:ascii="Arial" w:hAnsi="Arial" w:cs="Arial"/>
                <w:sz w:val="24"/>
                <w:szCs w:val="24"/>
                <w:lang w:val="en-US"/>
              </w:rPr>
            </w:pPr>
          </w:p>
        </w:tc>
      </w:tr>
      <w:tr w:rsidR="003C6E29" w:rsidRPr="003B05DC" w14:paraId="6ACFF9D1" w14:textId="77777777" w:rsidTr="00B878F4">
        <w:trPr>
          <w:cantSplit/>
        </w:trPr>
        <w:tc>
          <w:tcPr>
            <w:tcW w:w="2250" w:type="dxa"/>
          </w:tcPr>
          <w:p w14:paraId="47DF7007" w14:textId="77777777" w:rsidR="003C6E29" w:rsidRPr="003B05DC" w:rsidRDefault="003C6E29" w:rsidP="00B878F4">
            <w:pPr>
              <w:pStyle w:val="Executionclause"/>
              <w:spacing w:before="40"/>
              <w:jc w:val="right"/>
              <w:rPr>
                <w:rFonts w:ascii="Arial" w:hAnsi="Arial" w:cs="Arial"/>
                <w:sz w:val="24"/>
                <w:szCs w:val="24"/>
                <w:lang w:val="en-US"/>
              </w:rPr>
            </w:pPr>
          </w:p>
        </w:tc>
        <w:tc>
          <w:tcPr>
            <w:tcW w:w="2700" w:type="dxa"/>
            <w:gridSpan w:val="2"/>
            <w:tcBorders>
              <w:top w:val="dashed" w:sz="4" w:space="0" w:color="auto"/>
              <w:left w:val="nil"/>
              <w:bottom w:val="nil"/>
              <w:right w:val="nil"/>
            </w:tcBorders>
          </w:tcPr>
          <w:p w14:paraId="61D99661" w14:textId="77777777" w:rsidR="003C6E29" w:rsidRPr="003B05DC" w:rsidRDefault="003C6E29" w:rsidP="00B878F4">
            <w:pPr>
              <w:pStyle w:val="Executionclause"/>
              <w:rPr>
                <w:rFonts w:ascii="Arial" w:hAnsi="Arial" w:cs="Arial"/>
                <w:sz w:val="24"/>
                <w:szCs w:val="24"/>
                <w:lang w:val="en-US"/>
              </w:rPr>
            </w:pPr>
          </w:p>
        </w:tc>
        <w:tc>
          <w:tcPr>
            <w:tcW w:w="4425" w:type="dxa"/>
            <w:gridSpan w:val="2"/>
          </w:tcPr>
          <w:p w14:paraId="736AFF45" w14:textId="77777777" w:rsidR="003C6E29" w:rsidRPr="003B05DC" w:rsidRDefault="003C6E29" w:rsidP="00B878F4">
            <w:pPr>
              <w:pStyle w:val="Executionclause"/>
              <w:rPr>
                <w:rFonts w:ascii="Arial" w:hAnsi="Arial" w:cs="Arial"/>
                <w:sz w:val="24"/>
                <w:szCs w:val="24"/>
                <w:lang w:val="en-US"/>
              </w:rPr>
            </w:pPr>
          </w:p>
        </w:tc>
      </w:tr>
      <w:tr w:rsidR="003C6E29" w:rsidRPr="003B05DC" w14:paraId="2EBF11E9" w14:textId="77777777" w:rsidTr="00B878F4">
        <w:trPr>
          <w:cantSplit/>
        </w:trPr>
        <w:tc>
          <w:tcPr>
            <w:tcW w:w="2250" w:type="dxa"/>
          </w:tcPr>
          <w:p w14:paraId="47AFBB97" w14:textId="77777777" w:rsidR="003C6E29" w:rsidRPr="003B05DC" w:rsidRDefault="003C6E29" w:rsidP="00B878F4">
            <w:pPr>
              <w:pStyle w:val="Executionclause"/>
              <w:spacing w:before="40"/>
              <w:jc w:val="right"/>
              <w:rPr>
                <w:rFonts w:ascii="Arial" w:hAnsi="Arial" w:cs="Arial"/>
                <w:sz w:val="24"/>
                <w:szCs w:val="24"/>
                <w:lang w:val="en-US"/>
              </w:rPr>
            </w:pPr>
          </w:p>
        </w:tc>
        <w:tc>
          <w:tcPr>
            <w:tcW w:w="2700" w:type="dxa"/>
            <w:gridSpan w:val="2"/>
            <w:tcBorders>
              <w:top w:val="nil"/>
              <w:left w:val="nil"/>
              <w:bottom w:val="dashed" w:sz="4" w:space="0" w:color="auto"/>
              <w:right w:val="nil"/>
            </w:tcBorders>
          </w:tcPr>
          <w:p w14:paraId="3BBC62A7" w14:textId="77777777" w:rsidR="003C6E29" w:rsidRPr="003B05DC" w:rsidRDefault="003C6E29" w:rsidP="00B878F4">
            <w:pPr>
              <w:pStyle w:val="Executionclause"/>
              <w:rPr>
                <w:rFonts w:ascii="Arial" w:hAnsi="Arial" w:cs="Arial"/>
                <w:sz w:val="24"/>
                <w:szCs w:val="24"/>
                <w:lang w:val="en-US"/>
              </w:rPr>
            </w:pPr>
          </w:p>
        </w:tc>
        <w:tc>
          <w:tcPr>
            <w:tcW w:w="4425" w:type="dxa"/>
            <w:gridSpan w:val="2"/>
          </w:tcPr>
          <w:p w14:paraId="45216F7E" w14:textId="77777777" w:rsidR="003C6E29" w:rsidRPr="003B05DC" w:rsidRDefault="003C6E29" w:rsidP="00B878F4">
            <w:pPr>
              <w:pStyle w:val="Executionclause"/>
              <w:rPr>
                <w:rFonts w:ascii="Arial" w:hAnsi="Arial" w:cs="Arial"/>
                <w:sz w:val="24"/>
                <w:szCs w:val="24"/>
                <w:lang w:val="en-US"/>
              </w:rPr>
            </w:pPr>
          </w:p>
        </w:tc>
      </w:tr>
    </w:tbl>
    <w:p w14:paraId="04C640EB" w14:textId="44B53BA1" w:rsidR="00E238E6" w:rsidRPr="00BD6C5F" w:rsidRDefault="00E238E6" w:rsidP="00E238E6">
      <w:pPr>
        <w:rPr>
          <w:rFonts w:asciiTheme="minorHAnsi" w:hAnsiTheme="minorHAnsi" w:cstheme="minorHAnsi"/>
        </w:rPr>
      </w:pPr>
    </w:p>
    <w:p w14:paraId="77BD7B88" w14:textId="3B390DC3" w:rsidR="00E238E6" w:rsidRPr="00BD6C5F" w:rsidRDefault="00E238E6" w:rsidP="00E238E6">
      <w:pPr>
        <w:rPr>
          <w:rFonts w:asciiTheme="minorHAnsi" w:hAnsiTheme="minorHAnsi" w:cstheme="minorHAnsi"/>
        </w:rPr>
      </w:pPr>
    </w:p>
    <w:p w14:paraId="16D1C756" w14:textId="77777777" w:rsidR="00E238E6" w:rsidRPr="00BD6C5F" w:rsidRDefault="00E238E6" w:rsidP="00E238E6">
      <w:pPr>
        <w:rPr>
          <w:rFonts w:asciiTheme="minorHAnsi" w:hAnsiTheme="minorHAnsi" w:cstheme="minorHAnsi"/>
        </w:rPr>
      </w:pPr>
    </w:p>
    <w:p w14:paraId="11EC4AE6" w14:textId="77777777" w:rsidR="00854571" w:rsidRPr="00BD6C5F" w:rsidRDefault="00854571" w:rsidP="00E238E6">
      <w:pPr>
        <w:rPr>
          <w:rFonts w:asciiTheme="minorHAnsi" w:hAnsiTheme="minorHAnsi" w:cstheme="minorHAnsi"/>
        </w:rPr>
        <w:sectPr w:rsidR="00854571" w:rsidRPr="00BD6C5F" w:rsidSect="00EA65BF">
          <w:headerReference w:type="default" r:id="rId120"/>
          <w:footerReference w:type="default" r:id="rId121"/>
          <w:pgSz w:w="11910" w:h="16840" w:code="9"/>
          <w:pgMar w:top="1701" w:right="851" w:bottom="1134" w:left="851" w:header="567" w:footer="567" w:gutter="0"/>
          <w:cols w:space="720"/>
        </w:sectPr>
      </w:pPr>
    </w:p>
    <w:p w14:paraId="699825D2" w14:textId="6507D507" w:rsidR="00713E2F" w:rsidRDefault="00713E2F" w:rsidP="00713E2F">
      <w:pPr>
        <w:pStyle w:val="Dividername"/>
      </w:pPr>
      <w:bookmarkStart w:id="1849" w:name="_bookmark613"/>
      <w:bookmarkStart w:id="1850" w:name="_bookmark614"/>
      <w:bookmarkEnd w:id="1849"/>
      <w:bookmarkEnd w:id="1850"/>
      <w:r>
        <w:lastRenderedPageBreak/>
        <w:t xml:space="preserve">Schedule </w:t>
      </w:r>
      <w:bookmarkStart w:id="1851" w:name="Schedule_31"/>
      <w:r>
        <w:t>31</w:t>
      </w:r>
      <w:bookmarkEnd w:id="1851"/>
    </w:p>
    <w:p w14:paraId="0CEFD890" w14:textId="1C279FB8" w:rsidR="00713E2F" w:rsidRDefault="00713E2F" w:rsidP="00713E2F">
      <w:pPr>
        <w:pStyle w:val="Dividername"/>
      </w:pPr>
      <w:r w:rsidRPr="00713E2F">
        <w:t>Processing Personal Data</w:t>
      </w:r>
    </w:p>
    <w:p w14:paraId="6853B5AC" w14:textId="77777777" w:rsidR="00713E2F" w:rsidRDefault="00713E2F" w:rsidP="00713E2F"/>
    <w:p w14:paraId="7F2373B8" w14:textId="40B12C68" w:rsidR="00BC7DDA" w:rsidRPr="00BD6C5F" w:rsidRDefault="00C1520C" w:rsidP="00713E2F">
      <w:pPr>
        <w:pStyle w:val="Heading1"/>
        <w:pageBreakBefore/>
      </w:pPr>
      <w:bookmarkStart w:id="1852" w:name="_Toc141721065"/>
      <w:r w:rsidRPr="00BD6C5F">
        <w:lastRenderedPageBreak/>
        <w:t>Schedule 31</w:t>
      </w:r>
      <w:r w:rsidR="001475FD" w:rsidRPr="00BD6C5F">
        <w:t>:</w:t>
      </w:r>
      <w:r w:rsidR="00854571" w:rsidRPr="00BD6C5F">
        <w:t xml:space="preserve"> </w:t>
      </w:r>
      <w:bookmarkStart w:id="1853" w:name="_Ref98252263"/>
      <w:bookmarkStart w:id="1854" w:name="_Toc98332796"/>
      <w:bookmarkStart w:id="1855" w:name="_Toc98852964"/>
      <w:r w:rsidRPr="00BD6C5F">
        <w:t>Processing Personal Data</w:t>
      </w:r>
      <w:bookmarkEnd w:id="1853"/>
      <w:bookmarkEnd w:id="1854"/>
      <w:bookmarkEnd w:id="1855"/>
      <w:bookmarkEnd w:id="1852"/>
    </w:p>
    <w:p w14:paraId="3DC41EE0" w14:textId="11C8D00E" w:rsidR="00325019" w:rsidRPr="00BD6C5F" w:rsidRDefault="00325019" w:rsidP="00C1520C">
      <w:pPr>
        <w:jc w:val="center"/>
      </w:pPr>
      <w:r w:rsidRPr="00BD6C5F">
        <w:t>This is the schedule referred to in the foregoing agreement betwee</w:t>
      </w:r>
      <w:r w:rsidR="00AA48C6" w:rsidRPr="00BD6C5F">
        <w:t>n [</w:t>
      </w:r>
      <w:r w:rsidR="00AA48C6" w:rsidRPr="00BD6C5F">
        <w:rPr>
          <w:highlight w:val="yellow"/>
        </w:rPr>
        <w:t>name of party</w:t>
      </w:r>
      <w:r w:rsidR="00AA48C6" w:rsidRPr="00BD6C5F">
        <w:t>] and [</w:t>
      </w:r>
      <w:r w:rsidR="00AA48C6" w:rsidRPr="00BD6C5F">
        <w:rPr>
          <w:highlight w:val="yellow"/>
        </w:rPr>
        <w:t>name of party</w:t>
      </w:r>
      <w:r w:rsidR="00AA48C6" w:rsidRPr="00BD6C5F">
        <w:t>] dated [</w:t>
      </w:r>
      <w:r w:rsidR="00AA48C6" w:rsidRPr="00BD6C5F">
        <w:rPr>
          <w:highlight w:val="yellow"/>
        </w:rPr>
        <w:t>date</w:t>
      </w:r>
      <w:r w:rsidR="00AA48C6" w:rsidRPr="00BD6C5F">
        <w:t>]</w:t>
      </w:r>
    </w:p>
    <w:p w14:paraId="00F506D5" w14:textId="77777777" w:rsidR="00C1520C" w:rsidRPr="00BD6C5F" w:rsidRDefault="00C1520C" w:rsidP="00C1520C"/>
    <w:p w14:paraId="46F0776C" w14:textId="51185EE6" w:rsidR="00BC7DDA" w:rsidRPr="00BD6C5F" w:rsidRDefault="009B03E9" w:rsidP="00B71FC0">
      <w:pPr>
        <w:pStyle w:val="Numbered1"/>
        <w:numPr>
          <w:ilvl w:val="0"/>
          <w:numId w:val="122"/>
        </w:numPr>
      </w:pPr>
      <w:r w:rsidRPr="00BD6C5F">
        <w:t>Processing Personal Data</w:t>
      </w:r>
    </w:p>
    <w:p w14:paraId="12223D68" w14:textId="3AA33067" w:rsidR="00BC7DDA" w:rsidRPr="00BD6C5F" w:rsidRDefault="009B03E9" w:rsidP="00C5057A">
      <w:pPr>
        <w:pStyle w:val="Numbered11"/>
      </w:pPr>
      <w:r w:rsidRPr="00BD6C5F">
        <w:t>This Schedule shall be completed by the Controller, who may take account of the view of the Processor, however the final decision as to the content of this Schedule shall be with the Authority at its absolute discretion.</w:t>
      </w:r>
    </w:p>
    <w:p w14:paraId="31B03686" w14:textId="7A8C6ECA" w:rsidR="00BC7DDA" w:rsidRPr="00BD6C5F" w:rsidRDefault="009B03E9" w:rsidP="00C5057A">
      <w:pPr>
        <w:pStyle w:val="Numbered11"/>
        <w:rPr>
          <w:bCs/>
        </w:rPr>
      </w:pPr>
      <w:r w:rsidRPr="00BD6C5F">
        <w:t>The contact details of the Authority</w:t>
      </w:r>
      <w:r w:rsidR="00A4555C" w:rsidRPr="00BD6C5F">
        <w:t>’</w:t>
      </w:r>
      <w:r w:rsidRPr="00BD6C5F">
        <w:t xml:space="preserve">s Data Protection Officer are: </w:t>
      </w:r>
      <w:r w:rsidRPr="00BD6C5F">
        <w:rPr>
          <w:bCs/>
          <w:shd w:val="clear" w:color="auto" w:fill="FFFF00"/>
        </w:rPr>
        <w:t>[</w:t>
      </w:r>
      <w:r w:rsidRPr="007C0235">
        <w:rPr>
          <w:b/>
          <w:shd w:val="clear" w:color="auto" w:fill="FFFF00"/>
        </w:rPr>
        <w:t>Insert</w:t>
      </w:r>
      <w:r w:rsidR="00C1520C" w:rsidRPr="00BD6C5F">
        <w:rPr>
          <w:bCs/>
          <w:shd w:val="clear" w:color="auto" w:fill="FFFF00"/>
        </w:rPr>
        <w:t xml:space="preserve"> </w:t>
      </w:r>
      <w:r w:rsidRPr="00BD6C5F">
        <w:rPr>
          <w:bCs/>
          <w:shd w:val="clear" w:color="auto" w:fill="FFFF00"/>
        </w:rPr>
        <w:t>Contact details]</w:t>
      </w:r>
    </w:p>
    <w:p w14:paraId="3DA6A75F" w14:textId="5CE81D5B" w:rsidR="00BC7DDA" w:rsidRPr="00BD6C5F" w:rsidRDefault="009B03E9" w:rsidP="00C5057A">
      <w:pPr>
        <w:pStyle w:val="Numbered11"/>
      </w:pPr>
      <w:r w:rsidRPr="00BD6C5F">
        <w:t>The contact details of the Supplier</w:t>
      </w:r>
      <w:r w:rsidR="00A4555C" w:rsidRPr="00BD6C5F">
        <w:t>’</w:t>
      </w:r>
      <w:r w:rsidRPr="00BD6C5F">
        <w:t xml:space="preserve">s Data Protection Officer are: </w:t>
      </w:r>
      <w:r w:rsidRPr="00BD6C5F">
        <w:rPr>
          <w:bCs/>
          <w:shd w:val="clear" w:color="auto" w:fill="FFFF00"/>
        </w:rPr>
        <w:t>[</w:t>
      </w:r>
      <w:r w:rsidRPr="007C0235">
        <w:rPr>
          <w:b/>
          <w:shd w:val="clear" w:color="auto" w:fill="FFFF00"/>
        </w:rPr>
        <w:t>Insert</w:t>
      </w:r>
      <w:r w:rsidR="00C1520C" w:rsidRPr="00BD6C5F">
        <w:rPr>
          <w:bCs/>
          <w:shd w:val="clear" w:color="auto" w:fill="FFFF00"/>
        </w:rPr>
        <w:t xml:space="preserve"> </w:t>
      </w:r>
      <w:r w:rsidRPr="00BD6C5F">
        <w:rPr>
          <w:shd w:val="clear" w:color="auto" w:fill="FFFF00"/>
        </w:rPr>
        <w:t>Contact details]</w:t>
      </w:r>
    </w:p>
    <w:p w14:paraId="3D6FABEC" w14:textId="77777777" w:rsidR="00BC7DDA" w:rsidRPr="00BD6C5F" w:rsidRDefault="009B03E9" w:rsidP="00C5057A">
      <w:pPr>
        <w:pStyle w:val="Numbered11"/>
      </w:pPr>
      <w:r w:rsidRPr="00BD6C5F">
        <w:t>The Processor shall comply with any further written instructions with respect to processing by the Controller.</w:t>
      </w:r>
    </w:p>
    <w:p w14:paraId="0023505C" w14:textId="77777777" w:rsidR="00BC7DDA" w:rsidRDefault="009B03E9" w:rsidP="00C5057A">
      <w:pPr>
        <w:pStyle w:val="Numbered11"/>
      </w:pPr>
      <w:r w:rsidRPr="00BD6C5F">
        <w:t>Any such further instructions shall be incorporated into this Schedule.</w:t>
      </w:r>
    </w:p>
    <w:p w14:paraId="63C6D871" w14:textId="7A355F2D" w:rsidR="00C31371" w:rsidRPr="00F90A8A" w:rsidRDefault="00F90A8A" w:rsidP="00C31371">
      <w:pPr>
        <w:pStyle w:val="Numbered11"/>
        <w:numPr>
          <w:ilvl w:val="0"/>
          <w:numId w:val="0"/>
        </w:numPr>
        <w:ind w:left="720"/>
        <w:rPr>
          <w:b/>
          <w:bCs/>
          <w:i/>
          <w:iCs/>
        </w:rPr>
      </w:pPr>
      <w:r w:rsidRPr="00F90A8A">
        <w:rPr>
          <w:b/>
          <w:bCs/>
          <w:i/>
          <w:iCs/>
          <w:highlight w:val="yellow"/>
        </w:rPr>
        <w:t>[Guidance: the Authority will be the Controller, and the Supplier the Processor in the vast majority of cases. If you believe another data processing scenario applies, such as the Parties being Joint or Independent Controllers, you must speak to your data protection team or DPO.]</w:t>
      </w:r>
    </w:p>
    <w:tbl>
      <w:tblPr>
        <w:tblStyle w:val="MSATable-header"/>
        <w:tblW w:w="9525" w:type="dxa"/>
        <w:tblInd w:w="720" w:type="dxa"/>
        <w:tblLayout w:type="fixed"/>
        <w:tblLook w:val="01E0" w:firstRow="1" w:lastRow="1" w:firstColumn="1" w:lastColumn="1" w:noHBand="0" w:noVBand="0"/>
      </w:tblPr>
      <w:tblGrid>
        <w:gridCol w:w="2438"/>
        <w:gridCol w:w="7087"/>
      </w:tblGrid>
      <w:tr w:rsidR="00BC7DDA" w:rsidRPr="00BD6C5F" w14:paraId="34E53541" w14:textId="77777777" w:rsidTr="00C1520C">
        <w:trPr>
          <w:cnfStyle w:val="100000000000" w:firstRow="1" w:lastRow="0" w:firstColumn="0" w:lastColumn="0" w:oddVBand="0" w:evenVBand="0" w:oddHBand="0" w:evenHBand="0" w:firstRowFirstColumn="0" w:firstRowLastColumn="0" w:lastRowFirstColumn="0" w:lastRowLastColumn="0"/>
          <w:tblHeader/>
        </w:trPr>
        <w:tc>
          <w:tcPr>
            <w:tcW w:w="2438" w:type="dxa"/>
          </w:tcPr>
          <w:p w14:paraId="3E56B85E" w14:textId="77777777" w:rsidR="00BC7DDA" w:rsidRPr="00BD6C5F" w:rsidRDefault="009B03E9" w:rsidP="00C1520C">
            <w:pPr>
              <w:pStyle w:val="Tabletext"/>
            </w:pPr>
            <w:r w:rsidRPr="00BD6C5F">
              <w:t>Description</w:t>
            </w:r>
          </w:p>
        </w:tc>
        <w:tc>
          <w:tcPr>
            <w:tcW w:w="7087" w:type="dxa"/>
          </w:tcPr>
          <w:p w14:paraId="1FEBD208" w14:textId="77777777" w:rsidR="00BC7DDA" w:rsidRPr="00BD6C5F" w:rsidRDefault="009B03E9" w:rsidP="00C1520C">
            <w:pPr>
              <w:pStyle w:val="Tabletext"/>
            </w:pPr>
            <w:r w:rsidRPr="00BD6C5F">
              <w:t>Details</w:t>
            </w:r>
          </w:p>
        </w:tc>
      </w:tr>
      <w:tr w:rsidR="00C1520C" w:rsidRPr="00BD6C5F" w14:paraId="01EFFE93" w14:textId="77777777" w:rsidTr="00C1520C">
        <w:trPr>
          <w:trHeight w:val="20"/>
        </w:trPr>
        <w:tc>
          <w:tcPr>
            <w:tcW w:w="2438" w:type="dxa"/>
          </w:tcPr>
          <w:p w14:paraId="5838C8DE" w14:textId="77777777" w:rsidR="00C1520C" w:rsidRPr="00BD6C5F" w:rsidRDefault="00C1520C" w:rsidP="00C1520C">
            <w:pPr>
              <w:pStyle w:val="Tabletext"/>
            </w:pPr>
            <w:r w:rsidRPr="00BD6C5F">
              <w:t>Identity of Controller for each Category of Personal Data</w:t>
            </w:r>
          </w:p>
        </w:tc>
        <w:tc>
          <w:tcPr>
            <w:tcW w:w="7087" w:type="dxa"/>
          </w:tcPr>
          <w:p w14:paraId="157EC6B7" w14:textId="77777777" w:rsidR="00C1520C" w:rsidRPr="00BD6C5F" w:rsidRDefault="00C1520C" w:rsidP="00C1520C">
            <w:pPr>
              <w:pStyle w:val="Tabletext"/>
              <w:rPr>
                <w:rFonts w:asciiTheme="minorHAnsi" w:hAnsiTheme="minorHAnsi" w:cstheme="minorHAnsi"/>
                <w:b/>
              </w:rPr>
            </w:pPr>
            <w:r w:rsidRPr="00BD6C5F">
              <w:rPr>
                <w:rFonts w:asciiTheme="minorHAnsi" w:hAnsiTheme="minorHAnsi" w:cstheme="minorHAnsi"/>
                <w:b/>
              </w:rPr>
              <w:t>The Authority is Controller and the Supplier is Processor</w:t>
            </w:r>
          </w:p>
          <w:p w14:paraId="21FEEBB1" w14:textId="2ED15797"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The Parties acknowledge that in accordance with Clause 21.2 to 21.15 and for the purposes of the Data Protection Legislation, the Authority is the Controller and the Supplier is the Processor of the following Personal Data:</w:t>
            </w:r>
          </w:p>
          <w:p w14:paraId="4BA4B4A6" w14:textId="77777777" w:rsidR="00C1520C" w:rsidRPr="00BD6C5F" w:rsidRDefault="00C1520C" w:rsidP="001A5A96">
            <w:pPr>
              <w:pStyle w:val="TableParagraph"/>
              <w:numPr>
                <w:ilvl w:val="0"/>
                <w:numId w:val="1"/>
              </w:numPr>
              <w:tabs>
                <w:tab w:val="left" w:pos="825"/>
                <w:tab w:val="left" w:pos="826"/>
              </w:tabs>
              <w:spacing w:after="120"/>
              <w:ind w:left="720" w:hanging="720"/>
              <w:rPr>
                <w:rFonts w:asciiTheme="minorHAnsi" w:hAnsiTheme="minorHAnsi" w:cstheme="minorHAnsi"/>
              </w:rPr>
            </w:pPr>
            <w:r w:rsidRPr="002D3DCF">
              <w:rPr>
                <w:rFonts w:asciiTheme="minorHAnsi" w:hAnsiTheme="minorHAnsi" w:cstheme="minorHAnsi"/>
                <w:bCs/>
              </w:rPr>
              <w:t>[</w:t>
            </w:r>
            <w:r w:rsidRPr="007C0235">
              <w:rPr>
                <w:rFonts w:asciiTheme="minorHAnsi" w:hAnsiTheme="minorHAnsi" w:cstheme="minorHAnsi"/>
                <w:b/>
                <w:highlight w:val="yellow"/>
              </w:rPr>
              <w:t>Insert</w:t>
            </w:r>
            <w:r w:rsidRPr="002D3DCF">
              <w:rPr>
                <w:rFonts w:asciiTheme="minorHAnsi" w:hAnsiTheme="minorHAnsi" w:cstheme="minorHAnsi"/>
                <w:bCs/>
                <w:highlight w:val="yellow"/>
              </w:rPr>
              <w:t xml:space="preserve"> </w:t>
            </w:r>
            <w:r w:rsidRPr="00BD6C5F">
              <w:rPr>
                <w:rFonts w:asciiTheme="minorHAnsi" w:hAnsiTheme="minorHAnsi" w:cstheme="minorHAnsi"/>
                <w:highlight w:val="yellow"/>
              </w:rPr>
              <w:t>the scope of Personal Data for which the</w:t>
            </w:r>
            <w:r w:rsidRPr="00BD6C5F">
              <w:rPr>
                <w:rFonts w:asciiTheme="minorHAnsi" w:hAnsiTheme="minorHAnsi" w:cstheme="minorHAnsi"/>
                <w:shd w:val="clear" w:color="auto" w:fill="FFFF00"/>
              </w:rPr>
              <w:t xml:space="preserve"> purposes and means of the processing by the Supplier is determined by the Authority]</w:t>
            </w:r>
          </w:p>
          <w:p w14:paraId="08B32BDC" w14:textId="77777777" w:rsidR="00C1520C" w:rsidRPr="00BD6C5F" w:rsidRDefault="00C1520C" w:rsidP="00C1520C">
            <w:pPr>
              <w:pStyle w:val="Tabletext"/>
              <w:rPr>
                <w:rFonts w:asciiTheme="minorHAnsi" w:hAnsiTheme="minorHAnsi" w:cstheme="minorHAnsi"/>
                <w:b/>
              </w:rPr>
            </w:pPr>
            <w:r w:rsidRPr="00BD6C5F">
              <w:rPr>
                <w:rFonts w:asciiTheme="minorHAnsi" w:hAnsiTheme="minorHAnsi" w:cstheme="minorHAnsi"/>
                <w:b/>
              </w:rPr>
              <w:t>The Supplier is Controller and the Authority is Processor</w:t>
            </w:r>
          </w:p>
          <w:p w14:paraId="70DF28E6" w14:textId="6A3DF8F5"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The Parties acknowledge that for the purposes of the Data Protection Legislation, the Supplier is the Controller and the Authority is the Processor in accordance with Clause 21.2 to 21.15 of the following Personal Data:</w:t>
            </w:r>
          </w:p>
          <w:p w14:paraId="61460F6D" w14:textId="77777777" w:rsidR="00C1520C" w:rsidRPr="00BD6C5F" w:rsidRDefault="00C1520C" w:rsidP="001A5A96">
            <w:pPr>
              <w:pStyle w:val="TableParagraph"/>
              <w:numPr>
                <w:ilvl w:val="0"/>
                <w:numId w:val="1"/>
              </w:numPr>
              <w:tabs>
                <w:tab w:val="left" w:pos="825"/>
                <w:tab w:val="left" w:pos="826"/>
              </w:tabs>
              <w:spacing w:after="120"/>
              <w:ind w:left="720" w:hanging="720"/>
              <w:rPr>
                <w:rFonts w:asciiTheme="minorHAnsi" w:hAnsiTheme="minorHAnsi" w:cstheme="minorHAnsi"/>
              </w:rPr>
            </w:pPr>
            <w:r w:rsidRPr="002D3DCF">
              <w:rPr>
                <w:rFonts w:asciiTheme="minorHAnsi" w:hAnsiTheme="minorHAnsi" w:cstheme="minorHAnsi"/>
                <w:bCs/>
              </w:rPr>
              <w:t>[</w:t>
            </w:r>
            <w:r w:rsidRPr="007C0235">
              <w:rPr>
                <w:rFonts w:asciiTheme="minorHAnsi" w:hAnsiTheme="minorHAnsi" w:cstheme="minorHAnsi"/>
                <w:b/>
                <w:highlight w:val="yellow"/>
              </w:rPr>
              <w:t>Insert</w:t>
            </w:r>
            <w:r w:rsidRPr="002D3DCF">
              <w:rPr>
                <w:rFonts w:asciiTheme="minorHAnsi" w:hAnsiTheme="minorHAnsi" w:cstheme="minorHAnsi"/>
                <w:bCs/>
                <w:highlight w:val="yellow"/>
              </w:rPr>
              <w:t xml:space="preserve"> </w:t>
            </w:r>
            <w:r w:rsidRPr="00BD6C5F">
              <w:rPr>
                <w:rFonts w:asciiTheme="minorHAnsi" w:hAnsiTheme="minorHAnsi" w:cstheme="minorHAnsi"/>
                <w:highlight w:val="yellow"/>
              </w:rPr>
              <w:t>the scope of Personal Data for which the</w:t>
            </w:r>
            <w:r w:rsidRPr="00BD6C5F">
              <w:rPr>
                <w:rFonts w:asciiTheme="minorHAnsi" w:hAnsiTheme="minorHAnsi" w:cstheme="minorHAnsi"/>
                <w:shd w:val="clear" w:color="auto" w:fill="FFFF00"/>
              </w:rPr>
              <w:t xml:space="preserve"> purposes and means of the processing by the Authority is determined by the Supplier]</w:t>
            </w:r>
          </w:p>
          <w:p w14:paraId="57CAC281" w14:textId="77777777" w:rsidR="00C1520C" w:rsidRPr="00BD6C5F" w:rsidRDefault="00C1520C" w:rsidP="00C1520C">
            <w:pPr>
              <w:pStyle w:val="Tabletext"/>
              <w:rPr>
                <w:rFonts w:asciiTheme="minorHAnsi" w:hAnsiTheme="minorHAnsi" w:cstheme="minorHAnsi"/>
                <w:b/>
              </w:rPr>
            </w:pPr>
            <w:r w:rsidRPr="00BD6C5F">
              <w:rPr>
                <w:rFonts w:asciiTheme="minorHAnsi" w:hAnsiTheme="minorHAnsi" w:cstheme="minorHAnsi"/>
                <w:b/>
              </w:rPr>
              <w:t>The Parties are Joint Controllers</w:t>
            </w:r>
          </w:p>
          <w:p w14:paraId="1894BD03" w14:textId="77777777"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The Parties acknowledge that they are Joint Controllers for the purposes of the Data Protection Legislation in respect of:</w:t>
            </w:r>
          </w:p>
          <w:p w14:paraId="5AD704D3" w14:textId="77777777" w:rsidR="00C1520C" w:rsidRPr="00BD6C5F" w:rsidRDefault="00C1520C" w:rsidP="001A5A96">
            <w:pPr>
              <w:pStyle w:val="TableParagraph"/>
              <w:numPr>
                <w:ilvl w:val="0"/>
                <w:numId w:val="1"/>
              </w:numPr>
              <w:tabs>
                <w:tab w:val="left" w:pos="825"/>
                <w:tab w:val="left" w:pos="826"/>
              </w:tabs>
              <w:ind w:left="720" w:hanging="720"/>
              <w:rPr>
                <w:rFonts w:asciiTheme="minorHAnsi" w:hAnsiTheme="minorHAnsi" w:cstheme="minorHAnsi"/>
              </w:rPr>
            </w:pPr>
            <w:r w:rsidRPr="002D3DCF">
              <w:rPr>
                <w:rFonts w:asciiTheme="minorHAnsi" w:hAnsiTheme="minorHAnsi" w:cstheme="minorHAnsi"/>
                <w:bCs/>
              </w:rPr>
              <w:lastRenderedPageBreak/>
              <w:t>[</w:t>
            </w:r>
            <w:r w:rsidRPr="007C0235">
              <w:rPr>
                <w:rFonts w:asciiTheme="minorHAnsi" w:hAnsiTheme="minorHAnsi" w:cstheme="minorHAnsi"/>
                <w:b/>
                <w:highlight w:val="yellow"/>
              </w:rPr>
              <w:t>Insert</w:t>
            </w:r>
            <w:r w:rsidRPr="002D3DCF">
              <w:rPr>
                <w:rFonts w:asciiTheme="minorHAnsi" w:hAnsiTheme="minorHAnsi" w:cstheme="minorHAnsi"/>
                <w:bCs/>
                <w:highlight w:val="yellow"/>
              </w:rPr>
              <w:t xml:space="preserve"> t</w:t>
            </w:r>
            <w:r w:rsidRPr="00BD6C5F">
              <w:rPr>
                <w:rFonts w:asciiTheme="minorHAnsi" w:hAnsiTheme="minorHAnsi" w:cstheme="minorHAnsi"/>
                <w:highlight w:val="yellow"/>
              </w:rPr>
              <w:t>he scope of Personal Data for which the</w:t>
            </w:r>
            <w:r w:rsidRPr="00BD6C5F">
              <w:rPr>
                <w:rFonts w:asciiTheme="minorHAnsi" w:hAnsiTheme="minorHAnsi" w:cstheme="minorHAnsi"/>
                <w:shd w:val="clear" w:color="auto" w:fill="FFFF00"/>
              </w:rPr>
              <w:t xml:space="preserve"> purposes and means of the processing is determined by both Parties together]</w:t>
            </w:r>
          </w:p>
          <w:p w14:paraId="05E1011A" w14:textId="77777777" w:rsidR="00C1520C" w:rsidRPr="00BD6C5F" w:rsidRDefault="00C1520C" w:rsidP="00C1520C">
            <w:pPr>
              <w:pStyle w:val="Tabletext"/>
              <w:rPr>
                <w:rFonts w:asciiTheme="minorHAnsi" w:hAnsiTheme="minorHAnsi" w:cstheme="minorHAnsi"/>
                <w:b/>
              </w:rPr>
            </w:pPr>
            <w:r w:rsidRPr="00BD6C5F">
              <w:rPr>
                <w:rFonts w:asciiTheme="minorHAnsi" w:hAnsiTheme="minorHAnsi" w:cstheme="minorHAnsi"/>
                <w:b/>
              </w:rPr>
              <w:t>The Parties are Independent Controllers of Personal Data</w:t>
            </w:r>
          </w:p>
          <w:p w14:paraId="23F3EBE2" w14:textId="77777777" w:rsidR="00C1520C" w:rsidRPr="00BD6C5F" w:rsidRDefault="00C1520C" w:rsidP="00C1520C">
            <w:pPr>
              <w:pStyle w:val="Tabletext"/>
            </w:pPr>
            <w:r w:rsidRPr="00BD6C5F">
              <w:t>The Parties acknowledge that they are Independent Controllers for the purposes of the Data Protection Legislation in respect of:</w:t>
            </w:r>
          </w:p>
          <w:p w14:paraId="5FAD01BC" w14:textId="07C63862" w:rsidR="00C1520C" w:rsidRPr="00BD6C5F" w:rsidRDefault="0066617E" w:rsidP="001A5A96">
            <w:pPr>
              <w:pStyle w:val="TableParagraph"/>
              <w:numPr>
                <w:ilvl w:val="0"/>
                <w:numId w:val="1"/>
              </w:numPr>
              <w:tabs>
                <w:tab w:val="left" w:pos="825"/>
                <w:tab w:val="left" w:pos="826"/>
              </w:tabs>
              <w:ind w:left="720" w:hanging="720"/>
              <w:rPr>
                <w:rFonts w:asciiTheme="minorHAnsi" w:hAnsiTheme="minorHAnsi" w:cstheme="minorHAnsi"/>
              </w:rPr>
            </w:pPr>
            <w:r>
              <w:rPr>
                <w:rFonts w:asciiTheme="minorHAnsi" w:hAnsiTheme="minorHAnsi" w:cstheme="minorHAnsi"/>
              </w:rPr>
              <w:t>Personally identifiable information</w:t>
            </w:r>
            <w:r w:rsidR="00C1520C" w:rsidRPr="00BD6C5F">
              <w:rPr>
                <w:rFonts w:asciiTheme="minorHAnsi" w:hAnsiTheme="minorHAnsi" w:cstheme="minorHAnsi"/>
              </w:rPr>
              <w:t xml:space="preserve"> of Supplier Personnel,</w:t>
            </w:r>
          </w:p>
          <w:p w14:paraId="0B2871D3" w14:textId="07FABCDE" w:rsidR="00C1520C" w:rsidRPr="00BD6C5F" w:rsidRDefault="0066617E" w:rsidP="001A5A96">
            <w:pPr>
              <w:pStyle w:val="TableParagraph"/>
              <w:numPr>
                <w:ilvl w:val="0"/>
                <w:numId w:val="1"/>
              </w:numPr>
              <w:tabs>
                <w:tab w:val="left" w:pos="825"/>
                <w:tab w:val="left" w:pos="826"/>
              </w:tabs>
              <w:ind w:left="720" w:hanging="720"/>
              <w:rPr>
                <w:rFonts w:asciiTheme="minorHAnsi" w:hAnsiTheme="minorHAnsi" w:cstheme="minorHAnsi"/>
                <w:iCs/>
              </w:rPr>
            </w:pPr>
            <w:r>
              <w:rPr>
                <w:rFonts w:asciiTheme="minorHAnsi" w:hAnsiTheme="minorHAnsi" w:cstheme="minorHAnsi"/>
              </w:rPr>
              <w:t>Personally identifiable information</w:t>
            </w:r>
            <w:r w:rsidR="00C1520C" w:rsidRPr="00BD6C5F">
              <w:rPr>
                <w:rFonts w:asciiTheme="minorHAnsi" w:hAnsiTheme="minorHAnsi" w:cstheme="minorHAnsi"/>
                <w:iCs/>
              </w:rPr>
              <w:t xml:space="preserve"> of any directors, officers, employees, agents, consultants and contractors of the Authority (excluding the Supplier Personnel) engaged in the performance of the Authority’s duties under this Contract).</w:t>
            </w:r>
          </w:p>
          <w:p w14:paraId="29A36E0A" w14:textId="77777777" w:rsidR="00C1520C" w:rsidRPr="002D3DCF" w:rsidRDefault="00C1520C" w:rsidP="001A5A96">
            <w:pPr>
              <w:pStyle w:val="TableParagraph"/>
              <w:numPr>
                <w:ilvl w:val="0"/>
                <w:numId w:val="1"/>
              </w:numPr>
              <w:tabs>
                <w:tab w:val="left" w:pos="825"/>
                <w:tab w:val="left" w:pos="826"/>
              </w:tabs>
              <w:spacing w:after="120"/>
              <w:ind w:left="720" w:hanging="720"/>
              <w:rPr>
                <w:rFonts w:asciiTheme="minorHAnsi" w:hAnsiTheme="minorHAnsi" w:cstheme="minorHAnsi"/>
                <w:iCs/>
                <w:highlight w:val="yellow"/>
              </w:rPr>
            </w:pPr>
            <w:r w:rsidRPr="002D3DCF">
              <w:rPr>
                <w:rFonts w:asciiTheme="minorHAnsi" w:hAnsiTheme="minorHAnsi" w:cstheme="minorHAnsi"/>
                <w:bCs/>
                <w:iCs/>
                <w:highlight w:val="yellow"/>
              </w:rPr>
              <w:t>[</w:t>
            </w:r>
            <w:r w:rsidRPr="007C0235">
              <w:rPr>
                <w:rFonts w:asciiTheme="minorHAnsi" w:hAnsiTheme="minorHAnsi" w:cstheme="minorHAnsi"/>
                <w:b/>
                <w:iCs/>
                <w:highlight w:val="yellow"/>
              </w:rPr>
              <w:t>Insert</w:t>
            </w:r>
            <w:r w:rsidRPr="002D3DCF">
              <w:rPr>
                <w:rFonts w:asciiTheme="minorHAnsi" w:hAnsiTheme="minorHAnsi" w:cstheme="minorHAnsi"/>
                <w:bCs/>
                <w:iCs/>
                <w:highlight w:val="yellow"/>
              </w:rPr>
              <w:t xml:space="preserve"> </w:t>
            </w:r>
            <w:r w:rsidRPr="002D3DCF">
              <w:rPr>
                <w:rFonts w:asciiTheme="minorHAnsi" w:hAnsiTheme="minorHAnsi" w:cstheme="minorHAnsi"/>
                <w:iCs/>
                <w:highlight w:val="yellow"/>
              </w:rPr>
              <w:t>the scope of other Personal Data provided by</w:t>
            </w:r>
            <w:r w:rsidRPr="002D3DCF">
              <w:rPr>
                <w:rFonts w:asciiTheme="minorHAnsi" w:hAnsiTheme="minorHAnsi" w:cstheme="minorHAnsi"/>
                <w:iCs/>
                <w:highlight w:val="yellow"/>
                <w:shd w:val="clear" w:color="auto" w:fill="FFFF00"/>
              </w:rPr>
              <w:t xml:space="preserve"> one Party who is Data Controller to the other Party who will separately determine the nature and purposes of its processing the Personal Data on receipt.</w:t>
            </w:r>
          </w:p>
          <w:p w14:paraId="1D23D005" w14:textId="7DC14CEC" w:rsidR="00C1520C" w:rsidRPr="00BD6C5F" w:rsidRDefault="00C1520C" w:rsidP="00C1520C">
            <w:pPr>
              <w:pStyle w:val="Tabletext"/>
              <w:rPr>
                <w:rFonts w:asciiTheme="minorHAnsi" w:hAnsiTheme="minorHAnsi" w:cstheme="minorHAnsi"/>
                <w:i/>
              </w:rPr>
            </w:pPr>
            <w:r w:rsidRPr="00BD6C5F">
              <w:rPr>
                <w:iCs/>
                <w:shd w:val="clear" w:color="auto" w:fill="FFFF00"/>
              </w:rPr>
              <w:t>e.g. where (1) the Supplier has professional or regulatory obligations in respect of Personal Data received, (2) a standardised service is such that the Authority cannot dictate the way in which Personal Data is processed by the Supplier, or (3) where the Supplier comes to the transaction with Personal Data for which it is already Controller for use by the Authority]</w:t>
            </w:r>
          </w:p>
        </w:tc>
      </w:tr>
      <w:tr w:rsidR="00BC7DDA" w:rsidRPr="00BD6C5F" w14:paraId="4AD9EB07" w14:textId="77777777" w:rsidTr="00C1520C">
        <w:tc>
          <w:tcPr>
            <w:tcW w:w="2438" w:type="dxa"/>
          </w:tcPr>
          <w:p w14:paraId="35F5FA9A" w14:textId="77777777" w:rsidR="00BC7DDA" w:rsidRPr="00BD6C5F" w:rsidRDefault="009B03E9" w:rsidP="00C1520C">
            <w:pPr>
              <w:pStyle w:val="Tabletext"/>
              <w:rPr>
                <w:rFonts w:asciiTheme="minorHAnsi" w:hAnsiTheme="minorHAnsi" w:cstheme="minorHAnsi"/>
              </w:rPr>
            </w:pPr>
            <w:r w:rsidRPr="00BD6C5F">
              <w:rPr>
                <w:rFonts w:asciiTheme="minorHAnsi" w:hAnsiTheme="minorHAnsi" w:cstheme="minorHAnsi"/>
              </w:rPr>
              <w:lastRenderedPageBreak/>
              <w:t>Duration of the processing</w:t>
            </w:r>
          </w:p>
        </w:tc>
        <w:tc>
          <w:tcPr>
            <w:tcW w:w="7087" w:type="dxa"/>
          </w:tcPr>
          <w:p w14:paraId="389BC4CE" w14:textId="77777777"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shd w:val="clear" w:color="auto" w:fill="FFFF00"/>
              </w:rPr>
              <w:t>[Clearly set out the duration of the processing including</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dates]</w:t>
            </w:r>
          </w:p>
        </w:tc>
      </w:tr>
      <w:tr w:rsidR="0099549E" w:rsidRPr="00BD6C5F" w14:paraId="518520FC" w14:textId="77777777" w:rsidTr="00C1520C">
        <w:tc>
          <w:tcPr>
            <w:tcW w:w="2438" w:type="dxa"/>
          </w:tcPr>
          <w:p w14:paraId="610F3716" w14:textId="7A3626CE" w:rsidR="0099549E" w:rsidRPr="00BD6C5F" w:rsidRDefault="0099549E" w:rsidP="00C1520C">
            <w:pPr>
              <w:pStyle w:val="Tabletext"/>
              <w:rPr>
                <w:rFonts w:asciiTheme="minorHAnsi" w:hAnsiTheme="minorHAnsi" w:cstheme="minorHAnsi"/>
              </w:rPr>
            </w:pPr>
            <w:r>
              <w:rPr>
                <w:rFonts w:asciiTheme="minorHAnsi" w:hAnsiTheme="minorHAnsi" w:cstheme="minorHAnsi"/>
              </w:rPr>
              <w:t xml:space="preserve">Subject matter of the Processing </w:t>
            </w:r>
          </w:p>
        </w:tc>
        <w:tc>
          <w:tcPr>
            <w:tcW w:w="7087" w:type="dxa"/>
          </w:tcPr>
          <w:p w14:paraId="3987A648" w14:textId="77777777" w:rsidR="00945511" w:rsidRPr="00945511" w:rsidRDefault="00945511" w:rsidP="00945511">
            <w:pPr>
              <w:pStyle w:val="Tabletext"/>
              <w:rPr>
                <w:rFonts w:asciiTheme="minorHAnsi" w:hAnsiTheme="minorHAnsi" w:cstheme="minorHAnsi"/>
                <w:iCs/>
                <w:shd w:val="clear" w:color="auto" w:fill="FFFF00"/>
              </w:rPr>
            </w:pPr>
            <w:r w:rsidRPr="00945511">
              <w:rPr>
                <w:rFonts w:asciiTheme="minorHAnsi" w:hAnsiTheme="minorHAnsi" w:cstheme="minorHAnsi"/>
                <w:iCs/>
                <w:shd w:val="clear" w:color="auto" w:fill="FFFF00"/>
              </w:rPr>
              <w:t xml:space="preserve">[This should be a high level, short description of what the processing is about i.e. its subject matter of the contract. </w:t>
            </w:r>
          </w:p>
          <w:p w14:paraId="2402FBF6" w14:textId="77777777" w:rsidR="00945511" w:rsidRPr="00945511" w:rsidRDefault="00945511" w:rsidP="00945511">
            <w:pPr>
              <w:pStyle w:val="Tabletext"/>
              <w:rPr>
                <w:rFonts w:asciiTheme="minorHAnsi" w:hAnsiTheme="minorHAnsi" w:cstheme="minorHAnsi"/>
                <w:iCs/>
                <w:shd w:val="clear" w:color="auto" w:fill="FFFF00"/>
              </w:rPr>
            </w:pPr>
          </w:p>
          <w:p w14:paraId="1FC13118" w14:textId="2188E41C" w:rsidR="0099549E" w:rsidRPr="00BD6C5F" w:rsidRDefault="00945511" w:rsidP="00945511">
            <w:pPr>
              <w:pStyle w:val="Tabletext"/>
              <w:rPr>
                <w:rFonts w:asciiTheme="minorHAnsi" w:hAnsiTheme="minorHAnsi" w:cstheme="minorHAnsi"/>
                <w:iCs/>
                <w:shd w:val="clear" w:color="auto" w:fill="FFFF00"/>
              </w:rPr>
            </w:pPr>
            <w:r w:rsidRPr="00945511">
              <w:rPr>
                <w:rFonts w:asciiTheme="minorHAnsi" w:hAnsiTheme="minorHAnsi" w:cstheme="minorHAnsi"/>
                <w:iCs/>
                <w:shd w:val="clear" w:color="auto" w:fill="FFFF00"/>
              </w:rPr>
              <w:t>Example: The processing is needed in order to ensure that the Processor can effectively deliver the contract to provide [insert description of relevant service].</w:t>
            </w:r>
          </w:p>
        </w:tc>
      </w:tr>
      <w:tr w:rsidR="00BC7DDA" w:rsidRPr="00BD6C5F" w14:paraId="44BD1D0A" w14:textId="77777777" w:rsidTr="00C1520C">
        <w:tc>
          <w:tcPr>
            <w:tcW w:w="2438" w:type="dxa"/>
          </w:tcPr>
          <w:p w14:paraId="251A3D5E" w14:textId="77777777" w:rsidR="00BC7DDA" w:rsidRPr="00BD6C5F" w:rsidRDefault="009B03E9" w:rsidP="00C1520C">
            <w:pPr>
              <w:pStyle w:val="Tabletext"/>
              <w:rPr>
                <w:rFonts w:asciiTheme="minorHAnsi" w:hAnsiTheme="minorHAnsi" w:cstheme="minorHAnsi"/>
              </w:rPr>
            </w:pPr>
            <w:r w:rsidRPr="00BD6C5F">
              <w:rPr>
                <w:rFonts w:asciiTheme="minorHAnsi" w:hAnsiTheme="minorHAnsi" w:cstheme="minorHAnsi"/>
              </w:rPr>
              <w:t>Nature and purposes of the processing</w:t>
            </w:r>
          </w:p>
        </w:tc>
        <w:tc>
          <w:tcPr>
            <w:tcW w:w="7087" w:type="dxa"/>
          </w:tcPr>
          <w:p w14:paraId="7AB1001C" w14:textId="77777777"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shd w:val="clear" w:color="auto" w:fill="FFFF00"/>
              </w:rPr>
              <w:t>[Please be as specific as possible, but make sure that you</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cover all intended purposes.</w:t>
            </w:r>
          </w:p>
          <w:p w14:paraId="735E1E84" w14:textId="77777777"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shd w:val="clear" w:color="auto" w:fill="FFFF00"/>
              </w:rPr>
              <w:t>T</w:t>
            </w:r>
            <w:r w:rsidRPr="002D3DCF">
              <w:rPr>
                <w:rFonts w:asciiTheme="minorHAnsi" w:hAnsiTheme="minorHAnsi" w:cstheme="minorHAnsi"/>
                <w:iCs/>
                <w:highlight w:val="yellow"/>
                <w:shd w:val="clear" w:color="auto" w:fill="FFFF00"/>
              </w:rPr>
              <w:t>he nature of the processing means any operation such as</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collection, recording, organisation, structuring, storage,</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adaptation or alteration, retrieval, consultation, use,</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disclosure by transmission, dissemination or otherwise</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making available, alignment or combination, restriction,</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erasure or destruction of data (whether or not by automated</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means) etc.</w:t>
            </w:r>
          </w:p>
          <w:p w14:paraId="7CC5A0F7" w14:textId="77777777"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highlight w:val="yellow"/>
              </w:rPr>
              <w:t>The purpose might include: employment processing, statutory obligation, recruitment assessment etc]</w:t>
            </w:r>
          </w:p>
        </w:tc>
      </w:tr>
      <w:tr w:rsidR="00BC7DDA" w:rsidRPr="00BD6C5F" w14:paraId="02C83E82" w14:textId="77777777" w:rsidTr="00C1520C">
        <w:tc>
          <w:tcPr>
            <w:tcW w:w="2438" w:type="dxa"/>
          </w:tcPr>
          <w:p w14:paraId="260FE579" w14:textId="6EDC2695" w:rsidR="00BC7DDA" w:rsidRPr="00BD6C5F" w:rsidRDefault="009B03E9" w:rsidP="00C1520C">
            <w:pPr>
              <w:pStyle w:val="Tabletext"/>
              <w:rPr>
                <w:rFonts w:asciiTheme="minorHAnsi" w:hAnsiTheme="minorHAnsi" w:cstheme="minorHAnsi"/>
              </w:rPr>
            </w:pPr>
            <w:r w:rsidRPr="00BD6C5F">
              <w:rPr>
                <w:rFonts w:asciiTheme="minorHAnsi" w:hAnsiTheme="minorHAnsi" w:cstheme="minorHAnsi"/>
              </w:rPr>
              <w:lastRenderedPageBreak/>
              <w:t>Type of Personal Data</w:t>
            </w:r>
            <w:r w:rsidR="00945511">
              <w:rPr>
                <w:rFonts w:asciiTheme="minorHAnsi" w:hAnsiTheme="minorHAnsi" w:cstheme="minorHAnsi"/>
              </w:rPr>
              <w:t xml:space="preserve"> being processed</w:t>
            </w:r>
          </w:p>
        </w:tc>
        <w:tc>
          <w:tcPr>
            <w:tcW w:w="7087" w:type="dxa"/>
          </w:tcPr>
          <w:p w14:paraId="4AE30875" w14:textId="77777777"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rPr>
              <w:t>[</w:t>
            </w:r>
            <w:r w:rsidRPr="00BD6C5F">
              <w:rPr>
                <w:rFonts w:asciiTheme="minorHAnsi" w:hAnsiTheme="minorHAnsi" w:cstheme="minorHAnsi"/>
                <w:iCs/>
                <w:highlight w:val="yellow"/>
              </w:rPr>
              <w:t>Examples here include: name, address, date of birth, NI number, telephone number, pay, images, biometric data etc]</w:t>
            </w:r>
          </w:p>
        </w:tc>
      </w:tr>
      <w:tr w:rsidR="00BC7DDA" w:rsidRPr="00BD6C5F" w14:paraId="3B9A0649" w14:textId="77777777" w:rsidTr="00C1520C">
        <w:tc>
          <w:tcPr>
            <w:tcW w:w="2438" w:type="dxa"/>
          </w:tcPr>
          <w:p w14:paraId="5712B813" w14:textId="77777777" w:rsidR="00BC7DDA" w:rsidRPr="00BD6C5F" w:rsidRDefault="009B03E9" w:rsidP="00C1520C">
            <w:pPr>
              <w:pStyle w:val="Tabletext"/>
              <w:rPr>
                <w:rFonts w:asciiTheme="minorHAnsi" w:hAnsiTheme="minorHAnsi" w:cstheme="minorHAnsi"/>
              </w:rPr>
            </w:pPr>
            <w:r w:rsidRPr="00BD6C5F">
              <w:rPr>
                <w:rFonts w:asciiTheme="minorHAnsi" w:hAnsiTheme="minorHAnsi" w:cstheme="minorHAnsi"/>
              </w:rPr>
              <w:t>Categories of Data Subject</w:t>
            </w:r>
          </w:p>
        </w:tc>
        <w:tc>
          <w:tcPr>
            <w:tcW w:w="7087" w:type="dxa"/>
          </w:tcPr>
          <w:p w14:paraId="042C8940" w14:textId="5BAAC546" w:rsidR="00BC7DDA" w:rsidRPr="00BD6C5F" w:rsidRDefault="009B03E9" w:rsidP="00C1520C">
            <w:pPr>
              <w:pStyle w:val="Tabletext"/>
              <w:rPr>
                <w:rFonts w:asciiTheme="minorHAnsi" w:hAnsiTheme="minorHAnsi" w:cstheme="minorHAnsi"/>
                <w:iCs/>
              </w:rPr>
            </w:pPr>
            <w:r w:rsidRPr="00BD6C5F">
              <w:rPr>
                <w:rFonts w:asciiTheme="minorHAnsi" w:hAnsiTheme="minorHAnsi" w:cstheme="minorHAnsi"/>
                <w:iCs/>
                <w:shd w:val="clear" w:color="auto" w:fill="FFFF00"/>
              </w:rPr>
              <w:t>[</w:t>
            </w:r>
            <w:r w:rsidRPr="002D3DCF">
              <w:rPr>
                <w:rFonts w:asciiTheme="minorHAnsi" w:hAnsiTheme="minorHAnsi" w:cstheme="minorHAnsi"/>
                <w:iCs/>
                <w:highlight w:val="yellow"/>
                <w:shd w:val="clear" w:color="auto" w:fill="FFFF00"/>
              </w:rPr>
              <w:t>Examples include: Staff (including volunteers, agents, and</w:t>
            </w:r>
            <w:r w:rsidRPr="002D3DCF">
              <w:rPr>
                <w:rFonts w:asciiTheme="minorHAnsi" w:hAnsiTheme="minorHAnsi" w:cstheme="minorHAnsi"/>
                <w:iCs/>
                <w:highlight w:val="yellow"/>
              </w:rPr>
              <w:t xml:space="preserve"> </w:t>
            </w:r>
            <w:r w:rsidRPr="002D3DCF">
              <w:rPr>
                <w:rFonts w:asciiTheme="minorHAnsi" w:hAnsiTheme="minorHAnsi" w:cstheme="minorHAnsi"/>
                <w:iCs/>
                <w:highlight w:val="yellow"/>
                <w:shd w:val="clear" w:color="auto" w:fill="FFFF00"/>
              </w:rPr>
              <w:t>temporary workers), customers/ clients, suppliers, patients,</w:t>
            </w:r>
            <w:r w:rsidR="00C1520C" w:rsidRPr="002D3DCF">
              <w:rPr>
                <w:rFonts w:asciiTheme="minorHAnsi" w:hAnsiTheme="minorHAnsi" w:cstheme="minorHAnsi"/>
                <w:iCs/>
                <w:highlight w:val="yellow"/>
                <w:shd w:val="clear" w:color="auto" w:fill="FFFF00"/>
              </w:rPr>
              <w:t xml:space="preserve"> students / pupils, members of the public, users of a</w:t>
            </w:r>
            <w:r w:rsidR="00C1520C" w:rsidRPr="002D3DCF">
              <w:rPr>
                <w:rFonts w:asciiTheme="minorHAnsi" w:hAnsiTheme="minorHAnsi" w:cstheme="minorHAnsi"/>
                <w:iCs/>
                <w:highlight w:val="yellow"/>
              </w:rPr>
              <w:t xml:space="preserve"> </w:t>
            </w:r>
            <w:r w:rsidR="00C1520C" w:rsidRPr="002D3DCF">
              <w:rPr>
                <w:rFonts w:asciiTheme="minorHAnsi" w:hAnsiTheme="minorHAnsi" w:cstheme="minorHAnsi"/>
                <w:iCs/>
                <w:highlight w:val="yellow"/>
                <w:shd w:val="clear" w:color="auto" w:fill="FFFF00"/>
              </w:rPr>
              <w:t>particular website etc]</w:t>
            </w:r>
          </w:p>
        </w:tc>
      </w:tr>
      <w:tr w:rsidR="00C1520C" w:rsidRPr="00BD6C5F" w14:paraId="4217BF0B" w14:textId="77777777" w:rsidTr="00C1520C">
        <w:tc>
          <w:tcPr>
            <w:tcW w:w="2438" w:type="dxa"/>
          </w:tcPr>
          <w:p w14:paraId="75FFB54E" w14:textId="77777777"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Plan for return and destruction of the data once the processing is complete</w:t>
            </w:r>
          </w:p>
          <w:p w14:paraId="31FBE431" w14:textId="6DDB634D"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UNLESS requirement under Law to preserve that type of data</w:t>
            </w:r>
          </w:p>
        </w:tc>
        <w:tc>
          <w:tcPr>
            <w:tcW w:w="7087" w:type="dxa"/>
          </w:tcPr>
          <w:p w14:paraId="276E008C" w14:textId="3C035285" w:rsidR="00C1520C" w:rsidRPr="00BD6C5F" w:rsidRDefault="00C1520C" w:rsidP="00C1520C">
            <w:pPr>
              <w:pStyle w:val="Tabletext"/>
              <w:rPr>
                <w:rFonts w:asciiTheme="minorHAnsi" w:hAnsiTheme="minorHAnsi" w:cstheme="minorHAnsi"/>
                <w:iCs/>
                <w:shd w:val="clear" w:color="auto" w:fill="FFFF00"/>
              </w:rPr>
            </w:pPr>
            <w:r w:rsidRPr="00BD6C5F">
              <w:rPr>
                <w:rFonts w:asciiTheme="minorHAnsi" w:hAnsiTheme="minorHAnsi" w:cstheme="minorHAnsi"/>
                <w:iCs/>
                <w:shd w:val="clear" w:color="auto" w:fill="FFFF00"/>
              </w:rPr>
              <w:t>[Describe how long the data will be retained for, how it be</w:t>
            </w:r>
            <w:r w:rsidRPr="00BD6C5F">
              <w:rPr>
                <w:rFonts w:asciiTheme="minorHAnsi" w:hAnsiTheme="minorHAnsi" w:cstheme="minorHAnsi"/>
                <w:iCs/>
              </w:rPr>
              <w:t xml:space="preserve"> </w:t>
            </w:r>
            <w:r w:rsidRPr="00BD6C5F">
              <w:rPr>
                <w:rFonts w:asciiTheme="minorHAnsi" w:hAnsiTheme="minorHAnsi" w:cstheme="minorHAnsi"/>
                <w:iCs/>
                <w:shd w:val="clear" w:color="auto" w:fill="FFFF00"/>
              </w:rPr>
              <w:t>returned or destroyed]</w:t>
            </w:r>
          </w:p>
        </w:tc>
      </w:tr>
      <w:tr w:rsidR="00C1520C" w:rsidRPr="00BD6C5F" w14:paraId="56D7CAC2" w14:textId="77777777" w:rsidTr="00C1520C">
        <w:tc>
          <w:tcPr>
            <w:tcW w:w="2438" w:type="dxa"/>
          </w:tcPr>
          <w:p w14:paraId="3932B07F" w14:textId="2B457671"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Locations at which the Supplier and/or its Sub-contractors process Personal Data under this Contract</w:t>
            </w:r>
            <w:r w:rsidR="00945511">
              <w:rPr>
                <w:rFonts w:asciiTheme="minorHAnsi" w:hAnsiTheme="minorHAnsi" w:cstheme="minorHAnsi"/>
              </w:rPr>
              <w:t xml:space="preserve"> and </w:t>
            </w:r>
            <w:r w:rsidR="0041418C">
              <w:rPr>
                <w:rFonts w:asciiTheme="minorHAnsi" w:hAnsiTheme="minorHAnsi" w:cstheme="minorHAnsi"/>
              </w:rPr>
              <w:t>i</w:t>
            </w:r>
            <w:r w:rsidR="00945511">
              <w:rPr>
                <w:rFonts w:asciiTheme="minorHAnsi" w:hAnsiTheme="minorHAnsi" w:cstheme="minorHAnsi"/>
              </w:rPr>
              <w:t xml:space="preserve">nternational transfers </w:t>
            </w:r>
            <w:r w:rsidR="0092731E">
              <w:rPr>
                <w:rFonts w:asciiTheme="minorHAnsi" w:hAnsiTheme="minorHAnsi" w:cstheme="minorHAnsi"/>
              </w:rPr>
              <w:t>and legal gateway</w:t>
            </w:r>
          </w:p>
        </w:tc>
        <w:tc>
          <w:tcPr>
            <w:tcW w:w="7087" w:type="dxa"/>
          </w:tcPr>
          <w:p w14:paraId="68A9D831" w14:textId="706F94B7" w:rsidR="00C1520C" w:rsidRPr="00BD6C5F" w:rsidRDefault="00C1520C" w:rsidP="00C1520C">
            <w:pPr>
              <w:pStyle w:val="Tabletext"/>
              <w:rPr>
                <w:rFonts w:asciiTheme="minorHAnsi" w:hAnsiTheme="minorHAnsi" w:cstheme="minorHAnsi"/>
                <w:iCs/>
                <w:shd w:val="clear" w:color="auto" w:fill="FFFF00"/>
              </w:rPr>
            </w:pPr>
            <w:r w:rsidRPr="00BD6C5F">
              <w:rPr>
                <w:rFonts w:asciiTheme="minorHAnsi" w:hAnsiTheme="minorHAnsi" w:cstheme="minorHAnsi"/>
                <w:iCs/>
                <w:highlight w:val="yellow"/>
              </w:rPr>
              <w:t>[Clearly identify each location</w:t>
            </w:r>
            <w:r w:rsidR="00B76944" w:rsidRPr="00B76944">
              <w:rPr>
                <w:rFonts w:asciiTheme="minorHAnsi" w:hAnsiTheme="minorHAnsi" w:cstheme="minorHAnsi"/>
                <w:iCs/>
                <w:highlight w:val="yellow"/>
              </w:rPr>
              <w:t>, explain where geographically personal data may be stored or accessed from. Explain the legal gateway you are relying on to export the data e.g. adequacy decision, EU SCCs, UK IDTA. Annex any SCCs or IDTA to this contract]</w:t>
            </w:r>
          </w:p>
        </w:tc>
      </w:tr>
      <w:tr w:rsidR="00C1520C" w:rsidRPr="00BD6C5F" w14:paraId="159FF67C" w14:textId="77777777" w:rsidTr="00C1520C">
        <w:tc>
          <w:tcPr>
            <w:tcW w:w="2438" w:type="dxa"/>
          </w:tcPr>
          <w:p w14:paraId="38DA256D" w14:textId="19C85836" w:rsidR="00C1520C" w:rsidRPr="00BD6C5F" w:rsidRDefault="00C1520C" w:rsidP="00C1520C">
            <w:pPr>
              <w:pStyle w:val="Tabletext"/>
              <w:rPr>
                <w:rFonts w:asciiTheme="minorHAnsi" w:hAnsiTheme="minorHAnsi" w:cstheme="minorHAnsi"/>
              </w:rPr>
            </w:pPr>
            <w:r w:rsidRPr="00BD6C5F">
              <w:rPr>
                <w:rFonts w:asciiTheme="minorHAnsi" w:hAnsiTheme="minorHAnsi" w:cstheme="minorHAnsi"/>
              </w:rPr>
              <w:t xml:space="preserve">Protective Measures that the Supplier and, where applicable, its Sub-contractors have implemented to protect Personal Data processed under this Contract against a breach of security (insofar as that breach of security relates to data) or a </w:t>
            </w:r>
            <w:r w:rsidR="00050394">
              <w:rPr>
                <w:rFonts w:asciiTheme="minorHAnsi" w:hAnsiTheme="minorHAnsi" w:cstheme="minorHAnsi"/>
              </w:rPr>
              <w:t>Data Loss Event</w:t>
            </w:r>
          </w:p>
        </w:tc>
        <w:tc>
          <w:tcPr>
            <w:tcW w:w="7087" w:type="dxa"/>
          </w:tcPr>
          <w:p w14:paraId="23DAA2B0" w14:textId="232A5BE5" w:rsidR="00C1520C" w:rsidRPr="00BD6C5F" w:rsidRDefault="00C1520C" w:rsidP="00C1520C">
            <w:pPr>
              <w:pStyle w:val="Tabletext"/>
              <w:rPr>
                <w:rFonts w:asciiTheme="minorHAnsi" w:hAnsiTheme="minorHAnsi" w:cstheme="minorHAnsi"/>
                <w:iCs/>
                <w:shd w:val="clear" w:color="auto" w:fill="FFFF00"/>
              </w:rPr>
            </w:pPr>
            <w:r w:rsidRPr="00BD6C5F">
              <w:rPr>
                <w:rFonts w:asciiTheme="minorHAnsi" w:hAnsiTheme="minorHAnsi" w:cstheme="minorHAnsi"/>
                <w:iCs/>
                <w:highlight w:val="yellow"/>
              </w:rPr>
              <w:t>[Please be as specific as possible]</w:t>
            </w:r>
          </w:p>
        </w:tc>
      </w:tr>
    </w:tbl>
    <w:p w14:paraId="1EEFF48A" w14:textId="147D6574" w:rsidR="00BC7DDA" w:rsidRPr="00BD6C5F" w:rsidRDefault="00CC72E1">
      <w:pPr>
        <w:rPr>
          <w:rFonts w:asciiTheme="minorHAnsi" w:hAnsiTheme="minorHAnsi" w:cstheme="minorHAnsi"/>
          <w:szCs w:val="24"/>
        </w:rPr>
      </w:pPr>
      <w:r w:rsidRPr="00BD6C5F">
        <w:rPr>
          <w:rFonts w:asciiTheme="minorHAnsi" w:hAnsiTheme="minorHAnsi" w:cstheme="minorHAnsi"/>
          <w:noProof/>
          <w:szCs w:val="24"/>
          <w:lang w:eastAsia="en-GB" w:bidi="ar-SA"/>
        </w:rPr>
        <mc:AlternateContent>
          <mc:Choice Requires="wps">
            <w:drawing>
              <wp:anchor distT="0" distB="0" distL="114300" distR="114300" simplePos="0" relativeHeight="255630336" behindDoc="1" locked="0" layoutInCell="1" allowOverlap="1" wp14:anchorId="2BFCA57A" wp14:editId="29A9DCF2">
                <wp:simplePos x="0" y="0"/>
                <wp:positionH relativeFrom="page">
                  <wp:posOffset>4999990</wp:posOffset>
                </wp:positionH>
                <wp:positionV relativeFrom="page">
                  <wp:posOffset>16362680</wp:posOffset>
                </wp:positionV>
                <wp:extent cx="3535045" cy="349250"/>
                <wp:effectExtent l="0" t="0" r="0" b="0"/>
                <wp:wrapNone/>
                <wp:docPr id="24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35045" cy="349250"/>
                        </a:xfrm>
                        <a:custGeom>
                          <a:avLst/>
                          <a:gdLst>
                            <a:gd name="T0" fmla="+- 0 9505 3937"/>
                            <a:gd name="T1" fmla="*/ T0 w 5568"/>
                            <a:gd name="T2" fmla="+- 0 12884 12884"/>
                            <a:gd name="T3" fmla="*/ 12884 h 550"/>
                            <a:gd name="T4" fmla="+- 0 3937 3937"/>
                            <a:gd name="T5" fmla="*/ T4 w 5568"/>
                            <a:gd name="T6" fmla="+- 0 12884 12884"/>
                            <a:gd name="T7" fmla="*/ 12884 h 550"/>
                            <a:gd name="T8" fmla="+- 0 3937 3937"/>
                            <a:gd name="T9" fmla="*/ T8 w 5568"/>
                            <a:gd name="T10" fmla="+- 0 13159 12884"/>
                            <a:gd name="T11" fmla="*/ 13159 h 550"/>
                            <a:gd name="T12" fmla="+- 0 3937 3937"/>
                            <a:gd name="T13" fmla="*/ T12 w 5568"/>
                            <a:gd name="T14" fmla="+- 0 13434 12884"/>
                            <a:gd name="T15" fmla="*/ 13434 h 550"/>
                            <a:gd name="T16" fmla="+- 0 9085 3937"/>
                            <a:gd name="T17" fmla="*/ T16 w 5568"/>
                            <a:gd name="T18" fmla="+- 0 13434 12884"/>
                            <a:gd name="T19" fmla="*/ 13434 h 550"/>
                            <a:gd name="T20" fmla="+- 0 9085 3937"/>
                            <a:gd name="T21" fmla="*/ T20 w 5568"/>
                            <a:gd name="T22" fmla="+- 0 13159 12884"/>
                            <a:gd name="T23" fmla="*/ 13159 h 550"/>
                            <a:gd name="T24" fmla="+- 0 9505 3937"/>
                            <a:gd name="T25" fmla="*/ T24 w 5568"/>
                            <a:gd name="T26" fmla="+- 0 13159 12884"/>
                            <a:gd name="T27" fmla="*/ 13159 h 550"/>
                            <a:gd name="T28" fmla="+- 0 9505 3937"/>
                            <a:gd name="T29" fmla="*/ T28 w 5568"/>
                            <a:gd name="T30" fmla="+- 0 12884 12884"/>
                            <a:gd name="T31" fmla="*/ 12884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68" h="550">
                              <a:moveTo>
                                <a:pt x="5568" y="0"/>
                              </a:moveTo>
                              <a:lnTo>
                                <a:pt x="0" y="0"/>
                              </a:lnTo>
                              <a:lnTo>
                                <a:pt x="0" y="275"/>
                              </a:lnTo>
                              <a:lnTo>
                                <a:pt x="0" y="550"/>
                              </a:lnTo>
                              <a:lnTo>
                                <a:pt x="5148" y="550"/>
                              </a:lnTo>
                              <a:lnTo>
                                <a:pt x="5148" y="275"/>
                              </a:lnTo>
                              <a:lnTo>
                                <a:pt x="5568" y="275"/>
                              </a:lnTo>
                              <a:lnTo>
                                <a:pt x="5568"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8A36" id="Freeform 13" o:spid="_x0000_s1026" style="position:absolute;margin-left:393.7pt;margin-top:1288.4pt;width:278.35pt;height:27.5pt;z-index:-2476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" path="m5568,l,,,275,,550r5148,l5148,275r420,l5568,e" fillcolor="yellow" stroked="f">
                <v:path arrowok="t" o:connecttype="custom" o:connectlocs="3535045,8181340;0,8181340;0,8355965;0,8530590;3268393,8530590;3268393,8355965;3535045,8355965;3535045,8181340" o:connectangles="0,0,0,0,0,0,0,0"/>
                <o:lock v:ext="edit" verticies="t"/>
                <w10:wrap anchorx="page" anchory="page"/>
              </v:shape>
            </w:pict>
          </mc:Fallback>
        </mc:AlternateContent>
      </w:r>
      <w:r w:rsidRPr="00BD6C5F">
        <w:rPr>
          <w:rFonts w:asciiTheme="minorHAnsi" w:hAnsiTheme="minorHAnsi" w:cstheme="minorHAnsi"/>
          <w:noProof/>
          <w:szCs w:val="24"/>
          <w:lang w:eastAsia="en-GB" w:bidi="ar-SA"/>
        </w:rPr>
        <mc:AlternateContent>
          <mc:Choice Requires="wps">
            <w:drawing>
              <wp:anchor distT="0" distB="0" distL="114300" distR="114300" simplePos="0" relativeHeight="255645696" behindDoc="1" locked="0" layoutInCell="1" allowOverlap="1" wp14:anchorId="16651676" wp14:editId="2A8AC1B1">
                <wp:simplePos x="0" y="0"/>
                <wp:positionH relativeFrom="page">
                  <wp:posOffset>4999990</wp:posOffset>
                </wp:positionH>
                <wp:positionV relativeFrom="page">
                  <wp:posOffset>17454880</wp:posOffset>
                </wp:positionV>
                <wp:extent cx="4065905" cy="352425"/>
                <wp:effectExtent l="0" t="0" r="0" b="0"/>
                <wp:wrapNone/>
                <wp:docPr id="2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5905" cy="352425"/>
                        </a:xfrm>
                        <a:custGeom>
                          <a:avLst/>
                          <a:gdLst>
                            <a:gd name="T0" fmla="+- 0 10340 3937"/>
                            <a:gd name="T1" fmla="*/ T0 w 6403"/>
                            <a:gd name="T2" fmla="+- 0 14024 13744"/>
                            <a:gd name="T3" fmla="*/ 14024 h 555"/>
                            <a:gd name="T4" fmla="+- 0 9929 3937"/>
                            <a:gd name="T5" fmla="*/ T4 w 6403"/>
                            <a:gd name="T6" fmla="+- 0 14024 13744"/>
                            <a:gd name="T7" fmla="*/ 14024 h 555"/>
                            <a:gd name="T8" fmla="+- 0 9929 3937"/>
                            <a:gd name="T9" fmla="*/ T8 w 6403"/>
                            <a:gd name="T10" fmla="+- 0 13744 13744"/>
                            <a:gd name="T11" fmla="*/ 13744 h 555"/>
                            <a:gd name="T12" fmla="+- 0 3937 3937"/>
                            <a:gd name="T13" fmla="*/ T12 w 6403"/>
                            <a:gd name="T14" fmla="+- 0 13744 13744"/>
                            <a:gd name="T15" fmla="*/ 13744 h 555"/>
                            <a:gd name="T16" fmla="+- 0 3937 3937"/>
                            <a:gd name="T17" fmla="*/ T16 w 6403"/>
                            <a:gd name="T18" fmla="+- 0 14024 13744"/>
                            <a:gd name="T19" fmla="*/ 14024 h 555"/>
                            <a:gd name="T20" fmla="+- 0 3937 3937"/>
                            <a:gd name="T21" fmla="*/ T20 w 6403"/>
                            <a:gd name="T22" fmla="+- 0 14299 13744"/>
                            <a:gd name="T23" fmla="*/ 14299 h 555"/>
                            <a:gd name="T24" fmla="+- 0 10340 3937"/>
                            <a:gd name="T25" fmla="*/ T24 w 6403"/>
                            <a:gd name="T26" fmla="+- 0 14299 13744"/>
                            <a:gd name="T27" fmla="*/ 14299 h 555"/>
                            <a:gd name="T28" fmla="+- 0 10340 3937"/>
                            <a:gd name="T29" fmla="*/ T28 w 6403"/>
                            <a:gd name="T30" fmla="+- 0 14024 13744"/>
                            <a:gd name="T31" fmla="*/ 14024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3" h="555">
                              <a:moveTo>
                                <a:pt x="6403" y="280"/>
                              </a:moveTo>
                              <a:lnTo>
                                <a:pt x="5992" y="280"/>
                              </a:lnTo>
                              <a:lnTo>
                                <a:pt x="5992" y="0"/>
                              </a:lnTo>
                              <a:lnTo>
                                <a:pt x="0" y="0"/>
                              </a:lnTo>
                              <a:lnTo>
                                <a:pt x="0" y="280"/>
                              </a:lnTo>
                              <a:lnTo>
                                <a:pt x="0" y="555"/>
                              </a:lnTo>
                              <a:lnTo>
                                <a:pt x="6403" y="555"/>
                              </a:lnTo>
                              <a:lnTo>
                                <a:pt x="6403" y="2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32B1E" id="Freeform 12" o:spid="_x0000_s1026" style="position:absolute;z-index:-2476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3.85pt,1388.4pt,693.3pt,1388.4pt,693.3pt,1374.4pt,393.7pt,1374.4pt,393.7pt,1388.4pt,393.7pt,1402.15pt,713.85pt,1402.15pt,713.85pt,1388.4pt" coordsize="64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" fillcolor="yellow" stroked="f">
                <v:path arrowok="t" o:connecttype="custom" o:connectlocs="4065905,8905240;3804920,8905240;3804920,8727440;0,8727440;0,8905240;0,9079865;4065905,9079865;4065905,8905240" o:connectangles="0,0,0,0,0,0,0,0"/>
                <o:lock v:ext="edit" verticies="t"/>
                <w10:wrap anchorx="page" anchory="page"/>
              </v:polyline>
            </w:pict>
          </mc:Fallback>
        </mc:AlternateContent>
      </w:r>
    </w:p>
    <w:p w14:paraId="215EC1F8" w14:textId="1C46BA23" w:rsidR="00BC7DDA" w:rsidRPr="00BD6C5F" w:rsidRDefault="00AA48C6" w:rsidP="00F762C3">
      <w:pPr>
        <w:pStyle w:val="Heading2"/>
        <w:pageBreakBefore/>
        <w:widowControl/>
      </w:pPr>
      <w:bookmarkStart w:id="1856" w:name="_bookmark615"/>
      <w:bookmarkStart w:id="1857" w:name="_Toc98332797"/>
      <w:bookmarkStart w:id="1858" w:name="_Toc141721066"/>
      <w:bookmarkEnd w:id="1856"/>
      <w:r w:rsidRPr="00BD6C5F">
        <w:lastRenderedPageBreak/>
        <w:t xml:space="preserve">Annex </w:t>
      </w:r>
      <w:bookmarkStart w:id="1859" w:name="Schedule_31_Annex_1"/>
      <w:r w:rsidRPr="00BD6C5F">
        <w:t>1</w:t>
      </w:r>
      <w:bookmarkEnd w:id="1859"/>
      <w:r w:rsidRPr="00BD6C5F">
        <w:t>: Joint Controller Agreement</w:t>
      </w:r>
      <w:bookmarkEnd w:id="1857"/>
      <w:bookmarkEnd w:id="1858"/>
    </w:p>
    <w:p w14:paraId="0AB9BBA9" w14:textId="77777777" w:rsidR="00BC7DDA" w:rsidRPr="00BD6C5F" w:rsidRDefault="009B03E9" w:rsidP="00B71FC0">
      <w:pPr>
        <w:pStyle w:val="AppendixText1"/>
        <w:numPr>
          <w:ilvl w:val="0"/>
          <w:numId w:val="168"/>
        </w:numPr>
      </w:pPr>
      <w:r w:rsidRPr="00BD6C5F">
        <w:t>Joint Controller Status and Allocation of Responsibilities</w:t>
      </w:r>
    </w:p>
    <w:p w14:paraId="126107DB" w14:textId="1B545D78" w:rsidR="00BC7DDA" w:rsidRPr="00BD6C5F" w:rsidRDefault="009B03E9" w:rsidP="00F762C3">
      <w:pPr>
        <w:pStyle w:val="AppendixText2"/>
      </w:pPr>
      <w:r w:rsidRPr="00BD6C5F">
        <w:t xml:space="preserve">With respect to Personal Data under </w:t>
      </w:r>
      <w:r w:rsidR="00C6254B" w:rsidRPr="00BD6C5F">
        <w:t>j</w:t>
      </w:r>
      <w:r w:rsidRPr="00BD6C5F">
        <w:t xml:space="preserve">oint </w:t>
      </w:r>
      <w:r w:rsidR="00C6254B" w:rsidRPr="00BD6C5F">
        <w:t>c</w:t>
      </w:r>
      <w:r w:rsidRPr="00BD6C5F">
        <w:t xml:space="preserve">ontrol of the Parties, the Parties envisage that they shall each be a Data Controller in respect of that Personal Data in accordance with the terms of this Annex </w:t>
      </w:r>
      <w:r w:rsidR="002B77C3">
        <w:fldChar w:fldCharType="begin"/>
      </w:r>
      <w:r w:rsidR="002B77C3">
        <w:instrText xml:space="preserve"> REF Schedule_31_Annex_1 \h </w:instrText>
      </w:r>
      <w:r w:rsidR="002B77C3">
        <w:fldChar w:fldCharType="separate"/>
      </w:r>
      <w:r w:rsidR="009749A0" w:rsidRPr="00BD6C5F">
        <w:t>1</w:t>
      </w:r>
      <w:r w:rsidR="002B77C3">
        <w:fldChar w:fldCharType="end"/>
      </w:r>
      <w:r w:rsidRPr="00BD6C5F">
        <w:t xml:space="preserve"> (</w:t>
      </w:r>
      <w:r w:rsidRPr="00BD6C5F">
        <w:rPr>
          <w:i/>
        </w:rPr>
        <w:t>Joint Controller Agreement</w:t>
      </w:r>
      <w:r w:rsidRPr="00BD6C5F">
        <w:t xml:space="preserve">) in replacement of </w:t>
      </w:r>
      <w:r w:rsidR="005E736B" w:rsidRPr="00BD6C5F">
        <w:t>Clause </w:t>
      </w:r>
      <w:r w:rsidRPr="00BD6C5F">
        <w:t>2</w:t>
      </w:r>
      <w:r w:rsidR="00C6254B" w:rsidRPr="00BD6C5F">
        <w:t>1</w:t>
      </w:r>
      <w:r w:rsidRPr="00BD6C5F">
        <w:t>.2-2</w:t>
      </w:r>
      <w:r w:rsidR="00C6254B" w:rsidRPr="00BD6C5F">
        <w:t>1</w:t>
      </w:r>
      <w:r w:rsidRPr="00BD6C5F">
        <w:t>.15 (</w:t>
      </w:r>
      <w:r w:rsidRPr="00BD6C5F">
        <w:rPr>
          <w:i/>
        </w:rPr>
        <w:t>Where one Party is Controller and the other Party is Processor</w:t>
      </w:r>
      <w:r w:rsidRPr="00BD6C5F">
        <w:t>) and 2</w:t>
      </w:r>
      <w:r w:rsidR="00C6254B" w:rsidRPr="00BD6C5F">
        <w:t>1</w:t>
      </w:r>
      <w:r w:rsidRPr="00BD6C5F">
        <w:t>.17-2</w:t>
      </w:r>
      <w:r w:rsidR="00C6254B" w:rsidRPr="00BD6C5F">
        <w:t>1</w:t>
      </w:r>
      <w:r w:rsidRPr="00BD6C5F">
        <w:t>.27 (</w:t>
      </w:r>
      <w:r w:rsidRPr="00BD6C5F">
        <w:rPr>
          <w:i/>
        </w:rPr>
        <w:t>Independent Controllers of Personal Data</w:t>
      </w:r>
      <w:r w:rsidRPr="00BD6C5F">
        <w:t>). Accordingly, the Parties each undertake to comply with the applicable Data Protection Legislation in respect of their Processing of such Personal Data as Data Controllers.</w:t>
      </w:r>
    </w:p>
    <w:p w14:paraId="2F771EA6" w14:textId="77777777" w:rsidR="00BC7DDA" w:rsidRPr="00BD6C5F" w:rsidRDefault="009B03E9" w:rsidP="00FD4E48">
      <w:pPr>
        <w:pStyle w:val="AppendixText2"/>
        <w:keepNext/>
      </w:pPr>
      <w:bookmarkStart w:id="1860" w:name="_bookmark616"/>
      <w:bookmarkStart w:id="1861" w:name="_Ref98429964"/>
      <w:bookmarkEnd w:id="1860"/>
      <w:r w:rsidRPr="00BD6C5F">
        <w:t xml:space="preserve">The Parties agree that the </w:t>
      </w:r>
      <w:r w:rsidRPr="002D3DCF">
        <w:rPr>
          <w:shd w:val="clear" w:color="auto" w:fill="FFFF00"/>
        </w:rPr>
        <w:t>[Supplier/Authority]</w:t>
      </w:r>
      <w:r w:rsidRPr="00BD6C5F">
        <w:t>:</w:t>
      </w:r>
      <w:bookmarkEnd w:id="1861"/>
    </w:p>
    <w:p w14:paraId="07DF81BA" w14:textId="2E135F49" w:rsidR="00BC7DDA" w:rsidRPr="00BD6C5F" w:rsidRDefault="009B03E9" w:rsidP="00F762C3">
      <w:pPr>
        <w:pStyle w:val="AppendixText3"/>
      </w:pPr>
      <w:r w:rsidRPr="00BD6C5F">
        <w:t xml:space="preserve">is the exclusive point of contact for Data Subjects and is responsible for all steps necessary to comply with the </w:t>
      </w:r>
      <w:r w:rsidR="003E5BFE" w:rsidRPr="00BD6C5F">
        <w:t xml:space="preserve">UK </w:t>
      </w:r>
      <w:r w:rsidRPr="00BD6C5F">
        <w:t>GDPR regarding the exercise by Data Subjects of their rights under the</w:t>
      </w:r>
      <w:r w:rsidR="003E5BFE" w:rsidRPr="00BD6C5F">
        <w:t xml:space="preserve"> UK</w:t>
      </w:r>
      <w:r w:rsidRPr="00BD6C5F">
        <w:t xml:space="preserve"> GDPR;</w:t>
      </w:r>
    </w:p>
    <w:p w14:paraId="2480719F" w14:textId="77777777" w:rsidR="00BC7DDA" w:rsidRPr="00BD6C5F" w:rsidRDefault="009B03E9" w:rsidP="00F762C3">
      <w:pPr>
        <w:pStyle w:val="AppendixText3"/>
      </w:pPr>
      <w:r w:rsidRPr="00BD6C5F">
        <w:t>shall direct Data Subjects to its Data Protection Officer or suitable alternative in connection with the exercise of their rights as Data Subjects and for any enquiries concerning their Personal Data or privacy;</w:t>
      </w:r>
    </w:p>
    <w:p w14:paraId="6E93AB50" w14:textId="0B9542A0" w:rsidR="00BC7DDA" w:rsidRPr="00BD6C5F" w:rsidRDefault="009B03E9" w:rsidP="00F762C3">
      <w:pPr>
        <w:pStyle w:val="AppendixText3"/>
      </w:pPr>
      <w:r w:rsidRPr="00BD6C5F">
        <w:t>is solely responsible for the Parties</w:t>
      </w:r>
      <w:r w:rsidR="00A4555C" w:rsidRPr="00BD6C5F">
        <w:t>’</w:t>
      </w:r>
      <w:r w:rsidRPr="00BD6C5F">
        <w:t xml:space="preserve"> compliance with all duties to provide information to Data Subjects under Articles 13 and 14 of the </w:t>
      </w:r>
      <w:r w:rsidR="003E5BFE" w:rsidRPr="00BD6C5F">
        <w:t xml:space="preserve">UK </w:t>
      </w:r>
      <w:r w:rsidRPr="00BD6C5F">
        <w:t>GDPR;</w:t>
      </w:r>
    </w:p>
    <w:p w14:paraId="32201200" w14:textId="7F592401" w:rsidR="00BC7DDA" w:rsidRPr="00BD6C5F" w:rsidRDefault="009B03E9" w:rsidP="00F762C3">
      <w:pPr>
        <w:pStyle w:val="AppendixText3"/>
      </w:pPr>
      <w:r w:rsidRPr="00BD6C5F">
        <w:t>is responsible for obtaining the informed consent of Data Subjects, in accordance with the</w:t>
      </w:r>
      <w:r w:rsidR="003E5BFE" w:rsidRPr="00BD6C5F">
        <w:t xml:space="preserve"> UK</w:t>
      </w:r>
      <w:r w:rsidRPr="00BD6C5F">
        <w:t xml:space="preserve"> GDPR, for Processing in connection with the Services where consent is the relevant legal basis for that Processing; and</w:t>
      </w:r>
    </w:p>
    <w:p w14:paraId="135F603F" w14:textId="55F44DE2" w:rsidR="00BC7DDA" w:rsidRPr="00BD6C5F" w:rsidRDefault="009B03E9" w:rsidP="00F63080">
      <w:pPr>
        <w:pStyle w:val="AppendixText3"/>
      </w:pPr>
      <w:r w:rsidRPr="00BD6C5F">
        <w:t xml:space="preserve">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outlined in the </w:t>
      </w:r>
      <w:r w:rsidRPr="002D3DCF">
        <w:rPr>
          <w:shd w:val="clear" w:color="auto" w:fill="FFFF00"/>
        </w:rPr>
        <w:t>[Supplier</w:t>
      </w:r>
      <w:r w:rsidR="00A4555C" w:rsidRPr="002D3DCF">
        <w:rPr>
          <w:shd w:val="clear" w:color="auto" w:fill="FFFF00"/>
        </w:rPr>
        <w:t>’</w:t>
      </w:r>
      <w:r w:rsidRPr="002D3DCF">
        <w:rPr>
          <w:shd w:val="clear" w:color="auto" w:fill="FFFF00"/>
        </w:rPr>
        <w:t>s/Authority</w:t>
      </w:r>
      <w:r w:rsidR="00A4555C" w:rsidRPr="002D3DCF">
        <w:rPr>
          <w:shd w:val="clear" w:color="auto" w:fill="FFFF00"/>
        </w:rPr>
        <w:t>’</w:t>
      </w:r>
      <w:r w:rsidRPr="002D3DCF">
        <w:rPr>
          <w:shd w:val="clear" w:color="auto" w:fill="FFFF00"/>
        </w:rPr>
        <w:t>s]</w:t>
      </w:r>
      <w:r w:rsidRPr="00BD6C5F">
        <w:t xml:space="preserve"> privacy policy (which must be readily available by hyperlink or otherwise on all of its public facing services and marketing).</w:t>
      </w:r>
    </w:p>
    <w:p w14:paraId="4CFC06FC" w14:textId="245A191C" w:rsidR="00BC7DDA" w:rsidRPr="00BD6C5F" w:rsidRDefault="009B03E9" w:rsidP="00F762C3">
      <w:pPr>
        <w:pStyle w:val="AppendixText2"/>
      </w:pPr>
      <w:r w:rsidRPr="00BD6C5F">
        <w:t xml:space="preserve">Notwithstanding the terms of </w:t>
      </w:r>
      <w:r w:rsidR="00274508" w:rsidRPr="00BD6C5F">
        <w:t>P</w:t>
      </w:r>
      <w:r w:rsidRPr="00BD6C5F">
        <w:t>aragraph</w:t>
      </w:r>
      <w:r w:rsidR="00F57DA7" w:rsidRPr="00BD6C5F">
        <w:t> </w:t>
      </w:r>
      <w:r w:rsidR="00F57DA7" w:rsidRPr="00BD6C5F">
        <w:fldChar w:fldCharType="begin"/>
      </w:r>
      <w:r w:rsidR="00F57DA7" w:rsidRPr="00BD6C5F">
        <w:instrText xml:space="preserve"> REF _Ref98429964 \w \h </w:instrText>
      </w:r>
      <w:r w:rsidR="00AD7DD0" w:rsidRPr="00BD6C5F">
        <w:instrText xml:space="preserve"> \* MERGEFORMAT </w:instrText>
      </w:r>
      <w:r w:rsidR="00F57DA7" w:rsidRPr="00BD6C5F">
        <w:fldChar w:fldCharType="separate"/>
      </w:r>
      <w:r w:rsidR="009749A0">
        <w:t>1.2</w:t>
      </w:r>
      <w:r w:rsidR="00F57DA7" w:rsidRPr="00BD6C5F">
        <w:fldChar w:fldCharType="end"/>
      </w:r>
      <w:r w:rsidRPr="00BD6C5F">
        <w:t>, the Parties acknowledge that a Data Subject has the right to exercise their legal rights under the Data Protection Legislation as against the relevant Party as Data Controller.</w:t>
      </w:r>
    </w:p>
    <w:p w14:paraId="7BA4D0ED" w14:textId="77777777" w:rsidR="00BC7DDA" w:rsidRPr="00BD6C5F" w:rsidRDefault="009B03E9" w:rsidP="00F762C3">
      <w:pPr>
        <w:pStyle w:val="AppendixText1"/>
      </w:pPr>
      <w:r w:rsidRPr="00BD6C5F">
        <w:t>Undertakings of both Parties</w:t>
      </w:r>
    </w:p>
    <w:p w14:paraId="7CF01D10" w14:textId="77777777" w:rsidR="00BC7DDA" w:rsidRPr="00BD6C5F" w:rsidRDefault="009B03E9" w:rsidP="00FD4E48">
      <w:pPr>
        <w:pStyle w:val="AppendixText2"/>
        <w:keepNext/>
      </w:pPr>
      <w:bookmarkStart w:id="1862" w:name="_bookmark617"/>
      <w:bookmarkStart w:id="1863" w:name="_Ref141219402"/>
      <w:bookmarkEnd w:id="1862"/>
      <w:r w:rsidRPr="00BD6C5F">
        <w:t>The Supplier and the Authority each undertake that they shall:</w:t>
      </w:r>
      <w:bookmarkEnd w:id="1863"/>
    </w:p>
    <w:p w14:paraId="2297F084" w14:textId="77777777" w:rsidR="00BC7DDA" w:rsidRPr="00BD6C5F" w:rsidRDefault="009B03E9" w:rsidP="00FD4E48">
      <w:pPr>
        <w:pStyle w:val="AppendixText3"/>
        <w:keepNext/>
      </w:pPr>
      <w:bookmarkStart w:id="1864" w:name="_Ref141220273"/>
      <w:r w:rsidRPr="00BD6C5F">
        <w:t xml:space="preserve">report to the other Party every </w:t>
      </w:r>
      <w:r w:rsidRPr="00BD6C5F">
        <w:rPr>
          <w:shd w:val="clear" w:color="auto" w:fill="FFFF00"/>
        </w:rPr>
        <w:t>[</w:t>
      </w:r>
      <w:r w:rsidRPr="002D3DCF">
        <w:rPr>
          <w:shd w:val="clear" w:color="auto" w:fill="FFFF00"/>
        </w:rPr>
        <w:t>x</w:t>
      </w:r>
      <w:r w:rsidRPr="00BD6C5F">
        <w:rPr>
          <w:shd w:val="clear" w:color="auto" w:fill="FFFF00"/>
        </w:rPr>
        <w:t>]</w:t>
      </w:r>
      <w:r w:rsidRPr="00BD6C5F">
        <w:t xml:space="preserve"> months on:</w:t>
      </w:r>
      <w:bookmarkEnd w:id="1864"/>
    </w:p>
    <w:p w14:paraId="301450B3" w14:textId="605F8803" w:rsidR="00BC7DDA" w:rsidRPr="00BD6C5F" w:rsidRDefault="009B03E9" w:rsidP="00952DBF">
      <w:pPr>
        <w:pStyle w:val="AppendixText4"/>
      </w:pPr>
      <w:bookmarkStart w:id="1865" w:name="_bookmark618"/>
      <w:bookmarkStart w:id="1866" w:name="_Ref98429982"/>
      <w:bookmarkEnd w:id="1865"/>
      <w:r w:rsidRPr="00BD6C5F">
        <w:t>the volume of Data Subject Access Requests (or purported Data Subject Access Requests) from Data Subjects (or third parties on their behalf);</w:t>
      </w:r>
      <w:bookmarkEnd w:id="1866"/>
    </w:p>
    <w:p w14:paraId="1668B4A1" w14:textId="77777777" w:rsidR="00BC7DDA" w:rsidRPr="00BD6C5F" w:rsidRDefault="009B03E9" w:rsidP="00952DBF">
      <w:pPr>
        <w:pStyle w:val="AppendixText4"/>
      </w:pPr>
      <w:r w:rsidRPr="00BD6C5F">
        <w:t>the volume of requests from Data Subjects (or third parties on their behalf) to rectify, block or erase any Personal Data;</w:t>
      </w:r>
    </w:p>
    <w:p w14:paraId="49E6308C" w14:textId="3A8096BF" w:rsidR="00BC7DDA" w:rsidRPr="00BD6C5F" w:rsidRDefault="009B03E9" w:rsidP="00952DBF">
      <w:pPr>
        <w:pStyle w:val="AppendixText4"/>
      </w:pPr>
      <w:bookmarkStart w:id="1867" w:name="_bookmark619"/>
      <w:bookmarkStart w:id="1868" w:name="_Ref98430053"/>
      <w:bookmarkEnd w:id="1867"/>
      <w:r w:rsidRPr="00BD6C5F">
        <w:lastRenderedPageBreak/>
        <w:t>any other requests, complaints or communications from Data Subjects (or third parties on their behalf) relating to the other Party</w:t>
      </w:r>
      <w:r w:rsidR="00A4555C" w:rsidRPr="00BD6C5F">
        <w:t>’</w:t>
      </w:r>
      <w:r w:rsidRPr="00BD6C5F">
        <w:t>s obligations under applicable Data Protection Legislation;</w:t>
      </w:r>
      <w:bookmarkEnd w:id="1868"/>
    </w:p>
    <w:p w14:paraId="1EE13D35" w14:textId="77777777" w:rsidR="00BC7DDA" w:rsidRPr="00BD6C5F" w:rsidRDefault="009B03E9" w:rsidP="00952DBF">
      <w:pPr>
        <w:pStyle w:val="AppendixText4"/>
      </w:pPr>
      <w:r w:rsidRPr="00BD6C5F">
        <w:t>any communications from the Information Commissioner or any other regulatory authority in connection with Personal Data; and</w:t>
      </w:r>
    </w:p>
    <w:p w14:paraId="41F5E5A2" w14:textId="77777777" w:rsidR="00BC7DDA" w:rsidRPr="00BD6C5F" w:rsidRDefault="009B03E9" w:rsidP="00952DBF">
      <w:pPr>
        <w:pStyle w:val="AppendixText4"/>
      </w:pPr>
      <w:bookmarkStart w:id="1869" w:name="_bookmark620"/>
      <w:bookmarkStart w:id="1870" w:name="_Ref98430016"/>
      <w:bookmarkEnd w:id="1869"/>
      <w:r w:rsidRPr="00BD6C5F">
        <w:t>any requests from any third party for disclosure of Personal Data where compliance with such request is required or purported to be required by Law;</w:t>
      </w:r>
      <w:bookmarkEnd w:id="1870"/>
    </w:p>
    <w:p w14:paraId="1177475B" w14:textId="1FFBB82F" w:rsidR="00BC7DDA" w:rsidRPr="00BD6C5F" w:rsidRDefault="009B03E9" w:rsidP="001A5A96">
      <w:pPr>
        <w:pStyle w:val="BodyText"/>
        <w:spacing w:before="100" w:after="200"/>
        <w:ind w:left="1803" w:right="1333"/>
        <w:rPr>
          <w:rFonts w:asciiTheme="minorHAnsi" w:hAnsiTheme="minorHAnsi" w:cstheme="minorHAnsi"/>
        </w:rPr>
      </w:pPr>
      <w:r w:rsidRPr="00BD6C5F">
        <w:rPr>
          <w:rFonts w:asciiTheme="minorHAnsi" w:hAnsiTheme="minorHAnsi" w:cstheme="minorHAnsi"/>
        </w:rPr>
        <w:t xml:space="preserve">that it has received in relation to the subject matter of the </w:t>
      </w:r>
      <w:r w:rsidR="003E5BFE" w:rsidRPr="00BD6C5F">
        <w:rPr>
          <w:rFonts w:asciiTheme="minorHAnsi" w:hAnsiTheme="minorHAnsi" w:cstheme="minorHAnsi"/>
        </w:rPr>
        <w:t xml:space="preserve">Contract </w:t>
      </w:r>
      <w:r w:rsidRPr="00BD6C5F">
        <w:rPr>
          <w:rFonts w:asciiTheme="minorHAnsi" w:hAnsiTheme="minorHAnsi" w:cstheme="minorHAnsi"/>
        </w:rPr>
        <w:t>during that period;</w:t>
      </w:r>
    </w:p>
    <w:p w14:paraId="27F916D2" w14:textId="62F49B6C" w:rsidR="00BC7DDA" w:rsidRPr="00BD6C5F" w:rsidRDefault="009B03E9" w:rsidP="00F762C3">
      <w:pPr>
        <w:pStyle w:val="AppendixText3"/>
      </w:pPr>
      <w:r w:rsidRPr="00BD6C5F">
        <w:t>notify each other immediately if it receives any request, complaint or communication made as referred to in Paragraphs</w:t>
      </w:r>
      <w:r w:rsidR="00F57DA7" w:rsidRPr="00BD6C5F">
        <w:t> </w:t>
      </w:r>
      <w:r w:rsidR="00952DBF">
        <w:fldChar w:fldCharType="begin"/>
      </w:r>
      <w:r w:rsidR="00952DBF">
        <w:instrText xml:space="preserve"> REF _Ref98429982 \w \h </w:instrText>
      </w:r>
      <w:r w:rsidR="00952DBF">
        <w:fldChar w:fldCharType="separate"/>
      </w:r>
      <w:r w:rsidR="009749A0">
        <w:t>2.1.1(a)</w:t>
      </w:r>
      <w:r w:rsidR="00952DBF">
        <w:fldChar w:fldCharType="end"/>
      </w:r>
      <w:r w:rsidRPr="00BD6C5F">
        <w:t xml:space="preserve"> to </w:t>
      </w:r>
      <w:r w:rsidR="00952DBF">
        <w:fldChar w:fldCharType="begin"/>
      </w:r>
      <w:r w:rsidR="00952DBF">
        <w:instrText xml:space="preserve"> REF _Ref98430016 \w \h </w:instrText>
      </w:r>
      <w:r w:rsidR="00952DBF">
        <w:fldChar w:fldCharType="separate"/>
      </w:r>
      <w:r w:rsidR="009749A0">
        <w:t>2.1.1(e)</w:t>
      </w:r>
      <w:r w:rsidR="00952DBF">
        <w:fldChar w:fldCharType="end"/>
      </w:r>
      <w:r w:rsidRPr="00BD6C5F">
        <w:t>; and</w:t>
      </w:r>
    </w:p>
    <w:p w14:paraId="19ED48F0" w14:textId="2F580391" w:rsidR="00BC7DDA" w:rsidRPr="00BD6C5F" w:rsidRDefault="009B03E9" w:rsidP="00F762C3">
      <w:pPr>
        <w:pStyle w:val="AppendixText3"/>
      </w:pPr>
      <w:r w:rsidRPr="00BD6C5F">
        <w:t>provide the other Party with full cooperation and assistance in relation to any request, complaint or communication made as referred to in Paragraphs</w:t>
      </w:r>
      <w:r w:rsidR="00F57DA7" w:rsidRPr="00BD6C5F">
        <w:t> </w:t>
      </w:r>
      <w:r w:rsidR="00BF60E5" w:rsidRPr="00BD6C5F">
        <w:fldChar w:fldCharType="begin"/>
      </w:r>
      <w:r w:rsidR="00BF60E5" w:rsidRPr="00BD6C5F">
        <w:instrText xml:space="preserve"> REF _Ref98429964 \w \h  \* MERGEFORMAT </w:instrText>
      </w:r>
      <w:r w:rsidR="00BF60E5" w:rsidRPr="00BD6C5F">
        <w:fldChar w:fldCharType="separate"/>
      </w:r>
      <w:r w:rsidR="009749A0">
        <w:t>1.2</w:t>
      </w:r>
      <w:r w:rsidR="00BF60E5" w:rsidRPr="00BD6C5F">
        <w:fldChar w:fldCharType="end"/>
      </w:r>
      <w:r w:rsidR="00F2770C">
        <w:t xml:space="preserve"> and </w:t>
      </w:r>
      <w:r w:rsidR="00F57DA7" w:rsidRPr="00BD6C5F">
        <w:fldChar w:fldCharType="begin"/>
      </w:r>
      <w:r w:rsidR="00F57DA7" w:rsidRPr="00BD6C5F">
        <w:instrText xml:space="preserve"> REF _Ref98430053 \w \h </w:instrText>
      </w:r>
      <w:r w:rsidR="00AD7DD0" w:rsidRPr="00BD6C5F">
        <w:instrText xml:space="preserve"> \* MERGEFORMAT </w:instrText>
      </w:r>
      <w:r w:rsidR="00F57DA7" w:rsidRPr="00BD6C5F">
        <w:fldChar w:fldCharType="separate"/>
      </w:r>
      <w:r w:rsidR="009749A0">
        <w:t>2.1.1(c)</w:t>
      </w:r>
      <w:r w:rsidR="00F57DA7" w:rsidRPr="00BD6C5F">
        <w:fldChar w:fldCharType="end"/>
      </w:r>
      <w:r w:rsidRPr="00BD6C5F">
        <w:t xml:space="preserve"> to </w:t>
      </w:r>
      <w:r w:rsidR="00952DBF">
        <w:fldChar w:fldCharType="begin"/>
      </w:r>
      <w:r w:rsidR="00952DBF">
        <w:instrText xml:space="preserve"> REF _Ref98430016 \w \h </w:instrText>
      </w:r>
      <w:r w:rsidR="00952DBF">
        <w:fldChar w:fldCharType="separate"/>
      </w:r>
      <w:r w:rsidR="009749A0">
        <w:t>2.1.1(e)</w:t>
      </w:r>
      <w:r w:rsidR="00952DBF">
        <w:fldChar w:fldCharType="end"/>
      </w:r>
      <w:r w:rsidRPr="00BD6C5F">
        <w:t xml:space="preserve"> to enable the other Party to comply with the relevant timescales set out in the Data Protection Legislation.</w:t>
      </w:r>
    </w:p>
    <w:p w14:paraId="3F13E013" w14:textId="16D5AB88" w:rsidR="00BC7DDA" w:rsidRPr="00BD6C5F" w:rsidRDefault="009B03E9" w:rsidP="00F762C3">
      <w:pPr>
        <w:pStyle w:val="AppendixText3"/>
      </w:pPr>
      <w:r w:rsidRPr="00BD6C5F">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r w:rsidR="003E5BFE" w:rsidRPr="00BD6C5F">
        <w:t xml:space="preserve">Contract </w:t>
      </w:r>
      <w:r w:rsidRPr="00BD6C5F">
        <w:t>or is required by Law)</w:t>
      </w:r>
      <w:r w:rsidR="003E5BFE" w:rsidRPr="00BD6C5F">
        <w:t xml:space="preserve"> that disclosure or transfer of Personal Data is otherwise considered to be lawful processing of that Personal Data in accordance with Article 6 of the UK GDPR or EU GDPR (as the context requires)</w:t>
      </w:r>
      <w:r w:rsidRPr="00BD6C5F">
        <w:t>. For the avoidance of doubt to which Personal Data is transferred must be subject to equivalent obligations which are no less onerous than those set out in this Annex.</w:t>
      </w:r>
    </w:p>
    <w:p w14:paraId="78881E47" w14:textId="77777777" w:rsidR="00BC7DDA" w:rsidRPr="00BD6C5F" w:rsidRDefault="009B03E9" w:rsidP="00F762C3">
      <w:pPr>
        <w:pStyle w:val="AppendixText3"/>
      </w:pPr>
      <w:r w:rsidRPr="00BD6C5F">
        <w:t>request from the Data Subject only the minimum information necessary to provide the Services and treat such extracted information as Confidential Information.</w:t>
      </w:r>
    </w:p>
    <w:p w14:paraId="18FE80C8" w14:textId="77777777" w:rsidR="00BC7DDA" w:rsidRPr="00BD6C5F" w:rsidRDefault="009B03E9" w:rsidP="00F762C3">
      <w:pPr>
        <w:pStyle w:val="AppendixText3"/>
      </w:pPr>
      <w:r w:rsidRPr="00BD6C5F">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5FC4889" w14:textId="00424E2D" w:rsidR="00BC7DDA" w:rsidRPr="00BD6C5F" w:rsidRDefault="009B03E9" w:rsidP="00FD4E48">
      <w:pPr>
        <w:pStyle w:val="AppendixText3"/>
        <w:keepNext/>
      </w:pPr>
      <w:r w:rsidRPr="00BD6C5F">
        <w:t>take all reasonable steps to ensure the reliability and integrity of any of its Personnel who have access to the Personal Data and ensure that its Personnel:</w:t>
      </w:r>
    </w:p>
    <w:p w14:paraId="4A779CCA" w14:textId="6177FC8D" w:rsidR="00BC7DDA" w:rsidRPr="00BD6C5F" w:rsidRDefault="009B03E9" w:rsidP="0040545B">
      <w:pPr>
        <w:pStyle w:val="AppendixText4"/>
      </w:pPr>
      <w:r w:rsidRPr="00BD6C5F">
        <w:t xml:space="preserve">are aware of and comply with their duties under this Annex </w:t>
      </w:r>
      <w:r w:rsidR="002B77C3">
        <w:fldChar w:fldCharType="begin"/>
      </w:r>
      <w:r w:rsidR="002B77C3">
        <w:instrText xml:space="preserve"> REF Schedule_31_Annex_1 \h </w:instrText>
      </w:r>
      <w:r w:rsidR="002B77C3">
        <w:fldChar w:fldCharType="separate"/>
      </w:r>
      <w:r w:rsidR="009749A0" w:rsidRPr="00BD6C5F">
        <w:t>1</w:t>
      </w:r>
      <w:r w:rsidR="002B77C3">
        <w:fldChar w:fldCharType="end"/>
      </w:r>
      <w:r w:rsidRPr="00BD6C5F">
        <w:t xml:space="preserve"> (</w:t>
      </w:r>
      <w:r w:rsidRPr="00BD6C5F">
        <w:rPr>
          <w:i/>
        </w:rPr>
        <w:t>Joint Controller Agreement</w:t>
      </w:r>
      <w:r w:rsidRPr="00BD6C5F">
        <w:t>) and those in respect of Confidential Information</w:t>
      </w:r>
    </w:p>
    <w:p w14:paraId="69C6D63C" w14:textId="7212F699" w:rsidR="00BC7DDA" w:rsidRPr="00BD6C5F" w:rsidRDefault="009B03E9" w:rsidP="0040545B">
      <w:pPr>
        <w:pStyle w:val="AppendixText4"/>
      </w:pPr>
      <w:r w:rsidRPr="00BD6C5F">
        <w:t>are informed of the confidential nature of the Personal Data, are subject to appropriate obligations of confidentiality and do not publish, disclose or divulge any of the Personal Data to any third party where that Party would not be permitted to do so;</w:t>
      </w:r>
    </w:p>
    <w:p w14:paraId="0C15A85F" w14:textId="77777777" w:rsidR="00BC7DDA" w:rsidRPr="00BD6C5F" w:rsidRDefault="009B03E9" w:rsidP="0040545B">
      <w:pPr>
        <w:pStyle w:val="AppendixText4"/>
      </w:pPr>
      <w:r w:rsidRPr="00BD6C5F">
        <w:t>have undergone adequate training in the use, care, protection and handling of personal data as required by the applicable Data Protection Legislation;</w:t>
      </w:r>
    </w:p>
    <w:p w14:paraId="35E8FF8E" w14:textId="77777777" w:rsidR="00BC7DDA" w:rsidRPr="00BD6C5F" w:rsidRDefault="009B03E9" w:rsidP="00FD4E48">
      <w:pPr>
        <w:pStyle w:val="AppendixText3"/>
        <w:keepNext/>
      </w:pPr>
      <w:r w:rsidRPr="00BD6C5F">
        <w:lastRenderedPageBreak/>
        <w:t>ensure that it has in place Protective Measures as appropriate to protect against a Data Loss Event having taken account of the:</w:t>
      </w:r>
    </w:p>
    <w:p w14:paraId="46A0C985" w14:textId="77777777" w:rsidR="00BC7DDA" w:rsidRPr="00BD6C5F" w:rsidRDefault="009B03E9" w:rsidP="0040545B">
      <w:pPr>
        <w:pStyle w:val="AppendixText4"/>
      </w:pPr>
      <w:r w:rsidRPr="00BD6C5F">
        <w:t>nature of the data to be protected;</w:t>
      </w:r>
    </w:p>
    <w:p w14:paraId="215FD27A" w14:textId="77777777" w:rsidR="00BC7DDA" w:rsidRPr="00BD6C5F" w:rsidRDefault="009B03E9" w:rsidP="0040545B">
      <w:pPr>
        <w:pStyle w:val="AppendixText4"/>
      </w:pPr>
      <w:r w:rsidRPr="00BD6C5F">
        <w:t>harm that might result from a Data Loss Event;</w:t>
      </w:r>
    </w:p>
    <w:p w14:paraId="741A6005" w14:textId="77777777" w:rsidR="00BC7DDA" w:rsidRPr="00BD6C5F" w:rsidRDefault="009B03E9" w:rsidP="0040545B">
      <w:pPr>
        <w:pStyle w:val="AppendixText4"/>
      </w:pPr>
      <w:r w:rsidRPr="00BD6C5F">
        <w:t>state of technological development; and</w:t>
      </w:r>
    </w:p>
    <w:p w14:paraId="32E28785" w14:textId="77777777" w:rsidR="00BC7DDA" w:rsidRPr="00BD6C5F" w:rsidRDefault="009B03E9" w:rsidP="0040545B">
      <w:pPr>
        <w:pStyle w:val="AppendixText4"/>
      </w:pPr>
      <w:r w:rsidRPr="00BD6C5F">
        <w:t>cost of implementing any measures.</w:t>
      </w:r>
    </w:p>
    <w:p w14:paraId="3775BBC7" w14:textId="77777777" w:rsidR="00BC7DDA" w:rsidRPr="00BD6C5F" w:rsidRDefault="009B03E9" w:rsidP="00F762C3">
      <w:pPr>
        <w:pStyle w:val="AppendixText3"/>
      </w:pPr>
      <w:r w:rsidRPr="00BD6C5F">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AB19F8E" w14:textId="104E9EF7" w:rsidR="00BC7DDA" w:rsidRPr="00BD6C5F" w:rsidRDefault="009B03E9" w:rsidP="00F762C3">
      <w:pPr>
        <w:pStyle w:val="AppendixText3"/>
      </w:pPr>
      <w:r w:rsidRPr="00BD6C5F">
        <w:t>ensure that it notifies the other Party as soon as it becomes aware of a Data Loss Event.</w:t>
      </w:r>
    </w:p>
    <w:p w14:paraId="43570988" w14:textId="14154A40" w:rsidR="009D3D1E" w:rsidRPr="00BD6C5F" w:rsidRDefault="009D3D1E" w:rsidP="00FD4E48">
      <w:pPr>
        <w:pStyle w:val="AppendixText3"/>
        <w:keepNext/>
      </w:pPr>
      <w:r w:rsidRPr="00BD6C5F">
        <w:t xml:space="preserve">not transfer such Personal Data outside of the UK </w:t>
      </w:r>
      <w:r w:rsidR="005C6584">
        <w:t>and/or</w:t>
      </w:r>
      <w:r w:rsidR="00E530FB">
        <w:t xml:space="preserve"> the EEA </w:t>
      </w:r>
      <w:r w:rsidRPr="00BD6C5F">
        <w:t>unless the prior written consent of the non-transferring Party has been obtained and the following conditions are fulfilled:</w:t>
      </w:r>
    </w:p>
    <w:p w14:paraId="7D158B08" w14:textId="6D5928DC" w:rsidR="009D3D1E" w:rsidRPr="00BD6C5F" w:rsidRDefault="000D7652" w:rsidP="0040545B">
      <w:pPr>
        <w:pStyle w:val="AppendixText4"/>
      </w:pPr>
      <w:r w:rsidRPr="000D7652">
        <w:t>the destination country has been recognised as adequate by the UK government</w:t>
      </w:r>
      <w:r w:rsidR="009D3D1E" w:rsidRPr="00BD6C5F">
        <w:t xml:space="preserve"> in accordance with Article 45 of the UK GDPR or DPA 2018 Section 7</w:t>
      </w:r>
      <w:r>
        <w:t>4A</w:t>
      </w:r>
      <w:r w:rsidR="00C81F9D" w:rsidRPr="00C81F9D">
        <w:t xml:space="preserve"> and/or the transfer is in accordance with Article 45 of the EU GDPR (where applicable)</w:t>
      </w:r>
      <w:r w:rsidR="009D3D1E" w:rsidRPr="00BD6C5F">
        <w:t xml:space="preserve">; </w:t>
      </w:r>
      <w:r w:rsidR="007422DD" w:rsidRPr="00BD6C5F">
        <w:t>or</w:t>
      </w:r>
    </w:p>
    <w:p w14:paraId="5C57F7FB" w14:textId="77777777" w:rsidR="00BA6BCF" w:rsidRDefault="009D3D1E" w:rsidP="0040545B">
      <w:pPr>
        <w:pStyle w:val="AppendixText4"/>
      </w:pPr>
      <w:r w:rsidRPr="00BD6C5F">
        <w:t xml:space="preserve">the transferring Party has provided appropriate safeguards in relation to the transfer (whether in accordance with Article 46 of </w:t>
      </w:r>
      <w:bookmarkStart w:id="1871" w:name="_9kR3WTr2AADLEOis7tKA2mqtDTEDd64iSSb3hyE"/>
      <w:r w:rsidRPr="00BD6C5F">
        <w:t xml:space="preserve">the UK GDPR or DPA 2018 </w:t>
      </w:r>
      <w:bookmarkStart w:id="1872" w:name="_9kR3WTr2CC4BLiLcszv1LR"/>
      <w:r w:rsidRPr="00BD6C5F">
        <w:t>Section 75</w:t>
      </w:r>
      <w:bookmarkEnd w:id="1871"/>
      <w:bookmarkEnd w:id="1872"/>
      <w:r w:rsidR="00487EB5" w:rsidRPr="00487EB5">
        <w:t xml:space="preserve"> and/or Article 46 of the EU GDPR (where applicable)</w:t>
      </w:r>
      <w:r w:rsidRPr="00BD6C5F">
        <w:t>) as agreed with the non-transferring Party which could include</w:t>
      </w:r>
      <w:r w:rsidR="00487EB5">
        <w:t>:</w:t>
      </w:r>
    </w:p>
    <w:p w14:paraId="4C37F60C" w14:textId="77777777" w:rsidR="00490B84" w:rsidRDefault="00BA6BCF" w:rsidP="00B71FC0">
      <w:pPr>
        <w:pStyle w:val="AppendixText4"/>
        <w:numPr>
          <w:ilvl w:val="4"/>
          <w:numId w:val="133"/>
        </w:numPr>
      </w:pPr>
      <w:r>
        <w:t xml:space="preserve">where the transfer is subject to UK GDPR: </w:t>
      </w:r>
    </w:p>
    <w:p w14:paraId="06656161" w14:textId="5BC8B078" w:rsidR="002509BE" w:rsidRDefault="002509BE" w:rsidP="002509BE">
      <w:pPr>
        <w:pStyle w:val="AppendixText4"/>
        <w:numPr>
          <w:ilvl w:val="0"/>
          <w:numId w:val="0"/>
        </w:numPr>
        <w:ind w:left="3600"/>
      </w:pPr>
      <w:r>
        <w:t>the UK International Data Transfer Agreement (the “</w:t>
      </w:r>
      <w:r w:rsidRPr="002509BE">
        <w:rPr>
          <w:b/>
          <w:bCs/>
        </w:rPr>
        <w:t>IDTA</w:t>
      </w:r>
      <w:r>
        <w:t xml:space="preserve">”) as published by the Information Commissioner’s Office </w:t>
      </w:r>
      <w:r w:rsidRPr="00305C4B">
        <w:rPr>
          <w:highlight w:val="yellow"/>
        </w:rPr>
        <w:t xml:space="preserve">[or such updated version of such IDTA as is published by the Information Commissioner’s Office under section 119A(1) of the DPA 2018 from time to time ] </w:t>
      </w:r>
      <w:r w:rsidRPr="00305C4B">
        <w:rPr>
          <w:b/>
          <w:bCs/>
          <w:highlight w:val="yellow"/>
        </w:rPr>
        <w:t>OR</w:t>
      </w:r>
      <w:r w:rsidRPr="00305C4B">
        <w:rPr>
          <w:highlight w:val="yellow"/>
        </w:rPr>
        <w:t xml:space="preserve"> [and as set out in Annex </w:t>
      </w:r>
      <w:r w:rsidR="00BF60E5">
        <w:rPr>
          <w:highlight w:val="yellow"/>
        </w:rPr>
        <w:fldChar w:fldCharType="begin"/>
      </w:r>
      <w:r w:rsidR="00BF60E5">
        <w:rPr>
          <w:highlight w:val="yellow"/>
        </w:rPr>
        <w:instrText xml:space="preserve"> REF Schedule_31_Annex_2 \h </w:instrText>
      </w:r>
      <w:r w:rsidR="00BF60E5">
        <w:rPr>
          <w:highlight w:val="yellow"/>
        </w:rPr>
      </w:r>
      <w:r w:rsidR="00BF60E5">
        <w:rPr>
          <w:highlight w:val="yellow"/>
        </w:rPr>
        <w:fldChar w:fldCharType="separate"/>
      </w:r>
      <w:r w:rsidR="009749A0" w:rsidRPr="00BD6C5F">
        <w:t>2</w:t>
      </w:r>
      <w:r w:rsidR="00BF60E5">
        <w:rPr>
          <w:highlight w:val="yellow"/>
        </w:rPr>
        <w:fldChar w:fldCharType="end"/>
      </w:r>
      <w:r w:rsidRPr="00305C4B">
        <w:rPr>
          <w:highlight w:val="yellow"/>
        </w:rPr>
        <w:t xml:space="preserve"> to Schedule </w:t>
      </w:r>
      <w:r w:rsidR="00BF60E5">
        <w:rPr>
          <w:highlight w:val="yellow"/>
        </w:rPr>
        <w:fldChar w:fldCharType="begin"/>
      </w:r>
      <w:r w:rsidR="00BF60E5">
        <w:rPr>
          <w:highlight w:val="yellow"/>
        </w:rPr>
        <w:instrText xml:space="preserve"> REF Schedule_31 \h </w:instrText>
      </w:r>
      <w:r w:rsidR="00BF60E5">
        <w:rPr>
          <w:highlight w:val="yellow"/>
        </w:rPr>
      </w:r>
      <w:r w:rsidR="00BF60E5">
        <w:rPr>
          <w:highlight w:val="yellow"/>
        </w:rPr>
        <w:fldChar w:fldCharType="separate"/>
      </w:r>
      <w:r w:rsidR="009749A0">
        <w:t>31</w:t>
      </w:r>
      <w:r w:rsidR="00BF60E5">
        <w:rPr>
          <w:highlight w:val="yellow"/>
        </w:rPr>
        <w:fldChar w:fldCharType="end"/>
      </w:r>
      <w:r w:rsidRPr="00305C4B">
        <w:rPr>
          <w:highlight w:val="yellow"/>
        </w:rPr>
        <w:t xml:space="preserve"> (Processing Personal Data)] [</w:t>
      </w:r>
      <w:r w:rsidRPr="001142AA">
        <w:rPr>
          <w:b/>
          <w:bCs/>
          <w:i/>
          <w:iCs/>
          <w:highlight w:val="yellow"/>
        </w:rPr>
        <w:t xml:space="preserve">Guidance: see guidance notes and Annex </w:t>
      </w:r>
      <w:r w:rsidR="00FD4D72">
        <w:rPr>
          <w:b/>
          <w:bCs/>
          <w:i/>
          <w:iCs/>
          <w:highlight w:val="yellow"/>
        </w:rPr>
        <w:fldChar w:fldCharType="begin"/>
      </w:r>
      <w:r w:rsidR="00FD4D72">
        <w:rPr>
          <w:b/>
          <w:bCs/>
          <w:i/>
          <w:iCs/>
          <w:highlight w:val="yellow"/>
        </w:rPr>
        <w:instrText xml:space="preserve"> REF Schedule_31_Annex_2 \h </w:instrText>
      </w:r>
      <w:r w:rsidR="00FD4D72">
        <w:rPr>
          <w:b/>
          <w:bCs/>
          <w:i/>
          <w:iCs/>
          <w:highlight w:val="yellow"/>
        </w:rPr>
      </w:r>
      <w:r w:rsidR="00FD4D72">
        <w:rPr>
          <w:b/>
          <w:bCs/>
          <w:i/>
          <w:iCs/>
          <w:highlight w:val="yellow"/>
        </w:rPr>
        <w:fldChar w:fldCharType="separate"/>
      </w:r>
      <w:r w:rsidR="009749A0" w:rsidRPr="00BD6C5F">
        <w:t>2</w:t>
      </w:r>
      <w:r w:rsidR="00FD4D72">
        <w:rPr>
          <w:b/>
          <w:bCs/>
          <w:i/>
          <w:iCs/>
          <w:highlight w:val="yellow"/>
        </w:rPr>
        <w:fldChar w:fldCharType="end"/>
      </w:r>
      <w:r w:rsidRPr="001142AA">
        <w:rPr>
          <w:b/>
          <w:bCs/>
          <w:i/>
          <w:iCs/>
          <w:highlight w:val="yellow"/>
        </w:rPr>
        <w:t xml:space="preserve"> for an explanation of these options</w:t>
      </w:r>
      <w:r w:rsidR="001142AA">
        <w:t>]</w:t>
      </w:r>
      <w:r>
        <w:t>; or</w:t>
      </w:r>
    </w:p>
    <w:p w14:paraId="5A4666A6" w14:textId="5A7F51B9" w:rsidR="00764566" w:rsidRDefault="002509BE" w:rsidP="00764566">
      <w:pPr>
        <w:pStyle w:val="AppendixText4"/>
        <w:numPr>
          <w:ilvl w:val="0"/>
          <w:numId w:val="0"/>
        </w:numPr>
        <w:ind w:left="3600"/>
      </w:pPr>
      <w:r>
        <w:t xml:space="preserve">the European Commission’s Standard Contractual Clauses per decision 2021/914/EU </w:t>
      </w:r>
      <w:r w:rsidRPr="001142AA">
        <w:rPr>
          <w:highlight w:val="yellow"/>
        </w:rPr>
        <w:t xml:space="preserve">[or such updated version of such Standard Contractual Clauses as are published by the European Commission from time to time] </w:t>
      </w:r>
      <w:r w:rsidRPr="001142AA">
        <w:rPr>
          <w:b/>
          <w:bCs/>
          <w:highlight w:val="yellow"/>
        </w:rPr>
        <w:t>OR</w:t>
      </w:r>
      <w:r w:rsidRPr="001142AA">
        <w:rPr>
          <w:highlight w:val="yellow"/>
        </w:rPr>
        <w:t xml:space="preserve"> [set out in Annex </w:t>
      </w:r>
      <w:r w:rsidR="00D33D5D">
        <w:rPr>
          <w:highlight w:val="yellow"/>
        </w:rPr>
        <w:fldChar w:fldCharType="begin"/>
      </w:r>
      <w:r w:rsidR="00D33D5D">
        <w:rPr>
          <w:highlight w:val="yellow"/>
        </w:rPr>
        <w:instrText xml:space="preserve"> REF Schedule_31_Annex_3 \h </w:instrText>
      </w:r>
      <w:r w:rsidR="00D33D5D">
        <w:rPr>
          <w:highlight w:val="yellow"/>
        </w:rPr>
      </w:r>
      <w:r w:rsidR="00D33D5D">
        <w:rPr>
          <w:highlight w:val="yellow"/>
        </w:rPr>
        <w:fldChar w:fldCharType="separate"/>
      </w:r>
      <w:r w:rsidR="009749A0" w:rsidRPr="0035018C">
        <w:t>3</w:t>
      </w:r>
      <w:r w:rsidR="00D33D5D">
        <w:rPr>
          <w:highlight w:val="yellow"/>
        </w:rPr>
        <w:fldChar w:fldCharType="end"/>
      </w:r>
      <w:r w:rsidRPr="001142AA">
        <w:rPr>
          <w:highlight w:val="yellow"/>
        </w:rPr>
        <w:t xml:space="preserve"> to Schedule </w:t>
      </w:r>
      <w:r w:rsidR="00FD4D72">
        <w:rPr>
          <w:highlight w:val="yellow"/>
        </w:rPr>
        <w:fldChar w:fldCharType="begin"/>
      </w:r>
      <w:r w:rsidR="00FD4D72">
        <w:rPr>
          <w:highlight w:val="yellow"/>
        </w:rPr>
        <w:instrText xml:space="preserve"> REF Schedule_31 \h </w:instrText>
      </w:r>
      <w:r w:rsidR="00FD4D72">
        <w:rPr>
          <w:highlight w:val="yellow"/>
        </w:rPr>
      </w:r>
      <w:r w:rsidR="00FD4D72">
        <w:rPr>
          <w:highlight w:val="yellow"/>
        </w:rPr>
        <w:fldChar w:fldCharType="separate"/>
      </w:r>
      <w:r w:rsidR="009749A0">
        <w:t>31</w:t>
      </w:r>
      <w:r w:rsidR="00FD4D72">
        <w:rPr>
          <w:highlight w:val="yellow"/>
        </w:rPr>
        <w:fldChar w:fldCharType="end"/>
      </w:r>
      <w:r w:rsidRPr="001142AA">
        <w:rPr>
          <w:highlight w:val="yellow"/>
        </w:rPr>
        <w:t xml:space="preserve"> (Processing Personal Data)] </w:t>
      </w:r>
      <w:r w:rsidRPr="001142AA">
        <w:rPr>
          <w:b/>
          <w:bCs/>
          <w:i/>
          <w:iCs/>
          <w:highlight w:val="yellow"/>
        </w:rPr>
        <w:t xml:space="preserve">[Guidance: see guidance notes and Annex </w:t>
      </w:r>
      <w:r w:rsidR="00FD4D72">
        <w:rPr>
          <w:b/>
          <w:bCs/>
          <w:i/>
          <w:iCs/>
          <w:highlight w:val="yellow"/>
        </w:rPr>
        <w:fldChar w:fldCharType="begin"/>
      </w:r>
      <w:r w:rsidR="00FD4D72">
        <w:rPr>
          <w:b/>
          <w:bCs/>
          <w:i/>
          <w:iCs/>
          <w:highlight w:val="yellow"/>
        </w:rPr>
        <w:instrText xml:space="preserve"> REF Schedule_31_Annex_3 \h </w:instrText>
      </w:r>
      <w:r w:rsidR="00FD4D72">
        <w:rPr>
          <w:b/>
          <w:bCs/>
          <w:i/>
          <w:iCs/>
          <w:highlight w:val="yellow"/>
        </w:rPr>
      </w:r>
      <w:r w:rsidR="00FD4D72">
        <w:rPr>
          <w:b/>
          <w:bCs/>
          <w:i/>
          <w:iCs/>
          <w:highlight w:val="yellow"/>
        </w:rPr>
        <w:fldChar w:fldCharType="separate"/>
      </w:r>
      <w:r w:rsidR="009749A0" w:rsidRPr="0035018C">
        <w:t>3</w:t>
      </w:r>
      <w:r w:rsidR="00FD4D72">
        <w:rPr>
          <w:b/>
          <w:bCs/>
          <w:i/>
          <w:iCs/>
          <w:highlight w:val="yellow"/>
        </w:rPr>
        <w:fldChar w:fldCharType="end"/>
      </w:r>
      <w:r w:rsidRPr="001142AA">
        <w:rPr>
          <w:b/>
          <w:bCs/>
          <w:i/>
          <w:iCs/>
          <w:highlight w:val="yellow"/>
        </w:rPr>
        <w:t xml:space="preserve"> for an explanation of these options]</w:t>
      </w:r>
      <w:r>
        <w:t xml:space="preserve"> (the “</w:t>
      </w:r>
      <w:r w:rsidRPr="001142AA">
        <w:rPr>
          <w:b/>
          <w:bCs/>
        </w:rPr>
        <w:t>EU SCCs</w:t>
      </w:r>
      <w:r>
        <w:t>”), together with the UK International Data Transfer Agreement Addendum to the EU SCCs (the “</w:t>
      </w:r>
      <w:r w:rsidRPr="001142AA">
        <w:rPr>
          <w:b/>
          <w:bCs/>
        </w:rPr>
        <w:t>Addendum</w:t>
      </w:r>
      <w:r>
        <w:t>”) [</w:t>
      </w:r>
      <w:r w:rsidRPr="001142AA">
        <w:rPr>
          <w:highlight w:val="yellow"/>
        </w:rPr>
        <w:t xml:space="preserve">or such updated version of such Addendum as is published by the Information Commissioner’s Office under section 119A(1) of </w:t>
      </w:r>
      <w:r w:rsidRPr="001142AA">
        <w:rPr>
          <w:highlight w:val="yellow"/>
        </w:rPr>
        <w:lastRenderedPageBreak/>
        <w:t xml:space="preserve">the DPA 2018 from time to time] OR [and as set out in Annex </w:t>
      </w:r>
      <w:r w:rsidR="00FD4D72">
        <w:rPr>
          <w:highlight w:val="yellow"/>
        </w:rPr>
        <w:fldChar w:fldCharType="begin"/>
      </w:r>
      <w:r w:rsidR="00FD4D72">
        <w:rPr>
          <w:highlight w:val="yellow"/>
        </w:rPr>
        <w:instrText xml:space="preserve"> REF Schedule_31_Annex_2 \h </w:instrText>
      </w:r>
      <w:r w:rsidR="00FD4D72">
        <w:rPr>
          <w:highlight w:val="yellow"/>
        </w:rPr>
      </w:r>
      <w:r w:rsidR="00FD4D72">
        <w:rPr>
          <w:highlight w:val="yellow"/>
        </w:rPr>
        <w:fldChar w:fldCharType="separate"/>
      </w:r>
      <w:r w:rsidR="009749A0" w:rsidRPr="00BD6C5F">
        <w:t>2</w:t>
      </w:r>
      <w:r w:rsidR="00FD4D72">
        <w:rPr>
          <w:highlight w:val="yellow"/>
        </w:rPr>
        <w:fldChar w:fldCharType="end"/>
      </w:r>
      <w:r w:rsidRPr="001142AA">
        <w:rPr>
          <w:highlight w:val="yellow"/>
        </w:rPr>
        <w:t xml:space="preserve"> to Schedule </w:t>
      </w:r>
      <w:r w:rsidR="00FD4D72">
        <w:rPr>
          <w:highlight w:val="yellow"/>
        </w:rPr>
        <w:fldChar w:fldCharType="begin"/>
      </w:r>
      <w:r w:rsidR="00FD4D72">
        <w:rPr>
          <w:highlight w:val="yellow"/>
        </w:rPr>
        <w:instrText xml:space="preserve"> REF Schedule_31 \h </w:instrText>
      </w:r>
      <w:r w:rsidR="00FD4D72">
        <w:rPr>
          <w:highlight w:val="yellow"/>
        </w:rPr>
      </w:r>
      <w:r w:rsidR="00FD4D72">
        <w:rPr>
          <w:highlight w:val="yellow"/>
        </w:rPr>
        <w:fldChar w:fldCharType="separate"/>
      </w:r>
      <w:r w:rsidR="009749A0">
        <w:t>31</w:t>
      </w:r>
      <w:r w:rsidR="00FD4D72">
        <w:rPr>
          <w:highlight w:val="yellow"/>
        </w:rPr>
        <w:fldChar w:fldCharType="end"/>
      </w:r>
      <w:r w:rsidRPr="001142AA">
        <w:rPr>
          <w:highlight w:val="yellow"/>
        </w:rPr>
        <w:t xml:space="preserve"> (Processing Personal Data)] [</w:t>
      </w:r>
      <w:r w:rsidRPr="001142AA">
        <w:rPr>
          <w:b/>
          <w:bCs/>
          <w:i/>
          <w:iCs/>
          <w:highlight w:val="yellow"/>
        </w:rPr>
        <w:t xml:space="preserve">Guidance: see guidance notes and Annex </w:t>
      </w:r>
      <w:r w:rsidR="00FD4D72">
        <w:rPr>
          <w:b/>
          <w:bCs/>
          <w:i/>
          <w:iCs/>
          <w:highlight w:val="yellow"/>
        </w:rPr>
        <w:fldChar w:fldCharType="begin"/>
      </w:r>
      <w:r w:rsidR="00FD4D72">
        <w:rPr>
          <w:b/>
          <w:bCs/>
          <w:i/>
          <w:iCs/>
          <w:highlight w:val="yellow"/>
        </w:rPr>
        <w:instrText xml:space="preserve"> REF Schedule_31_Annex_2 \h </w:instrText>
      </w:r>
      <w:r w:rsidR="00FD4D72">
        <w:rPr>
          <w:b/>
          <w:bCs/>
          <w:i/>
          <w:iCs/>
          <w:highlight w:val="yellow"/>
        </w:rPr>
      </w:r>
      <w:r w:rsidR="00FD4D72">
        <w:rPr>
          <w:b/>
          <w:bCs/>
          <w:i/>
          <w:iCs/>
          <w:highlight w:val="yellow"/>
        </w:rPr>
        <w:fldChar w:fldCharType="separate"/>
      </w:r>
      <w:r w:rsidR="009749A0" w:rsidRPr="00BD6C5F">
        <w:t>2</w:t>
      </w:r>
      <w:r w:rsidR="00FD4D72">
        <w:rPr>
          <w:b/>
          <w:bCs/>
          <w:i/>
          <w:iCs/>
          <w:highlight w:val="yellow"/>
        </w:rPr>
        <w:fldChar w:fldCharType="end"/>
      </w:r>
      <w:r w:rsidRPr="001142AA">
        <w:rPr>
          <w:b/>
          <w:bCs/>
          <w:i/>
          <w:iCs/>
          <w:highlight w:val="yellow"/>
        </w:rPr>
        <w:t xml:space="preserve"> for an explanation of these options</w:t>
      </w:r>
      <w:r>
        <w:t>]; and/or</w:t>
      </w:r>
    </w:p>
    <w:p w14:paraId="3962533A" w14:textId="61C74A75" w:rsidR="002509BE" w:rsidRDefault="002509BE" w:rsidP="00B71FC0">
      <w:pPr>
        <w:pStyle w:val="AppendixText4"/>
        <w:numPr>
          <w:ilvl w:val="4"/>
          <w:numId w:val="133"/>
        </w:numPr>
      </w:pPr>
      <w:r>
        <w:t>where the transfer is subject to EU GDPR, the EU SCCs,</w:t>
      </w:r>
    </w:p>
    <w:p w14:paraId="3E83AFF0" w14:textId="79D2FAA0" w:rsidR="009D3D1E" w:rsidRPr="00BD6C5F" w:rsidRDefault="002509BE" w:rsidP="002509BE">
      <w:pPr>
        <w:pStyle w:val="AppendixText4"/>
        <w:numPr>
          <w:ilvl w:val="0"/>
          <w:numId w:val="0"/>
        </w:numPr>
        <w:ind w:left="3600"/>
      </w:pPr>
      <w:r>
        <w:t>as well as any additional measures determined by the Cont</w:t>
      </w:r>
      <w:r w:rsidR="00764566">
        <w:t>r</w:t>
      </w:r>
      <w:r>
        <w:t xml:space="preserve">oller being </w:t>
      </w:r>
      <w:r w:rsidR="00764566">
        <w:t>implemented</w:t>
      </w:r>
      <w:r w:rsidR="001376F2">
        <w:t xml:space="preserve"> b</w:t>
      </w:r>
      <w:r>
        <w:t>y the importing party</w:t>
      </w:r>
    </w:p>
    <w:p w14:paraId="5D0151BE" w14:textId="77777777" w:rsidR="009D3D1E" w:rsidRPr="00BD6C5F" w:rsidRDefault="009D3D1E" w:rsidP="0040545B">
      <w:pPr>
        <w:pStyle w:val="AppendixText4"/>
      </w:pPr>
      <w:r w:rsidRPr="00BD6C5F">
        <w:t>the Data Subject has enforceable rights and effective legal remedies;</w:t>
      </w:r>
    </w:p>
    <w:p w14:paraId="16A9D1C6" w14:textId="77777777" w:rsidR="009D3D1E" w:rsidRPr="00BD6C5F" w:rsidRDefault="009D3D1E" w:rsidP="0040545B">
      <w:pPr>
        <w:pStyle w:val="AppendixText4"/>
      </w:pPr>
      <w:r w:rsidRPr="00BD6C5F">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BE1540D" w14:textId="1ABF85EA" w:rsidR="009D3D1E" w:rsidRPr="00BD6C5F" w:rsidRDefault="009D3D1E" w:rsidP="0040545B">
      <w:pPr>
        <w:pStyle w:val="AppendixText4"/>
      </w:pPr>
      <w:r w:rsidRPr="00BD6C5F">
        <w:t>the transferring Party complies with any reasonable instructions notified to it in advance by the non-transferring Party with respect to the processing of the Personal Data</w:t>
      </w:r>
      <w:r w:rsidR="00187E5E">
        <w:t>.</w:t>
      </w:r>
    </w:p>
    <w:p w14:paraId="4B42D165" w14:textId="24E1D99A" w:rsidR="00BC7DDA" w:rsidRPr="00BD6C5F" w:rsidRDefault="009B03E9" w:rsidP="00F762C3">
      <w:pPr>
        <w:pStyle w:val="AppendixText2"/>
      </w:pPr>
      <w:r w:rsidRPr="00BD6C5F">
        <w:t xml:space="preserve">Each Joint Controller shall use its </w:t>
      </w:r>
      <w:r w:rsidR="00B223B1">
        <w:t>best</w:t>
      </w:r>
      <w:r w:rsidR="00B223B1" w:rsidRPr="00BD6C5F">
        <w:t xml:space="preserve"> </w:t>
      </w:r>
      <w:r w:rsidRPr="00BD6C5F">
        <w:t>endeavours to assist the other Controller to comply with any obligations under applicable Data Protection Legislation and shall not perform its obligations under this Annex in such a way as to cause the other Joint Controller to breach any of its</w:t>
      </w:r>
      <w:r w:rsidR="00A4555C" w:rsidRPr="00BD6C5F">
        <w:t>’</w:t>
      </w:r>
      <w:r w:rsidRPr="00BD6C5F">
        <w:t xml:space="preserve"> obligations under applicable Data Protection Legislation to the extent it is aware, or ought reasonably to have been aware, that the same would be a breach of such obligations</w:t>
      </w:r>
    </w:p>
    <w:p w14:paraId="5D67DC1E" w14:textId="77777777" w:rsidR="00BC7DDA" w:rsidRPr="00BD6C5F" w:rsidRDefault="009B03E9" w:rsidP="00F762C3">
      <w:pPr>
        <w:pStyle w:val="AppendixText1"/>
      </w:pPr>
      <w:r w:rsidRPr="00BD6C5F">
        <w:t>Data Protection Breach</w:t>
      </w:r>
    </w:p>
    <w:p w14:paraId="74744F39" w14:textId="7CF3E06A" w:rsidR="00BC7DDA" w:rsidRPr="00BD6C5F" w:rsidRDefault="009B03E9" w:rsidP="00F762C3">
      <w:pPr>
        <w:pStyle w:val="AppendixText2"/>
      </w:pPr>
      <w:r w:rsidRPr="00BD6C5F">
        <w:t>Without prejudice to Paragraph</w:t>
      </w:r>
      <w:r w:rsidR="00F57DA7" w:rsidRPr="00BD6C5F">
        <w:t> </w:t>
      </w:r>
      <w:r w:rsidR="00F57DA7" w:rsidRPr="00BD6C5F">
        <w:fldChar w:fldCharType="begin"/>
      </w:r>
      <w:r w:rsidR="00F57DA7" w:rsidRPr="00BD6C5F">
        <w:instrText xml:space="preserve"> REF _Ref98430071 \w \h </w:instrText>
      </w:r>
      <w:r w:rsidR="00AD7DD0" w:rsidRPr="00BD6C5F">
        <w:instrText xml:space="preserve"> \* MERGEFORMAT </w:instrText>
      </w:r>
      <w:r w:rsidR="00F57DA7" w:rsidRPr="00BD6C5F">
        <w:fldChar w:fldCharType="separate"/>
      </w:r>
      <w:r w:rsidR="009749A0">
        <w:t>3.2</w:t>
      </w:r>
      <w:r w:rsidR="00F57DA7" w:rsidRPr="00BD6C5F">
        <w:fldChar w:fldCharType="end"/>
      </w:r>
      <w:r w:rsidRPr="00BD6C5F">
        <w:t xml:space="preserve">, each Party shall notify the other Party promptly and without undue delay, and in any event within 48 hours, upon becoming aware of any </w:t>
      </w:r>
      <w:r w:rsidR="00332546" w:rsidRPr="00332546">
        <w:t xml:space="preserve">Data Loss Event </w:t>
      </w:r>
      <w:r w:rsidRPr="00BD6C5F">
        <w:t xml:space="preserve">or circumstances that are likely to give rise to a </w:t>
      </w:r>
      <w:r w:rsidR="00332546" w:rsidRPr="00332546">
        <w:t>Data Loss Event</w:t>
      </w:r>
      <w:r w:rsidRPr="00BD6C5F">
        <w:t>, providing the other Party and its advisors with:</w:t>
      </w:r>
    </w:p>
    <w:p w14:paraId="6462F71C" w14:textId="7407808F" w:rsidR="00BC7DDA" w:rsidRPr="00BD6C5F" w:rsidRDefault="009B03E9" w:rsidP="00F762C3">
      <w:pPr>
        <w:pStyle w:val="AppendixText3"/>
      </w:pPr>
      <w:r w:rsidRPr="00BD6C5F">
        <w:t xml:space="preserve">sufficient information and in a timescale which allows the other Party to meet any obligations to report a </w:t>
      </w:r>
      <w:r w:rsidR="006E11DF">
        <w:t>Data Loss Event</w:t>
      </w:r>
      <w:r w:rsidRPr="00BD6C5F">
        <w:t xml:space="preserve"> under the Data Protection Legislation;</w:t>
      </w:r>
    </w:p>
    <w:p w14:paraId="43AED76C" w14:textId="77777777" w:rsidR="00BC7DDA" w:rsidRPr="00BD6C5F" w:rsidRDefault="009B03E9" w:rsidP="00FD4E48">
      <w:pPr>
        <w:pStyle w:val="AppendixText3"/>
        <w:keepNext/>
      </w:pPr>
      <w:r w:rsidRPr="00BD6C5F">
        <w:t>all reasonable assistance, including:</w:t>
      </w:r>
    </w:p>
    <w:p w14:paraId="258B1371" w14:textId="5BC2F866" w:rsidR="00BC7DDA" w:rsidRPr="00BD6C5F" w:rsidRDefault="009B03E9" w:rsidP="0040545B">
      <w:pPr>
        <w:pStyle w:val="AppendixText4"/>
      </w:pPr>
      <w:r w:rsidRPr="00BD6C5F">
        <w:t xml:space="preserve">co-operation with the other Party and the Information Commissioner investigating the </w:t>
      </w:r>
      <w:r w:rsidR="00332546" w:rsidRPr="00332546">
        <w:t xml:space="preserve">Data Loss Event </w:t>
      </w:r>
      <w:r w:rsidRPr="00BD6C5F">
        <w:t>and its cause, containing and recovering the compromised Personal Data and compliance with the applicable guidance;</w:t>
      </w:r>
    </w:p>
    <w:p w14:paraId="63759B48" w14:textId="51E1442B" w:rsidR="00BC7DDA" w:rsidRPr="00BD6C5F" w:rsidRDefault="009B03E9" w:rsidP="0040545B">
      <w:pPr>
        <w:pStyle w:val="AppendixText4"/>
      </w:pPr>
      <w:r w:rsidRPr="00BD6C5F">
        <w:t xml:space="preserve">co-operation with the other Party including taking such reasonable steps as are directed by the Authority to assist in the investigation, mitigation and remediation of a </w:t>
      </w:r>
      <w:r w:rsidR="00332546" w:rsidRPr="00332546">
        <w:t>Data Loss Event</w:t>
      </w:r>
      <w:r w:rsidRPr="00BD6C5F">
        <w:t>;</w:t>
      </w:r>
    </w:p>
    <w:p w14:paraId="31D31311" w14:textId="215472B8" w:rsidR="00BC7DDA" w:rsidRPr="00BD6C5F" w:rsidRDefault="009B03E9" w:rsidP="0040545B">
      <w:pPr>
        <w:pStyle w:val="AppendixText4"/>
      </w:pPr>
      <w:r w:rsidRPr="00BD6C5F">
        <w:t xml:space="preserve">co-ordination with the other Party regarding the management of public relations and public statements relating to the </w:t>
      </w:r>
      <w:r w:rsidR="00D96A12" w:rsidRPr="00D96A12">
        <w:t>Data Loss Event</w:t>
      </w:r>
      <w:r w:rsidRPr="00BD6C5F">
        <w:t>;</w:t>
      </w:r>
    </w:p>
    <w:p w14:paraId="098F3AF6" w14:textId="02895A6C" w:rsidR="00BC7DDA" w:rsidRPr="00BD6C5F" w:rsidRDefault="009B03E9" w:rsidP="0040545B">
      <w:pPr>
        <w:pStyle w:val="AppendixText4"/>
      </w:pPr>
      <w:r w:rsidRPr="00BD6C5F">
        <w:t xml:space="preserve">providing the other Party and to the extent instructed by the other Party to do so, and/or the Information Commissioner investigating the </w:t>
      </w:r>
      <w:r w:rsidR="00332546" w:rsidRPr="00332546">
        <w:t>Data Loss Event</w:t>
      </w:r>
      <w:r w:rsidRPr="00BD6C5F">
        <w:t xml:space="preserve">, with complete information relating to the </w:t>
      </w:r>
      <w:r w:rsidR="00332546" w:rsidRPr="00332546">
        <w:t>Data Loss Event</w:t>
      </w:r>
      <w:r w:rsidRPr="00BD6C5F">
        <w:t xml:space="preserve">, including, without limitation, the information set out in </w:t>
      </w:r>
      <w:r w:rsidR="00F57DA7" w:rsidRPr="00BD6C5F">
        <w:t>P</w:t>
      </w:r>
      <w:r w:rsidRPr="00BD6C5F">
        <w:t>aragraph</w:t>
      </w:r>
      <w:r w:rsidR="00F57DA7" w:rsidRPr="00BD6C5F">
        <w:t> </w:t>
      </w:r>
      <w:r w:rsidR="00F57DA7" w:rsidRPr="00BD6C5F">
        <w:fldChar w:fldCharType="begin"/>
      </w:r>
      <w:r w:rsidR="00F57DA7" w:rsidRPr="00BD6C5F">
        <w:instrText xml:space="preserve"> REF _Ref98430071 \w \h </w:instrText>
      </w:r>
      <w:r w:rsidR="00AD7DD0" w:rsidRPr="00BD6C5F">
        <w:instrText xml:space="preserve"> \* MERGEFORMAT </w:instrText>
      </w:r>
      <w:r w:rsidR="00F57DA7" w:rsidRPr="00BD6C5F">
        <w:fldChar w:fldCharType="separate"/>
      </w:r>
      <w:r w:rsidR="009749A0">
        <w:t>3.2</w:t>
      </w:r>
      <w:r w:rsidR="00F57DA7" w:rsidRPr="00BD6C5F">
        <w:fldChar w:fldCharType="end"/>
      </w:r>
      <w:r w:rsidRPr="00BD6C5F">
        <w:t>.</w:t>
      </w:r>
    </w:p>
    <w:p w14:paraId="56D5A34B" w14:textId="38AF8EAC" w:rsidR="00BC7DDA" w:rsidRPr="00BD6C5F" w:rsidRDefault="009B03E9" w:rsidP="00F762C3">
      <w:pPr>
        <w:pStyle w:val="AppendixText2"/>
      </w:pPr>
      <w:bookmarkStart w:id="1873" w:name="_bookmark621"/>
      <w:bookmarkStart w:id="1874" w:name="_Ref98430071"/>
      <w:bookmarkEnd w:id="1873"/>
      <w:r w:rsidRPr="00BD6C5F">
        <w:lastRenderedPageBreak/>
        <w:t xml:space="preserve">Each Party shall take all steps to restore, re-constitute and/or reconstruct any Personal Data where it has lost, damaged, destroyed, altered or corrupted as a result of a </w:t>
      </w:r>
      <w:r w:rsidR="00D96A12" w:rsidRPr="00D96A12">
        <w:t>Data Loss Event</w:t>
      </w:r>
      <w:r w:rsidR="00C1150B">
        <w:t xml:space="preserve"> which is the fault of that Party,</w:t>
      </w:r>
      <w:r w:rsidRPr="00BD6C5F">
        <w:t xml:space="preserve"> as if it was that Party</w:t>
      </w:r>
      <w:r w:rsidR="00A4555C" w:rsidRPr="00BD6C5F">
        <w:t>’</w:t>
      </w:r>
      <w:r w:rsidRPr="00BD6C5F">
        <w:t xml:space="preserve">s own data at its own cost with all possible speed and shall provide the other Party with all reasonable assistance in respect of any such </w:t>
      </w:r>
      <w:r w:rsidR="00D96A12" w:rsidRPr="00D96A12">
        <w:t>Data Loss Event</w:t>
      </w:r>
      <w:r w:rsidRPr="00BD6C5F">
        <w:t xml:space="preserve">, including providing the other Party, as soon as possible and within 48 hours of the </w:t>
      </w:r>
      <w:r w:rsidR="00D96A12" w:rsidRPr="00D96A12">
        <w:t>Data Loss Event</w:t>
      </w:r>
      <w:r w:rsidRPr="00BD6C5F">
        <w:t xml:space="preserve"> relating to the </w:t>
      </w:r>
      <w:r w:rsidR="00D96A12" w:rsidRPr="00D96A12">
        <w:t>Data Loss Event</w:t>
      </w:r>
      <w:r w:rsidRPr="00BD6C5F">
        <w:t>, in particular:</w:t>
      </w:r>
      <w:bookmarkEnd w:id="1874"/>
    </w:p>
    <w:p w14:paraId="6BFCE5AF" w14:textId="4BDD4C35" w:rsidR="00903411" w:rsidRPr="00BD6C5F" w:rsidRDefault="00903411" w:rsidP="00F762C3">
      <w:pPr>
        <w:pStyle w:val="AppendixText3"/>
      </w:pPr>
      <w:r w:rsidRPr="00BD6C5F">
        <w:t xml:space="preserve">the nature of the </w:t>
      </w:r>
      <w:r w:rsidR="00D96A12" w:rsidRPr="00D96A12">
        <w:t>Data Loss Event</w:t>
      </w:r>
      <w:r w:rsidRPr="00BD6C5F">
        <w:t>;</w:t>
      </w:r>
    </w:p>
    <w:p w14:paraId="60045A97" w14:textId="0703A448" w:rsidR="00903411" w:rsidRPr="00BD6C5F" w:rsidRDefault="00903411" w:rsidP="00F762C3">
      <w:pPr>
        <w:pStyle w:val="AppendixText3"/>
      </w:pPr>
      <w:r w:rsidRPr="00BD6C5F">
        <w:t>the nature of Personal Data affected;</w:t>
      </w:r>
    </w:p>
    <w:p w14:paraId="221441FA" w14:textId="148A3709" w:rsidR="00903411" w:rsidRPr="00BD6C5F" w:rsidRDefault="00903411" w:rsidP="00F762C3">
      <w:pPr>
        <w:pStyle w:val="AppendixText3"/>
      </w:pPr>
      <w:r w:rsidRPr="00BD6C5F">
        <w:t>the categories and number of Data Subjects concerned;</w:t>
      </w:r>
    </w:p>
    <w:p w14:paraId="7E33D59B" w14:textId="2A78D3F7" w:rsidR="00903411" w:rsidRPr="00BD6C5F" w:rsidRDefault="00903411" w:rsidP="00F762C3">
      <w:pPr>
        <w:pStyle w:val="AppendixText3"/>
      </w:pPr>
      <w:r w:rsidRPr="00BD6C5F">
        <w:t>the name and contact details of the Supplier</w:t>
      </w:r>
      <w:r w:rsidR="00A4555C" w:rsidRPr="00BD6C5F">
        <w:t>’</w:t>
      </w:r>
      <w:r w:rsidRPr="00BD6C5F">
        <w:t>s Data Protection Officer or other relevant contact from whom more information may be obtained;</w:t>
      </w:r>
    </w:p>
    <w:p w14:paraId="25968795" w14:textId="6FF486D8" w:rsidR="00903411" w:rsidRPr="00BD6C5F" w:rsidRDefault="00903411" w:rsidP="00F762C3">
      <w:pPr>
        <w:pStyle w:val="AppendixText3"/>
      </w:pPr>
      <w:r w:rsidRPr="00BD6C5F">
        <w:t xml:space="preserve">measures taken or proposed to be taken to address the </w:t>
      </w:r>
      <w:r w:rsidR="00D96A12" w:rsidRPr="00D96A12">
        <w:t>Data Loss Event</w:t>
      </w:r>
      <w:r w:rsidRPr="00BD6C5F">
        <w:t>; and</w:t>
      </w:r>
    </w:p>
    <w:p w14:paraId="1ADC24BD" w14:textId="740C7F67" w:rsidR="00903411" w:rsidRPr="00BD6C5F" w:rsidRDefault="00903411" w:rsidP="00F762C3">
      <w:pPr>
        <w:pStyle w:val="AppendixText3"/>
      </w:pPr>
      <w:r w:rsidRPr="00BD6C5F">
        <w:t xml:space="preserve">describe the likely consequences of the </w:t>
      </w:r>
      <w:r w:rsidR="00D96A12" w:rsidRPr="00D96A12">
        <w:t>Data Loss Event</w:t>
      </w:r>
      <w:r w:rsidRPr="00BD6C5F">
        <w:t>.</w:t>
      </w:r>
    </w:p>
    <w:p w14:paraId="0A7A36B0" w14:textId="003E0519" w:rsidR="00903411" w:rsidRPr="00BD6C5F" w:rsidRDefault="00903411" w:rsidP="00F762C3">
      <w:pPr>
        <w:pStyle w:val="AppendixText1"/>
      </w:pPr>
      <w:r w:rsidRPr="00BD6C5F">
        <w:t>Audit</w:t>
      </w:r>
    </w:p>
    <w:p w14:paraId="07AD8085" w14:textId="77777777" w:rsidR="00BC7DDA" w:rsidRPr="00BD6C5F" w:rsidRDefault="009B03E9" w:rsidP="00FD4E48">
      <w:pPr>
        <w:pStyle w:val="AppendixText2"/>
        <w:keepNext/>
      </w:pPr>
      <w:bookmarkStart w:id="1875" w:name="_bookmark622"/>
      <w:bookmarkStart w:id="1876" w:name="_Ref98430102"/>
      <w:bookmarkEnd w:id="1875"/>
      <w:r w:rsidRPr="00BD6C5F">
        <w:t>The Supplier shall permit:</w:t>
      </w:r>
      <w:bookmarkEnd w:id="1876"/>
    </w:p>
    <w:p w14:paraId="6E34C870" w14:textId="40C8B8D1" w:rsidR="00BC7DDA" w:rsidRPr="00BD6C5F" w:rsidRDefault="009B03E9" w:rsidP="00F762C3">
      <w:pPr>
        <w:pStyle w:val="AppendixText3"/>
      </w:pPr>
      <w:r w:rsidRPr="00BD6C5F">
        <w:t>the Authority, or a third-party auditor acting under the Authority</w:t>
      </w:r>
      <w:r w:rsidR="00A4555C" w:rsidRPr="00BD6C5F">
        <w:t>’</w:t>
      </w:r>
      <w:r w:rsidRPr="00BD6C5F">
        <w:t>s direction, to conduct, at the Authority</w:t>
      </w:r>
      <w:r w:rsidR="00A4555C" w:rsidRPr="00BD6C5F">
        <w:t>’</w:t>
      </w:r>
      <w:r w:rsidRPr="00BD6C5F">
        <w:t>s cost, data privacy and security audits, assessments and inspections concerning the Supplier</w:t>
      </w:r>
      <w:r w:rsidR="00A4555C" w:rsidRPr="00BD6C5F">
        <w:t>’</w:t>
      </w:r>
      <w:r w:rsidRPr="00BD6C5F">
        <w:t xml:space="preserve">s data security and privacy procedures relating to Personal Data, its compliance with this Annex </w:t>
      </w:r>
      <w:r w:rsidR="002B77C3">
        <w:fldChar w:fldCharType="begin"/>
      </w:r>
      <w:r w:rsidR="002B77C3">
        <w:instrText xml:space="preserve"> REF Schedule_31_Annex_1 \h </w:instrText>
      </w:r>
      <w:r w:rsidR="002B77C3">
        <w:fldChar w:fldCharType="separate"/>
      </w:r>
      <w:r w:rsidR="009749A0" w:rsidRPr="00BD6C5F">
        <w:t>1</w:t>
      </w:r>
      <w:r w:rsidR="002B77C3">
        <w:fldChar w:fldCharType="end"/>
      </w:r>
      <w:r w:rsidRPr="00BD6C5F">
        <w:t xml:space="preserve"> and the Data Protection Legislation.</w:t>
      </w:r>
    </w:p>
    <w:p w14:paraId="79FA730F" w14:textId="7546FA0E" w:rsidR="00BC7DDA" w:rsidRPr="00BD6C5F" w:rsidRDefault="009B03E9" w:rsidP="00F762C3">
      <w:pPr>
        <w:pStyle w:val="AppendixText3"/>
      </w:pPr>
      <w:r w:rsidRPr="00BD6C5F">
        <w:t>the Authority, or a third-party auditor acting under the Authority</w:t>
      </w:r>
      <w:r w:rsidR="00A4555C" w:rsidRPr="00BD6C5F">
        <w:t>’</w:t>
      </w:r>
      <w:r w:rsidRPr="00BD6C5F">
        <w:t xml:space="preserve">s direction, access to premises at which the Personal Data is accessible or at which it is able to inspect any relevant records, including the record maintained under Article 30 </w:t>
      </w:r>
      <w:r w:rsidR="008B545B" w:rsidRPr="00BD6C5F">
        <w:t xml:space="preserve">of the UK </w:t>
      </w:r>
      <w:r w:rsidRPr="00BD6C5F">
        <w:t xml:space="preserve">GDPR by the Supplier so far as relevant to the </w:t>
      </w:r>
      <w:r w:rsidR="008B545B" w:rsidRPr="00BD6C5F">
        <w:t>Contract</w:t>
      </w:r>
      <w:r w:rsidRPr="00BD6C5F">
        <w:t>, and procedures, including premises under the control of any third party appointed by the Supplier to assist in the provision of the Services.</w:t>
      </w:r>
    </w:p>
    <w:p w14:paraId="181D08C1" w14:textId="5D2811F6" w:rsidR="00BC7DDA" w:rsidRPr="00BD6C5F" w:rsidRDefault="009B03E9" w:rsidP="00F762C3">
      <w:pPr>
        <w:pStyle w:val="AppendixText2"/>
      </w:pPr>
      <w:r w:rsidRPr="00BD6C5F">
        <w:t>The Authority may, in its sole discretion, require the Supplier to provide evidence of the Supplier</w:t>
      </w:r>
      <w:r w:rsidR="00A4555C" w:rsidRPr="00BD6C5F">
        <w:t>’</w:t>
      </w:r>
      <w:r w:rsidRPr="00BD6C5F">
        <w:t>s compliance with Paragraph</w:t>
      </w:r>
      <w:r w:rsidR="00F57DA7" w:rsidRPr="00BD6C5F">
        <w:t> </w:t>
      </w:r>
      <w:r w:rsidR="00F57DA7" w:rsidRPr="00BD6C5F">
        <w:fldChar w:fldCharType="begin"/>
      </w:r>
      <w:r w:rsidR="00F57DA7" w:rsidRPr="00BD6C5F">
        <w:instrText xml:space="preserve"> REF _Ref98430102 \w \h </w:instrText>
      </w:r>
      <w:r w:rsidR="00AD7DD0" w:rsidRPr="00BD6C5F">
        <w:instrText xml:space="preserve"> \* MERGEFORMAT </w:instrText>
      </w:r>
      <w:r w:rsidR="00F57DA7" w:rsidRPr="00BD6C5F">
        <w:fldChar w:fldCharType="separate"/>
      </w:r>
      <w:r w:rsidR="009749A0">
        <w:t>4.1</w:t>
      </w:r>
      <w:r w:rsidR="00F57DA7" w:rsidRPr="00BD6C5F">
        <w:fldChar w:fldCharType="end"/>
      </w:r>
      <w:r w:rsidRPr="00BD6C5F">
        <w:t xml:space="preserve"> in lieu of conducting such an audit, assessment or inspection.</w:t>
      </w:r>
    </w:p>
    <w:p w14:paraId="2CE582CC" w14:textId="77777777" w:rsidR="00BC7DDA" w:rsidRPr="00BD6C5F" w:rsidRDefault="009B03E9" w:rsidP="00F762C3">
      <w:pPr>
        <w:pStyle w:val="AppendixText1"/>
      </w:pPr>
      <w:r w:rsidRPr="00BD6C5F">
        <w:t>Impact Assessments</w:t>
      </w:r>
    </w:p>
    <w:p w14:paraId="7BD785CD" w14:textId="77777777" w:rsidR="00BC7DDA" w:rsidRPr="00BD6C5F" w:rsidRDefault="009B03E9" w:rsidP="00FD4E48">
      <w:pPr>
        <w:pStyle w:val="AppendixText2"/>
        <w:keepNext/>
      </w:pPr>
      <w:r w:rsidRPr="00BD6C5F">
        <w:rPr>
          <w:bCs/>
        </w:rPr>
        <w:t xml:space="preserve">The </w:t>
      </w:r>
      <w:r w:rsidRPr="00BD6C5F">
        <w:t>Parties</w:t>
      </w:r>
      <w:r w:rsidRPr="00BD6C5F">
        <w:rPr>
          <w:bCs/>
        </w:rPr>
        <w:t xml:space="preserve"> </w:t>
      </w:r>
      <w:r w:rsidRPr="00BD6C5F">
        <w:t>shall:</w:t>
      </w:r>
    </w:p>
    <w:p w14:paraId="1635046F" w14:textId="77777777" w:rsidR="00BC7DDA" w:rsidRPr="00BD6C5F" w:rsidRDefault="009B03E9" w:rsidP="00F762C3">
      <w:pPr>
        <w:pStyle w:val="AppendixText3"/>
      </w:pPr>
      <w:r w:rsidRPr="00BD6C5F">
        <w:t>provide all reasonable assistance to each other to prepare any Data Protection Impact Assessment as may be required (including provision of detailed information and assessments in relation to processing operations, risks and measures);</w:t>
      </w:r>
    </w:p>
    <w:p w14:paraId="0AF7CCA7" w14:textId="5AB1AE20" w:rsidR="00BC7DDA" w:rsidRPr="00BD6C5F" w:rsidRDefault="009B03E9" w:rsidP="00F762C3">
      <w:pPr>
        <w:pStyle w:val="AppendixText3"/>
      </w:pPr>
      <w:r w:rsidRPr="00BD6C5F">
        <w:t>maintain full and complete records of all Processing carried out in respect of the Personal Data in connection with this Agreement, in accordance with the terms of Article 30</w:t>
      </w:r>
      <w:r w:rsidR="008B545B" w:rsidRPr="00BD6C5F">
        <w:t xml:space="preserve"> of the UK</w:t>
      </w:r>
      <w:r w:rsidRPr="00BD6C5F">
        <w:t xml:space="preserve"> GDPR.</w:t>
      </w:r>
    </w:p>
    <w:p w14:paraId="5F72CA3B" w14:textId="77777777" w:rsidR="00BC7DDA" w:rsidRPr="00BD6C5F" w:rsidRDefault="009B03E9" w:rsidP="00F762C3">
      <w:pPr>
        <w:pStyle w:val="AppendixText1"/>
      </w:pPr>
      <w:r w:rsidRPr="00BD6C5F">
        <w:lastRenderedPageBreak/>
        <w:t>ICO Guidance</w:t>
      </w:r>
    </w:p>
    <w:p w14:paraId="51C50FAD" w14:textId="327E1A1F" w:rsidR="00BC7DDA" w:rsidRPr="00BD6C5F" w:rsidRDefault="009B03E9" w:rsidP="00F762C3">
      <w:pPr>
        <w:pStyle w:val="AppendixText2"/>
      </w:pPr>
      <w:r w:rsidRPr="00BD6C5F">
        <w:t xml:space="preserve">The Parties agree to take account of any guidance issued by the Information Commissioner and/or any </w:t>
      </w:r>
      <w:r w:rsidR="0095465B">
        <w:t>other regulatory authority</w:t>
      </w:r>
      <w:r w:rsidRPr="00BD6C5F">
        <w:t>. The Authority may on not less than thirty (30) Working Days</w:t>
      </w:r>
      <w:r w:rsidR="00A4555C" w:rsidRPr="00BD6C5F">
        <w:t>’</w:t>
      </w:r>
      <w:r w:rsidRPr="00BD6C5F">
        <w:t xml:space="preserve"> notice to the Supplier amend this </w:t>
      </w:r>
      <w:r w:rsidR="00C6254B" w:rsidRPr="00BD6C5F">
        <w:t xml:space="preserve">Joint Controller Agreement </w:t>
      </w:r>
      <w:r w:rsidRPr="00BD6C5F">
        <w:t xml:space="preserve">to ensure that it complies with any guidance issued by the Information Commissioner </w:t>
      </w:r>
      <w:r w:rsidR="0095465B">
        <w:t>or any other regulatory body</w:t>
      </w:r>
      <w:r w:rsidRPr="00BD6C5F">
        <w:t>.</w:t>
      </w:r>
    </w:p>
    <w:p w14:paraId="0FF73C50" w14:textId="77777777" w:rsidR="00BC7DDA" w:rsidRPr="00BD6C5F" w:rsidRDefault="009B03E9" w:rsidP="00F762C3">
      <w:pPr>
        <w:pStyle w:val="AppendixText1"/>
      </w:pPr>
      <w:r w:rsidRPr="00BD6C5F">
        <w:t>Liabilities for Data Protection Breach</w:t>
      </w:r>
    </w:p>
    <w:p w14:paraId="1AD18216" w14:textId="77777777" w:rsidR="00BC7DDA" w:rsidRPr="00BD6C5F" w:rsidRDefault="009B03E9" w:rsidP="001A5A96">
      <w:pPr>
        <w:spacing w:before="100" w:after="200"/>
        <w:ind w:left="720"/>
      </w:pPr>
      <w:r w:rsidRPr="00BD6C5F">
        <w:rPr>
          <w:shd w:val="clear" w:color="auto" w:fill="FFFF00"/>
        </w:rPr>
        <w:t>[</w:t>
      </w:r>
      <w:r w:rsidRPr="00493933">
        <w:rPr>
          <w:b/>
          <w:bCs/>
          <w:i/>
          <w:iCs/>
          <w:shd w:val="clear" w:color="auto" w:fill="FFFF00"/>
        </w:rPr>
        <w:t>Guidance: This paragraph represents a risk share, you may wish to reconsider the apportionment of liability and whether recoverability of losses are likely to be hindered by the contractual limitation of liability provisions</w:t>
      </w:r>
      <w:r w:rsidRPr="00BD6C5F">
        <w:rPr>
          <w:shd w:val="clear" w:color="auto" w:fill="FFFF00"/>
        </w:rPr>
        <w:t>]</w:t>
      </w:r>
    </w:p>
    <w:p w14:paraId="7278423B" w14:textId="3DF0C54E" w:rsidR="00BC7DDA" w:rsidRPr="00BD6C5F" w:rsidRDefault="009B03E9" w:rsidP="00FD4E48">
      <w:pPr>
        <w:pStyle w:val="AppendixText2"/>
        <w:keepNext/>
      </w:pPr>
      <w:r w:rsidRPr="00BD6C5F">
        <w:t xml:space="preserve">If financial penalties are imposed by the Information Commissioner on either the Authority or the Supplier for a </w:t>
      </w:r>
      <w:r w:rsidR="0095465B" w:rsidRPr="0095465B">
        <w:t xml:space="preserve">Data Loss Event </w:t>
      </w:r>
      <w:r w:rsidR="00D96A12">
        <w:t>ersonal Data Breach</w:t>
      </w:r>
      <w:r w:rsidRPr="00BD6C5F">
        <w:t xml:space="preserve"> (</w:t>
      </w:r>
      <w:r w:rsidR="00A4555C" w:rsidRPr="00BD6C5F">
        <w:t>“</w:t>
      </w:r>
      <w:r w:rsidRPr="00BD6C5F">
        <w:rPr>
          <w:b/>
        </w:rPr>
        <w:t>Financial Penalties</w:t>
      </w:r>
      <w:r w:rsidR="00A4555C" w:rsidRPr="00BD6C5F">
        <w:t>”</w:t>
      </w:r>
      <w:r w:rsidRPr="00BD6C5F">
        <w:t>) then the following shall occur:</w:t>
      </w:r>
    </w:p>
    <w:p w14:paraId="7F37A289" w14:textId="366D6A33" w:rsidR="00BC7DDA" w:rsidRPr="00BD6C5F" w:rsidRDefault="009B03E9" w:rsidP="00F762C3">
      <w:pPr>
        <w:pStyle w:val="AppendixText3"/>
      </w:pPr>
      <w:r w:rsidRPr="00BD6C5F">
        <w:t xml:space="preserve">If in the view of the Information Commissioner, the Authority is responsible for the </w:t>
      </w:r>
      <w:r w:rsidR="0095465B" w:rsidRPr="0095465B">
        <w:t>Data Loss Event</w:t>
      </w:r>
      <w:r w:rsidRPr="00BD6C5F">
        <w:t>, in that it is caused as a result of the actions or inaction of the Authority, its employees, agents, contractors (other than the Supplier) or systems and</w:t>
      </w:r>
      <w:r w:rsidR="00DB2677" w:rsidRPr="00BD6C5F">
        <w:t xml:space="preserve"> </w:t>
      </w:r>
      <w:r w:rsidRPr="00BD6C5F">
        <w:t>procedures controlled by 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Supplier shall provide to the Authority and its third party investigators and auditors, on request and at the Supplier</w:t>
      </w:r>
      <w:r w:rsidR="00A4555C" w:rsidRPr="00BD6C5F">
        <w:t>’</w:t>
      </w:r>
      <w:r w:rsidRPr="00BD6C5F">
        <w:t>s reasonable cost, full cooperation and access to conduct a thorough audit of such data incident;</w:t>
      </w:r>
    </w:p>
    <w:p w14:paraId="146359BC" w14:textId="45633105" w:rsidR="00BC7DDA" w:rsidRPr="00BD6C5F" w:rsidRDefault="009B03E9" w:rsidP="00F762C3">
      <w:pPr>
        <w:pStyle w:val="AppendixText3"/>
      </w:pPr>
      <w:r w:rsidRPr="00BD6C5F">
        <w:t xml:space="preserve">If in the view of the Information Commissioner, the Supplier is responsible for the </w:t>
      </w:r>
      <w:r w:rsidR="0095465B" w:rsidRPr="0095465B">
        <w:t>Data Loss Event</w:t>
      </w:r>
      <w:r w:rsidRPr="00BD6C5F">
        <w:t>, in that it is not a breach that the Authority is responsible for, then the Supplier shall be responsible for the payment of these Financial Penalties. The Supplier will provide to the Authority and its auditors, on request and at the Supplier</w:t>
      </w:r>
      <w:r w:rsidR="00A4555C" w:rsidRPr="00BD6C5F">
        <w:t>’</w:t>
      </w:r>
      <w:r w:rsidRPr="00BD6C5F">
        <w:t>s sole cost, full cooperation and access to conduct a thorough audit of such data incident.</w:t>
      </w:r>
    </w:p>
    <w:p w14:paraId="42762D6E" w14:textId="6A8DFEC1" w:rsidR="00BC7DDA" w:rsidRPr="00BD6C5F" w:rsidRDefault="009B03E9" w:rsidP="00F762C3">
      <w:pPr>
        <w:pStyle w:val="AppendixText3"/>
      </w:pPr>
      <w:r w:rsidRPr="00BD6C5F">
        <w:t xml:space="preserve">If no view as to responsibility is expressed by the Information Commissioner, then the Authority and the Supplier shall work together to investigate the relevant data incident and allocate responsibility for any Financial Penalties as outlined above, or by agreement to split any financial penalties equally if no responsibility for the </w:t>
      </w:r>
      <w:r w:rsidR="0095465B" w:rsidRPr="0095465B">
        <w:t>Data Loss Event</w:t>
      </w:r>
      <w:r w:rsidRPr="00BD6C5F">
        <w:t xml:space="preserve"> can be apportioned. In the event that the Parties do not agree such apportionment then such Dispute shall be referred to the Dispute Resolution Procedure set out in </w:t>
      </w:r>
      <w:r w:rsidR="00BF4352" w:rsidRPr="00BD6C5F">
        <w:rPr>
          <w:rFonts w:asciiTheme="minorHAnsi" w:hAnsiTheme="minorHAnsi" w:cstheme="minorHAnsi"/>
        </w:rPr>
        <w:t>Schedule </w:t>
      </w:r>
      <w:r w:rsidR="00BF4352">
        <w:rPr>
          <w:rFonts w:asciiTheme="minorHAnsi" w:hAnsiTheme="minorHAnsi" w:cstheme="minorHAnsi"/>
        </w:rPr>
        <w:fldChar w:fldCharType="begin"/>
      </w:r>
      <w:r w:rsidR="00BF4352">
        <w:rPr>
          <w:rFonts w:asciiTheme="minorHAnsi" w:hAnsiTheme="minorHAnsi" w:cstheme="minorHAnsi"/>
        </w:rPr>
        <w:instrText xml:space="preserve"> REF Schedule_23 \h </w:instrText>
      </w:r>
      <w:r w:rsidR="00BF4352">
        <w:rPr>
          <w:rFonts w:asciiTheme="minorHAnsi" w:hAnsiTheme="minorHAnsi" w:cstheme="minorHAnsi"/>
        </w:rPr>
      </w:r>
      <w:r w:rsidR="00BF4352">
        <w:rPr>
          <w:rFonts w:asciiTheme="minorHAnsi" w:hAnsiTheme="minorHAnsi" w:cstheme="minorHAnsi"/>
        </w:rPr>
        <w:fldChar w:fldCharType="separate"/>
      </w:r>
      <w:r w:rsidR="009749A0">
        <w:t>23</w:t>
      </w:r>
      <w:r w:rsidR="00BF4352">
        <w:rPr>
          <w:rFonts w:asciiTheme="minorHAnsi" w:hAnsiTheme="minorHAnsi" w:cstheme="minorHAnsi"/>
        </w:rPr>
        <w:fldChar w:fldCharType="end"/>
      </w:r>
      <w:r w:rsidRPr="00BD6C5F">
        <w:t xml:space="preserve"> (</w:t>
      </w:r>
      <w:r w:rsidRPr="00BD6C5F">
        <w:rPr>
          <w:i/>
        </w:rPr>
        <w:t>Dispute Resolution Procedure</w:t>
      </w:r>
      <w:r w:rsidRPr="00BD6C5F">
        <w:t>).</w:t>
      </w:r>
    </w:p>
    <w:p w14:paraId="4AB9AE46" w14:textId="7A8B17F7" w:rsidR="00BC7DDA" w:rsidRPr="00BD6C5F" w:rsidRDefault="009B03E9" w:rsidP="00F762C3">
      <w:pPr>
        <w:pStyle w:val="AppendixText2"/>
      </w:pPr>
      <w:bookmarkStart w:id="1877" w:name="_bookmark623"/>
      <w:bookmarkStart w:id="1878" w:name="_Ref98430114"/>
      <w:bookmarkEnd w:id="1877"/>
      <w:r w:rsidRPr="00BD6C5F">
        <w:t>If either the Authority or the Supplier is the defendant in a legal claim brought before a court of competent jurisdiction (</w:t>
      </w:r>
      <w:r w:rsidR="00A4555C" w:rsidRPr="00BD6C5F">
        <w:t>“</w:t>
      </w:r>
      <w:r w:rsidRPr="00BD6C5F">
        <w:rPr>
          <w:b/>
        </w:rPr>
        <w:t>Court</w:t>
      </w:r>
      <w:r w:rsidR="00A4555C" w:rsidRPr="00BD6C5F">
        <w:t>”</w:t>
      </w:r>
      <w:r w:rsidRPr="00BD6C5F">
        <w:t xml:space="preserve">) by a third party in respect of a </w:t>
      </w:r>
      <w:r w:rsidR="0095465B" w:rsidRPr="0095465B">
        <w:t>Data Loss Event</w:t>
      </w:r>
      <w:r w:rsidRPr="00BD6C5F">
        <w:t xml:space="preserve">, then unless the Parties otherwise agree, the Party that is determined by the final decision of the court to be responsible for the </w:t>
      </w:r>
      <w:r w:rsidR="0095465B" w:rsidRPr="0095465B">
        <w:t>Data Loss Event</w:t>
      </w:r>
      <w:r w:rsidRPr="00BD6C5F">
        <w:t xml:space="preserve"> shall be liable for the losses arising from such breach. Where both Parties are liable, the liability will be apportioned between the Parties in accordance with the decision of the Court.</w:t>
      </w:r>
      <w:bookmarkEnd w:id="1878"/>
    </w:p>
    <w:p w14:paraId="505FA10D" w14:textId="0778CCBC" w:rsidR="00BC7DDA" w:rsidRPr="00BD6C5F" w:rsidRDefault="009B03E9" w:rsidP="00FD4E48">
      <w:pPr>
        <w:pStyle w:val="AppendixText2"/>
        <w:keepNext/>
      </w:pPr>
      <w:bookmarkStart w:id="1879" w:name="_bookmark624"/>
      <w:bookmarkStart w:id="1880" w:name="_Ref98430123"/>
      <w:bookmarkEnd w:id="1879"/>
      <w:r w:rsidRPr="00BD6C5F">
        <w:lastRenderedPageBreak/>
        <w:t xml:space="preserve">In respect of any losses, cost claims or expenses incurred by either Party as a result of a </w:t>
      </w:r>
      <w:r w:rsidR="0095465B" w:rsidRPr="0095465B">
        <w:t>Data Loss Event</w:t>
      </w:r>
      <w:r w:rsidRPr="00BD6C5F">
        <w:t xml:space="preserve"> (the </w:t>
      </w:r>
      <w:r w:rsidR="00A4555C" w:rsidRPr="00BD6C5F">
        <w:t>“</w:t>
      </w:r>
      <w:r w:rsidRPr="00BD6C5F">
        <w:rPr>
          <w:b/>
        </w:rPr>
        <w:t>Claim Losses</w:t>
      </w:r>
      <w:r w:rsidR="00A4555C" w:rsidRPr="00BD6C5F">
        <w:t>”</w:t>
      </w:r>
      <w:r w:rsidRPr="00BD6C5F">
        <w:t>):</w:t>
      </w:r>
      <w:bookmarkEnd w:id="1880"/>
    </w:p>
    <w:p w14:paraId="7FB23F98" w14:textId="77777777" w:rsidR="00BC7DDA" w:rsidRPr="00BD6C5F" w:rsidRDefault="009B03E9" w:rsidP="00F762C3">
      <w:pPr>
        <w:pStyle w:val="AppendixText3"/>
      </w:pPr>
      <w:r w:rsidRPr="00BD6C5F">
        <w:t>if the Authority is responsible for the relevant breach, then the Authority shall be responsible for the Claim Losses;</w:t>
      </w:r>
    </w:p>
    <w:p w14:paraId="743E9C2F" w14:textId="77777777" w:rsidR="00BC7DDA" w:rsidRPr="00BD6C5F" w:rsidRDefault="009B03E9" w:rsidP="00F762C3">
      <w:pPr>
        <w:pStyle w:val="AppendixText3"/>
      </w:pPr>
      <w:r w:rsidRPr="00BD6C5F">
        <w:t>if the Supplier is responsible for the relevant breach, then the Supplier shall be responsible for the Claim Losses: and</w:t>
      </w:r>
    </w:p>
    <w:p w14:paraId="20FA9B8E" w14:textId="77777777" w:rsidR="00BC7DDA" w:rsidRPr="00BD6C5F" w:rsidRDefault="009B03E9" w:rsidP="00F762C3">
      <w:pPr>
        <w:pStyle w:val="AppendixText3"/>
      </w:pPr>
      <w:r w:rsidRPr="00BD6C5F">
        <w:t>if responsibility is unclear, then the Authority and the Supplier shall be responsible for the Claim Losses equally.</w:t>
      </w:r>
    </w:p>
    <w:p w14:paraId="67C1C6DA" w14:textId="711B3E4B" w:rsidR="00BC7DDA" w:rsidRPr="00BD6C5F" w:rsidRDefault="009B03E9" w:rsidP="00F762C3">
      <w:pPr>
        <w:pStyle w:val="AppendixText2"/>
      </w:pPr>
      <w:r w:rsidRPr="00BD6C5F">
        <w:t>Nothing in Paragraphs</w:t>
      </w:r>
      <w:r w:rsidR="00F57DA7" w:rsidRPr="00BD6C5F">
        <w:t> </w:t>
      </w:r>
      <w:r w:rsidR="00F57DA7" w:rsidRPr="00BD6C5F">
        <w:fldChar w:fldCharType="begin"/>
      </w:r>
      <w:r w:rsidR="00F57DA7" w:rsidRPr="00BD6C5F">
        <w:instrText xml:space="preserve"> REF _Ref98430114 \w \h </w:instrText>
      </w:r>
      <w:r w:rsidR="00AD7DD0" w:rsidRPr="00BD6C5F">
        <w:instrText xml:space="preserve"> \* MERGEFORMAT </w:instrText>
      </w:r>
      <w:r w:rsidR="00F57DA7" w:rsidRPr="00BD6C5F">
        <w:fldChar w:fldCharType="separate"/>
      </w:r>
      <w:r w:rsidR="009749A0">
        <w:t>7.2</w:t>
      </w:r>
      <w:r w:rsidR="00F57DA7" w:rsidRPr="00BD6C5F">
        <w:fldChar w:fldCharType="end"/>
      </w:r>
      <w:r w:rsidRPr="00BD6C5F">
        <w:t>-</w:t>
      </w:r>
      <w:r w:rsidR="00F57DA7" w:rsidRPr="00BD6C5F">
        <w:fldChar w:fldCharType="begin"/>
      </w:r>
      <w:r w:rsidR="00F57DA7" w:rsidRPr="00BD6C5F">
        <w:instrText xml:space="preserve"> REF _Ref98430123 \w \h </w:instrText>
      </w:r>
      <w:r w:rsidR="00AD7DD0" w:rsidRPr="00BD6C5F">
        <w:instrText xml:space="preserve"> \* MERGEFORMAT </w:instrText>
      </w:r>
      <w:r w:rsidR="00F57DA7" w:rsidRPr="00BD6C5F">
        <w:fldChar w:fldCharType="separate"/>
      </w:r>
      <w:r w:rsidR="009749A0">
        <w:t>7.3</w:t>
      </w:r>
      <w:r w:rsidR="00F57DA7" w:rsidRPr="00BD6C5F">
        <w:fldChar w:fldCharType="end"/>
      </w:r>
      <w:r w:rsidRPr="00BD6C5F">
        <w:t xml:space="preserve"> shall preclude the Authority and the Supplier reaching any other agreement, including by way of compromise with a third party complainant or claimant, as to the apportionment of financial responsibility for any Claim Losses as a result of a </w:t>
      </w:r>
      <w:r w:rsidR="0095465B" w:rsidRPr="0095465B">
        <w:t>Data Loss Event</w:t>
      </w:r>
      <w:r w:rsidRPr="00BD6C5F">
        <w:t>,</w:t>
      </w:r>
      <w:r w:rsidR="00DB2677" w:rsidRPr="00BD6C5F">
        <w:t xml:space="preserve"> </w:t>
      </w:r>
      <w:r w:rsidRPr="00BD6C5F">
        <w:t>having regard to all the circumstances of the breach and the legal and financial obligations of the Authority.</w:t>
      </w:r>
    </w:p>
    <w:p w14:paraId="0FF68A57" w14:textId="77777777" w:rsidR="00BC7DDA" w:rsidRPr="00BD6C5F" w:rsidRDefault="009B03E9" w:rsidP="00F762C3">
      <w:pPr>
        <w:pStyle w:val="AppendixText1"/>
      </w:pPr>
      <w:r w:rsidRPr="00BD6C5F">
        <w:t>Termination</w:t>
      </w:r>
    </w:p>
    <w:p w14:paraId="0025E9BA" w14:textId="60188F8C" w:rsidR="00BC7DDA" w:rsidRPr="00BD6C5F" w:rsidRDefault="009B03E9" w:rsidP="00F762C3">
      <w:pPr>
        <w:pStyle w:val="AppendixText2"/>
      </w:pPr>
      <w:r w:rsidRPr="00BD6C5F">
        <w:t xml:space="preserve">If the Supplier is in material Default under any of its obligations under this Annex </w:t>
      </w:r>
      <w:r w:rsidR="002B77C3">
        <w:fldChar w:fldCharType="begin"/>
      </w:r>
      <w:r w:rsidR="002B77C3">
        <w:instrText xml:space="preserve"> REF Schedule_31_Annex_1 \h </w:instrText>
      </w:r>
      <w:r w:rsidR="002B77C3">
        <w:fldChar w:fldCharType="separate"/>
      </w:r>
      <w:r w:rsidR="009749A0" w:rsidRPr="00BD6C5F">
        <w:t>1</w:t>
      </w:r>
      <w:r w:rsidR="002B77C3">
        <w:fldChar w:fldCharType="end"/>
      </w:r>
      <w:r w:rsidRPr="00BD6C5F">
        <w:t xml:space="preserve"> (</w:t>
      </w:r>
      <w:r w:rsidRPr="00BD6C5F">
        <w:rPr>
          <w:i/>
        </w:rPr>
        <w:t>Joint Control</w:t>
      </w:r>
      <w:r w:rsidR="00C6254B" w:rsidRPr="00BD6C5F">
        <w:rPr>
          <w:i/>
        </w:rPr>
        <w:t>ler</w:t>
      </w:r>
      <w:r w:rsidRPr="00BD6C5F">
        <w:rPr>
          <w:i/>
        </w:rPr>
        <w:t xml:space="preserve"> Agreement</w:t>
      </w:r>
      <w:r w:rsidRPr="00BD6C5F">
        <w:t xml:space="preserve">), the Authority shall be entitled to terminate this </w:t>
      </w:r>
      <w:r w:rsidR="008B545B" w:rsidRPr="00BD6C5F">
        <w:t xml:space="preserve">Contract </w:t>
      </w:r>
      <w:r w:rsidRPr="00BD6C5F">
        <w:t xml:space="preserve">by issuing a Termination Notice to the Supplier in accordance with </w:t>
      </w:r>
      <w:r w:rsidR="005E736B" w:rsidRPr="00BD6C5F">
        <w:t>Clause </w:t>
      </w:r>
      <w:r w:rsidRPr="00BD6C5F">
        <w:t>3</w:t>
      </w:r>
      <w:r w:rsidR="00C6254B" w:rsidRPr="00BD6C5F">
        <w:t>1</w:t>
      </w:r>
      <w:r w:rsidRPr="00BD6C5F">
        <w:t xml:space="preserve"> (</w:t>
      </w:r>
      <w:r w:rsidRPr="00BD6C5F">
        <w:rPr>
          <w:i/>
        </w:rPr>
        <w:t>Termination Rights</w:t>
      </w:r>
      <w:r w:rsidRPr="00BD6C5F">
        <w:t>).</w:t>
      </w:r>
    </w:p>
    <w:p w14:paraId="498427F0" w14:textId="77777777" w:rsidR="00BC7DDA" w:rsidRPr="00BD6C5F" w:rsidRDefault="009B03E9" w:rsidP="00F762C3">
      <w:pPr>
        <w:pStyle w:val="AppendixText1"/>
      </w:pPr>
      <w:r w:rsidRPr="00BD6C5F">
        <w:t>Sub-Processing</w:t>
      </w:r>
    </w:p>
    <w:p w14:paraId="6DFCF1D6" w14:textId="77777777" w:rsidR="00BC7DDA" w:rsidRPr="00BD6C5F" w:rsidRDefault="009B03E9" w:rsidP="00FD4E48">
      <w:pPr>
        <w:pStyle w:val="AppendixText2"/>
        <w:keepNext/>
      </w:pPr>
      <w:r w:rsidRPr="00BD6C5F">
        <w:t>In respect of any Processing of Personal performed by a third party on behalf of a Party, that Party shall:</w:t>
      </w:r>
    </w:p>
    <w:p w14:paraId="1BD68A31" w14:textId="44528221" w:rsidR="00BC7DDA" w:rsidRPr="00BD6C5F" w:rsidRDefault="009B03E9" w:rsidP="00F762C3">
      <w:pPr>
        <w:pStyle w:val="AppendixText3"/>
      </w:pPr>
      <w:r w:rsidRPr="00BD6C5F">
        <w:t xml:space="preserve">carry out adequate due diligence on such third party to ensure that it is capable of providing the level of protection for the Personal Data as is required by this </w:t>
      </w:r>
      <w:r w:rsidR="008B545B" w:rsidRPr="00BD6C5F">
        <w:t>Contract</w:t>
      </w:r>
      <w:r w:rsidRPr="00BD6C5F">
        <w:t>, and provide evidence of such due diligence to the other Party where reasonably requested; and</w:t>
      </w:r>
    </w:p>
    <w:p w14:paraId="10803F90" w14:textId="77777777" w:rsidR="00BC7DDA" w:rsidRPr="00BD6C5F" w:rsidRDefault="009B03E9" w:rsidP="00F762C3">
      <w:pPr>
        <w:pStyle w:val="AppendixText3"/>
      </w:pPr>
      <w:r w:rsidRPr="00BD6C5F">
        <w:t>ensure that a suitable agreement is in place with the third party as required under applicable Data Protection Legislation.</w:t>
      </w:r>
    </w:p>
    <w:p w14:paraId="23132EE9" w14:textId="77777777" w:rsidR="00BC7DDA" w:rsidRPr="00BD6C5F" w:rsidRDefault="009B03E9" w:rsidP="00F762C3">
      <w:pPr>
        <w:pStyle w:val="AppendixText1"/>
      </w:pPr>
      <w:r w:rsidRPr="00BD6C5F">
        <w:t>Data Retention</w:t>
      </w:r>
    </w:p>
    <w:p w14:paraId="31FB71F1" w14:textId="2C570F6B" w:rsidR="00BC7DDA" w:rsidRPr="00BD6C5F" w:rsidRDefault="009B03E9" w:rsidP="00F762C3">
      <w:pPr>
        <w:pStyle w:val="AppendixText2"/>
      </w:pPr>
      <w:r w:rsidRPr="00BD6C5F">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r w:rsidR="008B545B" w:rsidRPr="00BD6C5F">
        <w:t>Contract</w:t>
      </w:r>
      <w:r w:rsidRPr="00BD6C5F">
        <w:t>), and taking all further actions as may be necessary to ensure its compliance with Data Protection Legislation and its privacy policy.</w:t>
      </w:r>
    </w:p>
    <w:p w14:paraId="70DE1CB2" w14:textId="5C8B35AE" w:rsidR="00BC7DDA" w:rsidRDefault="00AA48C6" w:rsidP="00A7558A">
      <w:pPr>
        <w:pStyle w:val="Heading2"/>
        <w:pageBreakBefore/>
      </w:pPr>
      <w:bookmarkStart w:id="1881" w:name="_Toc141721067"/>
      <w:r w:rsidRPr="00BD6C5F">
        <w:lastRenderedPageBreak/>
        <w:t xml:space="preserve">Annex </w:t>
      </w:r>
      <w:bookmarkStart w:id="1882" w:name="Schedule_31_Annex_2"/>
      <w:r w:rsidRPr="00BD6C5F">
        <w:t>2</w:t>
      </w:r>
      <w:bookmarkEnd w:id="1882"/>
      <w:r w:rsidRPr="00BD6C5F">
        <w:t>: International Data Transfer Agreement</w:t>
      </w:r>
      <w:bookmarkEnd w:id="1881"/>
    </w:p>
    <w:p w14:paraId="639735D7" w14:textId="5F4B94EB" w:rsidR="00690397" w:rsidRPr="00BD6C5F" w:rsidRDefault="00690397" w:rsidP="00690397">
      <w:pPr>
        <w:pStyle w:val="Heading2"/>
      </w:pPr>
      <w:bookmarkStart w:id="1883" w:name="_Toc141721068"/>
      <w:r>
        <w:t xml:space="preserve">Part </w:t>
      </w:r>
      <w:bookmarkStart w:id="1884" w:name="Schedule_31_Annex_2_Part_A"/>
      <w:r>
        <w:t>A</w:t>
      </w:r>
      <w:bookmarkEnd w:id="1884"/>
      <w:r>
        <w:t xml:space="preserve">: </w:t>
      </w:r>
      <w:r w:rsidRPr="00690397">
        <w:t>International Data Transfer Agreement</w:t>
      </w:r>
      <w:bookmarkEnd w:id="1883"/>
    </w:p>
    <w:p w14:paraId="1F2FF748" w14:textId="77777777" w:rsidR="0057584F" w:rsidRPr="0057584F" w:rsidRDefault="0057584F" w:rsidP="0057584F">
      <w:pPr>
        <w:rPr>
          <w:b/>
          <w:i/>
        </w:rPr>
      </w:pPr>
      <w:r w:rsidRPr="0057584F">
        <w:rPr>
          <w:b/>
          <w:i/>
          <w:highlight w:val="yellow"/>
        </w:rPr>
        <w:t>[Guidance: Delete this Annex and replace with the text ‘NOT USED’ if the Authority has chosen to refer out to the IDTA, rather than incorporating the text, that is, by selecting the first set of square brackets in Clause 21 of the Core Terms and in this Schedule.]</w:t>
      </w:r>
    </w:p>
    <w:p w14:paraId="4F595895" w14:textId="77777777" w:rsidR="00D67018" w:rsidRPr="00BD6C5F" w:rsidRDefault="00D67018" w:rsidP="001D0150"/>
    <w:p w14:paraId="31A820F3" w14:textId="77777777" w:rsidR="00D67018" w:rsidRPr="00BD6C5F" w:rsidRDefault="00D67018" w:rsidP="001D0150"/>
    <w:p w14:paraId="216F39EA" w14:textId="5FBFDE19" w:rsidR="001D0150" w:rsidRPr="00BD6C5F" w:rsidRDefault="00D67018" w:rsidP="001D0150">
      <w:bookmarkStart w:id="1885" w:name="_Hlk90932095"/>
      <w:r w:rsidRPr="00BD6C5F">
        <w:rPr>
          <w:noProof/>
          <w:lang w:eastAsia="en-GB" w:bidi="ar-SA"/>
        </w:rPr>
        <w:drawing>
          <wp:inline distT="0" distB="0" distL="0" distR="0" wp14:anchorId="1EDB2388" wp14:editId="0D134BF3">
            <wp:extent cx="1314000" cy="770400"/>
            <wp:effectExtent l="0" t="0" r="635" b="0"/>
            <wp:docPr id="432" name="Picture 432" descr="ICO - Information Commissioner's Office"/>
            <wp:cNvGraphicFramePr/>
            <a:graphic xmlns:a="http://schemas.openxmlformats.org/drawingml/2006/main">
              <a:graphicData uri="http://schemas.openxmlformats.org/drawingml/2006/picture">
                <pic:pic xmlns:pic="http://schemas.openxmlformats.org/drawingml/2006/picture">
                  <pic:nvPicPr>
                    <pic:cNvPr id="432" name="Picture 432" descr="ICO - Information Commissioner's Office"/>
                    <pic:cNvPicPr/>
                  </pic:nvPicPr>
                  <pic:blipFill>
                    <a:blip r:embed="rId122">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inline>
        </w:drawing>
      </w:r>
    </w:p>
    <w:p w14:paraId="5EB84E81" w14:textId="77777777" w:rsidR="001D0150" w:rsidRPr="00BD6C5F" w:rsidRDefault="001D0150" w:rsidP="001D0150"/>
    <w:p w14:paraId="1A04D56F" w14:textId="5058DCED" w:rsidR="00D67018" w:rsidRPr="00BD6C5F" w:rsidRDefault="00D67018" w:rsidP="005B63D4">
      <w:pPr>
        <w:pStyle w:val="Heading1-ICO"/>
        <w:pageBreakBefore w:val="0"/>
      </w:pPr>
      <w:r w:rsidRPr="00BD6C5F">
        <w:t>Standard Data Protection Clauses to be issued by the Commissioner under S119A(1) Data Protection Act 2018</w:t>
      </w:r>
    </w:p>
    <w:p w14:paraId="467CBDEB" w14:textId="77777777" w:rsidR="00D67018" w:rsidRPr="00BD6C5F" w:rsidRDefault="00D67018" w:rsidP="005B63D4">
      <w:pPr>
        <w:pStyle w:val="Heading2-ICO"/>
      </w:pPr>
      <w:r w:rsidRPr="00BD6C5F">
        <w:t>International Data Transfer Agreement</w:t>
      </w:r>
    </w:p>
    <w:p w14:paraId="3A8EBBDC" w14:textId="77777777" w:rsidR="00D67018" w:rsidRPr="00BD6C5F" w:rsidRDefault="00D67018" w:rsidP="00D67018">
      <w:pPr>
        <w:pBdr>
          <w:bottom w:val="single" w:sz="4" w:space="16" w:color="003768"/>
        </w:pBdr>
        <w:spacing w:after="360"/>
        <w:rPr>
          <w:rFonts w:asciiTheme="minorHAnsi" w:hAnsiTheme="minorHAnsi" w:cstheme="minorHAnsi"/>
          <w:b/>
          <w:color w:val="54534A"/>
          <w:szCs w:val="24"/>
        </w:rPr>
      </w:pPr>
      <w:r w:rsidRPr="00BD6C5F">
        <w:rPr>
          <w:rFonts w:asciiTheme="minorHAnsi" w:hAnsiTheme="minorHAnsi" w:cstheme="minorHAnsi"/>
          <w:b/>
          <w:color w:val="54534A"/>
          <w:szCs w:val="24"/>
        </w:rPr>
        <w:t>VERSION A1.0, in force 21 March 2022</w:t>
      </w:r>
    </w:p>
    <w:p w14:paraId="10C9B872" w14:textId="77777777" w:rsidR="00D67018" w:rsidRPr="00BD6C5F" w:rsidRDefault="00D67018" w:rsidP="00D67018">
      <w:pPr>
        <w:rPr>
          <w:rFonts w:asciiTheme="minorHAnsi" w:hAnsiTheme="minorHAnsi" w:cstheme="minorHAnsi"/>
          <w:szCs w:val="24"/>
        </w:rPr>
      </w:pPr>
      <w:bookmarkStart w:id="1886" w:name="_Toc79405427"/>
      <w:r w:rsidRPr="00BD6C5F">
        <w:rPr>
          <w:rFonts w:asciiTheme="minorHAnsi" w:hAnsiTheme="minorHAnsi" w:cstheme="minorHAnsi"/>
          <w:szCs w:val="24"/>
        </w:rPr>
        <w:t>This IDTA has been issued by the Information Commissioner for Parties making Restricted Transfers. The Information Commissioner considers that it provides Appropriate Safeguards for Restricted Transfers when it is entered into as a legally binding contract.</w:t>
      </w:r>
    </w:p>
    <w:p w14:paraId="25B5B8DE"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bookmarkStart w:id="1887" w:name="_Toc79405424"/>
      <w:r w:rsidRPr="00BD6C5F">
        <w:rPr>
          <w:rFonts w:eastAsiaTheme="minorHAnsi" w:cstheme="minorBidi"/>
          <w:b/>
          <w:bCs/>
          <w:szCs w:val="20"/>
          <w:lang w:bidi="ar-SA"/>
        </w:rPr>
        <w:t>Part 1: Tables</w:t>
      </w:r>
      <w:bookmarkEnd w:id="1887"/>
    </w:p>
    <w:p w14:paraId="4781F31E"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1: Parties and signatures</w:t>
      </w:r>
    </w:p>
    <w:tbl>
      <w:tblPr>
        <w:tblStyle w:val="MSATable-header"/>
        <w:tblW w:w="5000" w:type="pct"/>
        <w:tblLook w:val="0600" w:firstRow="0" w:lastRow="0" w:firstColumn="0" w:lastColumn="0" w:noHBand="1" w:noVBand="1"/>
      </w:tblPr>
      <w:tblGrid>
        <w:gridCol w:w="2401"/>
        <w:gridCol w:w="7797"/>
      </w:tblGrid>
      <w:tr w:rsidR="00D67018" w:rsidRPr="00BD6C5F" w14:paraId="34E59AEB" w14:textId="77777777" w:rsidTr="00DC770C">
        <w:tc>
          <w:tcPr>
            <w:tcW w:w="1177" w:type="pct"/>
            <w:shd w:val="clear" w:color="auto" w:fill="F0F0F0"/>
          </w:tcPr>
          <w:p w14:paraId="5F5890E6" w14:textId="77777777" w:rsidR="00D67018" w:rsidRPr="00BD6C5F" w:rsidRDefault="00D67018" w:rsidP="0005456C">
            <w:pPr>
              <w:rPr>
                <w:rFonts w:asciiTheme="minorHAnsi" w:hAnsiTheme="minorHAnsi" w:cstheme="minorHAnsi"/>
                <w:b/>
                <w:bCs/>
              </w:rPr>
            </w:pPr>
            <w:r w:rsidRPr="00BD6C5F">
              <w:rPr>
                <w:rFonts w:asciiTheme="minorHAnsi" w:hAnsiTheme="minorHAnsi" w:cstheme="minorHAnsi"/>
                <w:b/>
                <w:bCs/>
              </w:rPr>
              <w:t>Start date</w:t>
            </w:r>
          </w:p>
        </w:tc>
        <w:tc>
          <w:tcPr>
            <w:tcW w:w="3823" w:type="pct"/>
          </w:tcPr>
          <w:p w14:paraId="63BBC0F0" w14:textId="77777777" w:rsidR="00D67018" w:rsidRPr="00BD6C5F" w:rsidRDefault="00D67018" w:rsidP="0005456C">
            <w:pPr>
              <w:rPr>
                <w:rFonts w:asciiTheme="minorHAnsi" w:hAnsiTheme="minorHAnsi" w:cstheme="minorHAnsi"/>
              </w:rPr>
            </w:pPr>
          </w:p>
        </w:tc>
      </w:tr>
    </w:tbl>
    <w:p w14:paraId="6616D050" w14:textId="5FB9EA61" w:rsidR="0005456C" w:rsidRPr="00BD6C5F" w:rsidRDefault="0005456C" w:rsidP="0005456C">
      <w:pPr>
        <w:rPr>
          <w:sz w:val="2"/>
          <w:szCs w:val="2"/>
        </w:rPr>
      </w:pPr>
    </w:p>
    <w:tbl>
      <w:tblPr>
        <w:tblStyle w:val="MSATable-header"/>
        <w:tblW w:w="5000" w:type="pct"/>
        <w:tblLook w:val="0620" w:firstRow="1" w:lastRow="0" w:firstColumn="0" w:lastColumn="0" w:noHBand="1" w:noVBand="1"/>
      </w:tblPr>
      <w:tblGrid>
        <w:gridCol w:w="2400"/>
        <w:gridCol w:w="3898"/>
        <w:gridCol w:w="3900"/>
      </w:tblGrid>
      <w:tr w:rsidR="00D67018" w:rsidRPr="00BD6C5F" w14:paraId="6468931E" w14:textId="77777777" w:rsidTr="00633887">
        <w:trPr>
          <w:cnfStyle w:val="100000000000" w:firstRow="1" w:lastRow="0" w:firstColumn="0" w:lastColumn="0" w:oddVBand="0" w:evenVBand="0" w:oddHBand="0" w:evenHBand="0" w:firstRowFirstColumn="0" w:firstRowLastColumn="0" w:lastRowFirstColumn="0" w:lastRowLastColumn="0"/>
          <w:trHeight w:val="57"/>
          <w:tblHeader/>
        </w:trPr>
        <w:tc>
          <w:tcPr>
            <w:tcW w:w="1177" w:type="pct"/>
          </w:tcPr>
          <w:p w14:paraId="6774FA24" w14:textId="77777777" w:rsidR="00D67018" w:rsidRPr="00BD6C5F" w:rsidRDefault="00D67018" w:rsidP="00DC770C">
            <w:pPr>
              <w:rPr>
                <w:rFonts w:asciiTheme="minorHAnsi" w:hAnsiTheme="minorHAnsi" w:cstheme="minorHAnsi"/>
              </w:rPr>
            </w:pPr>
            <w:r w:rsidRPr="00BD6C5F">
              <w:rPr>
                <w:rFonts w:asciiTheme="minorHAnsi" w:hAnsiTheme="minorHAnsi" w:cstheme="minorHAnsi"/>
              </w:rPr>
              <w:t>The Parties</w:t>
            </w:r>
          </w:p>
        </w:tc>
        <w:tc>
          <w:tcPr>
            <w:tcW w:w="1911" w:type="pct"/>
          </w:tcPr>
          <w:p w14:paraId="0DAD2FF1" w14:textId="77777777" w:rsidR="00D67018" w:rsidRPr="00BD6C5F" w:rsidRDefault="00D67018" w:rsidP="00DC770C">
            <w:pPr>
              <w:rPr>
                <w:rFonts w:asciiTheme="minorHAnsi" w:hAnsiTheme="minorHAnsi" w:cstheme="minorHAnsi"/>
              </w:rPr>
            </w:pPr>
            <w:r w:rsidRPr="00BD6C5F">
              <w:rPr>
                <w:rFonts w:asciiTheme="minorHAnsi" w:hAnsiTheme="minorHAnsi" w:cstheme="minorHAnsi"/>
              </w:rPr>
              <w:t>Exporter (who sends the Restricted Transfer)</w:t>
            </w:r>
          </w:p>
        </w:tc>
        <w:tc>
          <w:tcPr>
            <w:tcW w:w="1912" w:type="pct"/>
          </w:tcPr>
          <w:p w14:paraId="4814E380" w14:textId="77777777" w:rsidR="00D67018" w:rsidRPr="00BD6C5F" w:rsidRDefault="00D67018" w:rsidP="00DC770C">
            <w:pPr>
              <w:rPr>
                <w:rFonts w:asciiTheme="minorHAnsi" w:hAnsiTheme="minorHAnsi" w:cstheme="minorHAnsi"/>
              </w:rPr>
            </w:pPr>
            <w:r w:rsidRPr="00BD6C5F">
              <w:rPr>
                <w:rFonts w:asciiTheme="minorHAnsi" w:hAnsiTheme="minorHAnsi" w:cstheme="minorHAnsi"/>
              </w:rPr>
              <w:t>Importer (who receives the Restricted Transfer)</w:t>
            </w:r>
          </w:p>
        </w:tc>
      </w:tr>
      <w:tr w:rsidR="00D67018" w:rsidRPr="00BD6C5F" w14:paraId="75FAE423" w14:textId="77777777" w:rsidTr="00633887">
        <w:trPr>
          <w:trHeight w:val="57"/>
        </w:trPr>
        <w:tc>
          <w:tcPr>
            <w:tcW w:w="1177" w:type="pct"/>
            <w:shd w:val="clear" w:color="auto" w:fill="F0F0F0"/>
          </w:tcPr>
          <w:p w14:paraId="1AE0DC23" w14:textId="58326CF3" w:rsidR="00D67018" w:rsidRPr="00BD6C5F" w:rsidRDefault="00D67018" w:rsidP="00DC770C">
            <w:pPr>
              <w:rPr>
                <w:rFonts w:asciiTheme="minorHAnsi" w:hAnsiTheme="minorHAnsi" w:cstheme="minorHAnsi"/>
                <w:b/>
                <w:bCs/>
              </w:rPr>
            </w:pPr>
            <w:r w:rsidRPr="00BD6C5F">
              <w:rPr>
                <w:rFonts w:asciiTheme="minorHAnsi" w:hAnsiTheme="minorHAnsi" w:cstheme="minorHAnsi"/>
                <w:b/>
                <w:bCs/>
              </w:rPr>
              <w:t>Parties</w:t>
            </w:r>
            <w:r w:rsidR="00A4555C" w:rsidRPr="00BD6C5F">
              <w:rPr>
                <w:rFonts w:asciiTheme="minorHAnsi" w:hAnsiTheme="minorHAnsi" w:cstheme="minorHAnsi"/>
                <w:b/>
                <w:bCs/>
              </w:rPr>
              <w:t>’</w:t>
            </w:r>
            <w:r w:rsidRPr="00BD6C5F">
              <w:rPr>
                <w:rFonts w:asciiTheme="minorHAnsi" w:hAnsiTheme="minorHAnsi" w:cstheme="minorHAnsi"/>
                <w:b/>
                <w:bCs/>
              </w:rPr>
              <w:t xml:space="preserve"> details</w:t>
            </w:r>
          </w:p>
        </w:tc>
        <w:tc>
          <w:tcPr>
            <w:tcW w:w="1911" w:type="pct"/>
          </w:tcPr>
          <w:p w14:paraId="3F69F651" w14:textId="31CA03CA"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legal name: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5F1B65D4" w14:textId="572D5166"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Trading name (if different):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391E5F24" w14:textId="78760E9E"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Main address (if a company registered address):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5D34BBD9" w14:textId="18038A0B"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Official registration number (if any) (company number or similar identifier):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c>
          <w:tcPr>
            <w:tcW w:w="1912" w:type="pct"/>
          </w:tcPr>
          <w:p w14:paraId="4B175085" w14:textId="01EC17D3"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legal name: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5878CC3E" w14:textId="092BE016"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Trading name (if different):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2D403CC4" w14:textId="06BB1A5B"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Main address (if a company registered address):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146807AB" w14:textId="2FAC6921"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Official registration number (if any) (company number or similar identifier):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r>
      <w:tr w:rsidR="00D67018" w:rsidRPr="00BD6C5F" w14:paraId="41AD47B0" w14:textId="77777777" w:rsidTr="00633887">
        <w:trPr>
          <w:trHeight w:val="57"/>
        </w:trPr>
        <w:tc>
          <w:tcPr>
            <w:tcW w:w="1177" w:type="pct"/>
            <w:shd w:val="clear" w:color="auto" w:fill="F0F0F0"/>
          </w:tcPr>
          <w:p w14:paraId="350F1BAF" w14:textId="77777777" w:rsidR="00D67018" w:rsidRPr="00BD6C5F" w:rsidRDefault="00D67018" w:rsidP="00DC770C">
            <w:pPr>
              <w:rPr>
                <w:rFonts w:asciiTheme="minorHAnsi" w:hAnsiTheme="minorHAnsi" w:cstheme="minorHAnsi"/>
                <w:b/>
                <w:bCs/>
              </w:rPr>
            </w:pPr>
            <w:r w:rsidRPr="00BD6C5F">
              <w:rPr>
                <w:rFonts w:asciiTheme="minorHAnsi" w:hAnsiTheme="minorHAnsi" w:cstheme="minorHAnsi"/>
                <w:b/>
                <w:bCs/>
              </w:rPr>
              <w:t>Key Contact</w:t>
            </w:r>
          </w:p>
        </w:tc>
        <w:tc>
          <w:tcPr>
            <w:tcW w:w="1911" w:type="pct"/>
          </w:tcPr>
          <w:p w14:paraId="1FA5E3EA" w14:textId="22781466"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Name (optional):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3A254B98" w14:textId="40E75A3F"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Job Title: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43D1D9EA" w14:textId="2C71A4EE"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Contact details including email: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c>
          <w:tcPr>
            <w:tcW w:w="1912" w:type="pct"/>
          </w:tcPr>
          <w:p w14:paraId="64A1BBB9" w14:textId="556D615A"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Name (optional):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2BABA09E" w14:textId="111CA79D"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Job Title: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723DA343" w14:textId="09C64C36"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Contact details including email: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r>
      <w:tr w:rsidR="00D67018" w:rsidRPr="00BD6C5F" w14:paraId="75BFFC62" w14:textId="77777777" w:rsidTr="00633887">
        <w:trPr>
          <w:trHeight w:val="57"/>
        </w:trPr>
        <w:tc>
          <w:tcPr>
            <w:tcW w:w="1177" w:type="pct"/>
            <w:shd w:val="clear" w:color="auto" w:fill="F0F0F0"/>
          </w:tcPr>
          <w:p w14:paraId="2FA3F8A4" w14:textId="77777777" w:rsidR="00D67018" w:rsidRPr="00BD6C5F" w:rsidRDefault="00D67018" w:rsidP="00DC770C">
            <w:pPr>
              <w:rPr>
                <w:rFonts w:asciiTheme="minorHAnsi" w:hAnsiTheme="minorHAnsi" w:cstheme="minorHAnsi"/>
                <w:b/>
                <w:bCs/>
              </w:rPr>
            </w:pPr>
            <w:r w:rsidRPr="00BD6C5F">
              <w:rPr>
                <w:rFonts w:asciiTheme="minorHAnsi" w:hAnsiTheme="minorHAnsi" w:cstheme="minorHAnsi"/>
                <w:b/>
                <w:bCs/>
              </w:rPr>
              <w:lastRenderedPageBreak/>
              <w:t>Importer Data Subject Contact</w:t>
            </w:r>
          </w:p>
        </w:tc>
        <w:tc>
          <w:tcPr>
            <w:tcW w:w="1911" w:type="pct"/>
          </w:tcPr>
          <w:p w14:paraId="40866CEA" w14:textId="77777777" w:rsidR="00D67018" w:rsidRPr="00BD6C5F" w:rsidRDefault="00D67018" w:rsidP="00633887">
            <w:pPr>
              <w:rPr>
                <w:rFonts w:asciiTheme="minorHAnsi" w:hAnsiTheme="minorHAnsi" w:cstheme="minorHAnsi"/>
              </w:rPr>
            </w:pPr>
          </w:p>
        </w:tc>
        <w:tc>
          <w:tcPr>
            <w:tcW w:w="1912" w:type="pct"/>
          </w:tcPr>
          <w:p w14:paraId="000D35D6" w14:textId="4E9954DF"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Job Title: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15D70AA4" w14:textId="71B13FE1"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Contact details including email: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r>
      <w:tr w:rsidR="00D67018" w:rsidRPr="00BD6C5F" w14:paraId="2C9EAC35" w14:textId="77777777" w:rsidTr="00633887">
        <w:trPr>
          <w:cantSplit/>
          <w:trHeight w:val="57"/>
        </w:trPr>
        <w:tc>
          <w:tcPr>
            <w:tcW w:w="1177" w:type="pct"/>
            <w:shd w:val="clear" w:color="auto" w:fill="F0F0F0"/>
          </w:tcPr>
          <w:p w14:paraId="61423C0C" w14:textId="77777777" w:rsidR="00D67018" w:rsidRPr="00BD6C5F" w:rsidRDefault="00D67018" w:rsidP="00DC770C">
            <w:pPr>
              <w:rPr>
                <w:rFonts w:asciiTheme="minorHAnsi" w:hAnsiTheme="minorHAnsi" w:cstheme="minorHAnsi"/>
                <w:b/>
                <w:bCs/>
              </w:rPr>
            </w:pPr>
            <w:r w:rsidRPr="00BD6C5F">
              <w:rPr>
                <w:rFonts w:asciiTheme="minorHAnsi" w:hAnsiTheme="minorHAnsi" w:cstheme="minorHAnsi"/>
                <w:b/>
                <w:bCs/>
              </w:rPr>
              <w:t>Signatures confirming each Party agrees to be bound by this IDTA</w:t>
            </w:r>
          </w:p>
        </w:tc>
        <w:tc>
          <w:tcPr>
            <w:tcW w:w="1911" w:type="pct"/>
          </w:tcPr>
          <w:p w14:paraId="45067725" w14:textId="77777777"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Signed for and on behalf of the </w:t>
            </w:r>
            <w:r w:rsidRPr="00BD6C5F">
              <w:rPr>
                <w:rFonts w:asciiTheme="minorHAnsi" w:hAnsiTheme="minorHAnsi" w:cstheme="minorHAnsi"/>
                <w:b/>
                <w:bCs/>
              </w:rPr>
              <w:t>Exporter</w:t>
            </w:r>
            <w:r w:rsidRPr="00BD6C5F">
              <w:rPr>
                <w:rFonts w:asciiTheme="minorHAnsi" w:hAnsiTheme="minorHAnsi" w:cstheme="minorHAnsi"/>
              </w:rPr>
              <w:t xml:space="preserve"> set out above</w:t>
            </w:r>
          </w:p>
          <w:p w14:paraId="241597AA" w14:textId="06C811EE"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Signed: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6B682AB3" w14:textId="5DAC27F5"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Date of signature: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163AFBFB" w14:textId="166CF4AB"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name: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6FE195D6" w14:textId="41B8073E"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Job title: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c>
          <w:tcPr>
            <w:tcW w:w="1912" w:type="pct"/>
          </w:tcPr>
          <w:p w14:paraId="3C3E21C9" w14:textId="77777777"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Signed for and on behalf of the </w:t>
            </w:r>
            <w:r w:rsidRPr="00BD6C5F">
              <w:rPr>
                <w:rFonts w:asciiTheme="minorHAnsi" w:hAnsiTheme="minorHAnsi" w:cstheme="minorHAnsi"/>
                <w:b/>
                <w:bCs/>
              </w:rPr>
              <w:t>Importer</w:t>
            </w:r>
            <w:r w:rsidRPr="00BD6C5F">
              <w:rPr>
                <w:rFonts w:asciiTheme="minorHAnsi" w:hAnsiTheme="minorHAnsi" w:cstheme="minorHAnsi"/>
              </w:rPr>
              <w:t xml:space="preserve"> set out above</w:t>
            </w:r>
          </w:p>
          <w:p w14:paraId="36A2FD5A" w14:textId="6C4B8743"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Signed: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25DE3DAA" w14:textId="6122452C"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Date of signature: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59F05FAC" w14:textId="6273AC73" w:rsidR="00D67018" w:rsidRPr="00BD6C5F" w:rsidRDefault="00D67018" w:rsidP="00633887">
            <w:pPr>
              <w:spacing w:after="120"/>
              <w:rPr>
                <w:rFonts w:asciiTheme="minorHAnsi" w:hAnsiTheme="minorHAnsi" w:cstheme="minorHAnsi"/>
              </w:rPr>
            </w:pPr>
            <w:r w:rsidRPr="00BD6C5F">
              <w:rPr>
                <w:rFonts w:asciiTheme="minorHAnsi" w:hAnsiTheme="minorHAnsi" w:cstheme="minorHAnsi"/>
              </w:rPr>
              <w:t xml:space="preserve">Full name: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p w14:paraId="75933D2C" w14:textId="7400E06E" w:rsidR="00D67018" w:rsidRPr="00BD6C5F" w:rsidRDefault="00D67018" w:rsidP="00633887">
            <w:pPr>
              <w:rPr>
                <w:rFonts w:asciiTheme="minorHAnsi" w:hAnsiTheme="minorHAnsi" w:cstheme="minorHAnsi"/>
              </w:rPr>
            </w:pPr>
            <w:r w:rsidRPr="00BD6C5F">
              <w:rPr>
                <w:rFonts w:asciiTheme="minorHAnsi" w:hAnsiTheme="minorHAnsi" w:cstheme="minorHAnsi"/>
              </w:rPr>
              <w:t xml:space="preserve">Job title: </w:t>
            </w:r>
            <w:r w:rsidR="00633887" w:rsidRPr="00BD6C5F">
              <w:rPr>
                <w:rFonts w:asciiTheme="minorHAnsi" w:hAnsiTheme="minorHAnsi" w:cstheme="minorHAnsi"/>
              </w:rPr>
              <w:fldChar w:fldCharType="begin">
                <w:ffData>
                  <w:name w:val=""/>
                  <w:enabled/>
                  <w:calcOnExit w:val="0"/>
                  <w:textInput/>
                </w:ffData>
              </w:fldChar>
            </w:r>
            <w:r w:rsidR="00633887" w:rsidRPr="00BD6C5F">
              <w:rPr>
                <w:rFonts w:asciiTheme="minorHAnsi" w:hAnsiTheme="minorHAnsi" w:cstheme="minorHAnsi"/>
              </w:rPr>
              <w:instrText xml:space="preserve"> FORMTEXT </w:instrText>
            </w:r>
            <w:r w:rsidR="00633887" w:rsidRPr="00BD6C5F">
              <w:rPr>
                <w:rFonts w:asciiTheme="minorHAnsi" w:hAnsiTheme="minorHAnsi" w:cstheme="minorHAnsi"/>
              </w:rPr>
            </w:r>
            <w:r w:rsidR="00633887"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633887" w:rsidRPr="00BD6C5F">
              <w:rPr>
                <w:rFonts w:asciiTheme="minorHAnsi" w:hAnsiTheme="minorHAnsi" w:cstheme="minorHAnsi"/>
              </w:rPr>
              <w:fldChar w:fldCharType="end"/>
            </w:r>
          </w:p>
        </w:tc>
      </w:tr>
    </w:tbl>
    <w:p w14:paraId="5E414465"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 xml:space="preserve">Table 2: Transfer Details </w:t>
      </w:r>
    </w:p>
    <w:tbl>
      <w:tblPr>
        <w:tblStyle w:val="MSATable-header"/>
        <w:tblW w:w="5003" w:type="pct"/>
        <w:tblLook w:val="0600" w:firstRow="0" w:lastRow="0" w:firstColumn="0" w:lastColumn="0" w:noHBand="1" w:noVBand="1"/>
      </w:tblPr>
      <w:tblGrid>
        <w:gridCol w:w="2400"/>
        <w:gridCol w:w="7804"/>
      </w:tblGrid>
      <w:tr w:rsidR="00D67018" w:rsidRPr="00BD6C5F" w14:paraId="4BEEFDAB" w14:textId="77777777" w:rsidTr="00633887">
        <w:tc>
          <w:tcPr>
            <w:tcW w:w="1176" w:type="pct"/>
            <w:shd w:val="clear" w:color="auto" w:fill="F0F0F0"/>
          </w:tcPr>
          <w:p w14:paraId="08E9BA0D" w14:textId="5B72B8C6"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UK country</w:t>
            </w:r>
            <w:r w:rsidR="00A4555C" w:rsidRPr="00BD6C5F">
              <w:rPr>
                <w:rFonts w:asciiTheme="minorHAnsi" w:hAnsiTheme="minorHAnsi" w:cstheme="minorHAnsi"/>
                <w:b/>
                <w:bCs/>
              </w:rPr>
              <w:t>’</w:t>
            </w:r>
            <w:r w:rsidRPr="00BD6C5F">
              <w:rPr>
                <w:rFonts w:asciiTheme="minorHAnsi" w:hAnsiTheme="minorHAnsi" w:cstheme="minorHAnsi"/>
                <w:b/>
                <w:bCs/>
              </w:rPr>
              <w:t>s law that governs the IDTA:</w:t>
            </w:r>
          </w:p>
        </w:tc>
        <w:tc>
          <w:tcPr>
            <w:tcW w:w="3824" w:type="pct"/>
          </w:tcPr>
          <w:p w14:paraId="099332A8"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England and Wales</w:t>
            </w:r>
          </w:p>
          <w:p w14:paraId="6F0B17C4"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Northern Ireland</w:t>
            </w:r>
          </w:p>
          <w:p w14:paraId="179BB803" w14:textId="77777777" w:rsidR="00D67018" w:rsidRPr="00BD6C5F" w:rsidRDefault="00D67018" w:rsidP="00633887">
            <w:pPr>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Scotland</w:t>
            </w:r>
          </w:p>
        </w:tc>
      </w:tr>
      <w:tr w:rsidR="00D67018" w:rsidRPr="00BD6C5F" w14:paraId="1F52FA71" w14:textId="77777777" w:rsidTr="00633887">
        <w:tc>
          <w:tcPr>
            <w:tcW w:w="1176" w:type="pct"/>
            <w:shd w:val="clear" w:color="auto" w:fill="F0F0F0"/>
          </w:tcPr>
          <w:p w14:paraId="2A8653E7"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Primary place for legal claims to be made by the Parties</w:t>
            </w:r>
          </w:p>
        </w:tc>
        <w:tc>
          <w:tcPr>
            <w:tcW w:w="3824" w:type="pct"/>
          </w:tcPr>
          <w:p w14:paraId="7E4D8308"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England and Wales</w:t>
            </w:r>
          </w:p>
          <w:p w14:paraId="7EA8B9FF"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Northern Ireland</w:t>
            </w:r>
          </w:p>
          <w:p w14:paraId="29F461A7" w14:textId="77777777" w:rsidR="00D67018" w:rsidRPr="00BD6C5F" w:rsidRDefault="00D67018" w:rsidP="00633887">
            <w:pPr>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Scotland</w:t>
            </w:r>
          </w:p>
        </w:tc>
      </w:tr>
      <w:tr w:rsidR="00D67018" w:rsidRPr="00BD6C5F" w14:paraId="1C636E25" w14:textId="77777777" w:rsidTr="00633887">
        <w:tc>
          <w:tcPr>
            <w:tcW w:w="1176" w:type="pct"/>
            <w:shd w:val="clear" w:color="auto" w:fill="F0F0F0"/>
          </w:tcPr>
          <w:p w14:paraId="4D5E926C"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The status of the Exporter</w:t>
            </w:r>
          </w:p>
        </w:tc>
        <w:tc>
          <w:tcPr>
            <w:tcW w:w="3824" w:type="pct"/>
          </w:tcPr>
          <w:p w14:paraId="40241D1D"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t>In relation to the Processing of the Transferred Data:</w:t>
            </w:r>
          </w:p>
          <w:p w14:paraId="447DC03F" w14:textId="77777777" w:rsidR="00D67018" w:rsidRPr="00BD6C5F" w:rsidRDefault="00D67018" w:rsidP="0024145B">
            <w:pPr>
              <w:spacing w:after="120"/>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Exporter is a Controller</w:t>
            </w:r>
          </w:p>
          <w:p w14:paraId="2744FB24" w14:textId="77777777" w:rsidR="00D67018" w:rsidRPr="00BD6C5F" w:rsidRDefault="00D67018" w:rsidP="0024145B">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Exporter is a Processor or Sub-Processor</w:t>
            </w:r>
          </w:p>
        </w:tc>
      </w:tr>
      <w:tr w:rsidR="00D67018" w:rsidRPr="00BD6C5F" w14:paraId="79735E8C" w14:textId="77777777" w:rsidTr="00633887">
        <w:tc>
          <w:tcPr>
            <w:tcW w:w="1176" w:type="pct"/>
            <w:shd w:val="clear" w:color="auto" w:fill="F0F0F0"/>
          </w:tcPr>
          <w:p w14:paraId="2D8541A8"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The status of the Importer</w:t>
            </w:r>
          </w:p>
        </w:tc>
        <w:tc>
          <w:tcPr>
            <w:tcW w:w="3824" w:type="pct"/>
          </w:tcPr>
          <w:p w14:paraId="6C34970E" w14:textId="77777777" w:rsidR="00D67018" w:rsidRPr="00BD6C5F" w:rsidRDefault="00D67018" w:rsidP="0024145B">
            <w:pPr>
              <w:spacing w:after="120"/>
              <w:rPr>
                <w:rFonts w:asciiTheme="minorHAnsi" w:hAnsiTheme="minorHAnsi" w:cstheme="minorHAnsi"/>
              </w:rPr>
            </w:pPr>
            <w:bookmarkStart w:id="1888" w:name="_Hlk73487136"/>
            <w:r w:rsidRPr="00BD6C5F">
              <w:rPr>
                <w:rFonts w:asciiTheme="minorHAnsi" w:hAnsiTheme="minorHAnsi" w:cstheme="minorHAnsi"/>
              </w:rPr>
              <w:t>In relation to the Processing of the Transferred Data:</w:t>
            </w:r>
          </w:p>
          <w:p w14:paraId="3893E9CD" w14:textId="77777777" w:rsidR="00D67018" w:rsidRPr="00BD6C5F" w:rsidRDefault="00D67018" w:rsidP="0024145B">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Importer is a Controller</w:t>
            </w:r>
          </w:p>
          <w:p w14:paraId="1D7D1EBD" w14:textId="118CD180" w:rsidR="00D67018" w:rsidRPr="00BD6C5F" w:rsidRDefault="00D67018" w:rsidP="0024145B">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Importer is the Exporter</w:t>
            </w:r>
            <w:r w:rsidR="00A4555C" w:rsidRPr="00BD6C5F">
              <w:rPr>
                <w:rFonts w:asciiTheme="minorHAnsi" w:hAnsiTheme="minorHAnsi" w:cstheme="minorHAnsi"/>
              </w:rPr>
              <w:t>’</w:t>
            </w:r>
            <w:r w:rsidRPr="00BD6C5F">
              <w:rPr>
                <w:rFonts w:asciiTheme="minorHAnsi" w:hAnsiTheme="minorHAnsi" w:cstheme="minorHAnsi"/>
              </w:rPr>
              <w:t>s Processor or Sub-Processor</w:t>
            </w:r>
          </w:p>
          <w:p w14:paraId="6410F427" w14:textId="5C8EAF90" w:rsidR="00D67018" w:rsidRPr="00BD6C5F" w:rsidRDefault="00D67018" w:rsidP="0024145B">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Importer is </w:t>
            </w:r>
            <w:r w:rsidRPr="00BD6C5F">
              <w:rPr>
                <w:rFonts w:asciiTheme="minorHAnsi" w:hAnsiTheme="minorHAnsi" w:cstheme="minorHAnsi"/>
                <w:b/>
                <w:bCs/>
              </w:rPr>
              <w:t>not</w:t>
            </w:r>
            <w:r w:rsidRPr="00BD6C5F">
              <w:rPr>
                <w:rFonts w:asciiTheme="minorHAnsi" w:hAnsiTheme="minorHAnsi" w:cstheme="minorHAnsi"/>
              </w:rPr>
              <w:t xml:space="preserve"> the Exporter</w:t>
            </w:r>
            <w:r w:rsidR="00A4555C" w:rsidRPr="00BD6C5F">
              <w:rPr>
                <w:rFonts w:asciiTheme="minorHAnsi" w:hAnsiTheme="minorHAnsi" w:cstheme="minorHAnsi"/>
              </w:rPr>
              <w:t>’</w:t>
            </w:r>
            <w:r w:rsidRPr="00BD6C5F">
              <w:rPr>
                <w:rFonts w:asciiTheme="minorHAnsi" w:hAnsiTheme="minorHAnsi" w:cstheme="minorHAnsi"/>
              </w:rPr>
              <w:t xml:space="preserve">s Processor or Sub-Processor </w:t>
            </w:r>
            <w:bookmarkEnd w:id="1888"/>
            <w:r w:rsidRPr="00BD6C5F">
              <w:rPr>
                <w:rFonts w:asciiTheme="minorHAnsi" w:hAnsiTheme="minorHAnsi" w:cstheme="minorHAnsi"/>
              </w:rPr>
              <w:t>(and the Importer has been instructed by a Third Party Controller)</w:t>
            </w:r>
          </w:p>
        </w:tc>
      </w:tr>
      <w:tr w:rsidR="00D67018" w:rsidRPr="00BD6C5F" w14:paraId="13F83C66" w14:textId="77777777" w:rsidTr="00633887">
        <w:tc>
          <w:tcPr>
            <w:tcW w:w="1176" w:type="pct"/>
            <w:shd w:val="clear" w:color="auto" w:fill="F0F0F0"/>
          </w:tcPr>
          <w:p w14:paraId="59FF0DA7"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Whether UK GDPR applies to the Importer</w:t>
            </w:r>
          </w:p>
        </w:tc>
        <w:tc>
          <w:tcPr>
            <w:tcW w:w="3824" w:type="pct"/>
          </w:tcPr>
          <w:p w14:paraId="28BBB5FB" w14:textId="2A30B962" w:rsidR="00D67018" w:rsidRPr="00BD6C5F" w:rsidRDefault="00D67018" w:rsidP="0024145B">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UK GDPR applies to the Importer</w:t>
            </w:r>
            <w:r w:rsidR="00A4555C" w:rsidRPr="00BD6C5F">
              <w:rPr>
                <w:rFonts w:asciiTheme="minorHAnsi" w:hAnsiTheme="minorHAnsi" w:cstheme="minorHAnsi"/>
              </w:rPr>
              <w:t>’</w:t>
            </w:r>
            <w:r w:rsidRPr="00BD6C5F">
              <w:rPr>
                <w:rFonts w:asciiTheme="minorHAnsi" w:hAnsiTheme="minorHAnsi" w:cstheme="minorHAnsi"/>
              </w:rPr>
              <w:t>s Processing of the Transferred Data</w:t>
            </w:r>
          </w:p>
          <w:p w14:paraId="444130C1" w14:textId="5695AACC" w:rsidR="00D67018" w:rsidRPr="00BD6C5F" w:rsidRDefault="00D67018" w:rsidP="00633887">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UK GDPR does not apply to the Importer</w:t>
            </w:r>
            <w:r w:rsidR="00A4555C" w:rsidRPr="00BD6C5F">
              <w:rPr>
                <w:rFonts w:asciiTheme="minorHAnsi" w:hAnsiTheme="minorHAnsi" w:cstheme="minorHAnsi"/>
              </w:rPr>
              <w:t>’</w:t>
            </w:r>
            <w:r w:rsidRPr="00BD6C5F">
              <w:rPr>
                <w:rFonts w:asciiTheme="minorHAnsi" w:hAnsiTheme="minorHAnsi" w:cstheme="minorHAnsi"/>
              </w:rPr>
              <w:t>s Processing of the Transferred Data</w:t>
            </w:r>
          </w:p>
        </w:tc>
      </w:tr>
      <w:tr w:rsidR="00D67018" w:rsidRPr="00BD6C5F" w14:paraId="7CB6198A" w14:textId="77777777" w:rsidTr="00633887">
        <w:tc>
          <w:tcPr>
            <w:tcW w:w="1176" w:type="pct"/>
            <w:shd w:val="clear" w:color="auto" w:fill="F0F0F0"/>
          </w:tcPr>
          <w:p w14:paraId="543FA00C" w14:textId="609469FC"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Linked Agreement</w:t>
            </w:r>
          </w:p>
        </w:tc>
        <w:tc>
          <w:tcPr>
            <w:tcW w:w="3824" w:type="pct"/>
          </w:tcPr>
          <w:p w14:paraId="27EBDACE" w14:textId="41BBBD9B" w:rsidR="00D67018" w:rsidRPr="00BD6C5F" w:rsidRDefault="00D67018" w:rsidP="00BD5010">
            <w:pPr>
              <w:spacing w:after="120"/>
              <w:rPr>
                <w:rFonts w:asciiTheme="minorHAnsi" w:hAnsiTheme="minorHAnsi" w:cstheme="minorHAnsi"/>
              </w:rPr>
            </w:pPr>
            <w:r w:rsidRPr="00BD6C5F">
              <w:rPr>
                <w:rFonts w:asciiTheme="minorHAnsi" w:hAnsiTheme="minorHAnsi" w:cstheme="minorHAnsi"/>
                <w:b/>
                <w:bCs/>
              </w:rPr>
              <w:t>If the Importer is the Exporter</w:t>
            </w:r>
            <w:r w:rsidR="00A4555C" w:rsidRPr="00BD6C5F">
              <w:rPr>
                <w:rFonts w:asciiTheme="minorHAnsi" w:hAnsiTheme="minorHAnsi" w:cstheme="minorHAnsi"/>
                <w:b/>
                <w:bCs/>
              </w:rPr>
              <w:t>’</w:t>
            </w:r>
            <w:r w:rsidRPr="00BD6C5F">
              <w:rPr>
                <w:rFonts w:asciiTheme="minorHAnsi" w:hAnsiTheme="minorHAnsi" w:cstheme="minorHAnsi"/>
                <w:b/>
                <w:bCs/>
              </w:rPr>
              <w:t>s Processor or Sub-Processor</w:t>
            </w:r>
            <w:r w:rsidRPr="00BD6C5F">
              <w:rPr>
                <w:rFonts w:asciiTheme="minorHAnsi" w:hAnsiTheme="minorHAnsi" w:cstheme="minorHAnsi"/>
              </w:rPr>
              <w:t xml:space="preserve"> – the agreement(s) between the Parties which sets out the Processor</w:t>
            </w:r>
            <w:r w:rsidR="00A4555C" w:rsidRPr="00BD6C5F">
              <w:rPr>
                <w:rFonts w:asciiTheme="minorHAnsi" w:hAnsiTheme="minorHAnsi" w:cstheme="minorHAnsi"/>
              </w:rPr>
              <w:t>’</w:t>
            </w:r>
            <w:r w:rsidRPr="00BD6C5F">
              <w:rPr>
                <w:rFonts w:asciiTheme="minorHAnsi" w:hAnsiTheme="minorHAnsi" w:cstheme="minorHAnsi"/>
              </w:rPr>
              <w:t>s or Sub-Processor</w:t>
            </w:r>
            <w:r w:rsidR="00A4555C" w:rsidRPr="00BD6C5F">
              <w:rPr>
                <w:rFonts w:asciiTheme="minorHAnsi" w:hAnsiTheme="minorHAnsi" w:cstheme="minorHAnsi"/>
              </w:rPr>
              <w:t>’</w:t>
            </w:r>
            <w:r w:rsidRPr="00BD6C5F">
              <w:rPr>
                <w:rFonts w:asciiTheme="minorHAnsi" w:hAnsiTheme="minorHAnsi" w:cstheme="minorHAnsi"/>
              </w:rPr>
              <w:t>s instructions for Processing the Transferred Data:</w:t>
            </w:r>
          </w:p>
          <w:p w14:paraId="1E35E0A3" w14:textId="2B58B603"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Name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13F791DA" w14:textId="36BFBBC0"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Date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1BA31A5C" w14:textId="331683D1"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Parties to the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5B36FDCF" w14:textId="7F01C1A2"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Reference (if any):</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67B3C57D" w14:textId="77777777" w:rsidR="00D67018" w:rsidRPr="00BD6C5F" w:rsidRDefault="00D67018" w:rsidP="00BD5010">
            <w:pPr>
              <w:keepNext/>
              <w:keepLines/>
              <w:spacing w:after="120"/>
              <w:rPr>
                <w:rFonts w:asciiTheme="minorHAnsi" w:hAnsiTheme="minorHAnsi" w:cstheme="minorHAnsi"/>
              </w:rPr>
            </w:pPr>
            <w:r w:rsidRPr="00BD6C5F">
              <w:rPr>
                <w:rFonts w:asciiTheme="minorHAnsi" w:hAnsiTheme="minorHAnsi" w:cstheme="minorHAnsi"/>
                <w:b/>
                <w:bCs/>
              </w:rPr>
              <w:lastRenderedPageBreak/>
              <w:t>Other agreements</w:t>
            </w:r>
            <w:r w:rsidRPr="00BD6C5F">
              <w:rPr>
                <w:rFonts w:asciiTheme="minorHAnsi" w:hAnsiTheme="minorHAnsi" w:cstheme="minorHAnsi"/>
              </w:rPr>
              <w:t xml:space="preserve"> – any agreement(s) between the Parties which set out additional obligations in relation to the Transferred Data, such as a data sharing agreement or service agreement: </w:t>
            </w:r>
          </w:p>
          <w:p w14:paraId="76AC3DB3" w14:textId="02661CC0"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Name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48C7EE71" w14:textId="47623CDB"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Date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39134CFA" w14:textId="1AA30D42"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 xml:space="preserve">Parties to the agreement: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347CEA30" w14:textId="4E82D3F6"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Reference (if any):</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37310556" w14:textId="0A054447" w:rsidR="00D67018" w:rsidRPr="00BD6C5F" w:rsidRDefault="00D67018" w:rsidP="00BD5010">
            <w:pPr>
              <w:spacing w:after="120"/>
              <w:rPr>
                <w:rFonts w:asciiTheme="minorHAnsi" w:hAnsiTheme="minorHAnsi" w:cstheme="minorHAnsi"/>
              </w:rPr>
            </w:pPr>
            <w:r w:rsidRPr="00BD6C5F">
              <w:rPr>
                <w:rFonts w:asciiTheme="minorHAnsi" w:hAnsiTheme="minorHAnsi" w:cstheme="minorHAnsi"/>
                <w:b/>
                <w:bCs/>
              </w:rPr>
              <w:t>If the Exporter is a Processor or Sub-Processor</w:t>
            </w:r>
            <w:r w:rsidRPr="00BD6C5F">
              <w:rPr>
                <w:rFonts w:asciiTheme="minorHAnsi" w:hAnsiTheme="minorHAnsi" w:cstheme="minorHAnsi"/>
              </w:rPr>
              <w:t xml:space="preserve"> – the agreement(s) between the Exporter and the Party(s) which sets out the Exporter</w:t>
            </w:r>
            <w:r w:rsidR="00A4555C" w:rsidRPr="00BD6C5F">
              <w:rPr>
                <w:rFonts w:asciiTheme="minorHAnsi" w:hAnsiTheme="minorHAnsi" w:cstheme="minorHAnsi"/>
              </w:rPr>
              <w:t>’</w:t>
            </w:r>
            <w:r w:rsidRPr="00BD6C5F">
              <w:rPr>
                <w:rFonts w:asciiTheme="minorHAnsi" w:hAnsiTheme="minorHAnsi" w:cstheme="minorHAnsi"/>
              </w:rPr>
              <w:t xml:space="preserve">s instructions for Processing the Transferred Data: </w:t>
            </w:r>
          </w:p>
          <w:p w14:paraId="6EA67C2C" w14:textId="063158E5"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Name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03F68C37" w14:textId="66A053C7"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Date of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246DC092" w14:textId="2EB28079"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Parties to the agreement:</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2181696C" w14:textId="7CF40537" w:rsidR="00D67018" w:rsidRPr="00BD6C5F" w:rsidRDefault="00D67018" w:rsidP="00BD5010">
            <w:pPr>
              <w:rPr>
                <w:rFonts w:asciiTheme="minorHAnsi" w:hAnsiTheme="minorHAnsi" w:cstheme="minorHAnsi"/>
              </w:rPr>
            </w:pPr>
            <w:r w:rsidRPr="00BD6C5F">
              <w:rPr>
                <w:rFonts w:asciiTheme="minorHAnsi" w:hAnsiTheme="minorHAnsi" w:cstheme="minorHAnsi"/>
              </w:rPr>
              <w:t>Reference (if any):</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tc>
      </w:tr>
      <w:tr w:rsidR="00D67018" w:rsidRPr="00BD6C5F" w14:paraId="284BE7BF" w14:textId="77777777" w:rsidTr="00633887">
        <w:tc>
          <w:tcPr>
            <w:tcW w:w="1176" w:type="pct"/>
            <w:shd w:val="clear" w:color="auto" w:fill="F0F0F0"/>
          </w:tcPr>
          <w:p w14:paraId="70FEC402"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lastRenderedPageBreak/>
              <w:t>Term</w:t>
            </w:r>
          </w:p>
        </w:tc>
        <w:tc>
          <w:tcPr>
            <w:tcW w:w="3824" w:type="pct"/>
          </w:tcPr>
          <w:p w14:paraId="78B26ABF" w14:textId="77777777"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 xml:space="preserve">The Importer may Process the Transferred Data for the following time period: </w:t>
            </w:r>
          </w:p>
          <w:p w14:paraId="6FB6227C"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period for which the Linked Agreement is in force</w:t>
            </w:r>
          </w:p>
          <w:p w14:paraId="3955EE0D"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time period:</w:t>
            </w:r>
          </w:p>
          <w:p w14:paraId="309A3E11" w14:textId="6567F808" w:rsidR="00D67018" w:rsidRPr="00BD6C5F" w:rsidRDefault="00D67018" w:rsidP="00BD5010">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(only if the Importer is a Controller or not the Exporter</w:t>
            </w:r>
            <w:r w:rsidR="00A4555C" w:rsidRPr="00BD6C5F">
              <w:rPr>
                <w:rFonts w:asciiTheme="minorHAnsi" w:hAnsiTheme="minorHAnsi" w:cstheme="minorHAnsi"/>
              </w:rPr>
              <w:t>’</w:t>
            </w:r>
            <w:r w:rsidRPr="00BD6C5F">
              <w:rPr>
                <w:rFonts w:asciiTheme="minorHAnsi" w:hAnsiTheme="minorHAnsi" w:cstheme="minorHAnsi"/>
              </w:rPr>
              <w:t>s Processor or Sub-Processor) no longer than is necessary for the Purpose.</w:t>
            </w:r>
          </w:p>
        </w:tc>
      </w:tr>
      <w:tr w:rsidR="00D67018" w:rsidRPr="00BD6C5F" w14:paraId="405DF76A" w14:textId="77777777" w:rsidTr="00633887">
        <w:tc>
          <w:tcPr>
            <w:tcW w:w="1176" w:type="pct"/>
            <w:shd w:val="clear" w:color="auto" w:fill="F0F0F0"/>
          </w:tcPr>
          <w:p w14:paraId="03064E80"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Ending the IDTA before the end of the Term</w:t>
            </w:r>
          </w:p>
        </w:tc>
        <w:tc>
          <w:tcPr>
            <w:tcW w:w="3824" w:type="pct"/>
          </w:tcPr>
          <w:p w14:paraId="23FE3C40"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Parties cannot end the IDTA before the end of the Term unless there is a breach of the IDTA or the Parties agree in writing.</w:t>
            </w:r>
          </w:p>
          <w:p w14:paraId="6B5A1C1F"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Parties can end the IDTA before the end of the Term by serving: </w:t>
            </w:r>
          </w:p>
          <w:p w14:paraId="7AF5BCEE" w14:textId="169BD795" w:rsidR="00D67018" w:rsidRPr="00BD6C5F" w:rsidRDefault="00BD5010" w:rsidP="00BD5010">
            <w:pPr>
              <w:rPr>
                <w:rFonts w:asciiTheme="minorHAnsi" w:hAnsiTheme="minorHAnsi" w:cstheme="minorHAnsi"/>
              </w:rPr>
            </w:pPr>
            <w:r w:rsidRPr="00BD6C5F">
              <w:rPr>
                <w:rFonts w:asciiTheme="minorHAnsi" w:hAnsiTheme="minorHAnsi" w:cstheme="minorHAnsi"/>
              </w:rPr>
              <w:fldChar w:fldCharType="begin">
                <w:ffData>
                  <w:name w:val=""/>
                  <w:enabled/>
                  <w:calcOnExit w:val="0"/>
                  <w:textInput/>
                </w:ffData>
              </w:fldChar>
            </w:r>
            <w:r w:rsidRPr="00BD6C5F">
              <w:rPr>
                <w:rFonts w:asciiTheme="minorHAnsi" w:hAnsiTheme="minorHAnsi" w:cstheme="minorHAnsi"/>
              </w:rPr>
              <w:instrText xml:space="preserve"> FORMTEXT </w:instrText>
            </w:r>
            <w:r w:rsidRPr="00BD6C5F">
              <w:rPr>
                <w:rFonts w:asciiTheme="minorHAnsi" w:hAnsiTheme="minorHAnsi" w:cstheme="minorHAnsi"/>
              </w:rPr>
            </w:r>
            <w:r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Pr="00BD6C5F">
              <w:rPr>
                <w:rFonts w:asciiTheme="minorHAnsi" w:hAnsiTheme="minorHAnsi" w:cstheme="minorHAnsi"/>
              </w:rPr>
              <w:fldChar w:fldCharType="end"/>
            </w:r>
            <w:r w:rsidRPr="00BD6C5F">
              <w:rPr>
                <w:rFonts w:asciiTheme="minorHAnsi" w:hAnsiTheme="minorHAnsi" w:cstheme="minorHAnsi"/>
              </w:rPr>
              <w:t xml:space="preserve"> </w:t>
            </w:r>
            <w:r w:rsidR="00D67018" w:rsidRPr="00BD6C5F">
              <w:rPr>
                <w:rFonts w:asciiTheme="minorHAnsi" w:hAnsiTheme="minorHAnsi" w:cstheme="minorHAnsi"/>
              </w:rPr>
              <w:t>months</w:t>
            </w:r>
            <w:r w:rsidR="00A4555C" w:rsidRPr="00BD6C5F">
              <w:rPr>
                <w:rFonts w:asciiTheme="minorHAnsi" w:hAnsiTheme="minorHAnsi" w:cstheme="minorHAnsi"/>
              </w:rPr>
              <w:t>’</w:t>
            </w:r>
            <w:r w:rsidR="00D67018" w:rsidRPr="00BD6C5F">
              <w:rPr>
                <w:rFonts w:asciiTheme="minorHAnsi" w:hAnsiTheme="minorHAnsi" w:cstheme="minorHAnsi"/>
              </w:rPr>
              <w:t xml:space="preserve"> written notice, as set out in </w:t>
            </w:r>
            <w:bookmarkStart w:id="1889" w:name="_Hlk78817327"/>
            <w:r w:rsidR="00D67018" w:rsidRPr="00BD6C5F">
              <w:rPr>
                <w:rFonts w:asciiTheme="minorHAnsi" w:hAnsiTheme="minorHAnsi" w:cstheme="minorHAnsi"/>
              </w:rPr>
              <w:t xml:space="preserve">Section </w:t>
            </w:r>
            <w:r w:rsidR="0010425E" w:rsidRPr="00BD6C5F">
              <w:rPr>
                <w:rFonts w:asciiTheme="minorHAnsi" w:hAnsiTheme="minorHAnsi" w:cstheme="minorHAnsi"/>
                <w:cs/>
              </w:rPr>
              <w:t>‎</w:t>
            </w:r>
            <w:r w:rsidR="0010425E" w:rsidRPr="00BD6C5F">
              <w:rPr>
                <w:rFonts w:asciiTheme="minorHAnsi" w:hAnsiTheme="minorHAnsi" w:cstheme="minorHAnsi"/>
              </w:rPr>
              <w:t>29</w:t>
            </w:r>
            <w:r w:rsidR="00D67018" w:rsidRPr="00BD6C5F">
              <w:rPr>
                <w:rFonts w:asciiTheme="minorHAnsi" w:hAnsiTheme="minorHAnsi" w:cstheme="minorHAnsi"/>
              </w:rPr>
              <w:t xml:space="preserve"> (How to end this IDTA without there being a breach).</w:t>
            </w:r>
            <w:bookmarkEnd w:id="1889"/>
          </w:p>
        </w:tc>
      </w:tr>
      <w:tr w:rsidR="00D67018" w:rsidRPr="00BD6C5F" w14:paraId="02F2034D" w14:textId="77777777" w:rsidTr="00633887">
        <w:tc>
          <w:tcPr>
            <w:tcW w:w="1176" w:type="pct"/>
            <w:shd w:val="clear" w:color="auto" w:fill="F0F0F0"/>
          </w:tcPr>
          <w:p w14:paraId="6FE96835"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Ending the IDTA when the Approved IDTA changes</w:t>
            </w:r>
          </w:p>
        </w:tc>
        <w:tc>
          <w:tcPr>
            <w:tcW w:w="3824" w:type="pct"/>
          </w:tcPr>
          <w:p w14:paraId="684FBD20" w14:textId="7582D5D1"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 xml:space="preserve">Which Parties may end the IDTA as set out in Section </w:t>
            </w:r>
            <w:r w:rsidR="0010425E" w:rsidRPr="00BD6C5F">
              <w:rPr>
                <w:rFonts w:asciiTheme="minorHAnsi" w:hAnsiTheme="minorHAnsi" w:cstheme="minorHAnsi"/>
                <w:cs/>
              </w:rPr>
              <w:t>‎</w:t>
            </w:r>
            <w:r w:rsidR="0010425E" w:rsidRPr="00BD6C5F">
              <w:rPr>
                <w:rFonts w:asciiTheme="minorHAnsi" w:hAnsiTheme="minorHAnsi" w:cstheme="minorHAnsi"/>
              </w:rPr>
              <w:t>29.2</w:t>
            </w:r>
            <w:r w:rsidRPr="00BD6C5F">
              <w:rPr>
                <w:rFonts w:asciiTheme="minorHAnsi" w:hAnsiTheme="minorHAnsi" w:cstheme="minorHAnsi"/>
              </w:rPr>
              <w:t>:</w:t>
            </w:r>
          </w:p>
          <w:p w14:paraId="561768D6"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Importer</w:t>
            </w:r>
          </w:p>
          <w:p w14:paraId="5B1DCF61"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Exporter</w:t>
            </w:r>
          </w:p>
          <w:p w14:paraId="21A99CD3" w14:textId="77777777" w:rsidR="00D67018" w:rsidRPr="00BD6C5F" w:rsidRDefault="00D67018" w:rsidP="00BD5010">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neither Party</w:t>
            </w:r>
          </w:p>
        </w:tc>
      </w:tr>
      <w:tr w:rsidR="00D67018" w:rsidRPr="00BD6C5F" w14:paraId="1E909366" w14:textId="77777777" w:rsidTr="00633887">
        <w:tc>
          <w:tcPr>
            <w:tcW w:w="1176" w:type="pct"/>
            <w:shd w:val="clear" w:color="auto" w:fill="F0F0F0"/>
          </w:tcPr>
          <w:p w14:paraId="197560BD"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Can the Importer make further transfers of the Transferred Data?</w:t>
            </w:r>
          </w:p>
        </w:tc>
        <w:tc>
          <w:tcPr>
            <w:tcW w:w="3824" w:type="pct"/>
          </w:tcPr>
          <w:p w14:paraId="470CFC3E" w14:textId="6A3EFF3F"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Importer MAY transfer on the Transferred Data to another organisation or person (who is a different legal entity) in accordance with Section </w:t>
            </w:r>
            <w:r w:rsidR="0010425E" w:rsidRPr="00BD6C5F">
              <w:rPr>
                <w:rFonts w:asciiTheme="minorHAnsi" w:hAnsiTheme="minorHAnsi" w:cstheme="minorHAnsi"/>
                <w:cs/>
              </w:rPr>
              <w:t>‎</w:t>
            </w:r>
            <w:r w:rsidR="0010425E" w:rsidRPr="00BD6C5F">
              <w:rPr>
                <w:rFonts w:asciiTheme="minorHAnsi" w:hAnsiTheme="minorHAnsi" w:cstheme="minorHAnsi"/>
              </w:rPr>
              <w:t>16.1</w:t>
            </w:r>
            <w:r w:rsidRPr="00BD6C5F">
              <w:rPr>
                <w:rFonts w:asciiTheme="minorHAnsi" w:hAnsiTheme="minorHAnsi" w:cstheme="minorHAnsi"/>
              </w:rPr>
              <w:t xml:space="preserve"> (Transferring on the Transferred Data).</w:t>
            </w:r>
          </w:p>
          <w:p w14:paraId="5835AF3D" w14:textId="12C743A7" w:rsidR="00D67018" w:rsidRPr="00BD6C5F" w:rsidRDefault="00D67018" w:rsidP="00BD5010">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Importer MAY NOT transfer on the Transferred Data to another organisation or person (who is a different legal entity) in accordance with Section </w:t>
            </w:r>
            <w:r w:rsidR="0010425E" w:rsidRPr="00BD6C5F">
              <w:rPr>
                <w:rFonts w:asciiTheme="minorHAnsi" w:hAnsiTheme="minorHAnsi" w:cstheme="minorHAnsi"/>
                <w:cs/>
              </w:rPr>
              <w:t>‎</w:t>
            </w:r>
            <w:r w:rsidR="0010425E" w:rsidRPr="00BD6C5F">
              <w:rPr>
                <w:rFonts w:asciiTheme="minorHAnsi" w:hAnsiTheme="minorHAnsi" w:cstheme="minorHAnsi"/>
              </w:rPr>
              <w:t>16.1</w:t>
            </w:r>
            <w:r w:rsidRPr="00BD6C5F">
              <w:rPr>
                <w:rFonts w:asciiTheme="minorHAnsi" w:hAnsiTheme="minorHAnsi" w:cstheme="minorHAnsi"/>
              </w:rPr>
              <w:t xml:space="preserve"> (Transferring on the Transferred Data).</w:t>
            </w:r>
          </w:p>
        </w:tc>
      </w:tr>
      <w:tr w:rsidR="00D67018" w:rsidRPr="00BD6C5F" w14:paraId="5A80B005" w14:textId="77777777" w:rsidTr="00633887">
        <w:tc>
          <w:tcPr>
            <w:tcW w:w="1176" w:type="pct"/>
            <w:shd w:val="clear" w:color="auto" w:fill="F0F0F0"/>
          </w:tcPr>
          <w:p w14:paraId="2B737A89" w14:textId="77777777" w:rsidR="00D67018" w:rsidRPr="00BD6C5F" w:rsidRDefault="00D67018" w:rsidP="00633887">
            <w:pPr>
              <w:rPr>
                <w:rFonts w:asciiTheme="minorHAnsi" w:hAnsiTheme="minorHAnsi" w:cstheme="minorHAnsi"/>
                <w:b/>
                <w:bCs/>
              </w:rPr>
            </w:pPr>
            <w:r w:rsidRPr="00BD6C5F">
              <w:rPr>
                <w:rFonts w:asciiTheme="minorHAnsi" w:hAnsiTheme="minorHAnsi" w:cstheme="minorHAnsi"/>
                <w:b/>
                <w:bCs/>
              </w:rPr>
              <w:t>Specific restrictions when the Importer may transfer on the Transferred Data</w:t>
            </w:r>
          </w:p>
        </w:tc>
        <w:tc>
          <w:tcPr>
            <w:tcW w:w="3824" w:type="pct"/>
          </w:tcPr>
          <w:p w14:paraId="0830A261" w14:textId="4E43FCF8" w:rsidR="00D67018" w:rsidRPr="00BD6C5F" w:rsidRDefault="00D67018" w:rsidP="00BD5010">
            <w:pPr>
              <w:spacing w:after="120"/>
              <w:rPr>
                <w:rFonts w:asciiTheme="minorHAnsi" w:hAnsiTheme="minorHAnsi" w:cstheme="minorHAnsi"/>
              </w:rPr>
            </w:pPr>
            <w:r w:rsidRPr="00BD6C5F">
              <w:rPr>
                <w:rFonts w:asciiTheme="minorHAnsi" w:hAnsiTheme="minorHAnsi" w:cstheme="minorHAnsi"/>
              </w:rPr>
              <w:t xml:space="preserve">The Importer MAY ONLY forward the Transferred Data in accordance with Section </w:t>
            </w:r>
            <w:r w:rsidR="0010425E" w:rsidRPr="00BD6C5F">
              <w:rPr>
                <w:rFonts w:asciiTheme="minorHAnsi" w:hAnsiTheme="minorHAnsi" w:cstheme="minorHAnsi"/>
                <w:cs/>
              </w:rPr>
              <w:t>‎</w:t>
            </w:r>
            <w:r w:rsidR="0010425E" w:rsidRPr="00BD6C5F">
              <w:rPr>
                <w:rFonts w:asciiTheme="minorHAnsi" w:hAnsiTheme="minorHAnsi" w:cstheme="minorHAnsi"/>
              </w:rPr>
              <w:t>16.1</w:t>
            </w:r>
            <w:r w:rsidRPr="00BD6C5F">
              <w:rPr>
                <w:rFonts w:asciiTheme="minorHAnsi" w:hAnsiTheme="minorHAnsi" w:cstheme="minorHAnsi"/>
              </w:rPr>
              <w:t xml:space="preserve">: </w:t>
            </w:r>
          </w:p>
          <w:p w14:paraId="4CD21717"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if the Exporter tells it in writing that it may do so.</w:t>
            </w:r>
          </w:p>
          <w:p w14:paraId="32CC9B82" w14:textId="6487DD3E"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lastRenderedPageBreak/>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to:</w:t>
            </w:r>
            <w:r w:rsidR="00BD5010" w:rsidRPr="00BD6C5F">
              <w:rPr>
                <w:rFonts w:asciiTheme="minorHAnsi" w:hAnsiTheme="minorHAnsi" w:cstheme="minorHAnsi"/>
              </w:rPr>
              <w:t xml:space="preserve"> </w:t>
            </w:r>
            <w:r w:rsidR="00BD5010" w:rsidRPr="00BD6C5F">
              <w:rPr>
                <w:rFonts w:asciiTheme="minorHAnsi" w:hAnsiTheme="minorHAnsi" w:cstheme="minorHAnsi"/>
              </w:rPr>
              <w:fldChar w:fldCharType="begin">
                <w:ffData>
                  <w:name w:val=""/>
                  <w:enabled/>
                  <w:calcOnExit w:val="0"/>
                  <w:textInput/>
                </w:ffData>
              </w:fldChar>
            </w:r>
            <w:r w:rsidR="00BD5010" w:rsidRPr="00BD6C5F">
              <w:rPr>
                <w:rFonts w:asciiTheme="minorHAnsi" w:hAnsiTheme="minorHAnsi" w:cstheme="minorHAnsi"/>
              </w:rPr>
              <w:instrText xml:space="preserve"> FORMTEXT </w:instrText>
            </w:r>
            <w:r w:rsidR="00BD5010" w:rsidRPr="00BD6C5F">
              <w:rPr>
                <w:rFonts w:asciiTheme="minorHAnsi" w:hAnsiTheme="minorHAnsi" w:cstheme="minorHAnsi"/>
              </w:rPr>
            </w:r>
            <w:r w:rsidR="00BD5010"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BD5010" w:rsidRPr="00BD6C5F">
              <w:rPr>
                <w:rFonts w:asciiTheme="minorHAnsi" w:hAnsiTheme="minorHAnsi" w:cstheme="minorHAnsi"/>
              </w:rPr>
              <w:fldChar w:fldCharType="end"/>
            </w:r>
          </w:p>
          <w:p w14:paraId="6E768F02" w14:textId="77777777" w:rsidR="00D67018" w:rsidRPr="00BD6C5F" w:rsidRDefault="00D67018"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to the authorised receivers (or the categories of authorised receivers) set out in: </w:t>
            </w:r>
          </w:p>
          <w:p w14:paraId="55593630" w14:textId="77777777" w:rsidR="00D67018" w:rsidRPr="00BD6C5F" w:rsidRDefault="00D67018" w:rsidP="00BD5010">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there are no specific restrictions.</w:t>
            </w:r>
          </w:p>
        </w:tc>
      </w:tr>
      <w:tr w:rsidR="00D67018" w:rsidRPr="00BD6C5F" w14:paraId="2D5D08DC" w14:textId="77777777" w:rsidTr="00633887">
        <w:tc>
          <w:tcPr>
            <w:tcW w:w="1176" w:type="pct"/>
            <w:shd w:val="clear" w:color="auto" w:fill="F0F0F0"/>
          </w:tcPr>
          <w:p w14:paraId="21F4DB87" w14:textId="7A041771" w:rsidR="00D67018" w:rsidRPr="00BD6C5F" w:rsidRDefault="001D0150" w:rsidP="00633887">
            <w:pPr>
              <w:rPr>
                <w:rFonts w:asciiTheme="minorHAnsi" w:hAnsiTheme="minorHAnsi" w:cstheme="minorHAnsi"/>
                <w:b/>
                <w:bCs/>
              </w:rPr>
            </w:pPr>
            <w:r w:rsidRPr="00BD6C5F">
              <w:rPr>
                <w:rFonts w:asciiTheme="minorHAnsi" w:hAnsiTheme="minorHAnsi" w:cstheme="minorHAnsi"/>
                <w:b/>
                <w:bCs/>
              </w:rPr>
              <w:lastRenderedPageBreak/>
              <w:t>Review Dates</w:t>
            </w:r>
          </w:p>
        </w:tc>
        <w:tc>
          <w:tcPr>
            <w:tcW w:w="3824" w:type="pct"/>
          </w:tcPr>
          <w:p w14:paraId="56E9B826" w14:textId="77777777"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No review is needed as this is a one-off transfer and the Importer does not retain any Transferred Data</w:t>
            </w:r>
          </w:p>
          <w:p w14:paraId="5F4A64D7" w14:textId="5C33905E" w:rsidR="001D0150" w:rsidRPr="00BD6C5F" w:rsidRDefault="001D0150" w:rsidP="00BD5010">
            <w:pPr>
              <w:spacing w:after="120"/>
              <w:rPr>
                <w:rFonts w:asciiTheme="minorHAnsi" w:hAnsiTheme="minorHAnsi" w:cstheme="minorHAnsi"/>
              </w:rPr>
            </w:pPr>
            <w:r w:rsidRPr="00BD6C5F">
              <w:rPr>
                <w:rFonts w:asciiTheme="minorHAnsi" w:hAnsiTheme="minorHAnsi" w:cstheme="minorHAnsi"/>
              </w:rPr>
              <w:t xml:space="preserve">First review date: </w:t>
            </w:r>
            <w:r w:rsidR="00C844BD" w:rsidRPr="00BD6C5F">
              <w:rPr>
                <w:rFonts w:asciiTheme="minorHAnsi" w:hAnsiTheme="minorHAnsi" w:cstheme="minorHAnsi"/>
              </w:rPr>
              <w:fldChar w:fldCharType="begin">
                <w:ffData>
                  <w:name w:val=""/>
                  <w:enabled/>
                  <w:calcOnExit w:val="0"/>
                  <w:textInput/>
                </w:ffData>
              </w:fldChar>
            </w:r>
            <w:r w:rsidR="00C844BD" w:rsidRPr="00BD6C5F">
              <w:rPr>
                <w:rFonts w:asciiTheme="minorHAnsi" w:hAnsiTheme="minorHAnsi" w:cstheme="minorHAnsi"/>
              </w:rPr>
              <w:instrText xml:space="preserve"> FORMTEXT </w:instrText>
            </w:r>
            <w:r w:rsidR="00C844BD" w:rsidRPr="00BD6C5F">
              <w:rPr>
                <w:rFonts w:asciiTheme="minorHAnsi" w:hAnsiTheme="minorHAnsi" w:cstheme="minorHAnsi"/>
              </w:rPr>
            </w:r>
            <w:r w:rsidR="00C844BD"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C844BD" w:rsidRPr="00BD6C5F">
              <w:rPr>
                <w:rFonts w:asciiTheme="minorHAnsi" w:hAnsiTheme="minorHAnsi" w:cstheme="minorHAnsi"/>
              </w:rPr>
              <w:fldChar w:fldCharType="end"/>
            </w:r>
          </w:p>
          <w:p w14:paraId="440B808B" w14:textId="77777777" w:rsidR="001D0150" w:rsidRPr="00BD6C5F" w:rsidRDefault="001D0150" w:rsidP="00BD5010">
            <w:pPr>
              <w:spacing w:after="120"/>
              <w:rPr>
                <w:rFonts w:asciiTheme="minorHAnsi" w:hAnsiTheme="minorHAnsi" w:cstheme="minorHAnsi"/>
              </w:rPr>
            </w:pPr>
            <w:r w:rsidRPr="00BD6C5F">
              <w:rPr>
                <w:rFonts w:asciiTheme="minorHAnsi" w:hAnsiTheme="minorHAnsi" w:cstheme="minorHAnsi"/>
              </w:rPr>
              <w:t>The Parties must review the Security Requirements at least once:</w:t>
            </w:r>
          </w:p>
          <w:p w14:paraId="084F38AE" w14:textId="5CC2763B"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w:t>
            </w:r>
            <w:r w:rsidR="00C844BD" w:rsidRPr="00BD6C5F">
              <w:rPr>
                <w:rFonts w:asciiTheme="minorHAnsi" w:hAnsiTheme="minorHAnsi" w:cstheme="minorHAnsi"/>
              </w:rPr>
              <w:t xml:space="preserve"> </w:t>
            </w:r>
            <w:r w:rsidR="00C844BD" w:rsidRPr="00BD6C5F">
              <w:rPr>
                <w:rFonts w:asciiTheme="minorHAnsi" w:hAnsiTheme="minorHAnsi" w:cstheme="minorHAnsi"/>
              </w:rPr>
              <w:fldChar w:fldCharType="begin">
                <w:ffData>
                  <w:name w:val=""/>
                  <w:enabled/>
                  <w:calcOnExit w:val="0"/>
                  <w:textInput/>
                </w:ffData>
              </w:fldChar>
            </w:r>
            <w:r w:rsidR="00C844BD" w:rsidRPr="00BD6C5F">
              <w:rPr>
                <w:rFonts w:asciiTheme="minorHAnsi" w:hAnsiTheme="minorHAnsi" w:cstheme="minorHAnsi"/>
              </w:rPr>
              <w:instrText xml:space="preserve"> FORMTEXT </w:instrText>
            </w:r>
            <w:r w:rsidR="00C844BD" w:rsidRPr="00BD6C5F">
              <w:rPr>
                <w:rFonts w:asciiTheme="minorHAnsi" w:hAnsiTheme="minorHAnsi" w:cstheme="minorHAnsi"/>
              </w:rPr>
            </w:r>
            <w:r w:rsidR="00C844BD"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C844BD" w:rsidRPr="00BD6C5F">
              <w:rPr>
                <w:rFonts w:asciiTheme="minorHAnsi" w:hAnsiTheme="minorHAnsi" w:cstheme="minorHAnsi"/>
              </w:rPr>
              <w:fldChar w:fldCharType="end"/>
            </w:r>
            <w:r w:rsidRPr="00BD6C5F">
              <w:rPr>
                <w:rFonts w:asciiTheme="minorHAnsi" w:hAnsiTheme="minorHAnsi" w:cstheme="minorHAnsi"/>
              </w:rPr>
              <w:t xml:space="preserve"> month(s)</w:t>
            </w:r>
          </w:p>
          <w:p w14:paraId="623E1911" w14:textId="77777777"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quarter</w:t>
            </w:r>
          </w:p>
          <w:p w14:paraId="03548150" w14:textId="77777777"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6 months</w:t>
            </w:r>
          </w:p>
          <w:p w14:paraId="5BF18F43" w14:textId="77777777"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year</w:t>
            </w:r>
          </w:p>
          <w:p w14:paraId="5D11D5D5" w14:textId="1CC2E2CF" w:rsidR="001D0150" w:rsidRPr="00BD6C5F" w:rsidRDefault="001D0150" w:rsidP="00BD5010">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w:t>
            </w:r>
            <w:r w:rsidR="00C844BD" w:rsidRPr="00BD6C5F">
              <w:rPr>
                <w:rFonts w:asciiTheme="minorHAnsi" w:hAnsiTheme="minorHAnsi" w:cstheme="minorHAnsi"/>
              </w:rPr>
              <w:t xml:space="preserve"> </w:t>
            </w:r>
            <w:r w:rsidR="00C844BD" w:rsidRPr="00BD6C5F">
              <w:rPr>
                <w:rFonts w:asciiTheme="minorHAnsi" w:hAnsiTheme="minorHAnsi" w:cstheme="minorHAnsi"/>
              </w:rPr>
              <w:fldChar w:fldCharType="begin">
                <w:ffData>
                  <w:name w:val=""/>
                  <w:enabled/>
                  <w:calcOnExit w:val="0"/>
                  <w:textInput/>
                </w:ffData>
              </w:fldChar>
            </w:r>
            <w:r w:rsidR="00C844BD" w:rsidRPr="00BD6C5F">
              <w:rPr>
                <w:rFonts w:asciiTheme="minorHAnsi" w:hAnsiTheme="minorHAnsi" w:cstheme="minorHAnsi"/>
              </w:rPr>
              <w:instrText xml:space="preserve"> FORMTEXT </w:instrText>
            </w:r>
            <w:r w:rsidR="00C844BD" w:rsidRPr="00BD6C5F">
              <w:rPr>
                <w:rFonts w:asciiTheme="minorHAnsi" w:hAnsiTheme="minorHAnsi" w:cstheme="minorHAnsi"/>
              </w:rPr>
            </w:r>
            <w:r w:rsidR="00C844BD"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C844BD" w:rsidRPr="00BD6C5F">
              <w:rPr>
                <w:rFonts w:asciiTheme="minorHAnsi" w:hAnsiTheme="minorHAnsi" w:cstheme="minorHAnsi"/>
              </w:rPr>
              <w:fldChar w:fldCharType="end"/>
            </w:r>
            <w:r w:rsidRPr="00BD6C5F">
              <w:rPr>
                <w:rFonts w:asciiTheme="minorHAnsi" w:hAnsiTheme="minorHAnsi" w:cstheme="minorHAnsi"/>
              </w:rPr>
              <w:t xml:space="preserve"> year(s)</w:t>
            </w:r>
          </w:p>
          <w:p w14:paraId="49967D98" w14:textId="10452AB8" w:rsidR="00D67018" w:rsidRPr="00BD6C5F" w:rsidRDefault="001D0150" w:rsidP="00BD5010">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each time there is a change to the Transferred Data, Purposes, Importer Information, TRA or risk assessment</w:t>
            </w:r>
          </w:p>
        </w:tc>
      </w:tr>
    </w:tbl>
    <w:p w14:paraId="6529B530"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3: Transferred Data</w:t>
      </w:r>
    </w:p>
    <w:tbl>
      <w:tblPr>
        <w:tblStyle w:val="MSATable-header"/>
        <w:tblW w:w="5003" w:type="pct"/>
        <w:tblLook w:val="0000" w:firstRow="0" w:lastRow="0" w:firstColumn="0" w:lastColumn="0" w:noHBand="0" w:noVBand="0"/>
      </w:tblPr>
      <w:tblGrid>
        <w:gridCol w:w="2400"/>
        <w:gridCol w:w="7804"/>
      </w:tblGrid>
      <w:tr w:rsidR="00D67018" w:rsidRPr="00BD6C5F" w14:paraId="0631D2DF" w14:textId="77777777" w:rsidTr="00C844BD">
        <w:tc>
          <w:tcPr>
            <w:tcW w:w="1176" w:type="pct"/>
            <w:shd w:val="clear" w:color="auto" w:fill="F0F0F0"/>
          </w:tcPr>
          <w:p w14:paraId="327222A6" w14:textId="060E7DD4"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Transferred Data</w:t>
            </w:r>
          </w:p>
        </w:tc>
        <w:tc>
          <w:tcPr>
            <w:tcW w:w="3824" w:type="pct"/>
          </w:tcPr>
          <w:p w14:paraId="5FA8180A" w14:textId="77777777" w:rsidR="00D67018" w:rsidRPr="00BD6C5F" w:rsidRDefault="00D67018" w:rsidP="00C844BD">
            <w:pPr>
              <w:spacing w:after="120"/>
              <w:rPr>
                <w:rFonts w:asciiTheme="minorHAnsi" w:hAnsiTheme="minorHAnsi" w:cstheme="minorHAnsi"/>
              </w:rPr>
            </w:pPr>
            <w:r w:rsidRPr="00BD6C5F">
              <w:rPr>
                <w:rFonts w:asciiTheme="minorHAnsi" w:hAnsiTheme="minorHAnsi" w:cstheme="minorHAnsi"/>
              </w:rPr>
              <w:t>The personal data to be sent to the Importer under this IDTA consists of:</w:t>
            </w:r>
          </w:p>
          <w:p w14:paraId="4EAF1A63"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Transferred Data will update automatically if the information is updated in the Linked Agreement referred to. </w:t>
            </w:r>
          </w:p>
          <w:p w14:paraId="2E94313E" w14:textId="33C3E193" w:rsidR="00D67018" w:rsidRPr="00BD6C5F" w:rsidRDefault="00D67018" w:rsidP="00C844BD">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Transferred Data will NOT update automatically if the information is updated in the Linked Agreement referred to. The Parties must agree a change under Section </w:t>
            </w:r>
            <w:r w:rsidR="0010425E" w:rsidRPr="00BD6C5F">
              <w:rPr>
                <w:rFonts w:asciiTheme="minorHAnsi" w:hAnsiTheme="minorHAnsi" w:cstheme="minorHAnsi"/>
                <w:cs/>
              </w:rPr>
              <w:t>‎</w:t>
            </w:r>
            <w:r w:rsidR="0010425E" w:rsidRPr="00BD6C5F">
              <w:rPr>
                <w:rFonts w:asciiTheme="minorHAnsi" w:hAnsiTheme="minorHAnsi" w:cstheme="minorHAnsi"/>
              </w:rPr>
              <w:t>5.3</w:t>
            </w:r>
            <w:r w:rsidRPr="00BD6C5F">
              <w:rPr>
                <w:rFonts w:asciiTheme="minorHAnsi" w:hAnsiTheme="minorHAnsi" w:cstheme="minorHAnsi"/>
              </w:rPr>
              <w:t>.</w:t>
            </w:r>
          </w:p>
        </w:tc>
      </w:tr>
      <w:tr w:rsidR="00D67018" w:rsidRPr="00BD6C5F" w14:paraId="5CE2EAB9" w14:textId="77777777" w:rsidTr="00C844BD">
        <w:tc>
          <w:tcPr>
            <w:tcW w:w="1176" w:type="pct"/>
            <w:shd w:val="clear" w:color="auto" w:fill="F0F0F0"/>
          </w:tcPr>
          <w:p w14:paraId="40736318"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Special Categories of Personal Data and criminal convictions and offences</w:t>
            </w:r>
          </w:p>
        </w:tc>
        <w:tc>
          <w:tcPr>
            <w:tcW w:w="3824" w:type="pct"/>
          </w:tcPr>
          <w:p w14:paraId="25AD5E65" w14:textId="77777777" w:rsidR="00D67018" w:rsidRPr="00BD6C5F" w:rsidRDefault="00D67018" w:rsidP="00C844BD">
            <w:pPr>
              <w:spacing w:after="120"/>
              <w:rPr>
                <w:rFonts w:asciiTheme="minorHAnsi" w:hAnsiTheme="minorHAnsi" w:cstheme="minorHAnsi"/>
              </w:rPr>
            </w:pPr>
            <w:r w:rsidRPr="00BD6C5F">
              <w:rPr>
                <w:rFonts w:asciiTheme="minorHAnsi" w:hAnsiTheme="minorHAnsi" w:cstheme="minorHAnsi"/>
              </w:rPr>
              <w:t>The Transferred Data includes data relating to:</w:t>
            </w:r>
          </w:p>
          <w:p w14:paraId="070B17E5"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racial or ethnic origin</w:t>
            </w:r>
          </w:p>
          <w:p w14:paraId="4FA05F71"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political opinions</w:t>
            </w:r>
          </w:p>
          <w:p w14:paraId="567A552E"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religious or philosophical beliefs</w:t>
            </w:r>
          </w:p>
          <w:p w14:paraId="2E22AB77"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trade union membership</w:t>
            </w:r>
          </w:p>
          <w:p w14:paraId="0318C156"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genetic data</w:t>
            </w:r>
          </w:p>
          <w:p w14:paraId="67BDB032"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biometric data for the purpose of uniquely identifying a natural person</w:t>
            </w:r>
          </w:p>
          <w:p w14:paraId="731D5198"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physical or mental health </w:t>
            </w:r>
          </w:p>
          <w:p w14:paraId="46D0267C"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sex life or sexual orientation</w:t>
            </w:r>
          </w:p>
          <w:p w14:paraId="3A613D09"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criminal convictions and offences</w:t>
            </w:r>
          </w:p>
          <w:p w14:paraId="3F6F61E1"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none of the above</w:t>
            </w:r>
          </w:p>
          <w:p w14:paraId="2F0AC5E3" w14:textId="0B2A890A"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set out in:</w:t>
            </w:r>
            <w:r w:rsidR="00C844BD" w:rsidRPr="00BD6C5F">
              <w:rPr>
                <w:rFonts w:asciiTheme="minorHAnsi" w:hAnsiTheme="minorHAnsi" w:cstheme="minorHAnsi"/>
              </w:rPr>
              <w:t xml:space="preserve"> </w:t>
            </w:r>
            <w:r w:rsidR="00C844BD" w:rsidRPr="00BD6C5F">
              <w:rPr>
                <w:rFonts w:asciiTheme="minorHAnsi" w:hAnsiTheme="minorHAnsi" w:cstheme="minorHAnsi"/>
              </w:rPr>
              <w:fldChar w:fldCharType="begin">
                <w:ffData>
                  <w:name w:val=""/>
                  <w:enabled/>
                  <w:calcOnExit w:val="0"/>
                  <w:textInput/>
                </w:ffData>
              </w:fldChar>
            </w:r>
            <w:r w:rsidR="00C844BD" w:rsidRPr="00BD6C5F">
              <w:rPr>
                <w:rFonts w:asciiTheme="minorHAnsi" w:hAnsiTheme="minorHAnsi" w:cstheme="minorHAnsi"/>
              </w:rPr>
              <w:instrText xml:space="preserve"> FORMTEXT </w:instrText>
            </w:r>
            <w:r w:rsidR="00C844BD" w:rsidRPr="00BD6C5F">
              <w:rPr>
                <w:rFonts w:asciiTheme="minorHAnsi" w:hAnsiTheme="minorHAnsi" w:cstheme="minorHAnsi"/>
              </w:rPr>
            </w:r>
            <w:r w:rsidR="00C844BD" w:rsidRPr="00BD6C5F">
              <w:rPr>
                <w:rFonts w:asciiTheme="minorHAnsi" w:hAnsiTheme="minorHAnsi" w:cstheme="minorHAnsi"/>
              </w:rPr>
              <w:fldChar w:fldCharType="separate"/>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8B1A44">
              <w:rPr>
                <w:rFonts w:asciiTheme="minorHAnsi" w:hAnsiTheme="minorHAnsi" w:cstheme="minorHAnsi"/>
                <w:noProof/>
              </w:rPr>
              <w:t> </w:t>
            </w:r>
            <w:r w:rsidR="00C844BD" w:rsidRPr="00BD6C5F">
              <w:rPr>
                <w:rFonts w:asciiTheme="minorHAnsi" w:hAnsiTheme="minorHAnsi" w:cstheme="minorHAnsi"/>
              </w:rPr>
              <w:fldChar w:fldCharType="end"/>
            </w:r>
          </w:p>
          <w:p w14:paraId="4B566470" w14:textId="77777777" w:rsidR="00D67018" w:rsidRPr="00BD6C5F" w:rsidRDefault="00D67018" w:rsidP="00773F7E">
            <w:pPr>
              <w:keepNext/>
              <w:spacing w:after="120"/>
              <w:rPr>
                <w:rFonts w:asciiTheme="minorHAnsi" w:hAnsiTheme="minorHAnsi" w:cstheme="minorHAnsi"/>
              </w:rPr>
            </w:pPr>
            <w:r w:rsidRPr="00BD6C5F">
              <w:rPr>
                <w:rFonts w:asciiTheme="minorHAnsi" w:hAnsiTheme="minorHAnsi" w:cstheme="minorHAnsi"/>
              </w:rPr>
              <w:lastRenderedPageBreak/>
              <w:t>And:</w:t>
            </w:r>
          </w:p>
          <w:p w14:paraId="4C5807C2"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special category and criminal records data will update automatically if the information is updated in the Linked Agreement referred to. </w:t>
            </w:r>
          </w:p>
          <w:p w14:paraId="682E8CF8" w14:textId="0A53DD9B" w:rsidR="00D67018" w:rsidRPr="00BD6C5F" w:rsidRDefault="00D67018" w:rsidP="00C844BD">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special category and criminal records data will NOT update automatically if the information is updated in the Linked Agreement referred to. The Parties must agree a change under Section </w:t>
            </w:r>
            <w:r w:rsidR="0010425E" w:rsidRPr="00BD6C5F">
              <w:rPr>
                <w:rFonts w:asciiTheme="minorHAnsi" w:hAnsiTheme="minorHAnsi" w:cstheme="minorHAnsi"/>
                <w:cs/>
              </w:rPr>
              <w:t>‎</w:t>
            </w:r>
            <w:r w:rsidR="0010425E" w:rsidRPr="00BD6C5F">
              <w:rPr>
                <w:rFonts w:asciiTheme="minorHAnsi" w:hAnsiTheme="minorHAnsi" w:cstheme="minorHAnsi"/>
              </w:rPr>
              <w:t>5.3</w:t>
            </w:r>
            <w:r w:rsidRPr="00BD6C5F">
              <w:rPr>
                <w:rFonts w:asciiTheme="minorHAnsi" w:hAnsiTheme="minorHAnsi" w:cstheme="minorHAnsi"/>
              </w:rPr>
              <w:t>.</w:t>
            </w:r>
          </w:p>
        </w:tc>
      </w:tr>
      <w:tr w:rsidR="00D67018" w:rsidRPr="00BD6C5F" w14:paraId="14D06BCC" w14:textId="77777777" w:rsidTr="00C844BD">
        <w:tc>
          <w:tcPr>
            <w:tcW w:w="1176" w:type="pct"/>
            <w:shd w:val="clear" w:color="auto" w:fill="F0F0F0"/>
          </w:tcPr>
          <w:p w14:paraId="085392E0"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lastRenderedPageBreak/>
              <w:t>Relevant Data Subjects</w:t>
            </w:r>
          </w:p>
        </w:tc>
        <w:tc>
          <w:tcPr>
            <w:tcW w:w="3824" w:type="pct"/>
          </w:tcPr>
          <w:p w14:paraId="093662C9" w14:textId="77777777" w:rsidR="00D67018" w:rsidRPr="00BD6C5F" w:rsidRDefault="00D67018" w:rsidP="00C844BD">
            <w:pPr>
              <w:spacing w:after="120"/>
              <w:rPr>
                <w:rFonts w:asciiTheme="minorHAnsi" w:hAnsiTheme="minorHAnsi" w:cstheme="minorHAnsi"/>
              </w:rPr>
            </w:pPr>
            <w:r w:rsidRPr="00BD6C5F">
              <w:rPr>
                <w:rFonts w:asciiTheme="minorHAnsi" w:hAnsiTheme="minorHAnsi" w:cstheme="minorHAnsi"/>
              </w:rPr>
              <w:t>The Data Subjects of the Transferred Data are:</w:t>
            </w:r>
          </w:p>
          <w:p w14:paraId="06787078"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Data Subjects will update automatically if the information is updated in the Linked Agreement referred to. </w:t>
            </w:r>
          </w:p>
          <w:p w14:paraId="557F6EF4" w14:textId="52FC9912" w:rsidR="00D67018" w:rsidRPr="00BD6C5F" w:rsidRDefault="00D67018" w:rsidP="00C844BD">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categories of Data Subjects will not update automatically if the information is updated in the Linked Agreement referred to. The Parties must agree a change under Section </w:t>
            </w:r>
            <w:r w:rsidR="0010425E" w:rsidRPr="00BD6C5F">
              <w:rPr>
                <w:rFonts w:asciiTheme="minorHAnsi" w:hAnsiTheme="minorHAnsi" w:cstheme="minorHAnsi"/>
                <w:cs/>
              </w:rPr>
              <w:t>‎</w:t>
            </w:r>
            <w:r w:rsidR="0010425E" w:rsidRPr="00BD6C5F">
              <w:rPr>
                <w:rFonts w:asciiTheme="minorHAnsi" w:hAnsiTheme="minorHAnsi" w:cstheme="minorHAnsi"/>
              </w:rPr>
              <w:t>5.3</w:t>
            </w:r>
            <w:r w:rsidRPr="00BD6C5F">
              <w:rPr>
                <w:rFonts w:asciiTheme="minorHAnsi" w:hAnsiTheme="minorHAnsi" w:cstheme="minorHAnsi"/>
              </w:rPr>
              <w:t>.</w:t>
            </w:r>
          </w:p>
        </w:tc>
      </w:tr>
      <w:tr w:rsidR="00D67018" w:rsidRPr="00BD6C5F" w14:paraId="16D95C17" w14:textId="77777777" w:rsidTr="00C844BD">
        <w:tc>
          <w:tcPr>
            <w:tcW w:w="1176" w:type="pct"/>
            <w:shd w:val="clear" w:color="auto" w:fill="F0F0F0"/>
          </w:tcPr>
          <w:p w14:paraId="1AC42CD4"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Purpose</w:t>
            </w:r>
          </w:p>
        </w:tc>
        <w:tc>
          <w:tcPr>
            <w:tcW w:w="3824" w:type="pct"/>
          </w:tcPr>
          <w:p w14:paraId="72F891EF"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Importer may Process the Transferred Data for the following purposes:</w:t>
            </w:r>
          </w:p>
          <w:p w14:paraId="4503849F"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Importer may Process the Transferred Data for the purposes set out in:</w:t>
            </w:r>
          </w:p>
          <w:p w14:paraId="330398E9" w14:textId="77777777" w:rsidR="00D67018" w:rsidRPr="00BD6C5F" w:rsidRDefault="00D67018" w:rsidP="00C844BD">
            <w:pPr>
              <w:spacing w:after="120"/>
              <w:rPr>
                <w:rFonts w:asciiTheme="minorHAnsi" w:hAnsiTheme="minorHAnsi" w:cstheme="minorHAnsi"/>
              </w:rPr>
            </w:pPr>
            <w:r w:rsidRPr="00BD6C5F">
              <w:rPr>
                <w:rFonts w:asciiTheme="minorHAnsi" w:hAnsiTheme="minorHAnsi" w:cstheme="minorHAnsi"/>
              </w:rPr>
              <w:t>In both cases, any other purposes which are compatible with the purposes set out above.</w:t>
            </w:r>
          </w:p>
          <w:p w14:paraId="2C0DF19F" w14:textId="77777777" w:rsidR="00D67018" w:rsidRPr="00BD6C5F" w:rsidRDefault="00D67018" w:rsidP="00C844BD">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purposes will update automatically if the information is updated in the Linked Agreement referred to. </w:t>
            </w:r>
          </w:p>
          <w:p w14:paraId="2DFB2579" w14:textId="02078D1D" w:rsidR="00D67018" w:rsidRPr="00BD6C5F" w:rsidRDefault="00D67018" w:rsidP="00C844BD">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purposes will NOT update automatically if the information is updated in the Linked Agreement referred to. The Parties must agree a change under Section </w:t>
            </w:r>
            <w:r w:rsidR="0010425E" w:rsidRPr="00BD6C5F">
              <w:rPr>
                <w:rFonts w:asciiTheme="minorHAnsi" w:hAnsiTheme="minorHAnsi" w:cstheme="minorHAnsi"/>
                <w:cs/>
              </w:rPr>
              <w:t>‎</w:t>
            </w:r>
            <w:r w:rsidR="0010425E" w:rsidRPr="00BD6C5F">
              <w:rPr>
                <w:rFonts w:asciiTheme="minorHAnsi" w:hAnsiTheme="minorHAnsi" w:cstheme="minorHAnsi"/>
              </w:rPr>
              <w:t>5.3</w:t>
            </w:r>
            <w:r w:rsidRPr="00BD6C5F">
              <w:rPr>
                <w:rFonts w:asciiTheme="minorHAnsi" w:hAnsiTheme="minorHAnsi" w:cstheme="minorHAnsi"/>
              </w:rPr>
              <w:t>.</w:t>
            </w:r>
          </w:p>
        </w:tc>
      </w:tr>
    </w:tbl>
    <w:p w14:paraId="64BB576D"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4: Security Requirements</w:t>
      </w:r>
    </w:p>
    <w:tbl>
      <w:tblPr>
        <w:tblStyle w:val="MSATable-header"/>
        <w:tblW w:w="5003" w:type="pct"/>
        <w:tblLook w:val="0000" w:firstRow="0" w:lastRow="0" w:firstColumn="0" w:lastColumn="0" w:noHBand="0" w:noVBand="0"/>
      </w:tblPr>
      <w:tblGrid>
        <w:gridCol w:w="2400"/>
        <w:gridCol w:w="7804"/>
      </w:tblGrid>
      <w:tr w:rsidR="00D67018" w:rsidRPr="00BD6C5F" w14:paraId="6E5D1CB9" w14:textId="77777777" w:rsidTr="00773F7E">
        <w:tc>
          <w:tcPr>
            <w:tcW w:w="1176" w:type="pct"/>
            <w:shd w:val="clear" w:color="auto" w:fill="F0F0F0"/>
          </w:tcPr>
          <w:p w14:paraId="1C0099F6"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Security of Transmission</w:t>
            </w:r>
          </w:p>
        </w:tc>
        <w:tc>
          <w:tcPr>
            <w:tcW w:w="3824" w:type="pct"/>
          </w:tcPr>
          <w:p w14:paraId="5E1F35BB" w14:textId="77777777" w:rsidR="00D67018" w:rsidRPr="00BD6C5F" w:rsidRDefault="00D67018" w:rsidP="00773F7E">
            <w:pPr>
              <w:rPr>
                <w:rFonts w:asciiTheme="minorHAnsi" w:hAnsiTheme="minorHAnsi" w:cstheme="minorHAnsi"/>
              </w:rPr>
            </w:pPr>
          </w:p>
        </w:tc>
      </w:tr>
      <w:tr w:rsidR="00D67018" w:rsidRPr="00BD6C5F" w14:paraId="58B2A484" w14:textId="77777777" w:rsidTr="00773F7E">
        <w:tc>
          <w:tcPr>
            <w:tcW w:w="1176" w:type="pct"/>
            <w:shd w:val="clear" w:color="auto" w:fill="F0F0F0"/>
          </w:tcPr>
          <w:p w14:paraId="0523E497"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Security of Storage</w:t>
            </w:r>
          </w:p>
        </w:tc>
        <w:tc>
          <w:tcPr>
            <w:tcW w:w="3824" w:type="pct"/>
          </w:tcPr>
          <w:p w14:paraId="4D05203D" w14:textId="77777777" w:rsidR="00D67018" w:rsidRPr="00BD6C5F" w:rsidRDefault="00D67018" w:rsidP="00773F7E">
            <w:pPr>
              <w:rPr>
                <w:rFonts w:asciiTheme="minorHAnsi" w:hAnsiTheme="minorHAnsi" w:cstheme="minorHAnsi"/>
              </w:rPr>
            </w:pPr>
          </w:p>
        </w:tc>
      </w:tr>
      <w:tr w:rsidR="00D67018" w:rsidRPr="00BD6C5F" w14:paraId="7609933D" w14:textId="77777777" w:rsidTr="00773F7E">
        <w:tc>
          <w:tcPr>
            <w:tcW w:w="1176" w:type="pct"/>
            <w:shd w:val="clear" w:color="auto" w:fill="F0F0F0"/>
          </w:tcPr>
          <w:p w14:paraId="585E4C6B"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Security of Processing</w:t>
            </w:r>
          </w:p>
        </w:tc>
        <w:tc>
          <w:tcPr>
            <w:tcW w:w="3824" w:type="pct"/>
          </w:tcPr>
          <w:p w14:paraId="34A6975D" w14:textId="77777777" w:rsidR="00D67018" w:rsidRPr="00BD6C5F" w:rsidRDefault="00D67018" w:rsidP="00773F7E">
            <w:pPr>
              <w:rPr>
                <w:rFonts w:asciiTheme="minorHAnsi" w:hAnsiTheme="minorHAnsi" w:cstheme="minorHAnsi"/>
              </w:rPr>
            </w:pPr>
          </w:p>
        </w:tc>
      </w:tr>
      <w:tr w:rsidR="00D67018" w:rsidRPr="00BD6C5F" w14:paraId="5FB7836C" w14:textId="77777777" w:rsidTr="00773F7E">
        <w:tc>
          <w:tcPr>
            <w:tcW w:w="1176" w:type="pct"/>
            <w:shd w:val="clear" w:color="auto" w:fill="F0F0F0"/>
          </w:tcPr>
          <w:p w14:paraId="68627DCC"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Organisational security measures</w:t>
            </w:r>
          </w:p>
        </w:tc>
        <w:tc>
          <w:tcPr>
            <w:tcW w:w="3824" w:type="pct"/>
          </w:tcPr>
          <w:p w14:paraId="2580F804" w14:textId="77777777" w:rsidR="00D67018" w:rsidRPr="00BD6C5F" w:rsidRDefault="00D67018" w:rsidP="00773F7E">
            <w:pPr>
              <w:rPr>
                <w:rFonts w:asciiTheme="minorHAnsi" w:hAnsiTheme="minorHAnsi" w:cstheme="minorHAnsi"/>
              </w:rPr>
            </w:pPr>
          </w:p>
        </w:tc>
      </w:tr>
      <w:tr w:rsidR="00D67018" w:rsidRPr="00BD6C5F" w14:paraId="1219A6C7" w14:textId="77777777" w:rsidTr="00773F7E">
        <w:tc>
          <w:tcPr>
            <w:tcW w:w="1176" w:type="pct"/>
            <w:shd w:val="clear" w:color="auto" w:fill="F0F0F0"/>
          </w:tcPr>
          <w:p w14:paraId="1E39BB80"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Technical security minimum requirements</w:t>
            </w:r>
          </w:p>
        </w:tc>
        <w:tc>
          <w:tcPr>
            <w:tcW w:w="3824" w:type="pct"/>
          </w:tcPr>
          <w:p w14:paraId="27DADB3E" w14:textId="77777777" w:rsidR="00D67018" w:rsidRPr="00BD6C5F" w:rsidRDefault="00D67018" w:rsidP="00773F7E">
            <w:pPr>
              <w:rPr>
                <w:rFonts w:asciiTheme="minorHAnsi" w:hAnsiTheme="minorHAnsi" w:cstheme="minorHAnsi"/>
              </w:rPr>
            </w:pPr>
          </w:p>
        </w:tc>
      </w:tr>
      <w:tr w:rsidR="00D67018" w:rsidRPr="00BD6C5F" w14:paraId="370FB281" w14:textId="77777777" w:rsidTr="00773F7E">
        <w:tc>
          <w:tcPr>
            <w:tcW w:w="1176" w:type="pct"/>
            <w:shd w:val="clear" w:color="auto" w:fill="F0F0F0"/>
          </w:tcPr>
          <w:p w14:paraId="7D1FDE2E"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Updates to the Security Requirements</w:t>
            </w:r>
          </w:p>
        </w:tc>
        <w:tc>
          <w:tcPr>
            <w:tcW w:w="3824" w:type="pct"/>
          </w:tcPr>
          <w:p w14:paraId="4A9B8C43" w14:textId="77777777" w:rsidR="00D67018" w:rsidRPr="00BD6C5F" w:rsidRDefault="00D67018" w:rsidP="00773F7E">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The Security Requirements will update automatically if the information is updated in the Linked Agreement referred to. </w:t>
            </w:r>
          </w:p>
          <w:p w14:paraId="4C60C26D" w14:textId="548737DC" w:rsidR="00D67018" w:rsidRPr="00BD6C5F" w:rsidRDefault="00D67018" w:rsidP="00773F7E">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ab/>
              <w:t xml:space="preserve">The Security Requirements will NOT update automatically if the information is updated in the Linked Agreement referred to. The Parties must agree a change under Section </w:t>
            </w:r>
            <w:r w:rsidR="0010425E" w:rsidRPr="00BD6C5F">
              <w:rPr>
                <w:rFonts w:asciiTheme="minorHAnsi" w:hAnsiTheme="minorHAnsi" w:cstheme="minorHAnsi"/>
                <w:cs/>
              </w:rPr>
              <w:t>‎</w:t>
            </w:r>
            <w:r w:rsidR="0010425E" w:rsidRPr="00BD6C5F">
              <w:rPr>
                <w:rFonts w:asciiTheme="minorHAnsi" w:hAnsiTheme="minorHAnsi" w:cstheme="minorHAnsi"/>
              </w:rPr>
              <w:t>5.3</w:t>
            </w:r>
            <w:r w:rsidRPr="00BD6C5F">
              <w:rPr>
                <w:rFonts w:asciiTheme="minorHAnsi" w:hAnsiTheme="minorHAnsi" w:cstheme="minorHAnsi"/>
              </w:rPr>
              <w:t>.</w:t>
            </w:r>
          </w:p>
        </w:tc>
      </w:tr>
    </w:tbl>
    <w:p w14:paraId="703FCFB5"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bookmarkStart w:id="1890" w:name="_Toc79405425"/>
      <w:r w:rsidRPr="00BD6C5F">
        <w:rPr>
          <w:rFonts w:eastAsiaTheme="minorHAnsi" w:cstheme="minorBidi"/>
          <w:b/>
          <w:bCs/>
          <w:szCs w:val="20"/>
          <w:lang w:bidi="ar-SA"/>
        </w:rPr>
        <w:lastRenderedPageBreak/>
        <w:t>Part 2: Extra Protection Clauses</w:t>
      </w:r>
      <w:bookmarkEnd w:id="1890"/>
    </w:p>
    <w:tbl>
      <w:tblPr>
        <w:tblStyle w:val="MSATable-header"/>
        <w:tblW w:w="5003" w:type="pct"/>
        <w:tblLook w:val="0000" w:firstRow="0" w:lastRow="0" w:firstColumn="0" w:lastColumn="0" w:noHBand="0" w:noVBand="0"/>
      </w:tblPr>
      <w:tblGrid>
        <w:gridCol w:w="2400"/>
        <w:gridCol w:w="7804"/>
      </w:tblGrid>
      <w:tr w:rsidR="00D67018" w:rsidRPr="00BD6C5F" w14:paraId="064C8528" w14:textId="77777777" w:rsidTr="00773F7E">
        <w:tc>
          <w:tcPr>
            <w:tcW w:w="1176" w:type="pct"/>
            <w:shd w:val="clear" w:color="auto" w:fill="F0F0F0"/>
          </w:tcPr>
          <w:p w14:paraId="1C3CF37A"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Extra Protection Clauses:</w:t>
            </w:r>
          </w:p>
        </w:tc>
        <w:tc>
          <w:tcPr>
            <w:tcW w:w="3824" w:type="pct"/>
          </w:tcPr>
          <w:p w14:paraId="69553E86" w14:textId="77777777" w:rsidR="00D67018" w:rsidRPr="00BD6C5F" w:rsidRDefault="00D67018" w:rsidP="00773F7E">
            <w:pPr>
              <w:rPr>
                <w:rFonts w:asciiTheme="minorHAnsi" w:hAnsiTheme="minorHAnsi" w:cstheme="minorHAnsi"/>
              </w:rPr>
            </w:pPr>
          </w:p>
        </w:tc>
      </w:tr>
      <w:tr w:rsidR="00D67018" w:rsidRPr="00BD6C5F" w14:paraId="527FF736" w14:textId="77777777" w:rsidTr="00773F7E">
        <w:tc>
          <w:tcPr>
            <w:tcW w:w="1176" w:type="pct"/>
            <w:shd w:val="clear" w:color="auto" w:fill="F0F0F0"/>
          </w:tcPr>
          <w:p w14:paraId="409D0747"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(i) Extra technical security protections</w:t>
            </w:r>
          </w:p>
        </w:tc>
        <w:tc>
          <w:tcPr>
            <w:tcW w:w="3824" w:type="pct"/>
          </w:tcPr>
          <w:p w14:paraId="632D0E06" w14:textId="77777777" w:rsidR="00D67018" w:rsidRPr="00BD6C5F" w:rsidRDefault="00D67018" w:rsidP="00773F7E">
            <w:pPr>
              <w:rPr>
                <w:rFonts w:asciiTheme="minorHAnsi" w:hAnsiTheme="minorHAnsi" w:cstheme="minorHAnsi"/>
              </w:rPr>
            </w:pPr>
          </w:p>
        </w:tc>
      </w:tr>
      <w:tr w:rsidR="00D67018" w:rsidRPr="00BD6C5F" w14:paraId="290E1B86" w14:textId="77777777" w:rsidTr="00773F7E">
        <w:tc>
          <w:tcPr>
            <w:tcW w:w="1176" w:type="pct"/>
            <w:shd w:val="clear" w:color="auto" w:fill="F0F0F0"/>
          </w:tcPr>
          <w:p w14:paraId="123BB633"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(ii) Extra organisational protections</w:t>
            </w:r>
          </w:p>
        </w:tc>
        <w:tc>
          <w:tcPr>
            <w:tcW w:w="3824" w:type="pct"/>
          </w:tcPr>
          <w:p w14:paraId="17C9855E" w14:textId="77777777" w:rsidR="00D67018" w:rsidRPr="00BD6C5F" w:rsidRDefault="00D67018" w:rsidP="00773F7E">
            <w:pPr>
              <w:rPr>
                <w:rFonts w:asciiTheme="minorHAnsi" w:hAnsiTheme="minorHAnsi" w:cstheme="minorHAnsi"/>
              </w:rPr>
            </w:pPr>
          </w:p>
        </w:tc>
      </w:tr>
      <w:tr w:rsidR="00D67018" w:rsidRPr="00BD6C5F" w14:paraId="41B48329" w14:textId="77777777" w:rsidTr="00773F7E">
        <w:tc>
          <w:tcPr>
            <w:tcW w:w="1176" w:type="pct"/>
            <w:shd w:val="clear" w:color="auto" w:fill="F0F0F0"/>
          </w:tcPr>
          <w:p w14:paraId="1D42BC3F"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(iii) Extra contractual protections</w:t>
            </w:r>
          </w:p>
        </w:tc>
        <w:tc>
          <w:tcPr>
            <w:tcW w:w="3824" w:type="pct"/>
          </w:tcPr>
          <w:p w14:paraId="243C8B30" w14:textId="77777777" w:rsidR="00D67018" w:rsidRPr="00BD6C5F" w:rsidRDefault="00D67018" w:rsidP="00773F7E">
            <w:pPr>
              <w:rPr>
                <w:rFonts w:asciiTheme="minorHAnsi" w:hAnsiTheme="minorHAnsi" w:cstheme="minorHAnsi"/>
              </w:rPr>
            </w:pPr>
          </w:p>
        </w:tc>
      </w:tr>
    </w:tbl>
    <w:p w14:paraId="451883C0"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bookmarkStart w:id="1891" w:name="_Toc79405426"/>
      <w:r w:rsidRPr="00BD6C5F">
        <w:rPr>
          <w:rFonts w:eastAsiaTheme="minorHAnsi" w:cstheme="minorBidi"/>
          <w:b/>
          <w:bCs/>
          <w:szCs w:val="20"/>
          <w:lang w:bidi="ar-SA"/>
        </w:rPr>
        <w:t>Part 3: Commercial Clauses</w:t>
      </w:r>
      <w:bookmarkEnd w:id="1891"/>
    </w:p>
    <w:tbl>
      <w:tblPr>
        <w:tblStyle w:val="MSATable-header"/>
        <w:tblW w:w="5003" w:type="pct"/>
        <w:tblLook w:val="0000" w:firstRow="0" w:lastRow="0" w:firstColumn="0" w:lastColumn="0" w:noHBand="0" w:noVBand="0"/>
      </w:tblPr>
      <w:tblGrid>
        <w:gridCol w:w="2400"/>
        <w:gridCol w:w="7804"/>
      </w:tblGrid>
      <w:tr w:rsidR="00D67018" w:rsidRPr="00BD6C5F" w14:paraId="070BD79D" w14:textId="77777777" w:rsidTr="00773F7E">
        <w:tc>
          <w:tcPr>
            <w:tcW w:w="1176" w:type="pct"/>
            <w:shd w:val="clear" w:color="auto" w:fill="F0F0F0"/>
          </w:tcPr>
          <w:p w14:paraId="58833E01" w14:textId="77777777" w:rsidR="00D67018" w:rsidRPr="00BD6C5F" w:rsidRDefault="00D67018" w:rsidP="00C844BD">
            <w:pPr>
              <w:rPr>
                <w:rFonts w:asciiTheme="minorHAnsi" w:hAnsiTheme="minorHAnsi" w:cstheme="minorHAnsi"/>
                <w:b/>
                <w:bCs/>
              </w:rPr>
            </w:pPr>
            <w:r w:rsidRPr="00BD6C5F">
              <w:rPr>
                <w:rFonts w:asciiTheme="minorHAnsi" w:hAnsiTheme="minorHAnsi" w:cstheme="minorHAnsi"/>
                <w:b/>
                <w:bCs/>
              </w:rPr>
              <w:t>Commercial Clauses</w:t>
            </w:r>
          </w:p>
        </w:tc>
        <w:tc>
          <w:tcPr>
            <w:tcW w:w="3824" w:type="pct"/>
          </w:tcPr>
          <w:p w14:paraId="3DEEA3B9" w14:textId="77777777" w:rsidR="00D67018" w:rsidRPr="00BD6C5F" w:rsidRDefault="00D67018" w:rsidP="00773F7E">
            <w:pPr>
              <w:rPr>
                <w:rFonts w:asciiTheme="minorHAnsi" w:hAnsiTheme="minorHAnsi" w:cstheme="minorHAnsi"/>
              </w:rPr>
            </w:pPr>
          </w:p>
        </w:tc>
      </w:tr>
    </w:tbl>
    <w:p w14:paraId="6C5B489F" w14:textId="6A4CAE4F"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Part 4: Mandatory Clauses</w:t>
      </w:r>
    </w:p>
    <w:bookmarkEnd w:id="1886"/>
    <w:p w14:paraId="04FDEA82" w14:textId="77777777" w:rsidR="00D67018" w:rsidRPr="00BD6C5F" w:rsidRDefault="00D67018" w:rsidP="008972B9">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Information that helps you to understand this IDTA</w:t>
      </w:r>
    </w:p>
    <w:p w14:paraId="1C1A42B0" w14:textId="77777777" w:rsidR="00D67018" w:rsidRPr="00BD6C5F" w:rsidRDefault="00D67018" w:rsidP="00B71FC0">
      <w:pPr>
        <w:pStyle w:val="AppendixText1"/>
        <w:numPr>
          <w:ilvl w:val="0"/>
          <w:numId w:val="169"/>
        </w:numPr>
      </w:pPr>
      <w:r w:rsidRPr="00BD6C5F">
        <w:t>This IDTA and Linked Agreements</w:t>
      </w:r>
    </w:p>
    <w:p w14:paraId="367D1C06" w14:textId="77777777" w:rsidR="00D67018" w:rsidRPr="00BD6C5F" w:rsidRDefault="00D67018" w:rsidP="00F762C3">
      <w:pPr>
        <w:pStyle w:val="AppendixText2"/>
      </w:pPr>
      <w:bookmarkStart w:id="1892" w:name="_Toc79405429"/>
      <w:r w:rsidRPr="00BD6C5F">
        <w:t>Each Party agrees to be bound by the terms and conditions set out in the IDTA, in exchange for the other Party also agreeing to be bound by the IDTA.</w:t>
      </w:r>
      <w:bookmarkEnd w:id="1892"/>
    </w:p>
    <w:p w14:paraId="78A8F3F5" w14:textId="1DD30E79" w:rsidR="00D67018" w:rsidRPr="00BD6C5F" w:rsidRDefault="00D67018" w:rsidP="00FD4E48">
      <w:pPr>
        <w:pStyle w:val="AppendixText2"/>
        <w:keepNext/>
      </w:pPr>
      <w:bookmarkStart w:id="1893" w:name="_Toc79405430"/>
      <w:r w:rsidRPr="00BD6C5F">
        <w:t>This IDTA is made up of:</w:t>
      </w:r>
      <w:bookmarkEnd w:id="1893"/>
    </w:p>
    <w:p w14:paraId="04A3FFC9" w14:textId="24BC4C6C" w:rsidR="00D67018" w:rsidRPr="00BD6C5F" w:rsidRDefault="00D67018" w:rsidP="00F762C3">
      <w:pPr>
        <w:pStyle w:val="AppendixText3"/>
      </w:pPr>
      <w:bookmarkStart w:id="1894" w:name="_Ref77587511"/>
      <w:r w:rsidRPr="00BD6C5F">
        <w:t>Part one: Tables;</w:t>
      </w:r>
      <w:bookmarkEnd w:id="1894"/>
    </w:p>
    <w:p w14:paraId="22986636" w14:textId="77777777" w:rsidR="00D67018" w:rsidRPr="00BD6C5F" w:rsidRDefault="00D67018" w:rsidP="00F762C3">
      <w:pPr>
        <w:pStyle w:val="AppendixText3"/>
      </w:pPr>
      <w:r w:rsidRPr="00BD6C5F">
        <w:t xml:space="preserve">Part two: Extra Protection Clauses; </w:t>
      </w:r>
    </w:p>
    <w:p w14:paraId="4B95F531" w14:textId="77777777" w:rsidR="00D67018" w:rsidRPr="00BD6C5F" w:rsidRDefault="00D67018" w:rsidP="00F762C3">
      <w:pPr>
        <w:pStyle w:val="AppendixText3"/>
      </w:pPr>
      <w:r w:rsidRPr="00BD6C5F">
        <w:t>Part three: Commercial Clauses; and</w:t>
      </w:r>
    </w:p>
    <w:p w14:paraId="52EC2EE4" w14:textId="77777777" w:rsidR="00D67018" w:rsidRPr="00BD6C5F" w:rsidRDefault="00D67018" w:rsidP="00F762C3">
      <w:pPr>
        <w:pStyle w:val="AppendixText3"/>
      </w:pPr>
      <w:r w:rsidRPr="00BD6C5F">
        <w:t>Part four: Mandatory Clauses.</w:t>
      </w:r>
    </w:p>
    <w:p w14:paraId="49CFD5B7" w14:textId="02B9F45B" w:rsidR="00D67018" w:rsidRPr="00BD6C5F" w:rsidRDefault="00D67018" w:rsidP="00F762C3">
      <w:pPr>
        <w:pStyle w:val="AppendixText2"/>
      </w:pPr>
      <w:r w:rsidRPr="00BD6C5F">
        <w:t xml:space="preserve">The IDTA starts on the Start Date and ends as set out in Sections </w:t>
      </w:r>
      <w:r w:rsidR="0010425E" w:rsidRPr="00BD6C5F">
        <w:rPr>
          <w:cs/>
        </w:rPr>
        <w:t>‎</w:t>
      </w:r>
      <w:r w:rsidR="0010425E" w:rsidRPr="00BD6C5F">
        <w:t>29</w:t>
      </w:r>
      <w:r w:rsidRPr="00BD6C5F">
        <w:t xml:space="preserve"> or </w:t>
      </w:r>
      <w:r w:rsidR="0010425E" w:rsidRPr="00BD6C5F">
        <w:rPr>
          <w:cs/>
        </w:rPr>
        <w:t>‎</w:t>
      </w:r>
      <w:r w:rsidR="0010425E" w:rsidRPr="00BD6C5F">
        <w:t>30</w:t>
      </w:r>
      <w:r w:rsidRPr="00BD6C5F">
        <w:t>.</w:t>
      </w:r>
    </w:p>
    <w:p w14:paraId="4546B51B" w14:textId="36339261" w:rsidR="00D67018" w:rsidRPr="00BD6C5F" w:rsidRDefault="00D67018" w:rsidP="00F762C3">
      <w:pPr>
        <w:pStyle w:val="AppendixText2"/>
      </w:pPr>
      <w:bookmarkStart w:id="1895" w:name="_Toc79405432"/>
      <w:r w:rsidRPr="00BD6C5F">
        <w:t xml:space="preserve">If the Importer is a Processor or Sub-Processor instructed by the Exporter: the Exporter must ensure that, on or before the Start Date and during the Term, there is a Linked Agreement which is enforceable between the Parties and which complies with </w:t>
      </w:r>
      <w:bookmarkStart w:id="1896" w:name="_9kR3WTr2AA45EPG6yimp7PCx36sgH4y8N"/>
      <w:r w:rsidRPr="00BD6C5F">
        <w:t>Article 28 UK GDPR</w:t>
      </w:r>
      <w:bookmarkEnd w:id="1896"/>
      <w:r w:rsidRPr="00BD6C5F">
        <w:t xml:space="preserve"> (and which they will ensure continues to comply with Article 28 UK GDPR).</w:t>
      </w:r>
      <w:bookmarkEnd w:id="1895"/>
      <w:r w:rsidRPr="00BD6C5F">
        <w:t xml:space="preserve"> </w:t>
      </w:r>
    </w:p>
    <w:p w14:paraId="449EAEAA" w14:textId="5499E5DC" w:rsidR="00D67018" w:rsidRPr="00BD6C5F" w:rsidRDefault="00D67018" w:rsidP="00F762C3">
      <w:pPr>
        <w:pStyle w:val="AppendixText2"/>
      </w:pPr>
      <w:bookmarkStart w:id="1897" w:name="_Toc79405433"/>
      <w:r w:rsidRPr="00BD6C5F">
        <w:t>References to the Linked Agreement or to the Commercial Clauses are to that Linked Agreement or to those Commercial Clauses only in so far as they are consistent with the Mandatory Clauses.</w:t>
      </w:r>
      <w:bookmarkEnd w:id="1897"/>
    </w:p>
    <w:p w14:paraId="169F9224" w14:textId="5A4FB04F" w:rsidR="00D67018" w:rsidRPr="00BD6C5F" w:rsidRDefault="00D67018" w:rsidP="00F762C3">
      <w:pPr>
        <w:pStyle w:val="AppendixText1"/>
      </w:pPr>
      <w:bookmarkStart w:id="1898" w:name="_Ref77596149"/>
      <w:bookmarkStart w:id="1899" w:name="_Toc79405434"/>
      <w:r w:rsidRPr="00BD6C5F">
        <w:t>Legal Meaning of Words</w:t>
      </w:r>
      <w:bookmarkEnd w:id="1898"/>
      <w:bookmarkEnd w:id="1899"/>
    </w:p>
    <w:p w14:paraId="02B63584" w14:textId="280E9EE0" w:rsidR="00D67018" w:rsidRPr="00BD6C5F" w:rsidRDefault="00D67018" w:rsidP="00F762C3">
      <w:pPr>
        <w:pStyle w:val="AppendixText2"/>
      </w:pPr>
      <w:bookmarkStart w:id="1900" w:name="_Toc79405435"/>
      <w:r w:rsidRPr="00BD6C5F">
        <w:t xml:space="preserve">If a word starts with a capital letter it has the specific meaning set out in the Legal Glossary in Section </w:t>
      </w:r>
      <w:r w:rsidR="0010425E" w:rsidRPr="00BD6C5F">
        <w:rPr>
          <w:cs/>
        </w:rPr>
        <w:t>‎</w:t>
      </w:r>
      <w:r w:rsidR="0010425E" w:rsidRPr="00BD6C5F">
        <w:t>36</w:t>
      </w:r>
      <w:r w:rsidRPr="00BD6C5F">
        <w:t>.</w:t>
      </w:r>
      <w:bookmarkEnd w:id="1900"/>
    </w:p>
    <w:p w14:paraId="232FB28A" w14:textId="4CC3C74E" w:rsidR="00D67018" w:rsidRPr="00BD6C5F" w:rsidRDefault="00D67018" w:rsidP="00F762C3">
      <w:pPr>
        <w:pStyle w:val="AppendixText2"/>
      </w:pPr>
      <w:bookmarkStart w:id="1901" w:name="_Toc79405436"/>
      <w:r w:rsidRPr="00BD6C5F">
        <w:lastRenderedPageBreak/>
        <w:t>To make it easier to read and understand, this IDTA contains headings and guidance notes. Those are not part of the binding contract which forms the IDTA.</w:t>
      </w:r>
      <w:bookmarkEnd w:id="1901"/>
    </w:p>
    <w:p w14:paraId="77E12AB4" w14:textId="77777777" w:rsidR="00D67018" w:rsidRPr="00BD6C5F" w:rsidRDefault="00D67018" w:rsidP="00F762C3">
      <w:pPr>
        <w:pStyle w:val="AppendixText1"/>
      </w:pPr>
      <w:bookmarkStart w:id="1902" w:name="_Ref76414657"/>
      <w:bookmarkStart w:id="1903" w:name="_Toc79405437"/>
      <w:bookmarkStart w:id="1904" w:name="_Ref70642920"/>
      <w:r w:rsidRPr="00BD6C5F">
        <w:t>You have provided all the information required</w:t>
      </w:r>
      <w:bookmarkEnd w:id="1902"/>
      <w:bookmarkEnd w:id="1903"/>
    </w:p>
    <w:p w14:paraId="143032AE" w14:textId="77777777" w:rsidR="00D67018" w:rsidRPr="00BD6C5F" w:rsidRDefault="00D67018" w:rsidP="00F762C3">
      <w:pPr>
        <w:pStyle w:val="AppendixText2"/>
      </w:pPr>
      <w:bookmarkStart w:id="1905" w:name="_Toc79405438"/>
      <w:r w:rsidRPr="00BD6C5F">
        <w:t>The Parties must ensure that the information contained in Part one: Tables is correct and complete</w:t>
      </w:r>
      <w:bookmarkEnd w:id="1905"/>
      <w:r w:rsidRPr="00BD6C5F">
        <w:t xml:space="preserve"> at the Start Date and during the Term. </w:t>
      </w:r>
    </w:p>
    <w:p w14:paraId="1814F748" w14:textId="77777777" w:rsidR="00D67018" w:rsidRPr="00BD6C5F" w:rsidRDefault="00D67018" w:rsidP="00FD4E48">
      <w:pPr>
        <w:pStyle w:val="AppendixText2"/>
        <w:keepNext/>
      </w:pPr>
      <w:bookmarkStart w:id="1906" w:name="_Toc79405439"/>
      <w:r w:rsidRPr="00BD6C5F">
        <w:t>In Table 2: Transfer Details, if the selection that the Parties are Controllers, Processors or Sub-Processors is wrong (either as a matter of fact or as a result of applying the UK Data Protection Laws) then:</w:t>
      </w:r>
      <w:bookmarkEnd w:id="1906"/>
    </w:p>
    <w:p w14:paraId="775F563A" w14:textId="77777777" w:rsidR="00D67018" w:rsidRPr="00BD6C5F" w:rsidRDefault="00D67018" w:rsidP="00F762C3">
      <w:pPr>
        <w:pStyle w:val="AppendixText3"/>
      </w:pPr>
      <w:r w:rsidRPr="00BD6C5F">
        <w:t>the terms and conditions of the Approved IDTA which apply to the correct option which was not selected will apply; and</w:t>
      </w:r>
    </w:p>
    <w:p w14:paraId="1F7BDD71" w14:textId="77777777" w:rsidR="00D67018" w:rsidRPr="00BD6C5F" w:rsidRDefault="00D67018" w:rsidP="00F762C3">
      <w:pPr>
        <w:pStyle w:val="AppendixText3"/>
      </w:pPr>
      <w:r w:rsidRPr="00BD6C5F">
        <w:t>the Parties and any Relevant Data Subjects are entitled to enforce the terms and conditions of the Approved IDTA which apply to that correct option.</w:t>
      </w:r>
    </w:p>
    <w:p w14:paraId="6DEB00F4" w14:textId="77777777" w:rsidR="00D67018" w:rsidRPr="00BD6C5F" w:rsidRDefault="00D67018" w:rsidP="00F762C3">
      <w:pPr>
        <w:pStyle w:val="AppendixText2"/>
      </w:pPr>
      <w:bookmarkStart w:id="1907" w:name="_Toc79405440"/>
      <w:r w:rsidRPr="00BD6C5F">
        <w:t>In Table 2: Transfer Details, if the selection that the UK GDPR applies is wrong (either as a matter of fact or as a result of applying the UK Data Protection Laws), then the terms and conditions of the IDTA will still apply to the greatest extent possible.</w:t>
      </w:r>
      <w:bookmarkEnd w:id="1907"/>
    </w:p>
    <w:p w14:paraId="6B9086BA" w14:textId="4B8F842F" w:rsidR="00D67018" w:rsidRPr="00BD6C5F" w:rsidRDefault="00D67018" w:rsidP="00F762C3">
      <w:pPr>
        <w:pStyle w:val="AppendixText1"/>
      </w:pPr>
      <w:bookmarkStart w:id="1908" w:name="_Toc79405441"/>
      <w:bookmarkEnd w:id="1904"/>
      <w:r w:rsidRPr="00BD6C5F">
        <w:t>How to sign the IDTA</w:t>
      </w:r>
      <w:bookmarkEnd w:id="1908"/>
    </w:p>
    <w:p w14:paraId="228D719A" w14:textId="51C16CB0" w:rsidR="00D67018" w:rsidRPr="00BD6C5F" w:rsidRDefault="00D67018" w:rsidP="00FD4E48">
      <w:pPr>
        <w:pStyle w:val="AppendixText2"/>
        <w:keepNext/>
      </w:pPr>
      <w:bookmarkStart w:id="1909" w:name="_Toc79405442"/>
      <w:r w:rsidRPr="00BD6C5F">
        <w:t>The Parties may choose to each sign (or execute):</w:t>
      </w:r>
      <w:bookmarkEnd w:id="1909"/>
    </w:p>
    <w:p w14:paraId="274BE74E" w14:textId="77777777" w:rsidR="00D67018" w:rsidRPr="00BD6C5F" w:rsidRDefault="00D67018" w:rsidP="00F762C3">
      <w:pPr>
        <w:pStyle w:val="AppendixText3"/>
      </w:pPr>
      <w:r w:rsidRPr="00BD6C5F">
        <w:t xml:space="preserve">the same copy of this IDTA; </w:t>
      </w:r>
    </w:p>
    <w:p w14:paraId="25F56451" w14:textId="77777777" w:rsidR="00D67018" w:rsidRPr="00BD6C5F" w:rsidRDefault="00D67018" w:rsidP="00F762C3">
      <w:pPr>
        <w:pStyle w:val="AppendixText3"/>
      </w:pPr>
      <w:r w:rsidRPr="00BD6C5F">
        <w:t xml:space="preserve">two copies of the IDTA. In that case, each identical copy is still an original of this IDTA, and together all those copies form one agreement; </w:t>
      </w:r>
    </w:p>
    <w:p w14:paraId="52164E1E" w14:textId="77777777" w:rsidR="00D67018" w:rsidRPr="00BD6C5F" w:rsidRDefault="00D67018" w:rsidP="00F762C3">
      <w:pPr>
        <w:pStyle w:val="AppendixText3"/>
      </w:pPr>
      <w:r w:rsidRPr="00BD6C5F">
        <w:t>a separate, identical copy of the IDTA. In that case, each identical copy is still an original of this IDTA, and together all those copies form one agreement,</w:t>
      </w:r>
    </w:p>
    <w:p w14:paraId="3CBFB4CF" w14:textId="77777777" w:rsidR="00D67018" w:rsidRPr="00BD6C5F" w:rsidRDefault="00D67018" w:rsidP="00F762C3">
      <w:pPr>
        <w:pStyle w:val="AppendixText3"/>
      </w:pPr>
      <w:r w:rsidRPr="00BD6C5F">
        <w:t>unless signing (or executing) in this way would mean that the IDTA would not be binding on the Parties under Local Laws.</w:t>
      </w:r>
    </w:p>
    <w:p w14:paraId="21882FDC" w14:textId="77777777" w:rsidR="00D67018" w:rsidRPr="00BD6C5F" w:rsidRDefault="00D67018" w:rsidP="00F762C3">
      <w:pPr>
        <w:pStyle w:val="AppendixText1"/>
      </w:pPr>
      <w:bookmarkStart w:id="1910" w:name="_Ref77138474"/>
      <w:bookmarkStart w:id="1911" w:name="_Toc79405443"/>
      <w:r w:rsidRPr="00BD6C5F">
        <w:t>Changing this IDTA</w:t>
      </w:r>
      <w:bookmarkEnd w:id="1910"/>
      <w:bookmarkEnd w:id="1911"/>
    </w:p>
    <w:p w14:paraId="00A0C96B" w14:textId="16B421B0" w:rsidR="00D67018" w:rsidRPr="00BD6C5F" w:rsidRDefault="00D67018" w:rsidP="00FD4E48">
      <w:pPr>
        <w:pStyle w:val="AppendixText2"/>
        <w:keepNext/>
      </w:pPr>
      <w:bookmarkStart w:id="1912" w:name="_Toc79405444"/>
      <w:r w:rsidRPr="00BD6C5F">
        <w:t>Each Party must not change the Mandatory Clauses as set out in the Approved IDTA, except only:</w:t>
      </w:r>
      <w:bookmarkEnd w:id="1912"/>
    </w:p>
    <w:p w14:paraId="335BADB7" w14:textId="77777777" w:rsidR="00D67018" w:rsidRPr="00BD6C5F" w:rsidRDefault="00D67018" w:rsidP="00F762C3">
      <w:pPr>
        <w:pStyle w:val="AppendixText3"/>
      </w:pPr>
      <w:r w:rsidRPr="00BD6C5F">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 or where clauses have been removed as they do not apply, as set out below;</w:t>
      </w:r>
    </w:p>
    <w:p w14:paraId="5F2426E3" w14:textId="77777777" w:rsidR="00D67018" w:rsidRPr="00BD6C5F" w:rsidRDefault="00D67018" w:rsidP="00F762C3">
      <w:pPr>
        <w:pStyle w:val="AppendixText3"/>
      </w:pPr>
      <w:r w:rsidRPr="00BD6C5F">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Sections may still apply and </w:t>
      </w:r>
      <w:r w:rsidRPr="00BD6C5F">
        <w:lastRenderedPageBreak/>
        <w:t>form a part of this IDTA if they have been removed incorrectly, including because the wrong selection is made in Table 2: Transfer Details;</w:t>
      </w:r>
    </w:p>
    <w:p w14:paraId="08F4BCE7" w14:textId="77777777" w:rsidR="00D67018" w:rsidRPr="00BD6C5F" w:rsidRDefault="00D67018" w:rsidP="00F762C3">
      <w:pPr>
        <w:pStyle w:val="AppendixText3"/>
      </w:pPr>
      <w:r w:rsidRPr="00BD6C5F">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 and/or</w:t>
      </w:r>
    </w:p>
    <w:p w14:paraId="2FFFB167" w14:textId="333E2B7B" w:rsidR="00D67018" w:rsidRPr="00BD6C5F" w:rsidRDefault="00D67018" w:rsidP="00F762C3">
      <w:pPr>
        <w:pStyle w:val="AppendixText3"/>
      </w:pPr>
      <w:r w:rsidRPr="00BD6C5F">
        <w:t xml:space="preserve">to update the IDTA to set out in writing any changes made to the Approved IDTA under Section </w:t>
      </w:r>
      <w:r w:rsidR="0010425E" w:rsidRPr="00BD6C5F">
        <w:rPr>
          <w:cs/>
        </w:rPr>
        <w:t>‎</w:t>
      </w:r>
      <w:r w:rsidR="0010425E" w:rsidRPr="00BD6C5F">
        <w:t>5.4</w:t>
      </w:r>
      <w:r w:rsidRPr="00BD6C5F">
        <w:t xml:space="preserve">, if the Parties want to. The changes will apply automatically without updating them as described in Section </w:t>
      </w:r>
      <w:r w:rsidR="0010425E" w:rsidRPr="00BD6C5F">
        <w:rPr>
          <w:cs/>
        </w:rPr>
        <w:t>‎</w:t>
      </w:r>
      <w:r w:rsidR="0010425E" w:rsidRPr="00BD6C5F">
        <w:t>5.4</w:t>
      </w:r>
      <w:r w:rsidRPr="00BD6C5F">
        <w:t>;</w:t>
      </w:r>
    </w:p>
    <w:p w14:paraId="7F457AD4" w14:textId="77777777" w:rsidR="00D67018" w:rsidRPr="00BD6C5F" w:rsidRDefault="00D67018" w:rsidP="00F762C3">
      <w:pPr>
        <w:pStyle w:val="AppendixText3"/>
      </w:pPr>
      <w:r w:rsidRPr="00BD6C5F">
        <w:t>provided that the changes do not reduce the Appropriate Safeguards.</w:t>
      </w:r>
    </w:p>
    <w:p w14:paraId="278622FC" w14:textId="77777777" w:rsidR="00D67018" w:rsidRPr="00BD6C5F" w:rsidRDefault="00D67018" w:rsidP="00F762C3">
      <w:pPr>
        <w:pStyle w:val="AppendixText2"/>
      </w:pPr>
      <w:bookmarkStart w:id="1913" w:name="_Ref75671126"/>
      <w:bookmarkStart w:id="1914" w:name="_Toc79405445"/>
      <w:r w:rsidRPr="00BD6C5F">
        <w:t>If the Parties wish to change the format of the information included in Part one: Tables, Part two: Extra Protection Clauses or Part three: Commercial Clauses of the Approved IDTA, they may do so by agreeing to the change in writing, provided that the change does not reduce the Appropriate Safeguards.</w:t>
      </w:r>
      <w:bookmarkEnd w:id="1913"/>
      <w:bookmarkEnd w:id="1914"/>
    </w:p>
    <w:p w14:paraId="5FF8DCB6" w14:textId="77777777" w:rsidR="00D67018" w:rsidRPr="00BD6C5F" w:rsidRDefault="00D67018" w:rsidP="00F762C3">
      <w:pPr>
        <w:pStyle w:val="AppendixText2"/>
      </w:pPr>
      <w:bookmarkStart w:id="1915" w:name="_Ref92477298"/>
      <w:bookmarkStart w:id="1916" w:name="_Ref89699068"/>
      <w:r w:rsidRPr="00BD6C5F">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1915"/>
    </w:p>
    <w:p w14:paraId="693810AD" w14:textId="33C8F058" w:rsidR="00D67018" w:rsidRPr="00BD6C5F" w:rsidRDefault="00D67018" w:rsidP="00FD4E48">
      <w:pPr>
        <w:pStyle w:val="AppendixText2"/>
        <w:keepNext/>
      </w:pPr>
      <w:bookmarkStart w:id="1917" w:name="_Ref92478018"/>
      <w:r w:rsidRPr="00BD6C5F">
        <w:t>From time to time, the ICO may publish a revised Approved IDTA which:</w:t>
      </w:r>
      <w:bookmarkEnd w:id="1916"/>
      <w:bookmarkEnd w:id="1917"/>
      <w:r w:rsidRPr="00BD6C5F">
        <w:t xml:space="preserve"> </w:t>
      </w:r>
    </w:p>
    <w:p w14:paraId="26E49F88" w14:textId="77777777" w:rsidR="00D67018" w:rsidRPr="00BD6C5F" w:rsidRDefault="00D67018" w:rsidP="00F762C3">
      <w:pPr>
        <w:pStyle w:val="AppendixText3"/>
      </w:pPr>
      <w:r w:rsidRPr="00BD6C5F">
        <w:t>makes reasonable and proportionate changes to the Approved IDTA, including correcting errors in the Approved IDTA; and/or</w:t>
      </w:r>
    </w:p>
    <w:p w14:paraId="2BC8E05A" w14:textId="77777777" w:rsidR="00D67018" w:rsidRPr="00BD6C5F" w:rsidRDefault="00D67018" w:rsidP="00F762C3">
      <w:pPr>
        <w:pStyle w:val="AppendixText3"/>
      </w:pPr>
      <w:r w:rsidRPr="00BD6C5F">
        <w:t>reflects changes to UK Data Protection Laws.</w:t>
      </w:r>
    </w:p>
    <w:p w14:paraId="54539C29" w14:textId="31BBBDF4" w:rsidR="00D67018" w:rsidRPr="00BD6C5F" w:rsidRDefault="00D67018" w:rsidP="00F762C3">
      <w:pPr>
        <w:pStyle w:val="AppendixText3"/>
      </w:pPr>
      <w:bookmarkStart w:id="1918" w:name="_Ref89703302"/>
      <w:r w:rsidRPr="00BD6C5F">
        <w:t xml:space="preserve">The revised Approved IDTA will specify the start date from which the changes to the Approved IDTA are effective and whether an additional Review Date is required as a result of the changes. This IDTA is automatically amended as set out in the revised Approved IDTA from the start date specified. </w:t>
      </w:r>
      <w:bookmarkEnd w:id="1918"/>
    </w:p>
    <w:p w14:paraId="269AA4F7" w14:textId="77777777" w:rsidR="00D67018" w:rsidRPr="00BD6C5F" w:rsidRDefault="00D67018" w:rsidP="00F762C3">
      <w:pPr>
        <w:pStyle w:val="AppendixText1"/>
      </w:pPr>
      <w:bookmarkStart w:id="1919" w:name="_Ref71912501"/>
      <w:bookmarkStart w:id="1920" w:name="_Toc79405446"/>
      <w:r w:rsidRPr="00BD6C5F">
        <w:t>Understanding this IDTA</w:t>
      </w:r>
      <w:bookmarkEnd w:id="1919"/>
      <w:bookmarkEnd w:id="1920"/>
    </w:p>
    <w:p w14:paraId="15B769EE" w14:textId="5F6321BF" w:rsidR="00D67018" w:rsidRPr="00BD6C5F" w:rsidRDefault="00D67018" w:rsidP="00F762C3">
      <w:pPr>
        <w:pStyle w:val="AppendixText2"/>
      </w:pPr>
      <w:bookmarkStart w:id="1921" w:name="_Toc79405447"/>
      <w:bookmarkStart w:id="1922" w:name="_Hlk71144875"/>
      <w:r w:rsidRPr="00BD6C5F">
        <w:t>This IDTA must always be interpreted in a manner that is consistent with UK Data Protection Laws and so that it fulfils the Parties</w:t>
      </w:r>
      <w:r w:rsidR="00A4555C" w:rsidRPr="00BD6C5F">
        <w:t>’</w:t>
      </w:r>
      <w:r w:rsidRPr="00BD6C5F">
        <w:t xml:space="preserve"> obligation to provide the Appropriate Safeguards.</w:t>
      </w:r>
      <w:bookmarkEnd w:id="1921"/>
      <w:r w:rsidRPr="00BD6C5F">
        <w:t xml:space="preserve"> </w:t>
      </w:r>
    </w:p>
    <w:p w14:paraId="38678CE7" w14:textId="77777777" w:rsidR="00D67018" w:rsidRPr="00BD6C5F" w:rsidRDefault="00D67018" w:rsidP="00F762C3">
      <w:pPr>
        <w:pStyle w:val="AppendixText2"/>
      </w:pPr>
      <w:bookmarkStart w:id="1923" w:name="_Toc79405448"/>
      <w:r w:rsidRPr="00BD6C5F">
        <w:t>If there is any inconsistency or conflict between UK Data Protection Laws and this IDTA, the UK Data Protection Laws apply.</w:t>
      </w:r>
      <w:bookmarkEnd w:id="1923"/>
    </w:p>
    <w:p w14:paraId="779551A8" w14:textId="097381ED" w:rsidR="00D67018" w:rsidRPr="00BD6C5F" w:rsidRDefault="00D67018" w:rsidP="00F762C3">
      <w:pPr>
        <w:pStyle w:val="AppendixText2"/>
      </w:pPr>
      <w:bookmarkStart w:id="1924" w:name="_Toc79405449"/>
      <w:bookmarkEnd w:id="1922"/>
      <w:r w:rsidRPr="00BD6C5F">
        <w:t>If the meaning of the IDTA is unclear or there is more than one meaning, the meaning which most closely aligns with the UK Data Protection Laws applies.</w:t>
      </w:r>
      <w:bookmarkEnd w:id="1924"/>
      <w:r w:rsidRPr="00BD6C5F">
        <w:t xml:space="preserve"> </w:t>
      </w:r>
    </w:p>
    <w:p w14:paraId="366A8EC5" w14:textId="5587B2A5" w:rsidR="00D67018" w:rsidRPr="00BD6C5F" w:rsidRDefault="00D67018" w:rsidP="00F762C3">
      <w:pPr>
        <w:pStyle w:val="AppendixText2"/>
      </w:pPr>
      <w:bookmarkStart w:id="1925" w:name="_Toc79405450"/>
      <w:r w:rsidRPr="00BD6C5F">
        <w:t>Nothing in the IDTA (including the Commercial Clauses or the Linked Agreement) limits or excludes either Party</w:t>
      </w:r>
      <w:r w:rsidR="00A4555C" w:rsidRPr="00BD6C5F">
        <w:t>’</w:t>
      </w:r>
      <w:r w:rsidRPr="00BD6C5F">
        <w:t>s liability to Relevant Data Subjects or to the ICO under this IDTA or under UK Data Protection Laws.</w:t>
      </w:r>
      <w:bookmarkEnd w:id="1925"/>
    </w:p>
    <w:p w14:paraId="30F3F568" w14:textId="03AEB507" w:rsidR="00D67018" w:rsidRPr="00BD6C5F" w:rsidRDefault="00D67018" w:rsidP="00F762C3">
      <w:pPr>
        <w:pStyle w:val="AppendixText2"/>
      </w:pPr>
      <w:bookmarkStart w:id="1926" w:name="_Toc79405451"/>
      <w:r w:rsidRPr="00BD6C5F">
        <w:lastRenderedPageBreak/>
        <w:t>If any wording in Parts one, two or three contradicts the Mandatory Clauses, and/or seeks to limit or exclude any liability to Relevant Data Subjects or to the ICO, then that wording will not apply.</w:t>
      </w:r>
      <w:bookmarkEnd w:id="1926"/>
    </w:p>
    <w:p w14:paraId="1A1A6875" w14:textId="77777777" w:rsidR="00D67018" w:rsidRPr="00BD6C5F" w:rsidRDefault="00D67018" w:rsidP="00F762C3">
      <w:pPr>
        <w:pStyle w:val="AppendixText2"/>
      </w:pPr>
      <w:bookmarkStart w:id="1927" w:name="_Ref77587516"/>
      <w:r w:rsidRPr="00BD6C5F">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02260389" w14:textId="77B75058" w:rsidR="00D67018" w:rsidRPr="00BD6C5F" w:rsidRDefault="00D67018" w:rsidP="00F762C3">
      <w:pPr>
        <w:pStyle w:val="AppendixText2"/>
      </w:pPr>
      <w:bookmarkStart w:id="1928" w:name="_Toc79405452"/>
      <w:r w:rsidRPr="00BD6C5F">
        <w:t>If there is any inconsistency or conflict between this IDTA and a Linked Agreement or any other agreement, this IDTA overrides that Linked Agreement or any other agreements, even if those agreements have been negotiated by the Parties. The exceptions to this are where (and in so far as):</w:t>
      </w:r>
      <w:bookmarkEnd w:id="1927"/>
      <w:bookmarkEnd w:id="1928"/>
    </w:p>
    <w:p w14:paraId="076246A3" w14:textId="3135E0B5" w:rsidR="00D67018" w:rsidRPr="00BD6C5F" w:rsidRDefault="00D67018" w:rsidP="00F762C3">
      <w:pPr>
        <w:pStyle w:val="AppendixText3"/>
      </w:pPr>
      <w:r w:rsidRPr="00BD6C5F">
        <w:t>the inconsistent or conflicting terms of the Linked Agreement or other agreement provide greater protection for the Relevant Data Subject</w:t>
      </w:r>
      <w:r w:rsidR="00A4555C" w:rsidRPr="00BD6C5F">
        <w:t>’</w:t>
      </w:r>
      <w:r w:rsidRPr="00BD6C5F">
        <w:t>s rights, in which case those terms will override the IDTA; and</w:t>
      </w:r>
    </w:p>
    <w:p w14:paraId="603C809B" w14:textId="77777777" w:rsidR="00D67018" w:rsidRPr="00BD6C5F" w:rsidRDefault="00D67018" w:rsidP="00F762C3">
      <w:pPr>
        <w:pStyle w:val="AppendixText3"/>
      </w:pPr>
      <w:r w:rsidRPr="00BD6C5F">
        <w:t>a Party acts as Processor and the inconsistent or conflicting terms of the Linked Agreement are obligations on that Party expressly required by Article 28 UK GDPR, in which case those terms will override the inconsistent or conflicting terms of the IDTA in relation to Processing by that Party as Processor.</w:t>
      </w:r>
    </w:p>
    <w:p w14:paraId="0C1E9D48" w14:textId="4EEB55AE" w:rsidR="00D67018" w:rsidRPr="00BD6C5F" w:rsidRDefault="00D67018" w:rsidP="00F762C3">
      <w:pPr>
        <w:pStyle w:val="AppendixText2"/>
      </w:pPr>
      <w:bookmarkStart w:id="1929" w:name="_Toc79405453"/>
      <w:r w:rsidRPr="00BD6C5F">
        <w:t xml:space="preserve">The words </w:t>
      </w:r>
      <w:r w:rsidR="00A4555C" w:rsidRPr="00BD6C5F">
        <w:t>“</w:t>
      </w:r>
      <w:r w:rsidRPr="00BD6C5F">
        <w:t>include</w:t>
      </w:r>
      <w:r w:rsidR="00A4555C" w:rsidRPr="00BD6C5F">
        <w:t>”</w:t>
      </w:r>
      <w:r w:rsidRPr="00BD6C5F">
        <w:t xml:space="preserve">, </w:t>
      </w:r>
      <w:r w:rsidR="00A4555C" w:rsidRPr="00BD6C5F">
        <w:t>“</w:t>
      </w:r>
      <w:r w:rsidRPr="00BD6C5F">
        <w:t>includes</w:t>
      </w:r>
      <w:r w:rsidR="00A4555C" w:rsidRPr="00BD6C5F">
        <w:t>”</w:t>
      </w:r>
      <w:r w:rsidRPr="00BD6C5F">
        <w:t xml:space="preserve">, </w:t>
      </w:r>
      <w:r w:rsidR="00A4555C" w:rsidRPr="00BD6C5F">
        <w:t>“</w:t>
      </w:r>
      <w:r w:rsidRPr="00BD6C5F">
        <w:t>including</w:t>
      </w:r>
      <w:r w:rsidR="00A4555C" w:rsidRPr="00BD6C5F">
        <w:t>”</w:t>
      </w:r>
      <w:r w:rsidRPr="00BD6C5F">
        <w:t xml:space="preserve">, </w:t>
      </w:r>
      <w:r w:rsidR="00A4555C" w:rsidRPr="00BD6C5F">
        <w:t>“</w:t>
      </w:r>
      <w:r w:rsidRPr="00BD6C5F">
        <w:t>in particular</w:t>
      </w:r>
      <w:r w:rsidR="00A4555C" w:rsidRPr="00BD6C5F">
        <w:t>”</w:t>
      </w:r>
      <w:r w:rsidRPr="00BD6C5F">
        <w:t xml:space="preserve"> are used to set out examples and not to set out a finite list.</w:t>
      </w:r>
      <w:bookmarkEnd w:id="1929"/>
    </w:p>
    <w:p w14:paraId="0D849BB1" w14:textId="1B9D91F1" w:rsidR="00D67018" w:rsidRPr="00BD6C5F" w:rsidRDefault="00D67018" w:rsidP="00FD4E48">
      <w:pPr>
        <w:pStyle w:val="AppendixText2"/>
        <w:keepNext/>
      </w:pPr>
      <w:bookmarkStart w:id="1930" w:name="_Toc79405454"/>
      <w:r w:rsidRPr="00BD6C5F">
        <w:t>References to:</w:t>
      </w:r>
      <w:bookmarkEnd w:id="1930"/>
    </w:p>
    <w:p w14:paraId="3355822F" w14:textId="77777777" w:rsidR="00D67018" w:rsidRPr="00BD6C5F" w:rsidRDefault="00D67018" w:rsidP="00F762C3">
      <w:pPr>
        <w:pStyle w:val="AppendixText3"/>
      </w:pPr>
      <w:r w:rsidRPr="00BD6C5F">
        <w:t xml:space="preserve">singular or plural words or people, also includes the plural or singular of those words or people; </w:t>
      </w:r>
    </w:p>
    <w:p w14:paraId="72701758" w14:textId="77777777" w:rsidR="00D67018" w:rsidRPr="00BD6C5F" w:rsidRDefault="00D67018" w:rsidP="00F762C3">
      <w:pPr>
        <w:pStyle w:val="AppendixText3"/>
      </w:pPr>
      <w:r w:rsidRPr="00BD6C5F">
        <w:t xml:space="preserve">legislation (or specific provisions of legislation) means that legislation (or specific provision) as it may change over time. This includes where that legislation (or specific provision) has been consolidated, re-enacted and/or replaced after this IDTA has been signed; and </w:t>
      </w:r>
    </w:p>
    <w:p w14:paraId="513C75BE" w14:textId="37D2AAAE" w:rsidR="00D67018" w:rsidRPr="00BD6C5F" w:rsidRDefault="00D67018" w:rsidP="00F762C3">
      <w:pPr>
        <w:pStyle w:val="AppendixText3"/>
      </w:pPr>
      <w:bookmarkStart w:id="1931" w:name="_Ref314043014"/>
      <w:r w:rsidRPr="00BD6C5F">
        <w:t>any obligation not to do something, includes an obligation not to allow or cause that thing to be done by anyone else</w:t>
      </w:r>
      <w:bookmarkEnd w:id="1931"/>
      <w:r w:rsidRPr="00BD6C5F">
        <w:t xml:space="preserve">. </w:t>
      </w:r>
    </w:p>
    <w:p w14:paraId="177DCDB9" w14:textId="110CB27D" w:rsidR="00D67018" w:rsidRPr="00BD6C5F" w:rsidRDefault="00D67018" w:rsidP="00F762C3">
      <w:pPr>
        <w:pStyle w:val="AppendixText1"/>
      </w:pPr>
      <w:bookmarkStart w:id="1932" w:name="_Ref77596221"/>
      <w:bookmarkStart w:id="1933" w:name="_Toc79405455"/>
      <w:r w:rsidRPr="00BD6C5F">
        <w:t>Which laws apply to this IDTA</w:t>
      </w:r>
      <w:bookmarkEnd w:id="1932"/>
      <w:bookmarkEnd w:id="1933"/>
    </w:p>
    <w:p w14:paraId="5049E190" w14:textId="44F9582A" w:rsidR="00D67018" w:rsidRPr="00BD6C5F" w:rsidRDefault="00D67018" w:rsidP="00F762C3">
      <w:pPr>
        <w:pStyle w:val="AppendixText2"/>
      </w:pPr>
      <w:bookmarkStart w:id="1934" w:name="_Toc79405456"/>
      <w:r w:rsidRPr="00BD6C5F">
        <w:t>This IDTA is governed by the laws of the UK country set out in Table 2: Transfer Details. If no selection has been made, it is the laws of England and Wales.</w:t>
      </w:r>
      <w:bookmarkEnd w:id="1934"/>
      <w:r w:rsidRPr="00BD6C5F">
        <w:t xml:space="preserve"> This does not apply to Section </w:t>
      </w:r>
      <w:r w:rsidR="0010425E" w:rsidRPr="00BD6C5F">
        <w:rPr>
          <w:cs/>
        </w:rPr>
        <w:t>‎</w:t>
      </w:r>
      <w:r w:rsidR="0010425E" w:rsidRPr="00BD6C5F">
        <w:t>35</w:t>
      </w:r>
      <w:r w:rsidRPr="00BD6C5F">
        <w:t xml:space="preserve"> which is always governed by the laws of England and Wales. </w:t>
      </w:r>
    </w:p>
    <w:p w14:paraId="3D5F235C" w14:textId="48B1A6E0" w:rsidR="00D67018" w:rsidRPr="00BD6C5F" w:rsidRDefault="00D67018" w:rsidP="00DA04BE">
      <w:pPr>
        <w:keepNext/>
        <w:keepLines/>
        <w:widowControl/>
        <w:spacing w:before="240" w:after="120"/>
        <w:rPr>
          <w:b/>
          <w:bCs/>
        </w:rPr>
      </w:pPr>
      <w:bookmarkStart w:id="1935" w:name="_Ref73395603"/>
      <w:bookmarkStart w:id="1936" w:name="_Ref73509944"/>
      <w:r w:rsidRPr="00BD6C5F">
        <w:rPr>
          <w:b/>
          <w:bCs/>
        </w:rPr>
        <w:t xml:space="preserve">How this IDTA provides Appropriate </w:t>
      </w:r>
      <w:bookmarkEnd w:id="1935"/>
      <w:bookmarkEnd w:id="1936"/>
      <w:r w:rsidRPr="00BD6C5F">
        <w:rPr>
          <w:b/>
          <w:bCs/>
        </w:rPr>
        <w:t>Safeguards</w:t>
      </w:r>
    </w:p>
    <w:p w14:paraId="05DC564B" w14:textId="40E94287" w:rsidR="00D67018" w:rsidRPr="00BD6C5F" w:rsidRDefault="00D67018" w:rsidP="00F762C3">
      <w:pPr>
        <w:pStyle w:val="AppendixText1"/>
      </w:pPr>
      <w:bookmarkStart w:id="1937" w:name="_Toc79405457"/>
      <w:bookmarkStart w:id="1938" w:name="_Ref76506360"/>
      <w:r w:rsidRPr="00BD6C5F">
        <w:t>The Appropriate Safeguards</w:t>
      </w:r>
      <w:bookmarkEnd w:id="1937"/>
      <w:bookmarkEnd w:id="1938"/>
    </w:p>
    <w:p w14:paraId="70E734DD" w14:textId="77777777" w:rsidR="00D67018" w:rsidRPr="00BD6C5F" w:rsidRDefault="00D67018" w:rsidP="00FD4E48">
      <w:pPr>
        <w:pStyle w:val="AppendixText2"/>
        <w:keepNext/>
      </w:pPr>
      <w:bookmarkStart w:id="1939" w:name="_Toc79405458"/>
      <w:bookmarkStart w:id="1940" w:name="_Ref73393180"/>
      <w:r w:rsidRPr="00BD6C5F">
        <w:t>The purpose of this IDTA is to ensure that the Transferred Data has Appropriate Safeguards when Processed by the Importer during the Term. This standard is met when and for so long as:</w:t>
      </w:r>
      <w:bookmarkEnd w:id="1939"/>
    </w:p>
    <w:p w14:paraId="70E3F646" w14:textId="77777777" w:rsidR="00D67018" w:rsidRPr="00BD6C5F" w:rsidRDefault="00D67018" w:rsidP="00F762C3">
      <w:pPr>
        <w:pStyle w:val="AppendixText3"/>
      </w:pPr>
      <w:r w:rsidRPr="00BD6C5F">
        <w:t xml:space="preserve">both Parties comply with the IDTA, including the Security Requirements and any Extra Protection Clauses; and </w:t>
      </w:r>
    </w:p>
    <w:p w14:paraId="746BBC29" w14:textId="77777777" w:rsidR="00D67018" w:rsidRPr="00BD6C5F" w:rsidRDefault="00D67018" w:rsidP="00F762C3">
      <w:pPr>
        <w:pStyle w:val="AppendixText3"/>
      </w:pPr>
      <w:r w:rsidRPr="00BD6C5F">
        <w:lastRenderedPageBreak/>
        <w:t xml:space="preserve">the Security Requirements and any Extra Protection Clauses provide a level of security which is appropriate to the risk of a Personal Data Breach occurring and the impact on Relevant Data Subjects of such a Personal Data Breach, including considering any Special Category Data within the Transferred Data. </w:t>
      </w:r>
    </w:p>
    <w:p w14:paraId="641E5DEA" w14:textId="77777777" w:rsidR="00D67018" w:rsidRPr="00BD6C5F" w:rsidRDefault="00D67018" w:rsidP="00FD4E48">
      <w:pPr>
        <w:pStyle w:val="AppendixText2"/>
        <w:keepNext/>
      </w:pPr>
      <w:bookmarkStart w:id="1941" w:name="_Toc79405459"/>
      <w:r w:rsidRPr="00BD6C5F">
        <w:t xml:space="preserve">The Exporter must: </w:t>
      </w:r>
    </w:p>
    <w:p w14:paraId="7C05BEEF" w14:textId="3365A1EA" w:rsidR="00D67018" w:rsidRPr="00BD6C5F" w:rsidRDefault="00D67018" w:rsidP="00F762C3">
      <w:pPr>
        <w:pStyle w:val="AppendixText3"/>
      </w:pPr>
      <w:r w:rsidRPr="00BD6C5F">
        <w:t xml:space="preserve">ensure and demonstrate that </w:t>
      </w:r>
      <w:bookmarkEnd w:id="1941"/>
      <w:r w:rsidRPr="00BD6C5F">
        <w:t>this IDTA (including any Security Requirements and Extra Protection Clauses) provides Appropriate Safeguards</w:t>
      </w:r>
      <w:bookmarkEnd w:id="1940"/>
      <w:r w:rsidRPr="00BD6C5F">
        <w:t>; and</w:t>
      </w:r>
    </w:p>
    <w:p w14:paraId="037ACA5E" w14:textId="77777777" w:rsidR="00D67018" w:rsidRPr="00BD6C5F" w:rsidRDefault="00D67018" w:rsidP="00F762C3">
      <w:pPr>
        <w:pStyle w:val="AppendixText3"/>
      </w:pPr>
      <w:r w:rsidRPr="00BD6C5F">
        <w:t>(if the Importer reasonably requests) provide it with a copy of any TRA.</w:t>
      </w:r>
    </w:p>
    <w:p w14:paraId="18B22F39" w14:textId="77777777" w:rsidR="00D67018" w:rsidRPr="00BD6C5F" w:rsidRDefault="00D67018" w:rsidP="00FD4E48">
      <w:pPr>
        <w:pStyle w:val="AppendixText2"/>
        <w:keepNext/>
      </w:pPr>
      <w:bookmarkStart w:id="1942" w:name="_Toc79405460"/>
      <w:bookmarkStart w:id="1943" w:name="_Ref71838603"/>
      <w:bookmarkStart w:id="1944" w:name="_Ref71494812"/>
      <w:r w:rsidRPr="00BD6C5F">
        <w:t xml:space="preserve">The Importer </w:t>
      </w:r>
      <w:bookmarkEnd w:id="1942"/>
      <w:r w:rsidRPr="00BD6C5F">
        <w:t>must:</w:t>
      </w:r>
      <w:bookmarkEnd w:id="1943"/>
      <w:r w:rsidRPr="00BD6C5F">
        <w:t xml:space="preserve"> </w:t>
      </w:r>
    </w:p>
    <w:p w14:paraId="06CA6498" w14:textId="4F480E55" w:rsidR="00D67018" w:rsidRPr="00BD6C5F" w:rsidRDefault="00D67018" w:rsidP="00F762C3">
      <w:pPr>
        <w:pStyle w:val="AppendixText3"/>
      </w:pPr>
      <w:bookmarkStart w:id="1945" w:name="_Ref89216844"/>
      <w:bookmarkStart w:id="1946" w:name="_Ref77697079"/>
      <w:r w:rsidRPr="00BD6C5F">
        <w:t xml:space="preserve">before receiving any Transferred Data, provide the Exporter with all relevant information regarding Local Laws and practices and the protections and risks which apply to the Transferred Data when it is Processed by the Importer, including any information which may reasonably be required for the Exporter to carry out any TRA (the </w:t>
      </w:r>
      <w:r w:rsidR="00A4555C" w:rsidRPr="00BD6C5F">
        <w:t>“</w:t>
      </w:r>
      <w:r w:rsidRPr="00BD6C5F">
        <w:t>Importer Information</w:t>
      </w:r>
      <w:r w:rsidR="00A4555C" w:rsidRPr="00BD6C5F">
        <w:t>”</w:t>
      </w:r>
      <w:r w:rsidRPr="00BD6C5F">
        <w:t>);</w:t>
      </w:r>
      <w:bookmarkEnd w:id="1945"/>
      <w:bookmarkEnd w:id="1946"/>
    </w:p>
    <w:p w14:paraId="1D81C841" w14:textId="6E88CDB4" w:rsidR="00D67018" w:rsidRPr="00BD6C5F" w:rsidRDefault="00D67018" w:rsidP="00F762C3">
      <w:pPr>
        <w:pStyle w:val="AppendixText3"/>
      </w:pPr>
      <w:bookmarkStart w:id="1947" w:name="_Ref77674137"/>
      <w:r w:rsidRPr="00BD6C5F">
        <w:t>co-operate with the Exporter to ensure compliance with the Exporter</w:t>
      </w:r>
      <w:r w:rsidR="00A4555C" w:rsidRPr="00BD6C5F">
        <w:t>’</w:t>
      </w:r>
      <w:r w:rsidRPr="00BD6C5F">
        <w:t xml:space="preserve">s obligations under the UK Data Protection Laws; </w:t>
      </w:r>
    </w:p>
    <w:p w14:paraId="16EC1F76" w14:textId="77777777" w:rsidR="00D67018" w:rsidRPr="00BD6C5F" w:rsidRDefault="00D67018" w:rsidP="00F762C3">
      <w:pPr>
        <w:pStyle w:val="AppendixText3"/>
      </w:pPr>
      <w:r w:rsidRPr="00BD6C5F">
        <w:t>review whether any Importer Information has changed, and whether any Local Laws contradict its obligations in this IDTA and take reasonable steps to verify this, on a regular basis. These reviews must be at least as frequent as the Review Dates; and</w:t>
      </w:r>
    </w:p>
    <w:p w14:paraId="7B7FAE08" w14:textId="77777777" w:rsidR="00D67018" w:rsidRPr="00BD6C5F" w:rsidRDefault="00D67018" w:rsidP="00F762C3">
      <w:pPr>
        <w:pStyle w:val="AppendixText3"/>
      </w:pPr>
      <w:r w:rsidRPr="00BD6C5F">
        <w:t>inform the Exporter as soon as it becomes aware of any Importer Information changing, and/or any Local Laws which may prevent or limit the Importer complying with its obligations in this IDTA. This information then forms part of the Importer Information.</w:t>
      </w:r>
    </w:p>
    <w:p w14:paraId="6C4463A3" w14:textId="77777777" w:rsidR="00D67018" w:rsidRPr="00BD6C5F" w:rsidRDefault="00D67018" w:rsidP="00FD4E48">
      <w:pPr>
        <w:pStyle w:val="AppendixText2"/>
        <w:keepNext/>
      </w:pPr>
      <w:r w:rsidRPr="00BD6C5F">
        <w:t>The Importer must ensure that at the Start Date and during the Term:</w:t>
      </w:r>
    </w:p>
    <w:p w14:paraId="16AF5270" w14:textId="77777777" w:rsidR="00D67018" w:rsidRPr="00BD6C5F" w:rsidRDefault="00D67018" w:rsidP="00F762C3">
      <w:pPr>
        <w:pStyle w:val="AppendixText3"/>
      </w:pPr>
      <w:r w:rsidRPr="00BD6C5F">
        <w:rPr>
          <w:rFonts w:asciiTheme="minorHAnsi" w:hAnsiTheme="minorHAnsi" w:cstheme="minorHAnsi"/>
        </w:rPr>
        <w:t>the Importer I</w:t>
      </w:r>
      <w:r w:rsidRPr="00BD6C5F">
        <w:t>nformation is accurate;</w:t>
      </w:r>
      <w:bookmarkEnd w:id="1947"/>
      <w:r w:rsidRPr="00BD6C5F">
        <w:t xml:space="preserve"> </w:t>
      </w:r>
    </w:p>
    <w:p w14:paraId="5EFA4DA8" w14:textId="77777777" w:rsidR="00D67018" w:rsidRPr="00BD6C5F" w:rsidDel="00647F12" w:rsidRDefault="00D67018" w:rsidP="00F762C3">
      <w:pPr>
        <w:pStyle w:val="AppendixText3"/>
      </w:pPr>
      <w:r w:rsidRPr="00BD6C5F" w:rsidDel="00647F12">
        <w:t xml:space="preserve">it has taken reasonable steps to verify </w:t>
      </w:r>
      <w:r w:rsidRPr="00BD6C5F">
        <w:t xml:space="preserve">whether there are </w:t>
      </w:r>
      <w:r w:rsidRPr="00BD6C5F" w:rsidDel="00647F12">
        <w:t>any Local Laws which contradict its obligations in this IDTA</w:t>
      </w:r>
      <w:r w:rsidRPr="00BD6C5F">
        <w:t xml:space="preserve"> or any additional information regarding Local Laws which may be relevant to this IDTA.</w:t>
      </w:r>
    </w:p>
    <w:p w14:paraId="4381FDFF" w14:textId="42DABEB1" w:rsidR="00D67018" w:rsidRPr="00BD6C5F" w:rsidRDefault="00D67018" w:rsidP="00F762C3">
      <w:pPr>
        <w:pStyle w:val="AppendixText2"/>
      </w:pPr>
      <w:bookmarkStart w:id="1948" w:name="_Toc79405461"/>
      <w:bookmarkEnd w:id="1944"/>
      <w:r w:rsidRPr="00BD6C5F">
        <w:t>Each Party must ensure that the Security Requirements and Extra Protection Clauses provide a level of security which is appropriate to the risk of a Personal Data Breach occurring and the impact on Relevant Data Subjects of such a Personal Data Breach.</w:t>
      </w:r>
      <w:bookmarkEnd w:id="1948"/>
    </w:p>
    <w:p w14:paraId="6CFA02EA" w14:textId="29C37EBF" w:rsidR="00D67018" w:rsidRPr="00BD6C5F" w:rsidRDefault="00D67018" w:rsidP="00F762C3">
      <w:pPr>
        <w:pStyle w:val="AppendixText1"/>
      </w:pPr>
      <w:bookmarkStart w:id="1949" w:name="_Ref76414795"/>
      <w:bookmarkStart w:id="1950" w:name="_Toc79405462"/>
      <w:r w:rsidRPr="00BD6C5F">
        <w:t>Reviews to ensure the Appropriate Safeguards continue</w:t>
      </w:r>
      <w:bookmarkEnd w:id="1949"/>
      <w:bookmarkEnd w:id="1950"/>
    </w:p>
    <w:p w14:paraId="4E4EBEB2" w14:textId="043A29BF" w:rsidR="00D67018" w:rsidRPr="00BD6C5F" w:rsidRDefault="00D67018" w:rsidP="00FD4E48">
      <w:pPr>
        <w:pStyle w:val="AppendixText2"/>
        <w:keepNext/>
      </w:pPr>
      <w:bookmarkStart w:id="1951" w:name="_Ref70733657"/>
      <w:bookmarkStart w:id="1952" w:name="_Ref71154021"/>
      <w:bookmarkStart w:id="1953" w:name="_Ref71912768"/>
      <w:bookmarkStart w:id="1954" w:name="_Toc79405463"/>
      <w:r w:rsidRPr="00BD6C5F">
        <w:t xml:space="preserve">Each Party </w:t>
      </w:r>
      <w:bookmarkEnd w:id="1951"/>
      <w:bookmarkEnd w:id="1952"/>
      <w:bookmarkEnd w:id="1953"/>
      <w:bookmarkEnd w:id="1954"/>
      <w:r w:rsidRPr="00BD6C5F">
        <w:t xml:space="preserve">must: </w:t>
      </w:r>
    </w:p>
    <w:p w14:paraId="3DF69DE3" w14:textId="77777777" w:rsidR="00D67018" w:rsidRPr="00BD6C5F" w:rsidRDefault="00D67018" w:rsidP="00F762C3">
      <w:pPr>
        <w:pStyle w:val="AppendixText3"/>
      </w:pPr>
      <w:r w:rsidRPr="00BD6C5F">
        <w:t xml:space="preserve">review this IDTA (including the Security Requirements and Extra Protection Clauses and the Importer Information) at regular intervals, to ensure that the IDTA remains accurate and up to date and continues to provide the </w:t>
      </w:r>
      <w:r w:rsidRPr="00BD6C5F">
        <w:lastRenderedPageBreak/>
        <w:t>Appropriate Safeguards. Each Party will carry out these reviews as frequently as the relevant Review Dates or sooner; and</w:t>
      </w:r>
    </w:p>
    <w:p w14:paraId="3913E488" w14:textId="77777777" w:rsidR="00D67018" w:rsidRPr="00BD6C5F" w:rsidRDefault="00D67018" w:rsidP="00F762C3">
      <w:pPr>
        <w:pStyle w:val="AppendixText3"/>
      </w:pPr>
      <w:r w:rsidRPr="00BD6C5F">
        <w:t>inform the other party in writing as soon as it becomes aware if any information contained in either this IDTA, any TRA or Importer Information is no longer accurate and up to date.</w:t>
      </w:r>
    </w:p>
    <w:p w14:paraId="4B3311CB" w14:textId="10C8A779" w:rsidR="00D67018" w:rsidRPr="00BD6C5F" w:rsidRDefault="00D67018" w:rsidP="00FD4E48">
      <w:pPr>
        <w:pStyle w:val="AppendixText2"/>
        <w:keepNext/>
      </w:pPr>
      <w:bookmarkStart w:id="1955" w:name="_Ref73503791"/>
      <w:bookmarkStart w:id="1956" w:name="_Toc79405464"/>
      <w:r w:rsidRPr="00BD6C5F">
        <w:t>If, at any time, the IDTA no longer provides Appropriate Safeguards the Parties must Without Undue Delay:</w:t>
      </w:r>
      <w:bookmarkEnd w:id="1955"/>
      <w:bookmarkEnd w:id="1956"/>
      <w:r w:rsidRPr="00BD6C5F">
        <w:t xml:space="preserve"> </w:t>
      </w:r>
    </w:p>
    <w:p w14:paraId="013E712A" w14:textId="77777777" w:rsidR="00D67018" w:rsidRPr="00BD6C5F" w:rsidRDefault="00D67018" w:rsidP="00F762C3">
      <w:pPr>
        <w:pStyle w:val="AppendixText3"/>
      </w:pPr>
      <w:r w:rsidRPr="00BD6C5F">
        <w:t xml:space="preserve">pause transfers and Processing of Transferred Data whilst a change to the Tables is agreed. The Importer may retain a copy of the Transferred Data during this pause, in which case the Importer must carry out any Processing required to maintain, so far as possible, the measures it was taking to achieve the Appropriate Safeguards prior to the time the IDTA no longer provided Appropriate Safeguards, but no other Processing; </w:t>
      </w:r>
    </w:p>
    <w:p w14:paraId="5388189F" w14:textId="13594BEF" w:rsidR="00D67018" w:rsidRPr="00BD6C5F" w:rsidRDefault="00D67018" w:rsidP="00F762C3">
      <w:pPr>
        <w:pStyle w:val="AppendixText3"/>
      </w:pPr>
      <w:r w:rsidRPr="00BD6C5F">
        <w:t xml:space="preserve">agree a change to Part one: Tables or Part two: Extra Protection Clauses which will maintain the Appropriate Safeguards (in accordance with Section </w:t>
      </w:r>
      <w:r w:rsidR="0010425E" w:rsidRPr="00BD6C5F">
        <w:rPr>
          <w:cs/>
        </w:rPr>
        <w:t>‎</w:t>
      </w:r>
      <w:r w:rsidR="0010425E" w:rsidRPr="00BD6C5F">
        <w:t>5</w:t>
      </w:r>
      <w:r w:rsidRPr="00BD6C5F">
        <w:t>); and</w:t>
      </w:r>
    </w:p>
    <w:p w14:paraId="272566BA" w14:textId="77777777" w:rsidR="00D67018" w:rsidRPr="00BD6C5F" w:rsidRDefault="00D67018" w:rsidP="00F762C3">
      <w:pPr>
        <w:pStyle w:val="AppendixText3"/>
      </w:pPr>
      <w:r w:rsidRPr="00BD6C5F">
        <w:t>where a change to Part one: Tables or Part two: Extra Protection Clauses which maintains the Appropriate Safeguards cannot be agreed, the Exporter must end this IDTA by written notice on the Importer.</w:t>
      </w:r>
    </w:p>
    <w:p w14:paraId="60E2C024" w14:textId="77777777" w:rsidR="00D67018" w:rsidRPr="00BD6C5F" w:rsidRDefault="00D67018" w:rsidP="00F762C3">
      <w:pPr>
        <w:pStyle w:val="AppendixText1"/>
      </w:pPr>
      <w:r w:rsidRPr="00BD6C5F">
        <w:t>The ICO</w:t>
      </w:r>
    </w:p>
    <w:p w14:paraId="75F2055C" w14:textId="77777777" w:rsidR="00D67018" w:rsidRPr="00BD6C5F" w:rsidRDefault="00D67018" w:rsidP="00F762C3">
      <w:pPr>
        <w:pStyle w:val="AppendixText2"/>
      </w:pPr>
      <w:bookmarkStart w:id="1957" w:name="_Ref73503682"/>
      <w:bookmarkStart w:id="1958" w:name="_Toc79405466"/>
      <w:bookmarkStart w:id="1959" w:name="_Ref73503245"/>
      <w:r w:rsidRPr="00BD6C5F">
        <w:t>Each Party agrees to comply with any reasonable requests made by the ICO in relation to this IDTA or its Processing of the Transferred Data.</w:t>
      </w:r>
      <w:bookmarkEnd w:id="1957"/>
      <w:bookmarkEnd w:id="1958"/>
    </w:p>
    <w:p w14:paraId="60C483EB" w14:textId="77777777" w:rsidR="00D67018" w:rsidRPr="00BD6C5F" w:rsidRDefault="00D67018" w:rsidP="00F762C3">
      <w:pPr>
        <w:pStyle w:val="AppendixText2"/>
      </w:pPr>
      <w:bookmarkStart w:id="1960" w:name="_Toc79405467"/>
      <w:r w:rsidRPr="00BD6C5F">
        <w:t>The Exporter will provide a copy of any TRA, the Importer Information and this IDTA to the ICO, if the ICO requests.</w:t>
      </w:r>
      <w:bookmarkEnd w:id="1960"/>
    </w:p>
    <w:p w14:paraId="6E05C4FB" w14:textId="77777777" w:rsidR="00D67018" w:rsidRPr="00BD6C5F" w:rsidRDefault="00D67018" w:rsidP="00F762C3">
      <w:pPr>
        <w:pStyle w:val="AppendixText2"/>
      </w:pPr>
      <w:bookmarkStart w:id="1961" w:name="_Toc79405468"/>
      <w:r w:rsidRPr="00BD6C5F">
        <w:t>The Importer will provide a copy of any Importer Information and this IDTA to the ICO, if the ICO requests.</w:t>
      </w:r>
      <w:bookmarkEnd w:id="1961"/>
    </w:p>
    <w:p w14:paraId="6E62BFA0" w14:textId="288A59CA" w:rsidR="00D67018" w:rsidRPr="00BD6C5F" w:rsidRDefault="00D67018" w:rsidP="00DA04BE">
      <w:pPr>
        <w:keepNext/>
        <w:keepLines/>
        <w:widowControl/>
        <w:spacing w:before="240" w:after="120"/>
        <w:rPr>
          <w:b/>
          <w:bCs/>
        </w:rPr>
      </w:pPr>
      <w:r w:rsidRPr="00BD6C5F">
        <w:rPr>
          <w:b/>
          <w:bCs/>
        </w:rPr>
        <w:t xml:space="preserve">The Exporter </w:t>
      </w:r>
      <w:bookmarkEnd w:id="1959"/>
    </w:p>
    <w:p w14:paraId="5D5E536F" w14:textId="2002A9C4" w:rsidR="00D67018" w:rsidRPr="00BD6C5F" w:rsidRDefault="00D67018" w:rsidP="00F762C3">
      <w:pPr>
        <w:pStyle w:val="AppendixText1"/>
      </w:pPr>
      <w:r w:rsidRPr="00BD6C5F">
        <w:t>Exporter</w:t>
      </w:r>
      <w:r w:rsidR="00A4555C" w:rsidRPr="00BD6C5F">
        <w:t>’</w:t>
      </w:r>
      <w:r w:rsidRPr="00BD6C5F">
        <w:t>s obligations</w:t>
      </w:r>
    </w:p>
    <w:p w14:paraId="06B3C256" w14:textId="77777777" w:rsidR="00D67018" w:rsidRPr="00BD6C5F" w:rsidRDefault="00D67018" w:rsidP="00F762C3">
      <w:pPr>
        <w:pStyle w:val="AppendixText2"/>
      </w:pPr>
      <w:bookmarkStart w:id="1962" w:name="_Toc79405470"/>
      <w:bookmarkStart w:id="1963" w:name="_Ref77596401"/>
      <w:bookmarkStart w:id="1964" w:name="_Ref70725023"/>
      <w:r w:rsidRPr="00BD6C5F">
        <w:t xml:space="preserve">The Exporter agrees that </w:t>
      </w:r>
      <w:bookmarkStart w:id="1965" w:name="_Ref77317945"/>
      <w:bookmarkEnd w:id="1962"/>
      <w:r w:rsidRPr="00BD6C5F">
        <w:t>UK Data Protection Laws apply to its Processing of the Transferred Data, including transferring it to the Importer.</w:t>
      </w:r>
      <w:bookmarkEnd w:id="1963"/>
      <w:bookmarkEnd w:id="1965"/>
    </w:p>
    <w:p w14:paraId="39331E21" w14:textId="77777777" w:rsidR="00D67018" w:rsidRPr="00BD6C5F" w:rsidRDefault="00D67018" w:rsidP="00FD4E48">
      <w:pPr>
        <w:pStyle w:val="AppendixText2"/>
        <w:keepNext/>
      </w:pPr>
      <w:bookmarkStart w:id="1966" w:name="_Ref71148417"/>
      <w:r w:rsidRPr="00BD6C5F">
        <w:t>The Exporter must:</w:t>
      </w:r>
    </w:p>
    <w:p w14:paraId="7917BD5D" w14:textId="77777777" w:rsidR="00D67018" w:rsidRPr="00BD6C5F" w:rsidRDefault="00D67018" w:rsidP="00F762C3">
      <w:pPr>
        <w:pStyle w:val="AppendixText3"/>
      </w:pPr>
      <w:r w:rsidRPr="00BD6C5F">
        <w:t>comply with the UK Data Protection Laws in transferring the Transferred Data to the Importer;</w:t>
      </w:r>
      <w:bookmarkEnd w:id="1966"/>
    </w:p>
    <w:p w14:paraId="1EC88FC6" w14:textId="77777777" w:rsidR="00D67018" w:rsidRPr="00BD6C5F" w:rsidRDefault="00D67018" w:rsidP="00F762C3">
      <w:pPr>
        <w:pStyle w:val="AppendixText3"/>
      </w:pPr>
      <w:r w:rsidRPr="00BD6C5F">
        <w:t xml:space="preserve">comply with the Linked Agreement as it relates to its transferring the Transferred Data to the Importer; and </w:t>
      </w:r>
    </w:p>
    <w:p w14:paraId="0F40637E" w14:textId="6A3EA5A1" w:rsidR="00D67018" w:rsidRPr="00BD6C5F" w:rsidRDefault="00D67018" w:rsidP="00F762C3">
      <w:pPr>
        <w:pStyle w:val="AppendixText3"/>
      </w:pPr>
      <w:r w:rsidRPr="00BD6C5F">
        <w:t>carry out reasonable checks on the Importer</w:t>
      </w:r>
      <w:r w:rsidR="00A4555C" w:rsidRPr="00BD6C5F">
        <w:t>’</w:t>
      </w:r>
      <w:r w:rsidRPr="00BD6C5F">
        <w:t xml:space="preserve">s ability to comply with this IDTA, and take appropriate action including under Section </w:t>
      </w:r>
      <w:r w:rsidR="0010425E" w:rsidRPr="00BD6C5F">
        <w:rPr>
          <w:cs/>
        </w:rPr>
        <w:t>‎</w:t>
      </w:r>
      <w:r w:rsidR="0010425E" w:rsidRPr="00BD6C5F">
        <w:t>9.2</w:t>
      </w:r>
      <w:r w:rsidRPr="00BD6C5F">
        <w:t xml:space="preserve">, Section </w:t>
      </w:r>
      <w:r w:rsidR="0010425E" w:rsidRPr="00BD6C5F">
        <w:rPr>
          <w:cs/>
        </w:rPr>
        <w:t>‎</w:t>
      </w:r>
      <w:r w:rsidR="0010425E" w:rsidRPr="00BD6C5F">
        <w:t>29</w:t>
      </w:r>
      <w:r w:rsidRPr="00BD6C5F">
        <w:t xml:space="preserve"> or Section </w:t>
      </w:r>
      <w:r w:rsidR="0010425E" w:rsidRPr="00BD6C5F">
        <w:rPr>
          <w:cs/>
        </w:rPr>
        <w:t>‎</w:t>
      </w:r>
      <w:r w:rsidR="0010425E" w:rsidRPr="00BD6C5F">
        <w:t>30</w:t>
      </w:r>
      <w:r w:rsidRPr="00BD6C5F">
        <w:t>, if at any time it no longer considers that the Importer is able to comply with this IDTA or to provide Appropriate Safeguards.</w:t>
      </w:r>
    </w:p>
    <w:p w14:paraId="343593F8" w14:textId="77777777" w:rsidR="00D67018" w:rsidRPr="00BD6C5F" w:rsidRDefault="00D67018" w:rsidP="00F762C3">
      <w:pPr>
        <w:pStyle w:val="AppendixText2"/>
      </w:pPr>
      <w:bookmarkStart w:id="1967" w:name="_Toc79405471"/>
      <w:r w:rsidRPr="00BD6C5F">
        <w:lastRenderedPageBreak/>
        <w:t>The Exporter must comply with all its obligations in the IDTA, including any in the Security Requirements, and any Extra Protection Clauses and any Commercial Clauses.</w:t>
      </w:r>
      <w:bookmarkEnd w:id="1967"/>
    </w:p>
    <w:p w14:paraId="067A579B" w14:textId="77777777" w:rsidR="00D67018" w:rsidRPr="00BD6C5F" w:rsidRDefault="00D67018" w:rsidP="00F762C3">
      <w:pPr>
        <w:pStyle w:val="AppendixText2"/>
      </w:pPr>
      <w:bookmarkStart w:id="1968" w:name="_Ref71912596"/>
      <w:bookmarkStart w:id="1969" w:name="_Ref77596482"/>
      <w:bookmarkStart w:id="1970" w:name="_Toc79405472"/>
      <w:bookmarkStart w:id="1971" w:name="_Ref71515290"/>
      <w:r w:rsidRPr="00BD6C5F">
        <w:t xml:space="preserve">The Exporter </w:t>
      </w:r>
      <w:bookmarkEnd w:id="1968"/>
      <w:r w:rsidRPr="00BD6C5F">
        <w:t>must co-operate with reasonable requests of the Importer to pass on notices or other information to and from Relevant Data Subjects or any Third Party Controller where it is not reasonably practical for the Importer to do so. The Exporter may pass these on via a third party if it is reasonable to do so.</w:t>
      </w:r>
      <w:bookmarkEnd w:id="1969"/>
      <w:bookmarkEnd w:id="1970"/>
      <w:r w:rsidRPr="00BD6C5F">
        <w:t xml:space="preserve"> </w:t>
      </w:r>
    </w:p>
    <w:p w14:paraId="1E7F85DD" w14:textId="77777777" w:rsidR="00D67018" w:rsidRPr="00BD6C5F" w:rsidRDefault="00D67018" w:rsidP="00F762C3">
      <w:pPr>
        <w:pStyle w:val="AppendixText2"/>
      </w:pPr>
      <w:bookmarkStart w:id="1972" w:name="_Toc79405473"/>
      <w:r w:rsidRPr="00BD6C5F">
        <w:t>The Exporter must co-operate with and provide reasonable assistance to the Importer, so that the Importer is able to comply with its obligations to the Relevant Data Subjects under Local Law and this IDTA.</w:t>
      </w:r>
      <w:bookmarkEnd w:id="1972"/>
    </w:p>
    <w:p w14:paraId="1D3F3DBD" w14:textId="77777777" w:rsidR="00D67018" w:rsidRPr="00BD6C5F" w:rsidRDefault="00D67018" w:rsidP="00DA04BE">
      <w:pPr>
        <w:keepNext/>
        <w:keepLines/>
        <w:widowControl/>
        <w:spacing w:before="240" w:after="120"/>
        <w:rPr>
          <w:b/>
          <w:bCs/>
        </w:rPr>
      </w:pPr>
      <w:bookmarkStart w:id="1973" w:name="_Ref73503819"/>
      <w:bookmarkEnd w:id="1964"/>
      <w:bookmarkEnd w:id="1971"/>
      <w:r w:rsidRPr="00BD6C5F">
        <w:rPr>
          <w:b/>
          <w:bCs/>
        </w:rPr>
        <w:t>The Importer</w:t>
      </w:r>
    </w:p>
    <w:p w14:paraId="1E3035F5" w14:textId="77777777" w:rsidR="00D67018" w:rsidRPr="00BD6C5F" w:rsidRDefault="00D67018" w:rsidP="00F762C3">
      <w:pPr>
        <w:pStyle w:val="AppendixText1"/>
      </w:pPr>
      <w:r w:rsidRPr="00BD6C5F">
        <w:t>General Importer obligations</w:t>
      </w:r>
    </w:p>
    <w:p w14:paraId="3A92B79E" w14:textId="5604F12C" w:rsidR="00D67018" w:rsidRPr="00BD6C5F" w:rsidRDefault="00D67018" w:rsidP="00FD4E48">
      <w:pPr>
        <w:pStyle w:val="AppendixText2"/>
        <w:keepNext/>
      </w:pPr>
      <w:bookmarkStart w:id="1974" w:name="_Ref73506248"/>
      <w:bookmarkStart w:id="1975" w:name="_Ref73507610"/>
      <w:bookmarkStart w:id="1976" w:name="_Toc79405475"/>
      <w:bookmarkEnd w:id="1973"/>
      <w:r w:rsidRPr="00BD6C5F">
        <w:t>The Importer must:</w:t>
      </w:r>
      <w:bookmarkEnd w:id="1974"/>
      <w:bookmarkEnd w:id="1975"/>
      <w:bookmarkEnd w:id="1976"/>
      <w:r w:rsidRPr="00BD6C5F">
        <w:t xml:space="preserve"> </w:t>
      </w:r>
    </w:p>
    <w:p w14:paraId="299B0A68" w14:textId="77777777" w:rsidR="00D67018" w:rsidRPr="00BD6C5F" w:rsidRDefault="00D67018" w:rsidP="00F762C3">
      <w:pPr>
        <w:pStyle w:val="AppendixText3"/>
      </w:pPr>
      <w:r w:rsidRPr="00BD6C5F">
        <w:t>only Process the Transferred Data for the Purpose;</w:t>
      </w:r>
    </w:p>
    <w:p w14:paraId="3BEB01BC" w14:textId="77777777" w:rsidR="00D67018" w:rsidRPr="00BD6C5F" w:rsidRDefault="00D67018" w:rsidP="00F762C3">
      <w:pPr>
        <w:pStyle w:val="AppendixText3"/>
      </w:pPr>
      <w:bookmarkStart w:id="1977" w:name="_Ref77596530"/>
      <w:bookmarkStart w:id="1978" w:name="_Ref71495862"/>
      <w:r w:rsidRPr="00BD6C5F">
        <w:t>comply with all its obligations in the IDTA, including in the Security Requirements, any Extra Protection Clauses and any Commercial Clauses;</w:t>
      </w:r>
      <w:bookmarkEnd w:id="1977"/>
    </w:p>
    <w:p w14:paraId="41AE6DDA" w14:textId="77777777" w:rsidR="00D67018" w:rsidRPr="00BD6C5F" w:rsidRDefault="00D67018" w:rsidP="00F762C3">
      <w:pPr>
        <w:pStyle w:val="AppendixText3"/>
      </w:pPr>
      <w:bookmarkStart w:id="1979" w:name="_Ref77596560"/>
      <w:r w:rsidRPr="00BD6C5F">
        <w:t>comply with all its obligations in the Linked Agreement which relate to its Processing of the Transferred Data;</w:t>
      </w:r>
      <w:bookmarkEnd w:id="1979"/>
    </w:p>
    <w:p w14:paraId="5BB914E4" w14:textId="1EC59514" w:rsidR="00D67018" w:rsidRPr="00BD6C5F" w:rsidRDefault="00D67018" w:rsidP="00F762C3">
      <w:pPr>
        <w:pStyle w:val="AppendixText3"/>
      </w:pPr>
      <w:bookmarkStart w:id="1980" w:name="_Ref77597260"/>
      <w:bookmarkEnd w:id="1978"/>
      <w:r w:rsidRPr="00BD6C5F">
        <w:t>keep a written record of its Processing of the Transferred Data, which demonstrate its compliance with this IDTA, and provide this written record if asked to do so by the Exporter;</w:t>
      </w:r>
      <w:bookmarkEnd w:id="1980"/>
    </w:p>
    <w:p w14:paraId="666360B8" w14:textId="605399DF" w:rsidR="00D67018" w:rsidRPr="00BD6C5F" w:rsidRDefault="00D67018" w:rsidP="00F762C3">
      <w:pPr>
        <w:pStyle w:val="AppendixText3"/>
      </w:pPr>
      <w:bookmarkStart w:id="1981" w:name="_Ref77597273"/>
      <w:r w:rsidRPr="00BD6C5F">
        <w:t>if the Linked Agreement includes rights for the Exporter to obtain information or carry out an audit, provide the Exporter with the same rights in relation to this IDTA; and</w:t>
      </w:r>
      <w:bookmarkEnd w:id="1981"/>
    </w:p>
    <w:p w14:paraId="0D825048" w14:textId="0A8FDE35" w:rsidR="00D67018" w:rsidRPr="00BD6C5F" w:rsidRDefault="00D67018" w:rsidP="00F762C3">
      <w:pPr>
        <w:pStyle w:val="AppendixText3"/>
      </w:pPr>
      <w:bookmarkStart w:id="1982" w:name="_Ref77318003"/>
      <w:r w:rsidRPr="00BD6C5F">
        <w:t xml:space="preserve">if the ICO requests, provide the ICO with the information it would be required on request to provide to the Exporter under this Section </w:t>
      </w:r>
      <w:r w:rsidR="0010425E" w:rsidRPr="00BD6C5F">
        <w:rPr>
          <w:cs/>
        </w:rPr>
        <w:t>‎</w:t>
      </w:r>
      <w:r w:rsidR="0010425E" w:rsidRPr="00BD6C5F">
        <w:t>12.1</w:t>
      </w:r>
      <w:r w:rsidRPr="00BD6C5F">
        <w:t xml:space="preserve"> (including the written record of its Processing, and the results of audits and inspections).</w:t>
      </w:r>
      <w:bookmarkEnd w:id="1982"/>
    </w:p>
    <w:p w14:paraId="5B4EA109" w14:textId="68A80BA5" w:rsidR="00D67018" w:rsidRPr="00BD6C5F" w:rsidRDefault="00D67018" w:rsidP="00F762C3">
      <w:pPr>
        <w:pStyle w:val="AppendixText2"/>
      </w:pPr>
      <w:bookmarkStart w:id="1983" w:name="_Toc79405476"/>
      <w:r w:rsidRPr="00BD6C5F">
        <w:t>The Importer must co-operate with and provide reasonable assistance to the Exporter and any Third Party Controller, so that the Exporter and any Third Party Controller are able to comply with their obligations under UK Data Protection Laws and this IDTA.</w:t>
      </w:r>
      <w:bookmarkEnd w:id="1983"/>
      <w:r w:rsidRPr="00BD6C5F">
        <w:t xml:space="preserve"> </w:t>
      </w:r>
    </w:p>
    <w:p w14:paraId="7284D006" w14:textId="3BB01B29" w:rsidR="00D67018" w:rsidRPr="00BD6C5F" w:rsidRDefault="00D67018" w:rsidP="0009207B">
      <w:pPr>
        <w:pStyle w:val="AppendixText1"/>
      </w:pPr>
      <w:r w:rsidRPr="00BD6C5F">
        <w:t>Importer</w:t>
      </w:r>
      <w:r w:rsidR="00A4555C" w:rsidRPr="00BD6C5F">
        <w:t>’</w:t>
      </w:r>
      <w:r w:rsidRPr="00BD6C5F">
        <w:t>s obligations if it is subject to the UK Data Protection Laws</w:t>
      </w:r>
    </w:p>
    <w:p w14:paraId="6C2D7CC0" w14:textId="48F4A57C" w:rsidR="00D67018" w:rsidRPr="00BD6C5F" w:rsidRDefault="00D67018" w:rsidP="00FD4E48">
      <w:pPr>
        <w:pStyle w:val="AppendixText2"/>
        <w:keepNext/>
      </w:pPr>
      <w:bookmarkStart w:id="1984" w:name="_Ref76468174"/>
      <w:bookmarkStart w:id="1985" w:name="_Toc79405478"/>
      <w:r w:rsidRPr="00BD6C5F">
        <w:t>If the Importer</w:t>
      </w:r>
      <w:r w:rsidR="00A4555C" w:rsidRPr="00BD6C5F">
        <w:t>’</w:t>
      </w:r>
      <w:r w:rsidRPr="00BD6C5F">
        <w:t>s Processing of the Transferred Data is subject to UK Data Protection Laws, it agrees that:</w:t>
      </w:r>
      <w:bookmarkEnd w:id="1984"/>
      <w:bookmarkEnd w:id="1985"/>
    </w:p>
    <w:p w14:paraId="2817B448" w14:textId="77777777" w:rsidR="00D67018" w:rsidRPr="00BD6C5F" w:rsidRDefault="00D67018" w:rsidP="0009207B">
      <w:pPr>
        <w:pStyle w:val="AppendixText3"/>
      </w:pPr>
      <w:r w:rsidRPr="00BD6C5F">
        <w:t>UK Data Protection Laws apply to its Processing of the Transferred Data, and the ICO has jurisdiction over it in that respect; and</w:t>
      </w:r>
    </w:p>
    <w:p w14:paraId="306C029A" w14:textId="77777777" w:rsidR="00D67018" w:rsidRPr="00BD6C5F" w:rsidRDefault="00D67018" w:rsidP="0009207B">
      <w:pPr>
        <w:pStyle w:val="AppendixText3"/>
      </w:pPr>
      <w:r w:rsidRPr="00BD6C5F">
        <w:t>it has and will comply with the UK Data Protection Laws in relation to the Processing of the Transferred Data.</w:t>
      </w:r>
    </w:p>
    <w:p w14:paraId="3AAC9C9F" w14:textId="46AFB591" w:rsidR="00D67018" w:rsidRPr="00BD6C5F" w:rsidRDefault="00D67018" w:rsidP="00FD4E48">
      <w:pPr>
        <w:pStyle w:val="AppendixText2"/>
        <w:keepNext/>
      </w:pPr>
      <w:r w:rsidRPr="00BD6C5F">
        <w:lastRenderedPageBreak/>
        <w:t xml:space="preserve">If Section </w:t>
      </w:r>
      <w:r w:rsidR="0010425E" w:rsidRPr="00BD6C5F">
        <w:rPr>
          <w:cs/>
        </w:rPr>
        <w:t>‎</w:t>
      </w:r>
      <w:r w:rsidR="0010425E" w:rsidRPr="00BD6C5F">
        <w:t>13.1</w:t>
      </w:r>
      <w:r w:rsidRPr="00BD6C5F">
        <w:t xml:space="preserve"> applies and the Importer complies with Section </w:t>
      </w:r>
      <w:r w:rsidR="0010425E" w:rsidRPr="00BD6C5F">
        <w:rPr>
          <w:cs/>
        </w:rPr>
        <w:t>‎</w:t>
      </w:r>
      <w:r w:rsidR="0010425E" w:rsidRPr="00BD6C5F">
        <w:t>13.1</w:t>
      </w:r>
      <w:r w:rsidRPr="00BD6C5F">
        <w:t>, it does not need to comply with:</w:t>
      </w:r>
    </w:p>
    <w:p w14:paraId="0B014EF7" w14:textId="20AC1AF3" w:rsidR="00D67018" w:rsidRPr="00BD6C5F" w:rsidRDefault="00D67018" w:rsidP="0009207B">
      <w:pPr>
        <w:pStyle w:val="AppendixText3"/>
      </w:pPr>
      <w:bookmarkStart w:id="1986" w:name="_Toc79405480"/>
      <w:r w:rsidRPr="00BD6C5F">
        <w:t xml:space="preserve">Section </w:t>
      </w:r>
      <w:r w:rsidR="0010425E" w:rsidRPr="00BD6C5F">
        <w:rPr>
          <w:cs/>
        </w:rPr>
        <w:t>‎</w:t>
      </w:r>
      <w:r w:rsidR="0010425E" w:rsidRPr="00BD6C5F">
        <w:t>14</w:t>
      </w:r>
      <w:r w:rsidRPr="00BD6C5F">
        <w:t xml:space="preserve"> (Importer</w:t>
      </w:r>
      <w:r w:rsidR="00A4555C" w:rsidRPr="00BD6C5F">
        <w:t>’</w:t>
      </w:r>
      <w:r w:rsidRPr="00BD6C5F">
        <w:t>s obligations to comply with key data protection principles);</w:t>
      </w:r>
      <w:bookmarkEnd w:id="1986"/>
    </w:p>
    <w:p w14:paraId="4C3F0CFB" w14:textId="335B9328" w:rsidR="00D67018" w:rsidRPr="00BD6C5F" w:rsidRDefault="00D67018" w:rsidP="0009207B">
      <w:pPr>
        <w:pStyle w:val="AppendixText3"/>
      </w:pPr>
      <w:bookmarkStart w:id="1987" w:name="_Toc79405481"/>
      <w:r w:rsidRPr="00BD6C5F">
        <w:t xml:space="preserve">Section </w:t>
      </w:r>
      <w:r w:rsidR="0010425E" w:rsidRPr="00BD6C5F">
        <w:rPr>
          <w:cs/>
        </w:rPr>
        <w:t>‎</w:t>
      </w:r>
      <w:r w:rsidR="0010425E" w:rsidRPr="00BD6C5F">
        <w:t>15</w:t>
      </w:r>
      <w:r w:rsidRPr="00BD6C5F">
        <w:t xml:space="preserve"> (What happens if there is an Importer Personal Data Breach);</w:t>
      </w:r>
      <w:bookmarkEnd w:id="1987"/>
    </w:p>
    <w:p w14:paraId="29E1DC51" w14:textId="701BAB8B" w:rsidR="00D67018" w:rsidRPr="00BD6C5F" w:rsidRDefault="00D67018" w:rsidP="0009207B">
      <w:pPr>
        <w:pStyle w:val="AppendixText3"/>
      </w:pPr>
      <w:bookmarkStart w:id="1988" w:name="_Toc79405482"/>
      <w:r w:rsidRPr="00BD6C5F">
        <w:t xml:space="preserve">Section </w:t>
      </w:r>
      <w:r w:rsidR="0010425E" w:rsidRPr="00BD6C5F">
        <w:rPr>
          <w:cs/>
        </w:rPr>
        <w:t>‎</w:t>
      </w:r>
      <w:r w:rsidR="00562895" w:rsidRPr="00BD6C5F">
        <w:t>20</w:t>
      </w:r>
      <w:r w:rsidRPr="00BD6C5F">
        <w:t xml:space="preserve"> (How Relevant Data Subjects can exercise their data subject rights); and</w:t>
      </w:r>
      <w:bookmarkEnd w:id="1988"/>
    </w:p>
    <w:p w14:paraId="58CDCED0" w14:textId="65761031" w:rsidR="00D67018" w:rsidRPr="00BD6C5F" w:rsidRDefault="00D67018" w:rsidP="0009207B">
      <w:pPr>
        <w:pStyle w:val="AppendixText3"/>
      </w:pPr>
      <w:bookmarkStart w:id="1989" w:name="_Toc79405483"/>
      <w:r w:rsidRPr="00BD6C5F">
        <w:t xml:space="preserve">Section </w:t>
      </w:r>
      <w:r w:rsidR="0010425E" w:rsidRPr="00BD6C5F">
        <w:rPr>
          <w:cs/>
        </w:rPr>
        <w:t>‎</w:t>
      </w:r>
      <w:r w:rsidR="0010425E" w:rsidRPr="00BD6C5F">
        <w:t>21</w:t>
      </w:r>
      <w:r w:rsidRPr="00BD6C5F">
        <w:t xml:space="preserve"> (How Relevant Data Subjects can exercise their data subject rights – if the Importer is the Exporter</w:t>
      </w:r>
      <w:r w:rsidR="00A4555C" w:rsidRPr="00BD6C5F">
        <w:t>’</w:t>
      </w:r>
      <w:r w:rsidRPr="00BD6C5F">
        <w:t>s Processor or Sub-Processor).</w:t>
      </w:r>
      <w:bookmarkEnd w:id="1989"/>
    </w:p>
    <w:p w14:paraId="6A83F506" w14:textId="398AC578" w:rsidR="00D67018" w:rsidRPr="00BD6C5F" w:rsidRDefault="00D67018" w:rsidP="0009207B">
      <w:pPr>
        <w:pStyle w:val="AppendixText1"/>
      </w:pPr>
      <w:r w:rsidRPr="00BD6C5F">
        <w:t>Importer</w:t>
      </w:r>
      <w:r w:rsidR="00A4555C" w:rsidRPr="00BD6C5F">
        <w:t>’</w:t>
      </w:r>
      <w:r w:rsidRPr="00BD6C5F">
        <w:t>s obligations to comply with key data protection principles</w:t>
      </w:r>
    </w:p>
    <w:p w14:paraId="635BE3DC" w14:textId="1040A284" w:rsidR="00D67018" w:rsidRPr="00BD6C5F" w:rsidRDefault="00D67018" w:rsidP="0009207B">
      <w:pPr>
        <w:pStyle w:val="AppendixText2"/>
      </w:pPr>
      <w:bookmarkStart w:id="1990" w:name="_Toc79405485"/>
      <w:bookmarkStart w:id="1991" w:name="_Ref71147662"/>
      <w:bookmarkStart w:id="1992" w:name="_Ref73375872"/>
      <w:r w:rsidRPr="00BD6C5F">
        <w:t xml:space="preserve">The Importer does not need to comply with this Section </w:t>
      </w:r>
      <w:r w:rsidR="0010425E" w:rsidRPr="00BD6C5F">
        <w:rPr>
          <w:cs/>
        </w:rPr>
        <w:t>‎</w:t>
      </w:r>
      <w:r w:rsidR="0010425E" w:rsidRPr="00BD6C5F">
        <w:t>14</w:t>
      </w:r>
      <w:r w:rsidRPr="00BD6C5F">
        <w:t xml:space="preserve"> if it is the Exporter</w:t>
      </w:r>
      <w:r w:rsidR="00A4555C" w:rsidRPr="00BD6C5F">
        <w:t>’</w:t>
      </w:r>
      <w:r w:rsidRPr="00BD6C5F">
        <w:t>s Processor or Sub-Processor.</w:t>
      </w:r>
      <w:bookmarkEnd w:id="1990"/>
    </w:p>
    <w:p w14:paraId="5741525A" w14:textId="51CB984F" w:rsidR="00D67018" w:rsidRPr="00BD6C5F" w:rsidRDefault="00D67018" w:rsidP="00FD4E48">
      <w:pPr>
        <w:pStyle w:val="AppendixText2"/>
        <w:keepNext/>
      </w:pPr>
      <w:bookmarkStart w:id="1993" w:name="_Toc79405486"/>
      <w:r w:rsidRPr="00BD6C5F">
        <w:t>The Importer must:</w:t>
      </w:r>
      <w:bookmarkEnd w:id="1991"/>
      <w:bookmarkEnd w:id="1992"/>
      <w:bookmarkEnd w:id="1993"/>
      <w:r w:rsidRPr="00BD6C5F" w:rsidDel="002A5F86">
        <w:t xml:space="preserve"> </w:t>
      </w:r>
    </w:p>
    <w:p w14:paraId="000121F6" w14:textId="77777777" w:rsidR="00D67018" w:rsidRPr="00BD6C5F" w:rsidRDefault="00D67018" w:rsidP="0009207B">
      <w:pPr>
        <w:pStyle w:val="AppendixText3"/>
      </w:pPr>
      <w:r w:rsidRPr="00BD6C5F">
        <w:t xml:space="preserve">ensure that the Transferred Data it Processes is adequate, relevant and limited to what is necessary for the Purpose; </w:t>
      </w:r>
    </w:p>
    <w:p w14:paraId="468096FC" w14:textId="77777777" w:rsidR="00D67018" w:rsidRPr="00BD6C5F" w:rsidRDefault="00D67018" w:rsidP="0009207B">
      <w:pPr>
        <w:pStyle w:val="AppendixText3"/>
      </w:pPr>
      <w:r w:rsidRPr="00BD6C5F">
        <w:t>ensure that the Transferred Data it Processes is accurate and (where necessary) kept up to date, and (where appropriate considering the Purposes) correct or delete any inaccurate Transferred Data it becomes aware of Without Undue Delay; and</w:t>
      </w:r>
    </w:p>
    <w:p w14:paraId="4E2D195D" w14:textId="77777777" w:rsidR="00D67018" w:rsidRPr="00BD6C5F" w:rsidRDefault="00D67018" w:rsidP="0009207B">
      <w:pPr>
        <w:pStyle w:val="AppendixText3"/>
      </w:pPr>
      <w:r w:rsidRPr="00BD6C5F">
        <w:t xml:space="preserve">ensure that it Processes the Transferred Data for no longer than is reasonably necessary for the Purpose. </w:t>
      </w:r>
    </w:p>
    <w:p w14:paraId="3332E7FE" w14:textId="77777777" w:rsidR="00D67018" w:rsidRPr="00BD6C5F" w:rsidRDefault="00D67018" w:rsidP="0009207B">
      <w:pPr>
        <w:pStyle w:val="AppendixText1"/>
      </w:pPr>
      <w:r w:rsidRPr="00BD6C5F">
        <w:t>What happens if there is an Importer Personal Data Breach</w:t>
      </w:r>
    </w:p>
    <w:p w14:paraId="42FAC1A2" w14:textId="6057D659" w:rsidR="00D67018" w:rsidRPr="00BD6C5F" w:rsidRDefault="00D67018" w:rsidP="00FD4E48">
      <w:pPr>
        <w:pStyle w:val="AppendixText2"/>
        <w:keepNext/>
      </w:pPr>
      <w:bookmarkStart w:id="1994" w:name="_Toc79405488"/>
      <w:r w:rsidRPr="00BD6C5F">
        <w:t>If there is an Importer Personal Data Breach, the Importer must:</w:t>
      </w:r>
      <w:bookmarkEnd w:id="1994"/>
    </w:p>
    <w:p w14:paraId="28E32CD5" w14:textId="2F7165B8" w:rsidR="00D67018" w:rsidRPr="00BD6C5F" w:rsidRDefault="00D67018" w:rsidP="0009207B">
      <w:pPr>
        <w:pStyle w:val="AppendixText3"/>
      </w:pPr>
      <w:r w:rsidRPr="00BD6C5F">
        <w:t>take reasonable steps to fix it, including to minimise the harmful effects on Relevant Data Subjects, stop it from continuing, and prevent it happening again. If the Importer is the Exporter</w:t>
      </w:r>
      <w:r w:rsidR="00A4555C" w:rsidRPr="00BD6C5F">
        <w:t>’</w:t>
      </w:r>
      <w:r w:rsidRPr="00BD6C5F">
        <w:t>s Processor or Sub-Processor: these steps must comply with the Exporter</w:t>
      </w:r>
      <w:r w:rsidR="00A4555C" w:rsidRPr="00BD6C5F">
        <w:t>’</w:t>
      </w:r>
      <w:r w:rsidRPr="00BD6C5F">
        <w:t>s instructions and the Linked Agreement and be in co-operation with the Exporter and any Third Party Controller; and</w:t>
      </w:r>
    </w:p>
    <w:p w14:paraId="2E3BBE13" w14:textId="77777777" w:rsidR="00D67018" w:rsidRPr="00BD6C5F" w:rsidRDefault="00D67018" w:rsidP="0009207B">
      <w:pPr>
        <w:pStyle w:val="AppendixText3"/>
      </w:pPr>
      <w:r w:rsidRPr="00BD6C5F">
        <w:t>ensure that the Security Requirements continue to provide (or are changed in accordance with this IDTA so they do provide) a level of security which is appropriate to the risk of a Personal Data Breach occurring and the impact on Relevant Data Subjects of such a Personal Data Breach.</w:t>
      </w:r>
    </w:p>
    <w:p w14:paraId="44F79873" w14:textId="77777777" w:rsidR="00D67018" w:rsidRPr="00BD6C5F" w:rsidRDefault="00D67018" w:rsidP="00FD4E48">
      <w:pPr>
        <w:pStyle w:val="AppendixText2"/>
        <w:keepNext/>
      </w:pPr>
      <w:bookmarkStart w:id="1995" w:name="_Toc79405490"/>
      <w:r w:rsidRPr="00BD6C5F">
        <w:t xml:space="preserve">If the Importer is a Processor or Sub-Processor: if there is an Importer Personal Data Breach, the Importer must: </w:t>
      </w:r>
    </w:p>
    <w:p w14:paraId="69A03A6F" w14:textId="77777777" w:rsidR="00D67018" w:rsidRPr="00BD6C5F" w:rsidRDefault="00D67018" w:rsidP="00FD4E48">
      <w:pPr>
        <w:pStyle w:val="AppendixText3"/>
        <w:keepNext/>
      </w:pPr>
      <w:r w:rsidRPr="00BD6C5F">
        <w:t>notify the Exporter Without Undue Delay after becoming aware of the breach, providing the following information:</w:t>
      </w:r>
    </w:p>
    <w:p w14:paraId="42EE992E" w14:textId="7B897ADA" w:rsidR="00D67018" w:rsidRPr="0040545B" w:rsidRDefault="00D67018" w:rsidP="0040545B">
      <w:pPr>
        <w:pStyle w:val="AppendixText4"/>
      </w:pPr>
      <w:r w:rsidRPr="00BD6C5F">
        <w:t xml:space="preserve">a </w:t>
      </w:r>
      <w:r w:rsidRPr="0040545B">
        <w:t>description of the nature of the Importer Personal Data Breach;</w:t>
      </w:r>
    </w:p>
    <w:p w14:paraId="56773FEB" w14:textId="42A0BE39" w:rsidR="00D67018" w:rsidRPr="0040545B" w:rsidRDefault="00D67018" w:rsidP="0040545B">
      <w:pPr>
        <w:pStyle w:val="AppendixText4"/>
      </w:pPr>
      <w:r w:rsidRPr="0040545B">
        <w:lastRenderedPageBreak/>
        <w:t>(if and when possible) the categories and approximate number of Data Subjects and Transferred Data records concerned;</w:t>
      </w:r>
    </w:p>
    <w:p w14:paraId="37DBFBC7" w14:textId="7747F35A" w:rsidR="00D67018" w:rsidRPr="0040545B" w:rsidRDefault="00D67018" w:rsidP="0040545B">
      <w:pPr>
        <w:pStyle w:val="AppendixText4"/>
      </w:pPr>
      <w:r w:rsidRPr="0040545B">
        <w:t>likely consequences of the Importer Personal Data Breach;</w:t>
      </w:r>
    </w:p>
    <w:p w14:paraId="0D56E03B" w14:textId="1E4FCBB1" w:rsidR="00D67018" w:rsidRPr="0040545B" w:rsidRDefault="00D67018" w:rsidP="0040545B">
      <w:pPr>
        <w:pStyle w:val="AppendixText4"/>
      </w:pPr>
      <w:r w:rsidRPr="0040545B">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58E4F03A" w14:textId="764612D9" w:rsidR="00D67018" w:rsidRPr="0040545B" w:rsidRDefault="00D67018" w:rsidP="0040545B">
      <w:pPr>
        <w:pStyle w:val="AppendixText4"/>
      </w:pPr>
      <w:r w:rsidRPr="0040545B">
        <w:t>contact point for more information; and</w:t>
      </w:r>
    </w:p>
    <w:p w14:paraId="61E0D522" w14:textId="794E0EF5" w:rsidR="00D67018" w:rsidRPr="00BD6C5F" w:rsidRDefault="00D67018" w:rsidP="0040545B">
      <w:pPr>
        <w:pStyle w:val="AppendixText4"/>
      </w:pPr>
      <w:r w:rsidRPr="0040545B">
        <w:t>any other</w:t>
      </w:r>
      <w:r w:rsidRPr="00BD6C5F">
        <w:t xml:space="preserve"> information reasonably requested by the Exporter,</w:t>
      </w:r>
    </w:p>
    <w:p w14:paraId="095D610E" w14:textId="77777777" w:rsidR="00D67018" w:rsidRPr="00BD6C5F" w:rsidRDefault="00D67018" w:rsidP="0009207B">
      <w:pPr>
        <w:pStyle w:val="AppendixText3"/>
      </w:pPr>
      <w:r w:rsidRPr="00BD6C5F">
        <w:t>if it is not possible for the Importer to provide all the above information at the same time, it may do so in phases, Without Undue Delay; and</w:t>
      </w:r>
    </w:p>
    <w:p w14:paraId="5E61188C" w14:textId="77777777" w:rsidR="00D67018" w:rsidRPr="00BD6C5F" w:rsidRDefault="00D67018" w:rsidP="0009207B">
      <w:pPr>
        <w:pStyle w:val="AppendixText3"/>
      </w:pPr>
      <w:r w:rsidRPr="00BD6C5F">
        <w:t>assist the Exporter (and any Third Party Controller) so the Exporter (or any Third Party Controller) can inform Relevant Data Subjects or the ICO or any other relevant regulator or authority about the Importer Personal Data Breach Without Undue Delay.</w:t>
      </w:r>
    </w:p>
    <w:p w14:paraId="4DF7911E" w14:textId="1F3EED81" w:rsidR="00D67018" w:rsidRPr="00BD6C5F" w:rsidRDefault="00D67018" w:rsidP="0009207B">
      <w:pPr>
        <w:pStyle w:val="AppendixText2"/>
      </w:pPr>
      <w:r w:rsidRPr="00BD6C5F">
        <w:t>If the Importer is a Controller: if the Importer Personal Data Breach is likely to result in a risk to the rights or freedoms of any Relevant Data Subject the Importer must notify the Exporter Without Undue Delay after becoming aware of the breach, providing the following information:</w:t>
      </w:r>
      <w:bookmarkEnd w:id="1995"/>
    </w:p>
    <w:p w14:paraId="2D871912" w14:textId="77777777" w:rsidR="00D67018" w:rsidRPr="00BD6C5F" w:rsidRDefault="00D67018" w:rsidP="0009207B">
      <w:pPr>
        <w:pStyle w:val="AppendixText3"/>
      </w:pPr>
      <w:r w:rsidRPr="00BD6C5F">
        <w:t>a description of the nature of the Importer Personal Data Breach;</w:t>
      </w:r>
    </w:p>
    <w:p w14:paraId="32D993F8" w14:textId="77777777" w:rsidR="00D67018" w:rsidRPr="00BD6C5F" w:rsidRDefault="00D67018" w:rsidP="0009207B">
      <w:pPr>
        <w:pStyle w:val="AppendixText3"/>
      </w:pPr>
      <w:r w:rsidRPr="00BD6C5F">
        <w:t>(if and when possible) the categories and approximate number of Data Subjects and Transferred Data records concerned;</w:t>
      </w:r>
    </w:p>
    <w:p w14:paraId="600E4F0F" w14:textId="77777777" w:rsidR="00D67018" w:rsidRPr="00BD6C5F" w:rsidRDefault="00D67018" w:rsidP="0009207B">
      <w:pPr>
        <w:pStyle w:val="AppendixText3"/>
      </w:pPr>
      <w:r w:rsidRPr="00BD6C5F">
        <w:t>likely consequences of the Importer Personal Data Breach;</w:t>
      </w:r>
    </w:p>
    <w:p w14:paraId="1FFBD49C" w14:textId="77777777" w:rsidR="00D67018" w:rsidRPr="00BD6C5F" w:rsidRDefault="00D67018" w:rsidP="0009207B">
      <w:pPr>
        <w:pStyle w:val="AppendixText3"/>
      </w:pPr>
      <w:r w:rsidRPr="00BD6C5F">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1B181634" w14:textId="77777777" w:rsidR="00D67018" w:rsidRPr="00BD6C5F" w:rsidRDefault="00D67018" w:rsidP="0009207B">
      <w:pPr>
        <w:pStyle w:val="AppendixText3"/>
      </w:pPr>
      <w:r w:rsidRPr="00BD6C5F">
        <w:t>contact point for more information; and</w:t>
      </w:r>
    </w:p>
    <w:p w14:paraId="06187ED8" w14:textId="77777777" w:rsidR="00D67018" w:rsidRPr="00BD6C5F" w:rsidRDefault="00D67018" w:rsidP="0009207B">
      <w:pPr>
        <w:pStyle w:val="AppendixText3"/>
      </w:pPr>
      <w:r w:rsidRPr="00BD6C5F">
        <w:t>any other information reasonably requested by the Exporter.</w:t>
      </w:r>
    </w:p>
    <w:p w14:paraId="74C6CF8D" w14:textId="77777777" w:rsidR="00D67018" w:rsidRPr="00BD6C5F" w:rsidRDefault="00D67018" w:rsidP="0009207B">
      <w:pPr>
        <w:pStyle w:val="AppendixText3"/>
      </w:pPr>
      <w:r w:rsidRPr="00BD6C5F">
        <w:t xml:space="preserve">If it is not possible for the Importer to provide all the above information at the same time, it may do so in phases, Without Undue Delay. </w:t>
      </w:r>
    </w:p>
    <w:p w14:paraId="0A153F13" w14:textId="77777777" w:rsidR="00D67018" w:rsidRPr="00BD6C5F" w:rsidRDefault="00D67018" w:rsidP="0009207B">
      <w:pPr>
        <w:pStyle w:val="AppendixText2"/>
      </w:pPr>
      <w:bookmarkStart w:id="1996" w:name="_Toc79405491"/>
      <w:r w:rsidRPr="00BD6C5F">
        <w:t xml:space="preserve">If the Importer is a Controller: if the Importer Personal Data Breach is likely to result in a high risk to the rights or freedoms of any Relevant </w:t>
      </w:r>
      <w:bookmarkEnd w:id="1996"/>
      <w:r w:rsidRPr="00BD6C5F">
        <w:t>Data Subject, the Importer must inform those Relevant Data Subjects Without Undue Delay, except in so far as it requires disproportionate effort, and provided the Importer ensures that there is a public communication or similar measures whereby Relevant Data Subjects are informed in an equally effective manner.</w:t>
      </w:r>
    </w:p>
    <w:p w14:paraId="6C217046" w14:textId="0A3F957E" w:rsidR="00D67018" w:rsidRPr="00BD6C5F" w:rsidRDefault="00D67018" w:rsidP="0009207B">
      <w:pPr>
        <w:pStyle w:val="AppendixText2"/>
      </w:pPr>
      <w:bookmarkStart w:id="1997" w:name="_Toc79405492"/>
      <w:r w:rsidRPr="00BD6C5F">
        <w:t>The Importer must keep a written record of all relevant facts relating to the Importer Personal Data Breach, which it will provide to the Exporter and the ICO on request.</w:t>
      </w:r>
      <w:bookmarkEnd w:id="1997"/>
      <w:r w:rsidRPr="00BD6C5F">
        <w:t xml:space="preserve"> </w:t>
      </w:r>
    </w:p>
    <w:p w14:paraId="59DD2C5B" w14:textId="2839A32A" w:rsidR="00D67018" w:rsidRPr="00BD6C5F" w:rsidRDefault="00D67018" w:rsidP="0009207B">
      <w:pPr>
        <w:pStyle w:val="AppendixText2"/>
      </w:pPr>
      <w:bookmarkStart w:id="1998" w:name="_Toc79405493"/>
      <w:r w:rsidRPr="00BD6C5F">
        <w:t xml:space="preserve">This record must include the steps it takes to fix the Importer Personal Data Breach (including to minimise the harmful effects on Relevant Data Subjects, stop it from continuing, </w:t>
      </w:r>
      <w:r w:rsidRPr="00BD6C5F">
        <w:lastRenderedPageBreak/>
        <w:t>and prevent it happening again) and to ensure that Security Requirements continue to provide a level of security which is appropriate to the risk of a Personal Data Breach occurring and the impact on Relevant Data Subjects of such a Personal Data Breach.</w:t>
      </w:r>
      <w:bookmarkEnd w:id="1998"/>
    </w:p>
    <w:p w14:paraId="14FB93E0" w14:textId="77777777" w:rsidR="00D67018" w:rsidRPr="00BD6C5F" w:rsidRDefault="00D67018" w:rsidP="0009207B">
      <w:pPr>
        <w:pStyle w:val="AppendixText1"/>
      </w:pPr>
      <w:r w:rsidRPr="00BD6C5F">
        <w:t>Transferring on the Transferred Data</w:t>
      </w:r>
    </w:p>
    <w:p w14:paraId="1264B2AC" w14:textId="1CCD9281" w:rsidR="00D67018" w:rsidRPr="00BD6C5F" w:rsidRDefault="00D67018" w:rsidP="00FD4E48">
      <w:pPr>
        <w:pStyle w:val="AppendixText2"/>
        <w:keepNext/>
      </w:pPr>
      <w:bookmarkStart w:id="1999" w:name="_Ref73509865"/>
      <w:bookmarkStart w:id="2000" w:name="_Ref76462681"/>
      <w:bookmarkStart w:id="2001" w:name="_Toc79405495"/>
      <w:r w:rsidRPr="00BD6C5F">
        <w:t>The Importer may only transfer on the Transferred Data to a third party if</w:t>
      </w:r>
      <w:bookmarkEnd w:id="1999"/>
      <w:r w:rsidRPr="00BD6C5F">
        <w:t xml:space="preserve"> it is permitted to do so in Table 2: Transfer Details Table, the transfer is for the Purpose, the transfer does not breach the Linked Agreement, and </w:t>
      </w:r>
      <w:bookmarkStart w:id="2002" w:name="_Ref71148876"/>
      <w:r w:rsidRPr="00BD6C5F">
        <w:t>one or more of the following apply:</w:t>
      </w:r>
      <w:bookmarkEnd w:id="2000"/>
      <w:bookmarkEnd w:id="2001"/>
      <w:bookmarkEnd w:id="2002"/>
    </w:p>
    <w:p w14:paraId="3C273019" w14:textId="77777777" w:rsidR="00D67018" w:rsidRPr="00BD6C5F" w:rsidRDefault="00D67018" w:rsidP="0009207B">
      <w:pPr>
        <w:pStyle w:val="AppendixText3"/>
      </w:pPr>
      <w:r w:rsidRPr="00BD6C5F">
        <w:t>the third party has entered into a written contract with the Importer containing the same level of protection for Data Subjects as contained in this IDTA (based on the role of the recipient as controller or processor), and the Importer has conducted a risk assessment to ensure that the Appropriate Safeguards will be protected by that contract; or</w:t>
      </w:r>
    </w:p>
    <w:p w14:paraId="466D1117" w14:textId="77777777" w:rsidR="00D67018" w:rsidRPr="00BD6C5F" w:rsidRDefault="00D67018" w:rsidP="0009207B">
      <w:pPr>
        <w:pStyle w:val="AppendixText3"/>
      </w:pPr>
      <w:r w:rsidRPr="00BD6C5F">
        <w:t xml:space="preserve">the third party has been added to this IDTA as a Party; or </w:t>
      </w:r>
    </w:p>
    <w:p w14:paraId="6135694F" w14:textId="77777777" w:rsidR="00D67018" w:rsidRPr="00BD6C5F" w:rsidRDefault="00D67018" w:rsidP="0009207B">
      <w:pPr>
        <w:pStyle w:val="AppendixText3"/>
      </w:pPr>
      <w:r w:rsidRPr="00BD6C5F">
        <w:t xml:space="preserve">if the Importer was in the UK, transferring on the Transferred Data would comply with </w:t>
      </w:r>
      <w:bookmarkStart w:id="2003" w:name="_9kR3WTr2AA45FQG6yimp9PAx36sgH4y8N"/>
      <w:r w:rsidRPr="00BD6C5F">
        <w:t>Article 46 UK GDPR</w:t>
      </w:r>
      <w:bookmarkEnd w:id="2003"/>
      <w:r w:rsidRPr="00BD6C5F">
        <w:t>; or</w:t>
      </w:r>
    </w:p>
    <w:p w14:paraId="5915E040" w14:textId="77777777" w:rsidR="00D67018" w:rsidRPr="00BD6C5F" w:rsidRDefault="00D67018" w:rsidP="0009207B">
      <w:pPr>
        <w:pStyle w:val="AppendixText3"/>
      </w:pPr>
      <w:r w:rsidRPr="00BD6C5F">
        <w:t>if the Importer was in the UK transferring on the Transferred Data would comply with one of the exceptions in Article 49 UK GDPR; or</w:t>
      </w:r>
    </w:p>
    <w:p w14:paraId="3748EE50" w14:textId="77777777" w:rsidR="00D67018" w:rsidRPr="00BD6C5F" w:rsidRDefault="00D67018" w:rsidP="0009207B">
      <w:pPr>
        <w:pStyle w:val="AppendixText3"/>
      </w:pPr>
      <w:r w:rsidRPr="00BD6C5F">
        <w:t>the transfer is to the UK or an Adequate Country.</w:t>
      </w:r>
    </w:p>
    <w:p w14:paraId="03EB3E98" w14:textId="7C22309B" w:rsidR="00D67018" w:rsidRPr="00BD6C5F" w:rsidRDefault="00D67018" w:rsidP="0009207B">
      <w:pPr>
        <w:pStyle w:val="AppendixText2"/>
      </w:pPr>
      <w:bookmarkStart w:id="2004" w:name="_Toc79405496"/>
      <w:r w:rsidRPr="00BD6C5F">
        <w:t xml:space="preserve">The Importer does not need to comply with Section </w:t>
      </w:r>
      <w:r w:rsidR="0010425E" w:rsidRPr="00BD6C5F">
        <w:rPr>
          <w:cs/>
        </w:rPr>
        <w:t>‎</w:t>
      </w:r>
      <w:r w:rsidR="0010425E" w:rsidRPr="00BD6C5F">
        <w:t>16.1</w:t>
      </w:r>
      <w:r w:rsidRPr="00BD6C5F">
        <w:t xml:space="preserve"> if it is transferring on Transferred Data and/or allowing access to the Transferred Data in accordance with Section </w:t>
      </w:r>
      <w:r w:rsidR="0010425E" w:rsidRPr="00BD6C5F">
        <w:rPr>
          <w:cs/>
        </w:rPr>
        <w:t>‎</w:t>
      </w:r>
      <w:r w:rsidR="0010425E" w:rsidRPr="00BD6C5F">
        <w:t>23</w:t>
      </w:r>
      <w:r w:rsidRPr="00BD6C5F">
        <w:t xml:space="preserve"> (Access Requests and Direct Access).</w:t>
      </w:r>
      <w:bookmarkEnd w:id="2004"/>
    </w:p>
    <w:p w14:paraId="72CD044A" w14:textId="49ABA8F0" w:rsidR="00D67018" w:rsidRPr="00BD6C5F" w:rsidRDefault="00D67018" w:rsidP="0009207B">
      <w:pPr>
        <w:pStyle w:val="AppendixText1"/>
      </w:pPr>
      <w:r w:rsidRPr="00BD6C5F">
        <w:t>Importer</w:t>
      </w:r>
      <w:r w:rsidR="00A4555C" w:rsidRPr="00BD6C5F">
        <w:t>’</w:t>
      </w:r>
      <w:r w:rsidRPr="00BD6C5F">
        <w:t xml:space="preserve">s responsibility if it authorises others to perform its obligations </w:t>
      </w:r>
    </w:p>
    <w:p w14:paraId="3E2A7821" w14:textId="30BB282F" w:rsidR="00D67018" w:rsidRPr="00BD6C5F" w:rsidRDefault="00D67018" w:rsidP="0009207B">
      <w:pPr>
        <w:pStyle w:val="AppendixText2"/>
      </w:pPr>
      <w:bookmarkStart w:id="2005" w:name="_Ref77145736"/>
      <w:bookmarkStart w:id="2006" w:name="_Toc79405498"/>
      <w:r w:rsidRPr="00BD6C5F">
        <w:t xml:space="preserve">The Importer may sub-contract its obligations in this IDTA to a Processor or Sub-Processor (provided it complies with Section </w:t>
      </w:r>
      <w:r w:rsidR="0010425E" w:rsidRPr="00BD6C5F">
        <w:rPr>
          <w:cs/>
        </w:rPr>
        <w:t>‎</w:t>
      </w:r>
      <w:r w:rsidR="0010425E" w:rsidRPr="00BD6C5F">
        <w:t>16</w:t>
      </w:r>
      <w:r w:rsidRPr="00BD6C5F">
        <w:t xml:space="preserve">). </w:t>
      </w:r>
    </w:p>
    <w:p w14:paraId="7E4F5D88" w14:textId="26A16794" w:rsidR="00D67018" w:rsidRPr="00BD6C5F" w:rsidRDefault="00D67018" w:rsidP="0009207B">
      <w:pPr>
        <w:pStyle w:val="AppendixText2"/>
      </w:pPr>
      <w:r w:rsidRPr="00BD6C5F">
        <w:t>If the Importer is the Exporter</w:t>
      </w:r>
      <w:r w:rsidR="00A4555C" w:rsidRPr="00BD6C5F">
        <w:t>’</w:t>
      </w:r>
      <w:r w:rsidRPr="00BD6C5F">
        <w:t>s Processor or Sub-Processor: it must also comply with the Linked Agreement or be with the written consent of the Exporter.</w:t>
      </w:r>
      <w:bookmarkEnd w:id="2005"/>
      <w:bookmarkEnd w:id="2006"/>
      <w:r w:rsidRPr="00BD6C5F">
        <w:t xml:space="preserve"> </w:t>
      </w:r>
    </w:p>
    <w:p w14:paraId="45C4188D" w14:textId="30098C3A" w:rsidR="00D67018" w:rsidRPr="00BD6C5F" w:rsidRDefault="00D67018" w:rsidP="0009207B">
      <w:pPr>
        <w:pStyle w:val="AppendixText2"/>
      </w:pPr>
      <w:bookmarkStart w:id="2007" w:name="_Toc79405499"/>
      <w:r w:rsidRPr="00BD6C5F">
        <w:t>The Importer must ensure that any person or third party acting under its authority, including a Processor or Sub-Processor, must only Process the Transferred Data on its instructions.</w:t>
      </w:r>
      <w:bookmarkEnd w:id="2007"/>
      <w:r w:rsidRPr="00BD6C5F">
        <w:t xml:space="preserve"> </w:t>
      </w:r>
    </w:p>
    <w:p w14:paraId="0EEEB3AA" w14:textId="0845239C" w:rsidR="00D67018" w:rsidRPr="00BD6C5F" w:rsidRDefault="00D67018" w:rsidP="0009207B">
      <w:pPr>
        <w:pStyle w:val="AppendixText2"/>
      </w:pPr>
      <w:bookmarkStart w:id="2008" w:name="_Toc79405500"/>
      <w:r w:rsidRPr="00BD6C5F">
        <w:t xml:space="preserve">The Importer remains fully liable to the Exporter, the ICO and Relevant Data Subjects for its obligations under this IDTA where it has sub-contracted any obligations to its Processors and Sub-Processors, or authorised an employee or </w:t>
      </w:r>
      <w:bookmarkEnd w:id="2008"/>
      <w:r w:rsidRPr="00BD6C5F">
        <w:t>other person to perform them (and references to the Importer in this context will include references to its Processors, Sub-Processors or authorised persons).</w:t>
      </w:r>
    </w:p>
    <w:p w14:paraId="766F3D72" w14:textId="77777777" w:rsidR="00D67018" w:rsidRPr="00BD6C5F" w:rsidRDefault="00D67018" w:rsidP="00DA04BE">
      <w:pPr>
        <w:keepNext/>
        <w:keepLines/>
        <w:widowControl/>
        <w:spacing w:before="240" w:after="120"/>
        <w:rPr>
          <w:b/>
          <w:bCs/>
        </w:rPr>
      </w:pPr>
      <w:r w:rsidRPr="00BD6C5F">
        <w:rPr>
          <w:b/>
          <w:bCs/>
        </w:rPr>
        <w:t>What rights do individuals have?</w:t>
      </w:r>
    </w:p>
    <w:p w14:paraId="24954390" w14:textId="77777777" w:rsidR="00D67018" w:rsidRPr="00BD6C5F" w:rsidRDefault="00D67018" w:rsidP="0009207B">
      <w:pPr>
        <w:pStyle w:val="AppendixText1"/>
      </w:pPr>
      <w:r w:rsidRPr="00BD6C5F">
        <w:t>The right to a copy of the IDTA</w:t>
      </w:r>
    </w:p>
    <w:p w14:paraId="0D4DBC9D" w14:textId="77777777" w:rsidR="00D67018" w:rsidRPr="00BD6C5F" w:rsidRDefault="00D67018" w:rsidP="00FD4E48">
      <w:pPr>
        <w:pStyle w:val="AppendixText2"/>
        <w:keepNext/>
      </w:pPr>
      <w:bookmarkStart w:id="2009" w:name="_Toc79405502"/>
      <w:bookmarkStart w:id="2010" w:name="_Ref70633760"/>
      <w:bookmarkStart w:id="2011" w:name="_Ref70742074"/>
      <w:r w:rsidRPr="00BD6C5F">
        <w:t>If a Party receives a request from a Relevant Data Subject for a copy of this IDTA:</w:t>
      </w:r>
      <w:bookmarkEnd w:id="2009"/>
    </w:p>
    <w:p w14:paraId="7A498994" w14:textId="77777777" w:rsidR="00D67018" w:rsidRPr="00BD6C5F" w:rsidRDefault="00D67018" w:rsidP="0009207B">
      <w:pPr>
        <w:pStyle w:val="AppendixText3"/>
      </w:pPr>
      <w:r w:rsidRPr="00BD6C5F">
        <w:t xml:space="preserve">it will provide the IDTA to the Relevant Data Subject and inform the other </w:t>
      </w:r>
      <w:r w:rsidRPr="00BD6C5F">
        <w:lastRenderedPageBreak/>
        <w:t>Party, as soon as reasonably possible;</w:t>
      </w:r>
    </w:p>
    <w:p w14:paraId="722FFBF5" w14:textId="77777777" w:rsidR="00D67018" w:rsidRPr="00BD6C5F" w:rsidRDefault="00D67018" w:rsidP="0009207B">
      <w:pPr>
        <w:pStyle w:val="AppendixText3"/>
      </w:pPr>
      <w:r w:rsidRPr="00BD6C5F">
        <w:t xml:space="preserve">it does not need to provide copies of the Linked Agreement, but it must provide all the information from those Linked Agreements referenced in the Tables; </w:t>
      </w:r>
    </w:p>
    <w:p w14:paraId="35E1D653" w14:textId="77777777" w:rsidR="00D67018" w:rsidRPr="00BD6C5F" w:rsidRDefault="00D67018" w:rsidP="0009207B">
      <w:pPr>
        <w:pStyle w:val="AppendixText3"/>
      </w:pPr>
      <w:bookmarkStart w:id="2012" w:name="_Ref70633491"/>
      <w:bookmarkEnd w:id="2010"/>
      <w:r w:rsidRPr="00BD6C5F">
        <w:t>it may redact information in the Tables or the information provided from the Linked Agreement if it is reasonably necessary to protect business secrets or confidential information, so long as it provides the Relevant Data Subject with a summary of those redactions so that the Relevant Data Subject can understand the content of the Tables or the information provided from the Linked Agreement.</w:t>
      </w:r>
      <w:bookmarkEnd w:id="2012"/>
    </w:p>
    <w:p w14:paraId="33E7EC6B" w14:textId="77777777" w:rsidR="00D67018" w:rsidRPr="00BD6C5F" w:rsidRDefault="00D67018" w:rsidP="0009207B">
      <w:pPr>
        <w:pStyle w:val="AppendixText1"/>
      </w:pPr>
      <w:r w:rsidRPr="00BD6C5F">
        <w:t>The right to Information about the Importer and its Processing</w:t>
      </w:r>
    </w:p>
    <w:p w14:paraId="63659C89" w14:textId="7CC422FC" w:rsidR="00D67018" w:rsidRPr="00BD6C5F" w:rsidRDefault="00D67018" w:rsidP="0009207B">
      <w:pPr>
        <w:pStyle w:val="AppendixText2"/>
      </w:pPr>
      <w:bookmarkStart w:id="2013" w:name="_Toc79405504"/>
      <w:bookmarkStart w:id="2014" w:name="_Ref71901146"/>
      <w:r w:rsidRPr="00BD6C5F">
        <w:t xml:space="preserve">The Importer does not need to comply with this Section </w:t>
      </w:r>
      <w:r w:rsidR="0010425E" w:rsidRPr="00BD6C5F">
        <w:rPr>
          <w:cs/>
        </w:rPr>
        <w:t>‎</w:t>
      </w:r>
      <w:r w:rsidR="0010425E" w:rsidRPr="00BD6C5F">
        <w:t>19</w:t>
      </w:r>
      <w:r w:rsidRPr="00BD6C5F">
        <w:t xml:space="preserve"> if it is the Exporter</w:t>
      </w:r>
      <w:r w:rsidR="00A4555C" w:rsidRPr="00BD6C5F">
        <w:t>’</w:t>
      </w:r>
      <w:r w:rsidRPr="00BD6C5F">
        <w:t>s Processor or Sub-Processor.</w:t>
      </w:r>
      <w:bookmarkEnd w:id="2013"/>
    </w:p>
    <w:p w14:paraId="4C33218A" w14:textId="77777777" w:rsidR="00D67018" w:rsidRPr="00BD6C5F" w:rsidRDefault="00D67018" w:rsidP="00FD4E48">
      <w:pPr>
        <w:pStyle w:val="AppendixText2"/>
        <w:keepNext/>
      </w:pPr>
      <w:bookmarkStart w:id="2015" w:name="_Ref73506323"/>
      <w:r w:rsidRPr="00BD6C5F">
        <w:t>The Importer must ensure that each Relevant Data Subject is provided with details of:</w:t>
      </w:r>
      <w:bookmarkEnd w:id="2015"/>
      <w:r w:rsidRPr="00BD6C5F">
        <w:t xml:space="preserve"> </w:t>
      </w:r>
    </w:p>
    <w:p w14:paraId="609A88F1" w14:textId="77777777" w:rsidR="00D67018" w:rsidRPr="00BD6C5F" w:rsidRDefault="00D67018" w:rsidP="0009207B">
      <w:pPr>
        <w:pStyle w:val="AppendixText3"/>
      </w:pPr>
      <w:r w:rsidRPr="00BD6C5F">
        <w:t>the Importer (including contact details and the Importer Data Subject Contact);</w:t>
      </w:r>
    </w:p>
    <w:p w14:paraId="23846F47" w14:textId="77777777" w:rsidR="00D67018" w:rsidRPr="00BD6C5F" w:rsidRDefault="00D67018" w:rsidP="0009207B">
      <w:pPr>
        <w:pStyle w:val="AppendixText3"/>
      </w:pPr>
      <w:r w:rsidRPr="00BD6C5F">
        <w:t>the Purposes; and</w:t>
      </w:r>
    </w:p>
    <w:p w14:paraId="2AADB596" w14:textId="77777777" w:rsidR="00D67018" w:rsidRPr="00BD6C5F" w:rsidRDefault="00D67018" w:rsidP="0009207B">
      <w:pPr>
        <w:pStyle w:val="AppendixText3"/>
      </w:pPr>
      <w:r w:rsidRPr="00BD6C5F">
        <w:t>any recipients (or categories of recipients) of the Transferred Data;</w:t>
      </w:r>
    </w:p>
    <w:p w14:paraId="651BF735" w14:textId="1DD0B792" w:rsidR="00D67018" w:rsidRPr="00BD6C5F" w:rsidRDefault="00D67018" w:rsidP="0009207B">
      <w:pPr>
        <w:pStyle w:val="AppendixText2"/>
      </w:pPr>
      <w:r w:rsidRPr="00BD6C5F">
        <w:t xml:space="preserve">The Importer can demonstrate it has complied with this Section </w:t>
      </w:r>
      <w:r w:rsidR="0010425E" w:rsidRPr="00BD6C5F">
        <w:rPr>
          <w:cs/>
        </w:rPr>
        <w:t>‎</w:t>
      </w:r>
      <w:r w:rsidR="0010425E" w:rsidRPr="00BD6C5F">
        <w:t>19.2</w:t>
      </w:r>
      <w:r w:rsidRPr="00BD6C5F">
        <w:t xml:space="preserve"> if the information is given (or has already been given) to the Relevant Data Subjects by the Exporter or another party.</w:t>
      </w:r>
    </w:p>
    <w:p w14:paraId="7CE7A389" w14:textId="37594D6D" w:rsidR="00D67018" w:rsidRPr="00BD6C5F" w:rsidRDefault="00D67018" w:rsidP="0009207B">
      <w:pPr>
        <w:pStyle w:val="AppendixText2"/>
      </w:pPr>
      <w:r w:rsidRPr="00BD6C5F">
        <w:t xml:space="preserve">The Importer does not need to comply with this Section </w:t>
      </w:r>
      <w:r w:rsidR="0010425E" w:rsidRPr="00BD6C5F">
        <w:rPr>
          <w:cs/>
        </w:rPr>
        <w:t>‎</w:t>
      </w:r>
      <w:r w:rsidR="0010425E" w:rsidRPr="00BD6C5F">
        <w:t>19.2</w:t>
      </w:r>
      <w:r w:rsidRPr="00BD6C5F">
        <w:t xml:space="preserve"> in so far as to do so would be impossible or involve a disproportionate effort, in which case, the Importer must make the information publicly available.</w:t>
      </w:r>
    </w:p>
    <w:p w14:paraId="5D79C590" w14:textId="5BB40A59" w:rsidR="00D67018" w:rsidRPr="00BD6C5F" w:rsidRDefault="00D67018" w:rsidP="0009207B">
      <w:pPr>
        <w:pStyle w:val="AppendixText2"/>
      </w:pPr>
      <w:bookmarkStart w:id="2016" w:name="_Toc79405505"/>
      <w:r w:rsidRPr="00BD6C5F">
        <w:t>The Importer must</w:t>
      </w:r>
      <w:bookmarkEnd w:id="2011"/>
      <w:bookmarkEnd w:id="2014"/>
      <w:r w:rsidRPr="00BD6C5F">
        <w:t xml:space="preserve"> keep the details of the Importer Data Subject Contact up to date and publicly available. This includes notifying the Exporter in writing of any such changes.</w:t>
      </w:r>
      <w:bookmarkEnd w:id="2016"/>
    </w:p>
    <w:p w14:paraId="239D1CD3" w14:textId="7920C5A3" w:rsidR="00D67018" w:rsidRPr="00BD6C5F" w:rsidRDefault="00D67018" w:rsidP="0009207B">
      <w:pPr>
        <w:pStyle w:val="AppendixText2"/>
      </w:pPr>
      <w:bookmarkStart w:id="2017" w:name="_Toc79405506"/>
      <w:r w:rsidRPr="00BD6C5F">
        <w:t>The Importer must make sure those contact details are always easy to access for all Relevant Data Subjects and be able to easily communicate with Data Subjects in the English language Without Undue Delay.</w:t>
      </w:r>
      <w:bookmarkEnd w:id="2017"/>
      <w:r w:rsidRPr="00BD6C5F">
        <w:t xml:space="preserve"> </w:t>
      </w:r>
    </w:p>
    <w:p w14:paraId="5D6799A0" w14:textId="77777777" w:rsidR="00D67018" w:rsidRPr="00BD6C5F" w:rsidRDefault="00D67018" w:rsidP="0009207B">
      <w:pPr>
        <w:pStyle w:val="AppendixText1"/>
      </w:pPr>
      <w:r w:rsidRPr="00BD6C5F">
        <w:t>How Relevant Data Subjects can exercise their data subject rights</w:t>
      </w:r>
    </w:p>
    <w:p w14:paraId="6A7D7A32" w14:textId="23078A24" w:rsidR="00D67018" w:rsidRPr="00BD6C5F" w:rsidRDefault="00D67018" w:rsidP="0009207B">
      <w:pPr>
        <w:pStyle w:val="AppendixText2"/>
      </w:pPr>
      <w:bookmarkStart w:id="2018" w:name="_Toc79405508"/>
      <w:bookmarkStart w:id="2019" w:name="_Ref71506220"/>
      <w:r w:rsidRPr="00BD6C5F">
        <w:t xml:space="preserve">The Importer does not need to comply with this Section </w:t>
      </w:r>
      <w:r w:rsidR="0010425E" w:rsidRPr="00BD6C5F">
        <w:rPr>
          <w:cs/>
        </w:rPr>
        <w:t>‎</w:t>
      </w:r>
      <w:r w:rsidR="0010425E" w:rsidRPr="00BD6C5F">
        <w:t>20</w:t>
      </w:r>
      <w:r w:rsidRPr="00BD6C5F">
        <w:t xml:space="preserve"> if it is the Exporter</w:t>
      </w:r>
      <w:r w:rsidR="00A4555C" w:rsidRPr="00BD6C5F">
        <w:t>’</w:t>
      </w:r>
      <w:r w:rsidRPr="00BD6C5F">
        <w:t>s Processor or Sub-Processor.</w:t>
      </w:r>
      <w:bookmarkEnd w:id="2018"/>
    </w:p>
    <w:p w14:paraId="6AC5BFA8" w14:textId="49916480" w:rsidR="00D67018" w:rsidRPr="00BD6C5F" w:rsidRDefault="00D67018" w:rsidP="0009207B">
      <w:pPr>
        <w:pStyle w:val="AppendixText2"/>
      </w:pPr>
      <w:bookmarkStart w:id="2020" w:name="_Toc79405509"/>
      <w:r w:rsidRPr="00BD6C5F">
        <w:t>If an individual requests, the Importer must confirm whether it is Processing their Personal Data as part of the Transferred Data</w:t>
      </w:r>
      <w:bookmarkEnd w:id="2019"/>
      <w:r w:rsidRPr="00BD6C5F">
        <w:t>.</w:t>
      </w:r>
      <w:bookmarkEnd w:id="2020"/>
    </w:p>
    <w:p w14:paraId="3F5674A9" w14:textId="2C7058F4" w:rsidR="00D67018" w:rsidRPr="00BD6C5F" w:rsidRDefault="00D67018" w:rsidP="0009207B">
      <w:pPr>
        <w:pStyle w:val="AppendixText2"/>
      </w:pPr>
      <w:bookmarkStart w:id="2021" w:name="_Toc79405510"/>
      <w:r w:rsidRPr="00BD6C5F">
        <w:t xml:space="preserve">The following Sections of this Section </w:t>
      </w:r>
      <w:r w:rsidR="0010425E" w:rsidRPr="00BD6C5F">
        <w:rPr>
          <w:cs/>
        </w:rPr>
        <w:t>‎</w:t>
      </w:r>
      <w:r w:rsidR="0010425E" w:rsidRPr="00BD6C5F">
        <w:t>20</w:t>
      </w:r>
      <w:r w:rsidRPr="00BD6C5F">
        <w:t>, relate to a Relevant Data Subject</w:t>
      </w:r>
      <w:r w:rsidR="00A4555C" w:rsidRPr="00BD6C5F">
        <w:t>’</w:t>
      </w:r>
      <w:r w:rsidRPr="00BD6C5F">
        <w:t>s Personal Data which forms part of the Transferred Data the Importer is Processing.</w:t>
      </w:r>
      <w:bookmarkEnd w:id="2021"/>
      <w:r w:rsidRPr="00BD6C5F">
        <w:t xml:space="preserve"> </w:t>
      </w:r>
    </w:p>
    <w:p w14:paraId="72C64F22" w14:textId="77777777" w:rsidR="00D67018" w:rsidRPr="00BD6C5F" w:rsidRDefault="00D67018" w:rsidP="00FD4E48">
      <w:pPr>
        <w:pStyle w:val="AppendixText2"/>
        <w:keepNext/>
      </w:pPr>
      <w:bookmarkStart w:id="2022" w:name="_Toc79405511"/>
      <w:bookmarkStart w:id="2023" w:name="_Ref71506226"/>
      <w:r w:rsidRPr="00BD6C5F">
        <w:lastRenderedPageBreak/>
        <w:t>If the Relevant Data Subject requests, the Importer must provide them with a copy of their Transferred Data:</w:t>
      </w:r>
      <w:bookmarkEnd w:id="2022"/>
    </w:p>
    <w:p w14:paraId="3CD6C017" w14:textId="77777777" w:rsidR="00D67018" w:rsidRPr="00BD6C5F" w:rsidRDefault="00D67018" w:rsidP="0009207B">
      <w:pPr>
        <w:pStyle w:val="AppendixText3"/>
      </w:pPr>
      <w:r w:rsidRPr="00BD6C5F">
        <w:t>Without Undue Delay (and in any event within one month);</w:t>
      </w:r>
    </w:p>
    <w:p w14:paraId="15940C33" w14:textId="77777777" w:rsidR="00D67018" w:rsidRPr="00BD6C5F" w:rsidRDefault="00D67018" w:rsidP="0009207B">
      <w:pPr>
        <w:pStyle w:val="AppendixText3"/>
      </w:pPr>
      <w:r w:rsidRPr="00BD6C5F">
        <w:t xml:space="preserve">at no greater cost to the Relevant Data Subject than it would be able to charge if it were subject to the UK Data Protection Laws; </w:t>
      </w:r>
    </w:p>
    <w:p w14:paraId="6BA4ABD5" w14:textId="77777777" w:rsidR="00D67018" w:rsidRPr="00BD6C5F" w:rsidRDefault="00D67018" w:rsidP="0009207B">
      <w:pPr>
        <w:pStyle w:val="AppendixText3"/>
      </w:pPr>
      <w:r w:rsidRPr="00BD6C5F">
        <w:t>in clear and plain English that is easy to understand; and</w:t>
      </w:r>
    </w:p>
    <w:p w14:paraId="27610A22" w14:textId="77777777" w:rsidR="00D67018" w:rsidRPr="00BD6C5F" w:rsidRDefault="00D67018" w:rsidP="0009207B">
      <w:pPr>
        <w:pStyle w:val="AppendixText3"/>
      </w:pPr>
      <w:r w:rsidRPr="00BD6C5F">
        <w:t xml:space="preserve">in an easily accessible form </w:t>
      </w:r>
    </w:p>
    <w:p w14:paraId="50CE88A7" w14:textId="77777777" w:rsidR="00D67018" w:rsidRPr="00BD6C5F" w:rsidRDefault="00D67018" w:rsidP="0009207B">
      <w:pPr>
        <w:pStyle w:val="AppendixText3"/>
      </w:pPr>
      <w:r w:rsidRPr="00BD6C5F">
        <w:t xml:space="preserve">together with </w:t>
      </w:r>
    </w:p>
    <w:p w14:paraId="1E5D4164" w14:textId="77777777" w:rsidR="00D67018" w:rsidRPr="00BD6C5F" w:rsidRDefault="00D67018" w:rsidP="0009207B">
      <w:pPr>
        <w:pStyle w:val="AppendixText3"/>
      </w:pPr>
      <w:r w:rsidRPr="00BD6C5F">
        <w:t>(if needed) a clear and plain English explanation of the Transferred Data so that it is understandable to the Relevant Data Subject; and</w:t>
      </w:r>
    </w:p>
    <w:p w14:paraId="7AA2612E" w14:textId="77777777" w:rsidR="00D67018" w:rsidRPr="00BD6C5F" w:rsidRDefault="00D67018" w:rsidP="0009207B">
      <w:pPr>
        <w:pStyle w:val="AppendixText3"/>
      </w:pPr>
      <w:r w:rsidRPr="00BD6C5F">
        <w:t>information that the Relevant Data Subject has the right to bring a claim for compensation under this IDTA.</w:t>
      </w:r>
    </w:p>
    <w:p w14:paraId="42772955" w14:textId="35A2DDF2" w:rsidR="00D67018" w:rsidRPr="00BD6C5F" w:rsidRDefault="00D67018" w:rsidP="00FD4E48">
      <w:pPr>
        <w:pStyle w:val="AppendixText2"/>
        <w:keepNext/>
      </w:pPr>
      <w:bookmarkStart w:id="2024" w:name="_Toc79405512"/>
      <w:r w:rsidRPr="00BD6C5F">
        <w:t>If a Relevant Data Subject requests</w:t>
      </w:r>
      <w:bookmarkEnd w:id="2023"/>
      <w:r w:rsidRPr="00BD6C5F">
        <w:t>, the Importer must:</w:t>
      </w:r>
      <w:bookmarkEnd w:id="2024"/>
    </w:p>
    <w:p w14:paraId="70797306" w14:textId="77777777" w:rsidR="00D67018" w:rsidRPr="00BD6C5F" w:rsidRDefault="00D67018" w:rsidP="0009207B">
      <w:pPr>
        <w:pStyle w:val="AppendixText3"/>
      </w:pPr>
      <w:r w:rsidRPr="00BD6C5F">
        <w:t>rectify inaccurate or incomplete Transferred Data;</w:t>
      </w:r>
    </w:p>
    <w:p w14:paraId="7E3EA284" w14:textId="77777777" w:rsidR="00D67018" w:rsidRPr="00BD6C5F" w:rsidRDefault="00D67018" w:rsidP="0009207B">
      <w:pPr>
        <w:pStyle w:val="AppendixText3"/>
      </w:pPr>
      <w:r w:rsidRPr="00BD6C5F">
        <w:t xml:space="preserve">erase Transferred Data if it is being Processed in breach of this IDTA; </w:t>
      </w:r>
    </w:p>
    <w:p w14:paraId="43ED8D2D" w14:textId="77777777" w:rsidR="00D67018" w:rsidRPr="00BD6C5F" w:rsidRDefault="00D67018" w:rsidP="0009207B">
      <w:pPr>
        <w:pStyle w:val="AppendixText3"/>
      </w:pPr>
      <w:r w:rsidRPr="00BD6C5F">
        <w:t>cease using it for direct marketing purposes; and</w:t>
      </w:r>
    </w:p>
    <w:p w14:paraId="0B4DCE7E" w14:textId="77777777" w:rsidR="00D67018" w:rsidRPr="00BD6C5F" w:rsidRDefault="00D67018" w:rsidP="0009207B">
      <w:pPr>
        <w:pStyle w:val="AppendixText3"/>
      </w:pPr>
      <w:r w:rsidRPr="00BD6C5F">
        <w:t>comply with any other reasonable request of the Relevant Data Subject</w:t>
      </w:r>
      <w:bookmarkStart w:id="2025" w:name="_Hlk89227015"/>
      <w:r w:rsidRPr="00BD6C5F">
        <w:t>, which the Importer would be required to comply with if it were subject to the UK Data Protection Laws</w:t>
      </w:r>
      <w:bookmarkEnd w:id="2025"/>
      <w:r w:rsidRPr="00BD6C5F">
        <w:t xml:space="preserve">. </w:t>
      </w:r>
    </w:p>
    <w:p w14:paraId="42F774C4" w14:textId="11FCA0E9" w:rsidR="00D67018" w:rsidRPr="00BD6C5F" w:rsidRDefault="00D67018" w:rsidP="0009207B">
      <w:pPr>
        <w:pStyle w:val="AppendixText2"/>
      </w:pPr>
      <w:bookmarkStart w:id="2026" w:name="_Ref76411982"/>
      <w:bookmarkStart w:id="2027" w:name="_Toc79405513"/>
      <w:r w:rsidRPr="00BD6C5F">
        <w:t xml:space="preserve">The Importer must not use the Transferred Data to make decisions about the Relevant Data Subject based solely on automated processing, including profiling (the </w:t>
      </w:r>
      <w:r w:rsidR="00A4555C" w:rsidRPr="00BD6C5F">
        <w:t>“</w:t>
      </w:r>
      <w:r w:rsidRPr="00BD6C5F">
        <w:t>Decision-Making</w:t>
      </w:r>
      <w:r w:rsidR="00A4555C" w:rsidRPr="00BD6C5F">
        <w:t>”</w:t>
      </w:r>
      <w:r w:rsidRPr="00BD6C5F">
        <w:t>), which produce legal effects concerning the Relevant Data Subject or similarly significantly affects them, except if it is permitted by Local Law and:</w:t>
      </w:r>
      <w:bookmarkEnd w:id="2026"/>
      <w:bookmarkEnd w:id="2027"/>
    </w:p>
    <w:p w14:paraId="2A475780" w14:textId="77777777" w:rsidR="00D67018" w:rsidRPr="00BD6C5F" w:rsidRDefault="00D67018" w:rsidP="0009207B">
      <w:pPr>
        <w:pStyle w:val="AppendixText3"/>
      </w:pPr>
      <w:r w:rsidRPr="00BD6C5F">
        <w:t xml:space="preserve">the Relevant Data Subject has given their explicit consent to such Decision-Making; or </w:t>
      </w:r>
    </w:p>
    <w:p w14:paraId="0DF48A3E" w14:textId="77777777" w:rsidR="00D67018" w:rsidRPr="00BD6C5F" w:rsidRDefault="00D67018" w:rsidP="0009207B">
      <w:pPr>
        <w:pStyle w:val="AppendixText3"/>
      </w:pPr>
      <w:r w:rsidRPr="00BD6C5F">
        <w:t>Local Law has safeguards which provide sufficiently similar protection for the Relevant Data Subjects in relation to such Decision-Making, as to the relevant protection the Relevant Data Subject would have if such Decision-Making was in the UK; or</w:t>
      </w:r>
    </w:p>
    <w:p w14:paraId="79681D99" w14:textId="77777777" w:rsidR="00D67018" w:rsidRPr="00BD6C5F" w:rsidRDefault="00D67018" w:rsidP="0009207B">
      <w:pPr>
        <w:pStyle w:val="AppendixText3"/>
      </w:pPr>
      <w:r w:rsidRPr="00BD6C5F">
        <w:t xml:space="preserve">the Extra Protection Clauses provide safeguards for the Decision-Making which provide sufficiently similar protection for the Relevant Data Subjects in relation to such Decision-Making, as to the relevant protection the Relevant Data Subject would have if such Decision-Making was in the UK. </w:t>
      </w:r>
    </w:p>
    <w:p w14:paraId="2A4475D0" w14:textId="4A670F1F" w:rsidR="00D67018" w:rsidRPr="00BD6C5F" w:rsidRDefault="00D67018" w:rsidP="0009207B">
      <w:pPr>
        <w:pStyle w:val="AppendixText1"/>
      </w:pPr>
      <w:bookmarkStart w:id="2028" w:name="_Ref71912859"/>
      <w:bookmarkStart w:id="2029" w:name="_Toc79405515"/>
      <w:r w:rsidRPr="00BD6C5F">
        <w:t>How Relevant Data Subjects can exercise their data subject rights– if the Importer is the Exporter</w:t>
      </w:r>
      <w:r w:rsidR="00A4555C" w:rsidRPr="00BD6C5F">
        <w:t>’</w:t>
      </w:r>
      <w:r w:rsidRPr="00BD6C5F">
        <w:t>s Processor or Sub-Processor</w:t>
      </w:r>
    </w:p>
    <w:p w14:paraId="1F687086" w14:textId="3A3B2D04" w:rsidR="00D67018" w:rsidRPr="00BD6C5F" w:rsidRDefault="00D67018" w:rsidP="0009207B">
      <w:pPr>
        <w:pStyle w:val="AppendixText2"/>
      </w:pPr>
      <w:r w:rsidRPr="00BD6C5F">
        <w:t>Where the Importer is the Exporter</w:t>
      </w:r>
      <w:r w:rsidR="00A4555C" w:rsidRPr="00BD6C5F">
        <w:t>’</w:t>
      </w:r>
      <w:r w:rsidRPr="00BD6C5F">
        <w:t xml:space="preserve">s Processor or Sub-Processor: </w:t>
      </w:r>
      <w:bookmarkEnd w:id="2028"/>
      <w:r w:rsidRPr="00BD6C5F">
        <w:t xml:space="preserve">If the Importer receives a request directly from an individual which relates to the Transferred Data it must pass </w:t>
      </w:r>
      <w:r w:rsidRPr="00BD6C5F">
        <w:lastRenderedPageBreak/>
        <w:t xml:space="preserve">that request on to the Exporter Without Undue Delay. </w:t>
      </w:r>
      <w:bookmarkStart w:id="2030" w:name="_Ref70746087"/>
      <w:r w:rsidRPr="00BD6C5F">
        <w:t>The Importer must only respond to that individual as authorised by the Exporter or any Third Party Controller</w:t>
      </w:r>
      <w:bookmarkEnd w:id="2030"/>
      <w:r w:rsidRPr="00BD6C5F">
        <w:t>.</w:t>
      </w:r>
      <w:bookmarkEnd w:id="2029"/>
    </w:p>
    <w:p w14:paraId="04B194DB" w14:textId="77777777" w:rsidR="00D67018" w:rsidRPr="00BD6C5F" w:rsidRDefault="00D67018" w:rsidP="0009207B">
      <w:pPr>
        <w:pStyle w:val="AppendixText1"/>
      </w:pPr>
      <w:r w:rsidRPr="00BD6C5F">
        <w:t>Rights of Relevant Data Subjects are subject to the exemptions in the UK Data Protection Laws</w:t>
      </w:r>
    </w:p>
    <w:p w14:paraId="2BA856AC" w14:textId="64E367E3" w:rsidR="00D67018" w:rsidRPr="00BD6C5F" w:rsidRDefault="00D67018" w:rsidP="00FD4E48">
      <w:pPr>
        <w:pStyle w:val="AppendixText2"/>
        <w:keepNext/>
      </w:pPr>
      <w:bookmarkStart w:id="2031" w:name="_Toc79405517"/>
      <w:r w:rsidRPr="00BD6C5F">
        <w:t xml:space="preserve">The Importer is not required to respond to requests or provide information or notifications under Sections </w:t>
      </w:r>
      <w:r w:rsidR="0010425E" w:rsidRPr="00BD6C5F">
        <w:rPr>
          <w:cs/>
        </w:rPr>
        <w:t>‎</w:t>
      </w:r>
      <w:r w:rsidR="0010425E" w:rsidRPr="00BD6C5F">
        <w:t>18</w:t>
      </w:r>
      <w:r w:rsidRPr="00BD6C5F">
        <w:t xml:space="preserve">, </w:t>
      </w:r>
      <w:r w:rsidR="0010425E" w:rsidRPr="00BD6C5F">
        <w:rPr>
          <w:cs/>
        </w:rPr>
        <w:t>‎</w:t>
      </w:r>
      <w:r w:rsidR="0010425E" w:rsidRPr="00BD6C5F">
        <w:t>19</w:t>
      </w:r>
      <w:r w:rsidRPr="00BD6C5F">
        <w:t xml:space="preserve">, </w:t>
      </w:r>
      <w:r w:rsidR="0010425E" w:rsidRPr="00BD6C5F">
        <w:rPr>
          <w:cs/>
        </w:rPr>
        <w:t>‎</w:t>
      </w:r>
      <w:r w:rsidR="0010425E" w:rsidRPr="00BD6C5F">
        <w:t>20</w:t>
      </w:r>
      <w:r w:rsidRPr="00BD6C5F">
        <w:t xml:space="preserve">, </w:t>
      </w:r>
      <w:r w:rsidR="0010425E" w:rsidRPr="00BD6C5F">
        <w:rPr>
          <w:cs/>
        </w:rPr>
        <w:t>‎</w:t>
      </w:r>
      <w:r w:rsidR="0010425E" w:rsidRPr="00BD6C5F">
        <w:t>21</w:t>
      </w:r>
      <w:r w:rsidRPr="00BD6C5F">
        <w:t xml:space="preserve"> and </w:t>
      </w:r>
      <w:r w:rsidR="0010425E" w:rsidRPr="00BD6C5F">
        <w:rPr>
          <w:cs/>
        </w:rPr>
        <w:t>‎</w:t>
      </w:r>
      <w:r w:rsidR="0010425E" w:rsidRPr="00BD6C5F">
        <w:t>23</w:t>
      </w:r>
      <w:r w:rsidRPr="00BD6C5F">
        <w:t xml:space="preserve"> if:</w:t>
      </w:r>
      <w:bookmarkEnd w:id="2031"/>
    </w:p>
    <w:p w14:paraId="7411D867" w14:textId="77777777" w:rsidR="00D67018" w:rsidRPr="00BD6C5F" w:rsidRDefault="00D67018" w:rsidP="0009207B">
      <w:pPr>
        <w:pStyle w:val="AppendixText3"/>
      </w:pPr>
      <w:r w:rsidRPr="00BD6C5F">
        <w:t>it is unable to reasonably verify the identity of an individual making the request; or</w:t>
      </w:r>
    </w:p>
    <w:p w14:paraId="6BA7D20A" w14:textId="24556851" w:rsidR="00D67018" w:rsidRPr="00BD6C5F" w:rsidRDefault="00D67018" w:rsidP="0009207B">
      <w:pPr>
        <w:pStyle w:val="AppendixText3"/>
      </w:pPr>
      <w:bookmarkStart w:id="2032" w:name="_Ref76978936"/>
      <w:r w:rsidRPr="00BD6C5F">
        <w:t>the requests are manifestly unfounded or excessive, including where requests are repetitive. In that case the Importer may refuse the request or may charge the Relevant Data Subject a reasonable fee; or</w:t>
      </w:r>
      <w:bookmarkEnd w:id="2032"/>
    </w:p>
    <w:p w14:paraId="2031B5C2" w14:textId="77777777" w:rsidR="00D67018" w:rsidRPr="00BD6C5F" w:rsidRDefault="00D67018" w:rsidP="0009207B">
      <w:pPr>
        <w:pStyle w:val="AppendixText3"/>
      </w:pPr>
      <w:r w:rsidRPr="00BD6C5F">
        <w:t>a relevant exemption would be available under UK Data Protection Laws, were the Importer subject to the UK Data Protection Laws.</w:t>
      </w:r>
    </w:p>
    <w:p w14:paraId="2E168B26" w14:textId="69043331" w:rsidR="00D67018" w:rsidRPr="00BD6C5F" w:rsidRDefault="00D67018" w:rsidP="0009207B">
      <w:pPr>
        <w:pStyle w:val="AppendixText3"/>
      </w:pPr>
      <w:bookmarkStart w:id="2033" w:name="_Toc79405518"/>
      <w:r w:rsidRPr="00BD6C5F">
        <w:t>If the Importer refuses an individual</w:t>
      </w:r>
      <w:r w:rsidR="00A4555C" w:rsidRPr="00BD6C5F">
        <w:t>’</w:t>
      </w:r>
      <w:r w:rsidRPr="00BD6C5F">
        <w:t xml:space="preserve">s request or charges a fee under Section </w:t>
      </w:r>
      <w:r w:rsidR="0010425E" w:rsidRPr="00BD6C5F">
        <w:rPr>
          <w:cs/>
        </w:rPr>
        <w:t>‎</w:t>
      </w:r>
      <w:r w:rsidR="0010425E" w:rsidRPr="00BD6C5F">
        <w:t>22.1.2</w:t>
      </w:r>
      <w:r w:rsidRPr="00BD6C5F">
        <w:t xml:space="preserve"> it will set out in writing the reasons for its refusal or charge, and inform the Relevant Data Subject that they are entitled to bring a claim for compensation under this IDTA</w:t>
      </w:r>
      <w:bookmarkEnd w:id="2033"/>
      <w:r w:rsidRPr="00BD6C5F">
        <w:t xml:space="preserve"> in the case of any breach of this IDTA. </w:t>
      </w:r>
    </w:p>
    <w:p w14:paraId="31E50912" w14:textId="77777777" w:rsidR="00D67018" w:rsidRPr="00BD6C5F" w:rsidRDefault="00D67018" w:rsidP="00DA04BE">
      <w:pPr>
        <w:keepNext/>
        <w:keepLines/>
        <w:widowControl/>
        <w:spacing w:before="240" w:after="120"/>
        <w:rPr>
          <w:b/>
          <w:bCs/>
        </w:rPr>
      </w:pPr>
      <w:bookmarkStart w:id="2034" w:name="_Ref73390728"/>
      <w:r w:rsidRPr="00BD6C5F">
        <w:rPr>
          <w:b/>
          <w:bCs/>
        </w:rPr>
        <w:t>How to give third parties access to Transferred Data under Local Laws</w:t>
      </w:r>
    </w:p>
    <w:p w14:paraId="3A99D054" w14:textId="77777777" w:rsidR="00D67018" w:rsidRPr="00BD6C5F" w:rsidRDefault="00D67018" w:rsidP="0009207B">
      <w:pPr>
        <w:pStyle w:val="AppendixText1"/>
      </w:pPr>
      <w:bookmarkStart w:id="2035" w:name="_Ref77674408"/>
      <w:bookmarkStart w:id="2036" w:name="_Toc79405520"/>
      <w:bookmarkStart w:id="2037" w:name="_Ref76401619"/>
      <w:bookmarkStart w:id="2038" w:name="_Ref76414977"/>
      <w:bookmarkEnd w:id="2034"/>
      <w:r w:rsidRPr="00BD6C5F">
        <w:t>Access requests and direct access</w:t>
      </w:r>
    </w:p>
    <w:p w14:paraId="39DA09B9" w14:textId="3F8786F5" w:rsidR="00D67018" w:rsidRPr="00BD6C5F" w:rsidRDefault="00D67018" w:rsidP="0009207B">
      <w:pPr>
        <w:pStyle w:val="AppendixText2"/>
      </w:pPr>
      <w:r w:rsidRPr="00BD6C5F">
        <w:t>In this Section ‎</w:t>
      </w:r>
      <w:r w:rsidR="0010425E" w:rsidRPr="00BD6C5F">
        <w:rPr>
          <w:cs/>
        </w:rPr>
        <w:t>‎</w:t>
      </w:r>
      <w:r w:rsidR="0010425E" w:rsidRPr="00BD6C5F">
        <w:t>23</w:t>
      </w:r>
      <w:r w:rsidRPr="00BD6C5F">
        <w:t xml:space="preserve"> an </w:t>
      </w:r>
      <w:r w:rsidR="00A4555C" w:rsidRPr="00BD6C5F">
        <w:t>“</w:t>
      </w:r>
      <w:r w:rsidRPr="00BD6C5F">
        <w:t>Access Request</w:t>
      </w:r>
      <w:r w:rsidR="00A4555C" w:rsidRPr="00BD6C5F">
        <w:t>”</w:t>
      </w:r>
      <w:r w:rsidRPr="00BD6C5F">
        <w:t xml:space="preserve"> is a legally binding request (except for requests only binding by contract law) to access any Transferred Data and </w:t>
      </w:r>
      <w:r w:rsidR="00A4555C" w:rsidRPr="00BD6C5F">
        <w:t>“</w:t>
      </w:r>
      <w:r w:rsidRPr="00BD6C5F">
        <w:t>Direct Access</w:t>
      </w:r>
      <w:r w:rsidR="00A4555C" w:rsidRPr="00BD6C5F">
        <w:t>”</w:t>
      </w:r>
      <w:r w:rsidRPr="00BD6C5F">
        <w:t xml:space="preserve"> means direct access to any Transferred Data by public authorities of which the Importer is aware.</w:t>
      </w:r>
      <w:bookmarkEnd w:id="2035"/>
      <w:bookmarkEnd w:id="2036"/>
    </w:p>
    <w:p w14:paraId="7CB3C490" w14:textId="77777777" w:rsidR="00D67018" w:rsidRPr="00BD6C5F" w:rsidRDefault="00D67018" w:rsidP="0009207B">
      <w:pPr>
        <w:pStyle w:val="AppendixText2"/>
      </w:pPr>
      <w:bookmarkStart w:id="2039" w:name="_Toc79405521"/>
      <w:r w:rsidRPr="00BD6C5F">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2037"/>
      <w:bookmarkEnd w:id="2039"/>
    </w:p>
    <w:p w14:paraId="1788B7A9" w14:textId="77777777" w:rsidR="00D67018" w:rsidRPr="00BD6C5F" w:rsidRDefault="00D67018" w:rsidP="0009207B">
      <w:pPr>
        <w:pStyle w:val="AppendixText2"/>
      </w:pPr>
      <w:bookmarkStart w:id="2040" w:name="_Toc79405522"/>
      <w:r w:rsidRPr="00BD6C5F">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Relevant </w:t>
      </w:r>
      <w:bookmarkEnd w:id="2040"/>
      <w:r w:rsidRPr="00BD6C5F">
        <w:t xml:space="preserve">Data Subjects. </w:t>
      </w:r>
    </w:p>
    <w:p w14:paraId="72FA7EDF" w14:textId="77777777" w:rsidR="00D67018" w:rsidRPr="00BD6C5F" w:rsidRDefault="00D67018" w:rsidP="00FD4E48">
      <w:pPr>
        <w:pStyle w:val="AppendixText2"/>
        <w:keepNext/>
      </w:pPr>
      <w:bookmarkStart w:id="2041" w:name="_Toc79405523"/>
      <w:r w:rsidRPr="00BD6C5F">
        <w:t>In so far as Local Laws allow, the Importer must:</w:t>
      </w:r>
      <w:bookmarkEnd w:id="2041"/>
      <w:r w:rsidRPr="00BD6C5F">
        <w:t xml:space="preserve"> </w:t>
      </w:r>
    </w:p>
    <w:p w14:paraId="0EE21EDC" w14:textId="77777777" w:rsidR="00D67018" w:rsidRPr="00BD6C5F" w:rsidRDefault="00D67018" w:rsidP="0009207B">
      <w:pPr>
        <w:pStyle w:val="AppendixText3"/>
      </w:pPr>
      <w:r w:rsidRPr="00BD6C5F">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13C69C7D" w14:textId="77777777" w:rsidR="00D67018" w:rsidRPr="00BD6C5F" w:rsidRDefault="00D67018" w:rsidP="0009207B">
      <w:pPr>
        <w:pStyle w:val="AppendixText3"/>
      </w:pPr>
      <w:r w:rsidRPr="00BD6C5F">
        <w:t>provide a copy of this written record to the Exporter on each Review Date and any time the Exporter or the ICO reasonably requests.</w:t>
      </w:r>
    </w:p>
    <w:p w14:paraId="456E3496" w14:textId="77777777" w:rsidR="00D67018" w:rsidRPr="00BD6C5F" w:rsidRDefault="00D67018" w:rsidP="0009207B">
      <w:pPr>
        <w:pStyle w:val="AppendixText1"/>
      </w:pPr>
      <w:r w:rsidRPr="00BD6C5F">
        <w:lastRenderedPageBreak/>
        <w:t>Giving notice</w:t>
      </w:r>
    </w:p>
    <w:p w14:paraId="2FE43BC7" w14:textId="399E42E4" w:rsidR="00D67018" w:rsidRPr="00BD6C5F" w:rsidRDefault="00D67018" w:rsidP="0009207B">
      <w:pPr>
        <w:pStyle w:val="AppendixText2"/>
      </w:pPr>
      <w:bookmarkStart w:id="2042" w:name="_Ref70704223"/>
      <w:bookmarkStart w:id="2043" w:name="_Ref70705576"/>
      <w:bookmarkStart w:id="2044" w:name="_Toc79405525"/>
      <w:bookmarkEnd w:id="2038"/>
      <w:r w:rsidRPr="00BD6C5F">
        <w:t xml:space="preserve">If a Party is required to notify any other Party in this IDTA it will be </w:t>
      </w:r>
      <w:bookmarkStart w:id="2045" w:name="_Ref70705684"/>
      <w:r w:rsidRPr="00BD6C5F">
        <w:t>marked for the attention of the relevant Key Contact</w:t>
      </w:r>
      <w:bookmarkEnd w:id="2045"/>
      <w:r w:rsidRPr="00BD6C5F">
        <w:t xml:space="preserve"> and </w:t>
      </w:r>
      <w:bookmarkStart w:id="2046" w:name="_Ref70706136"/>
      <w:r w:rsidRPr="00BD6C5F">
        <w:t>sent by e-mail to the e-mail address given for the Key Contact</w:t>
      </w:r>
      <w:bookmarkStart w:id="2047" w:name="_Ref70705776"/>
      <w:bookmarkEnd w:id="2042"/>
      <w:r w:rsidRPr="00BD6C5F">
        <w:t>.</w:t>
      </w:r>
      <w:bookmarkEnd w:id="2043"/>
      <w:bookmarkEnd w:id="2044"/>
      <w:bookmarkEnd w:id="2046"/>
      <w:bookmarkEnd w:id="2047"/>
      <w:r w:rsidRPr="00BD6C5F">
        <w:t xml:space="preserve"> </w:t>
      </w:r>
    </w:p>
    <w:p w14:paraId="61D6209A" w14:textId="3D3B706D" w:rsidR="00D67018" w:rsidRPr="00BD6C5F" w:rsidRDefault="00D67018" w:rsidP="0009207B">
      <w:pPr>
        <w:pStyle w:val="AppendixText2"/>
      </w:pPr>
      <w:bookmarkStart w:id="2048" w:name="_Toc79405526"/>
      <w:r w:rsidRPr="00BD6C5F">
        <w:t xml:space="preserve">If the notice is sent in accordance with Section </w:t>
      </w:r>
      <w:r w:rsidR="0010425E" w:rsidRPr="00BD6C5F">
        <w:rPr>
          <w:cs/>
        </w:rPr>
        <w:t>‎</w:t>
      </w:r>
      <w:r w:rsidR="0010425E" w:rsidRPr="00BD6C5F">
        <w:t>24.1</w:t>
      </w:r>
      <w:r w:rsidRPr="00BD6C5F">
        <w:t>, it will be deemed to have been delivered at the time the e-mail was sent, or if that time is outside of the receiving Party</w:t>
      </w:r>
      <w:r w:rsidR="00A4555C" w:rsidRPr="00BD6C5F">
        <w:t>’</w:t>
      </w:r>
      <w:r w:rsidRPr="00BD6C5F">
        <w:t>s normal business hours, the receiving Party</w:t>
      </w:r>
      <w:r w:rsidR="00A4555C" w:rsidRPr="00BD6C5F">
        <w:t>’</w:t>
      </w:r>
      <w:r w:rsidRPr="00BD6C5F">
        <w:t>s next normal business day, and provided no notice of non-delivery or bounceback is received.</w:t>
      </w:r>
      <w:bookmarkEnd w:id="2048"/>
    </w:p>
    <w:p w14:paraId="6EAD8F95" w14:textId="4F62F07B" w:rsidR="00D67018" w:rsidRPr="00BD6C5F" w:rsidRDefault="00D67018" w:rsidP="0009207B">
      <w:pPr>
        <w:pStyle w:val="AppendixText2"/>
      </w:pPr>
      <w:bookmarkStart w:id="2049" w:name="_Toc79405527"/>
      <w:r w:rsidRPr="00BD6C5F">
        <w:t>The Parties agree that any Party can update their Key Contact details by giving 14 days</w:t>
      </w:r>
      <w:r w:rsidR="00A4555C" w:rsidRPr="00BD6C5F">
        <w:t>’</w:t>
      </w:r>
      <w:r w:rsidRPr="00BD6C5F">
        <w:t xml:space="preserve"> (or more) notice in writing to the other Party.</w:t>
      </w:r>
      <w:bookmarkEnd w:id="2049"/>
    </w:p>
    <w:p w14:paraId="136A2697" w14:textId="77777777" w:rsidR="00D67018" w:rsidRPr="00BD6C5F" w:rsidRDefault="00D67018" w:rsidP="0009207B">
      <w:pPr>
        <w:pStyle w:val="AppendixText1"/>
      </w:pPr>
      <w:bookmarkStart w:id="2050" w:name="_Toc79405529"/>
      <w:r w:rsidRPr="00BD6C5F">
        <w:t>General clauses</w:t>
      </w:r>
    </w:p>
    <w:p w14:paraId="6A573237" w14:textId="0D177B4F" w:rsidR="00D67018" w:rsidRPr="00BD6C5F" w:rsidRDefault="00D67018" w:rsidP="00FD4E48">
      <w:pPr>
        <w:pStyle w:val="AppendixText2"/>
        <w:keepNext/>
      </w:pPr>
      <w:r w:rsidRPr="00BD6C5F">
        <w:t>In relation to the transfer of the Transferred Data to the Importer and the Importer</w:t>
      </w:r>
      <w:r w:rsidR="00A4555C" w:rsidRPr="00BD6C5F">
        <w:t>’</w:t>
      </w:r>
      <w:r w:rsidRPr="00BD6C5F">
        <w:t>s Processing of the Transferred Data, this IDTA and any Linked Agreement:</w:t>
      </w:r>
      <w:bookmarkEnd w:id="2050"/>
    </w:p>
    <w:p w14:paraId="2E2E4D23" w14:textId="77777777" w:rsidR="00D67018" w:rsidRPr="00BD6C5F" w:rsidRDefault="00D67018" w:rsidP="0009207B">
      <w:pPr>
        <w:pStyle w:val="AppendixText3"/>
      </w:pPr>
      <w:r w:rsidRPr="00BD6C5F">
        <w:t xml:space="preserve">contain all the terms and conditions agreed by the Parties; and </w:t>
      </w:r>
    </w:p>
    <w:p w14:paraId="4151F36F" w14:textId="77777777" w:rsidR="00D67018" w:rsidRPr="00BD6C5F" w:rsidRDefault="00D67018" w:rsidP="0009207B">
      <w:pPr>
        <w:pStyle w:val="AppendixText3"/>
      </w:pPr>
      <w:r w:rsidRPr="00BD6C5F">
        <w:t xml:space="preserve">override all previous contacts and arrangements, whether oral or in writing. </w:t>
      </w:r>
    </w:p>
    <w:p w14:paraId="7FF4BA3E" w14:textId="0AEDAA82" w:rsidR="00D67018" w:rsidRPr="00BD6C5F" w:rsidRDefault="00D67018" w:rsidP="0009207B">
      <w:pPr>
        <w:pStyle w:val="AppendixText2"/>
      </w:pPr>
      <w:bookmarkStart w:id="2051" w:name="_Toc79405530"/>
      <w:r w:rsidRPr="00BD6C5F">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2051"/>
      <w:r w:rsidRPr="00BD6C5F">
        <w:t xml:space="preserve"> </w:t>
      </w:r>
    </w:p>
    <w:p w14:paraId="6A99E351" w14:textId="0287742E" w:rsidR="00D67018" w:rsidRPr="00BD6C5F" w:rsidRDefault="00D67018" w:rsidP="0009207B">
      <w:pPr>
        <w:pStyle w:val="AppendixText2"/>
      </w:pPr>
      <w:bookmarkStart w:id="2052" w:name="_Toc79405531"/>
      <w:r w:rsidRPr="00BD6C5F">
        <w:t xml:space="preserve">Neither Party may novate, </w:t>
      </w:r>
      <w:r w:rsidR="007B217F">
        <w:t xml:space="preserve">carry out an </w:t>
      </w:r>
      <w:r w:rsidRPr="00BD6C5F">
        <w:t>assign</w:t>
      </w:r>
      <w:r w:rsidR="007B217F">
        <w:t>ation</w:t>
      </w:r>
      <w:r w:rsidRPr="00BD6C5F">
        <w:t xml:space="preserve"> or obtain a legal charge over this IDTA (in whole or in part) without the written consent of the other Party</w:t>
      </w:r>
      <w:bookmarkEnd w:id="2052"/>
      <w:r w:rsidRPr="00BD6C5F">
        <w:t xml:space="preserve">, which may be set out in the Linked Agreement. </w:t>
      </w:r>
    </w:p>
    <w:p w14:paraId="2CB291F0" w14:textId="7BF53C18" w:rsidR="00D67018" w:rsidRPr="00BD6C5F" w:rsidRDefault="00D67018" w:rsidP="0009207B">
      <w:pPr>
        <w:pStyle w:val="AppendixText2"/>
      </w:pPr>
      <w:bookmarkStart w:id="2053" w:name="_Toc79405532"/>
      <w:r w:rsidRPr="00BD6C5F">
        <w:t xml:space="preserve">Except as set out in Section </w:t>
      </w:r>
      <w:r w:rsidR="0010425E" w:rsidRPr="00BD6C5F">
        <w:rPr>
          <w:cs/>
        </w:rPr>
        <w:t>‎</w:t>
      </w:r>
      <w:r w:rsidR="0010425E" w:rsidRPr="00BD6C5F">
        <w:t>17.1</w:t>
      </w:r>
      <w:r w:rsidRPr="00BD6C5F">
        <w:t>, neither Party may sub contract its obligations under this IDTA without the written consent of the other Party, which may be set out in the Linked Agreement.</w:t>
      </w:r>
      <w:bookmarkEnd w:id="2053"/>
      <w:r w:rsidRPr="00BD6C5F">
        <w:t xml:space="preserve"> </w:t>
      </w:r>
    </w:p>
    <w:p w14:paraId="59957329" w14:textId="0757FADC" w:rsidR="00D67018" w:rsidRPr="00BD6C5F" w:rsidRDefault="00D67018" w:rsidP="0009207B">
      <w:pPr>
        <w:pStyle w:val="AppendixText2"/>
      </w:pPr>
      <w:bookmarkStart w:id="2054" w:name="_Toc79405533"/>
      <w:r w:rsidRPr="00BD6C5F">
        <w:t>This IDTA does not make the Parties a partnership, nor appoint one Party to act as the agent of the other Party.</w:t>
      </w:r>
      <w:bookmarkEnd w:id="2054"/>
    </w:p>
    <w:p w14:paraId="556FD6F7" w14:textId="79723A26" w:rsidR="00D67018" w:rsidRPr="00BD6C5F" w:rsidRDefault="00D67018" w:rsidP="0009207B">
      <w:pPr>
        <w:pStyle w:val="AppendixText2"/>
      </w:pPr>
      <w:bookmarkStart w:id="2055" w:name="_Toc79405534"/>
      <w:r w:rsidRPr="00BD6C5F">
        <w:t>If any Section (or part of a Section) of this IDTA is or becomes illegal, invalid or unenforceable, that will not affect the legality, validity and enforceability of any other Section (or the rest of that Section) of this IDTA.</w:t>
      </w:r>
      <w:bookmarkEnd w:id="2055"/>
    </w:p>
    <w:p w14:paraId="3E96B139" w14:textId="79032D2A" w:rsidR="00D67018" w:rsidRPr="00BD6C5F" w:rsidRDefault="00D67018" w:rsidP="0009207B">
      <w:pPr>
        <w:pStyle w:val="AppendixText2"/>
      </w:pPr>
      <w:bookmarkStart w:id="2056" w:name="_Toc79405535"/>
      <w:r w:rsidRPr="00BD6C5F">
        <w:t>If a Party does not enforce, or delays enforcing, its rights or remedies under or in relation to this IDTA, this will not be a waiver of those rights or remedies. In addition, it will not restrict that Party</w:t>
      </w:r>
      <w:r w:rsidR="00A4555C" w:rsidRPr="00BD6C5F">
        <w:t>’</w:t>
      </w:r>
      <w:r w:rsidRPr="00BD6C5F">
        <w:t>s ability to enforce those or any other right or remedy in future.</w:t>
      </w:r>
      <w:bookmarkEnd w:id="2056"/>
    </w:p>
    <w:p w14:paraId="3619BC56" w14:textId="5E26115B" w:rsidR="00D67018" w:rsidRPr="00BD6C5F" w:rsidRDefault="00D67018" w:rsidP="00FD4E48">
      <w:pPr>
        <w:pStyle w:val="AppendixText2"/>
        <w:keepNext/>
      </w:pPr>
      <w:bookmarkStart w:id="2057" w:name="_Toc79405536"/>
      <w:r w:rsidRPr="00BD6C5F">
        <w:t>If a Party chooses to waive enforcing a right or remedy under or in relation to this IDTA, then this waiver will only be effective if it is made in writing. Where a Party provides such a written waiver:</w:t>
      </w:r>
      <w:bookmarkEnd w:id="2057"/>
    </w:p>
    <w:p w14:paraId="145B06E9" w14:textId="77777777" w:rsidR="00D67018" w:rsidRPr="00BD6C5F" w:rsidRDefault="00D67018" w:rsidP="0009207B">
      <w:pPr>
        <w:pStyle w:val="AppendixText3"/>
      </w:pPr>
      <w:r w:rsidRPr="00BD6C5F">
        <w:t>it only applies in so far as it explicitly waives specific rights or remedies;</w:t>
      </w:r>
    </w:p>
    <w:p w14:paraId="0324E00E" w14:textId="77777777" w:rsidR="00D67018" w:rsidRPr="00BD6C5F" w:rsidRDefault="00D67018" w:rsidP="0009207B">
      <w:pPr>
        <w:pStyle w:val="AppendixText3"/>
      </w:pPr>
      <w:r w:rsidRPr="00BD6C5F">
        <w:t>it shall not prevent that Party from exercising those rights or remedies in the future (unless it has explicitly waived its ability to do so); and</w:t>
      </w:r>
    </w:p>
    <w:p w14:paraId="38B43089" w14:textId="77777777" w:rsidR="00D67018" w:rsidRPr="00BD6C5F" w:rsidRDefault="00D67018" w:rsidP="0009207B">
      <w:pPr>
        <w:pStyle w:val="AppendixText3"/>
      </w:pPr>
      <w:r w:rsidRPr="00BD6C5F">
        <w:lastRenderedPageBreak/>
        <w:t>it will not prevent that Party from enforcing any other right or remedy in future.</w:t>
      </w:r>
    </w:p>
    <w:p w14:paraId="73B6BB21" w14:textId="77777777" w:rsidR="00D67018" w:rsidRPr="00BD6C5F" w:rsidRDefault="00D67018" w:rsidP="00DA04BE">
      <w:pPr>
        <w:keepNext/>
        <w:keepLines/>
        <w:widowControl/>
        <w:spacing w:before="240" w:after="120"/>
        <w:rPr>
          <w:b/>
          <w:bCs/>
        </w:rPr>
      </w:pPr>
      <w:bookmarkStart w:id="2058" w:name="_Ref73484287"/>
      <w:r w:rsidRPr="00BD6C5F">
        <w:rPr>
          <w:b/>
          <w:bCs/>
        </w:rPr>
        <w:t>What happens if there is a breach of this IDTA?</w:t>
      </w:r>
    </w:p>
    <w:p w14:paraId="4435DD25" w14:textId="66DF6642" w:rsidR="00D67018" w:rsidRPr="00BD6C5F" w:rsidRDefault="00D67018" w:rsidP="0009207B">
      <w:pPr>
        <w:pStyle w:val="AppendixText1"/>
      </w:pPr>
      <w:r w:rsidRPr="00BD6C5F">
        <w:t>Breaches of this IDTA</w:t>
      </w:r>
    </w:p>
    <w:p w14:paraId="6171AD88" w14:textId="77777777" w:rsidR="00D67018" w:rsidRPr="00BD6C5F" w:rsidRDefault="00D67018" w:rsidP="00FD4E48">
      <w:pPr>
        <w:pStyle w:val="AppendixText2"/>
        <w:keepNext/>
      </w:pPr>
      <w:bookmarkStart w:id="2059" w:name="_Toc79405538"/>
      <w:bookmarkStart w:id="2060" w:name="_Ref73503353"/>
      <w:bookmarkEnd w:id="2058"/>
      <w:r w:rsidRPr="00BD6C5F">
        <w:t>Each Party must notify the other Party in writing (and with all relevant details) if it:</w:t>
      </w:r>
      <w:bookmarkEnd w:id="2059"/>
    </w:p>
    <w:p w14:paraId="611B131F" w14:textId="77777777" w:rsidR="00D67018" w:rsidRPr="00BD6C5F" w:rsidRDefault="00D67018" w:rsidP="0009207B">
      <w:pPr>
        <w:pStyle w:val="AppendixText3"/>
      </w:pPr>
      <w:r w:rsidRPr="00BD6C5F">
        <w:t xml:space="preserve">has breached this IDTA; or </w:t>
      </w:r>
    </w:p>
    <w:p w14:paraId="66B9687F" w14:textId="77777777" w:rsidR="00D67018" w:rsidRPr="00BD6C5F" w:rsidRDefault="00D67018" w:rsidP="0009207B">
      <w:pPr>
        <w:pStyle w:val="AppendixText3"/>
      </w:pPr>
      <w:r w:rsidRPr="00BD6C5F">
        <w:t>it should reasonably anticipate that it may breach this IDTA, and provide any information about this which the other Party reasonably requests.</w:t>
      </w:r>
    </w:p>
    <w:p w14:paraId="71EAC0FA" w14:textId="15100393" w:rsidR="00D67018" w:rsidRPr="00BD6C5F" w:rsidRDefault="00D67018" w:rsidP="0009207B">
      <w:pPr>
        <w:pStyle w:val="AppendixText2"/>
      </w:pPr>
      <w:bookmarkStart w:id="2061" w:name="_Ref76467563"/>
      <w:bookmarkStart w:id="2062" w:name="_Toc79405539"/>
      <w:bookmarkStart w:id="2063" w:name="_Ref73503360"/>
      <w:bookmarkEnd w:id="2060"/>
      <w:r w:rsidRPr="00BD6C5F">
        <w:t xml:space="preserve">In this IDTA </w:t>
      </w:r>
      <w:r w:rsidR="00A4555C" w:rsidRPr="00BD6C5F">
        <w:t>“</w:t>
      </w:r>
      <w:r w:rsidRPr="00BD6C5F">
        <w:t>Significant Harmful Impact</w:t>
      </w:r>
      <w:r w:rsidR="00A4555C" w:rsidRPr="00BD6C5F">
        <w:t>”</w:t>
      </w:r>
      <w:r w:rsidRPr="00BD6C5F">
        <w:t xml:space="preserve"> means that there is more than a minimal risk of a breach of the IDTA causing (directly or indirectly) significant damage to any Relevant Data Subject or the other Party.</w:t>
      </w:r>
      <w:bookmarkEnd w:id="2061"/>
      <w:bookmarkEnd w:id="2062"/>
    </w:p>
    <w:p w14:paraId="55FA25CA" w14:textId="77777777" w:rsidR="00D67018" w:rsidRPr="00BD6C5F" w:rsidRDefault="00D67018" w:rsidP="0009207B">
      <w:pPr>
        <w:pStyle w:val="AppendixText1"/>
      </w:pPr>
      <w:bookmarkStart w:id="2064" w:name="_Toc79405541"/>
      <w:r w:rsidRPr="00BD6C5F">
        <w:t>Breaches of this IDTA by the Importer</w:t>
      </w:r>
    </w:p>
    <w:p w14:paraId="788890AB" w14:textId="17194B4F" w:rsidR="00D67018" w:rsidRPr="00BD6C5F" w:rsidRDefault="00D67018" w:rsidP="0009207B">
      <w:pPr>
        <w:pStyle w:val="AppendixText2"/>
      </w:pPr>
      <w:r w:rsidRPr="00BD6C5F">
        <w:t xml:space="preserve">If the Importer has </w:t>
      </w:r>
      <w:r w:rsidRPr="00BD6C5F">
        <w:rPr>
          <w:shd w:val="clear" w:color="auto" w:fill="FFFFFF" w:themeFill="background1"/>
        </w:rPr>
        <w:t>breached</w:t>
      </w:r>
      <w:r w:rsidRPr="00BD6C5F">
        <w:t xml:space="preserve"> this IDTA, and this has a Significant Harmful Impact</w:t>
      </w:r>
      <w:bookmarkEnd w:id="2063"/>
      <w:r w:rsidRPr="00BD6C5F">
        <w:t>, the Importer must take steps Without Undue Delay to end the Significant Harmful Impact, and if that is not possible to reduce the Significant Harmful Impact as much as possible.</w:t>
      </w:r>
      <w:bookmarkEnd w:id="2064"/>
      <w:r w:rsidRPr="00BD6C5F">
        <w:t xml:space="preserve"> </w:t>
      </w:r>
    </w:p>
    <w:p w14:paraId="2A22EB9B" w14:textId="6011173B" w:rsidR="00D67018" w:rsidRPr="00BD6C5F" w:rsidRDefault="00D67018" w:rsidP="00FD4E48">
      <w:pPr>
        <w:pStyle w:val="AppendixText2"/>
        <w:keepNext/>
      </w:pPr>
      <w:bookmarkStart w:id="2065" w:name="_Toc79405542"/>
      <w:r w:rsidRPr="00BD6C5F">
        <w:t>Until there is no ongoing Significant Harmful Impact on Relevant Data Subjects:</w:t>
      </w:r>
      <w:bookmarkEnd w:id="2065"/>
    </w:p>
    <w:p w14:paraId="18B559F9" w14:textId="77777777" w:rsidR="00D67018" w:rsidRPr="00BD6C5F" w:rsidRDefault="00D67018" w:rsidP="0009207B">
      <w:pPr>
        <w:pStyle w:val="AppendixText3"/>
      </w:pPr>
      <w:r w:rsidRPr="00BD6C5F">
        <w:t>the Exporter must suspend sending Transferred Data to the Importer;</w:t>
      </w:r>
    </w:p>
    <w:p w14:paraId="004975EF" w14:textId="3B92C4DB" w:rsidR="00D67018" w:rsidRPr="00BD6C5F" w:rsidRDefault="00D67018" w:rsidP="0009207B">
      <w:pPr>
        <w:pStyle w:val="AppendixText3"/>
      </w:pPr>
      <w:r w:rsidRPr="00BD6C5F">
        <w:t>If the Importer is the Exporter</w:t>
      </w:r>
      <w:r w:rsidR="00A4555C" w:rsidRPr="00BD6C5F">
        <w:t>’</w:t>
      </w:r>
      <w:r w:rsidRPr="00BD6C5F">
        <w:t>s Processor or Sub-Processor: if the Exporter requests, the importer must securely delete all Transferred Data or securely return it to the Exporter (or a third party named by the Exporter); and</w:t>
      </w:r>
    </w:p>
    <w:p w14:paraId="1D3E0873" w14:textId="1F827716" w:rsidR="00D67018" w:rsidRPr="00BD6C5F" w:rsidRDefault="00D67018" w:rsidP="0009207B">
      <w:pPr>
        <w:pStyle w:val="AppendixText3"/>
      </w:pPr>
      <w:r w:rsidRPr="00BD6C5F">
        <w:t xml:space="preserve">if the Importer has transferred on the Transferred Data to a third party receiver under Section </w:t>
      </w:r>
      <w:r w:rsidR="0010425E" w:rsidRPr="00BD6C5F">
        <w:rPr>
          <w:cs/>
        </w:rPr>
        <w:t>‎</w:t>
      </w:r>
      <w:r w:rsidR="0010425E" w:rsidRPr="00BD6C5F">
        <w:t>16</w:t>
      </w:r>
      <w:r w:rsidRPr="00BD6C5F">
        <w:t>, and the breach has a Significant Harmful Impact on Relevant Data Subject when it is Processed by or on behalf of that third party receiver, the Importer must:</w:t>
      </w:r>
    </w:p>
    <w:p w14:paraId="6FD6E736" w14:textId="7908E4A1" w:rsidR="00D67018" w:rsidRPr="00BD6C5F" w:rsidRDefault="00D67018" w:rsidP="0040545B">
      <w:pPr>
        <w:pStyle w:val="AppendixText4"/>
      </w:pPr>
      <w:r w:rsidRPr="00BD6C5F">
        <w:t xml:space="preserve">notify the third party receiver of the breach and suspend sending it Transferred Data; and </w:t>
      </w:r>
    </w:p>
    <w:p w14:paraId="2270FD21" w14:textId="6537F24A" w:rsidR="00D67018" w:rsidRPr="00BD6C5F" w:rsidRDefault="00D67018" w:rsidP="0040545B">
      <w:pPr>
        <w:pStyle w:val="AppendixText4"/>
      </w:pPr>
      <w:r w:rsidRPr="00BD6C5F">
        <w:t>if the third party receiver is the Importer</w:t>
      </w:r>
      <w:r w:rsidR="00A4555C" w:rsidRPr="00BD6C5F">
        <w:t>’</w:t>
      </w:r>
      <w:r w:rsidRPr="00BD6C5F">
        <w:t xml:space="preserve">s Processor or Sub-Processor: make the third party receiver securely delete all Transferred Data being Processed by it or on its behalf, or securely return it to the Importer (or a third party named by the Importer). </w:t>
      </w:r>
    </w:p>
    <w:p w14:paraId="63AB8DDD" w14:textId="3F57EEA5" w:rsidR="00D67018" w:rsidRPr="00BD6C5F" w:rsidRDefault="00D67018" w:rsidP="0009207B">
      <w:pPr>
        <w:pStyle w:val="AppendixText2"/>
      </w:pPr>
      <w:bookmarkStart w:id="2066" w:name="_Toc79405543"/>
      <w:r w:rsidRPr="00BD6C5F">
        <w:t xml:space="preserve">If the breach cannot be corrected Without Undue Delay, so there is no ongoing Significant Harmful Impact on Relevant Data Subjects, the Exporter must end this IDTA under Section </w:t>
      </w:r>
      <w:r w:rsidR="0010425E" w:rsidRPr="00BD6C5F">
        <w:rPr>
          <w:cs/>
        </w:rPr>
        <w:t>‎</w:t>
      </w:r>
      <w:r w:rsidR="0010425E" w:rsidRPr="00BD6C5F">
        <w:t>30.1</w:t>
      </w:r>
      <w:r w:rsidRPr="00BD6C5F">
        <w:t>.</w:t>
      </w:r>
      <w:bookmarkEnd w:id="2066"/>
    </w:p>
    <w:p w14:paraId="476E3DF0" w14:textId="77777777" w:rsidR="00D67018" w:rsidRPr="00BD6C5F" w:rsidRDefault="00D67018" w:rsidP="0009207B">
      <w:pPr>
        <w:pStyle w:val="AppendixText1"/>
      </w:pPr>
      <w:bookmarkStart w:id="2067" w:name="_Toc79405545"/>
      <w:r w:rsidRPr="00BD6C5F">
        <w:t>Breaches of this IDTA by the Exporter</w:t>
      </w:r>
    </w:p>
    <w:p w14:paraId="6B4AF42E" w14:textId="284AB2FF" w:rsidR="00D67018" w:rsidRPr="00BD6C5F" w:rsidRDefault="00D67018" w:rsidP="0009207B">
      <w:pPr>
        <w:pStyle w:val="AppendixText2"/>
      </w:pPr>
      <w:r w:rsidRPr="00BD6C5F">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2067"/>
      <w:r w:rsidRPr="00BD6C5F">
        <w:t xml:space="preserve"> </w:t>
      </w:r>
    </w:p>
    <w:p w14:paraId="35867A4E" w14:textId="3FB2505A" w:rsidR="00D67018" w:rsidRPr="00BD6C5F" w:rsidRDefault="00D67018" w:rsidP="0009207B">
      <w:pPr>
        <w:pStyle w:val="AppendixText2"/>
      </w:pPr>
      <w:bookmarkStart w:id="2068" w:name="_Toc79405546"/>
      <w:r w:rsidRPr="00BD6C5F">
        <w:t>Until there is no ongoing risk of a Significant Harmful Impact on Relevant Data Subjects, the Exporter must suspend sending Transferred Data to the Importer.</w:t>
      </w:r>
      <w:bookmarkEnd w:id="2068"/>
    </w:p>
    <w:p w14:paraId="030EC3E7" w14:textId="1FD2BF69" w:rsidR="00D67018" w:rsidRPr="00BD6C5F" w:rsidRDefault="00D67018" w:rsidP="0009207B">
      <w:pPr>
        <w:pStyle w:val="AppendixText2"/>
      </w:pPr>
      <w:bookmarkStart w:id="2069" w:name="_Toc79405547"/>
      <w:r w:rsidRPr="00BD6C5F">
        <w:lastRenderedPageBreak/>
        <w:t xml:space="preserve">If the breach cannot be corrected Without Undue Delay, so there is no ongoing Significant Harmful Impact on Relevant Data Subjects, the Importer must end this IDTA under Section </w:t>
      </w:r>
      <w:r w:rsidR="0010425E" w:rsidRPr="00BD6C5F">
        <w:rPr>
          <w:cs/>
        </w:rPr>
        <w:t>‎</w:t>
      </w:r>
      <w:r w:rsidR="0010425E" w:rsidRPr="00BD6C5F">
        <w:t>30.1</w:t>
      </w:r>
      <w:r w:rsidRPr="00BD6C5F">
        <w:t>.</w:t>
      </w:r>
      <w:bookmarkEnd w:id="2069"/>
    </w:p>
    <w:p w14:paraId="687E25EB" w14:textId="77777777" w:rsidR="00D67018" w:rsidRPr="00BD6C5F" w:rsidRDefault="00D67018" w:rsidP="00DA04BE">
      <w:pPr>
        <w:keepNext/>
        <w:keepLines/>
        <w:widowControl/>
        <w:spacing w:before="240" w:after="120"/>
        <w:rPr>
          <w:b/>
          <w:bCs/>
        </w:rPr>
      </w:pPr>
      <w:r w:rsidRPr="00BD6C5F">
        <w:rPr>
          <w:b/>
          <w:bCs/>
        </w:rPr>
        <w:t>Ending the IDTA</w:t>
      </w:r>
    </w:p>
    <w:p w14:paraId="4A81A0A2" w14:textId="77777777" w:rsidR="00D67018" w:rsidRPr="00BD6C5F" w:rsidRDefault="00D67018" w:rsidP="0009207B">
      <w:pPr>
        <w:pStyle w:val="AppendixText1"/>
      </w:pPr>
      <w:r w:rsidRPr="00BD6C5F">
        <w:t>How to end this IDTA without there being a breach</w:t>
      </w:r>
    </w:p>
    <w:p w14:paraId="69FC45C9" w14:textId="77777777" w:rsidR="00D67018" w:rsidRPr="00BD6C5F" w:rsidRDefault="00D67018" w:rsidP="00FD4E48">
      <w:pPr>
        <w:pStyle w:val="AppendixText2"/>
        <w:keepNext/>
      </w:pPr>
      <w:bookmarkStart w:id="2070" w:name="_Ref77147052"/>
      <w:bookmarkStart w:id="2071" w:name="_Toc79405549"/>
      <w:bookmarkStart w:id="2072" w:name="_Ref73509913"/>
      <w:r w:rsidRPr="00BD6C5F">
        <w:t>The IDTA will end:</w:t>
      </w:r>
      <w:bookmarkEnd w:id="2070"/>
      <w:bookmarkEnd w:id="2071"/>
    </w:p>
    <w:p w14:paraId="0E0E0F2F" w14:textId="77777777" w:rsidR="00D67018" w:rsidRPr="00BD6C5F" w:rsidRDefault="00D67018" w:rsidP="0009207B">
      <w:pPr>
        <w:pStyle w:val="AppendixText3"/>
      </w:pPr>
      <w:r w:rsidRPr="00BD6C5F">
        <w:t>at the end of the Term stated in Table 2: Transfer Details; or</w:t>
      </w:r>
    </w:p>
    <w:p w14:paraId="4C692569" w14:textId="77777777" w:rsidR="00D67018" w:rsidRPr="00BD6C5F" w:rsidRDefault="00D67018" w:rsidP="0009207B">
      <w:pPr>
        <w:pStyle w:val="AppendixText3"/>
      </w:pPr>
      <w:bookmarkStart w:id="2073" w:name="_Ref76397489"/>
      <w:r w:rsidRPr="00BD6C5F">
        <w:t xml:space="preserve">if in Table 2: Transfer Details, the Parties can end this IDTA by providing written notice to the other: at the end of the notice period stated; </w:t>
      </w:r>
    </w:p>
    <w:p w14:paraId="78CD14D8" w14:textId="77777777" w:rsidR="00D67018" w:rsidRPr="00BD6C5F" w:rsidRDefault="00D67018" w:rsidP="0009207B">
      <w:pPr>
        <w:pStyle w:val="AppendixText3"/>
      </w:pPr>
      <w:r w:rsidRPr="00BD6C5F">
        <w:t>at any time that the Parties agree in writing that it will end; or</w:t>
      </w:r>
    </w:p>
    <w:p w14:paraId="6EA58B4A" w14:textId="28099C1E" w:rsidR="00D67018" w:rsidRPr="00BD6C5F" w:rsidRDefault="00D67018" w:rsidP="0009207B">
      <w:pPr>
        <w:pStyle w:val="AppendixText3"/>
      </w:pPr>
      <w:r w:rsidRPr="00BD6C5F">
        <w:t xml:space="preserve">at the time set out in Section </w:t>
      </w:r>
      <w:r w:rsidR="0010425E" w:rsidRPr="00BD6C5F">
        <w:rPr>
          <w:cs/>
        </w:rPr>
        <w:t>‎</w:t>
      </w:r>
      <w:r w:rsidR="0010425E" w:rsidRPr="00BD6C5F">
        <w:t>29.2</w:t>
      </w:r>
      <w:r w:rsidRPr="00BD6C5F">
        <w:t>.</w:t>
      </w:r>
    </w:p>
    <w:p w14:paraId="5FDD9A94" w14:textId="647C320B" w:rsidR="00D67018" w:rsidRPr="00BD6C5F" w:rsidRDefault="00D67018" w:rsidP="0009207B">
      <w:pPr>
        <w:pStyle w:val="AppendixText2"/>
      </w:pPr>
      <w:bookmarkStart w:id="2074" w:name="_Ref93332274"/>
      <w:r w:rsidRPr="00BD6C5F">
        <w:t xml:space="preserve">If the ICO issues a revised Approved IDTA under Section </w:t>
      </w:r>
      <w:r w:rsidR="0010425E" w:rsidRPr="00BD6C5F">
        <w:rPr>
          <w:cs/>
        </w:rPr>
        <w:t>‎</w:t>
      </w:r>
      <w:r w:rsidR="0010425E" w:rsidRPr="00BD6C5F">
        <w:t>5.4</w:t>
      </w:r>
      <w:r w:rsidRPr="00BD6C5F">
        <w:t xml:space="preserve">, if any Party selected in Table 2 </w:t>
      </w:r>
      <w:r w:rsidR="00A4555C" w:rsidRPr="00BD6C5F">
        <w:t>“</w:t>
      </w:r>
      <w:r w:rsidRPr="00BD6C5F">
        <w:t>Ending the IDTA when the Approved IDTA changes</w:t>
      </w:r>
      <w:r w:rsidR="00A4555C" w:rsidRPr="00BD6C5F">
        <w:t>”</w:t>
      </w:r>
      <w:r w:rsidRPr="00BD6C5F">
        <w:t>, will as a direct result of the changes in the Approved IDTA have a substantial, disproportionate and demonstrable increase in:</w:t>
      </w:r>
      <w:bookmarkEnd w:id="2074"/>
      <w:r w:rsidRPr="00BD6C5F">
        <w:t xml:space="preserve"> </w:t>
      </w:r>
    </w:p>
    <w:p w14:paraId="538013FB" w14:textId="77777777" w:rsidR="00D67018" w:rsidRPr="00BD6C5F" w:rsidRDefault="00D67018" w:rsidP="0009207B">
      <w:pPr>
        <w:pStyle w:val="AppendixText3"/>
      </w:pPr>
      <w:r w:rsidRPr="00BD6C5F">
        <w:rPr>
          <w:rFonts w:asciiTheme="minorHAnsi" w:hAnsiTheme="minorHAnsi" w:cstheme="minorHAnsi"/>
        </w:rPr>
        <w:t>its direct costs of</w:t>
      </w:r>
      <w:r w:rsidRPr="00BD6C5F">
        <w:t xml:space="preserve"> performing its obligations under the IDTA; and/or </w:t>
      </w:r>
    </w:p>
    <w:p w14:paraId="738B5374" w14:textId="77777777" w:rsidR="00D67018" w:rsidRPr="00BD6C5F" w:rsidRDefault="00D67018" w:rsidP="0009207B">
      <w:pPr>
        <w:pStyle w:val="AppendixText3"/>
      </w:pPr>
      <w:r w:rsidRPr="00BD6C5F">
        <w:t>its risk under the IDTA,</w:t>
      </w:r>
    </w:p>
    <w:p w14:paraId="430D9016" w14:textId="77777777" w:rsidR="00D67018" w:rsidRPr="00BD6C5F" w:rsidRDefault="00D67018" w:rsidP="0009207B">
      <w:pPr>
        <w:pStyle w:val="AppendixText3"/>
      </w:pPr>
      <w:r w:rsidRPr="00BD6C5F">
        <w:t>and in either case it has first taken reasonable steps to reduce that cost or risk so that it is not substantial and disproportionate, that Party may end the IDTA at the end of a reasonable notice period, by providing written notice for that period to the other Party before the start date of the revised Approved IDTA.</w:t>
      </w:r>
    </w:p>
    <w:p w14:paraId="7A5D7B13" w14:textId="77777777" w:rsidR="00D67018" w:rsidRPr="00BD6C5F" w:rsidRDefault="00D67018" w:rsidP="0009207B">
      <w:pPr>
        <w:pStyle w:val="AppendixText1"/>
      </w:pPr>
      <w:r w:rsidRPr="00BD6C5F">
        <w:t>How to end this IDTA if there is a breach</w:t>
      </w:r>
    </w:p>
    <w:p w14:paraId="6F4774FF" w14:textId="327F673B" w:rsidR="00D67018" w:rsidRPr="00BD6C5F" w:rsidRDefault="00D67018" w:rsidP="00FD4E48">
      <w:pPr>
        <w:pStyle w:val="AppendixText2"/>
        <w:keepNext/>
      </w:pPr>
      <w:bookmarkStart w:id="2075" w:name="_Ref71909042"/>
      <w:bookmarkStart w:id="2076" w:name="_Toc79405552"/>
      <w:bookmarkEnd w:id="2072"/>
      <w:bookmarkEnd w:id="2073"/>
      <w:r w:rsidRPr="00BD6C5F">
        <w:t>A Party may end this IDTA immediately by giving the other Party written notice if:</w:t>
      </w:r>
      <w:bookmarkEnd w:id="2075"/>
      <w:bookmarkEnd w:id="2076"/>
    </w:p>
    <w:p w14:paraId="23604676" w14:textId="77777777" w:rsidR="00D67018" w:rsidRPr="00BD6C5F" w:rsidRDefault="00D67018" w:rsidP="00FD4E48">
      <w:pPr>
        <w:pStyle w:val="AppendixText3"/>
        <w:keepNext/>
      </w:pPr>
      <w:r w:rsidRPr="00BD6C5F">
        <w:t>the other Party has breached this IDTA and this has a Significant Harmful Impact. This includes repeated minor breaches which taken together have a Significant Harmful Impact, and</w:t>
      </w:r>
    </w:p>
    <w:p w14:paraId="3F7BDF07" w14:textId="65E54785" w:rsidR="00D67018" w:rsidRPr="00BD6C5F" w:rsidRDefault="00D67018" w:rsidP="0040545B">
      <w:pPr>
        <w:pStyle w:val="AppendixText4"/>
      </w:pPr>
      <w:r w:rsidRPr="00BD6C5F">
        <w:t>the breach can be corrected so there is no Significant Harmful Impact, and the other Party has failed to do so Without Undue Delay (which cannot be more than 14 days of being required to do so in writing); or</w:t>
      </w:r>
    </w:p>
    <w:p w14:paraId="0E27F84C" w14:textId="607F6FAA" w:rsidR="00D67018" w:rsidRPr="00BD6C5F" w:rsidRDefault="00D67018" w:rsidP="0040545B">
      <w:pPr>
        <w:pStyle w:val="AppendixText4"/>
      </w:pPr>
      <w:r w:rsidRPr="00BD6C5F">
        <w:t>the breach and its Significant Harmful Impact cannot be corrected;</w:t>
      </w:r>
    </w:p>
    <w:p w14:paraId="2E6D2C8A" w14:textId="6AEB2659" w:rsidR="00D67018" w:rsidRPr="00BD6C5F" w:rsidRDefault="00D67018" w:rsidP="0009207B">
      <w:pPr>
        <w:pStyle w:val="AppendixText3"/>
      </w:pPr>
      <w:bookmarkStart w:id="2077" w:name="_Ref71511707"/>
      <w:r w:rsidRPr="00BD6C5F">
        <w:t xml:space="preserve">the Importer can no longer comply with Section </w:t>
      </w:r>
      <w:bookmarkEnd w:id="2077"/>
      <w:r w:rsidR="0010425E" w:rsidRPr="00BD6C5F">
        <w:rPr>
          <w:cs/>
        </w:rPr>
        <w:t>‎</w:t>
      </w:r>
      <w:r w:rsidR="0010425E" w:rsidRPr="00BD6C5F">
        <w:t>8.3</w:t>
      </w:r>
      <w:r w:rsidRPr="00BD6C5F">
        <w:t>, as there are Local Laws which mean it cannot comply with this IDTA and this has a Significant Harmful Impact.</w:t>
      </w:r>
    </w:p>
    <w:p w14:paraId="2D527510" w14:textId="77777777" w:rsidR="00D67018" w:rsidRPr="00BD6C5F" w:rsidRDefault="00D67018" w:rsidP="0009207B">
      <w:pPr>
        <w:pStyle w:val="AppendixText1"/>
      </w:pPr>
      <w:r w:rsidRPr="00BD6C5F">
        <w:t>What must the Parties do when the IDTA ends?</w:t>
      </w:r>
    </w:p>
    <w:p w14:paraId="4F61B2DD" w14:textId="77777777" w:rsidR="00D67018" w:rsidRPr="00BD6C5F" w:rsidRDefault="00D67018" w:rsidP="0009207B">
      <w:pPr>
        <w:pStyle w:val="AppendixText2"/>
      </w:pPr>
      <w:bookmarkStart w:id="2078" w:name="_Hlk89227792"/>
      <w:bookmarkStart w:id="2079" w:name="_Ref89205946"/>
      <w:bookmarkStart w:id="2080" w:name="_Ref71511776"/>
      <w:bookmarkStart w:id="2081" w:name="_Ref73503922"/>
      <w:r w:rsidRPr="00BD6C5F">
        <w:t xml:space="preserve">If the parties wish to bring this IDTA to an end or this IDTA ends in accordance with any provision in this IDTA, but </w:t>
      </w:r>
      <w:bookmarkEnd w:id="2078"/>
      <w:r w:rsidRPr="00BD6C5F">
        <w:t xml:space="preserve">the Importer must comply with a Local Law which requires it to </w:t>
      </w:r>
      <w:r w:rsidRPr="00BD6C5F">
        <w:lastRenderedPageBreak/>
        <w:t xml:space="preserve">continue to keep any Transferred Data then </w:t>
      </w:r>
      <w:bookmarkStart w:id="2082" w:name="_Hlk89227829"/>
      <w:r w:rsidRPr="00BD6C5F">
        <w:t>this IDTA will remain in force in respect of any retained Transferred Data for as long as the retained Transferred Data is retained, and the Importer must</w:t>
      </w:r>
      <w:bookmarkEnd w:id="2082"/>
      <w:r w:rsidRPr="00BD6C5F">
        <w:t>:</w:t>
      </w:r>
      <w:bookmarkEnd w:id="2079"/>
    </w:p>
    <w:p w14:paraId="7217B022" w14:textId="77777777" w:rsidR="00D67018" w:rsidRPr="00BD6C5F" w:rsidRDefault="00D67018" w:rsidP="0009207B">
      <w:pPr>
        <w:pStyle w:val="AppendixText3"/>
      </w:pPr>
      <w:r w:rsidRPr="00BD6C5F">
        <w:t>notify the Exporter Without Undue Delay</w:t>
      </w:r>
      <w:bookmarkStart w:id="2083" w:name="_Hlk89227839"/>
      <w:r w:rsidRPr="00BD6C5F">
        <w:t>, including details of the relevant Local Law and the required retention period</w:t>
      </w:r>
      <w:bookmarkEnd w:id="2083"/>
      <w:r w:rsidRPr="00BD6C5F">
        <w:t xml:space="preserve">; </w:t>
      </w:r>
    </w:p>
    <w:p w14:paraId="11CCFF1E" w14:textId="77777777" w:rsidR="00D67018" w:rsidRPr="00BD6C5F" w:rsidRDefault="00D67018" w:rsidP="0009207B">
      <w:pPr>
        <w:pStyle w:val="AppendixText3"/>
      </w:pPr>
      <w:r w:rsidRPr="00BD6C5F">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0063D1A2" w14:textId="0310154B" w:rsidR="00D67018" w:rsidRPr="00BD6C5F" w:rsidRDefault="00D67018" w:rsidP="0009207B">
      <w:pPr>
        <w:pStyle w:val="AppendixText3"/>
      </w:pPr>
      <w:r w:rsidRPr="00BD6C5F">
        <w:t xml:space="preserve">stop Processing the Transferred Data as soon as permitted by that Local Law and the IDTA will then end </w:t>
      </w:r>
      <w:bookmarkStart w:id="2084" w:name="_Hlk89227859"/>
      <w:r w:rsidRPr="00BD6C5F">
        <w:t xml:space="preserve">and the rest of this Section </w:t>
      </w:r>
      <w:r w:rsidR="00562895" w:rsidRPr="00BD6C5F">
        <w:rPr>
          <w:cs/>
        </w:rPr>
        <w:t>31</w:t>
      </w:r>
      <w:r w:rsidRPr="00BD6C5F">
        <w:t xml:space="preserve"> will apply</w:t>
      </w:r>
      <w:bookmarkEnd w:id="2084"/>
      <w:r w:rsidRPr="00BD6C5F">
        <w:t>.</w:t>
      </w:r>
    </w:p>
    <w:p w14:paraId="106DDC04" w14:textId="75C517F6" w:rsidR="00D67018" w:rsidRPr="00BD6C5F" w:rsidRDefault="00D67018" w:rsidP="00FD4E48">
      <w:pPr>
        <w:pStyle w:val="AppendixText2"/>
        <w:keepNext/>
      </w:pPr>
      <w:bookmarkStart w:id="2085" w:name="_Toc79405554"/>
      <w:r w:rsidRPr="00BD6C5F">
        <w:t>When this IDTA ends (no matter what the reason is):</w:t>
      </w:r>
      <w:bookmarkEnd w:id="2080"/>
      <w:bookmarkEnd w:id="2081"/>
      <w:bookmarkEnd w:id="2085"/>
    </w:p>
    <w:p w14:paraId="619E46B7" w14:textId="78E7E41B" w:rsidR="00D67018" w:rsidRPr="00BD6C5F" w:rsidRDefault="00D67018" w:rsidP="0009207B">
      <w:pPr>
        <w:pStyle w:val="AppendixText3"/>
      </w:pPr>
      <w:r w:rsidRPr="00BD6C5F">
        <w:t>the Exporter must stop sending Transferred Data to the Importer; and</w:t>
      </w:r>
    </w:p>
    <w:p w14:paraId="100BCAB5" w14:textId="5409E1AE" w:rsidR="00D67018" w:rsidRPr="00BD6C5F" w:rsidRDefault="00D67018" w:rsidP="0009207B">
      <w:pPr>
        <w:pStyle w:val="AppendixText3"/>
      </w:pPr>
      <w:r w:rsidRPr="00BD6C5F">
        <w:t>if the Importer is the Exporter</w:t>
      </w:r>
      <w:r w:rsidR="00A4555C" w:rsidRPr="00BD6C5F">
        <w:t>’</w:t>
      </w:r>
      <w:r w:rsidRPr="00BD6C5F">
        <w:t xml:space="preserve">s Processor or Sub-Processor: the Importer must delete all Transferred Data or securely return it to the Exporter (or a third party named by the Exporter), as instructed by the Exporter; </w:t>
      </w:r>
    </w:p>
    <w:p w14:paraId="2F6C40D8" w14:textId="654B05E0" w:rsidR="00D67018" w:rsidRPr="00BD6C5F" w:rsidRDefault="00D67018" w:rsidP="0009207B">
      <w:pPr>
        <w:pStyle w:val="AppendixText3"/>
      </w:pPr>
      <w:r w:rsidRPr="00BD6C5F">
        <w:t>if the Importer is a Controller and/or not the Exporter</w:t>
      </w:r>
      <w:r w:rsidR="00A4555C" w:rsidRPr="00BD6C5F">
        <w:t>’</w:t>
      </w:r>
      <w:r w:rsidRPr="00BD6C5F">
        <w:t xml:space="preserve">s Processor or Sub-Processor: the Importer must securely delete all Transferred Data. </w:t>
      </w:r>
    </w:p>
    <w:p w14:paraId="6700760F" w14:textId="77777777" w:rsidR="00D67018" w:rsidRPr="00BD6C5F" w:rsidRDefault="00D67018" w:rsidP="00FD4E48">
      <w:pPr>
        <w:pStyle w:val="AppendixText3"/>
        <w:keepNext/>
      </w:pPr>
      <w:r w:rsidRPr="00BD6C5F">
        <w:t xml:space="preserve">the following provisions will continue in force after this IDTA ends (no matter what the reason is): </w:t>
      </w:r>
    </w:p>
    <w:p w14:paraId="17BE0441" w14:textId="13EC4896" w:rsidR="00D67018" w:rsidRPr="00BD6C5F" w:rsidRDefault="00D67018" w:rsidP="0040545B">
      <w:pPr>
        <w:pStyle w:val="AppendixText4"/>
      </w:pPr>
      <w:r w:rsidRPr="0040545B">
        <w:rPr>
          <w:rFonts w:asciiTheme="minorHAnsi" w:hAnsiTheme="minorHAnsi" w:cstheme="minorHAnsi"/>
          <w:b/>
          <w:bCs/>
          <w:color w:val="595959" w:themeColor="text1" w:themeTint="A6"/>
        </w:rPr>
        <w:t xml:space="preserve">Section </w:t>
      </w:r>
      <w:r w:rsidR="0010425E" w:rsidRPr="0040545B">
        <w:rPr>
          <w:rFonts w:asciiTheme="minorHAnsi" w:hAnsiTheme="minorHAnsi" w:cstheme="minorHAnsi"/>
          <w:b/>
          <w:bCs/>
          <w:color w:val="595959" w:themeColor="text1" w:themeTint="A6"/>
          <w:cs/>
        </w:rPr>
        <w:t>‎</w:t>
      </w:r>
      <w:r w:rsidR="0010425E" w:rsidRPr="0040545B">
        <w:rPr>
          <w:rFonts w:asciiTheme="minorHAnsi" w:hAnsiTheme="minorHAnsi" w:cstheme="minorHAnsi"/>
          <w:b/>
          <w:bCs/>
          <w:color w:val="595959" w:themeColor="text1" w:themeTint="A6"/>
        </w:rPr>
        <w:t>1</w:t>
      </w:r>
      <w:r w:rsidRPr="00BD6C5F">
        <w:t xml:space="preserve"> (This IDTA and Linked Agreements);</w:t>
      </w:r>
    </w:p>
    <w:p w14:paraId="6FB5ED2E" w14:textId="3EB14455" w:rsidR="00D67018" w:rsidRPr="00BD6C5F" w:rsidRDefault="00D67018" w:rsidP="0040545B">
      <w:pPr>
        <w:pStyle w:val="AppendixText4"/>
      </w:pPr>
      <w:r w:rsidRPr="00BD6C5F">
        <w:rPr>
          <w:rFonts w:asciiTheme="minorHAnsi" w:hAnsiTheme="minorHAnsi" w:cstheme="minorHAnsi"/>
          <w:b/>
          <w:bCs/>
          <w:color w:val="595959" w:themeColor="text1" w:themeTint="A6"/>
        </w:rPr>
        <w:t xml:space="preserve">Section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2</w:t>
      </w:r>
      <w:r w:rsidRPr="00BD6C5F">
        <w:t xml:space="preserve"> (Legal Meaning of Words);</w:t>
      </w:r>
    </w:p>
    <w:p w14:paraId="3158E710" w14:textId="2B9B4694" w:rsidR="00D67018" w:rsidRPr="00BD6C5F" w:rsidRDefault="00D67018" w:rsidP="0040545B">
      <w:pPr>
        <w:pStyle w:val="AppendixText4"/>
      </w:pPr>
      <w:r w:rsidRPr="00BD6C5F">
        <w:rPr>
          <w:rFonts w:asciiTheme="minorHAnsi" w:hAnsiTheme="minorHAnsi" w:cstheme="minorHAnsi"/>
          <w:b/>
          <w:bCs/>
          <w:color w:val="595959" w:themeColor="text1" w:themeTint="A6"/>
        </w:rPr>
        <w:t xml:space="preserve">Section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6</w:t>
      </w:r>
      <w:r w:rsidRPr="00BD6C5F">
        <w:t xml:space="preserve"> (Understanding this IDTA);</w:t>
      </w:r>
    </w:p>
    <w:p w14:paraId="3AA51346" w14:textId="043DDAFE" w:rsidR="00D67018" w:rsidRPr="00BD6C5F" w:rsidRDefault="00D67018" w:rsidP="0040545B">
      <w:pPr>
        <w:pStyle w:val="AppendixText4"/>
      </w:pPr>
      <w:r w:rsidRPr="00BD6C5F">
        <w:rPr>
          <w:rFonts w:asciiTheme="minorHAnsi" w:hAnsiTheme="minorHAnsi" w:cstheme="minorHAnsi"/>
          <w:b/>
          <w:bCs/>
          <w:color w:val="595959" w:themeColor="text1" w:themeTint="A6"/>
        </w:rPr>
        <w:t xml:space="preserve">Section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7</w:t>
      </w:r>
      <w:r w:rsidRPr="00BD6C5F">
        <w:t xml:space="preserve"> (Which laws apply to this IDTA);</w:t>
      </w:r>
    </w:p>
    <w:p w14:paraId="69E142B0" w14:textId="67AB9007" w:rsidR="00D67018" w:rsidRPr="00BD6C5F" w:rsidRDefault="00D67018" w:rsidP="0040545B">
      <w:pPr>
        <w:pStyle w:val="AppendixText4"/>
      </w:pPr>
      <w:r w:rsidRPr="00BD6C5F">
        <w:rPr>
          <w:rFonts w:asciiTheme="minorHAnsi" w:hAnsiTheme="minorHAnsi" w:cstheme="minorHAnsi"/>
          <w:b/>
          <w:bCs/>
          <w:color w:val="595959" w:themeColor="text1" w:themeTint="A6"/>
        </w:rPr>
        <w:t xml:space="preserve">Section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10</w:t>
      </w:r>
      <w:r w:rsidRPr="00BD6C5F">
        <w:t xml:space="preserve"> (The ICO);</w:t>
      </w:r>
    </w:p>
    <w:p w14:paraId="01C8471D" w14:textId="07A1F6AB" w:rsidR="00D67018" w:rsidRPr="00BD6C5F" w:rsidRDefault="00D67018" w:rsidP="0040545B">
      <w:pPr>
        <w:pStyle w:val="AppendixText4"/>
      </w:pPr>
      <w:r w:rsidRPr="00BD6C5F">
        <w:t xml:space="preserve">Sections </w:t>
      </w:r>
      <w:r w:rsidR="0010425E" w:rsidRPr="00BD6C5F">
        <w:rPr>
          <w:cs/>
        </w:rPr>
        <w:t>‎</w:t>
      </w:r>
      <w:r w:rsidR="0010425E" w:rsidRPr="00BD6C5F">
        <w:t>11.1</w:t>
      </w:r>
      <w:r w:rsidRPr="00BD6C5F">
        <w:t xml:space="preserve"> and </w:t>
      </w:r>
      <w:r w:rsidR="0010425E" w:rsidRPr="00BD6C5F">
        <w:rPr>
          <w:cs/>
        </w:rPr>
        <w:t>‎</w:t>
      </w:r>
      <w:r w:rsidR="0010425E" w:rsidRPr="00BD6C5F">
        <w:t>11.4</w:t>
      </w:r>
      <w:r w:rsidRPr="00BD6C5F">
        <w:t xml:space="preserve"> (Exporter</w:t>
      </w:r>
      <w:r w:rsidR="00A4555C" w:rsidRPr="00BD6C5F">
        <w:t>’</w:t>
      </w:r>
      <w:r w:rsidRPr="00BD6C5F">
        <w:t>s obligations);</w:t>
      </w:r>
    </w:p>
    <w:p w14:paraId="7B5CC998" w14:textId="09222616"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95959" w:themeColor="text1" w:themeTint="A6"/>
        </w:rPr>
        <w:t xml:space="preserve">Sections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12.1.2</w:t>
      </w:r>
      <w:r w:rsidRPr="00BD6C5F">
        <w:rPr>
          <w:rFonts w:asciiTheme="minorHAnsi" w:hAnsiTheme="minorHAnsi" w:cstheme="minorHAnsi"/>
          <w:b/>
          <w:bCs/>
          <w:color w:val="595959" w:themeColor="text1" w:themeTint="A6"/>
        </w:rPr>
        <w:t xml:space="preserve">,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12.1.3</w:t>
      </w:r>
      <w:r w:rsidRPr="00BD6C5F">
        <w:rPr>
          <w:rFonts w:asciiTheme="minorHAnsi" w:hAnsiTheme="minorHAnsi" w:cstheme="minorHAnsi"/>
          <w:b/>
          <w:bCs/>
          <w:color w:val="595959" w:themeColor="text1" w:themeTint="A6"/>
        </w:rPr>
        <w:t xml:space="preserve">,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12.1.4</w:t>
      </w:r>
      <w:r w:rsidRPr="00BD6C5F">
        <w:rPr>
          <w:rFonts w:asciiTheme="minorHAnsi" w:hAnsiTheme="minorHAnsi" w:cstheme="minorHAnsi"/>
          <w:b/>
          <w:bCs/>
          <w:color w:val="595959" w:themeColor="text1" w:themeTint="A6"/>
        </w:rPr>
        <w:t xml:space="preserve">,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12.1.5</w:t>
      </w:r>
      <w:r w:rsidRPr="00BD6C5F">
        <w:rPr>
          <w:rFonts w:asciiTheme="minorHAnsi" w:hAnsiTheme="minorHAnsi" w:cstheme="minorHAnsi"/>
          <w:b/>
          <w:bCs/>
          <w:color w:val="595959" w:themeColor="text1" w:themeTint="A6"/>
        </w:rPr>
        <w:t xml:space="preserve"> and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12.1.6</w:t>
      </w:r>
      <w:r w:rsidRPr="00BD6C5F">
        <w:rPr>
          <w:rFonts w:asciiTheme="minorHAnsi" w:hAnsiTheme="minorHAnsi" w:cstheme="minorHAnsi"/>
          <w:color w:val="595959" w:themeColor="text1" w:themeTint="A6"/>
        </w:rPr>
        <w:t xml:space="preserve"> </w:t>
      </w:r>
      <w:r w:rsidRPr="00BD6C5F">
        <w:rPr>
          <w:rFonts w:asciiTheme="minorHAnsi" w:hAnsiTheme="minorHAnsi" w:cstheme="minorHAnsi"/>
        </w:rPr>
        <w:t>(General Importer obligations);</w:t>
      </w:r>
    </w:p>
    <w:p w14:paraId="31AED6EA" w14:textId="44B0FAAA"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95959" w:themeColor="text1" w:themeTint="A6"/>
        </w:rPr>
        <w:t xml:space="preserve">Section </w:t>
      </w:r>
      <w:r w:rsidR="0010425E" w:rsidRPr="00BD6C5F">
        <w:rPr>
          <w:rFonts w:asciiTheme="minorHAnsi" w:hAnsiTheme="minorHAnsi" w:cstheme="minorHAnsi"/>
          <w:b/>
          <w:bCs/>
          <w:color w:val="595959" w:themeColor="text1" w:themeTint="A6"/>
          <w:cs/>
        </w:rPr>
        <w:t>‎</w:t>
      </w:r>
      <w:r w:rsidR="0010425E" w:rsidRPr="00BD6C5F">
        <w:rPr>
          <w:rFonts w:asciiTheme="minorHAnsi" w:hAnsiTheme="minorHAnsi" w:cstheme="minorHAnsi"/>
          <w:b/>
          <w:bCs/>
          <w:color w:val="595959" w:themeColor="text1" w:themeTint="A6"/>
        </w:rPr>
        <w:t>13.1</w:t>
      </w:r>
      <w:r w:rsidRPr="00BD6C5F">
        <w:rPr>
          <w:rFonts w:asciiTheme="minorHAnsi" w:hAnsiTheme="minorHAnsi" w:cstheme="minorHAnsi"/>
          <w:color w:val="595959" w:themeColor="text1" w:themeTint="A6"/>
        </w:rPr>
        <w:t xml:space="preserve"> </w:t>
      </w:r>
      <w:r w:rsidRPr="00BD6C5F">
        <w:rPr>
          <w:rFonts w:asciiTheme="minorHAnsi" w:hAnsiTheme="minorHAnsi" w:cstheme="minorHAnsi"/>
        </w:rPr>
        <w:t>(Importer</w:t>
      </w:r>
      <w:r w:rsidR="00A4555C" w:rsidRPr="00BD6C5F">
        <w:rPr>
          <w:rFonts w:asciiTheme="minorHAnsi" w:hAnsiTheme="minorHAnsi" w:cstheme="minorHAnsi"/>
        </w:rPr>
        <w:t>’</w:t>
      </w:r>
      <w:r w:rsidRPr="00BD6C5F">
        <w:rPr>
          <w:rFonts w:asciiTheme="minorHAnsi" w:hAnsiTheme="minorHAnsi" w:cstheme="minorHAnsi"/>
        </w:rPr>
        <w:t>s obligations if it is subject to UK Data Protection Laws);</w:t>
      </w:r>
    </w:p>
    <w:p w14:paraId="1B77A1CE" w14:textId="481B96E8"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4534A"/>
        </w:rPr>
        <w:t xml:space="preserve">Section </w:t>
      </w:r>
      <w:r w:rsidR="0010425E" w:rsidRPr="00BD6C5F">
        <w:rPr>
          <w:rFonts w:asciiTheme="minorHAnsi" w:hAnsiTheme="minorHAnsi" w:cstheme="minorHAnsi"/>
          <w:b/>
          <w:bCs/>
          <w:color w:val="54534A"/>
          <w:cs/>
        </w:rPr>
        <w:t>‎</w:t>
      </w:r>
      <w:r w:rsidR="0010425E" w:rsidRPr="00BD6C5F">
        <w:rPr>
          <w:rFonts w:asciiTheme="minorHAnsi" w:hAnsiTheme="minorHAnsi" w:cstheme="minorHAnsi"/>
          <w:b/>
          <w:bCs/>
          <w:color w:val="54534A"/>
        </w:rPr>
        <w:t>17</w:t>
      </w:r>
      <w:r w:rsidRPr="00BD6C5F">
        <w:rPr>
          <w:rFonts w:asciiTheme="minorHAnsi" w:hAnsiTheme="minorHAnsi" w:cstheme="minorHAnsi"/>
        </w:rPr>
        <w:t xml:space="preserve"> (Importer</w:t>
      </w:r>
      <w:r w:rsidR="00A4555C" w:rsidRPr="00BD6C5F">
        <w:rPr>
          <w:rFonts w:asciiTheme="minorHAnsi" w:hAnsiTheme="minorHAnsi" w:cstheme="minorHAnsi"/>
        </w:rPr>
        <w:t>’</w:t>
      </w:r>
      <w:r w:rsidRPr="00BD6C5F">
        <w:rPr>
          <w:rFonts w:asciiTheme="minorHAnsi" w:hAnsiTheme="minorHAnsi" w:cstheme="minorHAnsi"/>
        </w:rPr>
        <w:t>s responsibility if it authorised others to perform its obligations);</w:t>
      </w:r>
    </w:p>
    <w:p w14:paraId="57872AA9" w14:textId="049F0B01"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4534A"/>
        </w:rPr>
        <w:t xml:space="preserve">Section </w:t>
      </w:r>
      <w:r w:rsidR="0010425E" w:rsidRPr="00BD6C5F">
        <w:rPr>
          <w:rFonts w:asciiTheme="minorHAnsi" w:hAnsiTheme="minorHAnsi" w:cstheme="minorHAnsi"/>
          <w:b/>
          <w:bCs/>
          <w:color w:val="54534A"/>
          <w:cs/>
        </w:rPr>
        <w:t>‎</w:t>
      </w:r>
      <w:r w:rsidR="0010425E" w:rsidRPr="00BD6C5F">
        <w:rPr>
          <w:rFonts w:asciiTheme="minorHAnsi" w:hAnsiTheme="minorHAnsi" w:cstheme="minorHAnsi"/>
          <w:b/>
          <w:bCs/>
          <w:color w:val="54534A"/>
        </w:rPr>
        <w:t>24</w:t>
      </w:r>
      <w:r w:rsidRPr="00BD6C5F">
        <w:rPr>
          <w:rFonts w:asciiTheme="minorHAnsi" w:hAnsiTheme="minorHAnsi" w:cstheme="minorHAnsi"/>
        </w:rPr>
        <w:t xml:space="preserve"> (Giving notice);</w:t>
      </w:r>
    </w:p>
    <w:p w14:paraId="777C7287" w14:textId="69BA123C"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4534A"/>
        </w:rPr>
        <w:t xml:space="preserve">Section </w:t>
      </w:r>
      <w:r w:rsidR="0010425E" w:rsidRPr="00BD6C5F">
        <w:rPr>
          <w:rFonts w:asciiTheme="minorHAnsi" w:hAnsiTheme="minorHAnsi" w:cstheme="minorHAnsi"/>
          <w:b/>
          <w:bCs/>
          <w:color w:val="54534A"/>
          <w:cs/>
        </w:rPr>
        <w:t>‎</w:t>
      </w:r>
      <w:r w:rsidR="0010425E" w:rsidRPr="00BD6C5F">
        <w:rPr>
          <w:rFonts w:asciiTheme="minorHAnsi" w:hAnsiTheme="minorHAnsi" w:cstheme="minorHAnsi"/>
          <w:b/>
          <w:bCs/>
          <w:color w:val="54534A"/>
        </w:rPr>
        <w:t>25</w:t>
      </w:r>
      <w:r w:rsidRPr="00BD6C5F">
        <w:rPr>
          <w:rFonts w:asciiTheme="minorHAnsi" w:hAnsiTheme="minorHAnsi" w:cstheme="minorHAnsi"/>
        </w:rPr>
        <w:t xml:space="preserve"> (General clauses);</w:t>
      </w:r>
    </w:p>
    <w:p w14:paraId="7C429CC6" w14:textId="550A5FA8" w:rsidR="00D67018" w:rsidRPr="00BD6C5F" w:rsidRDefault="00D67018" w:rsidP="0040545B">
      <w:pPr>
        <w:pStyle w:val="AppendixText4"/>
        <w:rPr>
          <w:rFonts w:asciiTheme="minorHAnsi" w:hAnsiTheme="minorHAnsi" w:cstheme="minorHAnsi"/>
        </w:rPr>
      </w:pPr>
      <w:r w:rsidRPr="00BD6C5F">
        <w:rPr>
          <w:rFonts w:asciiTheme="minorHAnsi" w:hAnsiTheme="minorHAnsi" w:cstheme="minorHAnsi"/>
          <w:b/>
          <w:bCs/>
          <w:color w:val="54534A"/>
        </w:rPr>
        <w:t xml:space="preserve">Section </w:t>
      </w:r>
      <w:r w:rsidR="0010425E" w:rsidRPr="00BD6C5F">
        <w:rPr>
          <w:rFonts w:asciiTheme="minorHAnsi" w:hAnsiTheme="minorHAnsi" w:cstheme="minorHAnsi"/>
          <w:b/>
          <w:bCs/>
          <w:color w:val="54534A"/>
          <w:cs/>
        </w:rPr>
        <w:t>‎</w:t>
      </w:r>
      <w:r w:rsidR="0010425E" w:rsidRPr="00BD6C5F">
        <w:rPr>
          <w:rFonts w:asciiTheme="minorHAnsi" w:hAnsiTheme="minorHAnsi" w:cstheme="minorHAnsi"/>
          <w:b/>
          <w:bCs/>
          <w:color w:val="54534A"/>
        </w:rPr>
        <w:t>31</w:t>
      </w:r>
      <w:r w:rsidRPr="00BD6C5F">
        <w:rPr>
          <w:rFonts w:asciiTheme="minorHAnsi" w:hAnsiTheme="minorHAnsi" w:cstheme="minorHAnsi"/>
        </w:rPr>
        <w:t xml:space="preserve"> (What must the Parties do when the IDTA ends);</w:t>
      </w:r>
    </w:p>
    <w:p w14:paraId="22856253" w14:textId="3190EC00" w:rsidR="00D67018" w:rsidRPr="00BD6C5F" w:rsidRDefault="00D67018" w:rsidP="0040545B">
      <w:pPr>
        <w:pStyle w:val="AppendixText4"/>
      </w:pPr>
      <w:r w:rsidRPr="00BD6C5F">
        <w:rPr>
          <w:b/>
          <w:bCs/>
          <w:color w:val="54534A"/>
        </w:rPr>
        <w:t xml:space="preserve">Section </w:t>
      </w:r>
      <w:r w:rsidR="0010425E" w:rsidRPr="00BD6C5F">
        <w:rPr>
          <w:b/>
          <w:bCs/>
          <w:color w:val="54534A"/>
          <w:cs/>
        </w:rPr>
        <w:t>‎</w:t>
      </w:r>
      <w:r w:rsidR="0010425E" w:rsidRPr="00BD6C5F">
        <w:rPr>
          <w:b/>
          <w:bCs/>
          <w:color w:val="54534A"/>
        </w:rPr>
        <w:t>32</w:t>
      </w:r>
      <w:r w:rsidRPr="00BD6C5F">
        <w:t xml:space="preserve"> (Your liability);</w:t>
      </w:r>
    </w:p>
    <w:p w14:paraId="7219D082" w14:textId="6A4F14F8" w:rsidR="00D67018" w:rsidRPr="00BD6C5F" w:rsidRDefault="00D67018" w:rsidP="0040545B">
      <w:pPr>
        <w:pStyle w:val="AppendixText4"/>
      </w:pPr>
      <w:r w:rsidRPr="00BD6C5F">
        <w:rPr>
          <w:b/>
          <w:bCs/>
          <w:color w:val="54534A"/>
        </w:rPr>
        <w:t xml:space="preserve">Section </w:t>
      </w:r>
      <w:r w:rsidR="0010425E" w:rsidRPr="00BD6C5F">
        <w:rPr>
          <w:b/>
          <w:bCs/>
          <w:color w:val="54534A"/>
          <w:cs/>
        </w:rPr>
        <w:t>‎</w:t>
      </w:r>
      <w:r w:rsidR="0010425E" w:rsidRPr="00BD6C5F">
        <w:rPr>
          <w:b/>
          <w:bCs/>
          <w:color w:val="54534A"/>
        </w:rPr>
        <w:t>33</w:t>
      </w:r>
      <w:r w:rsidRPr="00BD6C5F">
        <w:t xml:space="preserve"> (How Relevant Data Subjects and the ICO may bring legal claims);</w:t>
      </w:r>
    </w:p>
    <w:p w14:paraId="6360FA91" w14:textId="0ECF388E" w:rsidR="00D67018" w:rsidRPr="00BD6C5F" w:rsidRDefault="00D67018" w:rsidP="0040545B">
      <w:pPr>
        <w:pStyle w:val="AppendixText4"/>
      </w:pPr>
      <w:r w:rsidRPr="00BD6C5F">
        <w:rPr>
          <w:b/>
          <w:bCs/>
          <w:color w:val="54534A"/>
        </w:rPr>
        <w:lastRenderedPageBreak/>
        <w:t xml:space="preserve">Section </w:t>
      </w:r>
      <w:r w:rsidR="0010425E" w:rsidRPr="00BD6C5F">
        <w:rPr>
          <w:b/>
          <w:bCs/>
          <w:color w:val="54534A"/>
          <w:cs/>
        </w:rPr>
        <w:t>‎</w:t>
      </w:r>
      <w:r w:rsidR="0010425E" w:rsidRPr="00BD6C5F">
        <w:rPr>
          <w:b/>
          <w:bCs/>
          <w:color w:val="54534A"/>
        </w:rPr>
        <w:t>34</w:t>
      </w:r>
      <w:r w:rsidRPr="00BD6C5F">
        <w:t xml:space="preserve"> (Courts legal claims can be brought in);</w:t>
      </w:r>
    </w:p>
    <w:p w14:paraId="1A7989E2" w14:textId="486BA89D" w:rsidR="00D67018" w:rsidRPr="00BD6C5F" w:rsidRDefault="00D67018" w:rsidP="0040545B">
      <w:pPr>
        <w:pStyle w:val="AppendixText4"/>
      </w:pPr>
      <w:r w:rsidRPr="00BD6C5F">
        <w:rPr>
          <w:b/>
          <w:bCs/>
          <w:color w:val="54534A"/>
        </w:rPr>
        <w:t xml:space="preserve">Section </w:t>
      </w:r>
      <w:r w:rsidR="0010425E" w:rsidRPr="00BD6C5F">
        <w:rPr>
          <w:b/>
          <w:bCs/>
          <w:color w:val="54534A"/>
          <w:cs/>
        </w:rPr>
        <w:t>‎</w:t>
      </w:r>
      <w:r w:rsidR="0010425E" w:rsidRPr="00BD6C5F">
        <w:rPr>
          <w:b/>
          <w:bCs/>
          <w:color w:val="54534A"/>
        </w:rPr>
        <w:t>35</w:t>
      </w:r>
      <w:r w:rsidRPr="00BD6C5F">
        <w:t xml:space="preserve"> (Arbitration); and</w:t>
      </w:r>
    </w:p>
    <w:p w14:paraId="43AB6A95" w14:textId="171303F8" w:rsidR="00D67018" w:rsidRPr="00BD6C5F" w:rsidRDefault="00D67018" w:rsidP="0040545B">
      <w:pPr>
        <w:pStyle w:val="AppendixText4"/>
      </w:pPr>
      <w:r w:rsidRPr="00BD6C5F">
        <w:rPr>
          <w:b/>
          <w:bCs/>
          <w:color w:val="54534A"/>
        </w:rPr>
        <w:t xml:space="preserve">Section </w:t>
      </w:r>
      <w:r w:rsidR="0010425E" w:rsidRPr="00BD6C5F">
        <w:rPr>
          <w:b/>
          <w:bCs/>
          <w:color w:val="54534A"/>
          <w:cs/>
        </w:rPr>
        <w:t>‎</w:t>
      </w:r>
      <w:r w:rsidR="0010425E" w:rsidRPr="00BD6C5F">
        <w:rPr>
          <w:b/>
          <w:bCs/>
          <w:color w:val="54534A"/>
        </w:rPr>
        <w:t>36</w:t>
      </w:r>
      <w:r w:rsidRPr="00BD6C5F">
        <w:t xml:space="preserve"> (Legal Glossary).</w:t>
      </w:r>
    </w:p>
    <w:p w14:paraId="2224BAE9" w14:textId="77777777" w:rsidR="00D67018" w:rsidRPr="00BD6C5F" w:rsidRDefault="00D67018" w:rsidP="00DA04BE">
      <w:pPr>
        <w:keepNext/>
        <w:keepLines/>
        <w:widowControl/>
        <w:spacing w:before="240" w:after="120"/>
        <w:rPr>
          <w:b/>
          <w:bCs/>
        </w:rPr>
      </w:pPr>
      <w:r w:rsidRPr="00BD6C5F">
        <w:rPr>
          <w:b/>
          <w:bCs/>
        </w:rPr>
        <w:t>How to bring a legal claim under this IDTA</w:t>
      </w:r>
    </w:p>
    <w:p w14:paraId="76233BE2" w14:textId="77777777" w:rsidR="00D67018" w:rsidRPr="00BD6C5F" w:rsidRDefault="00D67018" w:rsidP="0009207B">
      <w:pPr>
        <w:pStyle w:val="AppendixText1"/>
      </w:pPr>
      <w:r w:rsidRPr="00BD6C5F">
        <w:t>Your liability</w:t>
      </w:r>
    </w:p>
    <w:p w14:paraId="40BD32A1" w14:textId="77777777" w:rsidR="00D67018" w:rsidRPr="00BD6C5F" w:rsidRDefault="00D67018" w:rsidP="0009207B">
      <w:pPr>
        <w:pStyle w:val="AppendixText2"/>
      </w:pPr>
      <w:bookmarkStart w:id="2086" w:name="_Toc79405556"/>
      <w:bookmarkStart w:id="2087" w:name="_Ref70744805"/>
      <w:r w:rsidRPr="00BD6C5F">
        <w:t>The Parties remain fully liable to Relevant Data Subjects for fulfilling their obligations under this IDTA and (if they apply) under UK Data Protection Laws.</w:t>
      </w:r>
      <w:bookmarkEnd w:id="2086"/>
    </w:p>
    <w:p w14:paraId="354C2920" w14:textId="3C405A17" w:rsidR="00D67018" w:rsidRPr="00BD6C5F" w:rsidRDefault="00D67018" w:rsidP="00FD4E48">
      <w:pPr>
        <w:pStyle w:val="AppendixText2"/>
        <w:keepNext/>
      </w:pPr>
      <w:bookmarkStart w:id="2088" w:name="_Ref76447924"/>
      <w:bookmarkStart w:id="2089" w:name="_Toc79405557"/>
      <w:r w:rsidRPr="00BD6C5F">
        <w:t xml:space="preserve">Each Party (in this Section, </w:t>
      </w:r>
      <w:r w:rsidR="00A4555C" w:rsidRPr="00BD6C5F">
        <w:t>“</w:t>
      </w:r>
      <w:r w:rsidRPr="00BD6C5F">
        <w:t>Party One</w:t>
      </w:r>
      <w:r w:rsidR="00A4555C" w:rsidRPr="00BD6C5F">
        <w:t>”</w:t>
      </w:r>
      <w:r w:rsidRPr="00BD6C5F">
        <w:t>) agrees to be fully liable to Relevant Data Subjects for the entire damage suffered by the</w:t>
      </w:r>
      <w:bookmarkEnd w:id="2088"/>
      <w:r w:rsidRPr="00BD6C5F">
        <w:t xml:space="preserve"> Relevant Data Subject, caused directly or indirectly by:</w:t>
      </w:r>
      <w:bookmarkEnd w:id="2089"/>
    </w:p>
    <w:p w14:paraId="45D273E9" w14:textId="71D6E754" w:rsidR="00D67018" w:rsidRPr="00BD6C5F" w:rsidRDefault="00D67018" w:rsidP="0009207B">
      <w:pPr>
        <w:pStyle w:val="AppendixText3"/>
      </w:pPr>
      <w:r w:rsidRPr="00BD6C5F">
        <w:t>Party One</w:t>
      </w:r>
      <w:r w:rsidR="00A4555C" w:rsidRPr="00BD6C5F">
        <w:t>’</w:t>
      </w:r>
      <w:r w:rsidRPr="00BD6C5F">
        <w:t xml:space="preserve">s breach of this IDTA; and/or </w:t>
      </w:r>
    </w:p>
    <w:p w14:paraId="35B58FD5" w14:textId="20ED5964" w:rsidR="00D67018" w:rsidRPr="00BD6C5F" w:rsidRDefault="00D67018" w:rsidP="0009207B">
      <w:pPr>
        <w:pStyle w:val="AppendixText3"/>
      </w:pPr>
      <w:bookmarkStart w:id="2090" w:name="_Hlk89228164"/>
      <w:r w:rsidRPr="00BD6C5F">
        <w:t>where Party One is a Processor, Party One</w:t>
      </w:r>
      <w:r w:rsidR="00A4555C" w:rsidRPr="00BD6C5F">
        <w:t>’</w:t>
      </w:r>
      <w:r w:rsidRPr="00BD6C5F">
        <w:t>s breach of any provisions regarding its Processing of the Transferred Data in the Linked Agreement;</w:t>
      </w:r>
    </w:p>
    <w:p w14:paraId="115B9E39" w14:textId="0BE548C7" w:rsidR="00D67018" w:rsidRPr="00BD6C5F" w:rsidRDefault="00D67018" w:rsidP="0009207B">
      <w:pPr>
        <w:pStyle w:val="AppendixText3"/>
      </w:pPr>
      <w:bookmarkStart w:id="2091" w:name="_Hlk89228203"/>
      <w:bookmarkEnd w:id="2090"/>
      <w:r w:rsidRPr="00BD6C5F">
        <w:t xml:space="preserve">where Party One is a Controller, </w:t>
      </w:r>
      <w:bookmarkEnd w:id="2091"/>
      <w:r w:rsidRPr="00BD6C5F">
        <w:t>a breach of this IDTA by the other Party if it involves Party One</w:t>
      </w:r>
      <w:r w:rsidR="00A4555C" w:rsidRPr="00BD6C5F">
        <w:t>’</w:t>
      </w:r>
      <w:r w:rsidRPr="00BD6C5F">
        <w:t xml:space="preserve">s Processing of the Transferred Data (no matter how minimal) </w:t>
      </w:r>
    </w:p>
    <w:p w14:paraId="02D19AE5" w14:textId="77777777" w:rsidR="00D67018" w:rsidRPr="00BD6C5F" w:rsidRDefault="00D67018" w:rsidP="0009207B">
      <w:pPr>
        <w:pStyle w:val="AppendixText3"/>
      </w:pPr>
      <w:r w:rsidRPr="00BD6C5F">
        <w:t>in each case unless Party One can prove it is not in any way responsible for the event giving rise to the damage.</w:t>
      </w:r>
    </w:p>
    <w:p w14:paraId="3E3000C8" w14:textId="2198ECEF" w:rsidR="00D67018" w:rsidRPr="00BD6C5F" w:rsidRDefault="00D67018" w:rsidP="0009207B">
      <w:pPr>
        <w:pStyle w:val="AppendixText2"/>
      </w:pPr>
      <w:bookmarkStart w:id="2092" w:name="_Toc79405558"/>
      <w:r w:rsidRPr="00BD6C5F">
        <w:t xml:space="preserve">If one Party has paid compensation to a Relevant Data Subject under Section </w:t>
      </w:r>
      <w:r w:rsidR="0010425E" w:rsidRPr="00BD6C5F">
        <w:rPr>
          <w:cs/>
        </w:rPr>
        <w:t>‎</w:t>
      </w:r>
      <w:r w:rsidR="0010425E" w:rsidRPr="00BD6C5F">
        <w:t>32.2</w:t>
      </w:r>
      <w:r w:rsidRPr="00BD6C5F">
        <w:t>, it is entitled to claim back from the other Party that part of the compensation corresponding to the other Party</w:t>
      </w:r>
      <w:r w:rsidR="00A4555C" w:rsidRPr="00BD6C5F">
        <w:t>’</w:t>
      </w:r>
      <w:r w:rsidRPr="00BD6C5F">
        <w:t>s responsibility for the damage, so that the compensation is fairly divided between the Parties.</w:t>
      </w:r>
      <w:bookmarkEnd w:id="2092"/>
      <w:r w:rsidRPr="00BD6C5F">
        <w:t xml:space="preserve"> </w:t>
      </w:r>
    </w:p>
    <w:p w14:paraId="529ADE56" w14:textId="77777777" w:rsidR="00D67018" w:rsidRPr="00BD6C5F" w:rsidRDefault="00D67018" w:rsidP="0009207B">
      <w:pPr>
        <w:pStyle w:val="AppendixText2"/>
      </w:pPr>
      <w:bookmarkStart w:id="2093" w:name="_Toc79405559"/>
      <w:r w:rsidRPr="00BD6C5F">
        <w:t>The Parties do not exclude or restrict their liability under this IDTA or UK Data Protection Laws, on the basis that they have authorised anyone who is not a Party (including a Processor) to perform any of their obligations, and they will remain responsible for performing those obligations.</w:t>
      </w:r>
      <w:bookmarkEnd w:id="2093"/>
      <w:r w:rsidRPr="00BD6C5F">
        <w:t xml:space="preserve"> </w:t>
      </w:r>
    </w:p>
    <w:p w14:paraId="1A506661" w14:textId="77777777" w:rsidR="00D67018" w:rsidRPr="00BD6C5F" w:rsidRDefault="00D67018" w:rsidP="0009207B">
      <w:pPr>
        <w:pStyle w:val="AppendixText1"/>
      </w:pPr>
      <w:r w:rsidRPr="00BD6C5F">
        <w:t>How Relevant Data Subjects and the ICO may bring legal claims</w:t>
      </w:r>
    </w:p>
    <w:p w14:paraId="1974689D" w14:textId="77777777" w:rsidR="00D67018" w:rsidRPr="00BD6C5F" w:rsidRDefault="00D67018" w:rsidP="0009207B">
      <w:pPr>
        <w:pStyle w:val="AppendixText2"/>
      </w:pPr>
      <w:bookmarkStart w:id="2094" w:name="_Toc79405561"/>
      <w:bookmarkStart w:id="2095" w:name="_Ref71155220"/>
      <w:bookmarkEnd w:id="2087"/>
      <w:r w:rsidRPr="00BD6C5F">
        <w:t>The Relevant Data Subjects are entitled to bring claims against the Exporter and/or Importer for breach of the following (including where their Processing of the Transferred Data is involved in a breach of the following by either Party):</w:t>
      </w:r>
      <w:bookmarkEnd w:id="2094"/>
    </w:p>
    <w:p w14:paraId="21DE0C8E" w14:textId="6E122CB3" w:rsidR="00D67018" w:rsidRPr="00BD6C5F" w:rsidRDefault="00D67018" w:rsidP="00FD4E48">
      <w:pPr>
        <w:pStyle w:val="AppendixText2"/>
        <w:keepNext/>
      </w:pPr>
      <w:r w:rsidRPr="00BD6C5F">
        <w:rPr>
          <w:b/>
          <w:bCs/>
          <w:color w:val="54534A"/>
        </w:rPr>
        <w:t xml:space="preserve">Section </w:t>
      </w:r>
      <w:r w:rsidR="0010425E" w:rsidRPr="00BD6C5F">
        <w:rPr>
          <w:b/>
          <w:bCs/>
          <w:color w:val="54534A"/>
          <w:cs/>
        </w:rPr>
        <w:t>‎</w:t>
      </w:r>
      <w:r w:rsidR="0010425E" w:rsidRPr="00BD6C5F">
        <w:rPr>
          <w:b/>
          <w:bCs/>
          <w:color w:val="54534A"/>
        </w:rPr>
        <w:t>1</w:t>
      </w:r>
      <w:r w:rsidRPr="00BD6C5F">
        <w:t xml:space="preserve"> (This IDTA and Linked Agreements);</w:t>
      </w:r>
    </w:p>
    <w:p w14:paraId="5E945BEE" w14:textId="01B358E4" w:rsidR="00D67018" w:rsidRPr="00BD6C5F" w:rsidRDefault="00D67018" w:rsidP="0009207B">
      <w:pPr>
        <w:pStyle w:val="AppendixText3"/>
      </w:pPr>
      <w:r w:rsidRPr="00BD6C5F">
        <w:rPr>
          <w:b/>
          <w:bCs/>
          <w:color w:val="54534A"/>
        </w:rPr>
        <w:t>Section</w:t>
      </w:r>
      <w:bookmarkEnd w:id="2095"/>
      <w:r w:rsidRPr="00BD6C5F">
        <w:rPr>
          <w:b/>
          <w:bCs/>
          <w:color w:val="54534A"/>
        </w:rPr>
        <w:t xml:space="preserve"> </w:t>
      </w:r>
      <w:r w:rsidR="0010425E" w:rsidRPr="00BD6C5F">
        <w:rPr>
          <w:b/>
          <w:bCs/>
          <w:color w:val="54534A"/>
          <w:cs/>
        </w:rPr>
        <w:t>‎</w:t>
      </w:r>
      <w:r w:rsidR="0010425E" w:rsidRPr="00BD6C5F">
        <w:rPr>
          <w:b/>
          <w:bCs/>
          <w:color w:val="54534A"/>
        </w:rPr>
        <w:t>3</w:t>
      </w:r>
      <w:r w:rsidRPr="00BD6C5F">
        <w:t xml:space="preserve"> (You have provided all the information required by Part one: Tables and Part two: Extra Protection Clauses);</w:t>
      </w:r>
    </w:p>
    <w:p w14:paraId="7C97AA13" w14:textId="1A685397"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8</w:t>
      </w:r>
      <w:r w:rsidRPr="00BD6C5F">
        <w:rPr>
          <w:color w:val="54534A"/>
        </w:rPr>
        <w:t xml:space="preserve"> </w:t>
      </w:r>
      <w:r w:rsidRPr="00BD6C5F">
        <w:t>(The Appropriate Safeguards);</w:t>
      </w:r>
    </w:p>
    <w:p w14:paraId="61649B54" w14:textId="5003C482"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9</w:t>
      </w:r>
      <w:r w:rsidRPr="00BD6C5F">
        <w:rPr>
          <w:color w:val="54534A"/>
        </w:rPr>
        <w:t xml:space="preserve"> </w:t>
      </w:r>
      <w:r w:rsidRPr="00BD6C5F">
        <w:t>(Reviews to ensure the Appropriate Safeguards continue);</w:t>
      </w:r>
    </w:p>
    <w:p w14:paraId="6BA7CC3D" w14:textId="0E6EEFAD" w:rsidR="00D67018" w:rsidRPr="00F63080" w:rsidRDefault="00D67018" w:rsidP="0009207B">
      <w:pPr>
        <w:pStyle w:val="AppendixText3"/>
        <w:rPr>
          <w:lang w:val="fr-FR"/>
        </w:rPr>
      </w:pPr>
      <w:r w:rsidRPr="00F63080">
        <w:rPr>
          <w:b/>
          <w:bCs/>
          <w:color w:val="54534A"/>
          <w:lang w:val="fr-FR"/>
        </w:rPr>
        <w:t xml:space="preserve">Section </w:t>
      </w:r>
      <w:r w:rsidR="0010425E" w:rsidRPr="00BD6C5F">
        <w:rPr>
          <w:b/>
          <w:bCs/>
          <w:color w:val="54534A"/>
          <w:cs/>
        </w:rPr>
        <w:t>‎</w:t>
      </w:r>
      <w:r w:rsidR="0010425E" w:rsidRPr="00F63080">
        <w:rPr>
          <w:b/>
          <w:bCs/>
          <w:color w:val="54534A"/>
          <w:lang w:val="fr-FR"/>
        </w:rPr>
        <w:t>11</w:t>
      </w:r>
      <w:r w:rsidRPr="00F63080">
        <w:rPr>
          <w:lang w:val="fr-FR"/>
        </w:rPr>
        <w:t xml:space="preserve"> (Exporter</w:t>
      </w:r>
      <w:r w:rsidR="00A4555C" w:rsidRPr="00F63080">
        <w:rPr>
          <w:lang w:val="fr-FR"/>
        </w:rPr>
        <w:t>’</w:t>
      </w:r>
      <w:r w:rsidRPr="00F63080">
        <w:rPr>
          <w:lang w:val="fr-FR"/>
        </w:rPr>
        <w:t>s obligations);</w:t>
      </w:r>
    </w:p>
    <w:p w14:paraId="1F53417D" w14:textId="4162822B" w:rsidR="00D67018" w:rsidRPr="00F63080" w:rsidRDefault="00D67018" w:rsidP="0009207B">
      <w:pPr>
        <w:pStyle w:val="AppendixText3"/>
        <w:rPr>
          <w:lang w:val="fr-FR"/>
        </w:rPr>
      </w:pPr>
      <w:r w:rsidRPr="00F63080">
        <w:rPr>
          <w:b/>
          <w:bCs/>
          <w:color w:val="54534A"/>
          <w:lang w:val="fr-FR"/>
        </w:rPr>
        <w:lastRenderedPageBreak/>
        <w:t xml:space="preserve">Section </w:t>
      </w:r>
      <w:r w:rsidR="0010425E" w:rsidRPr="00BD6C5F">
        <w:rPr>
          <w:b/>
          <w:bCs/>
          <w:color w:val="54534A"/>
          <w:cs/>
        </w:rPr>
        <w:t>‎</w:t>
      </w:r>
      <w:r w:rsidR="0010425E" w:rsidRPr="00F63080">
        <w:rPr>
          <w:b/>
          <w:bCs/>
          <w:color w:val="54534A"/>
          <w:lang w:val="fr-FR"/>
        </w:rPr>
        <w:t>12</w:t>
      </w:r>
      <w:r w:rsidRPr="00F63080">
        <w:rPr>
          <w:lang w:val="fr-FR"/>
        </w:rPr>
        <w:t xml:space="preserve"> (General Importer Obligations);</w:t>
      </w:r>
    </w:p>
    <w:p w14:paraId="58041FAA" w14:textId="431A410C"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13</w:t>
      </w:r>
      <w:r w:rsidRPr="00BD6C5F">
        <w:t xml:space="preserve"> (Importer</w:t>
      </w:r>
      <w:r w:rsidR="00A4555C" w:rsidRPr="00BD6C5F">
        <w:t>’</w:t>
      </w:r>
      <w:r w:rsidRPr="00BD6C5F">
        <w:t>s obligations if it is subject to UK Data Protection Laws);</w:t>
      </w:r>
    </w:p>
    <w:p w14:paraId="313FB2FF" w14:textId="2DB5E0EA"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14</w:t>
      </w:r>
      <w:r w:rsidRPr="00BD6C5F">
        <w:t xml:space="preserve"> (Importer</w:t>
      </w:r>
      <w:r w:rsidR="00A4555C" w:rsidRPr="00BD6C5F">
        <w:t>’</w:t>
      </w:r>
      <w:r w:rsidRPr="00BD6C5F">
        <w:t>s obligations to comply with key data protection laws);</w:t>
      </w:r>
    </w:p>
    <w:p w14:paraId="73C2AC3D" w14:textId="5305B433"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15</w:t>
      </w:r>
      <w:r w:rsidRPr="00BD6C5F">
        <w:rPr>
          <w:color w:val="54534A"/>
        </w:rPr>
        <w:t xml:space="preserve"> </w:t>
      </w:r>
      <w:r w:rsidRPr="00BD6C5F">
        <w:t>(What happens if there is an Importer Personal Data Breach);</w:t>
      </w:r>
    </w:p>
    <w:p w14:paraId="0E568491" w14:textId="44DB2B9D"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16</w:t>
      </w:r>
      <w:r w:rsidRPr="00BD6C5F">
        <w:t xml:space="preserve"> (Transferring on the Transferred Data);</w:t>
      </w:r>
    </w:p>
    <w:p w14:paraId="28287170" w14:textId="613F26DB"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17</w:t>
      </w:r>
      <w:r w:rsidRPr="00BD6C5F">
        <w:t xml:space="preserve"> (Importer</w:t>
      </w:r>
      <w:r w:rsidR="00A4555C" w:rsidRPr="00BD6C5F">
        <w:t>’</w:t>
      </w:r>
      <w:r w:rsidRPr="00BD6C5F">
        <w:t>s responsibility if it authorises others to perform its obligations);</w:t>
      </w:r>
    </w:p>
    <w:p w14:paraId="3294A975" w14:textId="1097EA83"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18</w:t>
      </w:r>
      <w:r w:rsidRPr="00BD6C5F">
        <w:t xml:space="preserve"> (The right to a copy of the IDTA);</w:t>
      </w:r>
    </w:p>
    <w:p w14:paraId="0C35CA32" w14:textId="1AF67355"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19</w:t>
      </w:r>
      <w:r w:rsidRPr="00BD6C5F">
        <w:t xml:space="preserve"> (The Importer</w:t>
      </w:r>
      <w:r w:rsidR="00A4555C" w:rsidRPr="00BD6C5F">
        <w:t>’</w:t>
      </w:r>
      <w:r w:rsidRPr="00BD6C5F">
        <w:t>s contact details for the Relevant Data Subjects);</w:t>
      </w:r>
    </w:p>
    <w:p w14:paraId="069A87BB" w14:textId="27BBADA2"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20</w:t>
      </w:r>
      <w:r w:rsidRPr="00BD6C5F">
        <w:t xml:space="preserve"> (How Relevant Data Subjects can exercise their data subject rights);</w:t>
      </w:r>
    </w:p>
    <w:p w14:paraId="7155C0CF" w14:textId="2A199949"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21</w:t>
      </w:r>
      <w:r w:rsidRPr="00BD6C5F">
        <w:t xml:space="preserve"> (How Relevant Data Subjects can exercise their data subject rights– if the Importer is the Exporter</w:t>
      </w:r>
      <w:r w:rsidR="00A4555C" w:rsidRPr="00BD6C5F">
        <w:t>’</w:t>
      </w:r>
      <w:r w:rsidRPr="00BD6C5F">
        <w:t>s Processor or Sub-Processor);</w:t>
      </w:r>
    </w:p>
    <w:p w14:paraId="01D2C807" w14:textId="2D3DAC9A"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23</w:t>
      </w:r>
      <w:r w:rsidRPr="00BD6C5F">
        <w:t xml:space="preserve"> (Access Requests and Direct Access);</w:t>
      </w:r>
    </w:p>
    <w:p w14:paraId="0E506DB7" w14:textId="0FE153CD"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26</w:t>
      </w:r>
      <w:r w:rsidRPr="00BD6C5F">
        <w:t xml:space="preserve"> (Breaches of this IDTA);</w:t>
      </w:r>
    </w:p>
    <w:p w14:paraId="3E8DCFAA" w14:textId="1F1B6FBD"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27</w:t>
      </w:r>
      <w:r w:rsidRPr="00BD6C5F">
        <w:t xml:space="preserve"> (Breaches of this IDTA by the Importer);</w:t>
      </w:r>
    </w:p>
    <w:p w14:paraId="6164707E" w14:textId="2AC249ED"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28</w:t>
      </w:r>
      <w:r w:rsidRPr="00BD6C5F">
        <w:rPr>
          <w:color w:val="54534A"/>
        </w:rPr>
        <w:t xml:space="preserve"> </w:t>
      </w:r>
      <w:r w:rsidRPr="00BD6C5F">
        <w:t>(Breaches of this IDTA by the Exporter);</w:t>
      </w:r>
    </w:p>
    <w:p w14:paraId="653C7367" w14:textId="524E3E77"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30</w:t>
      </w:r>
      <w:r w:rsidRPr="00BD6C5F">
        <w:t xml:space="preserve"> (How to end this IDTA if there is a breach);</w:t>
      </w:r>
    </w:p>
    <w:p w14:paraId="5B242A41" w14:textId="4DE66369" w:rsidR="00D67018" w:rsidRPr="00BD6C5F" w:rsidRDefault="00D67018" w:rsidP="0009207B">
      <w:pPr>
        <w:pStyle w:val="AppendixText3"/>
      </w:pPr>
      <w:r w:rsidRPr="00BD6C5F">
        <w:rPr>
          <w:b/>
          <w:bCs/>
          <w:color w:val="54534A"/>
        </w:rPr>
        <w:t xml:space="preserve">Section </w:t>
      </w:r>
      <w:r w:rsidR="0010425E" w:rsidRPr="00BD6C5F">
        <w:rPr>
          <w:b/>
          <w:bCs/>
          <w:color w:val="54534A"/>
          <w:cs/>
        </w:rPr>
        <w:t>‎</w:t>
      </w:r>
      <w:r w:rsidR="0010425E" w:rsidRPr="00BD6C5F">
        <w:rPr>
          <w:b/>
          <w:bCs/>
          <w:color w:val="54534A"/>
        </w:rPr>
        <w:t>31</w:t>
      </w:r>
      <w:r w:rsidRPr="00BD6C5F">
        <w:t xml:space="preserve"> (What must the Parties do when the IDTA ends); and</w:t>
      </w:r>
    </w:p>
    <w:p w14:paraId="1575F8C6" w14:textId="77777777" w:rsidR="00D67018" w:rsidRPr="00BD6C5F" w:rsidRDefault="00D67018" w:rsidP="0009207B">
      <w:pPr>
        <w:pStyle w:val="AppendixText3"/>
      </w:pPr>
      <w:r w:rsidRPr="00BD6C5F">
        <w:t>any other provision of the IDTA which expressly or by implication benefits the Relevant Data Subjects.</w:t>
      </w:r>
    </w:p>
    <w:p w14:paraId="69D592C1" w14:textId="005F70AF" w:rsidR="00D67018" w:rsidRPr="00BD6C5F" w:rsidRDefault="00D67018" w:rsidP="0009207B">
      <w:pPr>
        <w:pStyle w:val="AppendixText2"/>
      </w:pPr>
      <w:bookmarkStart w:id="2096" w:name="_Toc79405562"/>
      <w:r w:rsidRPr="00BD6C5F">
        <w:t xml:space="preserve">The ICO is entitled to bring claims against the Exporter and/or Importer for breach of the following Sections: Section </w:t>
      </w:r>
      <w:r w:rsidR="0010425E" w:rsidRPr="00BD6C5F">
        <w:rPr>
          <w:cs/>
        </w:rPr>
        <w:t>‎</w:t>
      </w:r>
      <w:r w:rsidR="0010425E" w:rsidRPr="00BD6C5F">
        <w:t>10</w:t>
      </w:r>
      <w:r w:rsidRPr="00BD6C5F">
        <w:t xml:space="preserve"> (The ICO), Sections </w:t>
      </w:r>
      <w:r w:rsidR="0010425E" w:rsidRPr="00BD6C5F">
        <w:rPr>
          <w:cs/>
        </w:rPr>
        <w:t>‎</w:t>
      </w:r>
      <w:r w:rsidR="0010425E" w:rsidRPr="00BD6C5F">
        <w:t>11.1</w:t>
      </w:r>
      <w:r w:rsidRPr="00BD6C5F">
        <w:t xml:space="preserve"> and </w:t>
      </w:r>
      <w:r w:rsidR="0010425E" w:rsidRPr="00BD6C5F">
        <w:rPr>
          <w:cs/>
        </w:rPr>
        <w:t>‎</w:t>
      </w:r>
      <w:r w:rsidR="0010425E" w:rsidRPr="00BD6C5F">
        <w:t>11.2</w:t>
      </w:r>
      <w:r w:rsidRPr="00BD6C5F">
        <w:t xml:space="preserve"> (Exporter</w:t>
      </w:r>
      <w:r w:rsidR="00A4555C" w:rsidRPr="00BD6C5F">
        <w:t>’</w:t>
      </w:r>
      <w:r w:rsidRPr="00BD6C5F">
        <w:t xml:space="preserve">s obligations), Section </w:t>
      </w:r>
      <w:r w:rsidR="0010425E" w:rsidRPr="00BD6C5F">
        <w:rPr>
          <w:cs/>
        </w:rPr>
        <w:t>‎</w:t>
      </w:r>
      <w:r w:rsidR="0010425E" w:rsidRPr="00BD6C5F">
        <w:t>12.1.6</w:t>
      </w:r>
      <w:r w:rsidRPr="00BD6C5F">
        <w:t xml:space="preserve"> (General Importer obligations) and Section </w:t>
      </w:r>
      <w:r w:rsidR="0010425E" w:rsidRPr="00BD6C5F">
        <w:rPr>
          <w:cs/>
        </w:rPr>
        <w:t>‎</w:t>
      </w:r>
      <w:r w:rsidR="0010425E" w:rsidRPr="00BD6C5F">
        <w:t>13</w:t>
      </w:r>
      <w:r w:rsidRPr="00BD6C5F">
        <w:t xml:space="preserve"> (Importer</w:t>
      </w:r>
      <w:r w:rsidR="00A4555C" w:rsidRPr="00BD6C5F">
        <w:t>’</w:t>
      </w:r>
      <w:r w:rsidRPr="00BD6C5F">
        <w:t>s obligations if it is subject to UK Data Protection Laws).</w:t>
      </w:r>
      <w:bookmarkEnd w:id="2096"/>
    </w:p>
    <w:p w14:paraId="416BD340" w14:textId="3F339B69" w:rsidR="00D67018" w:rsidRPr="00BD6C5F" w:rsidRDefault="00D67018" w:rsidP="0009207B">
      <w:pPr>
        <w:pStyle w:val="AppendixText2"/>
      </w:pPr>
      <w:bookmarkStart w:id="2097" w:name="_Toc79405563"/>
      <w:r w:rsidRPr="00BD6C5F">
        <w:t>No one else (who is not a Party) can enforce any part of this IDTA (including under the Contract</w:t>
      </w:r>
      <w:r w:rsidR="00BA276C">
        <w:t xml:space="preserve"> (Third Party Rights) (Scotland) Act 2017</w:t>
      </w:r>
      <w:r w:rsidRPr="00BD6C5F">
        <w:t>.</w:t>
      </w:r>
      <w:bookmarkEnd w:id="2097"/>
    </w:p>
    <w:p w14:paraId="60940F9F" w14:textId="0F47D5AD" w:rsidR="00D67018" w:rsidRPr="00BD6C5F" w:rsidRDefault="00D67018" w:rsidP="0009207B">
      <w:pPr>
        <w:pStyle w:val="AppendixText2"/>
      </w:pPr>
      <w:bookmarkStart w:id="2098" w:name="_Toc79405564"/>
      <w:r w:rsidRPr="00BD6C5F">
        <w:t>The Parties do not need the consent of any Relevant Data Subject or the ICO to make changes to this IDTA</w:t>
      </w:r>
      <w:bookmarkEnd w:id="2098"/>
      <w:r w:rsidRPr="00BD6C5F">
        <w:t xml:space="preserve">, but any changes must be made in accordance with its terms. </w:t>
      </w:r>
    </w:p>
    <w:p w14:paraId="2B282AA5" w14:textId="51DD0A77" w:rsidR="00D67018" w:rsidRPr="00BD6C5F" w:rsidRDefault="00D67018" w:rsidP="0009207B">
      <w:pPr>
        <w:pStyle w:val="AppendixText2"/>
      </w:pPr>
      <w:bookmarkStart w:id="2099" w:name="_Toc79405565"/>
      <w:r w:rsidRPr="00BD6C5F">
        <w:t xml:space="preserve">In bringing a claim under this IDTA, a Relevant Data Subject may be represented by a not-for-profit body, organisation or association under the same conditions set out in Article 80(1) UK GDPR and </w:t>
      </w:r>
      <w:bookmarkStart w:id="2100" w:name="_9kR3WTr277467zrcszv16LPWIDMVVB4ADzWNABi"/>
      <w:r w:rsidRPr="00BD6C5F">
        <w:t>sections 187 to 190 of the Data Protection Act 2018</w:t>
      </w:r>
      <w:bookmarkEnd w:id="2100"/>
      <w:r w:rsidRPr="00BD6C5F">
        <w:t>.</w:t>
      </w:r>
      <w:bookmarkEnd w:id="2099"/>
    </w:p>
    <w:p w14:paraId="3EF8B44A" w14:textId="77777777" w:rsidR="00D67018" w:rsidRPr="00BD6C5F" w:rsidRDefault="00D67018" w:rsidP="0009207B">
      <w:pPr>
        <w:pStyle w:val="AppendixText1"/>
      </w:pPr>
      <w:r w:rsidRPr="00BD6C5F">
        <w:lastRenderedPageBreak/>
        <w:t>Courts legal claims can be brought in</w:t>
      </w:r>
    </w:p>
    <w:p w14:paraId="66294522" w14:textId="2E552AA7" w:rsidR="00D67018" w:rsidRPr="00BD6C5F" w:rsidRDefault="00D67018" w:rsidP="0009207B">
      <w:pPr>
        <w:pStyle w:val="AppendixText2"/>
      </w:pPr>
      <w:bookmarkStart w:id="2101" w:name="_Ref71508766"/>
      <w:bookmarkStart w:id="2102" w:name="_Toc79405567"/>
      <w:r w:rsidRPr="00BD6C5F">
        <w:t>The courts of the UK country set out in Table 2: Transfer Details have non-exclusive jurisdiction over any claim in connection with this IDTA (including non-contractual claims).</w:t>
      </w:r>
      <w:bookmarkEnd w:id="2101"/>
      <w:bookmarkEnd w:id="2102"/>
    </w:p>
    <w:p w14:paraId="584E29C7" w14:textId="5BCFD057" w:rsidR="00D67018" w:rsidRPr="00BD6C5F" w:rsidRDefault="00D67018" w:rsidP="0009207B">
      <w:pPr>
        <w:pStyle w:val="AppendixText2"/>
      </w:pPr>
      <w:bookmarkStart w:id="2103" w:name="_Toc79405568"/>
      <w:r w:rsidRPr="00BD6C5F">
        <w:t>The Exporter may bring a claim against the Importer in connection with this IDTA (including non-contractual claims</w:t>
      </w:r>
      <w:bookmarkEnd w:id="2103"/>
      <w:r w:rsidRPr="00BD6C5F">
        <w:t xml:space="preserve">) in any court in any country with jurisdiction to hear the claim. </w:t>
      </w:r>
    </w:p>
    <w:p w14:paraId="49A59DDF" w14:textId="7ACFA45D" w:rsidR="00D67018" w:rsidRPr="00BD6C5F" w:rsidRDefault="00D67018" w:rsidP="0009207B">
      <w:pPr>
        <w:pStyle w:val="AppendixText2"/>
      </w:pPr>
      <w:bookmarkStart w:id="2104" w:name="_Toc79405569"/>
      <w:r w:rsidRPr="00BD6C5F">
        <w:t>The Importer may only bring a claim against the Exporter in connection with this IDTA (including non-contractual claims) in the courts of the UK country set out in the Table 2: Transfer Details</w:t>
      </w:r>
      <w:bookmarkEnd w:id="2104"/>
      <w:r w:rsidRPr="00BD6C5F">
        <w:t xml:space="preserve"> </w:t>
      </w:r>
    </w:p>
    <w:p w14:paraId="71A64109" w14:textId="732B8679" w:rsidR="00D67018" w:rsidRPr="00BD6C5F" w:rsidRDefault="00D67018" w:rsidP="0009207B">
      <w:pPr>
        <w:pStyle w:val="AppendixText2"/>
      </w:pPr>
      <w:bookmarkStart w:id="2105" w:name="_Toc79405570"/>
      <w:r w:rsidRPr="00BD6C5F">
        <w:t>Relevant Data Subjects and the ICO may bring a claim against the Exporter and/or the Importer in connection with this IDTA (including non-contractual claims) in any court in any country</w:t>
      </w:r>
      <w:bookmarkEnd w:id="2105"/>
      <w:r w:rsidRPr="00BD6C5F">
        <w:t xml:space="preserve"> with jurisdiction to hear the claim. </w:t>
      </w:r>
    </w:p>
    <w:p w14:paraId="1219EBFC" w14:textId="77777777" w:rsidR="00D67018" w:rsidRPr="00BD6C5F" w:rsidRDefault="00D67018" w:rsidP="0009207B">
      <w:pPr>
        <w:pStyle w:val="AppendixText2"/>
      </w:pPr>
      <w:bookmarkStart w:id="2106" w:name="_Toc79405571"/>
      <w:bookmarkStart w:id="2107" w:name="_Ref73503302"/>
      <w:bookmarkStart w:id="2108" w:name="_Ref76446334"/>
      <w:bookmarkStart w:id="2109" w:name="_Ref71509013"/>
      <w:r w:rsidRPr="00BD6C5F">
        <w:t>Each Party agrees to provide to the other Party reasonable updates about any claims or complaints brought against it by a Relevant Data Subject or the ICO in connection with the Transferred Data (including claims in arbitration).</w:t>
      </w:r>
      <w:bookmarkEnd w:id="2106"/>
    </w:p>
    <w:p w14:paraId="077EE3D0" w14:textId="77777777" w:rsidR="00D67018" w:rsidRPr="00BD6C5F" w:rsidRDefault="00D67018" w:rsidP="0009207B">
      <w:pPr>
        <w:pStyle w:val="AppendixText1"/>
      </w:pPr>
      <w:r w:rsidRPr="00BD6C5F">
        <w:t xml:space="preserve">Arbitration </w:t>
      </w:r>
    </w:p>
    <w:p w14:paraId="29F65E0F" w14:textId="16AE95B0" w:rsidR="00D67018" w:rsidRPr="00BD6C5F" w:rsidRDefault="00D67018" w:rsidP="0009207B">
      <w:pPr>
        <w:pStyle w:val="AppendixText2"/>
      </w:pPr>
      <w:bookmarkStart w:id="2110" w:name="_Hlk89529727"/>
      <w:bookmarkStart w:id="2111" w:name="_Toc79405573"/>
      <w:bookmarkStart w:id="2112" w:name="_Ref76446339"/>
      <w:bookmarkEnd w:id="2107"/>
      <w:bookmarkEnd w:id="2108"/>
      <w:bookmarkEnd w:id="2109"/>
      <w:r w:rsidRPr="00BD6C5F">
        <w:t xml:space="preserve">Instead of bringing a claim in a court under Section </w:t>
      </w:r>
      <w:r w:rsidR="0010425E" w:rsidRPr="00BD6C5F">
        <w:rPr>
          <w:cs/>
        </w:rPr>
        <w:t>‎</w:t>
      </w:r>
      <w:r w:rsidR="0010425E" w:rsidRPr="00BD6C5F">
        <w:t>34</w:t>
      </w:r>
      <w:r w:rsidRPr="00BD6C5F">
        <w:t xml:space="preserve">, </w:t>
      </w:r>
      <w:bookmarkEnd w:id="2110"/>
      <w:r w:rsidRPr="00BD6C5F">
        <w:t>any Party, or a Relevant Data Subject may elect to refer any dispute arising out of or in connection with this IDTA (including non-contractual claims) to final resolution by arbitration under the Rules of the London Court of International Arbitration</w:t>
      </w:r>
      <w:bookmarkStart w:id="2113" w:name="_Toc79405574"/>
      <w:bookmarkEnd w:id="2111"/>
      <w:r w:rsidRPr="00BD6C5F">
        <w:t xml:space="preserve">, and those Rules are deemed to be incorporated </w:t>
      </w:r>
      <w:bookmarkEnd w:id="2113"/>
      <w:r w:rsidRPr="00BD6C5F">
        <w:t xml:space="preserve">by reference into this Section </w:t>
      </w:r>
      <w:r w:rsidRPr="00BD6C5F">
        <w:rPr>
          <w:cs/>
        </w:rPr>
        <w:t>‎</w:t>
      </w:r>
      <w:r w:rsidR="0010425E" w:rsidRPr="00BD6C5F">
        <w:rPr>
          <w:cs/>
        </w:rPr>
        <w:t>‎</w:t>
      </w:r>
      <w:r w:rsidR="0010425E" w:rsidRPr="00BD6C5F">
        <w:t>35</w:t>
      </w:r>
      <w:r w:rsidRPr="00BD6C5F">
        <w:t xml:space="preserve">. </w:t>
      </w:r>
    </w:p>
    <w:p w14:paraId="6B832177" w14:textId="10C186BE" w:rsidR="00D67018" w:rsidRPr="00BD6C5F" w:rsidRDefault="00D67018" w:rsidP="0009207B">
      <w:pPr>
        <w:pStyle w:val="AppendixText2"/>
      </w:pPr>
      <w:bookmarkStart w:id="2114" w:name="_Toc79405576"/>
      <w:r w:rsidRPr="00BD6C5F">
        <w:t xml:space="preserve">The Parties agree to submit to any arbitration started by another Party or by a Relevant Data Subject in accordance with this Section </w:t>
      </w:r>
      <w:r w:rsidRPr="00BD6C5F">
        <w:rPr>
          <w:cs/>
        </w:rPr>
        <w:t>‎‎</w:t>
      </w:r>
      <w:r w:rsidR="0010425E" w:rsidRPr="00BD6C5F">
        <w:rPr>
          <w:cs/>
        </w:rPr>
        <w:t>‎</w:t>
      </w:r>
      <w:r w:rsidR="0010425E" w:rsidRPr="00BD6C5F">
        <w:t>35</w:t>
      </w:r>
      <w:r w:rsidRPr="00BD6C5F">
        <w:t>.</w:t>
      </w:r>
    </w:p>
    <w:p w14:paraId="20A7BF07" w14:textId="77777777" w:rsidR="00D67018" w:rsidRPr="00BD6C5F" w:rsidRDefault="00D67018" w:rsidP="0009207B">
      <w:pPr>
        <w:pStyle w:val="AppendixText2"/>
      </w:pPr>
      <w:r w:rsidRPr="00BD6C5F">
        <w:t xml:space="preserve">There must be only one arbitrator. The arbitrator (1) must be a lawyer qualified to practice law in one or more of England and Wales, or Scotland, or Northern Ireland and (2) must have experience of acting or advising on disputes relating to UK Data Protection Laws. </w:t>
      </w:r>
      <w:bookmarkEnd w:id="2114"/>
    </w:p>
    <w:p w14:paraId="5E583F7D" w14:textId="692E552E" w:rsidR="00D67018" w:rsidRPr="00BD6C5F" w:rsidRDefault="00D67018" w:rsidP="0009207B">
      <w:pPr>
        <w:pStyle w:val="AppendixText2"/>
      </w:pPr>
      <w:r w:rsidRPr="00BD6C5F">
        <w:t xml:space="preserve">London shall be the seat or legal place of arbitration. It does not matter if the Parties selected a different UK country as the </w:t>
      </w:r>
      <w:r w:rsidR="00A4555C" w:rsidRPr="00BD6C5F">
        <w:t>‘</w:t>
      </w:r>
      <w:r w:rsidRPr="00BD6C5F">
        <w:t>primary place for legal claims to be made</w:t>
      </w:r>
      <w:r w:rsidR="00A4555C" w:rsidRPr="00BD6C5F">
        <w:t>’</w:t>
      </w:r>
      <w:r w:rsidRPr="00BD6C5F">
        <w:t xml:space="preserve"> in Table 2: Transfer Details.</w:t>
      </w:r>
    </w:p>
    <w:p w14:paraId="7A889757" w14:textId="77777777" w:rsidR="00D67018" w:rsidRPr="00BD6C5F" w:rsidRDefault="00D67018" w:rsidP="0009207B">
      <w:pPr>
        <w:pStyle w:val="AppendixText2"/>
      </w:pPr>
      <w:r w:rsidRPr="00BD6C5F">
        <w:t>The English language must be used in the arbitral proceedings.</w:t>
      </w:r>
    </w:p>
    <w:p w14:paraId="6522EB40" w14:textId="459DD0E5" w:rsidR="00D67018" w:rsidRPr="00BD6C5F" w:rsidRDefault="00D67018" w:rsidP="0009207B">
      <w:pPr>
        <w:pStyle w:val="AppendixText2"/>
      </w:pPr>
      <w:r w:rsidRPr="00BD6C5F">
        <w:t xml:space="preserve">English law governs this Section </w:t>
      </w:r>
      <w:r w:rsidRPr="00BD6C5F">
        <w:rPr>
          <w:cs/>
        </w:rPr>
        <w:t>‎‎</w:t>
      </w:r>
      <w:r w:rsidR="0010425E" w:rsidRPr="00BD6C5F">
        <w:rPr>
          <w:cs/>
        </w:rPr>
        <w:t>‎</w:t>
      </w:r>
      <w:r w:rsidR="0010425E" w:rsidRPr="00BD6C5F">
        <w:t>35</w:t>
      </w:r>
      <w:r w:rsidRPr="00BD6C5F">
        <w:t>. This applies regardless of whether or not the parties selected a different UK country</w:t>
      </w:r>
      <w:r w:rsidR="00A4555C" w:rsidRPr="00BD6C5F">
        <w:t>’</w:t>
      </w:r>
      <w:r w:rsidRPr="00BD6C5F">
        <w:t xml:space="preserve">s law as the </w:t>
      </w:r>
      <w:r w:rsidR="00A4555C" w:rsidRPr="00BD6C5F">
        <w:t>‘</w:t>
      </w:r>
      <w:r w:rsidRPr="00BD6C5F">
        <w:t>UK country</w:t>
      </w:r>
      <w:r w:rsidR="00A4555C" w:rsidRPr="00BD6C5F">
        <w:t>’</w:t>
      </w:r>
      <w:r w:rsidRPr="00BD6C5F">
        <w:t>s law that governs the IDTA</w:t>
      </w:r>
      <w:r w:rsidR="00A4555C" w:rsidRPr="00BD6C5F">
        <w:t>’</w:t>
      </w:r>
      <w:r w:rsidRPr="00BD6C5F">
        <w:t xml:space="preserve"> in Table 2: Transfer Details.</w:t>
      </w:r>
      <w:bookmarkEnd w:id="2112"/>
    </w:p>
    <w:p w14:paraId="07A7DFD4" w14:textId="16CA22F7" w:rsidR="00D67018" w:rsidRPr="00BD6C5F" w:rsidRDefault="00D67018" w:rsidP="0009207B">
      <w:pPr>
        <w:pStyle w:val="AppendixText1"/>
      </w:pPr>
      <w:r w:rsidRPr="00BD6C5F">
        <w:t>Legal Glossary</w:t>
      </w:r>
    </w:p>
    <w:tbl>
      <w:tblPr>
        <w:tblStyle w:val="MSATable-header"/>
        <w:tblW w:w="5003" w:type="pct"/>
        <w:tblLook w:val="0620" w:firstRow="1" w:lastRow="0" w:firstColumn="0" w:lastColumn="0" w:noHBand="1" w:noVBand="1"/>
      </w:tblPr>
      <w:tblGrid>
        <w:gridCol w:w="2400"/>
        <w:gridCol w:w="7804"/>
      </w:tblGrid>
      <w:tr w:rsidR="00D67018" w:rsidRPr="00BD6C5F" w14:paraId="62950EA1" w14:textId="77777777" w:rsidTr="00534526">
        <w:trPr>
          <w:cnfStyle w:val="100000000000" w:firstRow="1" w:lastRow="0" w:firstColumn="0" w:lastColumn="0" w:oddVBand="0" w:evenVBand="0" w:oddHBand="0" w:evenHBand="0" w:firstRowFirstColumn="0" w:firstRowLastColumn="0" w:lastRowFirstColumn="0" w:lastRowLastColumn="0"/>
          <w:tblHeader/>
        </w:trPr>
        <w:tc>
          <w:tcPr>
            <w:tcW w:w="1176" w:type="pct"/>
          </w:tcPr>
          <w:p w14:paraId="4E4278DE" w14:textId="77777777" w:rsidR="00D67018" w:rsidRPr="00BD6C5F" w:rsidRDefault="00D67018" w:rsidP="00666E78">
            <w:r w:rsidRPr="00BD6C5F">
              <w:t>Word or Phrase</w:t>
            </w:r>
          </w:p>
        </w:tc>
        <w:tc>
          <w:tcPr>
            <w:tcW w:w="3824" w:type="pct"/>
          </w:tcPr>
          <w:p w14:paraId="6723C6F8" w14:textId="77777777" w:rsidR="00D67018" w:rsidRPr="00BD6C5F" w:rsidRDefault="00D67018" w:rsidP="00666E78">
            <w:pPr>
              <w:rPr>
                <w:szCs w:val="22"/>
              </w:rPr>
            </w:pPr>
            <w:r w:rsidRPr="00BD6C5F">
              <w:rPr>
                <w:szCs w:val="22"/>
              </w:rPr>
              <w:t>Legal definition</w:t>
            </w:r>
            <w:r w:rsidRPr="00BD6C5F">
              <w:rPr>
                <w:szCs w:val="22"/>
              </w:rPr>
              <w:br/>
              <w:t>(this is how this word or phrase must be interpreted in the IDTA)</w:t>
            </w:r>
          </w:p>
        </w:tc>
      </w:tr>
      <w:tr w:rsidR="00D67018" w:rsidRPr="00BD6C5F" w14:paraId="2B41AAEE" w14:textId="77777777" w:rsidTr="00666E78">
        <w:tc>
          <w:tcPr>
            <w:tcW w:w="1176" w:type="pct"/>
            <w:shd w:val="clear" w:color="auto" w:fill="F0F0F0"/>
          </w:tcPr>
          <w:p w14:paraId="0B5F1DF8" w14:textId="77777777" w:rsidR="00D67018" w:rsidRPr="00BD6C5F" w:rsidRDefault="00D67018" w:rsidP="00666E78">
            <w:pPr>
              <w:rPr>
                <w:b/>
                <w:bCs/>
                <w:szCs w:val="22"/>
              </w:rPr>
            </w:pPr>
            <w:r w:rsidRPr="00BD6C5F">
              <w:rPr>
                <w:b/>
                <w:bCs/>
                <w:szCs w:val="22"/>
              </w:rPr>
              <w:t>Access Request</w:t>
            </w:r>
          </w:p>
        </w:tc>
        <w:tc>
          <w:tcPr>
            <w:tcW w:w="3824" w:type="pct"/>
          </w:tcPr>
          <w:p w14:paraId="5B0D60A6" w14:textId="2BBF7499"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As defined in Section </w:t>
            </w:r>
            <w:r w:rsidR="0010425E" w:rsidRPr="00BD6C5F">
              <w:rPr>
                <w:rFonts w:asciiTheme="minorHAnsi" w:hAnsiTheme="minorHAnsi" w:cstheme="minorHAnsi"/>
                <w:cs/>
              </w:rPr>
              <w:t>‎</w:t>
            </w:r>
            <w:r w:rsidR="0010425E" w:rsidRPr="00BD6C5F">
              <w:rPr>
                <w:rFonts w:asciiTheme="minorHAnsi" w:hAnsiTheme="minorHAnsi" w:cstheme="minorHAnsi"/>
              </w:rPr>
              <w:t>23</w:t>
            </w:r>
            <w:r w:rsidRPr="00BD6C5F">
              <w:rPr>
                <w:rFonts w:asciiTheme="minorHAnsi" w:hAnsiTheme="minorHAnsi" w:cstheme="minorHAnsi"/>
              </w:rPr>
              <w:t>, as a legally binding request (except for requests only binding by contract law) to access any Transferred Data.</w:t>
            </w:r>
          </w:p>
        </w:tc>
      </w:tr>
      <w:tr w:rsidR="00D67018" w:rsidRPr="00BD6C5F" w14:paraId="52204BF5" w14:textId="77777777" w:rsidTr="00666E78">
        <w:tc>
          <w:tcPr>
            <w:tcW w:w="1176" w:type="pct"/>
            <w:shd w:val="clear" w:color="auto" w:fill="F0F0F0"/>
          </w:tcPr>
          <w:p w14:paraId="11473226" w14:textId="77777777" w:rsidR="00D67018" w:rsidRPr="00BD6C5F" w:rsidRDefault="00D67018" w:rsidP="00666E78">
            <w:pPr>
              <w:rPr>
                <w:b/>
                <w:bCs/>
                <w:szCs w:val="22"/>
              </w:rPr>
            </w:pPr>
            <w:r w:rsidRPr="00BD6C5F">
              <w:rPr>
                <w:b/>
                <w:bCs/>
                <w:szCs w:val="22"/>
              </w:rPr>
              <w:t>Adequate Country</w:t>
            </w:r>
          </w:p>
        </w:tc>
        <w:tc>
          <w:tcPr>
            <w:tcW w:w="3824" w:type="pct"/>
          </w:tcPr>
          <w:p w14:paraId="735B8C6E"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A third country, or:</w:t>
            </w:r>
          </w:p>
          <w:p w14:paraId="1A2753BF" w14:textId="77777777" w:rsidR="00D67018" w:rsidRPr="002D3DCF" w:rsidRDefault="00D67018" w:rsidP="0040545B">
            <w:pPr>
              <w:pStyle w:val="Tablea"/>
            </w:pPr>
            <w:r w:rsidRPr="002D3DCF">
              <w:lastRenderedPageBreak/>
              <w:t>a territory;</w:t>
            </w:r>
          </w:p>
          <w:p w14:paraId="71C47C8F" w14:textId="77777777" w:rsidR="00D67018" w:rsidRPr="002D3DCF" w:rsidRDefault="00D67018" w:rsidP="0040545B">
            <w:pPr>
              <w:pStyle w:val="Tablea"/>
            </w:pPr>
            <w:r w:rsidRPr="002D3DCF">
              <w:t xml:space="preserve">one or more sectors or organisations within a third country; </w:t>
            </w:r>
          </w:p>
          <w:p w14:paraId="19EB604E" w14:textId="77777777" w:rsidR="00D67018" w:rsidRPr="002D3DCF" w:rsidRDefault="00D67018" w:rsidP="0040545B">
            <w:pPr>
              <w:pStyle w:val="Tablea"/>
            </w:pPr>
            <w:r w:rsidRPr="002D3DCF">
              <w:t xml:space="preserve">an international organisation; </w:t>
            </w:r>
          </w:p>
          <w:p w14:paraId="75DA489B"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which the Secretary of State has specified by regulations provides an adequate level of protection of Personal Data in accordance with Section 17A of the </w:t>
            </w:r>
            <w:r w:rsidRPr="00BD6C5F">
              <w:rPr>
                <w:szCs w:val="22"/>
              </w:rPr>
              <w:t>Data</w:t>
            </w:r>
            <w:r w:rsidRPr="00BD6C5F">
              <w:rPr>
                <w:rFonts w:asciiTheme="minorHAnsi" w:hAnsiTheme="minorHAnsi" w:cstheme="minorHAnsi"/>
              </w:rPr>
              <w:t xml:space="preserve"> Protection Act 2018.</w:t>
            </w:r>
          </w:p>
        </w:tc>
      </w:tr>
      <w:tr w:rsidR="00D67018" w:rsidRPr="00BD6C5F" w14:paraId="0F9106E9" w14:textId="77777777" w:rsidTr="00666E78">
        <w:tc>
          <w:tcPr>
            <w:tcW w:w="1176" w:type="pct"/>
            <w:shd w:val="clear" w:color="auto" w:fill="F0F0F0"/>
          </w:tcPr>
          <w:p w14:paraId="3C0ED457" w14:textId="77777777" w:rsidR="00D67018" w:rsidRPr="00BD6C5F" w:rsidRDefault="00D67018" w:rsidP="00666E78">
            <w:pPr>
              <w:rPr>
                <w:b/>
                <w:bCs/>
                <w:szCs w:val="22"/>
              </w:rPr>
            </w:pPr>
            <w:r w:rsidRPr="00BD6C5F">
              <w:rPr>
                <w:b/>
                <w:bCs/>
                <w:szCs w:val="22"/>
              </w:rPr>
              <w:lastRenderedPageBreak/>
              <w:t>Appropriate Safeguards</w:t>
            </w:r>
          </w:p>
        </w:tc>
        <w:tc>
          <w:tcPr>
            <w:tcW w:w="3824" w:type="pct"/>
          </w:tcPr>
          <w:p w14:paraId="1FF4DB62" w14:textId="585B4472" w:rsidR="00D67018" w:rsidRPr="00BD6C5F" w:rsidRDefault="00D67018" w:rsidP="00666E78">
            <w:pPr>
              <w:rPr>
                <w:rFonts w:asciiTheme="minorHAnsi" w:hAnsiTheme="minorHAnsi" w:cstheme="minorHAnsi"/>
              </w:rPr>
            </w:pPr>
            <w:r w:rsidRPr="00BD6C5F">
              <w:rPr>
                <w:rFonts w:asciiTheme="minorHAnsi" w:hAnsiTheme="minorHAnsi" w:cstheme="minorHAnsi"/>
              </w:rPr>
              <w:t>The standard of protection over the Transferred Data and of the Relevant Data Subject</w:t>
            </w:r>
            <w:r w:rsidR="00A4555C" w:rsidRPr="00BD6C5F">
              <w:rPr>
                <w:rFonts w:asciiTheme="minorHAnsi" w:hAnsiTheme="minorHAnsi" w:cstheme="minorHAnsi"/>
              </w:rPr>
              <w:t>’</w:t>
            </w:r>
            <w:r w:rsidRPr="00BD6C5F">
              <w:rPr>
                <w:rFonts w:asciiTheme="minorHAnsi" w:hAnsiTheme="minorHAnsi" w:cstheme="minorHAnsi"/>
              </w:rPr>
              <w:t xml:space="preserve">s rights, which is required by UK Data Protection Laws when you are making a Restricted Transfer relying on standard data protection clauses </w:t>
            </w:r>
            <w:r w:rsidRPr="00BD6C5F">
              <w:rPr>
                <w:szCs w:val="22"/>
              </w:rPr>
              <w:t>under</w:t>
            </w:r>
            <w:r w:rsidRPr="00BD6C5F">
              <w:rPr>
                <w:rFonts w:asciiTheme="minorHAnsi" w:hAnsiTheme="minorHAnsi" w:cstheme="minorHAnsi"/>
              </w:rPr>
              <w:t xml:space="preserve"> Article 46(2)(d) UK GDPR.</w:t>
            </w:r>
          </w:p>
        </w:tc>
      </w:tr>
      <w:tr w:rsidR="00D67018" w:rsidRPr="00BD6C5F" w14:paraId="6C7CAE5C" w14:textId="77777777" w:rsidTr="00666E78">
        <w:tc>
          <w:tcPr>
            <w:tcW w:w="1176" w:type="pct"/>
            <w:shd w:val="clear" w:color="auto" w:fill="F0F0F0"/>
          </w:tcPr>
          <w:p w14:paraId="49C2D6FC" w14:textId="77777777" w:rsidR="00D67018" w:rsidRPr="00BD6C5F" w:rsidRDefault="00D67018" w:rsidP="00666E78">
            <w:pPr>
              <w:rPr>
                <w:b/>
                <w:bCs/>
                <w:szCs w:val="22"/>
              </w:rPr>
            </w:pPr>
            <w:r w:rsidRPr="00BD6C5F">
              <w:rPr>
                <w:b/>
                <w:bCs/>
                <w:szCs w:val="22"/>
              </w:rPr>
              <w:t>Approved IDTA</w:t>
            </w:r>
          </w:p>
        </w:tc>
        <w:tc>
          <w:tcPr>
            <w:tcW w:w="3824" w:type="pct"/>
          </w:tcPr>
          <w:p w14:paraId="52BE602E" w14:textId="371B2F2A"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template IDTA A1.0 issued by the ICO and laid before Parliament in accordance with </w:t>
            </w:r>
            <w:r w:rsidRPr="00BD6C5F">
              <w:rPr>
                <w:szCs w:val="22"/>
              </w:rPr>
              <w:t>s119A</w:t>
            </w:r>
            <w:r w:rsidRPr="00BD6C5F">
              <w:rPr>
                <w:rFonts w:asciiTheme="minorHAnsi" w:hAnsiTheme="minorHAnsi" w:cstheme="minorHAnsi"/>
              </w:rPr>
              <w:t xml:space="preserve"> of the Data Protection Act 2018 on 2 February 2022, as it is revised under Section </w:t>
            </w:r>
            <w:r w:rsidR="0010425E" w:rsidRPr="00BD6C5F">
              <w:rPr>
                <w:rFonts w:asciiTheme="minorHAnsi" w:hAnsiTheme="minorHAnsi" w:cstheme="minorHAnsi"/>
                <w:cs/>
              </w:rPr>
              <w:t>‎</w:t>
            </w:r>
            <w:r w:rsidR="0010425E" w:rsidRPr="00BD6C5F">
              <w:rPr>
                <w:rFonts w:asciiTheme="minorHAnsi" w:hAnsiTheme="minorHAnsi" w:cstheme="minorHAnsi"/>
              </w:rPr>
              <w:t>5.4</w:t>
            </w:r>
            <w:r w:rsidRPr="00BD6C5F">
              <w:rPr>
                <w:rFonts w:asciiTheme="minorHAnsi" w:hAnsiTheme="minorHAnsi" w:cstheme="minorHAnsi"/>
              </w:rPr>
              <w:t>.</w:t>
            </w:r>
          </w:p>
        </w:tc>
      </w:tr>
      <w:tr w:rsidR="00D67018" w:rsidRPr="00BD6C5F" w14:paraId="529A7702" w14:textId="77777777" w:rsidTr="00666E78">
        <w:tc>
          <w:tcPr>
            <w:tcW w:w="1176" w:type="pct"/>
            <w:shd w:val="clear" w:color="auto" w:fill="F0F0F0"/>
          </w:tcPr>
          <w:p w14:paraId="0639DD9C" w14:textId="77777777" w:rsidR="00D67018" w:rsidRPr="00BD6C5F" w:rsidRDefault="00D67018" w:rsidP="00666E78">
            <w:pPr>
              <w:rPr>
                <w:b/>
                <w:bCs/>
                <w:szCs w:val="22"/>
              </w:rPr>
            </w:pPr>
            <w:r w:rsidRPr="00BD6C5F">
              <w:rPr>
                <w:b/>
                <w:bCs/>
                <w:szCs w:val="22"/>
              </w:rPr>
              <w:t>Commercial Clauses</w:t>
            </w:r>
          </w:p>
        </w:tc>
        <w:tc>
          <w:tcPr>
            <w:tcW w:w="3824" w:type="pct"/>
          </w:tcPr>
          <w:p w14:paraId="74F76995"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The commercial clauses set out in Part three.</w:t>
            </w:r>
          </w:p>
        </w:tc>
      </w:tr>
      <w:tr w:rsidR="00D67018" w:rsidRPr="00BD6C5F" w14:paraId="38CD4BFA" w14:textId="77777777" w:rsidTr="00666E78">
        <w:tc>
          <w:tcPr>
            <w:tcW w:w="1176" w:type="pct"/>
            <w:shd w:val="clear" w:color="auto" w:fill="F0F0F0"/>
          </w:tcPr>
          <w:p w14:paraId="0AD46790" w14:textId="77777777" w:rsidR="00D67018" w:rsidRPr="00BD6C5F" w:rsidRDefault="00D67018" w:rsidP="00666E78">
            <w:pPr>
              <w:rPr>
                <w:b/>
                <w:bCs/>
                <w:szCs w:val="22"/>
              </w:rPr>
            </w:pPr>
            <w:r w:rsidRPr="00BD6C5F">
              <w:rPr>
                <w:b/>
                <w:bCs/>
                <w:szCs w:val="22"/>
              </w:rPr>
              <w:t>Controller</w:t>
            </w:r>
          </w:p>
        </w:tc>
        <w:tc>
          <w:tcPr>
            <w:tcW w:w="3824" w:type="pct"/>
          </w:tcPr>
          <w:p w14:paraId="1195BF01"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As defined in </w:t>
            </w:r>
            <w:r w:rsidRPr="00BD6C5F">
              <w:rPr>
                <w:szCs w:val="22"/>
              </w:rPr>
              <w:t>the</w:t>
            </w:r>
            <w:r w:rsidRPr="00BD6C5F">
              <w:rPr>
                <w:rFonts w:asciiTheme="minorHAnsi" w:hAnsiTheme="minorHAnsi" w:cstheme="minorHAnsi"/>
              </w:rPr>
              <w:t xml:space="preserve"> UK GDPR.</w:t>
            </w:r>
          </w:p>
        </w:tc>
      </w:tr>
      <w:tr w:rsidR="00D67018" w:rsidRPr="00BD6C5F" w14:paraId="1D23ACC3" w14:textId="77777777" w:rsidTr="00666E78">
        <w:tc>
          <w:tcPr>
            <w:tcW w:w="1176" w:type="pct"/>
            <w:shd w:val="clear" w:color="auto" w:fill="F0F0F0"/>
          </w:tcPr>
          <w:p w14:paraId="36E87BA8" w14:textId="77777777" w:rsidR="00D67018" w:rsidRPr="00BD6C5F" w:rsidRDefault="00D67018" w:rsidP="00666E78">
            <w:pPr>
              <w:rPr>
                <w:b/>
                <w:bCs/>
                <w:szCs w:val="22"/>
              </w:rPr>
            </w:pPr>
            <w:r w:rsidRPr="00BD6C5F">
              <w:rPr>
                <w:b/>
                <w:bCs/>
                <w:szCs w:val="22"/>
              </w:rPr>
              <w:t>Damage</w:t>
            </w:r>
          </w:p>
        </w:tc>
        <w:tc>
          <w:tcPr>
            <w:tcW w:w="3824" w:type="pct"/>
          </w:tcPr>
          <w:p w14:paraId="0FDC9A9A" w14:textId="77777777" w:rsidR="00D67018" w:rsidRPr="00BD6C5F" w:rsidRDefault="00D67018" w:rsidP="00666E78">
            <w:pPr>
              <w:rPr>
                <w:rFonts w:asciiTheme="minorHAnsi" w:hAnsiTheme="minorHAnsi" w:cstheme="minorHAnsi"/>
              </w:rPr>
            </w:pPr>
            <w:r w:rsidRPr="00BD6C5F">
              <w:rPr>
                <w:rFonts w:asciiTheme="minorHAnsi" w:hAnsiTheme="minorHAnsi" w:cstheme="minorHAnsi"/>
                <w:color w:val="000000"/>
                <w:shd w:val="clear" w:color="auto" w:fill="FFFFFF"/>
              </w:rPr>
              <w:t xml:space="preserve">All material </w:t>
            </w:r>
            <w:r w:rsidRPr="00BD6C5F">
              <w:rPr>
                <w:szCs w:val="22"/>
              </w:rPr>
              <w:t>and</w:t>
            </w:r>
            <w:r w:rsidRPr="00BD6C5F">
              <w:rPr>
                <w:rFonts w:asciiTheme="minorHAnsi" w:hAnsiTheme="minorHAnsi" w:cstheme="minorHAnsi"/>
                <w:color w:val="000000"/>
                <w:shd w:val="clear" w:color="auto" w:fill="FFFFFF"/>
              </w:rPr>
              <w:t xml:space="preserve"> non-material loss and damage.</w:t>
            </w:r>
          </w:p>
        </w:tc>
      </w:tr>
      <w:tr w:rsidR="00D67018" w:rsidRPr="00BD6C5F" w14:paraId="075F4872" w14:textId="77777777" w:rsidTr="00666E78">
        <w:tc>
          <w:tcPr>
            <w:tcW w:w="1176" w:type="pct"/>
            <w:shd w:val="clear" w:color="auto" w:fill="F0F0F0"/>
          </w:tcPr>
          <w:p w14:paraId="7CA76BC2" w14:textId="77777777" w:rsidR="00D67018" w:rsidRPr="00BD6C5F" w:rsidRDefault="00D67018" w:rsidP="00666E78">
            <w:pPr>
              <w:rPr>
                <w:b/>
                <w:bCs/>
                <w:szCs w:val="22"/>
              </w:rPr>
            </w:pPr>
            <w:r w:rsidRPr="00BD6C5F">
              <w:rPr>
                <w:b/>
                <w:bCs/>
                <w:szCs w:val="22"/>
              </w:rPr>
              <w:t>Data Subject</w:t>
            </w:r>
          </w:p>
        </w:tc>
        <w:tc>
          <w:tcPr>
            <w:tcW w:w="3824" w:type="pct"/>
          </w:tcPr>
          <w:p w14:paraId="3DDDF726"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As defined in </w:t>
            </w:r>
            <w:r w:rsidRPr="00BD6C5F">
              <w:rPr>
                <w:szCs w:val="22"/>
              </w:rPr>
              <w:t>the</w:t>
            </w:r>
            <w:r w:rsidRPr="00BD6C5F">
              <w:rPr>
                <w:rFonts w:asciiTheme="minorHAnsi" w:hAnsiTheme="minorHAnsi" w:cstheme="minorHAnsi"/>
              </w:rPr>
              <w:t xml:space="preserve"> UK GDPR.</w:t>
            </w:r>
          </w:p>
        </w:tc>
      </w:tr>
      <w:tr w:rsidR="00D67018" w:rsidRPr="00BD6C5F" w14:paraId="2F6109C4" w14:textId="77777777" w:rsidTr="00666E78">
        <w:tc>
          <w:tcPr>
            <w:tcW w:w="1176" w:type="pct"/>
            <w:shd w:val="clear" w:color="auto" w:fill="F0F0F0"/>
          </w:tcPr>
          <w:p w14:paraId="6D6AF682" w14:textId="77777777" w:rsidR="00D67018" w:rsidRPr="00BD6C5F" w:rsidRDefault="00D67018" w:rsidP="00666E78">
            <w:pPr>
              <w:rPr>
                <w:b/>
                <w:bCs/>
                <w:szCs w:val="22"/>
              </w:rPr>
            </w:pPr>
            <w:r w:rsidRPr="00BD6C5F">
              <w:rPr>
                <w:b/>
                <w:bCs/>
                <w:szCs w:val="22"/>
              </w:rPr>
              <w:t>Decision-Making</w:t>
            </w:r>
          </w:p>
        </w:tc>
        <w:tc>
          <w:tcPr>
            <w:tcW w:w="3824" w:type="pct"/>
          </w:tcPr>
          <w:p w14:paraId="3B7FC2CD" w14:textId="11F53FFF"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As defined in Section </w:t>
            </w:r>
            <w:r w:rsidR="0010425E" w:rsidRPr="00BD6C5F">
              <w:rPr>
                <w:rFonts w:asciiTheme="minorHAnsi" w:hAnsiTheme="minorHAnsi" w:cstheme="minorHAnsi"/>
                <w:cs/>
              </w:rPr>
              <w:t>‎</w:t>
            </w:r>
            <w:r w:rsidR="0010425E" w:rsidRPr="00BD6C5F">
              <w:rPr>
                <w:rFonts w:asciiTheme="minorHAnsi" w:hAnsiTheme="minorHAnsi" w:cstheme="minorHAnsi"/>
              </w:rPr>
              <w:t>20.6</w:t>
            </w:r>
            <w:r w:rsidRPr="00BD6C5F">
              <w:rPr>
                <w:rFonts w:asciiTheme="minorHAnsi" w:hAnsiTheme="minorHAnsi" w:cstheme="minorHAnsi"/>
              </w:rPr>
              <w:t>, as decisions about the Relevant Data Subjects based solely on automated processing, including profiling, using the Transferred Data.</w:t>
            </w:r>
          </w:p>
        </w:tc>
      </w:tr>
      <w:tr w:rsidR="00D67018" w:rsidRPr="00BD6C5F" w14:paraId="0A7E5246" w14:textId="77777777" w:rsidTr="00666E78">
        <w:tc>
          <w:tcPr>
            <w:tcW w:w="1176" w:type="pct"/>
            <w:shd w:val="clear" w:color="auto" w:fill="F0F0F0"/>
          </w:tcPr>
          <w:p w14:paraId="38C06F22" w14:textId="77777777" w:rsidR="00D67018" w:rsidRPr="00BD6C5F" w:rsidRDefault="00D67018" w:rsidP="00666E78">
            <w:pPr>
              <w:rPr>
                <w:b/>
                <w:bCs/>
                <w:szCs w:val="22"/>
              </w:rPr>
            </w:pPr>
            <w:r w:rsidRPr="00BD6C5F">
              <w:rPr>
                <w:b/>
                <w:bCs/>
                <w:szCs w:val="22"/>
              </w:rPr>
              <w:t>Direct Access</w:t>
            </w:r>
          </w:p>
        </w:tc>
        <w:tc>
          <w:tcPr>
            <w:tcW w:w="3824" w:type="pct"/>
          </w:tcPr>
          <w:p w14:paraId="49743767" w14:textId="7903AD6B"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As defined in Section </w:t>
            </w:r>
            <w:r w:rsidR="0010425E" w:rsidRPr="00BD6C5F">
              <w:rPr>
                <w:rFonts w:asciiTheme="minorHAnsi" w:hAnsiTheme="minorHAnsi" w:cstheme="minorHAnsi"/>
                <w:cs/>
              </w:rPr>
              <w:t>‎</w:t>
            </w:r>
            <w:r w:rsidR="0010425E" w:rsidRPr="00BD6C5F">
              <w:rPr>
                <w:rFonts w:asciiTheme="minorHAnsi" w:hAnsiTheme="minorHAnsi" w:cstheme="minorHAnsi"/>
              </w:rPr>
              <w:t>23</w:t>
            </w:r>
            <w:r w:rsidRPr="00BD6C5F">
              <w:rPr>
                <w:rFonts w:asciiTheme="minorHAnsi" w:hAnsiTheme="minorHAnsi" w:cstheme="minorHAnsi"/>
              </w:rPr>
              <w:t xml:space="preserve"> as direct access to any Transferred Data by public </w:t>
            </w:r>
            <w:r w:rsidRPr="00BD6C5F">
              <w:rPr>
                <w:szCs w:val="22"/>
              </w:rPr>
              <w:t>authorities</w:t>
            </w:r>
            <w:r w:rsidRPr="00BD6C5F">
              <w:rPr>
                <w:rFonts w:asciiTheme="minorHAnsi" w:hAnsiTheme="minorHAnsi" w:cstheme="minorHAnsi"/>
              </w:rPr>
              <w:t xml:space="preserve"> of which the Importer is aware.</w:t>
            </w:r>
          </w:p>
        </w:tc>
      </w:tr>
      <w:tr w:rsidR="00D67018" w:rsidRPr="00BD6C5F" w14:paraId="731CB6CE" w14:textId="77777777" w:rsidTr="00666E78">
        <w:tc>
          <w:tcPr>
            <w:tcW w:w="1176" w:type="pct"/>
            <w:shd w:val="clear" w:color="auto" w:fill="F0F0F0"/>
          </w:tcPr>
          <w:p w14:paraId="2B26F177" w14:textId="77777777" w:rsidR="00D67018" w:rsidRPr="00BD6C5F" w:rsidRDefault="00D67018" w:rsidP="00666E78">
            <w:pPr>
              <w:rPr>
                <w:b/>
                <w:bCs/>
                <w:szCs w:val="22"/>
              </w:rPr>
            </w:pPr>
            <w:r w:rsidRPr="00BD6C5F">
              <w:rPr>
                <w:b/>
                <w:bCs/>
                <w:szCs w:val="22"/>
              </w:rPr>
              <w:t>Exporter</w:t>
            </w:r>
          </w:p>
        </w:tc>
        <w:tc>
          <w:tcPr>
            <w:tcW w:w="3824" w:type="pct"/>
          </w:tcPr>
          <w:p w14:paraId="100A3840"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The exporter identified in Table 1: Parties &amp; Signature.</w:t>
            </w:r>
          </w:p>
        </w:tc>
      </w:tr>
      <w:tr w:rsidR="00D67018" w:rsidRPr="00BD6C5F" w14:paraId="40156F51" w14:textId="77777777" w:rsidTr="00666E78">
        <w:tc>
          <w:tcPr>
            <w:tcW w:w="1176" w:type="pct"/>
            <w:shd w:val="clear" w:color="auto" w:fill="F0F0F0"/>
          </w:tcPr>
          <w:p w14:paraId="2F9DE896" w14:textId="77777777" w:rsidR="00D67018" w:rsidRPr="00BD6C5F" w:rsidRDefault="00D67018" w:rsidP="00666E78">
            <w:pPr>
              <w:rPr>
                <w:b/>
                <w:bCs/>
                <w:szCs w:val="22"/>
              </w:rPr>
            </w:pPr>
            <w:r w:rsidRPr="00BD6C5F">
              <w:rPr>
                <w:b/>
                <w:bCs/>
                <w:szCs w:val="22"/>
              </w:rPr>
              <w:t>Extra Protection Clauses</w:t>
            </w:r>
          </w:p>
        </w:tc>
        <w:tc>
          <w:tcPr>
            <w:tcW w:w="3824" w:type="pct"/>
          </w:tcPr>
          <w:p w14:paraId="57F07DC2"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clauses </w:t>
            </w:r>
            <w:r w:rsidRPr="00BD6C5F">
              <w:rPr>
                <w:szCs w:val="22"/>
              </w:rPr>
              <w:t>set</w:t>
            </w:r>
            <w:r w:rsidRPr="00BD6C5F">
              <w:rPr>
                <w:rFonts w:asciiTheme="minorHAnsi" w:hAnsiTheme="minorHAnsi" w:cstheme="minorHAnsi"/>
              </w:rPr>
              <w:t xml:space="preserve"> out in Part two: Extra Protection Clauses.</w:t>
            </w:r>
          </w:p>
        </w:tc>
      </w:tr>
      <w:tr w:rsidR="00D67018" w:rsidRPr="00BD6C5F" w14:paraId="5772E48A" w14:textId="77777777" w:rsidTr="00666E78">
        <w:tc>
          <w:tcPr>
            <w:tcW w:w="1176" w:type="pct"/>
            <w:shd w:val="clear" w:color="auto" w:fill="F0F0F0"/>
          </w:tcPr>
          <w:p w14:paraId="115C493A" w14:textId="77777777" w:rsidR="00D67018" w:rsidRPr="00BD6C5F" w:rsidRDefault="00D67018" w:rsidP="00666E78">
            <w:pPr>
              <w:rPr>
                <w:b/>
                <w:bCs/>
                <w:szCs w:val="22"/>
              </w:rPr>
            </w:pPr>
            <w:r w:rsidRPr="00BD6C5F">
              <w:rPr>
                <w:b/>
                <w:bCs/>
                <w:szCs w:val="22"/>
              </w:rPr>
              <w:t>ICO</w:t>
            </w:r>
          </w:p>
        </w:tc>
        <w:tc>
          <w:tcPr>
            <w:tcW w:w="3824" w:type="pct"/>
          </w:tcPr>
          <w:p w14:paraId="1C71DE89"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w:t>
            </w:r>
            <w:r w:rsidRPr="00BD6C5F">
              <w:rPr>
                <w:szCs w:val="22"/>
              </w:rPr>
              <w:t>Information</w:t>
            </w:r>
            <w:r w:rsidRPr="00BD6C5F">
              <w:rPr>
                <w:rFonts w:asciiTheme="minorHAnsi" w:hAnsiTheme="minorHAnsi" w:cstheme="minorHAnsi"/>
              </w:rPr>
              <w:t xml:space="preserve"> Commissioner.</w:t>
            </w:r>
          </w:p>
        </w:tc>
      </w:tr>
      <w:tr w:rsidR="00D67018" w:rsidRPr="00BD6C5F" w14:paraId="776FA2D3" w14:textId="77777777" w:rsidTr="00666E78">
        <w:tc>
          <w:tcPr>
            <w:tcW w:w="1176" w:type="pct"/>
            <w:shd w:val="clear" w:color="auto" w:fill="F0F0F0"/>
          </w:tcPr>
          <w:p w14:paraId="6DB679DE" w14:textId="77777777" w:rsidR="00D67018" w:rsidRPr="00BD6C5F" w:rsidRDefault="00D67018" w:rsidP="00666E78">
            <w:pPr>
              <w:rPr>
                <w:b/>
                <w:bCs/>
                <w:szCs w:val="22"/>
              </w:rPr>
            </w:pPr>
            <w:r w:rsidRPr="00BD6C5F">
              <w:rPr>
                <w:b/>
                <w:bCs/>
                <w:szCs w:val="22"/>
              </w:rPr>
              <w:t>Importer</w:t>
            </w:r>
          </w:p>
        </w:tc>
        <w:tc>
          <w:tcPr>
            <w:tcW w:w="3824" w:type="pct"/>
          </w:tcPr>
          <w:p w14:paraId="0C6E1D88"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importer </w:t>
            </w:r>
            <w:r w:rsidRPr="00BD6C5F">
              <w:rPr>
                <w:szCs w:val="22"/>
              </w:rPr>
              <w:t>identified</w:t>
            </w:r>
            <w:r w:rsidRPr="00BD6C5F">
              <w:rPr>
                <w:rFonts w:asciiTheme="minorHAnsi" w:hAnsiTheme="minorHAnsi" w:cstheme="minorHAnsi"/>
              </w:rPr>
              <w:t xml:space="preserve"> in Table 1: Parties &amp; Signature.</w:t>
            </w:r>
          </w:p>
        </w:tc>
      </w:tr>
      <w:tr w:rsidR="00D67018" w:rsidRPr="00BD6C5F" w14:paraId="71A68E65" w14:textId="77777777" w:rsidTr="00666E78">
        <w:tc>
          <w:tcPr>
            <w:tcW w:w="1176" w:type="pct"/>
            <w:shd w:val="clear" w:color="auto" w:fill="F0F0F0"/>
          </w:tcPr>
          <w:p w14:paraId="10C6703E" w14:textId="77777777" w:rsidR="00D67018" w:rsidRPr="00BD6C5F" w:rsidRDefault="00D67018" w:rsidP="00666E78">
            <w:pPr>
              <w:rPr>
                <w:b/>
                <w:bCs/>
                <w:szCs w:val="22"/>
              </w:rPr>
            </w:pPr>
            <w:r w:rsidRPr="00BD6C5F">
              <w:rPr>
                <w:b/>
                <w:bCs/>
                <w:szCs w:val="22"/>
              </w:rPr>
              <w:t>Importer Data Subject Contact</w:t>
            </w:r>
          </w:p>
        </w:tc>
        <w:tc>
          <w:tcPr>
            <w:tcW w:w="3824" w:type="pct"/>
          </w:tcPr>
          <w:p w14:paraId="27CCAA1B" w14:textId="36FEE2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Importer Data Subject Contact identified in Table 1: Parties &amp; Signature, which </w:t>
            </w:r>
            <w:r w:rsidRPr="00BD6C5F">
              <w:rPr>
                <w:szCs w:val="22"/>
              </w:rPr>
              <w:t>may</w:t>
            </w:r>
            <w:r w:rsidRPr="00BD6C5F">
              <w:rPr>
                <w:rFonts w:asciiTheme="minorHAnsi" w:hAnsiTheme="minorHAnsi" w:cstheme="minorHAnsi"/>
              </w:rPr>
              <w:t xml:space="preserve"> be updated in accordance with Section </w:t>
            </w:r>
            <w:r w:rsidR="0010425E" w:rsidRPr="00BD6C5F">
              <w:rPr>
                <w:rFonts w:asciiTheme="minorHAnsi" w:hAnsiTheme="minorHAnsi" w:cstheme="minorHAnsi"/>
                <w:cs/>
              </w:rPr>
              <w:t>‎</w:t>
            </w:r>
            <w:r w:rsidR="0010425E" w:rsidRPr="00BD6C5F">
              <w:rPr>
                <w:rFonts w:asciiTheme="minorHAnsi" w:hAnsiTheme="minorHAnsi" w:cstheme="minorHAnsi"/>
              </w:rPr>
              <w:t>19</w:t>
            </w:r>
            <w:r w:rsidRPr="00BD6C5F">
              <w:rPr>
                <w:rFonts w:asciiTheme="minorHAnsi" w:hAnsiTheme="minorHAnsi" w:cstheme="minorHAnsi"/>
              </w:rPr>
              <w:t>.</w:t>
            </w:r>
          </w:p>
        </w:tc>
      </w:tr>
      <w:tr w:rsidR="00D67018" w:rsidRPr="00BD6C5F" w14:paraId="5FC77D61" w14:textId="77777777" w:rsidTr="00666E78">
        <w:tc>
          <w:tcPr>
            <w:tcW w:w="1176" w:type="pct"/>
            <w:shd w:val="clear" w:color="auto" w:fill="F0F0F0"/>
          </w:tcPr>
          <w:p w14:paraId="1DB1A890" w14:textId="77777777" w:rsidR="00D67018" w:rsidRPr="00BD6C5F" w:rsidRDefault="00D67018" w:rsidP="00666E78">
            <w:pPr>
              <w:rPr>
                <w:b/>
                <w:bCs/>
                <w:szCs w:val="22"/>
              </w:rPr>
            </w:pPr>
            <w:r w:rsidRPr="00BD6C5F">
              <w:rPr>
                <w:b/>
                <w:bCs/>
                <w:szCs w:val="22"/>
              </w:rPr>
              <w:t>Importer Information</w:t>
            </w:r>
          </w:p>
        </w:tc>
        <w:tc>
          <w:tcPr>
            <w:tcW w:w="3824" w:type="pct"/>
          </w:tcPr>
          <w:p w14:paraId="439C5722" w14:textId="1DA395A4" w:rsidR="00D67018" w:rsidRPr="00BD6C5F" w:rsidRDefault="00D67018" w:rsidP="00666E78">
            <w:pPr>
              <w:rPr>
                <w:szCs w:val="22"/>
              </w:rPr>
            </w:pPr>
            <w:r w:rsidRPr="00BD6C5F">
              <w:rPr>
                <w:szCs w:val="22"/>
              </w:rPr>
              <w:t xml:space="preserve">As defined in Section </w:t>
            </w:r>
            <w:r w:rsidR="0010425E" w:rsidRPr="00BD6C5F">
              <w:rPr>
                <w:szCs w:val="22"/>
                <w:cs/>
              </w:rPr>
              <w:t>‎</w:t>
            </w:r>
            <w:r w:rsidR="0010425E" w:rsidRPr="00BD6C5F">
              <w:rPr>
                <w:szCs w:val="22"/>
              </w:rPr>
              <w:t>8.3.1</w:t>
            </w:r>
            <w:r w:rsidRPr="00BD6C5F">
              <w:rPr>
                <w:szCs w:val="22"/>
              </w:rPr>
              <w:t>, as all relevant information regarding Local Laws and practices and the protections and risks which apply to the Transferred Data when it is Processed by the Importer, including for the Exporter to carry out any TRA.</w:t>
            </w:r>
          </w:p>
        </w:tc>
      </w:tr>
      <w:tr w:rsidR="00D67018" w:rsidRPr="00BD6C5F" w14:paraId="0EDE2AC7" w14:textId="77777777" w:rsidTr="00666E78">
        <w:tc>
          <w:tcPr>
            <w:tcW w:w="1176" w:type="pct"/>
            <w:shd w:val="clear" w:color="auto" w:fill="F0F0F0"/>
          </w:tcPr>
          <w:p w14:paraId="0321DDC4" w14:textId="77777777" w:rsidR="00D67018" w:rsidRPr="00BD6C5F" w:rsidRDefault="00D67018" w:rsidP="00666E78">
            <w:pPr>
              <w:rPr>
                <w:b/>
                <w:bCs/>
                <w:szCs w:val="22"/>
              </w:rPr>
            </w:pPr>
            <w:r w:rsidRPr="00BD6C5F">
              <w:rPr>
                <w:b/>
                <w:bCs/>
                <w:szCs w:val="22"/>
              </w:rPr>
              <w:t>Importer Personal Data Breach</w:t>
            </w:r>
          </w:p>
        </w:tc>
        <w:tc>
          <w:tcPr>
            <w:tcW w:w="3824" w:type="pct"/>
          </w:tcPr>
          <w:p w14:paraId="45454E6B" w14:textId="1F368F77" w:rsidR="00D67018" w:rsidRPr="00BD6C5F" w:rsidRDefault="00D67018" w:rsidP="00666E78">
            <w:pPr>
              <w:rPr>
                <w:szCs w:val="22"/>
              </w:rPr>
            </w:pPr>
            <w:r w:rsidRPr="00BD6C5F">
              <w:rPr>
                <w:szCs w:val="22"/>
              </w:rPr>
              <w:t xml:space="preserve">A </w:t>
            </w:r>
            <w:r w:rsidR="00A4555C" w:rsidRPr="00BD6C5F">
              <w:rPr>
                <w:szCs w:val="22"/>
              </w:rPr>
              <w:t>‘</w:t>
            </w:r>
            <w:r w:rsidRPr="00BD6C5F">
              <w:rPr>
                <w:szCs w:val="22"/>
              </w:rPr>
              <w:t>personal data breach</w:t>
            </w:r>
            <w:r w:rsidR="00A4555C" w:rsidRPr="00BD6C5F">
              <w:rPr>
                <w:szCs w:val="22"/>
              </w:rPr>
              <w:t>’</w:t>
            </w:r>
            <w:r w:rsidRPr="00BD6C5F">
              <w:rPr>
                <w:szCs w:val="22"/>
              </w:rPr>
              <w:t xml:space="preserve"> as defined in UK GDPR, in relation to the Transferred Data when Processed by the Importer.</w:t>
            </w:r>
          </w:p>
        </w:tc>
      </w:tr>
      <w:tr w:rsidR="00D67018" w:rsidRPr="00BD6C5F" w14:paraId="5BD33E06" w14:textId="77777777" w:rsidTr="00666E78">
        <w:tc>
          <w:tcPr>
            <w:tcW w:w="1176" w:type="pct"/>
            <w:shd w:val="clear" w:color="auto" w:fill="F0F0F0"/>
          </w:tcPr>
          <w:p w14:paraId="7C1BDED8" w14:textId="77777777" w:rsidR="00D67018" w:rsidRPr="00BD6C5F" w:rsidRDefault="00D67018" w:rsidP="00666E78">
            <w:pPr>
              <w:rPr>
                <w:b/>
                <w:bCs/>
                <w:szCs w:val="22"/>
              </w:rPr>
            </w:pPr>
            <w:r w:rsidRPr="00BD6C5F">
              <w:rPr>
                <w:b/>
                <w:bCs/>
                <w:szCs w:val="22"/>
              </w:rPr>
              <w:t>Linked Agreement</w:t>
            </w:r>
          </w:p>
        </w:tc>
        <w:tc>
          <w:tcPr>
            <w:tcW w:w="3824" w:type="pct"/>
          </w:tcPr>
          <w:p w14:paraId="5440FA68" w14:textId="77777777" w:rsidR="00D67018" w:rsidRPr="00BD6C5F" w:rsidRDefault="00D67018" w:rsidP="00666E78">
            <w:pPr>
              <w:rPr>
                <w:szCs w:val="22"/>
              </w:rPr>
            </w:pPr>
            <w:r w:rsidRPr="00BD6C5F">
              <w:rPr>
                <w:szCs w:val="22"/>
              </w:rPr>
              <w:t>The linked agreements set out in Table 2: Transfer Details (if any).</w:t>
            </w:r>
          </w:p>
        </w:tc>
      </w:tr>
      <w:tr w:rsidR="00D67018" w:rsidRPr="00BD6C5F" w14:paraId="184FB1FA" w14:textId="77777777" w:rsidTr="00666E78">
        <w:tc>
          <w:tcPr>
            <w:tcW w:w="1176" w:type="pct"/>
            <w:shd w:val="clear" w:color="auto" w:fill="F0F0F0"/>
          </w:tcPr>
          <w:p w14:paraId="51FF48A4" w14:textId="77777777" w:rsidR="00D67018" w:rsidRPr="00BD6C5F" w:rsidRDefault="00D67018" w:rsidP="00666E78">
            <w:pPr>
              <w:rPr>
                <w:b/>
                <w:bCs/>
                <w:szCs w:val="22"/>
              </w:rPr>
            </w:pPr>
            <w:r w:rsidRPr="00BD6C5F">
              <w:rPr>
                <w:b/>
                <w:bCs/>
                <w:szCs w:val="22"/>
              </w:rPr>
              <w:t>Local Laws</w:t>
            </w:r>
          </w:p>
        </w:tc>
        <w:tc>
          <w:tcPr>
            <w:tcW w:w="3824" w:type="pct"/>
          </w:tcPr>
          <w:p w14:paraId="49929AF6" w14:textId="77777777" w:rsidR="00D67018" w:rsidRPr="00BD6C5F" w:rsidRDefault="00D67018" w:rsidP="00666E78">
            <w:pPr>
              <w:rPr>
                <w:szCs w:val="22"/>
              </w:rPr>
            </w:pPr>
            <w:r w:rsidRPr="00BD6C5F">
              <w:rPr>
                <w:szCs w:val="22"/>
              </w:rPr>
              <w:t xml:space="preserve">Laws which are not the laws of the UK and which bind the Importer. </w:t>
            </w:r>
          </w:p>
        </w:tc>
      </w:tr>
      <w:tr w:rsidR="00D67018" w:rsidRPr="00BD6C5F" w14:paraId="007C995D" w14:textId="77777777" w:rsidTr="00666E78">
        <w:tc>
          <w:tcPr>
            <w:tcW w:w="1176" w:type="pct"/>
            <w:shd w:val="clear" w:color="auto" w:fill="F0F0F0"/>
          </w:tcPr>
          <w:p w14:paraId="446B78CB" w14:textId="77777777" w:rsidR="00D67018" w:rsidRPr="00BD6C5F" w:rsidRDefault="00D67018" w:rsidP="00666E78">
            <w:pPr>
              <w:rPr>
                <w:b/>
                <w:bCs/>
                <w:szCs w:val="22"/>
              </w:rPr>
            </w:pPr>
            <w:r w:rsidRPr="00BD6C5F">
              <w:rPr>
                <w:b/>
                <w:bCs/>
                <w:szCs w:val="22"/>
              </w:rPr>
              <w:lastRenderedPageBreak/>
              <w:t>Mandatory Clauses</w:t>
            </w:r>
          </w:p>
        </w:tc>
        <w:tc>
          <w:tcPr>
            <w:tcW w:w="3824" w:type="pct"/>
          </w:tcPr>
          <w:p w14:paraId="6A05EDB1" w14:textId="77777777" w:rsidR="00D67018" w:rsidRPr="00BD6C5F" w:rsidRDefault="00D67018" w:rsidP="00666E78">
            <w:pPr>
              <w:rPr>
                <w:szCs w:val="22"/>
              </w:rPr>
            </w:pPr>
            <w:r w:rsidRPr="00BD6C5F">
              <w:rPr>
                <w:szCs w:val="22"/>
              </w:rPr>
              <w:t>Part four: Mandatory Clauses of this IDTA.</w:t>
            </w:r>
          </w:p>
        </w:tc>
      </w:tr>
      <w:tr w:rsidR="00D67018" w:rsidRPr="00BD6C5F" w14:paraId="2A1A7BF5" w14:textId="77777777" w:rsidTr="00666E78">
        <w:tc>
          <w:tcPr>
            <w:tcW w:w="1176" w:type="pct"/>
            <w:shd w:val="clear" w:color="auto" w:fill="F0F0F0"/>
          </w:tcPr>
          <w:p w14:paraId="47143424" w14:textId="77777777" w:rsidR="00D67018" w:rsidRPr="00BD6C5F" w:rsidRDefault="00D67018" w:rsidP="00666E78">
            <w:pPr>
              <w:rPr>
                <w:b/>
                <w:bCs/>
                <w:szCs w:val="22"/>
              </w:rPr>
            </w:pPr>
            <w:r w:rsidRPr="00BD6C5F">
              <w:rPr>
                <w:b/>
                <w:bCs/>
                <w:szCs w:val="22"/>
              </w:rPr>
              <w:t>Notice Period</w:t>
            </w:r>
          </w:p>
        </w:tc>
        <w:tc>
          <w:tcPr>
            <w:tcW w:w="3824" w:type="pct"/>
          </w:tcPr>
          <w:p w14:paraId="6D211B20" w14:textId="77777777" w:rsidR="00D67018" w:rsidRPr="00BD6C5F" w:rsidRDefault="00D67018" w:rsidP="00666E78">
            <w:pPr>
              <w:rPr>
                <w:szCs w:val="22"/>
              </w:rPr>
            </w:pPr>
            <w:r w:rsidRPr="00BD6C5F">
              <w:rPr>
                <w:szCs w:val="22"/>
              </w:rPr>
              <w:t>As set out in Table 2: Transfer Details.</w:t>
            </w:r>
          </w:p>
        </w:tc>
      </w:tr>
      <w:tr w:rsidR="00D67018" w:rsidRPr="00BD6C5F" w14:paraId="1DD93818" w14:textId="77777777" w:rsidTr="00666E78">
        <w:tc>
          <w:tcPr>
            <w:tcW w:w="1176" w:type="pct"/>
            <w:shd w:val="clear" w:color="auto" w:fill="F0F0F0"/>
          </w:tcPr>
          <w:p w14:paraId="55123E0B" w14:textId="77777777" w:rsidR="00D67018" w:rsidRPr="00BD6C5F" w:rsidRDefault="00D67018" w:rsidP="00666E78">
            <w:pPr>
              <w:rPr>
                <w:b/>
                <w:bCs/>
                <w:szCs w:val="22"/>
              </w:rPr>
            </w:pPr>
            <w:r w:rsidRPr="00BD6C5F">
              <w:rPr>
                <w:b/>
                <w:bCs/>
                <w:szCs w:val="22"/>
              </w:rPr>
              <w:t>Party/Parties</w:t>
            </w:r>
          </w:p>
        </w:tc>
        <w:tc>
          <w:tcPr>
            <w:tcW w:w="3824" w:type="pct"/>
          </w:tcPr>
          <w:p w14:paraId="37E3163F" w14:textId="77777777" w:rsidR="00D67018" w:rsidRPr="00BD6C5F" w:rsidRDefault="00D67018" w:rsidP="00666E78">
            <w:pPr>
              <w:rPr>
                <w:szCs w:val="22"/>
              </w:rPr>
            </w:pPr>
            <w:r w:rsidRPr="00BD6C5F">
              <w:rPr>
                <w:szCs w:val="22"/>
              </w:rPr>
              <w:t>The parties to this IDTA as set out in Table 1: Parties &amp; Signature.</w:t>
            </w:r>
          </w:p>
        </w:tc>
      </w:tr>
      <w:tr w:rsidR="00D67018" w:rsidRPr="00BD6C5F" w14:paraId="795D6A37" w14:textId="77777777" w:rsidTr="00666E78">
        <w:tc>
          <w:tcPr>
            <w:tcW w:w="1176" w:type="pct"/>
            <w:shd w:val="clear" w:color="auto" w:fill="F0F0F0"/>
          </w:tcPr>
          <w:p w14:paraId="3149B5F4" w14:textId="77777777" w:rsidR="00D67018" w:rsidRPr="00BD6C5F" w:rsidRDefault="00D67018" w:rsidP="00666E78">
            <w:pPr>
              <w:rPr>
                <w:b/>
                <w:bCs/>
                <w:szCs w:val="22"/>
              </w:rPr>
            </w:pPr>
            <w:r w:rsidRPr="00BD6C5F">
              <w:rPr>
                <w:b/>
                <w:bCs/>
                <w:szCs w:val="22"/>
              </w:rPr>
              <w:t>Personal Data</w:t>
            </w:r>
          </w:p>
        </w:tc>
        <w:tc>
          <w:tcPr>
            <w:tcW w:w="3824" w:type="pct"/>
          </w:tcPr>
          <w:p w14:paraId="73D6252F" w14:textId="77777777" w:rsidR="00D67018" w:rsidRPr="00BD6C5F" w:rsidRDefault="00D67018" w:rsidP="00666E78">
            <w:pPr>
              <w:rPr>
                <w:szCs w:val="22"/>
              </w:rPr>
            </w:pPr>
            <w:r w:rsidRPr="00BD6C5F">
              <w:rPr>
                <w:szCs w:val="22"/>
              </w:rPr>
              <w:t>As defined in the UK GDPR.</w:t>
            </w:r>
          </w:p>
        </w:tc>
      </w:tr>
      <w:tr w:rsidR="00D67018" w:rsidRPr="00BD6C5F" w14:paraId="425553C6" w14:textId="77777777" w:rsidTr="00666E78">
        <w:tc>
          <w:tcPr>
            <w:tcW w:w="1176" w:type="pct"/>
            <w:shd w:val="clear" w:color="auto" w:fill="F0F0F0"/>
          </w:tcPr>
          <w:p w14:paraId="0FC0C0C9" w14:textId="77777777" w:rsidR="00D67018" w:rsidRPr="00BD6C5F" w:rsidRDefault="00D67018" w:rsidP="00666E78">
            <w:pPr>
              <w:rPr>
                <w:b/>
                <w:bCs/>
                <w:szCs w:val="22"/>
              </w:rPr>
            </w:pPr>
            <w:r w:rsidRPr="00BD6C5F">
              <w:rPr>
                <w:b/>
                <w:bCs/>
                <w:szCs w:val="22"/>
              </w:rPr>
              <w:t>Personal Data Breach</w:t>
            </w:r>
          </w:p>
        </w:tc>
        <w:tc>
          <w:tcPr>
            <w:tcW w:w="3824" w:type="pct"/>
          </w:tcPr>
          <w:p w14:paraId="70B09BC9" w14:textId="77777777" w:rsidR="00D67018" w:rsidRPr="00BD6C5F" w:rsidRDefault="00D67018" w:rsidP="00666E78">
            <w:pPr>
              <w:rPr>
                <w:szCs w:val="22"/>
              </w:rPr>
            </w:pPr>
            <w:r w:rsidRPr="00BD6C5F">
              <w:rPr>
                <w:szCs w:val="22"/>
              </w:rPr>
              <w:t>As defined in the UK GDPR.</w:t>
            </w:r>
          </w:p>
        </w:tc>
      </w:tr>
      <w:tr w:rsidR="00D67018" w:rsidRPr="00BD6C5F" w14:paraId="45DBE162" w14:textId="77777777" w:rsidTr="00666E78">
        <w:tc>
          <w:tcPr>
            <w:tcW w:w="1176" w:type="pct"/>
            <w:shd w:val="clear" w:color="auto" w:fill="F0F0F0"/>
          </w:tcPr>
          <w:p w14:paraId="5E7BA02E" w14:textId="77777777" w:rsidR="00D67018" w:rsidRPr="00BD6C5F" w:rsidRDefault="00D67018" w:rsidP="00666E78">
            <w:pPr>
              <w:rPr>
                <w:b/>
                <w:bCs/>
                <w:szCs w:val="22"/>
              </w:rPr>
            </w:pPr>
            <w:r w:rsidRPr="00BD6C5F">
              <w:rPr>
                <w:b/>
                <w:bCs/>
                <w:szCs w:val="22"/>
              </w:rPr>
              <w:t>Processing</w:t>
            </w:r>
          </w:p>
        </w:tc>
        <w:tc>
          <w:tcPr>
            <w:tcW w:w="3824" w:type="pct"/>
          </w:tcPr>
          <w:p w14:paraId="47BCE8F7" w14:textId="77777777" w:rsidR="00D67018" w:rsidRPr="00BD6C5F" w:rsidRDefault="00D67018" w:rsidP="00666E78">
            <w:pPr>
              <w:spacing w:after="120"/>
              <w:rPr>
                <w:szCs w:val="22"/>
              </w:rPr>
            </w:pPr>
            <w:r w:rsidRPr="00BD6C5F">
              <w:rPr>
                <w:szCs w:val="22"/>
              </w:rPr>
              <w:t xml:space="preserve">As defined in the UK GDPR. </w:t>
            </w:r>
          </w:p>
          <w:p w14:paraId="354226EB" w14:textId="7D000510" w:rsidR="00D67018" w:rsidRPr="00BD6C5F" w:rsidRDefault="00D67018" w:rsidP="00666E78">
            <w:pPr>
              <w:rPr>
                <w:szCs w:val="22"/>
              </w:rPr>
            </w:pPr>
            <w:r w:rsidRPr="00BD6C5F">
              <w:rPr>
                <w:szCs w:val="22"/>
              </w:rPr>
              <w:t>When the IDTA refers to Processing by the Importer, this includes where a third party Sub-Processor of the Importer is Processing on the Importer</w:t>
            </w:r>
            <w:r w:rsidR="00A4555C" w:rsidRPr="00BD6C5F">
              <w:rPr>
                <w:szCs w:val="22"/>
              </w:rPr>
              <w:t>’</w:t>
            </w:r>
            <w:r w:rsidRPr="00BD6C5F">
              <w:rPr>
                <w:szCs w:val="22"/>
              </w:rPr>
              <w:t>s behalf.</w:t>
            </w:r>
          </w:p>
        </w:tc>
      </w:tr>
      <w:tr w:rsidR="00D67018" w:rsidRPr="00BD6C5F" w14:paraId="5B01DD89" w14:textId="77777777" w:rsidTr="00666E78">
        <w:tc>
          <w:tcPr>
            <w:tcW w:w="1176" w:type="pct"/>
            <w:shd w:val="clear" w:color="auto" w:fill="F0F0F0"/>
          </w:tcPr>
          <w:p w14:paraId="1F62488A" w14:textId="77777777" w:rsidR="00D67018" w:rsidRPr="00BD6C5F" w:rsidRDefault="00D67018" w:rsidP="00666E78">
            <w:pPr>
              <w:rPr>
                <w:b/>
                <w:bCs/>
                <w:szCs w:val="22"/>
              </w:rPr>
            </w:pPr>
            <w:r w:rsidRPr="00BD6C5F">
              <w:rPr>
                <w:b/>
                <w:bCs/>
                <w:szCs w:val="22"/>
              </w:rPr>
              <w:t>Processor</w:t>
            </w:r>
          </w:p>
        </w:tc>
        <w:tc>
          <w:tcPr>
            <w:tcW w:w="3824" w:type="pct"/>
          </w:tcPr>
          <w:p w14:paraId="1885AB1B" w14:textId="77777777" w:rsidR="00D67018" w:rsidRPr="00BD6C5F" w:rsidRDefault="00D67018" w:rsidP="00666E78">
            <w:pPr>
              <w:rPr>
                <w:szCs w:val="22"/>
              </w:rPr>
            </w:pPr>
            <w:r w:rsidRPr="00BD6C5F">
              <w:rPr>
                <w:szCs w:val="22"/>
              </w:rPr>
              <w:t>As defined in the UK GDPR.</w:t>
            </w:r>
          </w:p>
        </w:tc>
      </w:tr>
      <w:tr w:rsidR="00D67018" w:rsidRPr="00BD6C5F" w14:paraId="140F7914" w14:textId="77777777" w:rsidTr="00666E78">
        <w:tc>
          <w:tcPr>
            <w:tcW w:w="1176" w:type="pct"/>
            <w:shd w:val="clear" w:color="auto" w:fill="F0F0F0"/>
          </w:tcPr>
          <w:p w14:paraId="719CA97B" w14:textId="77777777" w:rsidR="00D67018" w:rsidRPr="00BD6C5F" w:rsidRDefault="00D67018" w:rsidP="00666E78">
            <w:pPr>
              <w:rPr>
                <w:b/>
                <w:bCs/>
                <w:szCs w:val="22"/>
              </w:rPr>
            </w:pPr>
            <w:r w:rsidRPr="00BD6C5F">
              <w:rPr>
                <w:b/>
                <w:bCs/>
                <w:szCs w:val="22"/>
              </w:rPr>
              <w:t>Purpose</w:t>
            </w:r>
          </w:p>
        </w:tc>
        <w:tc>
          <w:tcPr>
            <w:tcW w:w="3824" w:type="pct"/>
          </w:tcPr>
          <w:p w14:paraId="221ED649" w14:textId="3FE95DA1" w:rsidR="00D67018" w:rsidRPr="00BD6C5F" w:rsidRDefault="00D67018" w:rsidP="00666E78">
            <w:pPr>
              <w:rPr>
                <w:szCs w:val="22"/>
              </w:rPr>
            </w:pPr>
            <w:r w:rsidRPr="00BD6C5F">
              <w:rPr>
                <w:szCs w:val="22"/>
              </w:rPr>
              <w:t xml:space="preserve">The </w:t>
            </w:r>
            <w:r w:rsidR="00A4555C" w:rsidRPr="00BD6C5F">
              <w:rPr>
                <w:szCs w:val="22"/>
              </w:rPr>
              <w:t>‘</w:t>
            </w:r>
            <w:r w:rsidRPr="00BD6C5F">
              <w:rPr>
                <w:szCs w:val="22"/>
              </w:rPr>
              <w:t>Purpose</w:t>
            </w:r>
            <w:r w:rsidR="00A4555C" w:rsidRPr="00BD6C5F">
              <w:rPr>
                <w:szCs w:val="22"/>
              </w:rPr>
              <w:t>’</w:t>
            </w:r>
            <w:r w:rsidRPr="00BD6C5F">
              <w:rPr>
                <w:szCs w:val="22"/>
              </w:rPr>
              <w:t xml:space="preserve"> set out in Table 2: Transfer Details, including any purposes which are not incompatible with the purposes stated or referred to.</w:t>
            </w:r>
          </w:p>
        </w:tc>
      </w:tr>
      <w:tr w:rsidR="00D67018" w:rsidRPr="00BD6C5F" w14:paraId="7006DC08" w14:textId="77777777" w:rsidTr="00666E78">
        <w:tc>
          <w:tcPr>
            <w:tcW w:w="1176" w:type="pct"/>
            <w:shd w:val="clear" w:color="auto" w:fill="F0F0F0"/>
          </w:tcPr>
          <w:p w14:paraId="30A49D7A" w14:textId="77777777" w:rsidR="00D67018" w:rsidRPr="00BD6C5F" w:rsidRDefault="00D67018" w:rsidP="00666E78">
            <w:pPr>
              <w:rPr>
                <w:b/>
                <w:bCs/>
                <w:szCs w:val="22"/>
              </w:rPr>
            </w:pPr>
            <w:r w:rsidRPr="00BD6C5F">
              <w:rPr>
                <w:b/>
                <w:bCs/>
                <w:szCs w:val="22"/>
              </w:rPr>
              <w:t>Relevant Data Subject</w:t>
            </w:r>
          </w:p>
        </w:tc>
        <w:tc>
          <w:tcPr>
            <w:tcW w:w="3824" w:type="pct"/>
          </w:tcPr>
          <w:p w14:paraId="363A276A" w14:textId="77777777" w:rsidR="00D67018" w:rsidRPr="00BD6C5F" w:rsidRDefault="00D67018" w:rsidP="00666E78">
            <w:pPr>
              <w:rPr>
                <w:szCs w:val="22"/>
              </w:rPr>
            </w:pPr>
            <w:r w:rsidRPr="00BD6C5F">
              <w:rPr>
                <w:szCs w:val="22"/>
              </w:rPr>
              <w:t>A Data Subject of the Transferred Data.</w:t>
            </w:r>
          </w:p>
        </w:tc>
      </w:tr>
      <w:tr w:rsidR="00D67018" w:rsidRPr="00BD6C5F" w14:paraId="5367D997" w14:textId="77777777" w:rsidTr="00666E78">
        <w:tc>
          <w:tcPr>
            <w:tcW w:w="1176" w:type="pct"/>
            <w:shd w:val="clear" w:color="auto" w:fill="F0F0F0"/>
          </w:tcPr>
          <w:p w14:paraId="52340688" w14:textId="77777777" w:rsidR="00D67018" w:rsidRPr="00BD6C5F" w:rsidRDefault="00D67018" w:rsidP="00666E78">
            <w:pPr>
              <w:rPr>
                <w:b/>
                <w:bCs/>
                <w:szCs w:val="22"/>
              </w:rPr>
            </w:pPr>
            <w:r w:rsidRPr="00BD6C5F">
              <w:rPr>
                <w:b/>
                <w:bCs/>
                <w:szCs w:val="22"/>
              </w:rPr>
              <w:t>Restricted Transfer</w:t>
            </w:r>
          </w:p>
        </w:tc>
        <w:tc>
          <w:tcPr>
            <w:tcW w:w="3824" w:type="pct"/>
          </w:tcPr>
          <w:p w14:paraId="30EB7157" w14:textId="77777777" w:rsidR="00D67018" w:rsidRPr="00BD6C5F" w:rsidRDefault="00D67018" w:rsidP="00666E78">
            <w:pPr>
              <w:rPr>
                <w:szCs w:val="22"/>
              </w:rPr>
            </w:pPr>
            <w:r w:rsidRPr="00BD6C5F">
              <w:rPr>
                <w:szCs w:val="22"/>
              </w:rPr>
              <w:t>A transfer which is covered by Chapter V of the UK GDPR</w:t>
            </w:r>
          </w:p>
        </w:tc>
      </w:tr>
      <w:tr w:rsidR="00D67018" w:rsidRPr="00BD6C5F" w14:paraId="43186FFC" w14:textId="77777777" w:rsidTr="00666E78">
        <w:tc>
          <w:tcPr>
            <w:tcW w:w="1176" w:type="pct"/>
            <w:shd w:val="clear" w:color="auto" w:fill="F0F0F0"/>
          </w:tcPr>
          <w:p w14:paraId="52135E88" w14:textId="77777777" w:rsidR="00D67018" w:rsidRPr="00BD6C5F" w:rsidRDefault="00D67018" w:rsidP="00666E78">
            <w:pPr>
              <w:rPr>
                <w:b/>
                <w:bCs/>
                <w:szCs w:val="22"/>
              </w:rPr>
            </w:pPr>
            <w:r w:rsidRPr="00BD6C5F">
              <w:rPr>
                <w:b/>
                <w:bCs/>
                <w:szCs w:val="22"/>
              </w:rPr>
              <w:t>Review Dates</w:t>
            </w:r>
          </w:p>
        </w:tc>
        <w:tc>
          <w:tcPr>
            <w:tcW w:w="3824" w:type="pct"/>
          </w:tcPr>
          <w:p w14:paraId="4C1E57BB" w14:textId="77777777" w:rsidR="00D67018" w:rsidRPr="00BD6C5F" w:rsidRDefault="00D67018" w:rsidP="00666E78">
            <w:pPr>
              <w:rPr>
                <w:szCs w:val="22"/>
              </w:rPr>
            </w:pPr>
            <w:r w:rsidRPr="00BD6C5F">
              <w:rPr>
                <w:szCs w:val="22"/>
              </w:rPr>
              <w:t>The review dates or period for the Security Requirements set out in Table 2: Transfer Details, and any review dates set out in any revised Approved IDTA.</w:t>
            </w:r>
          </w:p>
        </w:tc>
      </w:tr>
      <w:tr w:rsidR="00D67018" w:rsidRPr="00BD6C5F" w14:paraId="63D73444" w14:textId="77777777" w:rsidTr="00666E78">
        <w:tc>
          <w:tcPr>
            <w:tcW w:w="1176" w:type="pct"/>
            <w:shd w:val="clear" w:color="auto" w:fill="F0F0F0"/>
          </w:tcPr>
          <w:p w14:paraId="1B8CE23A" w14:textId="77777777" w:rsidR="00D67018" w:rsidRPr="00BD6C5F" w:rsidRDefault="00D67018" w:rsidP="00666E78">
            <w:pPr>
              <w:rPr>
                <w:b/>
                <w:bCs/>
                <w:szCs w:val="22"/>
              </w:rPr>
            </w:pPr>
            <w:r w:rsidRPr="00BD6C5F">
              <w:rPr>
                <w:b/>
                <w:bCs/>
                <w:szCs w:val="22"/>
              </w:rPr>
              <w:t>Significant Harmful Impact</w:t>
            </w:r>
          </w:p>
        </w:tc>
        <w:tc>
          <w:tcPr>
            <w:tcW w:w="3824" w:type="pct"/>
          </w:tcPr>
          <w:p w14:paraId="06CF9015" w14:textId="0B032EF4" w:rsidR="00D67018" w:rsidRPr="00BD6C5F" w:rsidRDefault="00D67018" w:rsidP="00666E78">
            <w:pPr>
              <w:rPr>
                <w:szCs w:val="22"/>
              </w:rPr>
            </w:pPr>
            <w:r w:rsidRPr="00BD6C5F">
              <w:rPr>
                <w:szCs w:val="22"/>
              </w:rPr>
              <w:t xml:space="preserve">As defined in Section </w:t>
            </w:r>
            <w:r w:rsidR="0010425E" w:rsidRPr="00BD6C5F">
              <w:rPr>
                <w:szCs w:val="22"/>
                <w:cs/>
              </w:rPr>
              <w:t>‎</w:t>
            </w:r>
            <w:r w:rsidR="0010425E" w:rsidRPr="00BD6C5F">
              <w:rPr>
                <w:szCs w:val="22"/>
              </w:rPr>
              <w:t>26.2</w:t>
            </w:r>
            <w:r w:rsidRPr="00BD6C5F">
              <w:rPr>
                <w:szCs w:val="22"/>
              </w:rPr>
              <w:t xml:space="preserve"> as where there is more than a minimal risk of the breach causing (directly or indirectly) significant harm to any Relevant Data Subject or the other Party.</w:t>
            </w:r>
          </w:p>
        </w:tc>
      </w:tr>
      <w:tr w:rsidR="00D67018" w:rsidRPr="00BD6C5F" w14:paraId="7229CF56" w14:textId="77777777" w:rsidTr="00666E78">
        <w:tc>
          <w:tcPr>
            <w:tcW w:w="1176" w:type="pct"/>
            <w:shd w:val="clear" w:color="auto" w:fill="F0F0F0"/>
          </w:tcPr>
          <w:p w14:paraId="51FD0F36" w14:textId="77777777" w:rsidR="00D67018" w:rsidRPr="00BD6C5F" w:rsidRDefault="00D67018" w:rsidP="00666E78">
            <w:pPr>
              <w:rPr>
                <w:b/>
                <w:bCs/>
                <w:szCs w:val="22"/>
              </w:rPr>
            </w:pPr>
            <w:r w:rsidRPr="00BD6C5F">
              <w:rPr>
                <w:b/>
                <w:bCs/>
                <w:szCs w:val="22"/>
              </w:rPr>
              <w:t>Special Category Data</w:t>
            </w:r>
          </w:p>
        </w:tc>
        <w:tc>
          <w:tcPr>
            <w:tcW w:w="3824" w:type="pct"/>
          </w:tcPr>
          <w:p w14:paraId="743D63C7" w14:textId="77777777" w:rsidR="00D67018" w:rsidRPr="00BD6C5F" w:rsidRDefault="00D67018" w:rsidP="00666E78">
            <w:pPr>
              <w:rPr>
                <w:szCs w:val="22"/>
              </w:rPr>
            </w:pPr>
            <w:r w:rsidRPr="00BD6C5F">
              <w:rPr>
                <w:szCs w:val="22"/>
              </w:rPr>
              <w:t>As described in the UK GDPR, together with criminal conviction or criminal offence data.</w:t>
            </w:r>
          </w:p>
        </w:tc>
      </w:tr>
      <w:tr w:rsidR="00D67018" w:rsidRPr="00BD6C5F" w14:paraId="2DA01CA9" w14:textId="77777777" w:rsidTr="00666E78">
        <w:tc>
          <w:tcPr>
            <w:tcW w:w="1176" w:type="pct"/>
            <w:shd w:val="clear" w:color="auto" w:fill="F0F0F0"/>
          </w:tcPr>
          <w:p w14:paraId="490414CC" w14:textId="77777777" w:rsidR="00D67018" w:rsidRPr="00BD6C5F" w:rsidRDefault="00D67018" w:rsidP="00666E78">
            <w:pPr>
              <w:rPr>
                <w:b/>
                <w:bCs/>
                <w:szCs w:val="22"/>
              </w:rPr>
            </w:pPr>
            <w:r w:rsidRPr="00BD6C5F">
              <w:rPr>
                <w:b/>
                <w:bCs/>
                <w:szCs w:val="22"/>
              </w:rPr>
              <w:t>Start Date</w:t>
            </w:r>
          </w:p>
        </w:tc>
        <w:tc>
          <w:tcPr>
            <w:tcW w:w="3824" w:type="pct"/>
          </w:tcPr>
          <w:p w14:paraId="3C9EA802" w14:textId="77777777" w:rsidR="00D67018" w:rsidRPr="00BD6C5F" w:rsidRDefault="00D67018" w:rsidP="00666E78">
            <w:pPr>
              <w:rPr>
                <w:szCs w:val="22"/>
              </w:rPr>
            </w:pPr>
            <w:r w:rsidRPr="00BD6C5F">
              <w:rPr>
                <w:szCs w:val="22"/>
              </w:rPr>
              <w:t>As set out in Table 1: Parties and signature.</w:t>
            </w:r>
          </w:p>
        </w:tc>
      </w:tr>
      <w:tr w:rsidR="00D67018" w:rsidRPr="00BD6C5F" w14:paraId="555358A1" w14:textId="77777777" w:rsidTr="00666E78">
        <w:tc>
          <w:tcPr>
            <w:tcW w:w="1176" w:type="pct"/>
            <w:shd w:val="clear" w:color="auto" w:fill="F0F0F0"/>
          </w:tcPr>
          <w:p w14:paraId="72784141" w14:textId="77777777" w:rsidR="00D67018" w:rsidRPr="00BD6C5F" w:rsidRDefault="00D67018" w:rsidP="00666E78">
            <w:pPr>
              <w:rPr>
                <w:b/>
                <w:bCs/>
                <w:szCs w:val="22"/>
              </w:rPr>
            </w:pPr>
            <w:r w:rsidRPr="00BD6C5F">
              <w:rPr>
                <w:b/>
                <w:bCs/>
                <w:szCs w:val="22"/>
              </w:rPr>
              <w:t>Sub-Processor</w:t>
            </w:r>
          </w:p>
        </w:tc>
        <w:tc>
          <w:tcPr>
            <w:tcW w:w="3824" w:type="pct"/>
          </w:tcPr>
          <w:p w14:paraId="0A6C4DDB" w14:textId="77777777" w:rsidR="00D67018" w:rsidRPr="00BD6C5F" w:rsidRDefault="00D67018" w:rsidP="00666E78">
            <w:pPr>
              <w:spacing w:after="120"/>
              <w:rPr>
                <w:rFonts w:asciiTheme="minorHAnsi" w:hAnsiTheme="minorHAnsi" w:cstheme="minorHAnsi"/>
              </w:rPr>
            </w:pPr>
            <w:r w:rsidRPr="00BD6C5F">
              <w:rPr>
                <w:rFonts w:asciiTheme="minorHAnsi" w:hAnsiTheme="minorHAnsi" w:cstheme="minorHAnsi"/>
              </w:rPr>
              <w:t xml:space="preserve">A </w:t>
            </w:r>
            <w:r w:rsidRPr="00BD6C5F">
              <w:rPr>
                <w:szCs w:val="22"/>
              </w:rPr>
              <w:t>Processor</w:t>
            </w:r>
            <w:r w:rsidRPr="00BD6C5F">
              <w:rPr>
                <w:rFonts w:asciiTheme="minorHAnsi" w:hAnsiTheme="minorHAnsi" w:cstheme="minorHAnsi"/>
              </w:rPr>
              <w:t xml:space="preserve"> appointed by another Processor to Process Personal Data on its behalf.</w:t>
            </w:r>
          </w:p>
          <w:p w14:paraId="77F38C1E"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This includes Sub-Processors of any level, for example a Sub-Sub-</w:t>
            </w:r>
            <w:r w:rsidRPr="00BD6C5F">
              <w:rPr>
                <w:szCs w:val="22"/>
              </w:rPr>
              <w:t>Processor</w:t>
            </w:r>
            <w:r w:rsidRPr="00BD6C5F">
              <w:rPr>
                <w:rFonts w:asciiTheme="minorHAnsi" w:hAnsiTheme="minorHAnsi" w:cstheme="minorHAnsi"/>
              </w:rPr>
              <w:t>.</w:t>
            </w:r>
          </w:p>
        </w:tc>
      </w:tr>
      <w:tr w:rsidR="00D67018" w:rsidRPr="00BD6C5F" w14:paraId="5E1ED059" w14:textId="77777777" w:rsidTr="00666E78">
        <w:tc>
          <w:tcPr>
            <w:tcW w:w="1176" w:type="pct"/>
            <w:shd w:val="clear" w:color="auto" w:fill="F0F0F0"/>
          </w:tcPr>
          <w:p w14:paraId="797BEA88" w14:textId="77777777" w:rsidR="00D67018" w:rsidRPr="00BD6C5F" w:rsidRDefault="00D67018" w:rsidP="00666E78">
            <w:pPr>
              <w:rPr>
                <w:b/>
                <w:bCs/>
                <w:szCs w:val="22"/>
              </w:rPr>
            </w:pPr>
            <w:r w:rsidRPr="00BD6C5F">
              <w:rPr>
                <w:b/>
                <w:bCs/>
                <w:szCs w:val="22"/>
              </w:rPr>
              <w:t>Tables</w:t>
            </w:r>
          </w:p>
        </w:tc>
        <w:tc>
          <w:tcPr>
            <w:tcW w:w="3824" w:type="pct"/>
          </w:tcPr>
          <w:p w14:paraId="21E15FA4"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The Tables </w:t>
            </w:r>
            <w:r w:rsidRPr="00BD6C5F">
              <w:rPr>
                <w:szCs w:val="22"/>
              </w:rPr>
              <w:t>set</w:t>
            </w:r>
            <w:r w:rsidRPr="00BD6C5F">
              <w:rPr>
                <w:rFonts w:asciiTheme="minorHAnsi" w:hAnsiTheme="minorHAnsi" w:cstheme="minorHAnsi"/>
              </w:rPr>
              <w:t xml:space="preserve"> out in Part one of this IDTA.</w:t>
            </w:r>
          </w:p>
        </w:tc>
      </w:tr>
      <w:tr w:rsidR="00D67018" w:rsidRPr="00BD6C5F" w14:paraId="01366EE9" w14:textId="77777777" w:rsidTr="00666E78">
        <w:tc>
          <w:tcPr>
            <w:tcW w:w="1176" w:type="pct"/>
            <w:shd w:val="clear" w:color="auto" w:fill="F0F0F0"/>
          </w:tcPr>
          <w:p w14:paraId="5F2BC1E5" w14:textId="77777777" w:rsidR="00D67018" w:rsidRPr="00BD6C5F" w:rsidRDefault="00D67018" w:rsidP="00666E78">
            <w:pPr>
              <w:rPr>
                <w:b/>
                <w:bCs/>
                <w:szCs w:val="22"/>
              </w:rPr>
            </w:pPr>
            <w:r w:rsidRPr="00BD6C5F">
              <w:rPr>
                <w:b/>
                <w:bCs/>
                <w:szCs w:val="22"/>
              </w:rPr>
              <w:t>Term</w:t>
            </w:r>
          </w:p>
        </w:tc>
        <w:tc>
          <w:tcPr>
            <w:tcW w:w="3824" w:type="pct"/>
          </w:tcPr>
          <w:p w14:paraId="2CBA46AF"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As set out in Table 2: Transfer Details.</w:t>
            </w:r>
          </w:p>
        </w:tc>
      </w:tr>
      <w:tr w:rsidR="00D67018" w:rsidRPr="00BD6C5F" w14:paraId="7AAF0C47" w14:textId="77777777" w:rsidTr="00666E78">
        <w:tc>
          <w:tcPr>
            <w:tcW w:w="1176" w:type="pct"/>
            <w:shd w:val="clear" w:color="auto" w:fill="F0F0F0"/>
          </w:tcPr>
          <w:p w14:paraId="20499120" w14:textId="77777777" w:rsidR="00D67018" w:rsidRPr="00BD6C5F" w:rsidRDefault="00D67018" w:rsidP="00666E78">
            <w:pPr>
              <w:rPr>
                <w:b/>
                <w:bCs/>
                <w:szCs w:val="22"/>
              </w:rPr>
            </w:pPr>
            <w:r w:rsidRPr="00BD6C5F">
              <w:rPr>
                <w:b/>
                <w:bCs/>
                <w:szCs w:val="22"/>
              </w:rPr>
              <w:t>Third Party Controller</w:t>
            </w:r>
          </w:p>
        </w:tc>
        <w:tc>
          <w:tcPr>
            <w:tcW w:w="3824" w:type="pct"/>
          </w:tcPr>
          <w:p w14:paraId="4151401C" w14:textId="77777777" w:rsidR="00D67018" w:rsidRPr="00BD6C5F" w:rsidRDefault="00D67018" w:rsidP="00666E78">
            <w:pPr>
              <w:spacing w:after="120"/>
              <w:rPr>
                <w:rFonts w:asciiTheme="minorHAnsi" w:hAnsiTheme="minorHAnsi" w:cstheme="minorHAnsi"/>
              </w:rPr>
            </w:pPr>
            <w:r w:rsidRPr="00BD6C5F">
              <w:rPr>
                <w:rFonts w:asciiTheme="minorHAnsi" w:hAnsiTheme="minorHAnsi" w:cstheme="minorHAnsi"/>
              </w:rPr>
              <w:t>The Controller of the Transferred Data where the Exporter is a Processor or Sub-Processor</w:t>
            </w:r>
          </w:p>
          <w:p w14:paraId="65153C16"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If there is not a </w:t>
            </w:r>
            <w:r w:rsidRPr="00BD6C5F">
              <w:rPr>
                <w:szCs w:val="22"/>
              </w:rPr>
              <w:t>Third</w:t>
            </w:r>
            <w:r w:rsidRPr="00BD6C5F">
              <w:rPr>
                <w:rFonts w:asciiTheme="minorHAnsi" w:hAnsiTheme="minorHAnsi" w:cstheme="minorHAnsi"/>
              </w:rPr>
              <w:t xml:space="preserve"> Party Controller this can be disregarded.</w:t>
            </w:r>
          </w:p>
        </w:tc>
      </w:tr>
      <w:tr w:rsidR="00D67018" w:rsidRPr="00BD6C5F" w14:paraId="4352D435" w14:textId="77777777" w:rsidTr="00666E78">
        <w:tc>
          <w:tcPr>
            <w:tcW w:w="1176" w:type="pct"/>
            <w:shd w:val="clear" w:color="auto" w:fill="F0F0F0"/>
          </w:tcPr>
          <w:p w14:paraId="2876FC67" w14:textId="77777777" w:rsidR="00D67018" w:rsidRPr="00BD6C5F" w:rsidRDefault="00D67018" w:rsidP="00666E78">
            <w:pPr>
              <w:rPr>
                <w:b/>
                <w:bCs/>
                <w:szCs w:val="22"/>
              </w:rPr>
            </w:pPr>
            <w:r w:rsidRPr="00BD6C5F">
              <w:rPr>
                <w:b/>
                <w:bCs/>
                <w:szCs w:val="22"/>
              </w:rPr>
              <w:t>Transfer Risk Assessment or TRA</w:t>
            </w:r>
          </w:p>
        </w:tc>
        <w:tc>
          <w:tcPr>
            <w:tcW w:w="3824" w:type="pct"/>
          </w:tcPr>
          <w:p w14:paraId="77BDB197" w14:textId="77777777" w:rsidR="00D67018" w:rsidRPr="00BD6C5F" w:rsidRDefault="00D67018" w:rsidP="00666E78">
            <w:pPr>
              <w:rPr>
                <w:szCs w:val="22"/>
              </w:rPr>
            </w:pPr>
            <w:r w:rsidRPr="00BD6C5F">
              <w:rPr>
                <w:szCs w:val="22"/>
              </w:rPr>
              <w:t>A risk assessment in so far as it is required by UK Data Protection Laws to demonstrate that the IDTA provides the Appropriate Safeguards</w:t>
            </w:r>
          </w:p>
        </w:tc>
      </w:tr>
      <w:tr w:rsidR="00D67018" w:rsidRPr="00BD6C5F" w14:paraId="45D957B8" w14:textId="77777777" w:rsidTr="00666E78">
        <w:tc>
          <w:tcPr>
            <w:tcW w:w="1176" w:type="pct"/>
            <w:shd w:val="clear" w:color="auto" w:fill="F0F0F0"/>
          </w:tcPr>
          <w:p w14:paraId="5BA3D3E3" w14:textId="77777777" w:rsidR="00D67018" w:rsidRPr="00BD6C5F" w:rsidRDefault="00D67018" w:rsidP="00666E78">
            <w:pPr>
              <w:rPr>
                <w:b/>
                <w:bCs/>
                <w:szCs w:val="22"/>
              </w:rPr>
            </w:pPr>
            <w:r w:rsidRPr="00BD6C5F">
              <w:rPr>
                <w:b/>
                <w:bCs/>
                <w:szCs w:val="22"/>
              </w:rPr>
              <w:lastRenderedPageBreak/>
              <w:t>Transferred Data</w:t>
            </w:r>
          </w:p>
        </w:tc>
        <w:tc>
          <w:tcPr>
            <w:tcW w:w="3824" w:type="pct"/>
          </w:tcPr>
          <w:p w14:paraId="3704951D" w14:textId="77777777" w:rsidR="00D67018" w:rsidRPr="00BD6C5F" w:rsidRDefault="00D67018" w:rsidP="00666E78">
            <w:pPr>
              <w:rPr>
                <w:szCs w:val="22"/>
              </w:rPr>
            </w:pPr>
            <w:r w:rsidRPr="00BD6C5F">
              <w:rPr>
                <w:szCs w:val="22"/>
              </w:rPr>
              <w:t xml:space="preserve">Any Personal Data which the Parties transfer, or intend to transfer under this IDTA, as described in Table 2: Transfer Details </w:t>
            </w:r>
          </w:p>
        </w:tc>
      </w:tr>
      <w:tr w:rsidR="00D67018" w:rsidRPr="00BD6C5F" w14:paraId="73F9083C" w14:textId="77777777" w:rsidTr="00666E78">
        <w:tc>
          <w:tcPr>
            <w:tcW w:w="1176" w:type="pct"/>
            <w:shd w:val="clear" w:color="auto" w:fill="F0F0F0"/>
          </w:tcPr>
          <w:p w14:paraId="3E07140C" w14:textId="77777777" w:rsidR="00D67018" w:rsidRPr="00BD6C5F" w:rsidRDefault="00D67018" w:rsidP="00666E78">
            <w:pPr>
              <w:rPr>
                <w:b/>
                <w:bCs/>
                <w:szCs w:val="22"/>
              </w:rPr>
            </w:pPr>
            <w:r w:rsidRPr="00BD6C5F">
              <w:rPr>
                <w:b/>
                <w:bCs/>
                <w:szCs w:val="22"/>
              </w:rPr>
              <w:t>UK Data Protection Laws</w:t>
            </w:r>
          </w:p>
        </w:tc>
        <w:tc>
          <w:tcPr>
            <w:tcW w:w="3824" w:type="pct"/>
          </w:tcPr>
          <w:p w14:paraId="3098E0E9" w14:textId="77777777" w:rsidR="00D67018" w:rsidRPr="00BD6C5F" w:rsidRDefault="00D67018" w:rsidP="00666E78">
            <w:pPr>
              <w:rPr>
                <w:szCs w:val="22"/>
              </w:rPr>
            </w:pPr>
            <w:r w:rsidRPr="00BD6C5F">
              <w:rPr>
                <w:szCs w:val="22"/>
              </w:rPr>
              <w:t xml:space="preserve">All laws relating to data protection, the processing of personal data, privacy and/or electronic communications in force from time to time in the UK, including the UK GDPR and the </w:t>
            </w:r>
            <w:bookmarkStart w:id="2115" w:name="_9kR3WTr27745DR2pqNZ58zjz628VF5WRRa"/>
            <w:r w:rsidRPr="00BD6C5F">
              <w:rPr>
                <w:szCs w:val="22"/>
              </w:rPr>
              <w:t>Data Protection Act 2018</w:t>
            </w:r>
            <w:bookmarkEnd w:id="2115"/>
            <w:r w:rsidRPr="00BD6C5F">
              <w:rPr>
                <w:szCs w:val="22"/>
              </w:rPr>
              <w:t>.</w:t>
            </w:r>
          </w:p>
        </w:tc>
      </w:tr>
      <w:tr w:rsidR="00D67018" w:rsidRPr="00BD6C5F" w14:paraId="45609573" w14:textId="77777777" w:rsidTr="00666E78">
        <w:tc>
          <w:tcPr>
            <w:tcW w:w="1176" w:type="pct"/>
            <w:shd w:val="clear" w:color="auto" w:fill="F0F0F0"/>
          </w:tcPr>
          <w:p w14:paraId="33BDCB7A" w14:textId="77777777" w:rsidR="00D67018" w:rsidRPr="00BD6C5F" w:rsidRDefault="00D67018" w:rsidP="00666E78">
            <w:pPr>
              <w:rPr>
                <w:b/>
                <w:bCs/>
                <w:szCs w:val="22"/>
              </w:rPr>
            </w:pPr>
            <w:r w:rsidRPr="00BD6C5F">
              <w:rPr>
                <w:b/>
                <w:bCs/>
                <w:szCs w:val="22"/>
              </w:rPr>
              <w:t>UK GDPR</w:t>
            </w:r>
          </w:p>
        </w:tc>
        <w:tc>
          <w:tcPr>
            <w:tcW w:w="3824" w:type="pct"/>
          </w:tcPr>
          <w:p w14:paraId="1333CD88" w14:textId="77777777" w:rsidR="00D67018" w:rsidRPr="00BD6C5F" w:rsidRDefault="00D67018" w:rsidP="00666E78">
            <w:pPr>
              <w:rPr>
                <w:szCs w:val="22"/>
              </w:rPr>
            </w:pPr>
            <w:r w:rsidRPr="00BD6C5F">
              <w:rPr>
                <w:szCs w:val="22"/>
              </w:rPr>
              <w:t>As defined in Section 3 of the Data Protection Act 2018.</w:t>
            </w:r>
          </w:p>
        </w:tc>
      </w:tr>
      <w:tr w:rsidR="00D67018" w:rsidRPr="00BD6C5F" w14:paraId="764A357E" w14:textId="77777777" w:rsidTr="00666E78">
        <w:tc>
          <w:tcPr>
            <w:tcW w:w="1176" w:type="pct"/>
            <w:shd w:val="clear" w:color="auto" w:fill="F0F0F0"/>
          </w:tcPr>
          <w:p w14:paraId="25523BB7" w14:textId="77777777" w:rsidR="00D67018" w:rsidRPr="00BD6C5F" w:rsidRDefault="00D67018" w:rsidP="00666E78">
            <w:pPr>
              <w:rPr>
                <w:b/>
                <w:bCs/>
                <w:szCs w:val="22"/>
              </w:rPr>
            </w:pPr>
            <w:r w:rsidRPr="00BD6C5F">
              <w:rPr>
                <w:b/>
                <w:bCs/>
                <w:szCs w:val="22"/>
              </w:rPr>
              <w:t xml:space="preserve">Without Undue Delay </w:t>
            </w:r>
          </w:p>
        </w:tc>
        <w:tc>
          <w:tcPr>
            <w:tcW w:w="3824" w:type="pct"/>
          </w:tcPr>
          <w:p w14:paraId="5EC99446" w14:textId="77777777" w:rsidR="00D67018" w:rsidRPr="00BD6C5F" w:rsidRDefault="00D67018" w:rsidP="00666E78">
            <w:pPr>
              <w:rPr>
                <w:rFonts w:asciiTheme="minorHAnsi" w:hAnsiTheme="minorHAnsi" w:cstheme="minorHAnsi"/>
              </w:rPr>
            </w:pPr>
            <w:r w:rsidRPr="00BD6C5F">
              <w:rPr>
                <w:rFonts w:asciiTheme="minorHAnsi" w:hAnsiTheme="minorHAnsi" w:cstheme="minorHAnsi"/>
              </w:rPr>
              <w:t>Without undue delay, as that phase is interpreted in the UK GDPR.</w:t>
            </w:r>
          </w:p>
        </w:tc>
      </w:tr>
    </w:tbl>
    <w:p w14:paraId="17F30A7A" w14:textId="36133894" w:rsidR="00D67018" w:rsidRPr="00BD6C5F" w:rsidRDefault="00D67018" w:rsidP="00CA416F">
      <w:pPr>
        <w:keepNext/>
        <w:keepLines/>
        <w:spacing w:before="120" w:after="120"/>
        <w:rPr>
          <w:b/>
          <w:bCs/>
        </w:rPr>
      </w:pPr>
      <w:r w:rsidRPr="00BD6C5F">
        <w:rPr>
          <w:b/>
          <w:bCs/>
        </w:rPr>
        <w:t>Alternative Part 4 Mandatory Clauses:</w:t>
      </w:r>
      <w:bookmarkEnd w:id="1885"/>
    </w:p>
    <w:tbl>
      <w:tblPr>
        <w:tblStyle w:val="MSATable-header"/>
        <w:tblW w:w="5003" w:type="pct"/>
        <w:tblLook w:val="0600" w:firstRow="0" w:lastRow="0" w:firstColumn="0" w:lastColumn="0" w:noHBand="1" w:noVBand="1"/>
      </w:tblPr>
      <w:tblGrid>
        <w:gridCol w:w="2400"/>
        <w:gridCol w:w="7804"/>
      </w:tblGrid>
      <w:tr w:rsidR="00D67018" w:rsidRPr="00BD6C5F" w14:paraId="16D3C82E" w14:textId="77777777" w:rsidTr="00666E78">
        <w:tc>
          <w:tcPr>
            <w:tcW w:w="1176" w:type="pct"/>
            <w:shd w:val="clear" w:color="auto" w:fill="F0F0F0"/>
          </w:tcPr>
          <w:p w14:paraId="61E5ACC8" w14:textId="77777777" w:rsidR="00D67018" w:rsidRPr="00BD6C5F" w:rsidRDefault="00D67018" w:rsidP="00666E78">
            <w:pPr>
              <w:rPr>
                <w:b/>
                <w:bCs/>
                <w:szCs w:val="22"/>
              </w:rPr>
            </w:pPr>
            <w:r w:rsidRPr="00BD6C5F">
              <w:rPr>
                <w:b/>
                <w:bCs/>
                <w:szCs w:val="22"/>
              </w:rPr>
              <w:t>Mandatory Clauses</w:t>
            </w:r>
          </w:p>
        </w:tc>
        <w:tc>
          <w:tcPr>
            <w:tcW w:w="3824" w:type="pct"/>
          </w:tcPr>
          <w:p w14:paraId="432252EB" w14:textId="268C07C2" w:rsidR="00D67018" w:rsidRPr="00BD6C5F" w:rsidRDefault="00D67018" w:rsidP="00666E78">
            <w:pPr>
              <w:rPr>
                <w:rFonts w:asciiTheme="minorHAnsi" w:hAnsiTheme="minorHAnsi" w:cstheme="minorHAnsi"/>
              </w:rPr>
            </w:pPr>
            <w:r w:rsidRPr="00BD6C5F">
              <w:rPr>
                <w:rFonts w:asciiTheme="minorHAnsi" w:hAnsiTheme="minorHAnsi" w:cstheme="minorHAnsi"/>
              </w:rPr>
              <w:t xml:space="preserve">Part 4: Mandatory Clauses of the Approved IDTA, being the template IDTA A.1.0 issued by the ICO and laid before Parliament in accordance with s119A of the Data Protection Act 2018 on 2 February 2022, as it is revised under Section </w:t>
            </w:r>
            <w:r w:rsidRPr="00BD6C5F">
              <w:rPr>
                <w:rFonts w:asciiTheme="minorHAnsi" w:hAnsiTheme="minorHAnsi" w:cstheme="minorHAnsi"/>
                <w:cs/>
              </w:rPr>
              <w:t>‎</w:t>
            </w:r>
            <w:r w:rsidR="0010425E" w:rsidRPr="00BD6C5F">
              <w:rPr>
                <w:rFonts w:asciiTheme="minorHAnsi" w:hAnsiTheme="minorHAnsi" w:cstheme="minorHAnsi"/>
                <w:cs/>
              </w:rPr>
              <w:t>‎</w:t>
            </w:r>
            <w:r w:rsidR="0010425E" w:rsidRPr="00BD6C5F">
              <w:rPr>
                <w:rFonts w:asciiTheme="minorHAnsi" w:hAnsiTheme="minorHAnsi" w:cstheme="minorHAnsi"/>
              </w:rPr>
              <w:t>5.4</w:t>
            </w:r>
            <w:r w:rsidRPr="00BD6C5F">
              <w:rPr>
                <w:rFonts w:asciiTheme="minorHAnsi" w:hAnsiTheme="minorHAnsi" w:cstheme="minorHAnsi"/>
              </w:rPr>
              <w:t xml:space="preserve"> of those Mandatory Clauses.</w:t>
            </w:r>
          </w:p>
        </w:tc>
      </w:tr>
    </w:tbl>
    <w:p w14:paraId="55B35923" w14:textId="77777777" w:rsidR="00D67018" w:rsidRPr="00BD6C5F" w:rsidRDefault="00D67018" w:rsidP="002D1427"/>
    <w:p w14:paraId="5C6F780B" w14:textId="10E1AD05" w:rsidR="00D67018" w:rsidRPr="00BD6C5F" w:rsidRDefault="00534526" w:rsidP="00ED2DD0">
      <w:pPr>
        <w:pStyle w:val="Heading2"/>
        <w:pageBreakBefore/>
      </w:pPr>
      <w:bookmarkStart w:id="2116" w:name="_Toc141721069"/>
      <w:r w:rsidRPr="00BD6C5F">
        <w:lastRenderedPageBreak/>
        <w:t xml:space="preserve">Part </w:t>
      </w:r>
      <w:bookmarkStart w:id="2117" w:name="Schedule_31_Annex_2_Part_B"/>
      <w:r w:rsidRPr="00BD6C5F">
        <w:t>B</w:t>
      </w:r>
      <w:bookmarkEnd w:id="2117"/>
      <w:r w:rsidRPr="00BD6C5F">
        <w:t>: International Data Transfer Agreement Addendum to the EU Commission Standard</w:t>
      </w:r>
      <w:r w:rsidR="00292300" w:rsidRPr="00BD6C5F">
        <w:t> </w:t>
      </w:r>
      <w:r w:rsidRPr="00BD6C5F">
        <w:t>Contractual Clauses</w:t>
      </w:r>
      <w:bookmarkEnd w:id="2116"/>
    </w:p>
    <w:p w14:paraId="3CC60006" w14:textId="58B1FA43" w:rsidR="001254F7" w:rsidRPr="00BD6C5F" w:rsidRDefault="001254F7" w:rsidP="00CA416F"/>
    <w:p w14:paraId="33DDE8CD" w14:textId="77777777" w:rsidR="004A6721" w:rsidRPr="00BD6C5F" w:rsidRDefault="004A6721" w:rsidP="004A6721"/>
    <w:p w14:paraId="6338CB19" w14:textId="0C282675" w:rsidR="004A6721" w:rsidRPr="00BD6C5F" w:rsidRDefault="004A6721" w:rsidP="004A6721">
      <w:r w:rsidRPr="00BD6C5F">
        <w:rPr>
          <w:noProof/>
          <w:lang w:eastAsia="en-GB" w:bidi="ar-SA"/>
        </w:rPr>
        <w:drawing>
          <wp:inline distT="0" distB="0" distL="0" distR="0" wp14:anchorId="43446600" wp14:editId="3209F21B">
            <wp:extent cx="1314000" cy="770400"/>
            <wp:effectExtent l="0" t="0" r="635" b="0"/>
            <wp:docPr id="5" name="Picture 5" descr="ICO - Information Commissioner's Office"/>
            <wp:cNvGraphicFramePr/>
            <a:graphic xmlns:a="http://schemas.openxmlformats.org/drawingml/2006/main">
              <a:graphicData uri="http://schemas.openxmlformats.org/drawingml/2006/picture">
                <pic:pic xmlns:pic="http://schemas.openxmlformats.org/drawingml/2006/picture">
                  <pic:nvPicPr>
                    <pic:cNvPr id="432" name="Picture 432" descr="ICO - Information Commissioner's Office"/>
                    <pic:cNvPicPr/>
                  </pic:nvPicPr>
                  <pic:blipFill>
                    <a:blip r:embed="rId122">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inline>
        </w:drawing>
      </w:r>
    </w:p>
    <w:p w14:paraId="7B580495" w14:textId="77777777" w:rsidR="004A6721" w:rsidRPr="00BD6C5F" w:rsidRDefault="004A6721" w:rsidP="004A6721"/>
    <w:p w14:paraId="73B72BC2" w14:textId="7F26BCDB" w:rsidR="00D67018" w:rsidRPr="00BD6C5F" w:rsidRDefault="00D67018" w:rsidP="005B63D4">
      <w:pPr>
        <w:pStyle w:val="Heading1-ICO"/>
        <w:pageBreakBefore w:val="0"/>
      </w:pPr>
      <w:r w:rsidRPr="00BD6C5F">
        <w:t>Standard Data Protection Clauses to be issued by the Commissioner under S119A(1) Data Protection Act 2018</w:t>
      </w:r>
    </w:p>
    <w:p w14:paraId="5516A949" w14:textId="77777777" w:rsidR="00D67018" w:rsidRPr="00BD6C5F" w:rsidRDefault="00D67018" w:rsidP="005B63D4">
      <w:pPr>
        <w:pStyle w:val="Heading2-ICO"/>
      </w:pPr>
      <w:r w:rsidRPr="00BD6C5F">
        <w:t>International Data Transfer Addendum to the EU Commission Standard Contractual Clauses</w:t>
      </w:r>
    </w:p>
    <w:p w14:paraId="61694071" w14:textId="77777777" w:rsidR="00D67018" w:rsidRPr="00BD6C5F" w:rsidRDefault="00D67018" w:rsidP="00D67018">
      <w:pPr>
        <w:pBdr>
          <w:bottom w:val="single" w:sz="4" w:space="16" w:color="003768"/>
        </w:pBdr>
        <w:spacing w:before="200" w:after="360"/>
        <w:rPr>
          <w:rFonts w:asciiTheme="minorHAnsi" w:eastAsia="Times New Roman" w:hAnsiTheme="minorHAnsi" w:cstheme="minorHAnsi"/>
          <w:b/>
          <w:color w:val="54534A"/>
          <w:szCs w:val="24"/>
          <w:lang w:eastAsia="zh-CN"/>
        </w:rPr>
      </w:pPr>
      <w:r w:rsidRPr="00BD6C5F">
        <w:rPr>
          <w:rFonts w:asciiTheme="minorHAnsi" w:eastAsia="Times New Roman" w:hAnsiTheme="minorHAnsi" w:cstheme="minorHAnsi"/>
          <w:b/>
          <w:color w:val="54534A"/>
          <w:szCs w:val="24"/>
          <w:lang w:eastAsia="zh-CN"/>
        </w:rPr>
        <w:t>VERSION B1.0, in force 21 March 2022</w:t>
      </w:r>
    </w:p>
    <w:p w14:paraId="1DDA109C" w14:textId="77777777" w:rsidR="00D67018" w:rsidRPr="00BD6C5F" w:rsidRDefault="00D67018" w:rsidP="00D67018">
      <w:pPr>
        <w:rPr>
          <w:rFonts w:asciiTheme="minorHAnsi" w:hAnsiTheme="minorHAnsi" w:cstheme="minorHAnsi"/>
          <w:szCs w:val="24"/>
        </w:rPr>
      </w:pPr>
      <w:r w:rsidRPr="00BD6C5F">
        <w:rPr>
          <w:rFonts w:asciiTheme="minorHAnsi" w:eastAsia="Times New Roman" w:hAnsiTheme="minorHAnsi" w:cstheme="minorHAnsi"/>
          <w:szCs w:val="24"/>
          <w:lang w:eastAsia="zh-CN"/>
        </w:rPr>
        <w:t>This</w:t>
      </w:r>
      <w:bookmarkStart w:id="2118" w:name="_Hlk92884578"/>
      <w:r w:rsidRPr="00BD6C5F">
        <w:rPr>
          <w:rFonts w:asciiTheme="minorHAnsi" w:eastAsia="Times New Roman" w:hAnsiTheme="minorHAnsi" w:cstheme="minorHAnsi"/>
          <w:szCs w:val="24"/>
          <w:lang w:eastAsia="zh-CN"/>
        </w:rPr>
        <w:t xml:space="preserve"> </w:t>
      </w:r>
      <w:r w:rsidRPr="00BD6C5F">
        <w:rPr>
          <w:rFonts w:asciiTheme="minorHAnsi" w:hAnsiTheme="minorHAnsi" w:cstheme="minorHAnsi"/>
          <w:szCs w:val="24"/>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119" w:name="_Hlk92885565"/>
      <w:bookmarkEnd w:id="2118"/>
    </w:p>
    <w:p w14:paraId="51BBF72E" w14:textId="77777777" w:rsidR="00D67018" w:rsidRPr="00BD6C5F" w:rsidRDefault="00D67018" w:rsidP="005B63D4">
      <w:pPr>
        <w:pStyle w:val="Heading3"/>
        <w:spacing w:after="0"/>
      </w:pPr>
      <w:r w:rsidRPr="00BD6C5F">
        <w:t>Part 1: Tables</w:t>
      </w:r>
    </w:p>
    <w:p w14:paraId="330676A1" w14:textId="77777777" w:rsidR="00D67018" w:rsidRPr="00BD6C5F" w:rsidRDefault="00D67018" w:rsidP="005B63D4">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1: Parties</w:t>
      </w:r>
    </w:p>
    <w:tbl>
      <w:tblPr>
        <w:tblStyle w:val="MSATable-header"/>
        <w:tblW w:w="5000" w:type="pct"/>
        <w:tblLook w:val="0600" w:firstRow="0" w:lastRow="0" w:firstColumn="0" w:lastColumn="0" w:noHBand="1" w:noVBand="1"/>
      </w:tblPr>
      <w:tblGrid>
        <w:gridCol w:w="2401"/>
        <w:gridCol w:w="7797"/>
      </w:tblGrid>
      <w:tr w:rsidR="00D67018" w:rsidRPr="00BD6C5F" w14:paraId="2EDA8B73" w14:textId="77777777" w:rsidTr="00670203">
        <w:tc>
          <w:tcPr>
            <w:tcW w:w="1177" w:type="pct"/>
            <w:shd w:val="clear" w:color="auto" w:fill="F0F0F0"/>
          </w:tcPr>
          <w:p w14:paraId="1A01CCF1" w14:textId="77777777" w:rsidR="00D67018" w:rsidRPr="00BD6C5F" w:rsidRDefault="00D67018" w:rsidP="00670203">
            <w:pPr>
              <w:rPr>
                <w:b/>
                <w:bCs/>
                <w:szCs w:val="22"/>
              </w:rPr>
            </w:pPr>
            <w:r w:rsidRPr="00BD6C5F">
              <w:rPr>
                <w:b/>
                <w:bCs/>
                <w:szCs w:val="22"/>
              </w:rPr>
              <w:t>Start date</w:t>
            </w:r>
          </w:p>
        </w:tc>
        <w:tc>
          <w:tcPr>
            <w:tcW w:w="3823" w:type="pct"/>
          </w:tcPr>
          <w:p w14:paraId="521FF3D8" w14:textId="77777777" w:rsidR="00D67018" w:rsidRPr="00BD6C5F" w:rsidRDefault="00D67018" w:rsidP="00670203"/>
        </w:tc>
      </w:tr>
    </w:tbl>
    <w:p w14:paraId="3CD53DD6" w14:textId="6FB9D163" w:rsidR="00670203" w:rsidRPr="00BD6C5F" w:rsidRDefault="00670203" w:rsidP="00670203">
      <w:pPr>
        <w:rPr>
          <w:sz w:val="12"/>
          <w:szCs w:val="12"/>
        </w:rPr>
      </w:pPr>
    </w:p>
    <w:tbl>
      <w:tblPr>
        <w:tblStyle w:val="MSATable-header"/>
        <w:tblW w:w="5000" w:type="pct"/>
        <w:tblLook w:val="0620" w:firstRow="1" w:lastRow="0" w:firstColumn="0" w:lastColumn="0" w:noHBand="1" w:noVBand="1"/>
      </w:tblPr>
      <w:tblGrid>
        <w:gridCol w:w="2400"/>
        <w:gridCol w:w="3898"/>
        <w:gridCol w:w="3900"/>
      </w:tblGrid>
      <w:tr w:rsidR="00D67018" w:rsidRPr="00BD6C5F" w14:paraId="751750F8" w14:textId="77777777" w:rsidTr="00670203">
        <w:trPr>
          <w:cnfStyle w:val="100000000000" w:firstRow="1" w:lastRow="0" w:firstColumn="0" w:lastColumn="0" w:oddVBand="0" w:evenVBand="0" w:oddHBand="0" w:evenHBand="0" w:firstRowFirstColumn="0" w:firstRowLastColumn="0" w:lastRowFirstColumn="0" w:lastRowLastColumn="0"/>
          <w:tblHeader/>
        </w:trPr>
        <w:tc>
          <w:tcPr>
            <w:tcW w:w="1177" w:type="pct"/>
          </w:tcPr>
          <w:p w14:paraId="1124766C" w14:textId="77777777" w:rsidR="00D67018" w:rsidRPr="00BD6C5F" w:rsidRDefault="00D67018" w:rsidP="00670203">
            <w:r w:rsidRPr="00BD6C5F">
              <w:t>The Parties</w:t>
            </w:r>
          </w:p>
        </w:tc>
        <w:tc>
          <w:tcPr>
            <w:tcW w:w="1911" w:type="pct"/>
          </w:tcPr>
          <w:p w14:paraId="3EDFD730" w14:textId="77777777" w:rsidR="00D67018" w:rsidRPr="00BD6C5F" w:rsidRDefault="00D67018" w:rsidP="00670203">
            <w:r w:rsidRPr="00BD6C5F">
              <w:t>Exporter (who sends the Restricted Transfer)</w:t>
            </w:r>
          </w:p>
        </w:tc>
        <w:tc>
          <w:tcPr>
            <w:tcW w:w="1912" w:type="pct"/>
          </w:tcPr>
          <w:p w14:paraId="2C4F30FE" w14:textId="77777777" w:rsidR="00D67018" w:rsidRPr="00BD6C5F" w:rsidRDefault="00D67018" w:rsidP="00670203">
            <w:r w:rsidRPr="00BD6C5F">
              <w:t>Importer (who receives the Restricted Transfer)</w:t>
            </w:r>
          </w:p>
        </w:tc>
      </w:tr>
      <w:tr w:rsidR="00D67018" w:rsidRPr="00BD6C5F" w14:paraId="6A877768" w14:textId="77777777" w:rsidTr="00670203">
        <w:tc>
          <w:tcPr>
            <w:tcW w:w="1177" w:type="pct"/>
            <w:shd w:val="clear" w:color="auto" w:fill="F0F0F0"/>
          </w:tcPr>
          <w:p w14:paraId="1A8A2BFD" w14:textId="0F70BF74" w:rsidR="00D67018" w:rsidRPr="00BD6C5F" w:rsidRDefault="00D67018" w:rsidP="00670203">
            <w:pPr>
              <w:rPr>
                <w:b/>
              </w:rPr>
            </w:pPr>
            <w:r w:rsidRPr="00BD6C5F">
              <w:rPr>
                <w:b/>
              </w:rPr>
              <w:t>Parties</w:t>
            </w:r>
            <w:r w:rsidR="00A4555C" w:rsidRPr="00BD6C5F">
              <w:rPr>
                <w:b/>
              </w:rPr>
              <w:t>’</w:t>
            </w:r>
            <w:r w:rsidRPr="00BD6C5F">
              <w:rPr>
                <w:b/>
              </w:rPr>
              <w:t xml:space="preserve"> details</w:t>
            </w:r>
          </w:p>
        </w:tc>
        <w:tc>
          <w:tcPr>
            <w:tcW w:w="1911" w:type="pct"/>
          </w:tcPr>
          <w:p w14:paraId="41C63FFC" w14:textId="6FC2FFE8" w:rsidR="00D67018" w:rsidRPr="00BD6C5F" w:rsidRDefault="00D67018" w:rsidP="00670203">
            <w:pPr>
              <w:spacing w:after="120"/>
            </w:pPr>
            <w:r w:rsidRPr="00BD6C5F">
              <w:t xml:space="preserve">Full legal name: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6D916D6D" w14:textId="08B85FC4" w:rsidR="00D67018" w:rsidRPr="00BD6C5F" w:rsidRDefault="00D67018" w:rsidP="00670203">
            <w:pPr>
              <w:spacing w:after="120"/>
            </w:pPr>
            <w:r w:rsidRPr="00BD6C5F">
              <w:t xml:space="preserve">Trading name (if different):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7F1FE85A" w14:textId="0EB0B504" w:rsidR="00D67018" w:rsidRPr="00BD6C5F" w:rsidRDefault="00D67018" w:rsidP="00670203">
            <w:pPr>
              <w:spacing w:after="120"/>
            </w:pPr>
            <w:r w:rsidRPr="00BD6C5F">
              <w:t xml:space="preserve">Main address (if a company registered address):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0621CB58" w14:textId="74DF7046" w:rsidR="00D67018" w:rsidRPr="00BD6C5F" w:rsidRDefault="00D67018" w:rsidP="00670203">
            <w:r w:rsidRPr="00BD6C5F">
              <w:t xml:space="preserve">Official registration number (if any) (company number or similar identifier):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tc>
        <w:tc>
          <w:tcPr>
            <w:tcW w:w="1912" w:type="pct"/>
          </w:tcPr>
          <w:p w14:paraId="5982B22E" w14:textId="34BFBB30" w:rsidR="00D67018" w:rsidRPr="00BD6C5F" w:rsidRDefault="00D67018" w:rsidP="00670203">
            <w:pPr>
              <w:spacing w:after="120"/>
            </w:pPr>
            <w:r w:rsidRPr="00BD6C5F">
              <w:t xml:space="preserve">Full legal name: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05FA65EE" w14:textId="66A5F275" w:rsidR="00D67018" w:rsidRPr="00BD6C5F" w:rsidRDefault="00D67018" w:rsidP="00670203">
            <w:pPr>
              <w:spacing w:after="120"/>
            </w:pPr>
            <w:r w:rsidRPr="00BD6C5F">
              <w:t xml:space="preserve">Trading name (if different):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72251F6B" w14:textId="2253F5C1" w:rsidR="00D67018" w:rsidRPr="00BD6C5F" w:rsidRDefault="00D67018" w:rsidP="00670203">
            <w:pPr>
              <w:spacing w:after="120"/>
            </w:pPr>
            <w:r w:rsidRPr="00BD6C5F">
              <w:t xml:space="preserve">Main address (if a company registered address):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15334269" w14:textId="642995B0" w:rsidR="00D67018" w:rsidRPr="00BD6C5F" w:rsidRDefault="00D67018" w:rsidP="00670203">
            <w:r w:rsidRPr="00BD6C5F">
              <w:t xml:space="preserve">Official registration number (if any) (company number or similar identifier):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tc>
      </w:tr>
      <w:tr w:rsidR="00D67018" w:rsidRPr="00BD6C5F" w14:paraId="2A5E8439" w14:textId="77777777" w:rsidTr="00670203">
        <w:tc>
          <w:tcPr>
            <w:tcW w:w="1177" w:type="pct"/>
            <w:shd w:val="clear" w:color="auto" w:fill="F0F0F0"/>
          </w:tcPr>
          <w:p w14:paraId="69FCB2A3" w14:textId="77777777" w:rsidR="00D67018" w:rsidRPr="00BD6C5F" w:rsidRDefault="00D67018" w:rsidP="00670203">
            <w:pPr>
              <w:rPr>
                <w:b/>
              </w:rPr>
            </w:pPr>
            <w:r w:rsidRPr="00BD6C5F">
              <w:rPr>
                <w:b/>
              </w:rPr>
              <w:t>Key Contact</w:t>
            </w:r>
          </w:p>
        </w:tc>
        <w:tc>
          <w:tcPr>
            <w:tcW w:w="1911" w:type="pct"/>
          </w:tcPr>
          <w:p w14:paraId="1E5DF999" w14:textId="4DB833C4" w:rsidR="00D67018" w:rsidRPr="00BD6C5F" w:rsidRDefault="00D67018" w:rsidP="00670203">
            <w:pPr>
              <w:spacing w:after="120"/>
            </w:pPr>
            <w:r w:rsidRPr="00BD6C5F">
              <w:t xml:space="preserve">Full Name (optional):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163D2904" w14:textId="4F10CCEF" w:rsidR="00D67018" w:rsidRPr="00BD6C5F" w:rsidRDefault="00D67018" w:rsidP="00670203">
            <w:pPr>
              <w:spacing w:after="120"/>
            </w:pPr>
            <w:r w:rsidRPr="00BD6C5F">
              <w:t xml:space="preserve">Job Title: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435B4E67" w14:textId="644694A5" w:rsidR="00D67018" w:rsidRPr="00BD6C5F" w:rsidRDefault="00D67018" w:rsidP="00670203">
            <w:r w:rsidRPr="00BD6C5F">
              <w:t xml:space="preserve">Contact details including email: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tc>
        <w:tc>
          <w:tcPr>
            <w:tcW w:w="1912" w:type="pct"/>
          </w:tcPr>
          <w:p w14:paraId="20DB97FE" w14:textId="4E65846C" w:rsidR="00D67018" w:rsidRPr="00BD6C5F" w:rsidRDefault="00D67018" w:rsidP="00670203">
            <w:pPr>
              <w:spacing w:after="120"/>
            </w:pPr>
            <w:r w:rsidRPr="00BD6C5F">
              <w:t xml:space="preserve">Full Name (optional):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2362A532" w14:textId="41767AEE" w:rsidR="00D67018" w:rsidRPr="00BD6C5F" w:rsidRDefault="00D67018" w:rsidP="00670203">
            <w:pPr>
              <w:spacing w:after="120"/>
            </w:pPr>
            <w:r w:rsidRPr="00BD6C5F">
              <w:t xml:space="preserve">Job Title: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1A68324D" w14:textId="11FDE9F1" w:rsidR="00D67018" w:rsidRPr="00BD6C5F" w:rsidRDefault="00D67018" w:rsidP="00670203">
            <w:r w:rsidRPr="00BD6C5F">
              <w:t xml:space="preserve">Contact details including email: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tc>
      </w:tr>
      <w:tr w:rsidR="00D67018" w:rsidRPr="00BD6C5F" w14:paraId="14291648" w14:textId="77777777" w:rsidTr="00670203">
        <w:trPr>
          <w:cantSplit/>
        </w:trPr>
        <w:tc>
          <w:tcPr>
            <w:tcW w:w="1177" w:type="pct"/>
            <w:shd w:val="clear" w:color="auto" w:fill="F0F0F0"/>
          </w:tcPr>
          <w:p w14:paraId="070346CB" w14:textId="77777777" w:rsidR="00D67018" w:rsidRPr="00BD6C5F" w:rsidRDefault="00D67018" w:rsidP="00670203">
            <w:pPr>
              <w:rPr>
                <w:b/>
              </w:rPr>
            </w:pPr>
            <w:r w:rsidRPr="00BD6C5F">
              <w:rPr>
                <w:b/>
              </w:rPr>
              <w:lastRenderedPageBreak/>
              <w:t>Signature (if required for the purposes of Section ‎2)</w:t>
            </w:r>
          </w:p>
        </w:tc>
        <w:tc>
          <w:tcPr>
            <w:tcW w:w="1911" w:type="pct"/>
          </w:tcPr>
          <w:p w14:paraId="23BF832F" w14:textId="77777777" w:rsidR="00D67018" w:rsidRPr="00BD6C5F" w:rsidRDefault="00D67018" w:rsidP="00670203"/>
        </w:tc>
        <w:tc>
          <w:tcPr>
            <w:tcW w:w="1912" w:type="pct"/>
          </w:tcPr>
          <w:p w14:paraId="051866B6" w14:textId="77777777" w:rsidR="00D67018" w:rsidRPr="00BD6C5F" w:rsidRDefault="00D67018" w:rsidP="00670203"/>
        </w:tc>
      </w:tr>
    </w:tbl>
    <w:p w14:paraId="44655151" w14:textId="77777777" w:rsidR="00670203" w:rsidRPr="00BD6C5F" w:rsidRDefault="00670203" w:rsidP="00670203"/>
    <w:p w14:paraId="07488A8C" w14:textId="027B046C" w:rsidR="00D67018" w:rsidRPr="00BD6C5F" w:rsidRDefault="00D67018" w:rsidP="005B63D4">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2: Selected SCCs, Modules and Selected Clauses</w:t>
      </w:r>
    </w:p>
    <w:tbl>
      <w:tblPr>
        <w:tblStyle w:val="MSATable-header"/>
        <w:tblW w:w="5000" w:type="pct"/>
        <w:tblLook w:val="0600" w:firstRow="0" w:lastRow="0" w:firstColumn="0" w:lastColumn="0" w:noHBand="1" w:noVBand="1"/>
      </w:tblPr>
      <w:tblGrid>
        <w:gridCol w:w="2380"/>
        <w:gridCol w:w="7818"/>
      </w:tblGrid>
      <w:tr w:rsidR="00D67018" w:rsidRPr="00BD6C5F" w14:paraId="3479D713" w14:textId="77777777" w:rsidTr="00670203">
        <w:tc>
          <w:tcPr>
            <w:tcW w:w="1167" w:type="pct"/>
            <w:shd w:val="clear" w:color="auto" w:fill="F0F0F0"/>
          </w:tcPr>
          <w:p w14:paraId="04F7CDCB" w14:textId="77777777" w:rsidR="00D67018" w:rsidRPr="00BD6C5F" w:rsidRDefault="00D67018" w:rsidP="00670203">
            <w:pPr>
              <w:rPr>
                <w:b/>
                <w:bCs/>
              </w:rPr>
            </w:pPr>
            <w:r w:rsidRPr="00BD6C5F">
              <w:rPr>
                <w:b/>
                <w:bCs/>
              </w:rPr>
              <w:t>Addendum EU SCCs</w:t>
            </w:r>
          </w:p>
        </w:tc>
        <w:tc>
          <w:tcPr>
            <w:tcW w:w="3833" w:type="pct"/>
          </w:tcPr>
          <w:p w14:paraId="319E8950" w14:textId="77777777" w:rsidR="00D67018" w:rsidRPr="00BD6C5F" w:rsidRDefault="00D67018" w:rsidP="00670203">
            <w:pPr>
              <w:spacing w:after="120"/>
              <w:ind w:left="227" w:hanging="227"/>
              <w:rPr>
                <w:rFonts w:asciiTheme="minorHAnsi" w:eastAsia="Verdana" w:hAnsiTheme="minorHAnsi" w:cstheme="minorHAnsi"/>
              </w:rPr>
            </w:pPr>
            <w:r w:rsidRPr="00BD6C5F">
              <w:rPr>
                <w:rFonts w:asciiTheme="minorHAnsi" w:eastAsia="Verdana" w:hAnsiTheme="minorHAnsi" w:cstheme="minorHAnsi"/>
              </w:rPr>
              <w:fldChar w:fldCharType="begin" w:fldLock="1">
                <w:ffData>
                  <w:name w:val=""/>
                  <w:enabled/>
                  <w:calcOnExit w:val="0"/>
                  <w:checkBox>
                    <w:size w:val="16"/>
                    <w:default w:val="0"/>
                  </w:checkBox>
                </w:ffData>
              </w:fldChar>
            </w:r>
            <w:r w:rsidRPr="00BD6C5F">
              <w:rPr>
                <w:rFonts w:asciiTheme="minorHAnsi" w:eastAsia="Verdana" w:hAnsiTheme="minorHAnsi" w:cstheme="minorHAnsi"/>
              </w:rPr>
              <w:instrText xml:space="preserve"> FORMCHECKBOX </w:instrText>
            </w:r>
            <w:r w:rsidR="00EC0D9B">
              <w:rPr>
                <w:rFonts w:asciiTheme="minorHAnsi" w:eastAsia="Verdana" w:hAnsiTheme="minorHAnsi" w:cstheme="minorHAnsi"/>
              </w:rPr>
            </w:r>
            <w:r w:rsidR="00EC0D9B">
              <w:rPr>
                <w:rFonts w:asciiTheme="minorHAnsi" w:eastAsia="Verdana" w:hAnsiTheme="minorHAnsi" w:cstheme="minorHAnsi"/>
              </w:rPr>
              <w:fldChar w:fldCharType="separate"/>
            </w:r>
            <w:r w:rsidRPr="00BD6C5F">
              <w:rPr>
                <w:rFonts w:asciiTheme="minorHAnsi" w:eastAsia="Verdana" w:hAnsiTheme="minorHAnsi" w:cstheme="minorHAnsi"/>
              </w:rPr>
              <w:fldChar w:fldCharType="end"/>
            </w:r>
            <w:r w:rsidRPr="00BD6C5F">
              <w:rPr>
                <w:rFonts w:asciiTheme="minorHAnsi" w:eastAsia="Verdana" w:hAnsiTheme="minorHAnsi" w:cstheme="minorHAnsi"/>
              </w:rPr>
              <w:t xml:space="preserve"> The version of the Approved EU SCCs which this Addendum is appended to, detailed below, including the Appendix Information:</w:t>
            </w:r>
          </w:p>
          <w:p w14:paraId="2A068E1E" w14:textId="2A33198F" w:rsidR="00D67018" w:rsidRPr="00BD6C5F" w:rsidRDefault="00D67018" w:rsidP="00670203">
            <w:pPr>
              <w:spacing w:after="120"/>
              <w:ind w:left="227"/>
            </w:pPr>
            <w:r w:rsidRPr="00BD6C5F">
              <w:t xml:space="preserve">Date: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5886D662" w14:textId="0B21F815" w:rsidR="00D67018" w:rsidRPr="00BD6C5F" w:rsidRDefault="00D67018" w:rsidP="00670203">
            <w:pPr>
              <w:spacing w:after="120"/>
              <w:ind w:left="227"/>
            </w:pPr>
            <w:r w:rsidRPr="00BD6C5F">
              <w:t xml:space="preserve">Reference (if any):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47DB645D" w14:textId="23FA686A" w:rsidR="00D67018" w:rsidRPr="00BD6C5F" w:rsidRDefault="00D67018" w:rsidP="00670203">
            <w:pPr>
              <w:spacing w:after="120"/>
              <w:ind w:left="227"/>
            </w:pPr>
            <w:r w:rsidRPr="00BD6C5F">
              <w:t xml:space="preserve">Other identifier (if any): </w:t>
            </w:r>
            <w:r w:rsidR="00670203" w:rsidRPr="00BD6C5F">
              <w:fldChar w:fldCharType="begin">
                <w:ffData>
                  <w:name w:val=""/>
                  <w:enabled/>
                  <w:calcOnExit w:val="0"/>
                  <w:textInput/>
                </w:ffData>
              </w:fldChar>
            </w:r>
            <w:r w:rsidR="00670203" w:rsidRPr="00BD6C5F">
              <w:instrText xml:space="preserve"> FORMTEXT </w:instrText>
            </w:r>
            <w:r w:rsidR="00670203"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670203" w:rsidRPr="00BD6C5F">
              <w:fldChar w:fldCharType="end"/>
            </w:r>
          </w:p>
          <w:p w14:paraId="46A619CE" w14:textId="77777777" w:rsidR="00D67018" w:rsidRPr="00BD6C5F" w:rsidRDefault="00D67018" w:rsidP="00670203">
            <w:pPr>
              <w:spacing w:after="120"/>
              <w:ind w:left="227"/>
            </w:pPr>
            <w:r w:rsidRPr="00BD6C5F">
              <w:t>Or</w:t>
            </w:r>
          </w:p>
          <w:p w14:paraId="6D38BB64" w14:textId="77777777" w:rsidR="00D67018" w:rsidRPr="00BD6C5F" w:rsidRDefault="00D67018" w:rsidP="00670203">
            <w:pPr>
              <w:ind w:left="227" w:hanging="227"/>
              <w:rPr>
                <w:rFonts w:asciiTheme="minorHAnsi" w:hAnsiTheme="minorHAnsi" w:cstheme="minorHAnsi"/>
              </w:rPr>
            </w:pPr>
            <w:r w:rsidRPr="00BD6C5F">
              <w:rPr>
                <w:rFonts w:asciiTheme="minorHAnsi" w:eastAsia="Verdana" w:hAnsiTheme="minorHAnsi" w:cstheme="minorHAnsi"/>
              </w:rPr>
              <w:fldChar w:fldCharType="begin" w:fldLock="1">
                <w:ffData>
                  <w:name w:val=""/>
                  <w:enabled/>
                  <w:calcOnExit w:val="0"/>
                  <w:checkBox>
                    <w:size w:val="16"/>
                    <w:default w:val="0"/>
                  </w:checkBox>
                </w:ffData>
              </w:fldChar>
            </w:r>
            <w:r w:rsidRPr="00BD6C5F">
              <w:rPr>
                <w:rFonts w:asciiTheme="minorHAnsi" w:eastAsia="Verdana" w:hAnsiTheme="minorHAnsi" w:cstheme="minorHAnsi"/>
              </w:rPr>
              <w:instrText xml:space="preserve"> FORMCHECKBOX </w:instrText>
            </w:r>
            <w:r w:rsidR="00EC0D9B">
              <w:rPr>
                <w:rFonts w:asciiTheme="minorHAnsi" w:eastAsia="Verdana" w:hAnsiTheme="minorHAnsi" w:cstheme="minorHAnsi"/>
              </w:rPr>
            </w:r>
            <w:r w:rsidR="00EC0D9B">
              <w:rPr>
                <w:rFonts w:asciiTheme="minorHAnsi" w:eastAsia="Verdana" w:hAnsiTheme="minorHAnsi" w:cstheme="minorHAnsi"/>
              </w:rPr>
              <w:fldChar w:fldCharType="separate"/>
            </w:r>
            <w:r w:rsidRPr="00BD6C5F">
              <w:rPr>
                <w:rFonts w:asciiTheme="minorHAnsi" w:eastAsia="Verdana" w:hAnsiTheme="minorHAnsi" w:cstheme="minorHAnsi"/>
              </w:rPr>
              <w:fldChar w:fldCharType="end"/>
            </w:r>
            <w:r w:rsidRPr="00BD6C5F">
              <w:rPr>
                <w:rFonts w:asciiTheme="minorHAnsi" w:eastAsia="Verdana" w:hAnsiTheme="minorHAnsi" w:cstheme="minorHAnsi"/>
              </w:rPr>
              <w:t xml:space="preserve"> the Approved EU SCCs, including the Appendix Information and with only the </w:t>
            </w:r>
            <w:r w:rsidRPr="00BD6C5F">
              <w:rPr>
                <w:rFonts w:asciiTheme="minorHAnsi" w:hAnsiTheme="minorHAnsi" w:cstheme="minorHAnsi"/>
              </w:rPr>
              <w:t xml:space="preserve">following modules, clauses or optional provisions of the Approved EU SCCs brought into effect for the purposes of this Addendum: </w:t>
            </w:r>
          </w:p>
        </w:tc>
      </w:tr>
    </w:tbl>
    <w:p w14:paraId="0E546FD0" w14:textId="1B847F68" w:rsidR="000708BC" w:rsidRPr="00BD6C5F" w:rsidRDefault="000708BC" w:rsidP="000708BC"/>
    <w:tbl>
      <w:tblPr>
        <w:tblStyle w:val="MSATable-header"/>
        <w:tblW w:w="10181" w:type="dxa"/>
        <w:tblLayout w:type="fixed"/>
        <w:tblLook w:val="04A0" w:firstRow="1" w:lastRow="0" w:firstColumn="1" w:lastColumn="0" w:noHBand="0" w:noVBand="1"/>
      </w:tblPr>
      <w:tblGrid>
        <w:gridCol w:w="988"/>
        <w:gridCol w:w="1223"/>
        <w:gridCol w:w="1224"/>
        <w:gridCol w:w="1134"/>
        <w:gridCol w:w="1757"/>
        <w:gridCol w:w="1134"/>
        <w:gridCol w:w="2721"/>
      </w:tblGrid>
      <w:tr w:rsidR="00670203" w:rsidRPr="00BD6C5F" w14:paraId="1517ED79" w14:textId="77777777" w:rsidTr="00670203">
        <w:trPr>
          <w:cnfStyle w:val="100000000000" w:firstRow="1" w:lastRow="0" w:firstColumn="0" w:lastColumn="0" w:oddVBand="0" w:evenVBand="0" w:oddHBand="0" w:evenHBand="0" w:firstRowFirstColumn="0" w:firstRowLastColumn="0" w:lastRowFirstColumn="0" w:lastRowLastColumn="0"/>
        </w:trPr>
        <w:tc>
          <w:tcPr>
            <w:tcW w:w="988" w:type="dxa"/>
          </w:tcPr>
          <w:p w14:paraId="3D4FE334" w14:textId="77777777" w:rsidR="00670203" w:rsidRPr="00BD6C5F" w:rsidRDefault="00670203" w:rsidP="00670203">
            <w:r w:rsidRPr="00BD6C5F">
              <w:t>Module</w:t>
            </w:r>
          </w:p>
        </w:tc>
        <w:tc>
          <w:tcPr>
            <w:tcW w:w="1223" w:type="dxa"/>
          </w:tcPr>
          <w:p w14:paraId="3CCC1E94" w14:textId="77777777" w:rsidR="00670203" w:rsidRPr="00BD6C5F" w:rsidRDefault="00670203" w:rsidP="00670203">
            <w:r w:rsidRPr="00BD6C5F">
              <w:t>Module in operation</w:t>
            </w:r>
          </w:p>
        </w:tc>
        <w:tc>
          <w:tcPr>
            <w:tcW w:w="1224" w:type="dxa"/>
          </w:tcPr>
          <w:p w14:paraId="7DBDE1B0" w14:textId="77777777" w:rsidR="00670203" w:rsidRPr="00BD6C5F" w:rsidRDefault="00670203" w:rsidP="00670203">
            <w:r w:rsidRPr="00BD6C5F">
              <w:t>Clause 7 (Docking Clause)</w:t>
            </w:r>
          </w:p>
        </w:tc>
        <w:tc>
          <w:tcPr>
            <w:tcW w:w="1134" w:type="dxa"/>
          </w:tcPr>
          <w:p w14:paraId="7888198A" w14:textId="77777777" w:rsidR="00670203" w:rsidRPr="00BD6C5F" w:rsidRDefault="00670203" w:rsidP="00670203">
            <w:r w:rsidRPr="00BD6C5F">
              <w:t xml:space="preserve">Clause 11 </w:t>
            </w:r>
            <w:r w:rsidRPr="00BD6C5F">
              <w:br/>
              <w:t>(Option)</w:t>
            </w:r>
          </w:p>
        </w:tc>
        <w:tc>
          <w:tcPr>
            <w:tcW w:w="1757" w:type="dxa"/>
          </w:tcPr>
          <w:p w14:paraId="1848C609" w14:textId="77777777" w:rsidR="00670203" w:rsidRPr="00BD6C5F" w:rsidRDefault="00670203" w:rsidP="00670203">
            <w:r w:rsidRPr="00BD6C5F">
              <w:t>Clause 9a (Prior Authorisation or General Authorisation)</w:t>
            </w:r>
          </w:p>
        </w:tc>
        <w:tc>
          <w:tcPr>
            <w:tcW w:w="1134" w:type="dxa"/>
          </w:tcPr>
          <w:p w14:paraId="3AE20755" w14:textId="77777777" w:rsidR="00670203" w:rsidRPr="00BD6C5F" w:rsidRDefault="00670203" w:rsidP="00670203">
            <w:r w:rsidRPr="00BD6C5F">
              <w:t>Clause 9a (Time period)</w:t>
            </w:r>
          </w:p>
        </w:tc>
        <w:tc>
          <w:tcPr>
            <w:tcW w:w="2721" w:type="dxa"/>
          </w:tcPr>
          <w:p w14:paraId="0C402D56" w14:textId="77777777" w:rsidR="00670203" w:rsidRPr="00BD6C5F" w:rsidRDefault="00670203" w:rsidP="00670203">
            <w:r w:rsidRPr="00BD6C5F">
              <w:t>Is personal data received from the Importer combined with personal data collected by the Exporter?</w:t>
            </w:r>
          </w:p>
        </w:tc>
      </w:tr>
      <w:tr w:rsidR="00670203" w:rsidRPr="00BD6C5F" w14:paraId="2870D95C" w14:textId="77777777" w:rsidTr="00670203">
        <w:tc>
          <w:tcPr>
            <w:tcW w:w="988" w:type="dxa"/>
          </w:tcPr>
          <w:p w14:paraId="51FDFB65" w14:textId="77777777" w:rsidR="00670203" w:rsidRPr="00BD6C5F" w:rsidRDefault="00670203" w:rsidP="00670203">
            <w:pPr>
              <w:rPr>
                <w:b/>
                <w:bCs/>
              </w:rPr>
            </w:pPr>
            <w:r w:rsidRPr="00BD6C5F">
              <w:rPr>
                <w:b/>
                <w:bCs/>
              </w:rPr>
              <w:t>1</w:t>
            </w:r>
          </w:p>
        </w:tc>
        <w:tc>
          <w:tcPr>
            <w:tcW w:w="1223" w:type="dxa"/>
          </w:tcPr>
          <w:p w14:paraId="17A233A0" w14:textId="77777777" w:rsidR="00670203" w:rsidRPr="00BD6C5F" w:rsidRDefault="00670203" w:rsidP="00670203"/>
        </w:tc>
        <w:tc>
          <w:tcPr>
            <w:tcW w:w="1224" w:type="dxa"/>
          </w:tcPr>
          <w:p w14:paraId="44A3441C" w14:textId="77777777" w:rsidR="00670203" w:rsidRPr="00BD6C5F" w:rsidRDefault="00670203" w:rsidP="00670203"/>
        </w:tc>
        <w:tc>
          <w:tcPr>
            <w:tcW w:w="1134" w:type="dxa"/>
          </w:tcPr>
          <w:p w14:paraId="4678CED9" w14:textId="77777777" w:rsidR="00670203" w:rsidRPr="00BD6C5F" w:rsidRDefault="00670203" w:rsidP="00670203"/>
        </w:tc>
        <w:tc>
          <w:tcPr>
            <w:tcW w:w="1757" w:type="dxa"/>
            <w:shd w:val="clear" w:color="auto" w:fill="F0F0F0"/>
          </w:tcPr>
          <w:p w14:paraId="23A42B28" w14:textId="77777777" w:rsidR="00670203" w:rsidRPr="00BD6C5F" w:rsidRDefault="00670203" w:rsidP="00670203"/>
        </w:tc>
        <w:tc>
          <w:tcPr>
            <w:tcW w:w="1134" w:type="dxa"/>
            <w:shd w:val="clear" w:color="auto" w:fill="F0F0F0"/>
          </w:tcPr>
          <w:p w14:paraId="6C186C94" w14:textId="77777777" w:rsidR="00670203" w:rsidRPr="00BD6C5F" w:rsidRDefault="00670203" w:rsidP="00670203"/>
        </w:tc>
        <w:tc>
          <w:tcPr>
            <w:tcW w:w="2721" w:type="dxa"/>
            <w:shd w:val="clear" w:color="auto" w:fill="F0F0F0"/>
          </w:tcPr>
          <w:p w14:paraId="000A5BD0" w14:textId="77777777" w:rsidR="00670203" w:rsidRPr="00BD6C5F" w:rsidRDefault="00670203" w:rsidP="00670203"/>
        </w:tc>
      </w:tr>
      <w:tr w:rsidR="00670203" w:rsidRPr="00BD6C5F" w14:paraId="5D4814D3" w14:textId="77777777" w:rsidTr="00670203">
        <w:tc>
          <w:tcPr>
            <w:tcW w:w="988" w:type="dxa"/>
          </w:tcPr>
          <w:p w14:paraId="0C4F6B01" w14:textId="77777777" w:rsidR="00670203" w:rsidRPr="00BD6C5F" w:rsidRDefault="00670203" w:rsidP="00670203">
            <w:pPr>
              <w:rPr>
                <w:b/>
                <w:bCs/>
              </w:rPr>
            </w:pPr>
            <w:r w:rsidRPr="00BD6C5F">
              <w:rPr>
                <w:b/>
                <w:bCs/>
              </w:rPr>
              <w:t>2</w:t>
            </w:r>
          </w:p>
        </w:tc>
        <w:tc>
          <w:tcPr>
            <w:tcW w:w="1223" w:type="dxa"/>
          </w:tcPr>
          <w:p w14:paraId="5DC8B88A" w14:textId="77777777" w:rsidR="00670203" w:rsidRPr="00BD6C5F" w:rsidRDefault="00670203" w:rsidP="00670203"/>
        </w:tc>
        <w:tc>
          <w:tcPr>
            <w:tcW w:w="1224" w:type="dxa"/>
          </w:tcPr>
          <w:p w14:paraId="785C624B" w14:textId="77777777" w:rsidR="00670203" w:rsidRPr="00BD6C5F" w:rsidRDefault="00670203" w:rsidP="00670203"/>
        </w:tc>
        <w:tc>
          <w:tcPr>
            <w:tcW w:w="1134" w:type="dxa"/>
          </w:tcPr>
          <w:p w14:paraId="0B33C120" w14:textId="77777777" w:rsidR="00670203" w:rsidRPr="00BD6C5F" w:rsidRDefault="00670203" w:rsidP="00670203"/>
        </w:tc>
        <w:tc>
          <w:tcPr>
            <w:tcW w:w="1757" w:type="dxa"/>
            <w:tcBorders>
              <w:bottom w:val="single" w:sz="4" w:space="0" w:color="auto"/>
            </w:tcBorders>
          </w:tcPr>
          <w:p w14:paraId="5B848F10" w14:textId="77777777" w:rsidR="00670203" w:rsidRPr="00BD6C5F" w:rsidRDefault="00670203" w:rsidP="00670203"/>
        </w:tc>
        <w:tc>
          <w:tcPr>
            <w:tcW w:w="1134" w:type="dxa"/>
            <w:tcBorders>
              <w:bottom w:val="single" w:sz="4" w:space="0" w:color="auto"/>
            </w:tcBorders>
          </w:tcPr>
          <w:p w14:paraId="077139A0" w14:textId="77777777" w:rsidR="00670203" w:rsidRPr="00BD6C5F" w:rsidRDefault="00670203" w:rsidP="00670203"/>
        </w:tc>
        <w:tc>
          <w:tcPr>
            <w:tcW w:w="2721" w:type="dxa"/>
            <w:tcBorders>
              <w:bottom w:val="single" w:sz="4" w:space="0" w:color="auto"/>
            </w:tcBorders>
            <w:shd w:val="clear" w:color="auto" w:fill="F0F0F0"/>
          </w:tcPr>
          <w:p w14:paraId="1DBC5651" w14:textId="77777777" w:rsidR="00670203" w:rsidRPr="00BD6C5F" w:rsidRDefault="00670203" w:rsidP="00670203"/>
        </w:tc>
      </w:tr>
      <w:tr w:rsidR="00670203" w:rsidRPr="00BD6C5F" w14:paraId="7222970D" w14:textId="77777777" w:rsidTr="00670203">
        <w:tc>
          <w:tcPr>
            <w:tcW w:w="988" w:type="dxa"/>
          </w:tcPr>
          <w:p w14:paraId="3153D3B8" w14:textId="77777777" w:rsidR="00670203" w:rsidRPr="00BD6C5F" w:rsidRDefault="00670203" w:rsidP="00670203">
            <w:pPr>
              <w:rPr>
                <w:b/>
                <w:bCs/>
              </w:rPr>
            </w:pPr>
            <w:r w:rsidRPr="00BD6C5F">
              <w:rPr>
                <w:b/>
                <w:bCs/>
              </w:rPr>
              <w:t>3</w:t>
            </w:r>
          </w:p>
        </w:tc>
        <w:tc>
          <w:tcPr>
            <w:tcW w:w="1223" w:type="dxa"/>
          </w:tcPr>
          <w:p w14:paraId="77EE175A" w14:textId="77777777" w:rsidR="00670203" w:rsidRPr="00BD6C5F" w:rsidRDefault="00670203" w:rsidP="00670203"/>
        </w:tc>
        <w:tc>
          <w:tcPr>
            <w:tcW w:w="1224" w:type="dxa"/>
          </w:tcPr>
          <w:p w14:paraId="0402CBEA" w14:textId="77777777" w:rsidR="00670203" w:rsidRPr="00BD6C5F" w:rsidRDefault="00670203" w:rsidP="00670203"/>
        </w:tc>
        <w:tc>
          <w:tcPr>
            <w:tcW w:w="1134" w:type="dxa"/>
          </w:tcPr>
          <w:p w14:paraId="7A5578FE" w14:textId="77777777" w:rsidR="00670203" w:rsidRPr="00BD6C5F" w:rsidRDefault="00670203" w:rsidP="00670203"/>
        </w:tc>
        <w:tc>
          <w:tcPr>
            <w:tcW w:w="1757" w:type="dxa"/>
            <w:tcBorders>
              <w:bottom w:val="single" w:sz="4" w:space="0" w:color="auto"/>
            </w:tcBorders>
            <w:shd w:val="clear" w:color="auto" w:fill="auto"/>
          </w:tcPr>
          <w:p w14:paraId="3C0F8FD3" w14:textId="77777777" w:rsidR="00670203" w:rsidRPr="00BD6C5F" w:rsidRDefault="00670203" w:rsidP="00670203"/>
        </w:tc>
        <w:tc>
          <w:tcPr>
            <w:tcW w:w="1134" w:type="dxa"/>
            <w:tcBorders>
              <w:bottom w:val="single" w:sz="4" w:space="0" w:color="auto"/>
            </w:tcBorders>
            <w:shd w:val="clear" w:color="auto" w:fill="auto"/>
          </w:tcPr>
          <w:p w14:paraId="3C0D6CB1" w14:textId="77777777" w:rsidR="00670203" w:rsidRPr="00BD6C5F" w:rsidRDefault="00670203" w:rsidP="00670203"/>
        </w:tc>
        <w:tc>
          <w:tcPr>
            <w:tcW w:w="2721" w:type="dxa"/>
            <w:tcBorders>
              <w:bottom w:val="single" w:sz="4" w:space="0" w:color="auto"/>
            </w:tcBorders>
            <w:shd w:val="clear" w:color="auto" w:fill="F0F0F0"/>
          </w:tcPr>
          <w:p w14:paraId="6A0F9060" w14:textId="77777777" w:rsidR="00670203" w:rsidRPr="00BD6C5F" w:rsidRDefault="00670203" w:rsidP="00670203"/>
        </w:tc>
      </w:tr>
      <w:tr w:rsidR="00670203" w:rsidRPr="00BD6C5F" w14:paraId="20743A5B" w14:textId="77777777" w:rsidTr="00670203">
        <w:tc>
          <w:tcPr>
            <w:tcW w:w="988" w:type="dxa"/>
          </w:tcPr>
          <w:p w14:paraId="3409C84E" w14:textId="77777777" w:rsidR="00670203" w:rsidRPr="00BD6C5F" w:rsidRDefault="00670203" w:rsidP="00670203">
            <w:pPr>
              <w:rPr>
                <w:b/>
                <w:bCs/>
              </w:rPr>
            </w:pPr>
            <w:r w:rsidRPr="00BD6C5F">
              <w:rPr>
                <w:b/>
                <w:bCs/>
              </w:rPr>
              <w:t>4</w:t>
            </w:r>
          </w:p>
        </w:tc>
        <w:tc>
          <w:tcPr>
            <w:tcW w:w="1223" w:type="dxa"/>
          </w:tcPr>
          <w:p w14:paraId="76563877" w14:textId="77777777" w:rsidR="00670203" w:rsidRPr="00BD6C5F" w:rsidRDefault="00670203" w:rsidP="00670203"/>
        </w:tc>
        <w:tc>
          <w:tcPr>
            <w:tcW w:w="1224" w:type="dxa"/>
          </w:tcPr>
          <w:p w14:paraId="64C12F27" w14:textId="77777777" w:rsidR="00670203" w:rsidRPr="00BD6C5F" w:rsidRDefault="00670203" w:rsidP="00670203"/>
        </w:tc>
        <w:tc>
          <w:tcPr>
            <w:tcW w:w="1134" w:type="dxa"/>
          </w:tcPr>
          <w:p w14:paraId="623AEA2B" w14:textId="77777777" w:rsidR="00670203" w:rsidRPr="00BD6C5F" w:rsidRDefault="00670203" w:rsidP="00670203"/>
        </w:tc>
        <w:tc>
          <w:tcPr>
            <w:tcW w:w="1757" w:type="dxa"/>
            <w:shd w:val="clear" w:color="auto" w:fill="F0F0F0"/>
          </w:tcPr>
          <w:p w14:paraId="09366F42" w14:textId="77777777" w:rsidR="00670203" w:rsidRPr="00BD6C5F" w:rsidRDefault="00670203" w:rsidP="00670203"/>
        </w:tc>
        <w:tc>
          <w:tcPr>
            <w:tcW w:w="1134" w:type="dxa"/>
            <w:shd w:val="clear" w:color="auto" w:fill="F0F0F0"/>
          </w:tcPr>
          <w:p w14:paraId="0856DF37" w14:textId="77777777" w:rsidR="00670203" w:rsidRPr="00BD6C5F" w:rsidRDefault="00670203" w:rsidP="00670203"/>
        </w:tc>
        <w:tc>
          <w:tcPr>
            <w:tcW w:w="2721" w:type="dxa"/>
            <w:shd w:val="clear" w:color="auto" w:fill="auto"/>
          </w:tcPr>
          <w:p w14:paraId="07BE0937" w14:textId="77777777" w:rsidR="00670203" w:rsidRPr="00BD6C5F" w:rsidRDefault="00670203" w:rsidP="00670203"/>
        </w:tc>
      </w:tr>
      <w:tr w:rsidR="00670203" w:rsidRPr="00BD6C5F" w14:paraId="719F697E" w14:textId="77777777" w:rsidTr="00670203">
        <w:tc>
          <w:tcPr>
            <w:tcW w:w="988" w:type="dxa"/>
          </w:tcPr>
          <w:p w14:paraId="25EF7174" w14:textId="77777777" w:rsidR="00670203" w:rsidRPr="00BD6C5F" w:rsidRDefault="00670203" w:rsidP="00670203">
            <w:pPr>
              <w:rPr>
                <w:b/>
                <w:bCs/>
              </w:rPr>
            </w:pPr>
          </w:p>
        </w:tc>
        <w:tc>
          <w:tcPr>
            <w:tcW w:w="1223" w:type="dxa"/>
          </w:tcPr>
          <w:p w14:paraId="6DE0320D" w14:textId="77777777" w:rsidR="00670203" w:rsidRPr="00BD6C5F" w:rsidRDefault="00670203" w:rsidP="00670203"/>
        </w:tc>
        <w:tc>
          <w:tcPr>
            <w:tcW w:w="1224" w:type="dxa"/>
          </w:tcPr>
          <w:p w14:paraId="4CECFE6E" w14:textId="77777777" w:rsidR="00670203" w:rsidRPr="00BD6C5F" w:rsidRDefault="00670203" w:rsidP="00670203"/>
        </w:tc>
        <w:tc>
          <w:tcPr>
            <w:tcW w:w="1134" w:type="dxa"/>
          </w:tcPr>
          <w:p w14:paraId="3AE99668" w14:textId="77777777" w:rsidR="00670203" w:rsidRPr="00BD6C5F" w:rsidRDefault="00670203" w:rsidP="00670203"/>
        </w:tc>
        <w:tc>
          <w:tcPr>
            <w:tcW w:w="1757" w:type="dxa"/>
            <w:shd w:val="clear" w:color="auto" w:fill="F0F0F0"/>
          </w:tcPr>
          <w:p w14:paraId="2E3BE275" w14:textId="77777777" w:rsidR="00670203" w:rsidRPr="00BD6C5F" w:rsidRDefault="00670203" w:rsidP="00670203"/>
        </w:tc>
        <w:tc>
          <w:tcPr>
            <w:tcW w:w="1134" w:type="dxa"/>
            <w:shd w:val="clear" w:color="auto" w:fill="F0F0F0"/>
          </w:tcPr>
          <w:p w14:paraId="4A6B71B4" w14:textId="77777777" w:rsidR="00670203" w:rsidRPr="00BD6C5F" w:rsidRDefault="00670203" w:rsidP="00670203"/>
        </w:tc>
        <w:tc>
          <w:tcPr>
            <w:tcW w:w="2721" w:type="dxa"/>
            <w:shd w:val="clear" w:color="auto" w:fill="F0F0F0"/>
          </w:tcPr>
          <w:p w14:paraId="16F5E002" w14:textId="77777777" w:rsidR="00670203" w:rsidRPr="00BD6C5F" w:rsidRDefault="00670203" w:rsidP="00670203"/>
        </w:tc>
      </w:tr>
      <w:tr w:rsidR="00670203" w:rsidRPr="00BD6C5F" w14:paraId="6AF0A31A" w14:textId="77777777" w:rsidTr="00670203">
        <w:tc>
          <w:tcPr>
            <w:tcW w:w="988" w:type="dxa"/>
          </w:tcPr>
          <w:p w14:paraId="0B9EEC88" w14:textId="77777777" w:rsidR="00670203" w:rsidRPr="00BD6C5F" w:rsidRDefault="00670203" w:rsidP="00670203">
            <w:pPr>
              <w:rPr>
                <w:b/>
                <w:bCs/>
              </w:rPr>
            </w:pPr>
          </w:p>
        </w:tc>
        <w:tc>
          <w:tcPr>
            <w:tcW w:w="1223" w:type="dxa"/>
          </w:tcPr>
          <w:p w14:paraId="6AE4C44B" w14:textId="77777777" w:rsidR="00670203" w:rsidRPr="00BD6C5F" w:rsidRDefault="00670203" w:rsidP="00670203"/>
        </w:tc>
        <w:tc>
          <w:tcPr>
            <w:tcW w:w="1224" w:type="dxa"/>
          </w:tcPr>
          <w:p w14:paraId="654B5580" w14:textId="77777777" w:rsidR="00670203" w:rsidRPr="00BD6C5F" w:rsidRDefault="00670203" w:rsidP="00670203"/>
        </w:tc>
        <w:tc>
          <w:tcPr>
            <w:tcW w:w="1134" w:type="dxa"/>
          </w:tcPr>
          <w:p w14:paraId="161BEAD7" w14:textId="77777777" w:rsidR="00670203" w:rsidRPr="00BD6C5F" w:rsidRDefault="00670203" w:rsidP="00670203"/>
        </w:tc>
        <w:tc>
          <w:tcPr>
            <w:tcW w:w="1757" w:type="dxa"/>
          </w:tcPr>
          <w:p w14:paraId="480CFDB1" w14:textId="77777777" w:rsidR="00670203" w:rsidRPr="00BD6C5F" w:rsidRDefault="00670203" w:rsidP="00670203"/>
        </w:tc>
        <w:tc>
          <w:tcPr>
            <w:tcW w:w="1134" w:type="dxa"/>
          </w:tcPr>
          <w:p w14:paraId="356D42FF" w14:textId="77777777" w:rsidR="00670203" w:rsidRPr="00BD6C5F" w:rsidRDefault="00670203" w:rsidP="00670203"/>
        </w:tc>
        <w:tc>
          <w:tcPr>
            <w:tcW w:w="2721" w:type="dxa"/>
            <w:shd w:val="clear" w:color="auto" w:fill="F0F0F0"/>
          </w:tcPr>
          <w:p w14:paraId="3BB0065B" w14:textId="77777777" w:rsidR="00670203" w:rsidRPr="00BD6C5F" w:rsidRDefault="00670203" w:rsidP="00670203"/>
        </w:tc>
      </w:tr>
      <w:tr w:rsidR="00670203" w:rsidRPr="00BD6C5F" w14:paraId="13FA7469" w14:textId="77777777" w:rsidTr="00670203">
        <w:tc>
          <w:tcPr>
            <w:tcW w:w="988" w:type="dxa"/>
          </w:tcPr>
          <w:p w14:paraId="2CAE18AE" w14:textId="77777777" w:rsidR="00670203" w:rsidRPr="00BD6C5F" w:rsidRDefault="00670203" w:rsidP="00670203">
            <w:pPr>
              <w:rPr>
                <w:b/>
                <w:bCs/>
              </w:rPr>
            </w:pPr>
          </w:p>
        </w:tc>
        <w:tc>
          <w:tcPr>
            <w:tcW w:w="1223" w:type="dxa"/>
          </w:tcPr>
          <w:p w14:paraId="2DF584FB" w14:textId="77777777" w:rsidR="00670203" w:rsidRPr="00BD6C5F" w:rsidRDefault="00670203" w:rsidP="00670203"/>
        </w:tc>
        <w:tc>
          <w:tcPr>
            <w:tcW w:w="1224" w:type="dxa"/>
          </w:tcPr>
          <w:p w14:paraId="3EFB6CBF" w14:textId="77777777" w:rsidR="00670203" w:rsidRPr="00BD6C5F" w:rsidRDefault="00670203" w:rsidP="00670203"/>
        </w:tc>
        <w:tc>
          <w:tcPr>
            <w:tcW w:w="1134" w:type="dxa"/>
          </w:tcPr>
          <w:p w14:paraId="4E87B3E0" w14:textId="77777777" w:rsidR="00670203" w:rsidRPr="00BD6C5F" w:rsidRDefault="00670203" w:rsidP="00670203"/>
        </w:tc>
        <w:tc>
          <w:tcPr>
            <w:tcW w:w="1757" w:type="dxa"/>
            <w:tcBorders>
              <w:bottom w:val="single" w:sz="4" w:space="0" w:color="auto"/>
            </w:tcBorders>
          </w:tcPr>
          <w:p w14:paraId="470C8612" w14:textId="77777777" w:rsidR="00670203" w:rsidRPr="00BD6C5F" w:rsidRDefault="00670203" w:rsidP="00670203"/>
        </w:tc>
        <w:tc>
          <w:tcPr>
            <w:tcW w:w="1134" w:type="dxa"/>
            <w:tcBorders>
              <w:bottom w:val="single" w:sz="4" w:space="0" w:color="auto"/>
            </w:tcBorders>
          </w:tcPr>
          <w:p w14:paraId="46803762" w14:textId="77777777" w:rsidR="00670203" w:rsidRPr="00BD6C5F" w:rsidRDefault="00670203" w:rsidP="00670203"/>
        </w:tc>
        <w:tc>
          <w:tcPr>
            <w:tcW w:w="2721" w:type="dxa"/>
            <w:shd w:val="clear" w:color="auto" w:fill="F0F0F0"/>
          </w:tcPr>
          <w:p w14:paraId="3FD97215" w14:textId="77777777" w:rsidR="00670203" w:rsidRPr="00BD6C5F" w:rsidRDefault="00670203" w:rsidP="00670203"/>
        </w:tc>
      </w:tr>
      <w:tr w:rsidR="00670203" w:rsidRPr="00BD6C5F" w14:paraId="5F376760" w14:textId="77777777" w:rsidTr="00670203">
        <w:tc>
          <w:tcPr>
            <w:tcW w:w="988" w:type="dxa"/>
          </w:tcPr>
          <w:p w14:paraId="0A509F63" w14:textId="77777777" w:rsidR="00670203" w:rsidRPr="00BD6C5F" w:rsidRDefault="00670203" w:rsidP="00670203">
            <w:pPr>
              <w:rPr>
                <w:b/>
                <w:bCs/>
              </w:rPr>
            </w:pPr>
          </w:p>
        </w:tc>
        <w:tc>
          <w:tcPr>
            <w:tcW w:w="1223" w:type="dxa"/>
          </w:tcPr>
          <w:p w14:paraId="51FF5821" w14:textId="77777777" w:rsidR="00670203" w:rsidRPr="00BD6C5F" w:rsidRDefault="00670203" w:rsidP="00670203"/>
        </w:tc>
        <w:tc>
          <w:tcPr>
            <w:tcW w:w="1224" w:type="dxa"/>
          </w:tcPr>
          <w:p w14:paraId="4BE4C88C" w14:textId="77777777" w:rsidR="00670203" w:rsidRPr="00BD6C5F" w:rsidRDefault="00670203" w:rsidP="00670203"/>
        </w:tc>
        <w:tc>
          <w:tcPr>
            <w:tcW w:w="1134" w:type="dxa"/>
          </w:tcPr>
          <w:p w14:paraId="22EE858B" w14:textId="77777777" w:rsidR="00670203" w:rsidRPr="00BD6C5F" w:rsidRDefault="00670203" w:rsidP="00670203"/>
        </w:tc>
        <w:tc>
          <w:tcPr>
            <w:tcW w:w="1757" w:type="dxa"/>
            <w:shd w:val="clear" w:color="auto" w:fill="F0F0F0"/>
          </w:tcPr>
          <w:p w14:paraId="3385E171" w14:textId="77777777" w:rsidR="00670203" w:rsidRPr="00BD6C5F" w:rsidRDefault="00670203" w:rsidP="00670203"/>
        </w:tc>
        <w:tc>
          <w:tcPr>
            <w:tcW w:w="1134" w:type="dxa"/>
            <w:shd w:val="clear" w:color="auto" w:fill="F0F0F0"/>
          </w:tcPr>
          <w:p w14:paraId="32266B84" w14:textId="77777777" w:rsidR="00670203" w:rsidRPr="00BD6C5F" w:rsidRDefault="00670203" w:rsidP="00670203"/>
        </w:tc>
        <w:tc>
          <w:tcPr>
            <w:tcW w:w="2721" w:type="dxa"/>
          </w:tcPr>
          <w:p w14:paraId="06F77B07" w14:textId="77777777" w:rsidR="00670203" w:rsidRPr="00BD6C5F" w:rsidRDefault="00670203" w:rsidP="00670203"/>
        </w:tc>
      </w:tr>
    </w:tbl>
    <w:p w14:paraId="451884D5" w14:textId="58ACC73A" w:rsidR="00670203" w:rsidRPr="00BD6C5F" w:rsidRDefault="00670203" w:rsidP="000708BC"/>
    <w:p w14:paraId="7952BDFA" w14:textId="77777777" w:rsidR="00D67018" w:rsidRPr="00BD6C5F" w:rsidRDefault="00D67018" w:rsidP="005B63D4">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3: Appendix Information</w:t>
      </w:r>
    </w:p>
    <w:p w14:paraId="764F1D66" w14:textId="6A4A880F" w:rsidR="00D67018" w:rsidRPr="00BD6C5F" w:rsidRDefault="00A4555C" w:rsidP="000708BC">
      <w:pPr>
        <w:keepLines/>
        <w:spacing w:before="100" w:after="200"/>
        <w:rPr>
          <w:rFonts w:asciiTheme="minorHAnsi" w:hAnsiTheme="minorHAnsi" w:cstheme="minorHAnsi"/>
          <w:szCs w:val="24"/>
        </w:rPr>
      </w:pPr>
      <w:r w:rsidRPr="00BD6C5F">
        <w:rPr>
          <w:rFonts w:asciiTheme="minorHAnsi" w:hAnsiTheme="minorHAnsi" w:cstheme="minorHAnsi"/>
          <w:szCs w:val="24"/>
        </w:rPr>
        <w:t>“</w:t>
      </w:r>
      <w:r w:rsidR="00D67018" w:rsidRPr="00BD6C5F">
        <w:rPr>
          <w:rFonts w:asciiTheme="minorHAnsi" w:hAnsiTheme="minorHAnsi" w:cstheme="minorHAnsi"/>
          <w:b/>
          <w:bCs/>
          <w:szCs w:val="24"/>
        </w:rPr>
        <w:t>Appendix Information</w:t>
      </w:r>
      <w:r w:rsidRPr="00BD6C5F">
        <w:rPr>
          <w:rFonts w:asciiTheme="minorHAnsi" w:hAnsiTheme="minorHAnsi" w:cstheme="minorHAnsi"/>
          <w:szCs w:val="24"/>
        </w:rPr>
        <w:t>”</w:t>
      </w:r>
      <w:r w:rsidR="00D67018" w:rsidRPr="00BD6C5F">
        <w:rPr>
          <w:rFonts w:asciiTheme="minorHAnsi" w:hAnsiTheme="minorHAnsi" w:cstheme="minorHAnsi"/>
          <w:szCs w:val="24"/>
        </w:rPr>
        <w:t xml:space="preserve"> means the information which must be provided for the selected modules as set out in the Appendix of the Approved EU SCCs (other than the Parties), and which for this Addendum is set out in:</w:t>
      </w:r>
    </w:p>
    <w:tbl>
      <w:tblPr>
        <w:tblStyle w:val="MSATable-header"/>
        <w:tblW w:w="0" w:type="auto"/>
        <w:tblBorders>
          <w:left w:val="none" w:sz="0" w:space="0" w:color="auto"/>
          <w:right w:val="none" w:sz="0" w:space="0" w:color="auto"/>
        </w:tblBorders>
        <w:tblLook w:val="0600" w:firstRow="0" w:lastRow="0" w:firstColumn="0" w:lastColumn="0" w:noHBand="1" w:noVBand="1"/>
      </w:tblPr>
      <w:tblGrid>
        <w:gridCol w:w="10205"/>
      </w:tblGrid>
      <w:tr w:rsidR="00D67018" w:rsidRPr="00BD6C5F" w14:paraId="1372A57D" w14:textId="77777777" w:rsidTr="002D4507">
        <w:tc>
          <w:tcPr>
            <w:tcW w:w="10205" w:type="dxa"/>
          </w:tcPr>
          <w:p w14:paraId="5427BC61" w14:textId="6AA30C5F" w:rsidR="00D67018" w:rsidRPr="00BD6C5F" w:rsidRDefault="00D67018" w:rsidP="002D4507">
            <w:r w:rsidRPr="00BD6C5F">
              <w:t xml:space="preserve">Annex 1A: List of Parties: </w:t>
            </w:r>
            <w:r w:rsidR="002D4507" w:rsidRPr="00BD6C5F">
              <w:fldChar w:fldCharType="begin">
                <w:ffData>
                  <w:name w:val=""/>
                  <w:enabled/>
                  <w:calcOnExit w:val="0"/>
                  <w:textInput/>
                </w:ffData>
              </w:fldChar>
            </w:r>
            <w:r w:rsidR="002D4507" w:rsidRPr="00BD6C5F">
              <w:instrText xml:space="preserve"> FORMTEXT </w:instrText>
            </w:r>
            <w:r w:rsidR="002D4507"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2D4507" w:rsidRPr="00BD6C5F">
              <w:fldChar w:fldCharType="end"/>
            </w:r>
          </w:p>
        </w:tc>
      </w:tr>
      <w:tr w:rsidR="00D67018" w:rsidRPr="00BD6C5F" w14:paraId="26D8D593" w14:textId="77777777" w:rsidTr="002D4507">
        <w:tc>
          <w:tcPr>
            <w:tcW w:w="10205" w:type="dxa"/>
          </w:tcPr>
          <w:p w14:paraId="3043747E" w14:textId="08072D82" w:rsidR="00D67018" w:rsidRPr="00BD6C5F" w:rsidRDefault="00D67018" w:rsidP="002D4507">
            <w:r w:rsidRPr="00BD6C5F">
              <w:lastRenderedPageBreak/>
              <w:t xml:space="preserve">Annex 1B: Description of Transfer: </w:t>
            </w:r>
            <w:r w:rsidR="002D4507" w:rsidRPr="00BD6C5F">
              <w:fldChar w:fldCharType="begin">
                <w:ffData>
                  <w:name w:val=""/>
                  <w:enabled/>
                  <w:calcOnExit w:val="0"/>
                  <w:textInput/>
                </w:ffData>
              </w:fldChar>
            </w:r>
            <w:r w:rsidR="002D4507" w:rsidRPr="00BD6C5F">
              <w:instrText xml:space="preserve"> FORMTEXT </w:instrText>
            </w:r>
            <w:r w:rsidR="002D4507"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2D4507" w:rsidRPr="00BD6C5F">
              <w:fldChar w:fldCharType="end"/>
            </w:r>
          </w:p>
        </w:tc>
      </w:tr>
      <w:tr w:rsidR="00D67018" w:rsidRPr="00BD6C5F" w14:paraId="217A9ACC" w14:textId="77777777" w:rsidTr="002D4507">
        <w:tc>
          <w:tcPr>
            <w:tcW w:w="10205" w:type="dxa"/>
          </w:tcPr>
          <w:p w14:paraId="67862D09" w14:textId="69541863" w:rsidR="00D67018" w:rsidRPr="00BD6C5F" w:rsidRDefault="00D67018" w:rsidP="002D4507">
            <w:r w:rsidRPr="00BD6C5F">
              <w:t xml:space="preserve">Annex II: Technical and organisational measures including technical and organisational measures to ensure the security of the data: </w:t>
            </w:r>
            <w:r w:rsidR="002D4507" w:rsidRPr="00BD6C5F">
              <w:fldChar w:fldCharType="begin">
                <w:ffData>
                  <w:name w:val=""/>
                  <w:enabled/>
                  <w:calcOnExit w:val="0"/>
                  <w:textInput/>
                </w:ffData>
              </w:fldChar>
            </w:r>
            <w:r w:rsidR="002D4507" w:rsidRPr="00BD6C5F">
              <w:instrText xml:space="preserve"> FORMTEXT </w:instrText>
            </w:r>
            <w:r w:rsidR="002D4507"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2D4507" w:rsidRPr="00BD6C5F">
              <w:fldChar w:fldCharType="end"/>
            </w:r>
          </w:p>
        </w:tc>
      </w:tr>
      <w:tr w:rsidR="00D67018" w:rsidRPr="00BD6C5F" w14:paraId="1B4A4D6E" w14:textId="77777777" w:rsidTr="002D4507">
        <w:tc>
          <w:tcPr>
            <w:tcW w:w="10205" w:type="dxa"/>
          </w:tcPr>
          <w:p w14:paraId="7791467E" w14:textId="463FDE77" w:rsidR="00D67018" w:rsidRPr="00BD6C5F" w:rsidRDefault="00D67018" w:rsidP="002D4507">
            <w:r w:rsidRPr="00BD6C5F">
              <w:t xml:space="preserve">Annex III: List of Sub processors (Modules 2 and 3 only): </w:t>
            </w:r>
            <w:r w:rsidR="002D4507" w:rsidRPr="00BD6C5F">
              <w:fldChar w:fldCharType="begin">
                <w:ffData>
                  <w:name w:val=""/>
                  <w:enabled/>
                  <w:calcOnExit w:val="0"/>
                  <w:textInput/>
                </w:ffData>
              </w:fldChar>
            </w:r>
            <w:r w:rsidR="002D4507" w:rsidRPr="00BD6C5F">
              <w:instrText xml:space="preserve"> FORMTEXT </w:instrText>
            </w:r>
            <w:r w:rsidR="002D4507" w:rsidRPr="00BD6C5F">
              <w:fldChar w:fldCharType="separate"/>
            </w:r>
            <w:r w:rsidR="008B1A44">
              <w:rPr>
                <w:noProof/>
              </w:rPr>
              <w:t> </w:t>
            </w:r>
            <w:r w:rsidR="008B1A44">
              <w:rPr>
                <w:noProof/>
              </w:rPr>
              <w:t> </w:t>
            </w:r>
            <w:r w:rsidR="008B1A44">
              <w:rPr>
                <w:noProof/>
              </w:rPr>
              <w:t> </w:t>
            </w:r>
            <w:r w:rsidR="008B1A44">
              <w:rPr>
                <w:noProof/>
              </w:rPr>
              <w:t> </w:t>
            </w:r>
            <w:r w:rsidR="008B1A44">
              <w:rPr>
                <w:noProof/>
              </w:rPr>
              <w:t> </w:t>
            </w:r>
            <w:r w:rsidR="002D4507" w:rsidRPr="00BD6C5F">
              <w:fldChar w:fldCharType="end"/>
            </w:r>
          </w:p>
        </w:tc>
      </w:tr>
    </w:tbl>
    <w:p w14:paraId="7C296287" w14:textId="77777777" w:rsidR="002D4507" w:rsidRPr="00BD6C5F" w:rsidRDefault="002D4507" w:rsidP="002D4507"/>
    <w:p w14:paraId="0C893FF8" w14:textId="3C0A8F54" w:rsidR="00D67018" w:rsidRPr="00BD6C5F" w:rsidRDefault="00D67018" w:rsidP="005B63D4">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Table 4: Ending this Addendum when the Approved Addendum Changes</w:t>
      </w:r>
    </w:p>
    <w:tbl>
      <w:tblPr>
        <w:tblStyle w:val="MSATable-header"/>
        <w:tblW w:w="5003" w:type="pct"/>
        <w:tblLook w:val="0600" w:firstRow="0" w:lastRow="0" w:firstColumn="0" w:lastColumn="0" w:noHBand="1" w:noVBand="1"/>
      </w:tblPr>
      <w:tblGrid>
        <w:gridCol w:w="2439"/>
        <w:gridCol w:w="7765"/>
      </w:tblGrid>
      <w:tr w:rsidR="002D4507" w:rsidRPr="00BD6C5F" w14:paraId="0FB6ABB0" w14:textId="77777777" w:rsidTr="002D4507">
        <w:tc>
          <w:tcPr>
            <w:tcW w:w="1195" w:type="pct"/>
            <w:shd w:val="clear" w:color="auto" w:fill="F0F0F0"/>
          </w:tcPr>
          <w:p w14:paraId="0867B9C1" w14:textId="77777777" w:rsidR="00D67018" w:rsidRPr="00BD6C5F" w:rsidRDefault="00D67018" w:rsidP="002D4507">
            <w:pPr>
              <w:rPr>
                <w:b/>
                <w:bCs/>
              </w:rPr>
            </w:pPr>
            <w:r w:rsidRPr="00BD6C5F">
              <w:rPr>
                <w:b/>
                <w:bCs/>
              </w:rPr>
              <w:t>Ending this Addendum when the Approved Addendum changes</w:t>
            </w:r>
          </w:p>
        </w:tc>
        <w:tc>
          <w:tcPr>
            <w:tcW w:w="3805" w:type="pct"/>
          </w:tcPr>
          <w:p w14:paraId="0E4DDE7C" w14:textId="326DB76A" w:rsidR="00D67018" w:rsidRPr="00BD6C5F" w:rsidRDefault="00D67018" w:rsidP="002D4507">
            <w:pPr>
              <w:spacing w:after="120"/>
              <w:rPr>
                <w:rFonts w:asciiTheme="minorHAnsi" w:hAnsiTheme="minorHAnsi" w:cstheme="minorHAnsi"/>
              </w:rPr>
            </w:pPr>
            <w:r w:rsidRPr="00BD6C5F">
              <w:rPr>
                <w:rFonts w:asciiTheme="minorHAnsi" w:hAnsiTheme="minorHAnsi" w:cstheme="minorHAnsi"/>
              </w:rPr>
              <w:t xml:space="preserve">Which </w:t>
            </w:r>
            <w:r w:rsidRPr="00BD6C5F">
              <w:t>Parties</w:t>
            </w:r>
            <w:r w:rsidRPr="00BD6C5F">
              <w:rPr>
                <w:rFonts w:asciiTheme="minorHAnsi" w:hAnsiTheme="minorHAnsi" w:cstheme="minorHAnsi"/>
              </w:rPr>
              <w:t xml:space="preserve"> may end this Addendum as set out in Section </w:t>
            </w:r>
            <w:r w:rsidR="0010425E" w:rsidRPr="00BD6C5F">
              <w:rPr>
                <w:rFonts w:asciiTheme="minorHAnsi" w:hAnsiTheme="minorHAnsi" w:cstheme="minorHAnsi"/>
                <w:cs/>
              </w:rPr>
              <w:t>‎</w:t>
            </w:r>
            <w:r w:rsidR="0010425E" w:rsidRPr="00BD6C5F">
              <w:rPr>
                <w:rFonts w:asciiTheme="minorHAnsi" w:hAnsiTheme="minorHAnsi" w:cstheme="minorHAnsi"/>
              </w:rPr>
              <w:t>19</w:t>
            </w:r>
            <w:r w:rsidRPr="00BD6C5F">
              <w:rPr>
                <w:rFonts w:asciiTheme="minorHAnsi" w:hAnsiTheme="minorHAnsi" w:cstheme="minorHAnsi"/>
              </w:rPr>
              <w:t>:</w:t>
            </w:r>
          </w:p>
          <w:p w14:paraId="5C5CE574" w14:textId="77777777" w:rsidR="00D67018" w:rsidRPr="00BD6C5F" w:rsidRDefault="00D67018" w:rsidP="002D4507">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eastAsia="Verdana" w:hAnsiTheme="minorHAnsi" w:cstheme="minorHAnsi"/>
              </w:rPr>
              <w:t>Importer</w:t>
            </w:r>
          </w:p>
          <w:p w14:paraId="72DB8BFF" w14:textId="77777777" w:rsidR="00D67018" w:rsidRPr="00BD6C5F" w:rsidRDefault="00D67018" w:rsidP="002D4507">
            <w:pPr>
              <w:spacing w:after="120"/>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eastAsia="Verdana" w:hAnsiTheme="minorHAnsi" w:cstheme="minorHAnsi"/>
              </w:rPr>
              <w:t>Exporter</w:t>
            </w:r>
          </w:p>
          <w:p w14:paraId="6B96B550" w14:textId="77777777" w:rsidR="00D67018" w:rsidRPr="00BD6C5F" w:rsidRDefault="00D67018" w:rsidP="002D4507">
            <w:pPr>
              <w:ind w:left="227" w:hanging="227"/>
              <w:rPr>
                <w:rFonts w:asciiTheme="minorHAnsi" w:hAnsiTheme="minorHAnsi" w:cstheme="minorHAnsi"/>
              </w:rPr>
            </w:pPr>
            <w:r w:rsidRPr="00BD6C5F">
              <w:rPr>
                <w:rFonts w:asciiTheme="minorHAnsi" w:hAnsiTheme="minorHAnsi" w:cstheme="minorHAnsi"/>
              </w:rPr>
              <w:fldChar w:fldCharType="begin" w:fldLock="1">
                <w:ffData>
                  <w:name w:val=""/>
                  <w:enabled/>
                  <w:calcOnExit w:val="0"/>
                  <w:checkBox>
                    <w:size w:val="16"/>
                    <w:default w:val="0"/>
                  </w:checkBox>
                </w:ffData>
              </w:fldChar>
            </w:r>
            <w:r w:rsidRPr="00BD6C5F">
              <w:rPr>
                <w:rFonts w:asciiTheme="minorHAnsi" w:hAnsiTheme="minorHAnsi" w:cstheme="minorHAnsi"/>
              </w:rPr>
              <w:instrText xml:space="preserve"> FORMCHECKBOX </w:instrText>
            </w:r>
            <w:r w:rsidR="00EC0D9B">
              <w:rPr>
                <w:rFonts w:asciiTheme="minorHAnsi" w:hAnsiTheme="minorHAnsi" w:cstheme="minorHAnsi"/>
              </w:rPr>
            </w:r>
            <w:r w:rsidR="00EC0D9B">
              <w:rPr>
                <w:rFonts w:asciiTheme="minorHAnsi" w:hAnsiTheme="minorHAnsi" w:cstheme="minorHAnsi"/>
              </w:rPr>
              <w:fldChar w:fldCharType="separate"/>
            </w:r>
            <w:r w:rsidRPr="00BD6C5F">
              <w:rPr>
                <w:rFonts w:asciiTheme="minorHAnsi" w:hAnsiTheme="minorHAnsi" w:cstheme="minorHAnsi"/>
              </w:rPr>
              <w:fldChar w:fldCharType="end"/>
            </w:r>
            <w:r w:rsidRPr="00BD6C5F">
              <w:rPr>
                <w:rFonts w:asciiTheme="minorHAnsi" w:hAnsiTheme="minorHAnsi" w:cstheme="minorHAnsi"/>
              </w:rPr>
              <w:t xml:space="preserve"> </w:t>
            </w:r>
            <w:r w:rsidRPr="00BD6C5F">
              <w:rPr>
                <w:rFonts w:asciiTheme="minorHAnsi" w:eastAsia="Verdana" w:hAnsiTheme="minorHAnsi" w:cstheme="minorHAnsi"/>
              </w:rPr>
              <w:t>neither</w:t>
            </w:r>
            <w:r w:rsidRPr="00BD6C5F">
              <w:rPr>
                <w:rFonts w:asciiTheme="minorHAnsi" w:hAnsiTheme="minorHAnsi" w:cstheme="minorHAnsi"/>
              </w:rPr>
              <w:t xml:space="preserve"> Party</w:t>
            </w:r>
          </w:p>
        </w:tc>
      </w:tr>
    </w:tbl>
    <w:p w14:paraId="6DE52885" w14:textId="77777777" w:rsidR="00D67018" w:rsidRPr="00BD6C5F" w:rsidRDefault="00D67018" w:rsidP="00D67018"/>
    <w:p w14:paraId="0B506F41" w14:textId="77777777" w:rsidR="00D67018" w:rsidRPr="00BD6C5F" w:rsidRDefault="00D67018" w:rsidP="004A6721">
      <w:pPr>
        <w:pStyle w:val="Heading3"/>
      </w:pPr>
      <w:r w:rsidRPr="00BD6C5F">
        <w:t>Part 2: Mandatory Clauses</w:t>
      </w:r>
    </w:p>
    <w:p w14:paraId="27C8CAAF" w14:textId="77777777" w:rsidR="00D67018" w:rsidRPr="00BD6C5F" w:rsidRDefault="00D67018" w:rsidP="00B71FC0">
      <w:pPr>
        <w:pStyle w:val="AppendixText1"/>
        <w:numPr>
          <w:ilvl w:val="0"/>
          <w:numId w:val="185"/>
        </w:numPr>
      </w:pPr>
      <w:r w:rsidRPr="00BD6C5F">
        <w:t>Entering into this Addendum</w:t>
      </w:r>
    </w:p>
    <w:p w14:paraId="5D146CA5" w14:textId="77777777" w:rsidR="00D67018" w:rsidRPr="00BD6C5F" w:rsidRDefault="00D67018" w:rsidP="00C73AC9">
      <w:pPr>
        <w:pStyle w:val="AppendixText2"/>
      </w:pPr>
      <w:r w:rsidRPr="00BD6C5F">
        <w:t>Each Party agrees to be bound by the terms and conditions set out in this Addendum, in exchange for the other Party also agreeing to be bound by this Addendum.</w:t>
      </w:r>
    </w:p>
    <w:p w14:paraId="7398E44F" w14:textId="4CF4039C" w:rsidR="00D67018" w:rsidRPr="00BD6C5F" w:rsidRDefault="00D67018" w:rsidP="00C73AC9">
      <w:pPr>
        <w:pStyle w:val="AppendixText2"/>
      </w:pPr>
      <w:bookmarkStart w:id="2120" w:name="_Ref90904580"/>
      <w:r w:rsidRPr="00BD6C5F">
        <w:t xml:space="preserve">Although Annex 1A and </w:t>
      </w:r>
      <w:r w:rsidR="005E736B" w:rsidRPr="00BD6C5F">
        <w:t>Clause </w:t>
      </w:r>
      <w:r w:rsidRPr="00BD6C5F">
        <w:t>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120"/>
    </w:p>
    <w:p w14:paraId="4B7B99E4" w14:textId="62012AF0" w:rsidR="00D67018" w:rsidRPr="00BD6C5F" w:rsidRDefault="00D67018" w:rsidP="00AE04CE">
      <w:pPr>
        <w:pStyle w:val="AppendixText1"/>
      </w:pPr>
      <w:bookmarkStart w:id="2121" w:name="_Hlk92885712"/>
      <w:r w:rsidRPr="00BD6C5F">
        <w:t>Interpretation of this Addendum</w:t>
      </w:r>
    </w:p>
    <w:p w14:paraId="5FCBAEF2" w14:textId="77777777" w:rsidR="00D67018" w:rsidRPr="00BD6C5F" w:rsidRDefault="00D67018" w:rsidP="00C73AC9">
      <w:pPr>
        <w:pStyle w:val="AppendixText2"/>
        <w:rPr>
          <w:bCs/>
        </w:rPr>
      </w:pPr>
      <w:r w:rsidRPr="00BD6C5F">
        <w:t>Where this Addendum uses terms that are defined in the Approved EU SCCs those terms shall have the same meaning as in the Approved EU SCCs. In addition, the following terms have the following meanings:</w:t>
      </w:r>
    </w:p>
    <w:tbl>
      <w:tblPr>
        <w:tblStyle w:val="MSATable-header"/>
        <w:tblW w:w="5003" w:type="pct"/>
        <w:tblLook w:val="0600" w:firstRow="0" w:lastRow="0" w:firstColumn="0" w:lastColumn="0" w:noHBand="1" w:noVBand="1"/>
      </w:tblPr>
      <w:tblGrid>
        <w:gridCol w:w="2884"/>
        <w:gridCol w:w="7320"/>
      </w:tblGrid>
      <w:tr w:rsidR="00D67018" w:rsidRPr="00BD6C5F" w14:paraId="19CECD87" w14:textId="77777777" w:rsidTr="009374DE">
        <w:tc>
          <w:tcPr>
            <w:tcW w:w="1413" w:type="pct"/>
            <w:shd w:val="clear" w:color="auto" w:fill="F0F0F0"/>
          </w:tcPr>
          <w:p w14:paraId="24036211" w14:textId="77777777" w:rsidR="00D67018" w:rsidRPr="00BD6C5F" w:rsidRDefault="00D67018" w:rsidP="009374DE">
            <w:pPr>
              <w:rPr>
                <w:b/>
                <w:bCs/>
              </w:rPr>
            </w:pPr>
            <w:r w:rsidRPr="00BD6C5F">
              <w:rPr>
                <w:b/>
                <w:bCs/>
              </w:rPr>
              <w:t xml:space="preserve">Addendum </w:t>
            </w:r>
          </w:p>
        </w:tc>
        <w:tc>
          <w:tcPr>
            <w:tcW w:w="3587" w:type="pct"/>
          </w:tcPr>
          <w:p w14:paraId="30D5EC16" w14:textId="77777777" w:rsidR="00D67018" w:rsidRPr="00BD6C5F" w:rsidRDefault="00D67018" w:rsidP="009374DE">
            <w:r w:rsidRPr="00BD6C5F">
              <w:t>This International Data Transfer Addendum which is made up of this Addendum incorporating the Addendum EU SCCs.</w:t>
            </w:r>
          </w:p>
        </w:tc>
      </w:tr>
      <w:tr w:rsidR="00D67018" w:rsidRPr="00BD6C5F" w14:paraId="186C25D0" w14:textId="77777777" w:rsidTr="009374DE">
        <w:tc>
          <w:tcPr>
            <w:tcW w:w="1413" w:type="pct"/>
            <w:shd w:val="clear" w:color="auto" w:fill="F0F0F0"/>
          </w:tcPr>
          <w:p w14:paraId="2DAF7D19" w14:textId="77777777" w:rsidR="00D67018" w:rsidRPr="00BD6C5F" w:rsidRDefault="00D67018" w:rsidP="009374DE">
            <w:pPr>
              <w:rPr>
                <w:b/>
                <w:bCs/>
              </w:rPr>
            </w:pPr>
            <w:r w:rsidRPr="00BD6C5F">
              <w:rPr>
                <w:b/>
                <w:bCs/>
              </w:rPr>
              <w:t>Addendum EU SCCs</w:t>
            </w:r>
          </w:p>
        </w:tc>
        <w:tc>
          <w:tcPr>
            <w:tcW w:w="3587" w:type="pct"/>
          </w:tcPr>
          <w:p w14:paraId="405F05BE" w14:textId="77777777" w:rsidR="00D67018" w:rsidRPr="00BD6C5F" w:rsidRDefault="00D67018" w:rsidP="009374DE">
            <w:r w:rsidRPr="00BD6C5F">
              <w:t>The version(s) of the Approved EU SCCs which this Addendum is appended to, as set out in Table 2, including the Appendix Information.</w:t>
            </w:r>
          </w:p>
        </w:tc>
      </w:tr>
      <w:tr w:rsidR="00D67018" w:rsidRPr="00BD6C5F" w14:paraId="0D35BC31" w14:textId="77777777" w:rsidTr="009374DE">
        <w:tc>
          <w:tcPr>
            <w:tcW w:w="1413" w:type="pct"/>
            <w:shd w:val="clear" w:color="auto" w:fill="F0F0F0"/>
          </w:tcPr>
          <w:p w14:paraId="07F36399" w14:textId="77777777" w:rsidR="00D67018" w:rsidRPr="00BD6C5F" w:rsidRDefault="00D67018" w:rsidP="009374DE">
            <w:pPr>
              <w:rPr>
                <w:b/>
                <w:bCs/>
              </w:rPr>
            </w:pPr>
            <w:r w:rsidRPr="00BD6C5F">
              <w:rPr>
                <w:b/>
                <w:bCs/>
              </w:rPr>
              <w:t>Appendix Information</w:t>
            </w:r>
          </w:p>
        </w:tc>
        <w:tc>
          <w:tcPr>
            <w:tcW w:w="3587" w:type="pct"/>
          </w:tcPr>
          <w:p w14:paraId="1F409F8E" w14:textId="77777777" w:rsidR="00D67018" w:rsidRPr="00BD6C5F" w:rsidRDefault="00D67018" w:rsidP="009374DE">
            <w:r w:rsidRPr="00BD6C5F">
              <w:t>As set out in Table ‎3.</w:t>
            </w:r>
          </w:p>
        </w:tc>
      </w:tr>
      <w:tr w:rsidR="00D67018" w:rsidRPr="00BD6C5F" w14:paraId="29729CD8" w14:textId="77777777" w:rsidTr="009374DE">
        <w:tc>
          <w:tcPr>
            <w:tcW w:w="1413" w:type="pct"/>
            <w:shd w:val="clear" w:color="auto" w:fill="F0F0F0"/>
          </w:tcPr>
          <w:p w14:paraId="618160B7" w14:textId="77777777" w:rsidR="00D67018" w:rsidRPr="00BD6C5F" w:rsidRDefault="00D67018" w:rsidP="009374DE">
            <w:pPr>
              <w:rPr>
                <w:b/>
                <w:bCs/>
              </w:rPr>
            </w:pPr>
            <w:r w:rsidRPr="00BD6C5F">
              <w:rPr>
                <w:b/>
                <w:bCs/>
              </w:rPr>
              <w:t>Appropriate Safeguards</w:t>
            </w:r>
          </w:p>
        </w:tc>
        <w:tc>
          <w:tcPr>
            <w:tcW w:w="3587" w:type="pct"/>
          </w:tcPr>
          <w:p w14:paraId="3B68402C" w14:textId="47D34CED" w:rsidR="00D67018" w:rsidRPr="00BD6C5F" w:rsidRDefault="00D67018" w:rsidP="009374DE">
            <w:r w:rsidRPr="00BD6C5F">
              <w:t>The standard of protection over the personal data and of data subjects</w:t>
            </w:r>
            <w:r w:rsidR="00A4555C" w:rsidRPr="00BD6C5F">
              <w:t>’</w:t>
            </w:r>
            <w:r w:rsidRPr="00BD6C5F">
              <w:t xml:space="preserve"> rights, which is required by UK Data Protection Laws when you are making a Restricted Transfer relying on standard data protection clauses under Article 46(2)(d) UK GDPR.</w:t>
            </w:r>
          </w:p>
        </w:tc>
      </w:tr>
      <w:tr w:rsidR="00D67018" w:rsidRPr="00BD6C5F" w14:paraId="19C8D3F3" w14:textId="77777777" w:rsidTr="009374DE">
        <w:tc>
          <w:tcPr>
            <w:tcW w:w="1413" w:type="pct"/>
            <w:shd w:val="clear" w:color="auto" w:fill="F0F0F0"/>
          </w:tcPr>
          <w:p w14:paraId="2CF7E189" w14:textId="77777777" w:rsidR="00D67018" w:rsidRPr="00BD6C5F" w:rsidRDefault="00D67018" w:rsidP="009374DE">
            <w:pPr>
              <w:rPr>
                <w:b/>
                <w:bCs/>
              </w:rPr>
            </w:pPr>
            <w:r w:rsidRPr="00BD6C5F">
              <w:rPr>
                <w:b/>
                <w:bCs/>
              </w:rPr>
              <w:t>Approved Addendum</w:t>
            </w:r>
          </w:p>
        </w:tc>
        <w:tc>
          <w:tcPr>
            <w:tcW w:w="3587" w:type="pct"/>
          </w:tcPr>
          <w:p w14:paraId="3C942128" w14:textId="5112B3EE" w:rsidR="00D67018" w:rsidRPr="00BD6C5F" w:rsidRDefault="00D67018" w:rsidP="009374DE">
            <w:r w:rsidRPr="00BD6C5F">
              <w:t xml:space="preserve">The template Addendum issued by the ICO and laid before Parliament in accordance with s119A of the Data Protection Act 2018 on 2 February 2022, as it is revised under Section </w:t>
            </w:r>
            <w:r w:rsidR="0010425E" w:rsidRPr="00BD6C5F">
              <w:rPr>
                <w:cs/>
              </w:rPr>
              <w:t>‎</w:t>
            </w:r>
            <w:r w:rsidR="0010425E" w:rsidRPr="00BD6C5F">
              <w:t>18</w:t>
            </w:r>
            <w:r w:rsidRPr="00BD6C5F">
              <w:t>.</w:t>
            </w:r>
          </w:p>
        </w:tc>
      </w:tr>
      <w:tr w:rsidR="00D67018" w:rsidRPr="00BD6C5F" w14:paraId="506EAA9A" w14:textId="77777777" w:rsidTr="009374DE">
        <w:tc>
          <w:tcPr>
            <w:tcW w:w="1413" w:type="pct"/>
            <w:shd w:val="clear" w:color="auto" w:fill="F0F0F0"/>
          </w:tcPr>
          <w:p w14:paraId="4877D1A4" w14:textId="77777777" w:rsidR="00D67018" w:rsidRPr="00BD6C5F" w:rsidRDefault="00D67018" w:rsidP="009374DE">
            <w:pPr>
              <w:rPr>
                <w:b/>
                <w:bCs/>
              </w:rPr>
            </w:pPr>
            <w:r w:rsidRPr="00BD6C5F">
              <w:rPr>
                <w:b/>
                <w:bCs/>
              </w:rPr>
              <w:t xml:space="preserve">Approved EU SCCs </w:t>
            </w:r>
          </w:p>
        </w:tc>
        <w:tc>
          <w:tcPr>
            <w:tcW w:w="3587" w:type="pct"/>
          </w:tcPr>
          <w:p w14:paraId="37B25B8B" w14:textId="77777777" w:rsidR="00D67018" w:rsidRPr="00BD6C5F" w:rsidRDefault="00D67018" w:rsidP="009374DE">
            <w:r w:rsidRPr="00BD6C5F">
              <w:t>The Standard Contractual Clauses set out in the Annex of Commission Implementing Decision (EU) 2021/914 of 4 June 2021.</w:t>
            </w:r>
          </w:p>
        </w:tc>
      </w:tr>
      <w:tr w:rsidR="00D67018" w:rsidRPr="00BD6C5F" w14:paraId="499DCB97" w14:textId="77777777" w:rsidTr="009374DE">
        <w:tc>
          <w:tcPr>
            <w:tcW w:w="1413" w:type="pct"/>
            <w:shd w:val="clear" w:color="auto" w:fill="F0F0F0"/>
          </w:tcPr>
          <w:p w14:paraId="4093BE3F" w14:textId="77777777" w:rsidR="00D67018" w:rsidRPr="00BD6C5F" w:rsidRDefault="00D67018" w:rsidP="009374DE">
            <w:pPr>
              <w:rPr>
                <w:b/>
                <w:bCs/>
              </w:rPr>
            </w:pPr>
            <w:r w:rsidRPr="00BD6C5F">
              <w:rPr>
                <w:b/>
                <w:bCs/>
              </w:rPr>
              <w:lastRenderedPageBreak/>
              <w:t>ICO</w:t>
            </w:r>
          </w:p>
        </w:tc>
        <w:tc>
          <w:tcPr>
            <w:tcW w:w="3587" w:type="pct"/>
          </w:tcPr>
          <w:p w14:paraId="7EF64ABA" w14:textId="77777777" w:rsidR="00D67018" w:rsidRPr="00BD6C5F" w:rsidRDefault="00D67018" w:rsidP="009374DE">
            <w:r w:rsidRPr="00BD6C5F">
              <w:t>The Information Commissioner.</w:t>
            </w:r>
          </w:p>
        </w:tc>
      </w:tr>
      <w:tr w:rsidR="00D67018" w:rsidRPr="00BD6C5F" w14:paraId="107092D0" w14:textId="77777777" w:rsidTr="009374DE">
        <w:tc>
          <w:tcPr>
            <w:tcW w:w="1413" w:type="pct"/>
            <w:shd w:val="clear" w:color="auto" w:fill="F0F0F0"/>
          </w:tcPr>
          <w:p w14:paraId="459829CF" w14:textId="77777777" w:rsidR="00D67018" w:rsidRPr="00BD6C5F" w:rsidRDefault="00D67018" w:rsidP="009374DE">
            <w:pPr>
              <w:rPr>
                <w:b/>
                <w:bCs/>
              </w:rPr>
            </w:pPr>
            <w:r w:rsidRPr="00BD6C5F">
              <w:rPr>
                <w:b/>
                <w:bCs/>
              </w:rPr>
              <w:t>Restricted Transfer</w:t>
            </w:r>
          </w:p>
        </w:tc>
        <w:tc>
          <w:tcPr>
            <w:tcW w:w="3587" w:type="pct"/>
          </w:tcPr>
          <w:p w14:paraId="7988CEC0" w14:textId="77777777" w:rsidR="00D67018" w:rsidRPr="00BD6C5F" w:rsidRDefault="00D67018" w:rsidP="009374DE">
            <w:r w:rsidRPr="00BD6C5F">
              <w:t>A transfer which is covered by Chapter V of the UK GDPR.</w:t>
            </w:r>
          </w:p>
        </w:tc>
      </w:tr>
      <w:tr w:rsidR="00D67018" w:rsidRPr="00BD6C5F" w14:paraId="783B1884" w14:textId="77777777" w:rsidTr="009374DE">
        <w:tc>
          <w:tcPr>
            <w:tcW w:w="1413" w:type="pct"/>
            <w:shd w:val="clear" w:color="auto" w:fill="F0F0F0"/>
          </w:tcPr>
          <w:p w14:paraId="49BD012A" w14:textId="77777777" w:rsidR="00D67018" w:rsidRPr="00BD6C5F" w:rsidRDefault="00D67018" w:rsidP="009374DE">
            <w:pPr>
              <w:rPr>
                <w:b/>
                <w:bCs/>
              </w:rPr>
            </w:pPr>
            <w:r w:rsidRPr="00BD6C5F">
              <w:rPr>
                <w:b/>
                <w:bCs/>
              </w:rPr>
              <w:t xml:space="preserve">UK </w:t>
            </w:r>
          </w:p>
        </w:tc>
        <w:tc>
          <w:tcPr>
            <w:tcW w:w="3587" w:type="pct"/>
          </w:tcPr>
          <w:p w14:paraId="72E28CA9" w14:textId="77777777" w:rsidR="00D67018" w:rsidRPr="00BD6C5F" w:rsidRDefault="00D67018" w:rsidP="009374DE">
            <w:r w:rsidRPr="00BD6C5F">
              <w:t>The United Kingdom of Great Britain and Northern Ireland.</w:t>
            </w:r>
          </w:p>
        </w:tc>
      </w:tr>
      <w:tr w:rsidR="00D67018" w:rsidRPr="00BD6C5F" w14:paraId="4A187CE6" w14:textId="77777777" w:rsidTr="009374DE">
        <w:tc>
          <w:tcPr>
            <w:tcW w:w="1413" w:type="pct"/>
            <w:shd w:val="clear" w:color="auto" w:fill="F0F0F0"/>
          </w:tcPr>
          <w:p w14:paraId="0E287A2A" w14:textId="77777777" w:rsidR="00D67018" w:rsidRPr="00BD6C5F" w:rsidRDefault="00D67018" w:rsidP="009374DE">
            <w:pPr>
              <w:rPr>
                <w:b/>
                <w:bCs/>
              </w:rPr>
            </w:pPr>
            <w:r w:rsidRPr="00BD6C5F">
              <w:rPr>
                <w:b/>
                <w:bCs/>
              </w:rPr>
              <w:t xml:space="preserve">UK Data Protection Laws </w:t>
            </w:r>
          </w:p>
        </w:tc>
        <w:tc>
          <w:tcPr>
            <w:tcW w:w="3587" w:type="pct"/>
          </w:tcPr>
          <w:p w14:paraId="41E35AA0" w14:textId="77777777" w:rsidR="00D67018" w:rsidRPr="00BD6C5F" w:rsidRDefault="00D67018" w:rsidP="009374DE">
            <w:r w:rsidRPr="00BD6C5F">
              <w:t>All laws relating to data protection, the processing of personal data, privacy and/or electronic communications in force from time to time in the UK, including the UK GDPR and the Data Protection Act 2018.</w:t>
            </w:r>
          </w:p>
        </w:tc>
      </w:tr>
      <w:tr w:rsidR="00D67018" w:rsidRPr="00BD6C5F" w14:paraId="60D3E8E3" w14:textId="77777777" w:rsidTr="009374DE">
        <w:tc>
          <w:tcPr>
            <w:tcW w:w="1413" w:type="pct"/>
            <w:shd w:val="clear" w:color="auto" w:fill="F0F0F0"/>
          </w:tcPr>
          <w:p w14:paraId="287C560D" w14:textId="77777777" w:rsidR="00D67018" w:rsidRPr="00BD6C5F" w:rsidRDefault="00D67018" w:rsidP="009374DE">
            <w:pPr>
              <w:rPr>
                <w:b/>
                <w:bCs/>
              </w:rPr>
            </w:pPr>
            <w:r w:rsidRPr="00BD6C5F">
              <w:rPr>
                <w:b/>
                <w:bCs/>
              </w:rPr>
              <w:t xml:space="preserve">UK GDPR </w:t>
            </w:r>
          </w:p>
        </w:tc>
        <w:tc>
          <w:tcPr>
            <w:tcW w:w="3587" w:type="pct"/>
          </w:tcPr>
          <w:p w14:paraId="44FE0A0A" w14:textId="77777777" w:rsidR="00D67018" w:rsidRPr="00BD6C5F" w:rsidRDefault="00D67018" w:rsidP="009374DE">
            <w:r w:rsidRPr="00BD6C5F">
              <w:t>As defined in section 3 of the Data Protection Act 2018.</w:t>
            </w:r>
          </w:p>
        </w:tc>
      </w:tr>
      <w:bookmarkEnd w:id="2119"/>
    </w:tbl>
    <w:p w14:paraId="3C9A42B4" w14:textId="77777777" w:rsidR="00D67018" w:rsidRPr="00BD6C5F" w:rsidRDefault="00D67018" w:rsidP="003F334A"/>
    <w:p w14:paraId="04FDBEFF" w14:textId="4267F44A" w:rsidR="00D67018" w:rsidRPr="00BD6C5F" w:rsidRDefault="00D67018" w:rsidP="00C73AC9">
      <w:pPr>
        <w:pStyle w:val="AppendixText2"/>
        <w:rPr>
          <w:bCs/>
        </w:rPr>
      </w:pPr>
      <w:r w:rsidRPr="00BD6C5F">
        <w:t>This Addendum must always be interpreted in a manner that is consistent with UK Data Protection Laws and so that it fulfils the Parties</w:t>
      </w:r>
      <w:r w:rsidR="00A4555C" w:rsidRPr="00BD6C5F">
        <w:t>’</w:t>
      </w:r>
      <w:r w:rsidRPr="00BD6C5F">
        <w:t xml:space="preserve"> obligation to provide the Appropriate Safeguards. </w:t>
      </w:r>
    </w:p>
    <w:p w14:paraId="1594FAAE" w14:textId="77777777" w:rsidR="00D67018" w:rsidRPr="00BD6C5F" w:rsidRDefault="00D67018" w:rsidP="00C73AC9">
      <w:pPr>
        <w:pStyle w:val="AppendixText2"/>
        <w:rPr>
          <w:bCs/>
        </w:rPr>
      </w:pPr>
      <w:r w:rsidRPr="00BD6C5F">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0F61A7FA" w14:textId="77777777" w:rsidR="00D67018" w:rsidRPr="00BD6C5F" w:rsidRDefault="00D67018" w:rsidP="00C73AC9">
      <w:pPr>
        <w:pStyle w:val="AppendixText2"/>
        <w:rPr>
          <w:bCs/>
        </w:rPr>
      </w:pPr>
      <w:r w:rsidRPr="00BD6C5F">
        <w:t>If there is any inconsistency or conflict between UK Data Protection Laws and this Addendum, UK Data Protection Laws applies.</w:t>
      </w:r>
    </w:p>
    <w:p w14:paraId="3075CF3A" w14:textId="77777777" w:rsidR="00D67018" w:rsidRPr="0069052B" w:rsidRDefault="00D67018" w:rsidP="00C73AC9">
      <w:pPr>
        <w:pStyle w:val="AppendixText2"/>
      </w:pPr>
      <w:r w:rsidRPr="00BD6C5F">
        <w:t xml:space="preserve">If the </w:t>
      </w:r>
      <w:r w:rsidRPr="0069052B">
        <w:t>meaning</w:t>
      </w:r>
      <w:r w:rsidRPr="00BD6C5F">
        <w:t xml:space="preserve"> of this Addendum is unclear or there is more than one meaning, the meaning which most closely aligns with UK Data Protection Laws applies. </w:t>
      </w:r>
    </w:p>
    <w:p w14:paraId="329BC0C2" w14:textId="77777777" w:rsidR="00D67018" w:rsidRPr="0069052B" w:rsidRDefault="00D67018" w:rsidP="00C73AC9">
      <w:pPr>
        <w:pStyle w:val="AppendixText2"/>
      </w:pPr>
      <w:r w:rsidRPr="00BD6C5F">
        <w:t xml:space="preserve">Any references to legislation (or specific provisions of legislation) means that legislation (or specific </w:t>
      </w:r>
      <w:r w:rsidRPr="0069052B">
        <w:t>provision</w:t>
      </w:r>
      <w:r w:rsidRPr="00BD6C5F">
        <w:t xml:space="preserve">) as it may change over time. This includes where that legislation (or specific provision) has been consolidated, re-enacted and/or replaced after this Addendum has been entered into. </w:t>
      </w:r>
    </w:p>
    <w:p w14:paraId="1C3EA068" w14:textId="33C362B1" w:rsidR="00D67018" w:rsidRPr="00BD6C5F" w:rsidRDefault="00D67018" w:rsidP="00AE04CE">
      <w:pPr>
        <w:pStyle w:val="AppendixText1"/>
      </w:pPr>
      <w:r w:rsidRPr="00BD6C5F">
        <w:t>Hierarchy</w:t>
      </w:r>
    </w:p>
    <w:p w14:paraId="299C65AA" w14:textId="26EC5DAD" w:rsidR="00D67018" w:rsidRPr="00BD6C5F" w:rsidRDefault="00D67018" w:rsidP="00C73AC9">
      <w:pPr>
        <w:pStyle w:val="AppendixText2"/>
        <w:rPr>
          <w:bCs/>
        </w:rPr>
      </w:pPr>
      <w:bookmarkStart w:id="2122" w:name="_Ref90905648"/>
      <w:r w:rsidRPr="00BD6C5F">
        <w:t xml:space="preserve">Although </w:t>
      </w:r>
      <w:r w:rsidR="005E736B" w:rsidRPr="00BD6C5F">
        <w:t>Clause </w:t>
      </w:r>
      <w:r w:rsidRPr="00BD6C5F">
        <w:t xml:space="preserve">5 of the Approved EU SCCs sets out that the Approved EU SCCs prevail over all related agreements between the parties, the parties agree that, for </w:t>
      </w:r>
      <w:r w:rsidRPr="00BD6C5F">
        <w:rPr>
          <w:bCs/>
        </w:rPr>
        <w:t>Restricted</w:t>
      </w:r>
      <w:r w:rsidRPr="00BD6C5F">
        <w:t xml:space="preserve"> Transfers, the hierarchy in Section </w:t>
      </w:r>
      <w:r w:rsidR="0010425E" w:rsidRPr="00BD6C5F">
        <w:rPr>
          <w:cs/>
        </w:rPr>
        <w:t>‎</w:t>
      </w:r>
      <w:r w:rsidR="0010425E" w:rsidRPr="00BD6C5F">
        <w:t>10</w:t>
      </w:r>
      <w:r w:rsidRPr="00BD6C5F">
        <w:t xml:space="preserve"> will prevail.</w:t>
      </w:r>
      <w:bookmarkEnd w:id="2122"/>
    </w:p>
    <w:p w14:paraId="6FF4E0DA" w14:textId="77777777" w:rsidR="00D67018" w:rsidRPr="00BD6C5F" w:rsidRDefault="00D67018" w:rsidP="00C73AC9">
      <w:pPr>
        <w:pStyle w:val="AppendixText2"/>
        <w:rPr>
          <w:bCs/>
        </w:rPr>
      </w:pPr>
      <w:bookmarkStart w:id="2123" w:name="_Ref90905652"/>
      <w:r w:rsidRPr="00BD6C5F">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206310F2" w14:textId="77777777" w:rsidR="00D67018" w:rsidRPr="00BD6C5F" w:rsidRDefault="00D67018" w:rsidP="00C73AC9">
      <w:pPr>
        <w:pStyle w:val="AppendixText2"/>
        <w:rPr>
          <w:bCs/>
        </w:rPr>
      </w:pPr>
      <w:bookmarkStart w:id="2124" w:name="_Ref90906696"/>
      <w:r w:rsidRPr="00BD6C5F">
        <w:t xml:space="preserve">Where </w:t>
      </w:r>
      <w:r w:rsidRPr="00BD6C5F">
        <w:rPr>
          <w:bCs/>
        </w:rPr>
        <w:t>this</w:t>
      </w:r>
      <w:r w:rsidRPr="00BD6C5F">
        <w:t xml:space="preserve"> Addendum incorporates Addendum EU SCCs which have been entered into to protect transfers subject to the General Data Protection Regulation (EU) 2016/679 then the Parties acknowledge that nothing in this Addendum impacts those Addendum EU SCCs.</w:t>
      </w:r>
      <w:bookmarkEnd w:id="2123"/>
      <w:bookmarkEnd w:id="2124"/>
    </w:p>
    <w:p w14:paraId="138DD03C" w14:textId="77777777" w:rsidR="00D67018" w:rsidRPr="00BD6C5F" w:rsidRDefault="00D67018" w:rsidP="00AE04CE">
      <w:pPr>
        <w:pStyle w:val="AppendixText1"/>
      </w:pPr>
      <w:r w:rsidRPr="00BD6C5F">
        <w:t>Incorporation of and changes to the EU SCCs</w:t>
      </w:r>
    </w:p>
    <w:p w14:paraId="427A49BD" w14:textId="77777777" w:rsidR="00D67018" w:rsidRPr="00BD6C5F" w:rsidRDefault="00D67018" w:rsidP="00C73AC9">
      <w:pPr>
        <w:pStyle w:val="AppendixText2"/>
        <w:rPr>
          <w:bCs/>
        </w:rPr>
      </w:pPr>
      <w:bookmarkStart w:id="2125" w:name="_Ref90906729"/>
      <w:bookmarkStart w:id="2126" w:name="_Hlk92876330"/>
      <w:r w:rsidRPr="00BD6C5F">
        <w:t xml:space="preserve">This </w:t>
      </w:r>
      <w:r w:rsidRPr="00BD6C5F">
        <w:rPr>
          <w:bCs/>
        </w:rPr>
        <w:t>Addendum</w:t>
      </w:r>
      <w:r w:rsidRPr="00BD6C5F">
        <w:t xml:space="preserve"> incorporates the Addendum EU SCCs which are amended to the extent necessary so that:</w:t>
      </w:r>
      <w:bookmarkEnd w:id="2125"/>
    </w:p>
    <w:p w14:paraId="686BBD7C" w14:textId="6F76CC4A" w:rsidR="00D67018" w:rsidRPr="00BD6C5F" w:rsidRDefault="00D67018" w:rsidP="0040545B">
      <w:pPr>
        <w:pStyle w:val="AppendixText3"/>
      </w:pPr>
      <w:r w:rsidRPr="00BD6C5F">
        <w:t xml:space="preserve">together they operate for data transfers made by the data exporter to the </w:t>
      </w:r>
      <w:r w:rsidRPr="00BD6C5F">
        <w:lastRenderedPageBreak/>
        <w:t>data importer, to the extent that UK Data Protection Laws apply to the data exporter</w:t>
      </w:r>
      <w:r w:rsidR="00A4555C" w:rsidRPr="00BD6C5F">
        <w:t>’</w:t>
      </w:r>
      <w:r w:rsidRPr="00BD6C5F">
        <w:t xml:space="preserve">s processing when making that data transfer, and they provide Appropriate Safeguards for those data transfers; </w:t>
      </w:r>
    </w:p>
    <w:p w14:paraId="0851387C" w14:textId="2BF36F37" w:rsidR="00D67018" w:rsidRPr="00BD6C5F" w:rsidRDefault="00D67018" w:rsidP="0040545B">
      <w:pPr>
        <w:pStyle w:val="AppendixText3"/>
      </w:pPr>
      <w:r w:rsidRPr="00BD6C5F">
        <w:t xml:space="preserve">Sections </w:t>
      </w:r>
      <w:r w:rsidR="0010425E" w:rsidRPr="00BD6C5F">
        <w:rPr>
          <w:cs/>
        </w:rPr>
        <w:t>‎</w:t>
      </w:r>
      <w:r w:rsidR="0010425E" w:rsidRPr="00BD6C5F">
        <w:t>9</w:t>
      </w:r>
      <w:r w:rsidRPr="00BD6C5F">
        <w:t xml:space="preserve"> to </w:t>
      </w:r>
      <w:r w:rsidR="0010425E" w:rsidRPr="00BD6C5F">
        <w:rPr>
          <w:cs/>
        </w:rPr>
        <w:t>‎</w:t>
      </w:r>
      <w:r w:rsidR="0010425E" w:rsidRPr="00BD6C5F">
        <w:t>11</w:t>
      </w:r>
      <w:r w:rsidRPr="00BD6C5F">
        <w:t xml:space="preserve"> override </w:t>
      </w:r>
      <w:r w:rsidR="005E736B" w:rsidRPr="00BD6C5F">
        <w:t>Clause </w:t>
      </w:r>
      <w:r w:rsidRPr="00BD6C5F">
        <w:t>5 (Hierarchy) of the Addendum EU SCCs; and</w:t>
      </w:r>
    </w:p>
    <w:p w14:paraId="2EF098E2" w14:textId="77777777" w:rsidR="00D67018" w:rsidRPr="00BD6C5F" w:rsidRDefault="00D67018" w:rsidP="0040545B">
      <w:pPr>
        <w:pStyle w:val="AppendixText3"/>
      </w:pPr>
      <w:r w:rsidRPr="00BD6C5F">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5F25D38B" w14:textId="691409CF" w:rsidR="00D67018" w:rsidRPr="00BD6C5F" w:rsidRDefault="00D67018" w:rsidP="00C73AC9">
      <w:pPr>
        <w:pStyle w:val="AppendixText2"/>
        <w:rPr>
          <w:bCs/>
        </w:rPr>
      </w:pPr>
      <w:bookmarkStart w:id="2127" w:name="_Ref90907070"/>
      <w:bookmarkEnd w:id="2126"/>
      <w:r w:rsidRPr="00BD6C5F">
        <w:t xml:space="preserve">Unless the Parties have agreed alternative amendments which meet the requirements of </w:t>
      </w:r>
      <w:r w:rsidRPr="00BD6C5F">
        <w:rPr>
          <w:bCs/>
        </w:rPr>
        <w:t>Section</w:t>
      </w:r>
      <w:r w:rsidRPr="00BD6C5F">
        <w:t xml:space="preserve"> </w:t>
      </w:r>
      <w:r w:rsidR="0010425E" w:rsidRPr="00BD6C5F">
        <w:rPr>
          <w:cs/>
        </w:rPr>
        <w:t>‎</w:t>
      </w:r>
      <w:r w:rsidR="0010425E" w:rsidRPr="00BD6C5F">
        <w:t>12</w:t>
      </w:r>
      <w:r w:rsidRPr="00BD6C5F">
        <w:t xml:space="preserve">, the provisions of Section </w:t>
      </w:r>
      <w:r w:rsidR="0010425E" w:rsidRPr="00BD6C5F">
        <w:rPr>
          <w:cs/>
        </w:rPr>
        <w:t>‎</w:t>
      </w:r>
      <w:r w:rsidR="0010425E" w:rsidRPr="00BD6C5F">
        <w:t>15</w:t>
      </w:r>
      <w:r w:rsidRPr="00BD6C5F">
        <w:t xml:space="preserve"> will apply.</w:t>
      </w:r>
    </w:p>
    <w:p w14:paraId="4931533D" w14:textId="54858C79" w:rsidR="00D67018" w:rsidRPr="00BD6C5F" w:rsidRDefault="00D67018" w:rsidP="00C73AC9">
      <w:pPr>
        <w:pStyle w:val="AppendixText2"/>
        <w:rPr>
          <w:bCs/>
        </w:rPr>
      </w:pPr>
      <w:r w:rsidRPr="00BD6C5F">
        <w:t xml:space="preserve">No amendments to the Approved EU SCCs other than to meet the requirements of Section </w:t>
      </w:r>
      <w:r w:rsidR="0010425E" w:rsidRPr="00BD6C5F">
        <w:rPr>
          <w:cs/>
        </w:rPr>
        <w:t>‎</w:t>
      </w:r>
      <w:r w:rsidR="0010425E" w:rsidRPr="00BD6C5F">
        <w:t>12</w:t>
      </w:r>
      <w:r w:rsidRPr="00BD6C5F">
        <w:t xml:space="preserve"> may be made.</w:t>
      </w:r>
    </w:p>
    <w:p w14:paraId="0453198A" w14:textId="5C31537B" w:rsidR="00D67018" w:rsidRPr="00BD6C5F" w:rsidRDefault="00D67018" w:rsidP="0069052B">
      <w:pPr>
        <w:pStyle w:val="AppendixText2"/>
        <w:keepNext/>
        <w:rPr>
          <w:bCs/>
        </w:rPr>
      </w:pPr>
      <w:bookmarkStart w:id="2128" w:name="_Ref90907321"/>
      <w:r w:rsidRPr="00BD6C5F">
        <w:t xml:space="preserve">The following amendments to the Addendum EU SCCs (for the purpose of Section </w:t>
      </w:r>
      <w:r w:rsidR="0010425E" w:rsidRPr="00BD6C5F">
        <w:rPr>
          <w:cs/>
        </w:rPr>
        <w:t>‎</w:t>
      </w:r>
      <w:r w:rsidR="0010425E" w:rsidRPr="00BD6C5F">
        <w:t>12</w:t>
      </w:r>
      <w:r w:rsidRPr="00BD6C5F">
        <w:t>) are made:</w:t>
      </w:r>
      <w:bookmarkEnd w:id="2127"/>
      <w:bookmarkEnd w:id="2128"/>
      <w:r w:rsidRPr="00BD6C5F">
        <w:t xml:space="preserve"> </w:t>
      </w:r>
    </w:p>
    <w:p w14:paraId="03077676" w14:textId="30AD8863" w:rsidR="00D67018" w:rsidRPr="00BD6C5F" w:rsidRDefault="00D67018" w:rsidP="00AE04CE">
      <w:pPr>
        <w:pStyle w:val="AppendixText3"/>
      </w:pPr>
      <w:r w:rsidRPr="00BD6C5F">
        <w:t xml:space="preserve">References to the </w:t>
      </w:r>
      <w:r w:rsidR="00A4555C" w:rsidRPr="00BD6C5F">
        <w:t>“</w:t>
      </w:r>
      <w:r w:rsidRPr="00BD6C5F">
        <w:t>Clauses</w:t>
      </w:r>
      <w:r w:rsidR="00A4555C" w:rsidRPr="00BD6C5F">
        <w:t>”</w:t>
      </w:r>
      <w:r w:rsidRPr="00BD6C5F">
        <w:t xml:space="preserve"> means this Addendum, incorporating the Addendum EU SCCs;</w:t>
      </w:r>
    </w:p>
    <w:p w14:paraId="5058509A" w14:textId="1E29D96A" w:rsidR="00D67018" w:rsidRPr="00BD6C5F" w:rsidRDefault="00D67018" w:rsidP="00AE04CE">
      <w:pPr>
        <w:pStyle w:val="AppendixText3"/>
      </w:pPr>
      <w:r w:rsidRPr="00BD6C5F">
        <w:t xml:space="preserve">In </w:t>
      </w:r>
      <w:r w:rsidR="005E736B" w:rsidRPr="00BD6C5F">
        <w:t>Clause </w:t>
      </w:r>
      <w:r w:rsidRPr="00BD6C5F">
        <w:t>2, delete the words:</w:t>
      </w:r>
    </w:p>
    <w:p w14:paraId="67190594" w14:textId="5203A5DE" w:rsidR="00D67018" w:rsidRPr="00BD6C5F" w:rsidRDefault="00A4555C" w:rsidP="00AE04CE">
      <w:pPr>
        <w:pStyle w:val="AppendixText3"/>
      </w:pPr>
      <w:r w:rsidRPr="00BD6C5F">
        <w:t>“</w:t>
      </w:r>
      <w:r w:rsidR="00D67018" w:rsidRPr="00BD6C5F">
        <w:t>and, with respect to data transfers from controllers to processors and/or processors to processors, standard contractual clauses pursuant to Article 28(7) of Regulation (EU) 2016/679</w:t>
      </w:r>
      <w:r w:rsidRPr="00BD6C5F">
        <w:t>”</w:t>
      </w:r>
      <w:r w:rsidR="00D67018" w:rsidRPr="00BD6C5F">
        <w:t>;</w:t>
      </w:r>
    </w:p>
    <w:p w14:paraId="45F7E33F" w14:textId="2EAECC9E" w:rsidR="00D67018" w:rsidRPr="00BD6C5F" w:rsidRDefault="005E736B" w:rsidP="00AE04CE">
      <w:pPr>
        <w:pStyle w:val="AppendixText3"/>
      </w:pPr>
      <w:r w:rsidRPr="00BD6C5F">
        <w:t>Clause </w:t>
      </w:r>
      <w:r w:rsidR="00D67018" w:rsidRPr="00BD6C5F">
        <w:t>6 (Description of the transfer(s)) is replaced with:</w:t>
      </w:r>
    </w:p>
    <w:p w14:paraId="51D5B19E" w14:textId="7230EF57" w:rsidR="00D67018" w:rsidRPr="00BD6C5F" w:rsidRDefault="00A4555C" w:rsidP="00AE04CE">
      <w:pPr>
        <w:pStyle w:val="AppendixText3"/>
      </w:pPr>
      <w:r w:rsidRPr="00BD6C5F">
        <w:t>“</w:t>
      </w:r>
      <w:r w:rsidR="00D67018" w:rsidRPr="00BD6C5F">
        <w:t>The details of the transfers(s) and in particular the categories of personal data that are transferred and the purpose(s) for which they are transferred) are those specified in Annex I.B where UK Data Protection Laws apply to the data exporter</w:t>
      </w:r>
      <w:r w:rsidRPr="00BD6C5F">
        <w:t>’</w:t>
      </w:r>
      <w:r w:rsidR="00D67018" w:rsidRPr="00BD6C5F">
        <w:t>s processing when making that transfer.</w:t>
      </w:r>
      <w:r w:rsidRPr="00BD6C5F">
        <w:t>”</w:t>
      </w:r>
      <w:r w:rsidR="00D67018" w:rsidRPr="00BD6C5F">
        <w:t>;</w:t>
      </w:r>
    </w:p>
    <w:p w14:paraId="0E0BCA0D" w14:textId="4687E326" w:rsidR="00D67018" w:rsidRPr="00BD6C5F" w:rsidRDefault="005E736B" w:rsidP="00AE04CE">
      <w:pPr>
        <w:pStyle w:val="AppendixText3"/>
      </w:pPr>
      <w:r w:rsidRPr="00BD6C5F">
        <w:t>Clause </w:t>
      </w:r>
      <w:r w:rsidR="00D67018" w:rsidRPr="00BD6C5F">
        <w:t>8.7(i) of Module 1 is replaced with:</w:t>
      </w:r>
    </w:p>
    <w:p w14:paraId="75530B6B" w14:textId="4A154903" w:rsidR="00D67018" w:rsidRPr="00BD6C5F" w:rsidRDefault="00A4555C" w:rsidP="00AE04CE">
      <w:pPr>
        <w:pStyle w:val="AppendixText3"/>
      </w:pPr>
      <w:r w:rsidRPr="00BD6C5F">
        <w:t>“</w:t>
      </w:r>
      <w:r w:rsidR="00D67018" w:rsidRPr="00BD6C5F">
        <w:t>it is to a country benefitting from adequacy regulations pursuant to Section 17A of the UK GDPR that covers the onward transfer</w:t>
      </w:r>
      <w:r w:rsidRPr="00BD6C5F">
        <w:t>”</w:t>
      </w:r>
      <w:r w:rsidR="00D67018" w:rsidRPr="00BD6C5F">
        <w:t>;</w:t>
      </w:r>
    </w:p>
    <w:p w14:paraId="0DE9F8A4" w14:textId="426795A2" w:rsidR="00D67018" w:rsidRPr="00BD6C5F" w:rsidRDefault="005E736B" w:rsidP="00AE04CE">
      <w:pPr>
        <w:pStyle w:val="AppendixText3"/>
      </w:pPr>
      <w:r w:rsidRPr="00BD6C5F">
        <w:t>Clause </w:t>
      </w:r>
      <w:r w:rsidR="00D67018" w:rsidRPr="00BD6C5F">
        <w:t>8.8(i) of Modules 2 and 3 is replaced with:</w:t>
      </w:r>
    </w:p>
    <w:p w14:paraId="63F46D4A" w14:textId="24DBCF05" w:rsidR="00D67018" w:rsidRPr="00BD6C5F" w:rsidRDefault="00A4555C" w:rsidP="00AE04CE">
      <w:pPr>
        <w:pStyle w:val="AppendixText3"/>
      </w:pPr>
      <w:r w:rsidRPr="00BD6C5F">
        <w:t>“</w:t>
      </w:r>
      <w:r w:rsidR="00D67018" w:rsidRPr="00BD6C5F">
        <w:t>the onward transfer is to a country benefitting from adequacy regulations pursuant to Section 17A of the UK GDPR that covers the onward transfer;</w:t>
      </w:r>
      <w:r w:rsidRPr="00BD6C5F">
        <w:t>”</w:t>
      </w:r>
    </w:p>
    <w:p w14:paraId="33119530" w14:textId="3F6B0FCC" w:rsidR="00D67018" w:rsidRPr="00BD6C5F" w:rsidRDefault="00D67018" w:rsidP="00AE04CE">
      <w:pPr>
        <w:pStyle w:val="AppendixText3"/>
      </w:pPr>
      <w:r w:rsidRPr="00BD6C5F">
        <w:t xml:space="preserve">References to </w:t>
      </w:r>
      <w:r w:rsidR="00A4555C" w:rsidRPr="00BD6C5F">
        <w:t>“</w:t>
      </w:r>
      <w:r w:rsidRPr="00BD6C5F">
        <w:t>Regulation (EU) 2016/679</w:t>
      </w:r>
      <w:r w:rsidR="00A4555C" w:rsidRPr="00BD6C5F">
        <w:t>”</w:t>
      </w:r>
      <w:r w:rsidRPr="00BD6C5F">
        <w:t xml:space="preserve">, </w:t>
      </w:r>
      <w:r w:rsidR="00A4555C" w:rsidRPr="00BD6C5F">
        <w:t>“</w:t>
      </w:r>
      <w:r w:rsidRPr="00BD6C5F">
        <w:t>Regulation (EU) 2016/679 of the European Parliament and of the Council of 27 April 2016 on the protection of natural persons with regard to the processing of personal data and on the free movement of such data (General Data Protection Regulation)</w:t>
      </w:r>
      <w:r w:rsidR="00A4555C" w:rsidRPr="00BD6C5F">
        <w:t>”</w:t>
      </w:r>
      <w:r w:rsidRPr="00BD6C5F">
        <w:t xml:space="preserve"> and </w:t>
      </w:r>
      <w:r w:rsidR="00A4555C" w:rsidRPr="00BD6C5F">
        <w:t>“</w:t>
      </w:r>
      <w:r w:rsidRPr="00BD6C5F">
        <w:t>that Regulation</w:t>
      </w:r>
      <w:r w:rsidR="00A4555C" w:rsidRPr="00BD6C5F">
        <w:t>”</w:t>
      </w:r>
      <w:r w:rsidRPr="00BD6C5F">
        <w:t xml:space="preserve"> are all replaced by </w:t>
      </w:r>
      <w:r w:rsidR="00A4555C" w:rsidRPr="00BD6C5F">
        <w:t>“</w:t>
      </w:r>
      <w:r w:rsidRPr="00BD6C5F">
        <w:t>UK Data Protection Laws</w:t>
      </w:r>
      <w:r w:rsidR="00A4555C" w:rsidRPr="00BD6C5F">
        <w:t>”</w:t>
      </w:r>
      <w:r w:rsidRPr="00BD6C5F">
        <w:t xml:space="preserve">. References to specific Article(s) of </w:t>
      </w:r>
      <w:r w:rsidR="00A4555C" w:rsidRPr="00BD6C5F">
        <w:t>“</w:t>
      </w:r>
      <w:r w:rsidRPr="00BD6C5F">
        <w:t>Regulation (EU) 2016/679</w:t>
      </w:r>
      <w:r w:rsidR="00A4555C" w:rsidRPr="00BD6C5F">
        <w:t>”</w:t>
      </w:r>
      <w:r w:rsidRPr="00BD6C5F">
        <w:t xml:space="preserve"> are </w:t>
      </w:r>
      <w:r w:rsidRPr="00BD6C5F">
        <w:lastRenderedPageBreak/>
        <w:t>replaced with the equivalent Article or Section of UK Data Protection Laws;</w:t>
      </w:r>
    </w:p>
    <w:p w14:paraId="44951C18" w14:textId="77777777" w:rsidR="00D67018" w:rsidRPr="00BD6C5F" w:rsidRDefault="00D67018" w:rsidP="00AE04CE">
      <w:pPr>
        <w:pStyle w:val="AppendixText3"/>
      </w:pPr>
      <w:r w:rsidRPr="00BD6C5F">
        <w:t>References to Regulation (EU) 2018/1725 are removed;</w:t>
      </w:r>
    </w:p>
    <w:p w14:paraId="27638D67" w14:textId="3EA777CA" w:rsidR="00D67018" w:rsidRPr="00BD6C5F" w:rsidRDefault="00D67018" w:rsidP="00AE04CE">
      <w:pPr>
        <w:pStyle w:val="AppendixText3"/>
      </w:pPr>
      <w:r w:rsidRPr="00BD6C5F">
        <w:t xml:space="preserve">References to the </w:t>
      </w:r>
      <w:r w:rsidR="00A4555C" w:rsidRPr="00BD6C5F">
        <w:t>“</w:t>
      </w:r>
      <w:r w:rsidRPr="00BD6C5F">
        <w:t>European Union</w:t>
      </w:r>
      <w:r w:rsidR="00A4555C" w:rsidRPr="00BD6C5F">
        <w:t>”</w:t>
      </w:r>
      <w:r w:rsidRPr="00BD6C5F">
        <w:t xml:space="preserve">, </w:t>
      </w:r>
      <w:r w:rsidR="00A4555C" w:rsidRPr="00BD6C5F">
        <w:t>“</w:t>
      </w:r>
      <w:r w:rsidRPr="00BD6C5F">
        <w:t>Union</w:t>
      </w:r>
      <w:r w:rsidR="00A4555C" w:rsidRPr="00BD6C5F">
        <w:t>”</w:t>
      </w:r>
      <w:r w:rsidRPr="00BD6C5F">
        <w:t xml:space="preserve">, </w:t>
      </w:r>
      <w:r w:rsidR="00A4555C" w:rsidRPr="00BD6C5F">
        <w:t>“</w:t>
      </w:r>
      <w:r w:rsidRPr="00BD6C5F">
        <w:t>EU</w:t>
      </w:r>
      <w:r w:rsidR="00A4555C" w:rsidRPr="00BD6C5F">
        <w:t>”</w:t>
      </w:r>
      <w:r w:rsidRPr="00BD6C5F">
        <w:t xml:space="preserve">, </w:t>
      </w:r>
      <w:r w:rsidR="00A4555C" w:rsidRPr="00BD6C5F">
        <w:t>“</w:t>
      </w:r>
      <w:r w:rsidRPr="00BD6C5F">
        <w:t>EU Member State</w:t>
      </w:r>
      <w:r w:rsidR="00A4555C" w:rsidRPr="00BD6C5F">
        <w:t>”</w:t>
      </w:r>
      <w:r w:rsidRPr="00BD6C5F">
        <w:t xml:space="preserve">, </w:t>
      </w:r>
      <w:r w:rsidR="00A4555C" w:rsidRPr="00BD6C5F">
        <w:t>“</w:t>
      </w:r>
      <w:r w:rsidRPr="00BD6C5F">
        <w:t>Member State</w:t>
      </w:r>
      <w:r w:rsidR="00A4555C" w:rsidRPr="00BD6C5F">
        <w:t>”</w:t>
      </w:r>
      <w:r w:rsidRPr="00BD6C5F">
        <w:t xml:space="preserve"> and </w:t>
      </w:r>
      <w:r w:rsidR="00A4555C" w:rsidRPr="00BD6C5F">
        <w:t>“</w:t>
      </w:r>
      <w:r w:rsidRPr="00BD6C5F">
        <w:t>EU or Member State</w:t>
      </w:r>
      <w:r w:rsidR="00A4555C" w:rsidRPr="00BD6C5F">
        <w:t>”</w:t>
      </w:r>
      <w:r w:rsidRPr="00BD6C5F">
        <w:t xml:space="preserve"> are all replaced with the </w:t>
      </w:r>
      <w:r w:rsidR="00A4555C" w:rsidRPr="00BD6C5F">
        <w:t>“</w:t>
      </w:r>
      <w:r w:rsidRPr="00BD6C5F">
        <w:t>UK</w:t>
      </w:r>
      <w:r w:rsidR="00A4555C" w:rsidRPr="00BD6C5F">
        <w:t>”</w:t>
      </w:r>
      <w:r w:rsidRPr="00BD6C5F">
        <w:t>;</w:t>
      </w:r>
    </w:p>
    <w:p w14:paraId="3134633D" w14:textId="374E8F43" w:rsidR="00D67018" w:rsidRPr="00BD6C5F" w:rsidRDefault="00D67018" w:rsidP="00AE04CE">
      <w:pPr>
        <w:pStyle w:val="AppendixText3"/>
      </w:pPr>
      <w:r w:rsidRPr="00BD6C5F">
        <w:t xml:space="preserve">The reference to </w:t>
      </w:r>
      <w:r w:rsidR="00A4555C" w:rsidRPr="00BD6C5F">
        <w:t>“</w:t>
      </w:r>
      <w:r w:rsidR="005E736B" w:rsidRPr="00BD6C5F">
        <w:t>Clause </w:t>
      </w:r>
      <w:r w:rsidRPr="00BD6C5F">
        <w:t>12(c)(i)</w:t>
      </w:r>
      <w:r w:rsidR="00A4555C" w:rsidRPr="00BD6C5F">
        <w:t>”</w:t>
      </w:r>
      <w:r w:rsidRPr="00BD6C5F">
        <w:t xml:space="preserve"> at </w:t>
      </w:r>
      <w:r w:rsidR="005E736B" w:rsidRPr="00BD6C5F">
        <w:t>Clause </w:t>
      </w:r>
      <w:r w:rsidRPr="00BD6C5F">
        <w:t xml:space="preserve">10(b)(i) of Module one, is replaced with </w:t>
      </w:r>
      <w:r w:rsidR="00A4555C" w:rsidRPr="00BD6C5F">
        <w:t>“</w:t>
      </w:r>
      <w:r w:rsidR="005E736B" w:rsidRPr="00BD6C5F">
        <w:t>Clause </w:t>
      </w:r>
      <w:r w:rsidRPr="00BD6C5F">
        <w:t>11(c)(i)</w:t>
      </w:r>
      <w:r w:rsidR="00A4555C" w:rsidRPr="00BD6C5F">
        <w:t>”</w:t>
      </w:r>
      <w:r w:rsidRPr="00BD6C5F">
        <w:t>;</w:t>
      </w:r>
    </w:p>
    <w:p w14:paraId="41CFE531" w14:textId="5BEA2CB8" w:rsidR="00D67018" w:rsidRPr="00BD6C5F" w:rsidRDefault="005E736B" w:rsidP="00AE04CE">
      <w:pPr>
        <w:pStyle w:val="AppendixText3"/>
      </w:pPr>
      <w:r w:rsidRPr="00BD6C5F">
        <w:t>Clause </w:t>
      </w:r>
      <w:r w:rsidR="00D67018" w:rsidRPr="00BD6C5F">
        <w:t xml:space="preserve">13(a) and Part C of Annex I are not used; </w:t>
      </w:r>
    </w:p>
    <w:p w14:paraId="5F984DF5" w14:textId="7D677900" w:rsidR="00D67018" w:rsidRPr="00BD6C5F" w:rsidRDefault="00D67018" w:rsidP="00AE04CE">
      <w:pPr>
        <w:pStyle w:val="AppendixText3"/>
      </w:pPr>
      <w:r w:rsidRPr="00BD6C5F">
        <w:t xml:space="preserve">The </w:t>
      </w:r>
      <w:r w:rsidR="00A4555C" w:rsidRPr="00BD6C5F">
        <w:t>“</w:t>
      </w:r>
      <w:r w:rsidRPr="00BD6C5F">
        <w:t>competent supervisory authority</w:t>
      </w:r>
      <w:r w:rsidR="00A4555C" w:rsidRPr="00BD6C5F">
        <w:t>”</w:t>
      </w:r>
      <w:r w:rsidRPr="00BD6C5F">
        <w:t xml:space="preserve"> and </w:t>
      </w:r>
      <w:r w:rsidR="00A4555C" w:rsidRPr="00BD6C5F">
        <w:t>“</w:t>
      </w:r>
      <w:r w:rsidRPr="00BD6C5F">
        <w:t>supervisory authority</w:t>
      </w:r>
      <w:r w:rsidR="00A4555C" w:rsidRPr="00BD6C5F">
        <w:t>”</w:t>
      </w:r>
      <w:r w:rsidRPr="00BD6C5F">
        <w:t xml:space="preserve"> are both replaced with the </w:t>
      </w:r>
      <w:r w:rsidR="00A4555C" w:rsidRPr="00BD6C5F">
        <w:t>“</w:t>
      </w:r>
      <w:r w:rsidRPr="00BD6C5F">
        <w:t>Information Commissioner</w:t>
      </w:r>
      <w:r w:rsidR="00A4555C" w:rsidRPr="00BD6C5F">
        <w:t>”</w:t>
      </w:r>
      <w:r w:rsidRPr="00BD6C5F">
        <w:t>;</w:t>
      </w:r>
    </w:p>
    <w:p w14:paraId="70F3A2F1" w14:textId="59C3D86B" w:rsidR="00D67018" w:rsidRPr="00BD6C5F" w:rsidRDefault="00D67018" w:rsidP="00AE04CE">
      <w:pPr>
        <w:pStyle w:val="AppendixText3"/>
      </w:pPr>
      <w:r w:rsidRPr="00BD6C5F">
        <w:t xml:space="preserve">In </w:t>
      </w:r>
      <w:r w:rsidR="005E736B" w:rsidRPr="00BD6C5F">
        <w:t>Clause </w:t>
      </w:r>
      <w:r w:rsidRPr="00BD6C5F">
        <w:t>16(e), subsection (i) is replaced with:</w:t>
      </w:r>
    </w:p>
    <w:p w14:paraId="4DBEE9D1" w14:textId="77C4DBD2" w:rsidR="00D67018" w:rsidRPr="00BD6C5F" w:rsidRDefault="00A4555C" w:rsidP="00AE04CE">
      <w:pPr>
        <w:pStyle w:val="AppendixText3"/>
      </w:pPr>
      <w:r w:rsidRPr="00BD6C5F">
        <w:t>“</w:t>
      </w:r>
      <w:r w:rsidR="00D67018" w:rsidRPr="00BD6C5F">
        <w:t>the Secretary of State makes regulations pursuant to Section 17A of the Data Protection Act 2018 that cover the transfer of personal data to which these clauses apply;</w:t>
      </w:r>
      <w:r w:rsidRPr="00BD6C5F">
        <w:t>”</w:t>
      </w:r>
      <w:r w:rsidR="00D67018" w:rsidRPr="00BD6C5F">
        <w:t>;</w:t>
      </w:r>
    </w:p>
    <w:p w14:paraId="301CD0EA" w14:textId="791276E7" w:rsidR="00D67018" w:rsidRPr="00BD6C5F" w:rsidRDefault="005E736B" w:rsidP="00AE04CE">
      <w:pPr>
        <w:pStyle w:val="AppendixText3"/>
      </w:pPr>
      <w:r w:rsidRPr="00BD6C5F">
        <w:t>Clause </w:t>
      </w:r>
      <w:r w:rsidR="00D67018" w:rsidRPr="00BD6C5F">
        <w:t>17 is replaced with:</w:t>
      </w:r>
    </w:p>
    <w:p w14:paraId="5C87809D" w14:textId="3CCC20BB" w:rsidR="00D67018" w:rsidRPr="00BD6C5F" w:rsidRDefault="00A4555C" w:rsidP="00AE04CE">
      <w:pPr>
        <w:pStyle w:val="AppendixText3"/>
      </w:pPr>
      <w:r w:rsidRPr="00BD6C5F">
        <w:t>“</w:t>
      </w:r>
      <w:r w:rsidR="00D67018" w:rsidRPr="00BD6C5F">
        <w:t>These Clauses are governed by the laws of England and Wales.</w:t>
      </w:r>
      <w:r w:rsidRPr="00BD6C5F">
        <w:t>”</w:t>
      </w:r>
      <w:r w:rsidR="00D67018" w:rsidRPr="00BD6C5F">
        <w:t>;</w:t>
      </w:r>
    </w:p>
    <w:p w14:paraId="555DFE8B" w14:textId="492EEED5" w:rsidR="00D67018" w:rsidRPr="00BD6C5F" w:rsidRDefault="005E736B" w:rsidP="00AE04CE">
      <w:pPr>
        <w:pStyle w:val="AppendixText3"/>
      </w:pPr>
      <w:r w:rsidRPr="00BD6C5F">
        <w:t>Clause </w:t>
      </w:r>
      <w:r w:rsidR="00D67018" w:rsidRPr="00BD6C5F">
        <w:t>18 is replaced with:</w:t>
      </w:r>
    </w:p>
    <w:p w14:paraId="11FB0FD6" w14:textId="64CA73AF" w:rsidR="00D67018" w:rsidRPr="00BD6C5F" w:rsidRDefault="00A4555C" w:rsidP="00AE04CE">
      <w:pPr>
        <w:pStyle w:val="AppendixText3"/>
      </w:pPr>
      <w:bookmarkStart w:id="2129" w:name="_Hlk92820147"/>
      <w:r w:rsidRPr="00BD6C5F">
        <w:t>“</w:t>
      </w:r>
      <w:r w:rsidR="00D67018" w:rsidRPr="00BD6C5F">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w:t>
      </w:r>
      <w:r w:rsidRPr="00BD6C5F">
        <w:t>”</w:t>
      </w:r>
      <w:r w:rsidR="00D67018" w:rsidRPr="00BD6C5F">
        <w:t>; and</w:t>
      </w:r>
    </w:p>
    <w:bookmarkEnd w:id="2129"/>
    <w:p w14:paraId="679B4973" w14:textId="77777777" w:rsidR="00D67018" w:rsidRPr="00BD6C5F" w:rsidRDefault="00D67018" w:rsidP="00AE04CE">
      <w:pPr>
        <w:pStyle w:val="AppendixText3"/>
      </w:pPr>
      <w:r w:rsidRPr="00BD6C5F">
        <w:t xml:space="preserve">The footnotes to the Approved EU SCCs do not form part of the Addendum, except for footnotes 8, 9, 10 and 11. </w:t>
      </w:r>
    </w:p>
    <w:p w14:paraId="4B5DB045" w14:textId="77777777" w:rsidR="00D67018" w:rsidRPr="00BD6C5F" w:rsidRDefault="00D67018" w:rsidP="005B63D4">
      <w:pPr>
        <w:keepNext/>
        <w:keepLines/>
        <w:widowControl/>
        <w:autoSpaceDE/>
        <w:autoSpaceDN/>
        <w:spacing w:before="100" w:after="100"/>
        <w:rPr>
          <w:rFonts w:eastAsiaTheme="minorHAnsi" w:cstheme="minorBidi"/>
          <w:b/>
          <w:bCs/>
          <w:szCs w:val="20"/>
          <w:lang w:bidi="ar-SA"/>
        </w:rPr>
      </w:pPr>
      <w:r w:rsidRPr="00BD6C5F">
        <w:rPr>
          <w:rFonts w:eastAsiaTheme="minorHAnsi" w:cstheme="minorBidi"/>
          <w:b/>
          <w:bCs/>
          <w:szCs w:val="20"/>
          <w:lang w:bidi="ar-SA"/>
        </w:rPr>
        <w:t xml:space="preserve">Amendments to this Addendum </w:t>
      </w:r>
    </w:p>
    <w:p w14:paraId="64402BB1" w14:textId="77777777" w:rsidR="00D67018" w:rsidRPr="00BD6C5F" w:rsidRDefault="00D67018" w:rsidP="00C73AC9">
      <w:pPr>
        <w:pStyle w:val="AppendixText2"/>
        <w:rPr>
          <w:bCs/>
        </w:rPr>
      </w:pPr>
      <w:bookmarkStart w:id="2130" w:name="_Ref90906380"/>
      <w:r w:rsidRPr="00BD6C5F">
        <w:t>The Parties may agree to change Clauses 17 and/or 18 of the Addendum EU SCCs to refer to the laws and/or courts of Scotland or Northern Ireland.</w:t>
      </w:r>
      <w:bookmarkEnd w:id="2130"/>
    </w:p>
    <w:p w14:paraId="0CD92355" w14:textId="77777777" w:rsidR="00D67018" w:rsidRPr="00BD6C5F" w:rsidRDefault="00D67018" w:rsidP="00C73AC9">
      <w:pPr>
        <w:pStyle w:val="AppendixText2"/>
        <w:rPr>
          <w:bCs/>
        </w:rPr>
      </w:pPr>
      <w:r w:rsidRPr="00BD6C5F">
        <w:t xml:space="preserve">If the </w:t>
      </w:r>
      <w:r w:rsidRPr="00BD6C5F">
        <w:rPr>
          <w:bCs/>
        </w:rPr>
        <w:t>Parties</w:t>
      </w:r>
      <w:r w:rsidRPr="00BD6C5F">
        <w:t xml:space="preserve"> wish to change the format of the information included in Part 1: Tables of the Approved Addendum, they may do so by agreeing to the change in writing, provided that the change does not reduce the Appropriate Safeguards.</w:t>
      </w:r>
    </w:p>
    <w:p w14:paraId="012D3B4A" w14:textId="77777777" w:rsidR="00D67018" w:rsidRPr="00BD6C5F" w:rsidRDefault="00D67018" w:rsidP="00C73AC9">
      <w:pPr>
        <w:pStyle w:val="AppendixText2"/>
        <w:rPr>
          <w:bCs/>
        </w:rPr>
      </w:pPr>
      <w:bookmarkStart w:id="2131" w:name="_Ref90907400"/>
      <w:r w:rsidRPr="00BD6C5F">
        <w:t xml:space="preserve">From </w:t>
      </w:r>
      <w:r w:rsidRPr="00BD6C5F">
        <w:rPr>
          <w:bCs/>
        </w:rPr>
        <w:t>time</w:t>
      </w:r>
      <w:r w:rsidRPr="00BD6C5F">
        <w:t xml:space="preserve"> to time, the ICO may issue a revised Approved Addendum which:</w:t>
      </w:r>
      <w:bookmarkEnd w:id="2131"/>
      <w:r w:rsidRPr="00BD6C5F">
        <w:t xml:space="preserve"> </w:t>
      </w:r>
    </w:p>
    <w:p w14:paraId="3F483D55" w14:textId="77777777" w:rsidR="00D67018" w:rsidRPr="00BD6C5F" w:rsidRDefault="00D67018" w:rsidP="00AE04CE">
      <w:pPr>
        <w:pStyle w:val="AppendixText3"/>
      </w:pPr>
      <w:r w:rsidRPr="00BD6C5F">
        <w:t>makes reasonable and proportionate changes to the Approved Addendum, including correcting errors in the Approved Addendum; and/or</w:t>
      </w:r>
    </w:p>
    <w:p w14:paraId="5165A93D" w14:textId="77777777" w:rsidR="00D67018" w:rsidRPr="00BD6C5F" w:rsidRDefault="00D67018" w:rsidP="00AE04CE">
      <w:pPr>
        <w:pStyle w:val="AppendixText3"/>
      </w:pPr>
      <w:r w:rsidRPr="00BD6C5F">
        <w:t>reflects changes to UK Data Protection Laws;</w:t>
      </w:r>
    </w:p>
    <w:p w14:paraId="441A79C7" w14:textId="77777777" w:rsidR="00D67018" w:rsidRPr="00BD6C5F" w:rsidRDefault="00D67018" w:rsidP="003F334A">
      <w:pPr>
        <w:spacing w:before="100" w:after="200"/>
        <w:ind w:left="720"/>
        <w:rPr>
          <w:rFonts w:asciiTheme="minorHAnsi" w:hAnsiTheme="minorHAnsi" w:cstheme="minorHAnsi"/>
          <w:szCs w:val="24"/>
        </w:rPr>
      </w:pPr>
      <w:r w:rsidRPr="00BD6C5F">
        <w:rPr>
          <w:rFonts w:asciiTheme="minorHAnsi" w:hAnsiTheme="minorHAnsi" w:cstheme="minorHAnsi"/>
          <w:szCs w:val="24"/>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46BEA15B" w14:textId="50C674F1" w:rsidR="00D67018" w:rsidRPr="00BD6C5F" w:rsidRDefault="00D67018" w:rsidP="00C73AC9">
      <w:pPr>
        <w:pStyle w:val="AppendixText2"/>
        <w:rPr>
          <w:bCs/>
        </w:rPr>
      </w:pPr>
      <w:bookmarkStart w:id="2132" w:name="_Ref93329888"/>
      <w:bookmarkStart w:id="2133" w:name="_Ref92725699"/>
      <w:r w:rsidRPr="00BD6C5F">
        <w:lastRenderedPageBreak/>
        <w:t xml:space="preserve">If the ICO issues a </w:t>
      </w:r>
      <w:r w:rsidRPr="00BD6C5F">
        <w:rPr>
          <w:bCs/>
        </w:rPr>
        <w:t>revised</w:t>
      </w:r>
      <w:r w:rsidRPr="00BD6C5F">
        <w:t xml:space="preserve"> Approved Addendum under Section </w:t>
      </w:r>
      <w:r w:rsidR="0010425E" w:rsidRPr="00BD6C5F">
        <w:rPr>
          <w:cs/>
        </w:rPr>
        <w:t>‎</w:t>
      </w:r>
      <w:r w:rsidR="0010425E" w:rsidRPr="00BD6C5F">
        <w:t>18</w:t>
      </w:r>
      <w:r w:rsidRPr="00BD6C5F">
        <w:t xml:space="preserve">, if any Party selected in Table 4 </w:t>
      </w:r>
      <w:r w:rsidR="00A4555C" w:rsidRPr="00BD6C5F">
        <w:t>“</w:t>
      </w:r>
      <w:r w:rsidRPr="00BD6C5F">
        <w:t>Ending the Addendum when the Approved Addendum changes</w:t>
      </w:r>
      <w:r w:rsidR="00A4555C" w:rsidRPr="00BD6C5F">
        <w:t>”</w:t>
      </w:r>
      <w:r w:rsidRPr="00BD6C5F">
        <w:t>, will as a direct result of the changes in the Approved Addendum have a substantial, disproportionate and demonstrable increase in:</w:t>
      </w:r>
      <w:bookmarkEnd w:id="2132"/>
      <w:r w:rsidRPr="00BD6C5F">
        <w:t xml:space="preserve"> </w:t>
      </w:r>
    </w:p>
    <w:p w14:paraId="1A4106A3" w14:textId="77777777" w:rsidR="00D67018" w:rsidRPr="00BD6C5F" w:rsidRDefault="00D67018" w:rsidP="00AE04CE">
      <w:pPr>
        <w:pStyle w:val="AppendixText3"/>
      </w:pPr>
      <w:r w:rsidRPr="00BD6C5F">
        <w:t xml:space="preserve">its direct costs of performing its obligations under the Addendum; and/or </w:t>
      </w:r>
    </w:p>
    <w:p w14:paraId="4BA8683E" w14:textId="77777777" w:rsidR="00D67018" w:rsidRPr="00BD6C5F" w:rsidRDefault="00D67018" w:rsidP="00AE04CE">
      <w:pPr>
        <w:pStyle w:val="AppendixText3"/>
      </w:pPr>
      <w:r w:rsidRPr="00BD6C5F">
        <w:t xml:space="preserve">its risk under the Addendum, </w:t>
      </w:r>
    </w:p>
    <w:p w14:paraId="16B3E1E0" w14:textId="77777777" w:rsidR="00D67018" w:rsidRPr="00BD6C5F" w:rsidRDefault="00D67018" w:rsidP="003F334A">
      <w:pPr>
        <w:spacing w:before="100" w:after="200"/>
        <w:ind w:left="720"/>
        <w:rPr>
          <w:rFonts w:asciiTheme="minorHAnsi" w:hAnsiTheme="minorHAnsi" w:cstheme="minorHAnsi"/>
          <w:szCs w:val="24"/>
        </w:rPr>
      </w:pPr>
      <w:r w:rsidRPr="00BD6C5F">
        <w:rPr>
          <w:rFonts w:asciiTheme="minorHAnsi" w:hAnsiTheme="minorHAnsi" w:cstheme="minorHAnsi"/>
          <w:szCs w:val="24"/>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2133"/>
    </w:p>
    <w:p w14:paraId="0DED0F91" w14:textId="77777777" w:rsidR="00D67018" w:rsidRPr="00BD6C5F" w:rsidRDefault="00D67018" w:rsidP="00C73AC9">
      <w:pPr>
        <w:pStyle w:val="AppendixText2"/>
        <w:rPr>
          <w:bCs/>
        </w:rPr>
      </w:pPr>
      <w:bookmarkStart w:id="2134" w:name="_Ref90906389"/>
      <w:r w:rsidRPr="00BD6C5F">
        <w:t>The Parties do not need the consent of any third party to make changes to this Addendum, but any changes must be made in accordance with its terms.</w:t>
      </w:r>
      <w:bookmarkEnd w:id="2134"/>
    </w:p>
    <w:p w14:paraId="5A7AE233" w14:textId="77777777" w:rsidR="00D67018" w:rsidRPr="00BD6C5F" w:rsidRDefault="00D67018" w:rsidP="005B63D4">
      <w:pPr>
        <w:pStyle w:val="Heading3"/>
      </w:pPr>
      <w:r w:rsidRPr="00BD6C5F">
        <w:t>Alternative Part 2 Mandatory Clauses:</w:t>
      </w:r>
    </w:p>
    <w:tbl>
      <w:tblPr>
        <w:tblStyle w:val="MSATable-header"/>
        <w:tblW w:w="5003" w:type="pct"/>
        <w:tblLook w:val="0000" w:firstRow="0" w:lastRow="0" w:firstColumn="0" w:lastColumn="0" w:noHBand="0" w:noVBand="0"/>
      </w:tblPr>
      <w:tblGrid>
        <w:gridCol w:w="2400"/>
        <w:gridCol w:w="7804"/>
      </w:tblGrid>
      <w:tr w:rsidR="00D67018" w:rsidRPr="00BD6C5F" w14:paraId="2FCB7C34" w14:textId="77777777" w:rsidTr="009374DE">
        <w:tc>
          <w:tcPr>
            <w:tcW w:w="1176" w:type="pct"/>
            <w:shd w:val="clear" w:color="auto" w:fill="F0F0F0"/>
          </w:tcPr>
          <w:p w14:paraId="3744A508" w14:textId="77777777" w:rsidR="00D67018" w:rsidRPr="00BD6C5F" w:rsidRDefault="00D67018" w:rsidP="009374DE">
            <w:pPr>
              <w:rPr>
                <w:b/>
                <w:bCs/>
              </w:rPr>
            </w:pPr>
            <w:r w:rsidRPr="00BD6C5F">
              <w:rPr>
                <w:b/>
                <w:bCs/>
              </w:rPr>
              <w:t>Mandatory Clauses</w:t>
            </w:r>
          </w:p>
        </w:tc>
        <w:tc>
          <w:tcPr>
            <w:tcW w:w="3824" w:type="pct"/>
          </w:tcPr>
          <w:p w14:paraId="5F7BE9F6" w14:textId="7B5EA78B" w:rsidR="00D67018" w:rsidRPr="00BD6C5F" w:rsidRDefault="00D67018" w:rsidP="009374DE">
            <w:r w:rsidRPr="00BD6C5F">
              <w:t xml:space="preserve">Part 2: Mandatory Clauses of the Approved Addendum, being the template Addendum B.1.0 issued by the ICO and laid before Parliament in accordance with s119A of the Data Protection Act 2018 on 2 February 2022, as it is revised under Section </w:t>
            </w:r>
            <w:r w:rsidRPr="00BD6C5F">
              <w:rPr>
                <w:cs/>
              </w:rPr>
              <w:t>‎</w:t>
            </w:r>
            <w:r w:rsidR="0010425E" w:rsidRPr="00BD6C5F">
              <w:rPr>
                <w:cs/>
              </w:rPr>
              <w:t>‎</w:t>
            </w:r>
            <w:r w:rsidR="0010425E" w:rsidRPr="00BD6C5F">
              <w:t>18</w:t>
            </w:r>
            <w:r w:rsidRPr="00BD6C5F">
              <w:t xml:space="preserve"> of those Mandatory Clauses.</w:t>
            </w:r>
          </w:p>
        </w:tc>
      </w:tr>
      <w:bookmarkEnd w:id="2121"/>
    </w:tbl>
    <w:p w14:paraId="5D317D44" w14:textId="77777777" w:rsidR="003F334A" w:rsidRPr="00BD6C5F" w:rsidRDefault="003F334A" w:rsidP="003F334A"/>
    <w:p w14:paraId="3DC6E80D" w14:textId="3D1A486A" w:rsidR="00BF60E5" w:rsidRDefault="00BF60E5">
      <w:pPr>
        <w:rPr>
          <w:rFonts w:asciiTheme="minorHAnsi" w:hAnsiTheme="minorHAnsi" w:cstheme="minorHAnsi"/>
          <w:bCs/>
          <w:iCs/>
          <w:szCs w:val="24"/>
        </w:rPr>
      </w:pPr>
      <w:r>
        <w:rPr>
          <w:rFonts w:asciiTheme="minorHAnsi" w:hAnsiTheme="minorHAnsi" w:cstheme="minorHAnsi"/>
          <w:bCs/>
          <w:iCs/>
          <w:szCs w:val="24"/>
        </w:rPr>
        <w:br w:type="page"/>
      </w:r>
    </w:p>
    <w:p w14:paraId="1182D317" w14:textId="70F1E73A" w:rsidR="0035018C" w:rsidRDefault="0035018C" w:rsidP="00BF60E5">
      <w:pPr>
        <w:pStyle w:val="Heading2"/>
      </w:pPr>
      <w:bookmarkStart w:id="2135" w:name="_Toc141721070"/>
      <w:bookmarkStart w:id="2136" w:name="_Hlk126076930"/>
      <w:r w:rsidRPr="0035018C">
        <w:lastRenderedPageBreak/>
        <w:t xml:space="preserve">ANNEX </w:t>
      </w:r>
      <w:bookmarkStart w:id="2137" w:name="Schedule_31_Annex_3"/>
      <w:r w:rsidRPr="0035018C">
        <w:t>3</w:t>
      </w:r>
      <w:bookmarkEnd w:id="2137"/>
      <w:r w:rsidRPr="0035018C">
        <w:t>: STANDARD CONTRACTUAL CLAUSES FOR EU GDPR COMPLIANT TRANSFERS</w:t>
      </w:r>
      <w:bookmarkEnd w:id="2135"/>
    </w:p>
    <w:p w14:paraId="2F875B98" w14:textId="77777777" w:rsidR="00202AAA" w:rsidRDefault="00202AAA" w:rsidP="0035018C">
      <w:pPr>
        <w:keepNext/>
        <w:keepLines/>
        <w:widowControl/>
        <w:autoSpaceDE/>
        <w:autoSpaceDN/>
        <w:spacing w:before="200"/>
        <w:jc w:val="center"/>
        <w:outlineLvl w:val="1"/>
        <w:rPr>
          <w:b/>
          <w:bCs/>
          <w:color w:val="000000"/>
          <w:szCs w:val="24"/>
          <w:lang w:eastAsia="en-GB" w:bidi="ar-SA"/>
        </w:rPr>
      </w:pPr>
    </w:p>
    <w:p w14:paraId="06AFD554" w14:textId="0C4A35D5" w:rsidR="00202AAA" w:rsidRPr="00873BB8" w:rsidRDefault="00202AAA" w:rsidP="00873BB8">
      <w:pPr>
        <w:keepNext/>
        <w:keepLines/>
        <w:rPr>
          <w:color w:val="1F497D" w:themeColor="text2"/>
          <w:sz w:val="32"/>
          <w:szCs w:val="26"/>
          <w:lang w:eastAsia="zh-CN" w:bidi="ar-SA"/>
        </w:rPr>
      </w:pPr>
      <w:r w:rsidRPr="00202AAA">
        <w:rPr>
          <w:b/>
          <w:i/>
          <w:highlight w:val="yellow"/>
        </w:rPr>
        <w:t>[Guidance: Delete this Annex and replace with the text ‘NOT USED’ if the Authority has chosen to refer out to the IDTA, rather than incorporating the text, that is, by selecting the first set of square brackets in Clause 21 of the Core Terms and in this Schedule.]</w:t>
      </w:r>
    </w:p>
    <w:p w14:paraId="164BB97C" w14:textId="77777777" w:rsidR="0035018C" w:rsidRPr="0035018C" w:rsidRDefault="0035018C" w:rsidP="00873BB8">
      <w:pPr>
        <w:pStyle w:val="Heading2"/>
      </w:pPr>
      <w:bookmarkStart w:id="2138" w:name="_Toc141721071"/>
      <w:r w:rsidRPr="0035018C">
        <w:t xml:space="preserve">Part </w:t>
      </w:r>
      <w:bookmarkStart w:id="2139" w:name="Schedule_31_Annex_3_Part_A"/>
      <w:r w:rsidRPr="0035018C">
        <w:t>A</w:t>
      </w:r>
      <w:bookmarkEnd w:id="2139"/>
      <w:r w:rsidRPr="0035018C">
        <w:t>: Processor to Controller Standard Contractual Clauses</w:t>
      </w:r>
      <w:bookmarkEnd w:id="2138"/>
    </w:p>
    <w:p w14:paraId="72178AB5" w14:textId="77777777" w:rsidR="0035018C" w:rsidRPr="0035018C" w:rsidRDefault="0035018C" w:rsidP="0035018C">
      <w:pPr>
        <w:widowControl/>
        <w:pBdr>
          <w:top w:val="nil"/>
          <w:left w:val="nil"/>
          <w:bottom w:val="nil"/>
          <w:right w:val="nil"/>
          <w:between w:val="nil"/>
        </w:pBdr>
        <w:autoSpaceDE/>
        <w:autoSpaceDN/>
        <w:spacing w:before="120" w:after="240"/>
        <w:jc w:val="center"/>
        <w:rPr>
          <w:b/>
          <w:color w:val="000000"/>
          <w:szCs w:val="24"/>
          <w:lang w:eastAsia="en-GB" w:bidi="ar-SA"/>
        </w:rPr>
      </w:pPr>
      <w:r w:rsidRPr="0035018C">
        <w:rPr>
          <w:b/>
          <w:color w:val="000000"/>
          <w:szCs w:val="24"/>
          <w:lang w:eastAsia="en-GB" w:bidi="ar-SA"/>
        </w:rPr>
        <w:t>Standard Contractual Clauses for Personal Data Transfers from an EU Processor to a Controller Established in a Third Country (Processor-to-Controller Transfers)</w:t>
      </w:r>
    </w:p>
    <w:p w14:paraId="0C31389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w:t>
      </w:r>
    </w:p>
    <w:p w14:paraId="5754D5F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w:t>
      </w:r>
    </w:p>
    <w:p w14:paraId="6CA242A5" w14:textId="77777777" w:rsidR="0035018C" w:rsidRPr="0035018C" w:rsidRDefault="0035018C" w:rsidP="0035018C">
      <w:pPr>
        <w:widowControl/>
        <w:pBdr>
          <w:top w:val="nil"/>
          <w:left w:val="nil"/>
          <w:bottom w:val="nil"/>
          <w:right w:val="nil"/>
          <w:between w:val="nil"/>
        </w:pBdr>
        <w:autoSpaceDE/>
        <w:autoSpaceDN/>
        <w:spacing w:before="240" w:after="240"/>
        <w:ind w:firstLine="709"/>
        <w:rPr>
          <w:b/>
          <w:color w:val="000000"/>
          <w:szCs w:val="24"/>
          <w:lang w:eastAsia="en-GB" w:bidi="ar-SA"/>
        </w:rPr>
      </w:pPr>
      <w:r w:rsidRPr="0035018C">
        <w:rPr>
          <w:b/>
          <w:color w:val="000000"/>
          <w:szCs w:val="24"/>
          <w:lang w:eastAsia="en-GB" w:bidi="ar-SA"/>
        </w:rPr>
        <w:t>Purpose and scope</w:t>
      </w:r>
    </w:p>
    <w:p w14:paraId="27E397D3" w14:textId="435A3D77" w:rsidR="0035018C" w:rsidRPr="0035018C" w:rsidRDefault="0035018C" w:rsidP="00B71FC0">
      <w:pPr>
        <w:widowControl/>
        <w:numPr>
          <w:ilvl w:val="1"/>
          <w:numId w:val="28"/>
        </w:numPr>
        <w:pBdr>
          <w:top w:val="nil"/>
          <w:left w:val="nil"/>
          <w:bottom w:val="nil"/>
          <w:right w:val="nil"/>
          <w:between w:val="nil"/>
        </w:pBdr>
        <w:autoSpaceDE/>
        <w:autoSpaceDN/>
        <w:spacing w:before="120" w:after="240" w:line="276" w:lineRule="auto"/>
        <w:ind w:left="993"/>
        <w:rPr>
          <w:color w:val="000000"/>
          <w:szCs w:val="24"/>
          <w:lang w:eastAsia="en-GB" w:bidi="ar-SA"/>
        </w:rPr>
      </w:pPr>
      <w:r w:rsidRPr="0035018C">
        <w:rPr>
          <w:color w:val="000000"/>
          <w:szCs w:val="24"/>
          <w:lang w:eastAsia="en-GB" w:bidi="ar-SA"/>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2coe5ab">
        <w:r w:rsidRPr="0035018C">
          <w:rPr>
            <w:color w:val="0000FF"/>
            <w:szCs w:val="24"/>
            <w:u w:val="single"/>
            <w:lang w:eastAsia="en-GB" w:bidi="ar-SA"/>
          </w:rPr>
          <w:t>FN1</w:t>
        </w:r>
      </w:hyperlink>
      <w:r w:rsidRPr="0035018C">
        <w:rPr>
          <w:color w:val="000000"/>
          <w:szCs w:val="24"/>
          <w:lang w:eastAsia="en-GB" w:bidi="ar-SA"/>
        </w:rPr>
        <w:t>] for the transfer of personal data to a third country.</w:t>
      </w:r>
    </w:p>
    <w:p w14:paraId="61443212" w14:textId="77777777" w:rsidR="0035018C" w:rsidRPr="0035018C" w:rsidRDefault="0035018C" w:rsidP="00B71FC0">
      <w:pPr>
        <w:widowControl/>
        <w:numPr>
          <w:ilvl w:val="1"/>
          <w:numId w:val="2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w:t>
      </w:r>
    </w:p>
    <w:p w14:paraId="1041D421" w14:textId="77777777" w:rsidR="0035018C" w:rsidRPr="0035018C" w:rsidRDefault="0035018C" w:rsidP="00B71FC0">
      <w:pPr>
        <w:widowControl/>
        <w:numPr>
          <w:ilvl w:val="2"/>
          <w:numId w:val="2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natural or legal person(s), public authority/ies, agency/ies or other body/ies (hereinafter 'entity/ies') transferring the personal data, as listed in Annex I.A (hereinafter each 'data exporter'), and</w:t>
      </w:r>
    </w:p>
    <w:p w14:paraId="4873A591" w14:textId="77777777" w:rsidR="0035018C" w:rsidRPr="0035018C" w:rsidRDefault="0035018C" w:rsidP="00B71FC0">
      <w:pPr>
        <w:widowControl/>
        <w:numPr>
          <w:ilvl w:val="2"/>
          <w:numId w:val="2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entity/ies in a third country receiving the personal data from the data exporter, directly or indirectly via another entity also Party to these Clauses, as listed in Annex I.A (hereinafter each 'data importer')</w:t>
      </w:r>
    </w:p>
    <w:p w14:paraId="17A392A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have agreed to these standard contractual clauses (hereinafter: 'Clauses').</w:t>
      </w:r>
    </w:p>
    <w:p w14:paraId="793CF3FD" w14:textId="77777777" w:rsidR="0035018C" w:rsidRPr="0035018C" w:rsidRDefault="0035018C" w:rsidP="00B71FC0">
      <w:pPr>
        <w:widowControl/>
        <w:numPr>
          <w:ilvl w:val="1"/>
          <w:numId w:val="2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apply with respect to the transfer of personal data as specified in Annex I.B.</w:t>
      </w:r>
    </w:p>
    <w:p w14:paraId="32693862" w14:textId="77777777" w:rsidR="0035018C" w:rsidRPr="0035018C" w:rsidRDefault="0035018C" w:rsidP="00B71FC0">
      <w:pPr>
        <w:widowControl/>
        <w:numPr>
          <w:ilvl w:val="1"/>
          <w:numId w:val="2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Appendix to these Clauses containing the Annexes referred to therein forms an integral part of these Clauses.</w:t>
      </w:r>
    </w:p>
    <w:p w14:paraId="09A4CAAB"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2</w:t>
      </w:r>
    </w:p>
    <w:p w14:paraId="11FFA50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Effect and invariability of the Clauses</w:t>
      </w:r>
    </w:p>
    <w:p w14:paraId="176B3CD6" w14:textId="77777777" w:rsidR="0035018C" w:rsidRPr="0035018C" w:rsidRDefault="0035018C" w:rsidP="00B71FC0">
      <w:pPr>
        <w:widowControl/>
        <w:numPr>
          <w:ilvl w:val="1"/>
          <w:numId w:val="2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These Clauses set out appropriate safeguards, including enforceable data subject rights and effective legal remedies, pursuant to Article 46(1) and Article 46(2)(c) </w:t>
      </w:r>
      <w:r w:rsidRPr="0035018C">
        <w:rPr>
          <w:color w:val="000000"/>
          <w:szCs w:val="24"/>
          <w:lang w:eastAsia="en-GB" w:bidi="ar-SA"/>
        </w:rPr>
        <w:lastRenderedPageBreak/>
        <w:t>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0809AD2B" w14:textId="77777777" w:rsidR="0035018C" w:rsidRPr="0035018C" w:rsidRDefault="0035018C" w:rsidP="00B71FC0">
      <w:pPr>
        <w:widowControl/>
        <w:numPr>
          <w:ilvl w:val="1"/>
          <w:numId w:val="2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are without prejudice to obligations to which the data exporter is subject by virtue of Regulation (EU) 2016/679.</w:t>
      </w:r>
    </w:p>
    <w:p w14:paraId="764512C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3</w:t>
      </w:r>
    </w:p>
    <w:p w14:paraId="52EE330F"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Third-party beneficiaries</w:t>
      </w:r>
    </w:p>
    <w:p w14:paraId="1729AD7A" w14:textId="77777777" w:rsidR="0035018C" w:rsidRPr="0035018C" w:rsidRDefault="0035018C" w:rsidP="00B71FC0">
      <w:pPr>
        <w:widowControl/>
        <w:numPr>
          <w:ilvl w:val="1"/>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Data subjects may invoke and enforce these Clauses, as third-party beneficiaries, against the data exporter and/or data importer, with the following exceptions:</w:t>
      </w:r>
    </w:p>
    <w:p w14:paraId="34F0F1CB"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Clause 1, Clause 2, Clause 3, Clause 6, Clause 7; </w:t>
      </w:r>
    </w:p>
    <w:p w14:paraId="1A78D5BC"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8 – Module One: Clause 8.5 (e) and Clause 8.9(b); Module Two: Clause 8.1(b), 8.9(a), (c), (d) and (e); Module Three: Clause 8.1(a), (c) and (d) and Clause 8.9(a), (c), (d), (e), (f) and (g); Module Four: Clause 8.1 (b) and Clause 8.3(b);</w:t>
      </w:r>
    </w:p>
    <w:p w14:paraId="28AC50BC"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9 – Module Two: Clause 9(a), (c), (d) and (e); Module Three: Clause 9(a), (c), (d) and (e);</w:t>
      </w:r>
    </w:p>
    <w:p w14:paraId="75A2020D"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12 – Module One: Clause 12(a) and (d); Modules Two and Three: Clause 12(a), (d) and (f);</w:t>
      </w:r>
    </w:p>
    <w:p w14:paraId="6335B10B"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13;</w:t>
      </w:r>
    </w:p>
    <w:p w14:paraId="1DD5EACF"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15.1(c), (d) and (e);</w:t>
      </w:r>
    </w:p>
    <w:p w14:paraId="329DCBAF"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16(e);</w:t>
      </w:r>
    </w:p>
    <w:p w14:paraId="6A9BD329" w14:textId="77777777" w:rsidR="0035018C" w:rsidRPr="0035018C" w:rsidRDefault="0035018C" w:rsidP="00B71FC0">
      <w:pPr>
        <w:widowControl/>
        <w:numPr>
          <w:ilvl w:val="2"/>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18 – Modules One, Two and Three: Clause 18(a) and (b); Module Four: Clause 18.</w:t>
      </w:r>
    </w:p>
    <w:p w14:paraId="7700BCE2" w14:textId="77777777" w:rsidR="0035018C" w:rsidRPr="0035018C" w:rsidRDefault="0035018C" w:rsidP="00B71FC0">
      <w:pPr>
        <w:widowControl/>
        <w:numPr>
          <w:ilvl w:val="1"/>
          <w:numId w:val="3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Paragraph ‎(a) is without prejudice to rights of data subjects under Regulation (EU) 2016/679. </w:t>
      </w:r>
    </w:p>
    <w:p w14:paraId="725B2701"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CLAUSE 4</w:t>
      </w:r>
    </w:p>
    <w:p w14:paraId="2DF449C6" w14:textId="77777777" w:rsidR="0035018C" w:rsidRPr="0035018C" w:rsidRDefault="0035018C" w:rsidP="0035018C">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Interpretation</w:t>
      </w:r>
    </w:p>
    <w:p w14:paraId="0FBF06E0" w14:textId="77777777" w:rsidR="0035018C" w:rsidRPr="0035018C" w:rsidRDefault="0035018C" w:rsidP="0035018C">
      <w:pPr>
        <w:widowControl/>
        <w:numPr>
          <w:ilvl w:val="1"/>
          <w:numId w:val="1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these Clauses use terms that are defined in Regulation (EU) 2016/679, those terms shall have the same meaning as in that Regulation.</w:t>
      </w:r>
    </w:p>
    <w:p w14:paraId="2E777FF7" w14:textId="77777777" w:rsidR="0035018C" w:rsidRPr="0035018C" w:rsidRDefault="0035018C" w:rsidP="0035018C">
      <w:pPr>
        <w:widowControl/>
        <w:numPr>
          <w:ilvl w:val="1"/>
          <w:numId w:val="1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shall be read and interpreted in the light of the provisions of Regulation (EU) 2016/679.</w:t>
      </w:r>
    </w:p>
    <w:p w14:paraId="3974F03C" w14:textId="77777777" w:rsidR="0035018C" w:rsidRPr="0035018C" w:rsidRDefault="0035018C" w:rsidP="0035018C">
      <w:pPr>
        <w:widowControl/>
        <w:numPr>
          <w:ilvl w:val="1"/>
          <w:numId w:val="1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shall not be interpreted in a way that conflicts with rights and obligations provided for in Regulation (EU) 2016/679.</w:t>
      </w:r>
    </w:p>
    <w:p w14:paraId="56310EE7"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5</w:t>
      </w:r>
    </w:p>
    <w:p w14:paraId="33159D5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Hierarchy</w:t>
      </w:r>
    </w:p>
    <w:p w14:paraId="5F42023F"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 event of a contradiction between these Clauses and the provisions of related agreements between the Parties, existing at the time these Clauses are agreed or entered into thereafter, these Clauses shall prevail.</w:t>
      </w:r>
    </w:p>
    <w:p w14:paraId="025D1D75"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6</w:t>
      </w:r>
    </w:p>
    <w:p w14:paraId="493FBA90"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Description of the transfer(s)</w:t>
      </w:r>
    </w:p>
    <w:p w14:paraId="2CE514D6"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details of the transfer(s), and in particular the categories of personal data that are transferred and the purpose(s) for which they are transferred, are specified in Annex I.B.</w:t>
      </w:r>
    </w:p>
    <w:p w14:paraId="6B5D1D2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7 - Optional</w:t>
      </w:r>
    </w:p>
    <w:p w14:paraId="6E34189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Docking clause</w:t>
      </w:r>
    </w:p>
    <w:p w14:paraId="5FA128C2" w14:textId="77777777" w:rsidR="0035018C" w:rsidRPr="0035018C" w:rsidRDefault="0035018C" w:rsidP="00B71FC0">
      <w:pPr>
        <w:widowControl/>
        <w:numPr>
          <w:ilvl w:val="1"/>
          <w:numId w:val="1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An entity that is not a Party to these Clauses may, with the agreement of the Parties, accede to these Clauses at any time, either as a data exporter or as a data importer, by completing the Appendix and signing Annex I.A.</w:t>
      </w:r>
    </w:p>
    <w:p w14:paraId="44A57FB4" w14:textId="77777777" w:rsidR="0035018C" w:rsidRPr="0035018C" w:rsidRDefault="0035018C" w:rsidP="00B71FC0">
      <w:pPr>
        <w:widowControl/>
        <w:numPr>
          <w:ilvl w:val="1"/>
          <w:numId w:val="1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Once it has completed the Appendix and signed Annex I.A, the acceding entity shall become a Party to these Clauses and have the rights and obligations of a data exporter or data importer in accordance with its designation in Annex I.A.</w:t>
      </w:r>
    </w:p>
    <w:p w14:paraId="1C210571" w14:textId="77777777" w:rsidR="0035018C" w:rsidRPr="0035018C" w:rsidRDefault="0035018C" w:rsidP="00B71FC0">
      <w:pPr>
        <w:widowControl/>
        <w:numPr>
          <w:ilvl w:val="1"/>
          <w:numId w:val="1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acceding entity shall have no rights or obligations arising under these Clauses from the period prior to becoming a Party.]</w:t>
      </w:r>
    </w:p>
    <w:p w14:paraId="39DA8CDA"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 – OBLIGATIONS OF THE PARTIES</w:t>
      </w:r>
    </w:p>
    <w:p w14:paraId="105A6802"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8</w:t>
      </w:r>
    </w:p>
    <w:p w14:paraId="7754BBE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protection safeguards</w:t>
      </w:r>
    </w:p>
    <w:p w14:paraId="08B9D9C7"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lastRenderedPageBreak/>
        <w:t>The data exporter warrants that it has used reasonable efforts to determine that the data importer is able, through the implementation of appropriate technical and organisational measures, to satisfy its obligations under these Clauses.</w:t>
      </w:r>
    </w:p>
    <w:p w14:paraId="5CE44BC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8.1 Instructions</w:t>
      </w:r>
    </w:p>
    <w:p w14:paraId="3D3C231B" w14:textId="77777777" w:rsidR="0035018C" w:rsidRPr="0035018C" w:rsidRDefault="0035018C" w:rsidP="00B71FC0">
      <w:pPr>
        <w:widowControl/>
        <w:numPr>
          <w:ilvl w:val="1"/>
          <w:numId w:val="2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shall process the personal data only on documented instructions from the data importer acting as its controller.</w:t>
      </w:r>
    </w:p>
    <w:p w14:paraId="471B886B" w14:textId="77777777" w:rsidR="0035018C" w:rsidRPr="0035018C" w:rsidRDefault="0035018C" w:rsidP="00B71FC0">
      <w:pPr>
        <w:widowControl/>
        <w:numPr>
          <w:ilvl w:val="1"/>
          <w:numId w:val="2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shall immediately inform the data importer if it is unable to follow those instructions, including if such instructions infringe Regulation (EU) 2016/679 or other Union or Member State data protection law.</w:t>
      </w:r>
    </w:p>
    <w:p w14:paraId="064D40E6" w14:textId="77777777" w:rsidR="0035018C" w:rsidRPr="0035018C" w:rsidRDefault="0035018C" w:rsidP="00B71FC0">
      <w:pPr>
        <w:widowControl/>
        <w:numPr>
          <w:ilvl w:val="1"/>
          <w:numId w:val="2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5CBF6ABB" w14:textId="77777777" w:rsidR="0035018C" w:rsidRPr="0035018C" w:rsidRDefault="0035018C" w:rsidP="00B71FC0">
      <w:pPr>
        <w:widowControl/>
        <w:numPr>
          <w:ilvl w:val="1"/>
          <w:numId w:val="2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366E641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8.2 Security of processing</w:t>
      </w:r>
    </w:p>
    <w:p w14:paraId="4402D698" w14:textId="062926B1" w:rsidR="0035018C" w:rsidRPr="0035018C" w:rsidRDefault="0035018C" w:rsidP="00B71FC0">
      <w:pPr>
        <w:widowControl/>
        <w:numPr>
          <w:ilvl w:val="1"/>
          <w:numId w:val="2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hyperlink w:anchor="bookmark=id.rtofi4">
        <w:r w:rsidRPr="0035018C">
          <w:rPr>
            <w:color w:val="0000FF"/>
            <w:szCs w:val="24"/>
            <w:u w:val="single"/>
            <w:lang w:eastAsia="en-GB" w:bidi="ar-SA"/>
          </w:rPr>
          <w:t>FN7</w:t>
        </w:r>
      </w:hyperlink>
      <w:r w:rsidRPr="0035018C">
        <w:rPr>
          <w:color w:val="000000"/>
          <w:szCs w:val="24"/>
          <w:lang w:eastAsia="en-GB" w:bidi="ar-SA"/>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p w14:paraId="3BEF51F2" w14:textId="51AA9380" w:rsidR="0035018C" w:rsidRPr="0035018C" w:rsidRDefault="0035018C" w:rsidP="00B71FC0">
      <w:pPr>
        <w:widowControl/>
        <w:numPr>
          <w:ilvl w:val="1"/>
          <w:numId w:val="2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67278AC0" w14:textId="77777777" w:rsidR="0035018C" w:rsidRPr="0035018C" w:rsidRDefault="0035018C" w:rsidP="00B71FC0">
      <w:pPr>
        <w:widowControl/>
        <w:numPr>
          <w:ilvl w:val="1"/>
          <w:numId w:val="2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shall ensure that persons authorised to process the personal data have committed themselves to confidentiality or are under an appropriate statutory obligation of confidentiality.</w:t>
      </w:r>
    </w:p>
    <w:p w14:paraId="7302DFC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8.3 Documentation and compliance</w:t>
      </w:r>
    </w:p>
    <w:p w14:paraId="504FFB69" w14:textId="77777777" w:rsidR="0035018C" w:rsidRPr="0035018C" w:rsidRDefault="0035018C" w:rsidP="00B71FC0">
      <w:pPr>
        <w:widowControl/>
        <w:numPr>
          <w:ilvl w:val="1"/>
          <w:numId w:val="2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 Parties shall be able to demonstrate compliance with these Clauses.</w:t>
      </w:r>
    </w:p>
    <w:p w14:paraId="276CB972" w14:textId="77777777" w:rsidR="0035018C" w:rsidRPr="0035018C" w:rsidRDefault="0035018C" w:rsidP="00B71FC0">
      <w:pPr>
        <w:widowControl/>
        <w:numPr>
          <w:ilvl w:val="1"/>
          <w:numId w:val="2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shall make available to the data importer all information necessary to demonstrate compliance with its obligations under these Clauses and allow for and contribute to audits.</w:t>
      </w:r>
    </w:p>
    <w:p w14:paraId="11131D23" w14:textId="77777777" w:rsidR="0035018C" w:rsidRPr="0035018C" w:rsidRDefault="0035018C" w:rsidP="0069052B">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9</w:t>
      </w:r>
    </w:p>
    <w:p w14:paraId="25518F93"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Use of sub-processors</w:t>
      </w:r>
    </w:p>
    <w:p w14:paraId="44FDB54C"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N/A</w:t>
      </w:r>
    </w:p>
    <w:p w14:paraId="5420F59B"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10</w:t>
      </w:r>
    </w:p>
    <w:p w14:paraId="0F7B22B7"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subject rights</w:t>
      </w:r>
    </w:p>
    <w:p w14:paraId="01EF6D13"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 xml:space="preserve">The Parties shall assist each other in responding to enquiries and requests made by data subjects under the local law applicable to the data importer or, for data processing by the data exporter in the EU, under Regulation (EU) 2016/679. </w:t>
      </w:r>
    </w:p>
    <w:p w14:paraId="593813EB"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11</w:t>
      </w:r>
    </w:p>
    <w:p w14:paraId="57610A0B"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Redress</w:t>
      </w:r>
    </w:p>
    <w:p w14:paraId="40CB3983" w14:textId="77777777" w:rsidR="0035018C" w:rsidRPr="0035018C" w:rsidRDefault="0035018C" w:rsidP="00B71FC0">
      <w:pPr>
        <w:widowControl/>
        <w:numPr>
          <w:ilvl w:val="1"/>
          <w:numId w:val="4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4F6A378C" w14:textId="64AE5C2F"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The data importer agrees that data subjects may also lodge a complaint with an independent dispute resolution body[</w:t>
      </w:r>
      <w:hyperlink w:anchor="bookmark=id.3btby5x">
        <w:r w:rsidRPr="0035018C">
          <w:rPr>
            <w:color w:val="0000FF"/>
            <w:szCs w:val="24"/>
            <w:u w:val="single"/>
            <w:lang w:eastAsia="en-GB" w:bidi="ar-SA"/>
          </w:rPr>
          <w:t>FN11</w:t>
        </w:r>
      </w:hyperlink>
      <w:r w:rsidRPr="0035018C">
        <w:rPr>
          <w:color w:val="000000"/>
          <w:szCs w:val="24"/>
          <w:lang w:eastAsia="en-GB" w:bidi="ar-SA"/>
        </w:rPr>
        <w:t>] at no cost to the data subject. It shall inform the data subjects, in the manner set out in paragraph ‎(a), of such redress mechanism and that they are not required to use it, or follow a particular sequence in seeking redress.]</w:t>
      </w:r>
    </w:p>
    <w:p w14:paraId="38E1D159"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12</w:t>
      </w:r>
    </w:p>
    <w:p w14:paraId="4A2914DB"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Liability</w:t>
      </w:r>
    </w:p>
    <w:p w14:paraId="2511E103" w14:textId="77777777" w:rsidR="0035018C" w:rsidRPr="0035018C" w:rsidRDefault="0035018C" w:rsidP="00B71FC0">
      <w:pPr>
        <w:widowControl/>
        <w:numPr>
          <w:ilvl w:val="1"/>
          <w:numId w:val="4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Each Party shall be liable to the other Party/ies for any damages it causes the other Party/ies by any breach of these Clauses.</w:t>
      </w:r>
    </w:p>
    <w:p w14:paraId="39F2068F" w14:textId="77777777" w:rsidR="0035018C" w:rsidRPr="0035018C" w:rsidRDefault="0035018C" w:rsidP="00B71FC0">
      <w:pPr>
        <w:widowControl/>
        <w:numPr>
          <w:ilvl w:val="1"/>
          <w:numId w:val="4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4F266F5" w14:textId="77777777" w:rsidR="0035018C" w:rsidRPr="0035018C" w:rsidRDefault="0035018C" w:rsidP="00B71FC0">
      <w:pPr>
        <w:widowControl/>
        <w:numPr>
          <w:ilvl w:val="1"/>
          <w:numId w:val="4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Where more than one Party is responsible for any damage caused to the data subject as a result of a breach of these Clauses, all responsible Parties shall be </w:t>
      </w:r>
      <w:r w:rsidRPr="0035018C">
        <w:rPr>
          <w:color w:val="000000"/>
          <w:szCs w:val="24"/>
          <w:lang w:eastAsia="en-GB" w:bidi="ar-SA"/>
        </w:rPr>
        <w:lastRenderedPageBreak/>
        <w:t>jointly and severally liable and the data subject is entitled to bring an action in court against any of these Parties.</w:t>
      </w:r>
    </w:p>
    <w:p w14:paraId="326471AA" w14:textId="6BAE3D5C" w:rsidR="0035018C" w:rsidRPr="0035018C" w:rsidRDefault="0035018C" w:rsidP="00B71FC0">
      <w:pPr>
        <w:widowControl/>
        <w:numPr>
          <w:ilvl w:val="1"/>
          <w:numId w:val="4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agree that if one Party is held liable under paragraph ‎(c), it shall be entitled to claim back from the other Party/ies that part of the compensation corresponding to its/their responsibility for the damage.</w:t>
      </w:r>
    </w:p>
    <w:p w14:paraId="52694420" w14:textId="77777777" w:rsidR="0035018C" w:rsidRPr="0035018C" w:rsidRDefault="0035018C" w:rsidP="00B71FC0">
      <w:pPr>
        <w:widowControl/>
        <w:numPr>
          <w:ilvl w:val="1"/>
          <w:numId w:val="4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may not invoke the conduct of a processor or sub-processor to avoid its own liability.</w:t>
      </w:r>
    </w:p>
    <w:p w14:paraId="2B67506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13</w:t>
      </w:r>
    </w:p>
    <w:p w14:paraId="35842B8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Supervision</w:t>
      </w:r>
    </w:p>
    <w:p w14:paraId="2A87998A"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N/A</w:t>
      </w:r>
    </w:p>
    <w:p w14:paraId="2F1A0A64"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III – LOCAL LAWS AND OBLIGATIONS IN CASE OF ACCESS BY PUBLIC AUTHORITIES</w:t>
      </w:r>
    </w:p>
    <w:p w14:paraId="150D6E34"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14</w:t>
      </w:r>
    </w:p>
    <w:p w14:paraId="3F498C7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b/>
          <w:color w:val="000000"/>
          <w:szCs w:val="24"/>
          <w:lang w:eastAsia="en-GB" w:bidi="ar-SA"/>
        </w:rPr>
        <w:t xml:space="preserve">Local laws and practices affecting compliance with the Clauses </w:t>
      </w:r>
      <w:r w:rsidRPr="0035018C">
        <w:rPr>
          <w:i/>
          <w:color w:val="000000"/>
          <w:szCs w:val="24"/>
          <w:lang w:eastAsia="en-GB" w:bidi="ar-SA"/>
        </w:rPr>
        <w:t>(where the EU processor combines the personal data received from the third country-controller with personal data collected by the processor in the EU)</w:t>
      </w:r>
    </w:p>
    <w:p w14:paraId="039FA22E" w14:textId="77777777"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bookmarkStart w:id="2140" w:name="_Ref141220480"/>
      <w:r w:rsidRPr="0035018C">
        <w:rPr>
          <w:color w:val="000000"/>
          <w:szCs w:val="24"/>
          <w:lang w:eastAsia="en-GB" w:bidi="ar-SA"/>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140"/>
    </w:p>
    <w:p w14:paraId="1E1D8179" w14:textId="15FF9E83"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bookmarkStart w:id="2141" w:name="_Ref141220501"/>
      <w:r w:rsidRPr="0035018C">
        <w:rPr>
          <w:color w:val="000000"/>
          <w:szCs w:val="24"/>
          <w:lang w:eastAsia="en-GB" w:bidi="ar-SA"/>
        </w:rPr>
        <w:t>The Parties declare that in providing the warranty in paragraph </w:t>
      </w:r>
      <w:r w:rsidR="006D4CF6">
        <w:rPr>
          <w:color w:val="000000"/>
          <w:szCs w:val="24"/>
          <w:lang w:eastAsia="en-GB" w:bidi="ar-SA"/>
        </w:rPr>
        <w:fldChar w:fldCharType="begin"/>
      </w:r>
      <w:r w:rsidR="006D4CF6">
        <w:rPr>
          <w:color w:val="000000"/>
          <w:szCs w:val="24"/>
          <w:lang w:eastAsia="en-GB" w:bidi="ar-SA"/>
        </w:rPr>
        <w:instrText xml:space="preserve"> REF _Ref141220480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 they have taken due account in particular of the following elements:</w:t>
      </w:r>
      <w:bookmarkEnd w:id="2141"/>
    </w:p>
    <w:p w14:paraId="6CFCD2B9" w14:textId="77777777" w:rsidR="0035018C" w:rsidRPr="0035018C" w:rsidRDefault="0035018C" w:rsidP="00B71FC0">
      <w:pPr>
        <w:widowControl/>
        <w:numPr>
          <w:ilvl w:val="2"/>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3A2D0642" w14:textId="33240105" w:rsidR="0035018C" w:rsidRPr="0035018C" w:rsidRDefault="0035018C" w:rsidP="00B71FC0">
      <w:pPr>
        <w:widowControl/>
        <w:numPr>
          <w:ilvl w:val="2"/>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bookmark=id.1qym8dq">
        <w:r w:rsidRPr="0035018C">
          <w:rPr>
            <w:color w:val="0000FF"/>
            <w:szCs w:val="24"/>
            <w:u w:val="single"/>
            <w:lang w:eastAsia="en-GB" w:bidi="ar-SA"/>
          </w:rPr>
          <w:t>FN12</w:t>
        </w:r>
      </w:hyperlink>
      <w:r w:rsidRPr="0035018C">
        <w:rPr>
          <w:color w:val="000000"/>
          <w:szCs w:val="24"/>
          <w:lang w:eastAsia="en-GB" w:bidi="ar-SA"/>
        </w:rPr>
        <w:t>];</w:t>
      </w:r>
    </w:p>
    <w:p w14:paraId="6C55DFF9" w14:textId="77777777" w:rsidR="0035018C" w:rsidRPr="0035018C" w:rsidRDefault="0035018C" w:rsidP="00B71FC0">
      <w:pPr>
        <w:widowControl/>
        <w:numPr>
          <w:ilvl w:val="2"/>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any relevant contractual, technical or organisational safeguards put in place to supplement the safeguards under these Clauses, including measures applied during transmission and to the processing of the personal data in the country of destination.</w:t>
      </w:r>
    </w:p>
    <w:p w14:paraId="357E5708" w14:textId="07B1FF42"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importer warrants that, in carrying out the assessment under paragraph </w:t>
      </w:r>
      <w:r w:rsidR="006D4CF6">
        <w:rPr>
          <w:color w:val="000000"/>
          <w:szCs w:val="24"/>
          <w:lang w:eastAsia="en-GB" w:bidi="ar-SA"/>
        </w:rPr>
        <w:fldChar w:fldCharType="begin"/>
      </w:r>
      <w:r w:rsidR="006D4CF6">
        <w:rPr>
          <w:color w:val="000000"/>
          <w:szCs w:val="24"/>
          <w:lang w:eastAsia="en-GB" w:bidi="ar-SA"/>
        </w:rPr>
        <w:instrText xml:space="preserve"> REF _Ref141220501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(b)</w:t>
      </w:r>
      <w:r w:rsidR="006D4CF6">
        <w:rPr>
          <w:color w:val="000000"/>
          <w:szCs w:val="24"/>
          <w:lang w:eastAsia="en-GB" w:bidi="ar-SA"/>
        </w:rPr>
        <w:fldChar w:fldCharType="end"/>
      </w:r>
      <w:r w:rsidRPr="0035018C">
        <w:rPr>
          <w:color w:val="000000"/>
          <w:szCs w:val="24"/>
          <w:lang w:eastAsia="en-GB" w:bidi="ar-SA"/>
        </w:rPr>
        <w:t>, it has made its best efforts to provide the data exporter with relevant information and agrees that it will continue to cooperate with the data exporter in ensuring compliance with these Clauses.</w:t>
      </w:r>
    </w:p>
    <w:p w14:paraId="4ADDA63F" w14:textId="2C1A85F1"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to document the assessment under paragraph </w:t>
      </w:r>
      <w:r w:rsidR="006D4CF6">
        <w:rPr>
          <w:color w:val="000000"/>
          <w:szCs w:val="24"/>
          <w:lang w:eastAsia="en-GB" w:bidi="ar-SA"/>
        </w:rPr>
        <w:fldChar w:fldCharType="begin"/>
      </w:r>
      <w:r w:rsidR="006D4CF6">
        <w:rPr>
          <w:color w:val="000000"/>
          <w:szCs w:val="24"/>
          <w:lang w:eastAsia="en-GB" w:bidi="ar-SA"/>
        </w:rPr>
        <w:instrText xml:space="preserve"> REF _Ref141220501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(b)</w:t>
      </w:r>
      <w:r w:rsidR="006D4CF6">
        <w:rPr>
          <w:color w:val="000000"/>
          <w:szCs w:val="24"/>
          <w:lang w:eastAsia="en-GB" w:bidi="ar-SA"/>
        </w:rPr>
        <w:fldChar w:fldCharType="end"/>
      </w:r>
      <w:r w:rsidRPr="0035018C">
        <w:rPr>
          <w:color w:val="000000"/>
          <w:szCs w:val="24"/>
          <w:lang w:eastAsia="en-GB" w:bidi="ar-SA"/>
        </w:rPr>
        <w:t xml:space="preserve"> and make it available to the competent supervisory authority on request.</w:t>
      </w:r>
    </w:p>
    <w:p w14:paraId="343F9EA5" w14:textId="2203DE1A"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bookmarkStart w:id="2142" w:name="_Ref141220535"/>
      <w:r w:rsidRPr="0035018C">
        <w:rPr>
          <w:color w:val="000000"/>
          <w:szCs w:val="24"/>
          <w:lang w:eastAsia="en-GB" w:bidi="ar-SA"/>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6D4CF6">
        <w:rPr>
          <w:color w:val="000000"/>
          <w:szCs w:val="24"/>
          <w:lang w:eastAsia="en-GB" w:bidi="ar-SA"/>
        </w:rPr>
        <w:fldChar w:fldCharType="begin"/>
      </w:r>
      <w:r w:rsidR="006D4CF6">
        <w:rPr>
          <w:color w:val="000000"/>
          <w:szCs w:val="24"/>
          <w:lang w:eastAsia="en-GB" w:bidi="ar-SA"/>
        </w:rPr>
        <w:instrText xml:space="preserve"> REF _Ref141220480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 xml:space="preserve">, including following a change in the laws of the third country or a measure (such as a disclosure request) indicating an application of such laws in practice that is not in line with the requirements in paragraph </w:t>
      </w:r>
      <w:r w:rsidR="006D4CF6">
        <w:rPr>
          <w:color w:val="000000"/>
          <w:szCs w:val="24"/>
          <w:lang w:eastAsia="en-GB" w:bidi="ar-SA"/>
        </w:rPr>
        <w:fldChar w:fldCharType="begin"/>
      </w:r>
      <w:r w:rsidR="006D4CF6">
        <w:rPr>
          <w:color w:val="000000"/>
          <w:szCs w:val="24"/>
          <w:lang w:eastAsia="en-GB" w:bidi="ar-SA"/>
        </w:rPr>
        <w:instrText xml:space="preserve"> REF _Ref141220480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w:t>
      </w:r>
      <w:bookmarkEnd w:id="2142"/>
      <w:r w:rsidRPr="0035018C">
        <w:rPr>
          <w:color w:val="000000"/>
          <w:szCs w:val="24"/>
          <w:lang w:eastAsia="en-GB" w:bidi="ar-SA"/>
        </w:rPr>
        <w:t xml:space="preserve"> </w:t>
      </w:r>
    </w:p>
    <w:p w14:paraId="07B5FF07" w14:textId="4CCF957C" w:rsidR="0035018C" w:rsidRPr="0035018C" w:rsidRDefault="0035018C" w:rsidP="00B71FC0">
      <w:pPr>
        <w:widowControl/>
        <w:numPr>
          <w:ilvl w:val="1"/>
          <w:numId w:val="4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Following a notification pursuant to paragraph </w:t>
      </w:r>
      <w:r w:rsidR="006D4CF6">
        <w:rPr>
          <w:color w:val="000000"/>
          <w:szCs w:val="24"/>
          <w:lang w:eastAsia="en-GB" w:bidi="ar-SA"/>
        </w:rPr>
        <w:fldChar w:fldCharType="begin"/>
      </w:r>
      <w:r w:rsidR="006D4CF6">
        <w:rPr>
          <w:color w:val="000000"/>
          <w:szCs w:val="24"/>
          <w:lang w:eastAsia="en-GB" w:bidi="ar-SA"/>
        </w:rPr>
        <w:instrText xml:space="preserve"> REF _Ref141220535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(e)</w:t>
      </w:r>
      <w:r w:rsidR="006D4CF6">
        <w:rPr>
          <w:color w:val="000000"/>
          <w:szCs w:val="24"/>
          <w:lang w:eastAsia="en-GB" w:bidi="ar-SA"/>
        </w:rPr>
        <w:fldChar w:fldCharType="end"/>
      </w:r>
      <w:r w:rsidRPr="0035018C">
        <w:rPr>
          <w:color w:val="000000"/>
          <w:szCs w:val="24"/>
          <w:lang w:eastAsia="en-GB" w:bidi="ar-SA"/>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6C057646"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15</w:t>
      </w:r>
    </w:p>
    <w:p w14:paraId="2897474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b/>
          <w:color w:val="000000"/>
          <w:szCs w:val="24"/>
          <w:lang w:eastAsia="en-GB" w:bidi="ar-SA"/>
        </w:rPr>
        <w:t xml:space="preserve">Obligations of the data importer in case of access by public authorities </w:t>
      </w:r>
      <w:r w:rsidRPr="0035018C">
        <w:rPr>
          <w:i/>
          <w:color w:val="000000"/>
          <w:szCs w:val="24"/>
          <w:lang w:eastAsia="en-GB" w:bidi="ar-SA"/>
        </w:rPr>
        <w:t>(where the EU processor combines the personal data received from the third country-controller with personal data collected by the processor in the EU)</w:t>
      </w:r>
    </w:p>
    <w:p w14:paraId="4E954AC6"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15.1 Notification</w:t>
      </w:r>
    </w:p>
    <w:p w14:paraId="506276AE" w14:textId="51182731" w:rsidR="0035018C" w:rsidRPr="0035018C" w:rsidRDefault="0035018C" w:rsidP="00B71FC0">
      <w:pPr>
        <w:pStyle w:val="Tablea"/>
        <w:numPr>
          <w:ilvl w:val="1"/>
          <w:numId w:val="180"/>
        </w:numPr>
        <w:rPr>
          <w:lang w:eastAsia="en-GB" w:bidi="ar-SA"/>
        </w:rPr>
      </w:pPr>
      <w:bookmarkStart w:id="2143" w:name="_Ref141220565"/>
      <w:r w:rsidRPr="0035018C">
        <w:rPr>
          <w:lang w:eastAsia="en-GB" w:bidi="ar-SA"/>
        </w:rPr>
        <w:t>The data importer agrees to notify the data exporter and, where possible, the data subject promptly (if necessary with the help of the data exporter) if it:</w:t>
      </w:r>
      <w:bookmarkEnd w:id="2143"/>
    </w:p>
    <w:p w14:paraId="6C6FC880" w14:textId="77777777" w:rsidR="0035018C" w:rsidRPr="0035018C" w:rsidRDefault="0035018C" w:rsidP="00A64142">
      <w:pPr>
        <w:pStyle w:val="Tableai"/>
        <w:rPr>
          <w:lang w:eastAsia="en-GB" w:bidi="ar-SA"/>
        </w:rPr>
      </w:pPr>
      <w:r w:rsidRPr="0035018C">
        <w:rPr>
          <w:lang w:eastAsia="en-GB" w:bidi="ar-SA"/>
        </w:rPr>
        <w:t xml:space="preserve">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w:t>
      </w:r>
      <w:r w:rsidRPr="0035018C">
        <w:rPr>
          <w:lang w:eastAsia="en-GB" w:bidi="ar-SA"/>
        </w:rPr>
        <w:lastRenderedPageBreak/>
        <w:t>the legal basis for the request and the response provided; or</w:t>
      </w:r>
    </w:p>
    <w:p w14:paraId="176BC7CB" w14:textId="77777777" w:rsidR="0035018C" w:rsidRPr="0035018C" w:rsidRDefault="0035018C" w:rsidP="00A64142">
      <w:pPr>
        <w:pStyle w:val="Tableai"/>
        <w:rPr>
          <w:lang w:eastAsia="en-GB" w:bidi="ar-SA"/>
        </w:rPr>
      </w:pPr>
      <w:r w:rsidRPr="0035018C">
        <w:rPr>
          <w:lang w:eastAsia="en-GB" w:bidi="ar-SA"/>
        </w:rPr>
        <w:t>becomes aware of any direct access by public authorities to personal data transferred pursuant to these Clauses in accordance with the laws of the country of destination; such notification shall include all information available to the importer.</w:t>
      </w:r>
    </w:p>
    <w:p w14:paraId="1CDC82CD" w14:textId="77777777" w:rsidR="0035018C" w:rsidRPr="0035018C" w:rsidRDefault="0035018C" w:rsidP="003A5D4B">
      <w:pPr>
        <w:pStyle w:val="Tablea"/>
        <w:rPr>
          <w:lang w:eastAsia="en-GB" w:bidi="ar-SA"/>
        </w:rPr>
      </w:pPr>
      <w:r w:rsidRPr="0035018C">
        <w:rPr>
          <w:lang w:eastAsia="en-GB" w:bidi="ar-SA"/>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292B3F6" w14:textId="77777777" w:rsidR="0035018C" w:rsidRPr="0035018C" w:rsidRDefault="0035018C" w:rsidP="003A5D4B">
      <w:pPr>
        <w:pStyle w:val="Tablea"/>
        <w:rPr>
          <w:lang w:eastAsia="en-GB" w:bidi="ar-SA"/>
        </w:rPr>
      </w:pPr>
      <w:bookmarkStart w:id="2144" w:name="_Ref141220580"/>
      <w:r w:rsidRPr="0035018C">
        <w:rPr>
          <w:lang w:eastAsia="en-GB" w:bidi="ar-SA"/>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bookmarkEnd w:id="2144"/>
      <w:r w:rsidRPr="0035018C">
        <w:rPr>
          <w:lang w:eastAsia="en-GB" w:bidi="ar-SA"/>
        </w:rPr>
        <w:t xml:space="preserve"> </w:t>
      </w:r>
    </w:p>
    <w:p w14:paraId="610EB4C3" w14:textId="3108862D" w:rsidR="0035018C" w:rsidRPr="0035018C" w:rsidRDefault="0035018C" w:rsidP="003A5D4B">
      <w:pPr>
        <w:pStyle w:val="Tablea"/>
        <w:rPr>
          <w:lang w:eastAsia="en-GB" w:bidi="ar-SA"/>
        </w:rPr>
      </w:pPr>
      <w:r w:rsidRPr="0035018C">
        <w:rPr>
          <w:lang w:eastAsia="en-GB" w:bidi="ar-SA"/>
        </w:rPr>
        <w:t xml:space="preserve">The data importer agrees to preserve the information pursuant to paragraphs </w:t>
      </w:r>
      <w:r w:rsidR="006D4CF6">
        <w:rPr>
          <w:lang w:eastAsia="en-GB" w:bidi="ar-SA"/>
        </w:rPr>
        <w:fldChar w:fldCharType="begin"/>
      </w:r>
      <w:r w:rsidR="006D4CF6">
        <w:rPr>
          <w:lang w:eastAsia="en-GB" w:bidi="ar-SA"/>
        </w:rPr>
        <w:instrText xml:space="preserve"> REF _Ref141220565 \n \h </w:instrText>
      </w:r>
      <w:r w:rsidR="006D4CF6">
        <w:rPr>
          <w:lang w:eastAsia="en-GB" w:bidi="ar-SA"/>
        </w:rPr>
      </w:r>
      <w:r w:rsidR="006D4CF6">
        <w:rPr>
          <w:lang w:eastAsia="en-GB" w:bidi="ar-SA"/>
        </w:rPr>
        <w:fldChar w:fldCharType="separate"/>
      </w:r>
      <w:r w:rsidR="009749A0">
        <w:rPr>
          <w:lang w:eastAsia="en-GB" w:bidi="ar-SA"/>
        </w:rPr>
        <w:t>(a)</w:t>
      </w:r>
      <w:r w:rsidR="006D4CF6">
        <w:rPr>
          <w:lang w:eastAsia="en-GB" w:bidi="ar-SA"/>
        </w:rPr>
        <w:fldChar w:fldCharType="end"/>
      </w:r>
      <w:r w:rsidRPr="0035018C">
        <w:rPr>
          <w:lang w:eastAsia="en-GB" w:bidi="ar-SA"/>
        </w:rPr>
        <w:t xml:space="preserve"> to </w:t>
      </w:r>
      <w:r w:rsidR="006D4CF6">
        <w:rPr>
          <w:lang w:eastAsia="en-GB" w:bidi="ar-SA"/>
        </w:rPr>
        <w:fldChar w:fldCharType="begin"/>
      </w:r>
      <w:r w:rsidR="006D4CF6">
        <w:rPr>
          <w:lang w:eastAsia="en-GB" w:bidi="ar-SA"/>
        </w:rPr>
        <w:instrText xml:space="preserve"> REF _Ref141220580 \n \h </w:instrText>
      </w:r>
      <w:r w:rsidR="006D4CF6">
        <w:rPr>
          <w:lang w:eastAsia="en-GB" w:bidi="ar-SA"/>
        </w:rPr>
      </w:r>
      <w:r w:rsidR="006D4CF6">
        <w:rPr>
          <w:lang w:eastAsia="en-GB" w:bidi="ar-SA"/>
        </w:rPr>
        <w:fldChar w:fldCharType="separate"/>
      </w:r>
      <w:r w:rsidR="009749A0">
        <w:rPr>
          <w:lang w:eastAsia="en-GB" w:bidi="ar-SA"/>
        </w:rPr>
        <w:t>(c)</w:t>
      </w:r>
      <w:r w:rsidR="006D4CF6">
        <w:rPr>
          <w:lang w:eastAsia="en-GB" w:bidi="ar-SA"/>
        </w:rPr>
        <w:fldChar w:fldCharType="end"/>
      </w:r>
      <w:r w:rsidRPr="0035018C">
        <w:rPr>
          <w:lang w:eastAsia="en-GB" w:bidi="ar-SA"/>
        </w:rPr>
        <w:t xml:space="preserve"> for the duration of the contract and make it available to the competent supervisory authority on request.</w:t>
      </w:r>
    </w:p>
    <w:p w14:paraId="0C399939" w14:textId="5D10160C" w:rsidR="0035018C" w:rsidRPr="0035018C" w:rsidRDefault="0035018C" w:rsidP="003A5D4B">
      <w:pPr>
        <w:pStyle w:val="Tablea"/>
        <w:rPr>
          <w:lang w:eastAsia="en-GB" w:bidi="ar-SA"/>
        </w:rPr>
      </w:pPr>
      <w:r w:rsidRPr="0035018C">
        <w:rPr>
          <w:lang w:eastAsia="en-GB" w:bidi="ar-SA"/>
        </w:rPr>
        <w:t xml:space="preserve">Paragraphs </w:t>
      </w:r>
      <w:r w:rsidR="006D4CF6">
        <w:rPr>
          <w:lang w:eastAsia="en-GB" w:bidi="ar-SA"/>
        </w:rPr>
        <w:fldChar w:fldCharType="begin"/>
      </w:r>
      <w:r w:rsidR="006D4CF6">
        <w:rPr>
          <w:lang w:eastAsia="en-GB" w:bidi="ar-SA"/>
        </w:rPr>
        <w:instrText xml:space="preserve"> REF _Ref141220565 \n \h </w:instrText>
      </w:r>
      <w:r w:rsidR="006D4CF6">
        <w:rPr>
          <w:lang w:eastAsia="en-GB" w:bidi="ar-SA"/>
        </w:rPr>
      </w:r>
      <w:r w:rsidR="006D4CF6">
        <w:rPr>
          <w:lang w:eastAsia="en-GB" w:bidi="ar-SA"/>
        </w:rPr>
        <w:fldChar w:fldCharType="separate"/>
      </w:r>
      <w:r w:rsidR="009749A0">
        <w:rPr>
          <w:lang w:eastAsia="en-GB" w:bidi="ar-SA"/>
        </w:rPr>
        <w:t>(a)</w:t>
      </w:r>
      <w:r w:rsidR="006D4CF6">
        <w:rPr>
          <w:lang w:eastAsia="en-GB" w:bidi="ar-SA"/>
        </w:rPr>
        <w:fldChar w:fldCharType="end"/>
      </w:r>
      <w:r w:rsidRPr="0035018C">
        <w:rPr>
          <w:lang w:eastAsia="en-GB" w:bidi="ar-SA"/>
        </w:rPr>
        <w:t xml:space="preserve"> to </w:t>
      </w:r>
      <w:r w:rsidR="006D4CF6">
        <w:rPr>
          <w:lang w:eastAsia="en-GB" w:bidi="ar-SA"/>
        </w:rPr>
        <w:fldChar w:fldCharType="begin"/>
      </w:r>
      <w:r w:rsidR="006D4CF6">
        <w:rPr>
          <w:lang w:eastAsia="en-GB" w:bidi="ar-SA"/>
        </w:rPr>
        <w:instrText xml:space="preserve"> REF _Ref141220580 \n \h </w:instrText>
      </w:r>
      <w:r w:rsidR="006D4CF6">
        <w:rPr>
          <w:lang w:eastAsia="en-GB" w:bidi="ar-SA"/>
        </w:rPr>
      </w:r>
      <w:r w:rsidR="006D4CF6">
        <w:rPr>
          <w:lang w:eastAsia="en-GB" w:bidi="ar-SA"/>
        </w:rPr>
        <w:fldChar w:fldCharType="separate"/>
      </w:r>
      <w:r w:rsidR="009749A0">
        <w:rPr>
          <w:lang w:eastAsia="en-GB" w:bidi="ar-SA"/>
        </w:rPr>
        <w:t>(c)</w:t>
      </w:r>
      <w:r w:rsidR="006D4CF6">
        <w:rPr>
          <w:lang w:eastAsia="en-GB" w:bidi="ar-SA"/>
        </w:rPr>
        <w:fldChar w:fldCharType="end"/>
      </w:r>
      <w:r w:rsidRPr="0035018C">
        <w:rPr>
          <w:lang w:eastAsia="en-GB" w:bidi="ar-SA"/>
        </w:rPr>
        <w:t xml:space="preserve"> are without prejudice to the obligation of the data importer pursuant to Clause 14(e) and Clause 16 to inform the data exporter promptly where it is unable to comply with these Clauses.</w:t>
      </w:r>
    </w:p>
    <w:p w14:paraId="18B7E74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15.2 Review of legality and data minimisation</w:t>
      </w:r>
    </w:p>
    <w:p w14:paraId="622FE116" w14:textId="77777777" w:rsidR="0035018C" w:rsidRPr="0035018C" w:rsidRDefault="0035018C" w:rsidP="0035018C">
      <w:pPr>
        <w:widowControl/>
        <w:numPr>
          <w:ilvl w:val="1"/>
          <w:numId w:val="1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1DAEA79" w14:textId="77777777" w:rsidR="0035018C" w:rsidRPr="0035018C" w:rsidRDefault="0035018C" w:rsidP="0035018C">
      <w:pPr>
        <w:widowControl/>
        <w:numPr>
          <w:ilvl w:val="1"/>
          <w:numId w:val="1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266209DD" w14:textId="77777777" w:rsidR="0035018C" w:rsidRPr="0035018C" w:rsidRDefault="0035018C" w:rsidP="0035018C">
      <w:pPr>
        <w:widowControl/>
        <w:numPr>
          <w:ilvl w:val="1"/>
          <w:numId w:val="1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to provide the minimum amount of information permissible when responding to a request for disclosure, based on a reasonable interpretation of the request.</w:t>
      </w:r>
    </w:p>
    <w:p w14:paraId="1A2117F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IV – FINAL PROVISIONS</w:t>
      </w:r>
    </w:p>
    <w:p w14:paraId="02A10672"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CLAUSE 16</w:t>
      </w:r>
    </w:p>
    <w:p w14:paraId="7681013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Non-compliance with the Clauses and termination</w:t>
      </w:r>
    </w:p>
    <w:p w14:paraId="4E1908A8" w14:textId="77777777" w:rsidR="0035018C" w:rsidRPr="0035018C" w:rsidRDefault="0035018C" w:rsidP="0035018C">
      <w:pPr>
        <w:widowControl/>
        <w:numPr>
          <w:ilvl w:val="1"/>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promptly inform the data exporter if it is unable to comply with these Clauses, for whatever reason.</w:t>
      </w:r>
    </w:p>
    <w:p w14:paraId="316DE5E1" w14:textId="77777777" w:rsidR="0035018C" w:rsidRPr="0035018C" w:rsidRDefault="0035018C" w:rsidP="0035018C">
      <w:pPr>
        <w:widowControl/>
        <w:numPr>
          <w:ilvl w:val="1"/>
          <w:numId w:val="16"/>
        </w:numPr>
        <w:pBdr>
          <w:top w:val="nil"/>
          <w:left w:val="nil"/>
          <w:bottom w:val="nil"/>
          <w:right w:val="nil"/>
          <w:between w:val="nil"/>
        </w:pBdr>
        <w:autoSpaceDE/>
        <w:autoSpaceDN/>
        <w:spacing w:before="120" w:after="240" w:line="276" w:lineRule="auto"/>
        <w:rPr>
          <w:color w:val="000000"/>
          <w:szCs w:val="24"/>
          <w:lang w:eastAsia="en-GB" w:bidi="ar-SA"/>
        </w:rPr>
      </w:pPr>
      <w:bookmarkStart w:id="2145" w:name="_Ref141220616"/>
      <w:r w:rsidRPr="0035018C">
        <w:rPr>
          <w:color w:val="000000"/>
          <w:szCs w:val="24"/>
          <w:lang w:eastAsia="en-GB" w:bidi="ar-SA"/>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145"/>
    </w:p>
    <w:p w14:paraId="6018C233" w14:textId="77777777" w:rsidR="0035018C" w:rsidRPr="0035018C" w:rsidRDefault="0035018C" w:rsidP="0035018C">
      <w:pPr>
        <w:widowControl/>
        <w:numPr>
          <w:ilvl w:val="1"/>
          <w:numId w:val="16"/>
        </w:numPr>
        <w:pBdr>
          <w:top w:val="nil"/>
          <w:left w:val="nil"/>
          <w:bottom w:val="nil"/>
          <w:right w:val="nil"/>
          <w:between w:val="nil"/>
        </w:pBdr>
        <w:autoSpaceDE/>
        <w:autoSpaceDN/>
        <w:spacing w:before="120" w:after="240" w:line="276" w:lineRule="auto"/>
        <w:rPr>
          <w:color w:val="000000"/>
          <w:szCs w:val="24"/>
          <w:lang w:eastAsia="en-GB" w:bidi="ar-SA"/>
        </w:rPr>
      </w:pPr>
      <w:bookmarkStart w:id="2146" w:name="_Ref141220628"/>
      <w:r w:rsidRPr="0035018C">
        <w:rPr>
          <w:color w:val="000000"/>
          <w:szCs w:val="24"/>
          <w:lang w:eastAsia="en-GB" w:bidi="ar-SA"/>
        </w:rPr>
        <w:t>The data exporter shall be entitled to terminate the contract, insofar as it concerns the processing of personal data under these Clauses, where:</w:t>
      </w:r>
      <w:bookmarkEnd w:id="2146"/>
    </w:p>
    <w:p w14:paraId="30DF1A16" w14:textId="75425376" w:rsidR="0035018C" w:rsidRPr="0035018C" w:rsidRDefault="0035018C" w:rsidP="0035018C">
      <w:pPr>
        <w:widowControl/>
        <w:numPr>
          <w:ilvl w:val="2"/>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exporter has suspended the transfer of personal data to the data importer pursuant to paragraph </w:t>
      </w:r>
      <w:r w:rsidR="006D4CF6">
        <w:rPr>
          <w:color w:val="000000"/>
          <w:szCs w:val="24"/>
          <w:lang w:eastAsia="en-GB" w:bidi="ar-SA"/>
        </w:rPr>
        <w:fldChar w:fldCharType="begin"/>
      </w:r>
      <w:r w:rsidR="006D4CF6">
        <w:rPr>
          <w:color w:val="000000"/>
          <w:szCs w:val="24"/>
          <w:lang w:eastAsia="en-GB" w:bidi="ar-SA"/>
        </w:rPr>
        <w:instrText xml:space="preserve"> REF _Ref141220616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(b)</w:t>
      </w:r>
      <w:r w:rsidR="006D4CF6">
        <w:rPr>
          <w:color w:val="000000"/>
          <w:szCs w:val="24"/>
          <w:lang w:eastAsia="en-GB" w:bidi="ar-SA"/>
        </w:rPr>
        <w:fldChar w:fldCharType="end"/>
      </w:r>
      <w:r w:rsidRPr="0035018C">
        <w:rPr>
          <w:color w:val="000000"/>
          <w:szCs w:val="24"/>
          <w:lang w:eastAsia="en-GB" w:bidi="ar-SA"/>
        </w:rPr>
        <w:t xml:space="preserve"> and compliance with these Clauses is not restored within a reasonable time and in any event within one month of suspension;</w:t>
      </w:r>
    </w:p>
    <w:p w14:paraId="79F8859F" w14:textId="77777777" w:rsidR="0035018C" w:rsidRPr="0035018C" w:rsidRDefault="0035018C" w:rsidP="0035018C">
      <w:pPr>
        <w:widowControl/>
        <w:numPr>
          <w:ilvl w:val="2"/>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is in substantial or persistent breach of these Clauses; or</w:t>
      </w:r>
    </w:p>
    <w:p w14:paraId="4E2B177A" w14:textId="77777777" w:rsidR="0035018C" w:rsidRPr="0035018C" w:rsidRDefault="0035018C" w:rsidP="0035018C">
      <w:pPr>
        <w:widowControl/>
        <w:numPr>
          <w:ilvl w:val="2"/>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fails to comply with a binding decision of a competent court or supervisory authority regarding its obligations under these Clauses.</w:t>
      </w:r>
    </w:p>
    <w:p w14:paraId="663080C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6DC8595B" w14:textId="5C857B1B" w:rsidR="0035018C" w:rsidRPr="0035018C" w:rsidRDefault="0035018C" w:rsidP="0035018C">
      <w:pPr>
        <w:widowControl/>
        <w:numPr>
          <w:ilvl w:val="1"/>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Personal data collected by the data exporter in the EU that has been transferred prior to the termination of the contract pursuant to paragraph </w:t>
      </w:r>
      <w:r w:rsidR="006D4CF6">
        <w:rPr>
          <w:color w:val="000000"/>
          <w:szCs w:val="24"/>
          <w:lang w:eastAsia="en-GB" w:bidi="ar-SA"/>
        </w:rPr>
        <w:fldChar w:fldCharType="begin"/>
      </w:r>
      <w:r w:rsidR="006D4CF6">
        <w:rPr>
          <w:color w:val="000000"/>
          <w:szCs w:val="24"/>
          <w:lang w:eastAsia="en-GB" w:bidi="ar-SA"/>
        </w:rPr>
        <w:instrText xml:space="preserve"> REF _Ref141220628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(c)</w:t>
      </w:r>
      <w:r w:rsidR="006D4CF6">
        <w:rPr>
          <w:color w:val="000000"/>
          <w:szCs w:val="24"/>
          <w:lang w:eastAsia="en-GB" w:bidi="ar-SA"/>
        </w:rPr>
        <w:fldChar w:fldCharType="end"/>
      </w:r>
      <w:r w:rsidRPr="0035018C">
        <w:rPr>
          <w:color w:val="000000"/>
          <w:szCs w:val="24"/>
          <w:lang w:eastAsia="en-GB" w:bidi="ar-SA"/>
        </w:rPr>
        <w:t xml:space="preserve">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A18F1D1" w14:textId="77777777" w:rsidR="0035018C" w:rsidRPr="0035018C" w:rsidRDefault="0035018C" w:rsidP="0035018C">
      <w:pPr>
        <w:widowControl/>
        <w:numPr>
          <w:ilvl w:val="1"/>
          <w:numId w:val="1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t>
      </w:r>
      <w:r w:rsidRPr="0035018C">
        <w:rPr>
          <w:color w:val="000000"/>
          <w:szCs w:val="24"/>
          <w:lang w:eastAsia="en-GB" w:bidi="ar-SA"/>
        </w:rPr>
        <w:lastRenderedPageBreak/>
        <w:t>which the personal data is transferred. This is without prejudice to other obligations applying to the processing in question under Regulation (EU) 2016/679.</w:t>
      </w:r>
    </w:p>
    <w:p w14:paraId="6A01BF35" w14:textId="77777777" w:rsidR="0035018C" w:rsidRPr="0035018C" w:rsidRDefault="0035018C" w:rsidP="005509BF">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17</w:t>
      </w:r>
    </w:p>
    <w:p w14:paraId="60113DC0" w14:textId="77777777" w:rsidR="0035018C" w:rsidRPr="0035018C" w:rsidRDefault="0035018C" w:rsidP="005509BF">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Governing law</w:t>
      </w:r>
    </w:p>
    <w:p w14:paraId="107AE55D"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These Clauses shall be governed by the law of a country allowing for third-party beneficiary rights. The Parties agree that this shall be the law of _______ (</w:t>
      </w:r>
      <w:r w:rsidRPr="0035018C">
        <w:rPr>
          <w:i/>
          <w:color w:val="000000"/>
          <w:szCs w:val="24"/>
          <w:lang w:eastAsia="en-GB" w:bidi="ar-SA"/>
        </w:rPr>
        <w:t>specify country</w:t>
      </w:r>
      <w:r w:rsidRPr="0035018C">
        <w:rPr>
          <w:color w:val="000000"/>
          <w:szCs w:val="24"/>
          <w:lang w:eastAsia="en-GB" w:bidi="ar-SA"/>
        </w:rPr>
        <w:t>).</w:t>
      </w:r>
    </w:p>
    <w:p w14:paraId="55BDE8DD"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18</w:t>
      </w:r>
    </w:p>
    <w:p w14:paraId="719B5C72"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Choice of forum and jurisdiction</w:t>
      </w:r>
    </w:p>
    <w:p w14:paraId="70366C69"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Any dispute arising from these Clauses shall be resolved by the courts of _____ (</w:t>
      </w:r>
      <w:r w:rsidRPr="0035018C">
        <w:rPr>
          <w:i/>
          <w:color w:val="000000"/>
          <w:szCs w:val="24"/>
          <w:lang w:eastAsia="en-GB" w:bidi="ar-SA"/>
        </w:rPr>
        <w:t>specify country</w:t>
      </w:r>
      <w:r w:rsidRPr="0035018C">
        <w:rPr>
          <w:color w:val="000000"/>
          <w:szCs w:val="24"/>
          <w:lang w:eastAsia="en-GB" w:bidi="ar-SA"/>
        </w:rPr>
        <w:t>).</w:t>
      </w:r>
    </w:p>
    <w:p w14:paraId="72E9E0AB"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115CE8F3"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Official European Commission Footnotes</w:t>
      </w:r>
    </w:p>
    <w:p w14:paraId="34616A40" w14:textId="57405378"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l354xk">
        <w:r w:rsidR="0035018C" w:rsidRPr="0035018C">
          <w:rPr>
            <w:color w:val="0000FF"/>
            <w:szCs w:val="24"/>
            <w:u w:val="single"/>
            <w:lang w:eastAsia="en-GB" w:bidi="ar-SA"/>
          </w:rPr>
          <w:t>FN1</w:t>
        </w:r>
      </w:hyperlink>
      <w:r w:rsidR="0035018C" w:rsidRPr="0035018C">
        <w:rPr>
          <w:color w:val="000000"/>
          <w:szCs w:val="24"/>
          <w:lang w:eastAsia="en-GB" w:bidi="ar-SA"/>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0035018C" w:rsidRPr="0035018C">
        <w:rPr>
          <w:color w:val="0000FF"/>
          <w:szCs w:val="24"/>
          <w:u w:val="single"/>
          <w:lang w:eastAsia="en-GB" w:bidi="ar-SA"/>
        </w:rPr>
        <w:t>(OJ L 295, 21.11.2018, p. 39</w:t>
      </w:r>
      <w:r w:rsidR="0035018C" w:rsidRPr="0035018C">
        <w:rPr>
          <w:color w:val="000000"/>
          <w:szCs w:val="24"/>
          <w:lang w:eastAsia="en-GB" w:bidi="ar-SA"/>
        </w:rPr>
        <w:t xml:space="preserve">),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p w14:paraId="1835E707" w14:textId="787FB469"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2zlqixl">
        <w:r w:rsidR="0035018C" w:rsidRPr="0035018C">
          <w:rPr>
            <w:color w:val="0000FF"/>
            <w:szCs w:val="24"/>
            <w:u w:val="single"/>
            <w:lang w:eastAsia="en-GB" w:bidi="ar-SA"/>
          </w:rPr>
          <w:t>FN7</w:t>
        </w:r>
      </w:hyperlink>
      <w:r w:rsidR="0035018C" w:rsidRPr="0035018C">
        <w:rPr>
          <w:color w:val="000000"/>
          <w:szCs w:val="24"/>
          <w:lang w:eastAsia="en-GB" w:bidi="ar-SA"/>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14:paraId="66ECBFD9" w14:textId="67617640"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25lcl3g">
        <w:r w:rsidR="0035018C" w:rsidRPr="0035018C">
          <w:rPr>
            <w:color w:val="0000FF"/>
            <w:szCs w:val="24"/>
            <w:u w:val="single"/>
            <w:lang w:eastAsia="en-GB" w:bidi="ar-SA"/>
          </w:rPr>
          <w:t>FN11</w:t>
        </w:r>
      </w:hyperlink>
      <w:r w:rsidR="0035018C" w:rsidRPr="0035018C">
        <w:rPr>
          <w:color w:val="000000"/>
          <w:szCs w:val="24"/>
          <w:lang w:eastAsia="en-GB" w:bidi="ar-SA"/>
        </w:rPr>
        <w:t>: The data importer may offer independent dispute resolution through an arbitration body only if it is established in a country that has ratified the New York Convention on Enforcement of Arbitration Awards.</w:t>
      </w:r>
    </w:p>
    <w:p w14:paraId="2388CC8A" w14:textId="70FA1304"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3vkm5x4">
        <w:r w:rsidR="0035018C" w:rsidRPr="0035018C">
          <w:rPr>
            <w:color w:val="0000FF"/>
            <w:szCs w:val="24"/>
            <w:u w:val="single"/>
            <w:lang w:eastAsia="en-GB" w:bidi="ar-SA"/>
          </w:rPr>
          <w:t>FN12</w:t>
        </w:r>
      </w:hyperlink>
      <w:r w:rsidR="0035018C" w:rsidRPr="0035018C">
        <w:rPr>
          <w:color w:val="000000"/>
          <w:szCs w:val="24"/>
          <w:lang w:eastAsia="en-GB" w:bidi="ar-SA"/>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w:t>
      </w:r>
      <w:r w:rsidR="0035018C" w:rsidRPr="0035018C">
        <w:rPr>
          <w:color w:val="000000"/>
          <w:szCs w:val="24"/>
          <w:lang w:eastAsia="en-GB" w:bidi="ar-SA"/>
        </w:rPr>
        <w:lastRenderedPageBreak/>
        <w:t>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521B8267"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APPENDIX</w:t>
      </w:r>
    </w:p>
    <w:p w14:paraId="04669312" w14:textId="77777777" w:rsidR="0035018C" w:rsidRPr="0035018C" w:rsidRDefault="0035018C" w:rsidP="0035018C">
      <w:pPr>
        <w:widowControl/>
        <w:pBdr>
          <w:top w:val="nil"/>
          <w:left w:val="nil"/>
          <w:bottom w:val="nil"/>
          <w:right w:val="nil"/>
          <w:between w:val="nil"/>
        </w:pBdr>
        <w:autoSpaceDE/>
        <w:autoSpaceDN/>
        <w:spacing w:before="120"/>
        <w:rPr>
          <w:color w:val="000000"/>
          <w:sz w:val="32"/>
          <w:szCs w:val="32"/>
          <w:lang w:eastAsia="en-GB" w:bidi="ar-SA"/>
        </w:rPr>
      </w:pP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020576AD" w14:textId="77777777" w:rsidTr="00DB6205">
        <w:tc>
          <w:tcPr>
            <w:tcW w:w="9026" w:type="dxa"/>
          </w:tcPr>
          <w:p w14:paraId="6E24D15C"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EXPLANATORY NOTE:</w:t>
            </w:r>
          </w:p>
          <w:p w14:paraId="15809CA1"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26A68871"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5DCD165E"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w:t>
      </w:r>
    </w:p>
    <w:p w14:paraId="1FDFF149"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 xml:space="preserve"> </w:t>
      </w:r>
    </w:p>
    <w:p w14:paraId="6D384EE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A. LIST OF PARTIES</w:t>
      </w:r>
    </w:p>
    <w:p w14:paraId="243764B6"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exporter(s):</w:t>
      </w:r>
      <w:r w:rsidRPr="0035018C">
        <w:rPr>
          <w:color w:val="000000"/>
          <w:szCs w:val="24"/>
          <w:lang w:eastAsia="en-GB" w:bidi="ar-SA"/>
        </w:rPr>
        <w:t xml:space="preserve"> [</w:t>
      </w:r>
      <w:r w:rsidRPr="0035018C">
        <w:rPr>
          <w:i/>
          <w:color w:val="000000"/>
          <w:szCs w:val="24"/>
          <w:lang w:eastAsia="en-GB" w:bidi="ar-SA"/>
        </w:rPr>
        <w:t>Identity and contact details of the data exporter(s) and, where applicable, of its/their data protection officer and/or representative in the European Union</w:t>
      </w:r>
      <w:r w:rsidRPr="0035018C">
        <w:rPr>
          <w:color w:val="000000"/>
          <w:szCs w:val="24"/>
          <w:lang w:eastAsia="en-GB" w:bidi="ar-SA"/>
        </w:rPr>
        <w:t>]</w:t>
      </w:r>
    </w:p>
    <w:p w14:paraId="7C1F528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58AE495B"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3140FE0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255D2CF4"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02925626"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42FFAA8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653EA64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2F7E1ECE"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importer(s):</w:t>
      </w:r>
      <w:r w:rsidRPr="0035018C">
        <w:rPr>
          <w:color w:val="000000"/>
          <w:szCs w:val="24"/>
          <w:lang w:eastAsia="en-GB" w:bidi="ar-SA"/>
        </w:rPr>
        <w:t xml:space="preserve"> [</w:t>
      </w:r>
      <w:r w:rsidRPr="0035018C">
        <w:rPr>
          <w:i/>
          <w:color w:val="000000"/>
          <w:szCs w:val="24"/>
          <w:lang w:eastAsia="en-GB" w:bidi="ar-SA"/>
        </w:rPr>
        <w:t>Identity and contact details of the data importer(s), including any contact person with responsibility for data protection</w:t>
      </w:r>
      <w:r w:rsidRPr="0035018C">
        <w:rPr>
          <w:color w:val="000000"/>
          <w:szCs w:val="24"/>
          <w:lang w:eastAsia="en-GB" w:bidi="ar-SA"/>
        </w:rPr>
        <w:t>]</w:t>
      </w:r>
    </w:p>
    <w:p w14:paraId="147087F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3C1D2BB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462286D6"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359B8F8B"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2BDE8C2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13B2B684"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4A10A857"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7C16E8E5"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B. DESCRIPTION OF TRANSFER</w:t>
      </w:r>
    </w:p>
    <w:p w14:paraId="15F18A7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data subjects whose personal data is transferred</w:t>
      </w:r>
    </w:p>
    <w:p w14:paraId="6E5A831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21643DEF"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personal data transferred</w:t>
      </w:r>
    </w:p>
    <w:p w14:paraId="1DA8CA60"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6F688277"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Pr="0035018C">
        <w:rPr>
          <w:i/>
          <w:color w:val="000000"/>
          <w:szCs w:val="24"/>
          <w:lang w:eastAsia="en-GB" w:bidi="ar-SA"/>
        </w:rPr>
        <w:lastRenderedPageBreak/>
        <w:t>specialised training), keeping a record of access to the data, restrictions for onward transfers or additional security measures.</w:t>
      </w:r>
    </w:p>
    <w:p w14:paraId="1761F4E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23FD54D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frequency of the transfer (e.g. whether the data is transferred on a one-off or continuous basis).</w:t>
      </w:r>
    </w:p>
    <w:p w14:paraId="48AD109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262C2E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Nature of the processing</w:t>
      </w:r>
    </w:p>
    <w:p w14:paraId="11DB10E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1C241542"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Purpose(s) of the data transfer and further processing</w:t>
      </w:r>
    </w:p>
    <w:p w14:paraId="2F50465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5A653E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period for which the personal data will be retained, or, if that is not possible, the criteria used to determine that period</w:t>
      </w:r>
    </w:p>
    <w:p w14:paraId="48ED09B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489AEB6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For transfers to (sub-) processors, also specify subject matter, nature and duration of the processing</w:t>
      </w:r>
    </w:p>
    <w:p w14:paraId="7A44B4A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8D3C216" w14:textId="77777777" w:rsidR="0035018C" w:rsidRPr="0035018C" w:rsidRDefault="0035018C" w:rsidP="0035018C">
      <w:pPr>
        <w:widowControl/>
        <w:autoSpaceDE/>
        <w:autoSpaceDN/>
        <w:spacing w:after="200" w:line="276" w:lineRule="auto"/>
        <w:rPr>
          <w:rFonts w:ascii="Calibri" w:eastAsia="Calibri" w:hAnsi="Calibri" w:cs="Calibri"/>
          <w:sz w:val="22"/>
          <w:lang w:eastAsia="en-GB" w:bidi="ar-SA"/>
        </w:rPr>
      </w:pPr>
      <w:r w:rsidRPr="0035018C">
        <w:rPr>
          <w:rFonts w:ascii="Calibri" w:eastAsia="Calibri" w:hAnsi="Calibri" w:cs="Calibri"/>
          <w:sz w:val="22"/>
          <w:lang w:eastAsia="en-GB" w:bidi="ar-SA"/>
        </w:rPr>
        <w:br w:type="page"/>
      </w:r>
    </w:p>
    <w:p w14:paraId="2EC9A839" w14:textId="77777777" w:rsidR="0035018C" w:rsidRPr="0035018C" w:rsidRDefault="0035018C" w:rsidP="00873BB8">
      <w:pPr>
        <w:pStyle w:val="Heading2"/>
        <w:pageBreakBefore/>
      </w:pPr>
      <w:bookmarkStart w:id="2147" w:name="_Toc141721072"/>
      <w:r w:rsidRPr="0035018C">
        <w:lastRenderedPageBreak/>
        <w:t xml:space="preserve">Part </w:t>
      </w:r>
      <w:bookmarkStart w:id="2148" w:name="Schedule_31_Annex_3_Part_B"/>
      <w:r w:rsidRPr="0035018C">
        <w:t>B</w:t>
      </w:r>
      <w:bookmarkEnd w:id="2148"/>
      <w:r w:rsidRPr="0035018C">
        <w:t>: Controller to Processor Standard Contractual Clauses</w:t>
      </w:r>
      <w:bookmarkEnd w:id="2147"/>
    </w:p>
    <w:p w14:paraId="09477192" w14:textId="77777777" w:rsidR="0035018C" w:rsidRPr="0035018C" w:rsidRDefault="0035018C" w:rsidP="0035018C">
      <w:pPr>
        <w:widowControl/>
        <w:pBdr>
          <w:top w:val="nil"/>
          <w:left w:val="nil"/>
          <w:bottom w:val="nil"/>
          <w:right w:val="nil"/>
          <w:between w:val="nil"/>
        </w:pBdr>
        <w:autoSpaceDE/>
        <w:autoSpaceDN/>
        <w:spacing w:before="120" w:after="240"/>
        <w:jc w:val="center"/>
        <w:rPr>
          <w:b/>
          <w:color w:val="000000"/>
          <w:szCs w:val="24"/>
          <w:lang w:eastAsia="en-GB" w:bidi="ar-SA"/>
        </w:rPr>
      </w:pPr>
      <w:r w:rsidRPr="0035018C">
        <w:rPr>
          <w:b/>
          <w:color w:val="000000"/>
          <w:szCs w:val="24"/>
          <w:lang w:eastAsia="en-GB" w:bidi="ar-SA"/>
        </w:rPr>
        <w:t>Standard Contractual Clauses for Personal Data Transfers from an EU Controller to a Processor Established in a Third Country (Controller-to-Processor Transfers)</w:t>
      </w:r>
    </w:p>
    <w:p w14:paraId="14DC9FDF"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w:t>
      </w:r>
    </w:p>
    <w:p w14:paraId="6EEDD97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w:t>
      </w:r>
    </w:p>
    <w:p w14:paraId="35BCB7EC"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Purpose and scope</w:t>
      </w:r>
    </w:p>
    <w:p w14:paraId="23E89ECB" w14:textId="73357555" w:rsidR="0035018C" w:rsidRPr="0035018C" w:rsidRDefault="0035018C" w:rsidP="00B71FC0">
      <w:pPr>
        <w:widowControl/>
        <w:numPr>
          <w:ilvl w:val="1"/>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1qhz01q">
        <w:r w:rsidRPr="0035018C">
          <w:rPr>
            <w:color w:val="0000FF"/>
            <w:szCs w:val="24"/>
            <w:u w:val="single"/>
            <w:lang w:eastAsia="en-GB" w:bidi="ar-SA"/>
          </w:rPr>
          <w:t>FN1</w:t>
        </w:r>
      </w:hyperlink>
      <w:r w:rsidRPr="0035018C">
        <w:rPr>
          <w:color w:val="000000"/>
          <w:szCs w:val="24"/>
          <w:lang w:eastAsia="en-GB" w:bidi="ar-SA"/>
        </w:rPr>
        <w:t>] for the transfer of personal data to a third country.</w:t>
      </w:r>
    </w:p>
    <w:p w14:paraId="2E20A538" w14:textId="77777777" w:rsidR="0035018C" w:rsidRPr="0035018C" w:rsidRDefault="0035018C" w:rsidP="00B71FC0">
      <w:pPr>
        <w:widowControl/>
        <w:numPr>
          <w:ilvl w:val="1"/>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w:t>
      </w:r>
    </w:p>
    <w:p w14:paraId="356F1628" w14:textId="77777777" w:rsidR="0035018C" w:rsidRPr="0035018C" w:rsidRDefault="0035018C" w:rsidP="00B71FC0">
      <w:pPr>
        <w:widowControl/>
        <w:numPr>
          <w:ilvl w:val="2"/>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natural or legal person(s), public authority/ies, agency/ies or other body/ies (hereinafter 'entity/ies') transferring the personal data, as listed in Annex I.A (hereinafter each 'data exporter'), and</w:t>
      </w:r>
    </w:p>
    <w:p w14:paraId="01B1DAF2" w14:textId="77777777" w:rsidR="0035018C" w:rsidRPr="0035018C" w:rsidRDefault="0035018C" w:rsidP="00B71FC0">
      <w:pPr>
        <w:widowControl/>
        <w:numPr>
          <w:ilvl w:val="2"/>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entity/ies in a third country receiving the personal data from the data exporter, directly or indirectly via another entity also Party to these Clauses, as listed in Annex I.A (hereinafter each 'data importer')</w:t>
      </w:r>
    </w:p>
    <w:p w14:paraId="1F29244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have agreed to these standard contractual clauses (hereinafter: 'Clauses').</w:t>
      </w:r>
    </w:p>
    <w:p w14:paraId="08623BCD" w14:textId="77777777" w:rsidR="0035018C" w:rsidRPr="0035018C" w:rsidRDefault="0035018C" w:rsidP="00B71FC0">
      <w:pPr>
        <w:widowControl/>
        <w:numPr>
          <w:ilvl w:val="1"/>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apply with respect to the transfer of personal data as specified in Annex I.B.</w:t>
      </w:r>
    </w:p>
    <w:p w14:paraId="3B9CD6D4" w14:textId="77777777" w:rsidR="0035018C" w:rsidRPr="0035018C" w:rsidRDefault="0035018C" w:rsidP="00B71FC0">
      <w:pPr>
        <w:widowControl/>
        <w:numPr>
          <w:ilvl w:val="1"/>
          <w:numId w:val="3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Appendix to these Clauses containing the Annexes referred to therein forms an integral part of these Clauses.</w:t>
      </w:r>
    </w:p>
    <w:p w14:paraId="0AEA5511"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2</w:t>
      </w:r>
    </w:p>
    <w:p w14:paraId="5ACE1CAE"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Effect and invariability of the Clauses</w:t>
      </w:r>
    </w:p>
    <w:p w14:paraId="302F1F32" w14:textId="77777777" w:rsidR="0035018C" w:rsidRPr="0035018C" w:rsidRDefault="0035018C" w:rsidP="00B71FC0">
      <w:pPr>
        <w:widowControl/>
        <w:numPr>
          <w:ilvl w:val="1"/>
          <w:numId w:val="3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r w:rsidRPr="0035018C">
        <w:rPr>
          <w:color w:val="000000"/>
          <w:szCs w:val="24"/>
          <w:lang w:eastAsia="en-GB" w:bidi="ar-SA"/>
        </w:rPr>
        <w:lastRenderedPageBreak/>
        <w:t>provided that they do not contradict, directly or indirectly, these Clauses or prejudice the fundamental rights or freedoms of data subjects.</w:t>
      </w:r>
    </w:p>
    <w:p w14:paraId="1ACC8ECB" w14:textId="77777777" w:rsidR="0035018C" w:rsidRPr="0035018C" w:rsidRDefault="0035018C" w:rsidP="00B71FC0">
      <w:pPr>
        <w:widowControl/>
        <w:numPr>
          <w:ilvl w:val="1"/>
          <w:numId w:val="3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are without prejudice to obligations to which the data exporter is subject by virtue of Regulation (EU) 2016/679.</w:t>
      </w:r>
    </w:p>
    <w:p w14:paraId="348EBC1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3</w:t>
      </w:r>
    </w:p>
    <w:p w14:paraId="62D3917B"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Third-party beneficiaries</w:t>
      </w:r>
    </w:p>
    <w:p w14:paraId="6980F991" w14:textId="77777777" w:rsidR="0035018C" w:rsidRPr="0035018C" w:rsidRDefault="0035018C" w:rsidP="00B71FC0">
      <w:pPr>
        <w:widowControl/>
        <w:numPr>
          <w:ilvl w:val="1"/>
          <w:numId w:val="38"/>
        </w:numPr>
        <w:pBdr>
          <w:top w:val="nil"/>
          <w:left w:val="nil"/>
          <w:bottom w:val="nil"/>
          <w:right w:val="nil"/>
          <w:between w:val="nil"/>
        </w:pBdr>
        <w:autoSpaceDE/>
        <w:autoSpaceDN/>
        <w:spacing w:before="120" w:after="240" w:line="276" w:lineRule="auto"/>
        <w:rPr>
          <w:color w:val="000000"/>
          <w:szCs w:val="24"/>
          <w:lang w:eastAsia="en-GB" w:bidi="ar-SA"/>
        </w:rPr>
      </w:pPr>
      <w:bookmarkStart w:id="2149" w:name="_Ref141220648"/>
      <w:r w:rsidRPr="0035018C">
        <w:rPr>
          <w:color w:val="000000"/>
          <w:szCs w:val="24"/>
          <w:lang w:eastAsia="en-GB" w:bidi="ar-SA"/>
        </w:rPr>
        <w:t>Data subjects may invoke and enforce these Clauses, as third-party beneficiaries, against the data exporter and/or data importer, with the following exceptions:</w:t>
      </w:r>
      <w:bookmarkEnd w:id="2149"/>
    </w:p>
    <w:p w14:paraId="13F3205F"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Clause 1, Clause 2, Clause 3, Clause 6, Clause 7; </w:t>
      </w:r>
    </w:p>
    <w:p w14:paraId="712D972E"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8 – Module One: Clause 8.5 (e) and Clause 8.9(b); Module Two: Clause 8.1(b), 8.9(a), (c), (d) and (e); Module Three: Clause 8.1(a), (c) and (d) and Clause 8.9(a), (c), (d), (e), (f) and (g); Module Four: Clause 8.1 (b) and Clause 8.3(b);</w:t>
      </w:r>
    </w:p>
    <w:p w14:paraId="7D0DA22A"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9 – Module Two: Clause 9(a), (c), (d) and (e); Module Three: Clause 9(a), (c), (d) and (e);</w:t>
      </w:r>
    </w:p>
    <w:p w14:paraId="0F13192D"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12 – Module One: Clause 12(a) and (d); Modules Two and Three: Clause 12(a), (d) and (f);</w:t>
      </w:r>
    </w:p>
    <w:p w14:paraId="6AB986D2"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13;</w:t>
      </w:r>
    </w:p>
    <w:p w14:paraId="6A761E52"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15.1(c), (d) and (e);</w:t>
      </w:r>
    </w:p>
    <w:p w14:paraId="50762F8B"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16(e);</w:t>
      </w:r>
    </w:p>
    <w:p w14:paraId="610AB5B8" w14:textId="77777777" w:rsidR="0035018C" w:rsidRPr="0035018C" w:rsidRDefault="0035018C" w:rsidP="00B71FC0">
      <w:pPr>
        <w:widowControl/>
        <w:numPr>
          <w:ilvl w:val="2"/>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18 – Modules One, Two and Three: Clause 18(a) and (b); Module Four: Clause 18.</w:t>
      </w:r>
    </w:p>
    <w:p w14:paraId="72EA45F5" w14:textId="7B982B8B" w:rsidR="0035018C" w:rsidRPr="0035018C" w:rsidRDefault="0035018C" w:rsidP="00B71FC0">
      <w:pPr>
        <w:widowControl/>
        <w:numPr>
          <w:ilvl w:val="1"/>
          <w:numId w:val="38"/>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Paragraph </w:t>
      </w:r>
      <w:r w:rsidR="006D4CF6">
        <w:rPr>
          <w:color w:val="000000"/>
          <w:szCs w:val="24"/>
          <w:lang w:eastAsia="en-GB" w:bidi="ar-SA"/>
        </w:rPr>
        <w:fldChar w:fldCharType="begin"/>
      </w:r>
      <w:r w:rsidR="006D4CF6">
        <w:rPr>
          <w:color w:val="000000"/>
          <w:szCs w:val="24"/>
          <w:lang w:eastAsia="en-GB" w:bidi="ar-SA"/>
        </w:rPr>
        <w:instrText xml:space="preserve"> REF _Ref141220648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 xml:space="preserve"> is without prejudice to rights of data subjects under Regulation (EU) 2016/679. </w:t>
      </w:r>
    </w:p>
    <w:p w14:paraId="208ABA59"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4</w:t>
      </w:r>
    </w:p>
    <w:p w14:paraId="051BA301"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Interpretation</w:t>
      </w:r>
    </w:p>
    <w:p w14:paraId="10491976" w14:textId="77777777" w:rsidR="0035018C" w:rsidRPr="0035018C" w:rsidRDefault="0035018C" w:rsidP="00B71FC0">
      <w:pPr>
        <w:widowControl/>
        <w:numPr>
          <w:ilvl w:val="1"/>
          <w:numId w:val="3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these Clauses use terms that are defined in Regulation (EU) 2016/679, those terms shall have the same meaning as in that Regulation.</w:t>
      </w:r>
    </w:p>
    <w:p w14:paraId="5F626AE7" w14:textId="77777777" w:rsidR="0035018C" w:rsidRPr="0035018C" w:rsidRDefault="0035018C" w:rsidP="00B71FC0">
      <w:pPr>
        <w:widowControl/>
        <w:numPr>
          <w:ilvl w:val="1"/>
          <w:numId w:val="3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shall be read and interpreted in the light of the provisions of Regulation (EU) 2016/679.</w:t>
      </w:r>
    </w:p>
    <w:p w14:paraId="5DAC121B" w14:textId="77777777" w:rsidR="0035018C" w:rsidRPr="0035018C" w:rsidRDefault="0035018C" w:rsidP="00B71FC0">
      <w:pPr>
        <w:widowControl/>
        <w:numPr>
          <w:ilvl w:val="1"/>
          <w:numId w:val="39"/>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These Clauses shall not be interpreted in a way that conflicts with rights and obligations provided for in Regulation (EU) 2016/679.</w:t>
      </w:r>
    </w:p>
    <w:p w14:paraId="2D3F8F1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5</w:t>
      </w:r>
    </w:p>
    <w:p w14:paraId="7A624EA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Hierarchy</w:t>
      </w:r>
    </w:p>
    <w:p w14:paraId="28707E4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 event of a contradiction between these Clauses and the provisions of related agreements between the Parties, existing at the time these Clauses are agreed or entered into thereafter, these Clauses shall prevail.</w:t>
      </w:r>
    </w:p>
    <w:p w14:paraId="7EA9AF13"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6</w:t>
      </w:r>
    </w:p>
    <w:p w14:paraId="4EAE7612"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Description of the transfer(s)</w:t>
      </w:r>
    </w:p>
    <w:p w14:paraId="15F46848"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details of the transfer(s), and in particular the categories of personal data that are transferred and the purpose(s) for which they are transferred, are specified in Annex I.B.</w:t>
      </w:r>
    </w:p>
    <w:p w14:paraId="5C51608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7 - Optional</w:t>
      </w:r>
    </w:p>
    <w:p w14:paraId="38F11B1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Docking clause</w:t>
      </w:r>
    </w:p>
    <w:p w14:paraId="14A951D2" w14:textId="77777777" w:rsidR="0035018C" w:rsidRPr="0035018C" w:rsidRDefault="0035018C" w:rsidP="00B71FC0">
      <w:pPr>
        <w:widowControl/>
        <w:numPr>
          <w:ilvl w:val="1"/>
          <w:numId w:val="4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An entity that is not a Party to these Clauses may, with the agreement of the Parties, accede to these Clauses at any time, either as a data exporter or as a data importer, by completing the Appendix and signing Annex I.A.</w:t>
      </w:r>
    </w:p>
    <w:p w14:paraId="3EB4A08F" w14:textId="77777777" w:rsidR="0035018C" w:rsidRPr="0035018C" w:rsidRDefault="0035018C" w:rsidP="00B71FC0">
      <w:pPr>
        <w:widowControl/>
        <w:numPr>
          <w:ilvl w:val="1"/>
          <w:numId w:val="4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Once it has completed the Appendix and signed Annex I.A, the acceding entity shall become a Party to these Clauses and have the rights and obligations of a data exporter or data importer in accordance with its designation in Annex I.A.</w:t>
      </w:r>
    </w:p>
    <w:p w14:paraId="32805B6D" w14:textId="77777777" w:rsidR="0035018C" w:rsidRPr="0035018C" w:rsidRDefault="0035018C" w:rsidP="00B71FC0">
      <w:pPr>
        <w:widowControl/>
        <w:numPr>
          <w:ilvl w:val="1"/>
          <w:numId w:val="4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acceding entity shall have no rights or obligations arising under these Clauses from the period prior to becoming a Party.]</w:t>
      </w:r>
    </w:p>
    <w:p w14:paraId="0140376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 – OBLIGATIONS OF THE PARTIES</w:t>
      </w:r>
    </w:p>
    <w:p w14:paraId="1799EC85"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8</w:t>
      </w:r>
    </w:p>
    <w:p w14:paraId="0713611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protection safeguards</w:t>
      </w:r>
    </w:p>
    <w:p w14:paraId="0D808C3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exporter warrants that it has used reasonable efforts to determine that the data importer is able, through the implementation of appropriate technical and organisational measures, to satisfy its obligations under these Clauses.</w:t>
      </w:r>
    </w:p>
    <w:p w14:paraId="17907F9A" w14:textId="77777777" w:rsidR="0035018C" w:rsidRPr="0035018C" w:rsidRDefault="0035018C" w:rsidP="0035018C">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8.1 Instructions</w:t>
      </w:r>
    </w:p>
    <w:p w14:paraId="1D7BEFB5" w14:textId="77777777" w:rsidR="0035018C" w:rsidRPr="0035018C" w:rsidRDefault="0035018C" w:rsidP="00B71FC0">
      <w:pPr>
        <w:widowControl/>
        <w:numPr>
          <w:ilvl w:val="1"/>
          <w:numId w:val="5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process the personal data only on documented instructions from the data exporter. The data exporter may give such instructions throughout the duration of the contract.</w:t>
      </w:r>
    </w:p>
    <w:p w14:paraId="36A7A9CA" w14:textId="77777777" w:rsidR="0035018C" w:rsidRPr="0035018C" w:rsidRDefault="0035018C" w:rsidP="00B71FC0">
      <w:pPr>
        <w:widowControl/>
        <w:numPr>
          <w:ilvl w:val="1"/>
          <w:numId w:val="5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 data importer shall immediately inform the data exporter if it is unable to follow those instructions.</w:t>
      </w:r>
    </w:p>
    <w:p w14:paraId="592980F6" w14:textId="77777777" w:rsidR="0035018C" w:rsidRPr="0035018C" w:rsidRDefault="0035018C" w:rsidP="0069052B">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8.2 Purpose limitation</w:t>
      </w:r>
    </w:p>
    <w:p w14:paraId="284545F8"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importer shall process the personal data only for the specific purpose(s) of the transfer, as set out in Annex I.B, unless on further instructions from the data exporter.</w:t>
      </w:r>
    </w:p>
    <w:p w14:paraId="049A047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8.3 Transparency</w:t>
      </w:r>
    </w:p>
    <w:p w14:paraId="23A982F3"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39116F95"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8.4 Accuracy</w:t>
      </w:r>
    </w:p>
    <w:p w14:paraId="6CF26FA8"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2BB279A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8.5 Duration of processing and erasure or return of data</w:t>
      </w:r>
    </w:p>
    <w:p w14:paraId="78F15AE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5E3A017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8.6 Security of processing</w:t>
      </w:r>
    </w:p>
    <w:p w14:paraId="725774F7" w14:textId="77777777" w:rsidR="0035018C" w:rsidRPr="0035018C" w:rsidRDefault="0035018C" w:rsidP="00B71FC0">
      <w:pPr>
        <w:widowControl/>
        <w:numPr>
          <w:ilvl w:val="1"/>
          <w:numId w:val="52"/>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data importer and, during transmission, also the data exporter shall implement appropriate technical and organisational measures to ensure the security of the data, including protection against a breach of security leading to accidental or </w:t>
      </w:r>
      <w:r w:rsidRPr="0035018C">
        <w:rPr>
          <w:color w:val="000000"/>
          <w:szCs w:val="24"/>
          <w:lang w:eastAsia="en-GB" w:bidi="ar-SA"/>
        </w:rPr>
        <w:lastRenderedPageBreak/>
        <w:t>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202F2B28" w14:textId="77777777" w:rsidR="0035018C" w:rsidRPr="0035018C" w:rsidRDefault="0035018C" w:rsidP="00B71FC0">
      <w:pPr>
        <w:widowControl/>
        <w:numPr>
          <w:ilvl w:val="1"/>
          <w:numId w:val="52"/>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C976816" w14:textId="77777777" w:rsidR="0035018C" w:rsidRPr="0035018C" w:rsidRDefault="0035018C" w:rsidP="00B71FC0">
      <w:pPr>
        <w:widowControl/>
        <w:numPr>
          <w:ilvl w:val="1"/>
          <w:numId w:val="52"/>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6780E390" w14:textId="77777777" w:rsidR="0035018C" w:rsidRPr="0035018C" w:rsidRDefault="0035018C" w:rsidP="00B71FC0">
      <w:pPr>
        <w:widowControl/>
        <w:numPr>
          <w:ilvl w:val="1"/>
          <w:numId w:val="52"/>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56A707C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8.7 Sensitive data</w:t>
      </w:r>
    </w:p>
    <w:p w14:paraId="60E1DF17"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4385CFB" w14:textId="77777777" w:rsidR="0035018C" w:rsidRPr="0035018C" w:rsidRDefault="0035018C" w:rsidP="002B77C3">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lastRenderedPageBreak/>
        <w:t>8.8 Onward transfers</w:t>
      </w:r>
    </w:p>
    <w:p w14:paraId="1153EB0B" w14:textId="737B87D6"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importer shall only disclose the personal data to a third party on documented instructions from the data exporter. In addition, the data may only be disclosed to a third party located outside the European Union[</w:t>
      </w:r>
      <w:hyperlink w:anchor="bookmark=id.4ahmipj">
        <w:r w:rsidRPr="0035018C">
          <w:rPr>
            <w:color w:val="0000FF"/>
            <w:szCs w:val="24"/>
            <w:u w:val="single"/>
            <w:lang w:eastAsia="en-GB" w:bidi="ar-SA"/>
          </w:rPr>
          <w:t>FN4</w:t>
        </w:r>
      </w:hyperlink>
      <w:r w:rsidRPr="0035018C">
        <w:rPr>
          <w:color w:val="000000"/>
          <w:szCs w:val="24"/>
          <w:lang w:eastAsia="en-GB" w:bidi="ar-SA"/>
        </w:rPr>
        <w:t>] (in the same country as the data importer or in another third country, hereinafter 'onward transfer') if the third party is or agrees to be bound by these Clauses, under the appropriate Module, or if:</w:t>
      </w:r>
    </w:p>
    <w:p w14:paraId="5B6CC103" w14:textId="77777777" w:rsidR="0035018C" w:rsidRPr="0035018C" w:rsidRDefault="0035018C" w:rsidP="00B71FC0">
      <w:pPr>
        <w:widowControl/>
        <w:numPr>
          <w:ilvl w:val="2"/>
          <w:numId w:val="5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to a country benefitting from an adequacy decision pursuant to Article 45 of Regulation (EU) 2016/679 that covers the onward transfer;</w:t>
      </w:r>
    </w:p>
    <w:p w14:paraId="76357CE2" w14:textId="77777777" w:rsidR="0035018C" w:rsidRPr="0035018C" w:rsidRDefault="0035018C" w:rsidP="00B71FC0">
      <w:pPr>
        <w:widowControl/>
        <w:numPr>
          <w:ilvl w:val="2"/>
          <w:numId w:val="5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third party otherwise ensures appropriate safeguards pursuant to Articles 46 or 47 Regulation of (EU) 2016/679 with respect to the processing in question;</w:t>
      </w:r>
    </w:p>
    <w:p w14:paraId="7D04E069" w14:textId="77777777" w:rsidR="0035018C" w:rsidRPr="0035018C" w:rsidRDefault="0035018C" w:rsidP="00B71FC0">
      <w:pPr>
        <w:widowControl/>
        <w:numPr>
          <w:ilvl w:val="2"/>
          <w:numId w:val="5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necessary for the establishment, exercise or defence of legal claims in the context of specific administrative, regulatory or judicial proceedings; or</w:t>
      </w:r>
    </w:p>
    <w:p w14:paraId="3F221527" w14:textId="77777777" w:rsidR="0035018C" w:rsidRPr="0035018C" w:rsidRDefault="0035018C" w:rsidP="00B71FC0">
      <w:pPr>
        <w:widowControl/>
        <w:numPr>
          <w:ilvl w:val="2"/>
          <w:numId w:val="5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necessary in order to protect the vital interests of the data subject or of another natural person.</w:t>
      </w:r>
    </w:p>
    <w:p w14:paraId="1992607F"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Any onward transfer is subject to compliance by the data importer with all the other safeguards under these Clauses, in particular purpose limitation.</w:t>
      </w:r>
    </w:p>
    <w:p w14:paraId="1F8CAE1F"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8.9 Documentation and compliance</w:t>
      </w:r>
    </w:p>
    <w:p w14:paraId="7300A7C3" w14:textId="77777777" w:rsidR="0035018C" w:rsidRPr="0035018C" w:rsidRDefault="0035018C" w:rsidP="00B71FC0">
      <w:pPr>
        <w:widowControl/>
        <w:numPr>
          <w:ilvl w:val="1"/>
          <w:numId w:val="5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promptly and adequately deal with enquiries from the data exporter that relate to the processing under these Clauses.</w:t>
      </w:r>
    </w:p>
    <w:p w14:paraId="7B30CF22" w14:textId="77777777" w:rsidR="0035018C" w:rsidRPr="0035018C" w:rsidRDefault="0035018C" w:rsidP="00B71FC0">
      <w:pPr>
        <w:widowControl/>
        <w:numPr>
          <w:ilvl w:val="1"/>
          <w:numId w:val="53"/>
        </w:numPr>
        <w:pBdr>
          <w:top w:val="nil"/>
          <w:left w:val="nil"/>
          <w:bottom w:val="nil"/>
          <w:right w:val="nil"/>
          <w:between w:val="nil"/>
        </w:pBdr>
        <w:autoSpaceDE/>
        <w:autoSpaceDN/>
        <w:spacing w:before="120" w:after="240" w:line="276" w:lineRule="auto"/>
        <w:rPr>
          <w:color w:val="000000"/>
          <w:szCs w:val="24"/>
          <w:lang w:eastAsia="en-GB" w:bidi="ar-SA"/>
        </w:rPr>
      </w:pPr>
      <w:bookmarkStart w:id="2150" w:name="_Ref141220673"/>
      <w:r w:rsidRPr="0035018C">
        <w:rPr>
          <w:color w:val="000000"/>
          <w:szCs w:val="24"/>
          <w:lang w:eastAsia="en-GB" w:bidi="ar-SA"/>
        </w:rPr>
        <w:t>The Parties shall be able to demonstrate compliance with these Clauses. In particular, the data importer shall keep appropriate documentation on the processing activities carried out on behalf of the data exporter.</w:t>
      </w:r>
      <w:bookmarkEnd w:id="2150"/>
    </w:p>
    <w:p w14:paraId="1A874FC1" w14:textId="77777777" w:rsidR="0035018C" w:rsidRPr="0035018C" w:rsidRDefault="0035018C" w:rsidP="00B71FC0">
      <w:pPr>
        <w:widowControl/>
        <w:numPr>
          <w:ilvl w:val="1"/>
          <w:numId w:val="53"/>
        </w:numPr>
        <w:pBdr>
          <w:top w:val="nil"/>
          <w:left w:val="nil"/>
          <w:bottom w:val="nil"/>
          <w:right w:val="nil"/>
          <w:between w:val="nil"/>
        </w:pBdr>
        <w:autoSpaceDE/>
        <w:autoSpaceDN/>
        <w:spacing w:before="120" w:after="240" w:line="276" w:lineRule="auto"/>
        <w:rPr>
          <w:color w:val="000000"/>
          <w:szCs w:val="24"/>
          <w:lang w:eastAsia="en-GB" w:bidi="ar-SA"/>
        </w:rPr>
      </w:pPr>
      <w:bookmarkStart w:id="2151" w:name="_Ref141220679"/>
      <w:r w:rsidRPr="0035018C">
        <w:rPr>
          <w:color w:val="000000"/>
          <w:szCs w:val="24"/>
          <w:lang w:eastAsia="en-GB" w:bidi="ar-SA"/>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bookmarkEnd w:id="2151"/>
    </w:p>
    <w:p w14:paraId="540B5117" w14:textId="77777777" w:rsidR="0035018C" w:rsidRPr="0035018C" w:rsidRDefault="0035018C" w:rsidP="00B71FC0">
      <w:pPr>
        <w:widowControl/>
        <w:numPr>
          <w:ilvl w:val="1"/>
          <w:numId w:val="5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may choose to conduct the audit by itself or mandate an independent auditor. Audits may include inspections at the premises or physical facilities of the data importer and shall, where appropriate, be carried out with reasonable notice.</w:t>
      </w:r>
    </w:p>
    <w:p w14:paraId="5132BF1D" w14:textId="1B857BAE" w:rsidR="0035018C" w:rsidRPr="0035018C" w:rsidRDefault="0035018C" w:rsidP="00B71FC0">
      <w:pPr>
        <w:widowControl/>
        <w:numPr>
          <w:ilvl w:val="1"/>
          <w:numId w:val="5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 Parties shall make the information referred to in paragraphs </w:t>
      </w:r>
      <w:r w:rsidR="006D4CF6">
        <w:rPr>
          <w:color w:val="000000"/>
          <w:szCs w:val="24"/>
          <w:lang w:eastAsia="en-GB" w:bidi="ar-SA"/>
        </w:rPr>
        <w:fldChar w:fldCharType="begin"/>
      </w:r>
      <w:r w:rsidR="006D4CF6">
        <w:rPr>
          <w:color w:val="000000"/>
          <w:szCs w:val="24"/>
          <w:lang w:eastAsia="en-GB" w:bidi="ar-SA"/>
        </w:rPr>
        <w:instrText xml:space="preserve"> REF _Ref141220673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(b)</w:t>
      </w:r>
      <w:r w:rsidR="006D4CF6">
        <w:rPr>
          <w:color w:val="000000"/>
          <w:szCs w:val="24"/>
          <w:lang w:eastAsia="en-GB" w:bidi="ar-SA"/>
        </w:rPr>
        <w:fldChar w:fldCharType="end"/>
      </w:r>
      <w:r w:rsidRPr="0035018C">
        <w:rPr>
          <w:color w:val="000000"/>
          <w:szCs w:val="24"/>
          <w:lang w:eastAsia="en-GB" w:bidi="ar-SA"/>
        </w:rPr>
        <w:t xml:space="preserve"> and </w:t>
      </w:r>
      <w:r w:rsidR="006D4CF6">
        <w:rPr>
          <w:color w:val="000000"/>
          <w:szCs w:val="24"/>
          <w:lang w:eastAsia="en-GB" w:bidi="ar-SA"/>
        </w:rPr>
        <w:fldChar w:fldCharType="begin"/>
      </w:r>
      <w:r w:rsidR="006D4CF6">
        <w:rPr>
          <w:color w:val="000000"/>
          <w:szCs w:val="24"/>
          <w:lang w:eastAsia="en-GB" w:bidi="ar-SA"/>
        </w:rPr>
        <w:instrText xml:space="preserve"> REF _Ref141220679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(c)</w:t>
      </w:r>
      <w:r w:rsidR="006D4CF6">
        <w:rPr>
          <w:color w:val="000000"/>
          <w:szCs w:val="24"/>
          <w:lang w:eastAsia="en-GB" w:bidi="ar-SA"/>
        </w:rPr>
        <w:fldChar w:fldCharType="end"/>
      </w:r>
      <w:r w:rsidRPr="0035018C">
        <w:rPr>
          <w:color w:val="000000"/>
          <w:szCs w:val="24"/>
          <w:lang w:eastAsia="en-GB" w:bidi="ar-SA"/>
        </w:rPr>
        <w:t>, including the results of any audits, available to the competent supervisory authority on request.</w:t>
      </w:r>
    </w:p>
    <w:p w14:paraId="22DA9A9F" w14:textId="77777777" w:rsidR="0035018C" w:rsidRPr="0035018C" w:rsidRDefault="0035018C" w:rsidP="0069052B">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9</w:t>
      </w:r>
    </w:p>
    <w:p w14:paraId="376A8C7F" w14:textId="77777777" w:rsidR="0035018C" w:rsidRPr="0035018C" w:rsidRDefault="0035018C" w:rsidP="0069052B">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Use of sub-processors</w:t>
      </w:r>
    </w:p>
    <w:p w14:paraId="0D9CA999" w14:textId="77777777" w:rsidR="0035018C" w:rsidRPr="0035018C" w:rsidRDefault="0035018C" w:rsidP="00B71FC0">
      <w:pPr>
        <w:widowControl/>
        <w:numPr>
          <w:ilvl w:val="1"/>
          <w:numId w:val="44"/>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35018C">
        <w:rPr>
          <w:i/>
          <w:color w:val="000000"/>
          <w:szCs w:val="24"/>
          <w:lang w:eastAsia="en-GB" w:bidi="ar-SA"/>
        </w:rPr>
        <w:t>Specify time period</w:t>
      </w:r>
      <w:r w:rsidRPr="0035018C">
        <w:rPr>
          <w:color w:val="000000"/>
          <w:szCs w:val="24"/>
          <w:lang w:eastAsia="en-GB" w:bidi="ar-SA"/>
        </w:rPr>
        <w:t>]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14:paraId="4E2314AB" w14:textId="77777777" w:rsidR="0035018C" w:rsidRPr="0035018C" w:rsidRDefault="0035018C" w:rsidP="0069052B">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35018C">
        <w:rPr>
          <w:i/>
          <w:color w:val="000000"/>
          <w:szCs w:val="24"/>
          <w:lang w:eastAsia="en-GB" w:bidi="ar-SA"/>
        </w:rPr>
        <w:t>Specify time period</w:t>
      </w:r>
      <w:r w:rsidRPr="0035018C">
        <w:rPr>
          <w:color w:val="000000"/>
          <w:szCs w:val="24"/>
          <w:lang w:eastAsia="en-GB" w:bidi="ar-SA"/>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32DCC5E7" w14:textId="352607C1" w:rsidR="0035018C" w:rsidRPr="0035018C" w:rsidRDefault="0035018C" w:rsidP="00B71FC0">
      <w:pPr>
        <w:widowControl/>
        <w:numPr>
          <w:ilvl w:val="1"/>
          <w:numId w:val="44"/>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w:anchor="bookmark=id.2pmwsxc">
        <w:r w:rsidRPr="0035018C">
          <w:rPr>
            <w:color w:val="0000FF"/>
            <w:szCs w:val="24"/>
            <w:u w:val="single"/>
            <w:lang w:eastAsia="en-GB" w:bidi="ar-SA"/>
          </w:rPr>
          <w:t>FN8</w:t>
        </w:r>
      </w:hyperlink>
      <w:r w:rsidRPr="0035018C">
        <w:rPr>
          <w:color w:val="000000"/>
          <w:szCs w:val="24"/>
          <w:lang w:eastAsia="en-GB" w:bidi="ar-SA"/>
        </w:rPr>
        <w:t>] The Parties agree that, by complying with this Clause, the data importer fulfils its obligations under Clause 8.8. The data importer shall ensure that the sub-processor complies with the obligations to which the data importer is subject pursuant to these Clauses.</w:t>
      </w:r>
    </w:p>
    <w:p w14:paraId="5AA10A54" w14:textId="77777777" w:rsidR="0035018C" w:rsidRPr="0035018C" w:rsidRDefault="0035018C" w:rsidP="00B71FC0">
      <w:pPr>
        <w:widowControl/>
        <w:numPr>
          <w:ilvl w:val="1"/>
          <w:numId w:val="44"/>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6F16296E" w14:textId="77777777" w:rsidR="0035018C" w:rsidRPr="0035018C" w:rsidRDefault="0035018C" w:rsidP="00B71FC0">
      <w:pPr>
        <w:widowControl/>
        <w:numPr>
          <w:ilvl w:val="1"/>
          <w:numId w:val="44"/>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404056E6" w14:textId="77777777" w:rsidR="0035018C" w:rsidRPr="0035018C" w:rsidRDefault="0035018C" w:rsidP="00B71FC0">
      <w:pPr>
        <w:widowControl/>
        <w:numPr>
          <w:ilvl w:val="1"/>
          <w:numId w:val="44"/>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7F528BCB" w14:textId="77777777" w:rsidR="0035018C" w:rsidRPr="0035018C" w:rsidRDefault="0035018C" w:rsidP="0069052B">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CLAUSE 10</w:t>
      </w:r>
    </w:p>
    <w:p w14:paraId="1CC9ED93" w14:textId="77777777" w:rsidR="0035018C" w:rsidRPr="0035018C" w:rsidRDefault="0035018C" w:rsidP="0069052B">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subject rights</w:t>
      </w:r>
    </w:p>
    <w:p w14:paraId="09ABD994" w14:textId="77777777" w:rsidR="0035018C" w:rsidRPr="0035018C" w:rsidRDefault="0035018C" w:rsidP="00B71FC0">
      <w:pPr>
        <w:widowControl/>
        <w:numPr>
          <w:ilvl w:val="1"/>
          <w:numId w:val="45"/>
        </w:numPr>
        <w:pBdr>
          <w:top w:val="nil"/>
          <w:left w:val="nil"/>
          <w:bottom w:val="nil"/>
          <w:right w:val="nil"/>
          <w:between w:val="nil"/>
        </w:pBdr>
        <w:autoSpaceDE/>
        <w:autoSpaceDN/>
        <w:spacing w:before="120" w:after="240"/>
        <w:rPr>
          <w:color w:val="000000"/>
          <w:szCs w:val="24"/>
          <w:lang w:eastAsia="en-GB" w:bidi="ar-SA"/>
        </w:rPr>
      </w:pPr>
      <w:bookmarkStart w:id="2152" w:name="_Ref141220694"/>
      <w:r w:rsidRPr="0035018C">
        <w:rPr>
          <w:color w:val="000000"/>
          <w:szCs w:val="24"/>
          <w:lang w:eastAsia="en-GB" w:bidi="ar-SA"/>
        </w:rPr>
        <w:t>The data importer shall promptly notify the data exporter of any request it has received from a data subject. It shall not respond to that request itself unless it has been authorised to do so by the data exporter.</w:t>
      </w:r>
      <w:bookmarkEnd w:id="2152"/>
    </w:p>
    <w:p w14:paraId="20C6A695" w14:textId="77777777" w:rsidR="0035018C" w:rsidRPr="0035018C" w:rsidRDefault="0035018C" w:rsidP="00B71FC0">
      <w:pPr>
        <w:widowControl/>
        <w:numPr>
          <w:ilvl w:val="1"/>
          <w:numId w:val="45"/>
        </w:numPr>
        <w:pBdr>
          <w:top w:val="nil"/>
          <w:left w:val="nil"/>
          <w:bottom w:val="nil"/>
          <w:right w:val="nil"/>
          <w:between w:val="nil"/>
        </w:pBdr>
        <w:autoSpaceDE/>
        <w:autoSpaceDN/>
        <w:spacing w:before="120" w:after="240"/>
        <w:rPr>
          <w:color w:val="000000"/>
          <w:szCs w:val="24"/>
          <w:lang w:eastAsia="en-GB" w:bidi="ar-SA"/>
        </w:rPr>
      </w:pPr>
      <w:bookmarkStart w:id="2153" w:name="_Ref141220700"/>
      <w:r w:rsidRPr="0035018C">
        <w:rPr>
          <w:color w:val="000000"/>
          <w:szCs w:val="24"/>
          <w:lang w:eastAsia="en-GB" w:bidi="ar-SA"/>
        </w:rPr>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bookmarkEnd w:id="2153"/>
    </w:p>
    <w:p w14:paraId="7FF17539" w14:textId="3E60A856" w:rsidR="0035018C" w:rsidRPr="0035018C" w:rsidRDefault="0035018C" w:rsidP="00B71FC0">
      <w:pPr>
        <w:widowControl/>
        <w:numPr>
          <w:ilvl w:val="1"/>
          <w:numId w:val="45"/>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In fulfilling its obligations under paragraphs </w:t>
      </w:r>
      <w:r w:rsidR="006D4CF6">
        <w:rPr>
          <w:color w:val="000000"/>
          <w:szCs w:val="24"/>
          <w:lang w:eastAsia="en-GB" w:bidi="ar-SA"/>
        </w:rPr>
        <w:fldChar w:fldCharType="begin"/>
      </w:r>
      <w:r w:rsidR="006D4CF6">
        <w:rPr>
          <w:color w:val="000000"/>
          <w:szCs w:val="24"/>
          <w:lang w:eastAsia="en-GB" w:bidi="ar-SA"/>
        </w:rPr>
        <w:instrText xml:space="preserve"> REF _Ref141220694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 xml:space="preserve"> and </w:t>
      </w:r>
      <w:r w:rsidR="006D4CF6">
        <w:rPr>
          <w:color w:val="000000"/>
          <w:szCs w:val="24"/>
          <w:lang w:eastAsia="en-GB" w:bidi="ar-SA"/>
        </w:rPr>
        <w:fldChar w:fldCharType="begin"/>
      </w:r>
      <w:r w:rsidR="006D4CF6">
        <w:rPr>
          <w:color w:val="000000"/>
          <w:szCs w:val="24"/>
          <w:lang w:eastAsia="en-GB" w:bidi="ar-SA"/>
        </w:rPr>
        <w:instrText xml:space="preserve"> REF _Ref141220700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(b)</w:t>
      </w:r>
      <w:r w:rsidR="006D4CF6">
        <w:rPr>
          <w:color w:val="000000"/>
          <w:szCs w:val="24"/>
          <w:lang w:eastAsia="en-GB" w:bidi="ar-SA"/>
        </w:rPr>
        <w:fldChar w:fldCharType="end"/>
      </w:r>
      <w:r w:rsidRPr="0035018C">
        <w:rPr>
          <w:color w:val="000000"/>
          <w:szCs w:val="24"/>
          <w:lang w:eastAsia="en-GB" w:bidi="ar-SA"/>
        </w:rPr>
        <w:t>, the data importer shall comply with the instructions from the data exporter.</w:t>
      </w:r>
    </w:p>
    <w:p w14:paraId="6D2AF667"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11</w:t>
      </w:r>
    </w:p>
    <w:p w14:paraId="243BC06F"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Redress</w:t>
      </w:r>
    </w:p>
    <w:p w14:paraId="23523546"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bookmarkStart w:id="2154" w:name="_Ref141220709"/>
      <w:r w:rsidRPr="0035018C">
        <w:rPr>
          <w:color w:val="000000"/>
          <w:szCs w:val="24"/>
          <w:lang w:eastAsia="en-GB" w:bidi="ar-SA"/>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2154"/>
    </w:p>
    <w:p w14:paraId="23D274D4" w14:textId="5AF83CFA"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The data importer agrees that data subjects may also lodge a complaint with an independent dispute resolution body[</w:t>
      </w:r>
      <w:hyperlink w:anchor="bookmark=id.14s7355">
        <w:r w:rsidRPr="0035018C">
          <w:rPr>
            <w:color w:val="0000FF"/>
            <w:szCs w:val="24"/>
            <w:u w:val="single"/>
            <w:lang w:eastAsia="en-GB" w:bidi="ar-SA"/>
          </w:rPr>
          <w:t>FN11</w:t>
        </w:r>
      </w:hyperlink>
      <w:r w:rsidRPr="0035018C">
        <w:rPr>
          <w:color w:val="000000"/>
          <w:szCs w:val="24"/>
          <w:lang w:eastAsia="en-GB" w:bidi="ar-SA"/>
        </w:rPr>
        <w:t xml:space="preserve">] at no cost to the data subject. It shall inform the data subjects, in the manner set out in paragraph </w:t>
      </w:r>
      <w:r w:rsidR="006D4CF6">
        <w:rPr>
          <w:color w:val="000000"/>
          <w:szCs w:val="24"/>
          <w:lang w:eastAsia="en-GB" w:bidi="ar-SA"/>
        </w:rPr>
        <w:fldChar w:fldCharType="begin"/>
      </w:r>
      <w:r w:rsidR="006D4CF6">
        <w:rPr>
          <w:color w:val="000000"/>
          <w:szCs w:val="24"/>
          <w:lang w:eastAsia="en-GB" w:bidi="ar-SA"/>
        </w:rPr>
        <w:instrText xml:space="preserve"> REF _Ref141220709 \n \h </w:instrText>
      </w:r>
      <w:r w:rsidR="006D4CF6">
        <w:rPr>
          <w:color w:val="000000"/>
          <w:szCs w:val="24"/>
          <w:lang w:eastAsia="en-GB" w:bidi="ar-SA"/>
        </w:rPr>
      </w:r>
      <w:r w:rsidR="006D4CF6">
        <w:rPr>
          <w:color w:val="000000"/>
          <w:szCs w:val="24"/>
          <w:lang w:eastAsia="en-GB" w:bidi="ar-SA"/>
        </w:rPr>
        <w:fldChar w:fldCharType="separate"/>
      </w:r>
      <w:r w:rsidR="009749A0">
        <w:rPr>
          <w:color w:val="000000"/>
          <w:szCs w:val="24"/>
          <w:lang w:eastAsia="en-GB" w:bidi="ar-SA"/>
        </w:rPr>
        <w:t>(a)</w:t>
      </w:r>
      <w:r w:rsidR="006D4CF6">
        <w:rPr>
          <w:color w:val="000000"/>
          <w:szCs w:val="24"/>
          <w:lang w:eastAsia="en-GB" w:bidi="ar-SA"/>
        </w:rPr>
        <w:fldChar w:fldCharType="end"/>
      </w:r>
      <w:r w:rsidRPr="0035018C">
        <w:rPr>
          <w:color w:val="000000"/>
          <w:szCs w:val="24"/>
          <w:lang w:eastAsia="en-GB" w:bidi="ar-SA"/>
        </w:rPr>
        <w:t>, of such redress mechanism and that they are not required to use it, or follow a particular sequence in seeking redress.]</w:t>
      </w:r>
    </w:p>
    <w:p w14:paraId="5BD8BDE8"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24FA65C5"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Where the data subject invokes a third-party beneficiary right pursuant to Clause 3, the data importer shall accept the decision of the data subject to:</w:t>
      </w:r>
    </w:p>
    <w:p w14:paraId="351EED0A" w14:textId="77777777" w:rsidR="0035018C" w:rsidRPr="0035018C" w:rsidRDefault="0035018C" w:rsidP="00B71FC0">
      <w:pPr>
        <w:widowControl/>
        <w:numPr>
          <w:ilvl w:val="2"/>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lodge a complaint with the supervisory authority in the Member State of his/her habitual residence or place of work, or the competent supervisory authority pursuant to Clause 13;</w:t>
      </w:r>
    </w:p>
    <w:p w14:paraId="7E78747E" w14:textId="77777777" w:rsidR="0035018C" w:rsidRPr="0035018C" w:rsidRDefault="0035018C" w:rsidP="00B71FC0">
      <w:pPr>
        <w:widowControl/>
        <w:numPr>
          <w:ilvl w:val="2"/>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refer the dispute to the competent courts within the meaning of Clause 18.</w:t>
      </w:r>
    </w:p>
    <w:p w14:paraId="6E19FA22"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Parties accept that the data subject may be represented by a not-for-profit body, organisation or association under the conditions set out in Article 80(1) of Regulation (EU) 2016/679.</w:t>
      </w:r>
    </w:p>
    <w:p w14:paraId="759DEDFF"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lastRenderedPageBreak/>
        <w:t>The data importer shall abide by a decision that is binding under the applicable EU or Member State law.</w:t>
      </w:r>
    </w:p>
    <w:p w14:paraId="46C05562" w14:textId="77777777" w:rsidR="0035018C" w:rsidRPr="0035018C" w:rsidRDefault="0035018C" w:rsidP="00B71FC0">
      <w:pPr>
        <w:widowControl/>
        <w:numPr>
          <w:ilvl w:val="1"/>
          <w:numId w:val="46"/>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agrees that the choice made by the data subject will not prejudice his/her substantive and procedural rights to seek remedies in accordance with applicable laws.</w:t>
      </w:r>
    </w:p>
    <w:p w14:paraId="5B98734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12</w:t>
      </w:r>
    </w:p>
    <w:p w14:paraId="028B7377"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Liability</w:t>
      </w:r>
    </w:p>
    <w:p w14:paraId="3AD95BB2" w14:textId="77777777"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Each Party shall be liable to the other Party/ies for any damages it causes the other Party/ies by any breach of these Clauses.</w:t>
      </w:r>
    </w:p>
    <w:p w14:paraId="3F9F8FBC" w14:textId="77777777"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bookmarkStart w:id="2155" w:name="_Ref141220727"/>
      <w:r w:rsidRPr="0035018C">
        <w:rPr>
          <w:color w:val="000000"/>
          <w:szCs w:val="24"/>
          <w:lang w:eastAsia="en-GB" w:bidi="ar-SA"/>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2155"/>
    </w:p>
    <w:p w14:paraId="675A087E" w14:textId="69566490"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bookmarkStart w:id="2156" w:name="_Ref141220734"/>
      <w:r w:rsidRPr="0035018C">
        <w:rPr>
          <w:color w:val="000000"/>
          <w:szCs w:val="24"/>
          <w:lang w:eastAsia="en-GB" w:bidi="ar-SA"/>
        </w:rPr>
        <w:t xml:space="preserve">Notwithstanding paragraph </w:t>
      </w:r>
      <w:r w:rsidR="007A5171">
        <w:rPr>
          <w:color w:val="000000"/>
          <w:szCs w:val="24"/>
          <w:lang w:eastAsia="en-GB" w:bidi="ar-SA"/>
        </w:rPr>
        <w:fldChar w:fldCharType="begin"/>
      </w:r>
      <w:r w:rsidR="007A5171">
        <w:rPr>
          <w:color w:val="000000"/>
          <w:szCs w:val="24"/>
          <w:lang w:eastAsia="en-GB" w:bidi="ar-SA"/>
        </w:rPr>
        <w:instrText xml:space="preserve"> REF _Ref141220727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2156"/>
    </w:p>
    <w:p w14:paraId="0404CAE1" w14:textId="3CCC05B8"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Parties agree that if the data exporter is held liable under paragraph </w:t>
      </w:r>
      <w:r w:rsidR="007A5171">
        <w:rPr>
          <w:color w:val="000000"/>
          <w:szCs w:val="24"/>
          <w:lang w:eastAsia="en-GB" w:bidi="ar-SA"/>
        </w:rPr>
        <w:fldChar w:fldCharType="begin"/>
      </w:r>
      <w:r w:rsidR="007A5171">
        <w:rPr>
          <w:color w:val="000000"/>
          <w:szCs w:val="24"/>
          <w:lang w:eastAsia="en-GB" w:bidi="ar-SA"/>
        </w:rPr>
        <w:instrText xml:space="preserve"> REF _Ref141220734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xml:space="preserve"> for damages caused by the data importer (or its sub-processor), it shall be entitled to claim back from the data importer that part of the compensation corresponding to the data importer's responsibility for the damage.</w:t>
      </w:r>
    </w:p>
    <w:p w14:paraId="46E7CBF1" w14:textId="77777777"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bookmarkStart w:id="2157" w:name="_Ref141220741"/>
      <w:r w:rsidRPr="0035018C">
        <w:rPr>
          <w:color w:val="000000"/>
          <w:szCs w:val="24"/>
          <w:lang w:eastAsia="en-GB" w:bidi="ar-SA"/>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2157"/>
    </w:p>
    <w:p w14:paraId="4587AADA" w14:textId="721AC2EB"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Parties agree that if one Party is held liable under paragraph </w:t>
      </w:r>
      <w:r w:rsidR="007A5171">
        <w:rPr>
          <w:color w:val="000000"/>
          <w:szCs w:val="24"/>
          <w:lang w:eastAsia="en-GB" w:bidi="ar-SA"/>
        </w:rPr>
        <w:fldChar w:fldCharType="begin"/>
      </w:r>
      <w:r w:rsidR="007A5171">
        <w:rPr>
          <w:color w:val="000000"/>
          <w:szCs w:val="24"/>
          <w:lang w:eastAsia="en-GB" w:bidi="ar-SA"/>
        </w:rPr>
        <w:instrText xml:space="preserve"> REF _Ref141220741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(e)</w:t>
      </w:r>
      <w:r w:rsidR="007A5171">
        <w:rPr>
          <w:color w:val="000000"/>
          <w:szCs w:val="24"/>
          <w:lang w:eastAsia="en-GB" w:bidi="ar-SA"/>
        </w:rPr>
        <w:fldChar w:fldCharType="end"/>
      </w:r>
      <w:r w:rsidRPr="0035018C">
        <w:rPr>
          <w:color w:val="000000"/>
          <w:szCs w:val="24"/>
          <w:lang w:eastAsia="en-GB" w:bidi="ar-SA"/>
        </w:rPr>
        <w:t>, it shall be entitled to claim back from the other Party/ies that part of the compensation corresponding to its/their responsibility for the damage.</w:t>
      </w:r>
    </w:p>
    <w:p w14:paraId="00B23FEC" w14:textId="77777777" w:rsidR="0035018C" w:rsidRPr="0035018C" w:rsidRDefault="0035018C" w:rsidP="00B71FC0">
      <w:pPr>
        <w:widowControl/>
        <w:numPr>
          <w:ilvl w:val="1"/>
          <w:numId w:val="47"/>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may not invoke the conduct of a sub-processor to avoid its own liability.</w:t>
      </w:r>
    </w:p>
    <w:p w14:paraId="514AE23A"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13</w:t>
      </w:r>
    </w:p>
    <w:p w14:paraId="40D5AC54"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Supervision</w:t>
      </w:r>
    </w:p>
    <w:p w14:paraId="6040EEFA" w14:textId="77777777" w:rsidR="0035018C" w:rsidRPr="0035018C" w:rsidRDefault="0035018C" w:rsidP="00B71FC0">
      <w:pPr>
        <w:widowControl/>
        <w:numPr>
          <w:ilvl w:val="1"/>
          <w:numId w:val="48"/>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361CCC34" w14:textId="77777777" w:rsidR="0035018C" w:rsidRPr="0035018C" w:rsidRDefault="0035018C" w:rsidP="0069052B">
      <w:pPr>
        <w:widowControl/>
        <w:pBdr>
          <w:top w:val="nil"/>
          <w:left w:val="nil"/>
          <w:bottom w:val="nil"/>
          <w:right w:val="nil"/>
          <w:between w:val="nil"/>
        </w:pBdr>
        <w:autoSpaceDE/>
        <w:autoSpaceDN/>
        <w:spacing w:before="120" w:after="240"/>
        <w:ind w:left="720" w:firstLine="720"/>
        <w:rPr>
          <w:color w:val="000000"/>
          <w:szCs w:val="24"/>
          <w:lang w:eastAsia="en-GB" w:bidi="ar-SA"/>
        </w:rPr>
      </w:pPr>
      <w:r w:rsidRPr="0035018C">
        <w:rPr>
          <w:color w:val="000000"/>
          <w:szCs w:val="24"/>
          <w:lang w:eastAsia="en-GB" w:bidi="ar-SA"/>
        </w:rPr>
        <w:lastRenderedPageBreak/>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09D2C980" w14:textId="77777777" w:rsidR="0035018C" w:rsidRPr="0035018C" w:rsidRDefault="0035018C" w:rsidP="0069052B">
      <w:pPr>
        <w:widowControl/>
        <w:pBdr>
          <w:top w:val="nil"/>
          <w:left w:val="nil"/>
          <w:bottom w:val="nil"/>
          <w:right w:val="nil"/>
          <w:between w:val="nil"/>
        </w:pBdr>
        <w:autoSpaceDE/>
        <w:autoSpaceDN/>
        <w:spacing w:before="120" w:after="240"/>
        <w:ind w:left="720" w:firstLine="720"/>
        <w:rPr>
          <w:color w:val="000000"/>
          <w:szCs w:val="24"/>
          <w:lang w:eastAsia="en-GB" w:bidi="ar-SA"/>
        </w:rPr>
      </w:pPr>
      <w:r w:rsidRPr="0035018C">
        <w:rPr>
          <w:color w:val="000000"/>
          <w:szCs w:val="24"/>
          <w:lang w:eastAsia="en-GB" w:bidi="ar-SA"/>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7688E879" w14:textId="77777777" w:rsidR="0035018C" w:rsidRPr="0035018C" w:rsidRDefault="0035018C" w:rsidP="00B71FC0">
      <w:pPr>
        <w:widowControl/>
        <w:numPr>
          <w:ilvl w:val="1"/>
          <w:numId w:val="48"/>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D4B53E7"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III – LOCAL LAWS AND OBLIGATIONS IN CASE OF ACCESS BY PUBLIC AUTHORITIES</w:t>
      </w:r>
    </w:p>
    <w:p w14:paraId="4DDEBF20"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14</w:t>
      </w:r>
    </w:p>
    <w:p w14:paraId="7557125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Local laws and practices affecting compliance with the Clauses</w:t>
      </w:r>
    </w:p>
    <w:p w14:paraId="2867FDD5" w14:textId="77777777"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bookmarkStart w:id="2158" w:name="_Ref141220757"/>
      <w:r w:rsidRPr="0035018C">
        <w:rPr>
          <w:color w:val="000000"/>
          <w:szCs w:val="24"/>
          <w:lang w:eastAsia="en-GB" w:bidi="ar-SA"/>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158"/>
    </w:p>
    <w:p w14:paraId="3881A707" w14:textId="6B67A599"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bookmarkStart w:id="2159" w:name="_Ref141220768"/>
      <w:r w:rsidRPr="0035018C">
        <w:rPr>
          <w:color w:val="000000"/>
          <w:szCs w:val="24"/>
          <w:lang w:eastAsia="en-GB" w:bidi="ar-SA"/>
        </w:rPr>
        <w:t>The Parties declare that in providing the warranty in paragraph </w:t>
      </w:r>
      <w:r w:rsidR="007A5171">
        <w:rPr>
          <w:color w:val="000000"/>
          <w:szCs w:val="24"/>
          <w:lang w:eastAsia="en-GB" w:bidi="ar-SA"/>
        </w:rPr>
        <w:fldChar w:fldCharType="begin"/>
      </w:r>
      <w:r w:rsidR="007A5171">
        <w:rPr>
          <w:color w:val="000000"/>
          <w:szCs w:val="24"/>
          <w:lang w:eastAsia="en-GB" w:bidi="ar-SA"/>
        </w:rPr>
        <w:instrText xml:space="preserve"> REF _Ref141220757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they have taken due account in particular of the following elements:</w:t>
      </w:r>
      <w:bookmarkEnd w:id="2159"/>
    </w:p>
    <w:p w14:paraId="60F1786E" w14:textId="77777777" w:rsidR="0035018C" w:rsidRPr="0035018C" w:rsidRDefault="0035018C" w:rsidP="00B71FC0">
      <w:pPr>
        <w:widowControl/>
        <w:numPr>
          <w:ilvl w:val="2"/>
          <w:numId w:val="49"/>
        </w:numPr>
        <w:pBdr>
          <w:top w:val="nil"/>
          <w:left w:val="nil"/>
          <w:bottom w:val="nil"/>
          <w:right w:val="nil"/>
          <w:between w:val="nil"/>
        </w:pBdr>
        <w:autoSpaceDE/>
        <w:autoSpaceDN/>
        <w:spacing w:before="120" w:after="240"/>
        <w:ind w:left="720"/>
        <w:rPr>
          <w:color w:val="000000"/>
          <w:szCs w:val="24"/>
          <w:lang w:eastAsia="en-GB" w:bidi="ar-SA"/>
        </w:rPr>
      </w:pPr>
      <w:r w:rsidRPr="0035018C">
        <w:rPr>
          <w:color w:val="000000"/>
          <w:szCs w:val="24"/>
          <w:lang w:eastAsia="en-GB" w:bidi="ar-SA"/>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2AA5F957" w14:textId="4E499F1A" w:rsidR="0035018C" w:rsidRPr="0035018C" w:rsidRDefault="0035018C" w:rsidP="00B71FC0">
      <w:pPr>
        <w:widowControl/>
        <w:numPr>
          <w:ilvl w:val="2"/>
          <w:numId w:val="4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laws and practices of the third country of destination – including those requiring the disclosure of data to public authorities or authorising access by </w:t>
      </w:r>
      <w:r w:rsidRPr="0035018C">
        <w:rPr>
          <w:color w:val="000000"/>
          <w:szCs w:val="24"/>
          <w:lang w:eastAsia="en-GB" w:bidi="ar-SA"/>
        </w:rPr>
        <w:lastRenderedPageBreak/>
        <w:t>such authorities – relevant in light of the specific circumstances of the transfer, and the applicable limitations and safeguards[</w:t>
      </w:r>
      <w:hyperlink w:anchor="bookmark=id.3orulsy">
        <w:r w:rsidRPr="0035018C">
          <w:rPr>
            <w:color w:val="0000FF"/>
            <w:szCs w:val="24"/>
            <w:u w:val="single"/>
            <w:lang w:eastAsia="en-GB" w:bidi="ar-SA"/>
          </w:rPr>
          <w:t>FN12</w:t>
        </w:r>
      </w:hyperlink>
      <w:r w:rsidRPr="0035018C">
        <w:rPr>
          <w:color w:val="000000"/>
          <w:szCs w:val="24"/>
          <w:lang w:eastAsia="en-GB" w:bidi="ar-SA"/>
        </w:rPr>
        <w:t>];</w:t>
      </w:r>
    </w:p>
    <w:p w14:paraId="3C5B4F3B" w14:textId="77777777" w:rsidR="0035018C" w:rsidRPr="0035018C" w:rsidRDefault="0035018C" w:rsidP="00B71FC0">
      <w:pPr>
        <w:widowControl/>
        <w:numPr>
          <w:ilvl w:val="2"/>
          <w:numId w:val="4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any relevant contractual, technical or organisational safeguards put in place to supplement the safeguards under these Clauses, including measures applied during transmission and to the processing of the personal data in the country of destination.</w:t>
      </w:r>
    </w:p>
    <w:p w14:paraId="15FB4EFF" w14:textId="45407D14"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data importer warrants that, in carrying out the assessment under paragraph </w:t>
      </w:r>
      <w:r w:rsidR="007A5171">
        <w:rPr>
          <w:color w:val="000000"/>
          <w:szCs w:val="24"/>
          <w:lang w:eastAsia="en-GB" w:bidi="ar-SA"/>
        </w:rPr>
        <w:fldChar w:fldCharType="begin"/>
      </w:r>
      <w:r w:rsidR="007A5171">
        <w:rPr>
          <w:color w:val="000000"/>
          <w:szCs w:val="24"/>
          <w:lang w:eastAsia="en-GB" w:bidi="ar-SA"/>
        </w:rPr>
        <w:instrText xml:space="preserve"> REF _Ref141220768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it has made its best efforts to provide the data exporter with relevant information and agrees that it will continue to cooperate with the data exporter in ensuring compliance with these Clauses.</w:t>
      </w:r>
    </w:p>
    <w:p w14:paraId="651247D4" w14:textId="509E85C6"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Parties agree to document the assessment under paragraph </w:t>
      </w:r>
      <w:r w:rsidR="007A5171">
        <w:rPr>
          <w:color w:val="000000"/>
          <w:szCs w:val="24"/>
          <w:lang w:eastAsia="en-GB" w:bidi="ar-SA"/>
        </w:rPr>
        <w:fldChar w:fldCharType="begin"/>
      </w:r>
      <w:r w:rsidR="007A5171">
        <w:rPr>
          <w:color w:val="000000"/>
          <w:szCs w:val="24"/>
          <w:lang w:eastAsia="en-GB" w:bidi="ar-SA"/>
        </w:rPr>
        <w:instrText xml:space="preserve"> REF _Ref141220768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xml:space="preserve"> and make it available to the competent supervisory authority on request.</w:t>
      </w:r>
    </w:p>
    <w:p w14:paraId="095A7CE4" w14:textId="0F584348"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bookmarkStart w:id="2160" w:name="_Ref141220799"/>
      <w:r w:rsidRPr="0035018C">
        <w:rPr>
          <w:color w:val="000000"/>
          <w:szCs w:val="24"/>
          <w:lang w:eastAsia="en-GB" w:bidi="ar-SA"/>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7A5171">
        <w:rPr>
          <w:color w:val="000000"/>
          <w:szCs w:val="24"/>
          <w:lang w:eastAsia="en-GB" w:bidi="ar-SA"/>
        </w:rPr>
        <w:fldChar w:fldCharType="begin"/>
      </w:r>
      <w:r w:rsidR="007A5171">
        <w:rPr>
          <w:color w:val="000000"/>
          <w:szCs w:val="24"/>
          <w:lang w:eastAsia="en-GB" w:bidi="ar-SA"/>
        </w:rPr>
        <w:instrText xml:space="preserve"> REF _Ref141220757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xml:space="preserve">, including following a change in the laws of the third country or a measure (such as a disclosure request) indicating an application of such laws in practice that is not in line with the requirements in paragraph </w:t>
      </w:r>
      <w:r w:rsidR="007A5171">
        <w:rPr>
          <w:color w:val="000000"/>
          <w:szCs w:val="24"/>
          <w:lang w:eastAsia="en-GB" w:bidi="ar-SA"/>
        </w:rPr>
        <w:fldChar w:fldCharType="begin"/>
      </w:r>
      <w:r w:rsidR="007A5171">
        <w:rPr>
          <w:color w:val="000000"/>
          <w:szCs w:val="24"/>
          <w:lang w:eastAsia="en-GB" w:bidi="ar-SA"/>
        </w:rPr>
        <w:instrText xml:space="preserve"> REF _Ref141220757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w:t>
      </w:r>
      <w:bookmarkEnd w:id="2160"/>
      <w:r w:rsidRPr="0035018C">
        <w:rPr>
          <w:color w:val="000000"/>
          <w:szCs w:val="24"/>
          <w:lang w:eastAsia="en-GB" w:bidi="ar-SA"/>
        </w:rPr>
        <w:t xml:space="preserve"> </w:t>
      </w:r>
    </w:p>
    <w:p w14:paraId="6F75E761" w14:textId="154D41B1" w:rsidR="0035018C" w:rsidRPr="0035018C" w:rsidRDefault="0035018C" w:rsidP="00B71FC0">
      <w:pPr>
        <w:widowControl/>
        <w:numPr>
          <w:ilvl w:val="1"/>
          <w:numId w:val="4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Following a notification pursuant to paragraph </w:t>
      </w:r>
      <w:r w:rsidR="007A5171">
        <w:rPr>
          <w:color w:val="000000"/>
          <w:szCs w:val="24"/>
          <w:lang w:eastAsia="en-GB" w:bidi="ar-SA"/>
        </w:rPr>
        <w:fldChar w:fldCharType="begin"/>
      </w:r>
      <w:r w:rsidR="007A5171">
        <w:rPr>
          <w:color w:val="000000"/>
          <w:szCs w:val="24"/>
          <w:lang w:eastAsia="en-GB" w:bidi="ar-SA"/>
        </w:rPr>
        <w:instrText xml:space="preserve"> REF _Ref141220799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(e)</w:t>
      </w:r>
      <w:r w:rsidR="007A5171">
        <w:rPr>
          <w:color w:val="000000"/>
          <w:szCs w:val="24"/>
          <w:lang w:eastAsia="en-GB" w:bidi="ar-SA"/>
        </w:rPr>
        <w:fldChar w:fldCharType="end"/>
      </w:r>
      <w:r w:rsidRPr="0035018C">
        <w:rPr>
          <w:color w:val="000000"/>
          <w:szCs w:val="24"/>
          <w:lang w:eastAsia="en-GB" w:bidi="ar-SA"/>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93A690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15</w:t>
      </w:r>
    </w:p>
    <w:p w14:paraId="70DCF87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Obligations of the data importer in case of access by public authorities</w:t>
      </w:r>
    </w:p>
    <w:p w14:paraId="68346716"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15.1 Notification</w:t>
      </w:r>
    </w:p>
    <w:p w14:paraId="3D639507" w14:textId="77777777" w:rsidR="0035018C" w:rsidRPr="0035018C" w:rsidRDefault="0035018C" w:rsidP="00B71FC0">
      <w:pPr>
        <w:widowControl/>
        <w:numPr>
          <w:ilvl w:val="1"/>
          <w:numId w:val="50"/>
        </w:numPr>
        <w:pBdr>
          <w:top w:val="nil"/>
          <w:left w:val="nil"/>
          <w:bottom w:val="nil"/>
          <w:right w:val="nil"/>
          <w:between w:val="nil"/>
        </w:pBdr>
        <w:autoSpaceDE/>
        <w:autoSpaceDN/>
        <w:spacing w:before="120" w:after="240"/>
        <w:rPr>
          <w:color w:val="000000"/>
          <w:szCs w:val="24"/>
          <w:lang w:eastAsia="en-GB" w:bidi="ar-SA"/>
        </w:rPr>
      </w:pPr>
      <w:bookmarkStart w:id="2161" w:name="_Ref141220811"/>
      <w:r w:rsidRPr="0035018C">
        <w:rPr>
          <w:color w:val="000000"/>
          <w:szCs w:val="24"/>
          <w:lang w:eastAsia="en-GB" w:bidi="ar-SA"/>
        </w:rPr>
        <w:t>The data importer agrees to notify the data exporter and, where possible, the data subject promptly (if necessary with the help of the data exporter) if it:</w:t>
      </w:r>
      <w:bookmarkEnd w:id="2161"/>
    </w:p>
    <w:p w14:paraId="305905CF" w14:textId="77777777" w:rsidR="0035018C" w:rsidRPr="0035018C" w:rsidRDefault="0035018C" w:rsidP="00B71FC0">
      <w:pPr>
        <w:widowControl/>
        <w:numPr>
          <w:ilvl w:val="2"/>
          <w:numId w:val="50"/>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6240AEFD" w14:textId="77777777" w:rsidR="0035018C" w:rsidRPr="0035018C" w:rsidRDefault="0035018C" w:rsidP="00B71FC0">
      <w:pPr>
        <w:widowControl/>
        <w:numPr>
          <w:ilvl w:val="2"/>
          <w:numId w:val="50"/>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lastRenderedPageBreak/>
        <w:t>becomes aware of any direct access by public authorities to personal data transferred pursuant to these Clauses in accordance with the laws of the country of destination; such notification shall include all information available to the importer.</w:t>
      </w:r>
    </w:p>
    <w:p w14:paraId="6686031D" w14:textId="77777777" w:rsidR="0035018C" w:rsidRPr="0035018C" w:rsidRDefault="0035018C" w:rsidP="00B71FC0">
      <w:pPr>
        <w:widowControl/>
        <w:numPr>
          <w:ilvl w:val="1"/>
          <w:numId w:val="50"/>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E325C42" w14:textId="77777777" w:rsidR="0035018C" w:rsidRPr="0035018C" w:rsidRDefault="0035018C" w:rsidP="00B71FC0">
      <w:pPr>
        <w:widowControl/>
        <w:numPr>
          <w:ilvl w:val="1"/>
          <w:numId w:val="50"/>
        </w:numPr>
        <w:pBdr>
          <w:top w:val="nil"/>
          <w:left w:val="nil"/>
          <w:bottom w:val="nil"/>
          <w:right w:val="nil"/>
          <w:between w:val="nil"/>
        </w:pBdr>
        <w:autoSpaceDE/>
        <w:autoSpaceDN/>
        <w:spacing w:before="120" w:after="240"/>
        <w:rPr>
          <w:color w:val="000000"/>
          <w:szCs w:val="24"/>
          <w:lang w:eastAsia="en-GB" w:bidi="ar-SA"/>
        </w:rPr>
      </w:pPr>
      <w:bookmarkStart w:id="2162" w:name="_Ref141220819"/>
      <w:r w:rsidRPr="0035018C">
        <w:rPr>
          <w:color w:val="000000"/>
          <w:szCs w:val="24"/>
          <w:lang w:eastAsia="en-GB" w:bidi="ar-SA"/>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bookmarkEnd w:id="2162"/>
      <w:r w:rsidRPr="0035018C">
        <w:rPr>
          <w:color w:val="000000"/>
          <w:szCs w:val="24"/>
          <w:lang w:eastAsia="en-GB" w:bidi="ar-SA"/>
        </w:rPr>
        <w:t xml:space="preserve"> </w:t>
      </w:r>
    </w:p>
    <w:p w14:paraId="2D0A18F5" w14:textId="3C2ED928" w:rsidR="0035018C" w:rsidRPr="0035018C" w:rsidRDefault="0035018C" w:rsidP="00B71FC0">
      <w:pPr>
        <w:widowControl/>
        <w:numPr>
          <w:ilvl w:val="1"/>
          <w:numId w:val="50"/>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data importer agrees to preserve the information pursuant to paragraphs </w:t>
      </w:r>
      <w:r w:rsidR="007A5171">
        <w:rPr>
          <w:color w:val="000000"/>
          <w:szCs w:val="24"/>
          <w:lang w:eastAsia="en-GB" w:bidi="ar-SA"/>
        </w:rPr>
        <w:fldChar w:fldCharType="begin"/>
      </w:r>
      <w:r w:rsidR="007A5171">
        <w:rPr>
          <w:color w:val="000000"/>
          <w:szCs w:val="24"/>
          <w:lang w:eastAsia="en-GB" w:bidi="ar-SA"/>
        </w:rPr>
        <w:instrText xml:space="preserve"> REF _Ref141220811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xml:space="preserve"> to </w:t>
      </w:r>
      <w:r w:rsidR="007A5171">
        <w:rPr>
          <w:color w:val="000000"/>
          <w:szCs w:val="24"/>
          <w:lang w:eastAsia="en-GB" w:bidi="ar-SA"/>
        </w:rPr>
        <w:fldChar w:fldCharType="begin"/>
      </w:r>
      <w:r w:rsidR="007A5171">
        <w:rPr>
          <w:color w:val="000000"/>
          <w:szCs w:val="24"/>
          <w:lang w:eastAsia="en-GB" w:bidi="ar-SA"/>
        </w:rPr>
        <w:instrText xml:space="preserve"> REF _Ref141220819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xml:space="preserve"> for the duration of the contract and make it available to the competent supervisory authority on request.</w:t>
      </w:r>
    </w:p>
    <w:p w14:paraId="776C45B1" w14:textId="5E57D053" w:rsidR="0035018C" w:rsidRPr="0035018C" w:rsidRDefault="0035018C" w:rsidP="00B71FC0">
      <w:pPr>
        <w:widowControl/>
        <w:numPr>
          <w:ilvl w:val="1"/>
          <w:numId w:val="50"/>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Paragraphs </w:t>
      </w:r>
      <w:r w:rsidR="007A5171">
        <w:rPr>
          <w:color w:val="000000"/>
          <w:szCs w:val="24"/>
          <w:lang w:eastAsia="en-GB" w:bidi="ar-SA"/>
        </w:rPr>
        <w:fldChar w:fldCharType="begin"/>
      </w:r>
      <w:r w:rsidR="007A5171">
        <w:rPr>
          <w:color w:val="000000"/>
          <w:szCs w:val="24"/>
          <w:lang w:eastAsia="en-GB" w:bidi="ar-SA"/>
        </w:rPr>
        <w:instrText xml:space="preserve"> REF _Ref141220811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xml:space="preserve"> to </w:t>
      </w:r>
      <w:r w:rsidR="007A5171">
        <w:rPr>
          <w:color w:val="000000"/>
          <w:szCs w:val="24"/>
          <w:lang w:eastAsia="en-GB" w:bidi="ar-SA"/>
        </w:rPr>
        <w:fldChar w:fldCharType="begin"/>
      </w:r>
      <w:r w:rsidR="007A5171">
        <w:rPr>
          <w:color w:val="000000"/>
          <w:szCs w:val="24"/>
          <w:lang w:eastAsia="en-GB" w:bidi="ar-SA"/>
        </w:rPr>
        <w:instrText xml:space="preserve"> REF _Ref141220819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xml:space="preserve"> are without prejudice to the obligation of the data importer pursuant to Clause 14(e) and Clause 16 to inform the data exporter promptly where it is unable to comply with these Clauses.</w:t>
      </w:r>
    </w:p>
    <w:p w14:paraId="0FBA9D93"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15.2 Review of legality and data minimisation</w:t>
      </w:r>
    </w:p>
    <w:p w14:paraId="053BD710" w14:textId="77777777" w:rsidR="0035018C" w:rsidRPr="0035018C" w:rsidRDefault="0035018C" w:rsidP="00B71FC0">
      <w:pPr>
        <w:widowControl/>
        <w:numPr>
          <w:ilvl w:val="1"/>
          <w:numId w:val="51"/>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3B63F4D" w14:textId="77777777" w:rsidR="0035018C" w:rsidRPr="0035018C" w:rsidRDefault="0035018C" w:rsidP="00B71FC0">
      <w:pPr>
        <w:widowControl/>
        <w:numPr>
          <w:ilvl w:val="1"/>
          <w:numId w:val="51"/>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61A7598B" w14:textId="77777777" w:rsidR="0035018C" w:rsidRPr="0035018C" w:rsidRDefault="0035018C" w:rsidP="00B71FC0">
      <w:pPr>
        <w:widowControl/>
        <w:numPr>
          <w:ilvl w:val="1"/>
          <w:numId w:val="51"/>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agrees to provide the minimum amount of information permissible when responding to a request for disclosure, based on a reasonable interpretation of the request.</w:t>
      </w:r>
    </w:p>
    <w:p w14:paraId="6C230AE7"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17661EDB"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SECTION IV – FINAL PROVISIONS</w:t>
      </w:r>
    </w:p>
    <w:p w14:paraId="43BA706E"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16</w:t>
      </w:r>
    </w:p>
    <w:p w14:paraId="627800A1" w14:textId="77777777" w:rsidR="0035018C" w:rsidRPr="0035018C" w:rsidRDefault="0035018C" w:rsidP="0035018C">
      <w:pPr>
        <w:keepNext/>
        <w:widowControl/>
        <w:pBdr>
          <w:top w:val="nil"/>
          <w:left w:val="nil"/>
          <w:bottom w:val="nil"/>
          <w:right w:val="nil"/>
          <w:between w:val="nil"/>
        </w:pBdr>
        <w:autoSpaceDE/>
        <w:autoSpaceDN/>
        <w:spacing w:before="120"/>
        <w:rPr>
          <w:b/>
          <w:color w:val="000000"/>
          <w:szCs w:val="24"/>
          <w:lang w:eastAsia="en-GB" w:bidi="ar-SA"/>
        </w:rPr>
      </w:pPr>
      <w:r w:rsidRPr="0035018C">
        <w:rPr>
          <w:b/>
          <w:color w:val="000000"/>
          <w:szCs w:val="24"/>
          <w:lang w:eastAsia="en-GB" w:bidi="ar-SA"/>
        </w:rPr>
        <w:t>Non-compliance with the Clauses and termination</w:t>
      </w:r>
    </w:p>
    <w:p w14:paraId="30BD0412" w14:textId="77777777" w:rsidR="0035018C" w:rsidRPr="0035018C" w:rsidRDefault="0035018C" w:rsidP="0069052B">
      <w:pPr>
        <w:widowControl/>
        <w:numPr>
          <w:ilvl w:val="1"/>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shall promptly inform the data exporter if it is unable to comply with these Clauses, for whatever reason.</w:t>
      </w:r>
    </w:p>
    <w:p w14:paraId="5E51E960" w14:textId="77777777" w:rsidR="0035018C" w:rsidRPr="0035018C" w:rsidRDefault="0035018C" w:rsidP="0069052B">
      <w:pPr>
        <w:widowControl/>
        <w:numPr>
          <w:ilvl w:val="1"/>
          <w:numId w:val="9"/>
        </w:numPr>
        <w:pBdr>
          <w:top w:val="nil"/>
          <w:left w:val="nil"/>
          <w:bottom w:val="nil"/>
          <w:right w:val="nil"/>
          <w:between w:val="nil"/>
        </w:pBdr>
        <w:autoSpaceDE/>
        <w:autoSpaceDN/>
        <w:spacing w:before="120" w:after="240"/>
        <w:rPr>
          <w:color w:val="000000"/>
          <w:szCs w:val="24"/>
          <w:lang w:eastAsia="en-GB" w:bidi="ar-SA"/>
        </w:rPr>
      </w:pPr>
      <w:bookmarkStart w:id="2163" w:name="_Ref141220851"/>
      <w:r w:rsidRPr="0035018C">
        <w:rPr>
          <w:color w:val="000000"/>
          <w:szCs w:val="24"/>
          <w:lang w:eastAsia="en-GB" w:bidi="ar-SA"/>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163"/>
    </w:p>
    <w:p w14:paraId="0772E29E" w14:textId="77777777" w:rsidR="0035018C" w:rsidRPr="0035018C" w:rsidRDefault="0035018C" w:rsidP="0069052B">
      <w:pPr>
        <w:widowControl/>
        <w:numPr>
          <w:ilvl w:val="1"/>
          <w:numId w:val="9"/>
        </w:numPr>
        <w:pBdr>
          <w:top w:val="nil"/>
          <w:left w:val="nil"/>
          <w:bottom w:val="nil"/>
          <w:right w:val="nil"/>
          <w:between w:val="nil"/>
        </w:pBdr>
        <w:autoSpaceDE/>
        <w:autoSpaceDN/>
        <w:spacing w:before="120" w:after="240"/>
        <w:rPr>
          <w:color w:val="000000"/>
          <w:szCs w:val="24"/>
          <w:lang w:eastAsia="en-GB" w:bidi="ar-SA"/>
        </w:rPr>
      </w:pPr>
      <w:bookmarkStart w:id="2164" w:name="_Ref141220863"/>
      <w:r w:rsidRPr="0035018C">
        <w:rPr>
          <w:color w:val="000000"/>
          <w:szCs w:val="24"/>
          <w:lang w:eastAsia="en-GB" w:bidi="ar-SA"/>
        </w:rPr>
        <w:t>The data exporter shall be entitled to terminate the contract, insofar as it concerns the processing of personal data under these Clauses, where:</w:t>
      </w:r>
      <w:bookmarkEnd w:id="2164"/>
    </w:p>
    <w:p w14:paraId="5D6C7999" w14:textId="4A6FBC2C" w:rsidR="0035018C" w:rsidRPr="0035018C" w:rsidRDefault="0035018C" w:rsidP="0069052B">
      <w:pPr>
        <w:widowControl/>
        <w:numPr>
          <w:ilvl w:val="2"/>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the data exporter has suspended the transfer of personal data to the data importer pursuant to paragraph </w:t>
      </w:r>
      <w:r w:rsidR="007A5171">
        <w:rPr>
          <w:color w:val="000000"/>
          <w:szCs w:val="24"/>
          <w:lang w:eastAsia="en-GB" w:bidi="ar-SA"/>
        </w:rPr>
        <w:fldChar w:fldCharType="begin"/>
      </w:r>
      <w:r w:rsidR="007A5171">
        <w:rPr>
          <w:color w:val="000000"/>
          <w:szCs w:val="24"/>
          <w:lang w:eastAsia="en-GB" w:bidi="ar-SA"/>
        </w:rPr>
        <w:instrText xml:space="preserve"> REF _Ref141220851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xml:space="preserve"> and compliance with these Clauses is not restored within a reasonable time and in any event within one month of suspension;</w:t>
      </w:r>
    </w:p>
    <w:p w14:paraId="2581D73F" w14:textId="77777777" w:rsidR="0035018C" w:rsidRPr="0035018C" w:rsidRDefault="0035018C" w:rsidP="0069052B">
      <w:pPr>
        <w:widowControl/>
        <w:numPr>
          <w:ilvl w:val="2"/>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is in substantial or persistent breach of these Clauses; or</w:t>
      </w:r>
    </w:p>
    <w:p w14:paraId="012B5E9D" w14:textId="77777777" w:rsidR="0035018C" w:rsidRPr="0035018C" w:rsidRDefault="0035018C" w:rsidP="0069052B">
      <w:pPr>
        <w:widowControl/>
        <w:numPr>
          <w:ilvl w:val="2"/>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the data importer fails to comply with a binding decision of a competent court or supervisory authority regarding its obligations under these Clauses.</w:t>
      </w:r>
    </w:p>
    <w:p w14:paraId="77D94E86" w14:textId="77777777" w:rsidR="0035018C" w:rsidRPr="0035018C" w:rsidRDefault="0035018C" w:rsidP="0069052B">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66A6724D" w14:textId="24C6489A" w:rsidR="0035018C" w:rsidRPr="0035018C" w:rsidRDefault="0035018C" w:rsidP="0069052B">
      <w:pPr>
        <w:widowControl/>
        <w:numPr>
          <w:ilvl w:val="1"/>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 xml:space="preserve">Personal data that has been transferred prior to the termination of the contract pursuant to paragraph </w:t>
      </w:r>
      <w:r w:rsidR="007A5171">
        <w:rPr>
          <w:color w:val="000000"/>
          <w:szCs w:val="24"/>
          <w:lang w:eastAsia="en-GB" w:bidi="ar-SA"/>
        </w:rPr>
        <w:fldChar w:fldCharType="begin"/>
      </w:r>
      <w:r w:rsidR="007A5171">
        <w:rPr>
          <w:color w:val="000000"/>
          <w:szCs w:val="24"/>
          <w:lang w:eastAsia="en-GB" w:bidi="ar-SA"/>
        </w:rPr>
        <w:instrText xml:space="preserve"> REF _Ref141220863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xml:space="preserve">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1A7BD083" w14:textId="77777777" w:rsidR="0035018C" w:rsidRPr="0035018C" w:rsidRDefault="0035018C" w:rsidP="0069052B">
      <w:pPr>
        <w:widowControl/>
        <w:numPr>
          <w:ilvl w:val="1"/>
          <w:numId w:val="9"/>
        </w:numPr>
        <w:pBdr>
          <w:top w:val="nil"/>
          <w:left w:val="nil"/>
          <w:bottom w:val="nil"/>
          <w:right w:val="nil"/>
          <w:between w:val="nil"/>
        </w:pBdr>
        <w:autoSpaceDE/>
        <w:autoSpaceDN/>
        <w:spacing w:before="120" w:after="240"/>
        <w:rPr>
          <w:color w:val="000000"/>
          <w:szCs w:val="24"/>
          <w:lang w:eastAsia="en-GB" w:bidi="ar-SA"/>
        </w:rPr>
      </w:pPr>
      <w:r w:rsidRPr="0035018C">
        <w:rPr>
          <w:color w:val="000000"/>
          <w:szCs w:val="24"/>
          <w:lang w:eastAsia="en-GB" w:bidi="ar-SA"/>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1AFAF195"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CLAUSE 17</w:t>
      </w:r>
    </w:p>
    <w:p w14:paraId="28129941"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Governing law</w:t>
      </w:r>
    </w:p>
    <w:p w14:paraId="6C8E07F6"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1: These Clauses shall be governed by the law of one of the EU Member States, provided such law allows for third-party beneficiary rights. The Parties agree that this shall be the law of _______ (</w:t>
      </w:r>
      <w:r w:rsidRPr="0035018C">
        <w:rPr>
          <w:i/>
          <w:color w:val="000000"/>
          <w:szCs w:val="24"/>
          <w:lang w:eastAsia="en-GB" w:bidi="ar-SA"/>
        </w:rPr>
        <w:t>specify Member State</w:t>
      </w:r>
      <w:r w:rsidRPr="0035018C">
        <w:rPr>
          <w:color w:val="000000"/>
          <w:szCs w:val="24"/>
          <w:lang w:eastAsia="en-GB" w:bidi="ar-SA"/>
        </w:rPr>
        <w:t>).]</w:t>
      </w:r>
    </w:p>
    <w:p w14:paraId="1FD44EC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35018C">
        <w:rPr>
          <w:i/>
          <w:color w:val="000000"/>
          <w:szCs w:val="24"/>
          <w:lang w:eastAsia="en-GB" w:bidi="ar-SA"/>
        </w:rPr>
        <w:t>specify Member State</w:t>
      </w:r>
      <w:r w:rsidRPr="0035018C">
        <w:rPr>
          <w:color w:val="000000"/>
          <w:szCs w:val="24"/>
          <w:lang w:eastAsia="en-GB" w:bidi="ar-SA"/>
        </w:rPr>
        <w:t>).]</w:t>
      </w:r>
    </w:p>
    <w:p w14:paraId="2EDFA74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18</w:t>
      </w:r>
    </w:p>
    <w:p w14:paraId="552106F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Choice of forum and jurisdiction</w:t>
      </w:r>
    </w:p>
    <w:p w14:paraId="6F15FA97" w14:textId="77777777" w:rsidR="0035018C" w:rsidRPr="0035018C" w:rsidRDefault="0035018C" w:rsidP="0035018C">
      <w:pPr>
        <w:widowControl/>
        <w:numPr>
          <w:ilvl w:val="1"/>
          <w:numId w:val="1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Any dispute arising from these Clauses shall be resolved by the courts of an EU Member State.</w:t>
      </w:r>
    </w:p>
    <w:p w14:paraId="393B552A" w14:textId="77777777" w:rsidR="0035018C" w:rsidRPr="0035018C" w:rsidRDefault="0035018C" w:rsidP="0035018C">
      <w:pPr>
        <w:widowControl/>
        <w:numPr>
          <w:ilvl w:val="1"/>
          <w:numId w:val="1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that those shall be the courts of _____ </w:t>
      </w:r>
      <w:r w:rsidRPr="0035018C">
        <w:rPr>
          <w:i/>
          <w:color w:val="000000"/>
          <w:szCs w:val="24"/>
          <w:lang w:eastAsia="en-GB" w:bidi="ar-SA"/>
        </w:rPr>
        <w:t>(specify Member State)</w:t>
      </w:r>
      <w:r w:rsidRPr="0035018C">
        <w:rPr>
          <w:color w:val="000000"/>
          <w:szCs w:val="24"/>
          <w:lang w:eastAsia="en-GB" w:bidi="ar-SA"/>
        </w:rPr>
        <w:t>.</w:t>
      </w:r>
    </w:p>
    <w:p w14:paraId="343EEBB9" w14:textId="77777777" w:rsidR="0035018C" w:rsidRPr="0035018C" w:rsidRDefault="0035018C" w:rsidP="0035018C">
      <w:pPr>
        <w:widowControl/>
        <w:numPr>
          <w:ilvl w:val="1"/>
          <w:numId w:val="1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 data subject may also bring legal proceedings against the data exporter and/or data importer before the courts of the Member State in which he/she has his/her habitual residence.</w:t>
      </w:r>
    </w:p>
    <w:p w14:paraId="6CE5EC46" w14:textId="77777777" w:rsidR="0035018C" w:rsidRPr="0035018C" w:rsidRDefault="0035018C" w:rsidP="0035018C">
      <w:pPr>
        <w:widowControl/>
        <w:numPr>
          <w:ilvl w:val="1"/>
          <w:numId w:val="1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agree to submit themselves to the jurisdiction of such courts.</w:t>
      </w:r>
    </w:p>
    <w:p w14:paraId="4BA631FD"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41D89ACA"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Official European Commission Footnotes</w:t>
      </w:r>
    </w:p>
    <w:p w14:paraId="2DB71618" w14:textId="374914B5"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l354xk">
        <w:r w:rsidR="0035018C" w:rsidRPr="0035018C">
          <w:rPr>
            <w:color w:val="0000FF"/>
            <w:szCs w:val="24"/>
            <w:u w:val="single"/>
            <w:lang w:eastAsia="en-GB" w:bidi="ar-SA"/>
          </w:rPr>
          <w:t>FN1</w:t>
        </w:r>
      </w:hyperlink>
      <w:r w:rsidR="0035018C" w:rsidRPr="0035018C">
        <w:rPr>
          <w:color w:val="000000"/>
          <w:szCs w:val="24"/>
          <w:lang w:eastAsia="en-GB" w:bidi="ar-SA"/>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0035018C" w:rsidRPr="0035018C">
        <w:rPr>
          <w:color w:val="0000FF"/>
          <w:szCs w:val="24"/>
          <w:u w:val="single"/>
          <w:lang w:eastAsia="en-GB" w:bidi="ar-SA"/>
        </w:rPr>
        <w:t>OJ L 295, 21.11.2018, p. 39</w:t>
      </w:r>
      <w:r w:rsidR="0035018C" w:rsidRPr="0035018C">
        <w:rPr>
          <w:color w:val="000000"/>
          <w:szCs w:val="24"/>
          <w:lang w:eastAsia="en-GB" w:bidi="ar-SA"/>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63D760F9" w14:textId="2EB2AE2E"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2367nm2">
        <w:r w:rsidR="0035018C" w:rsidRPr="0035018C">
          <w:rPr>
            <w:color w:val="0000FF"/>
            <w:szCs w:val="24"/>
            <w:u w:val="single"/>
            <w:lang w:eastAsia="en-GB" w:bidi="ar-SA"/>
          </w:rPr>
          <w:t>FN4</w:t>
        </w:r>
      </w:hyperlink>
      <w:r w:rsidR="0035018C" w:rsidRPr="0035018C">
        <w:rPr>
          <w:color w:val="000000"/>
          <w:szCs w:val="24"/>
          <w:lang w:eastAsia="en-GB" w:bidi="ar-SA"/>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w:t>
      </w:r>
      <w:r w:rsidR="0035018C" w:rsidRPr="0035018C">
        <w:rPr>
          <w:color w:val="000000"/>
          <w:szCs w:val="24"/>
          <w:lang w:eastAsia="en-GB" w:bidi="ar-SA"/>
        </w:rPr>
        <w:lastRenderedPageBreak/>
        <w:t>Therefore, any disclosure by the data importer to a third party located in the EEA does not qualify as an onward transfer for the purpose of these Clauses.</w:t>
      </w:r>
    </w:p>
    <w:p w14:paraId="58B00A85" w14:textId="419F6C4E"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ng1svc">
        <w:r w:rsidR="0035018C" w:rsidRPr="0035018C">
          <w:rPr>
            <w:color w:val="0000FF"/>
            <w:szCs w:val="24"/>
            <w:u w:val="single"/>
            <w:lang w:eastAsia="en-GB" w:bidi="ar-SA"/>
          </w:rPr>
          <w:t>FN8</w:t>
        </w:r>
      </w:hyperlink>
      <w:r w:rsidR="0035018C" w:rsidRPr="0035018C">
        <w:rPr>
          <w:color w:val="000000"/>
          <w:szCs w:val="24"/>
          <w:lang w:eastAsia="en-GB" w:bidi="ar-SA"/>
        </w:rPr>
        <w:t>: This requirement may be satisfied by the sub-processor acceding to these Clauses under the appropriate Module, in accordance with Clause 7.</w:t>
      </w:r>
    </w:p>
    <w:p w14:paraId="749076E4" w14:textId="6669C69C"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3qg2avn">
        <w:r w:rsidR="0035018C" w:rsidRPr="0035018C">
          <w:rPr>
            <w:color w:val="0000FF"/>
            <w:szCs w:val="24"/>
            <w:u w:val="single"/>
            <w:lang w:eastAsia="en-GB" w:bidi="ar-SA"/>
          </w:rPr>
          <w:t>FN11</w:t>
        </w:r>
      </w:hyperlink>
      <w:r w:rsidR="0035018C" w:rsidRPr="0035018C">
        <w:rPr>
          <w:color w:val="000000"/>
          <w:szCs w:val="24"/>
          <w:lang w:eastAsia="en-GB" w:bidi="ar-SA"/>
        </w:rPr>
        <w:t>: The data importer may offer independent dispute resolution through an arbitration body only if it is established in a country that has ratified the New York Convention on Enforcement of Arbitration Awards.</w:t>
      </w:r>
    </w:p>
    <w:p w14:paraId="652DFC37" w14:textId="1541F72F"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3v3yxl4">
        <w:r w:rsidR="0035018C" w:rsidRPr="0035018C">
          <w:rPr>
            <w:color w:val="0000FF"/>
            <w:szCs w:val="24"/>
            <w:u w:val="single"/>
            <w:lang w:eastAsia="en-GB" w:bidi="ar-SA"/>
          </w:rPr>
          <w:t>FN12</w:t>
        </w:r>
      </w:hyperlink>
      <w:r w:rsidR="0035018C" w:rsidRPr="0035018C">
        <w:rPr>
          <w:color w:val="000000"/>
          <w:szCs w:val="24"/>
          <w:lang w:eastAsia="en-GB" w:bidi="ar-SA"/>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3031BFB2"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APPENDIX</w:t>
      </w:r>
    </w:p>
    <w:p w14:paraId="7F93D0D9"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26C06048" w14:textId="77777777" w:rsidTr="00DB6205">
        <w:tc>
          <w:tcPr>
            <w:tcW w:w="9026" w:type="dxa"/>
          </w:tcPr>
          <w:p w14:paraId="64C01615"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EXPLANATORY NOTE:</w:t>
            </w:r>
          </w:p>
          <w:p w14:paraId="381C0A35"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3D3A7981"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0754316B"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w:t>
      </w:r>
    </w:p>
    <w:p w14:paraId="43F88A65"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 xml:space="preserve"> </w:t>
      </w:r>
    </w:p>
    <w:p w14:paraId="30E22B32"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A. LIST OF PARTIES</w:t>
      </w:r>
    </w:p>
    <w:p w14:paraId="6F9FE338"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exporter(s):</w:t>
      </w:r>
      <w:r w:rsidRPr="0035018C">
        <w:rPr>
          <w:color w:val="000000"/>
          <w:szCs w:val="24"/>
          <w:lang w:eastAsia="en-GB" w:bidi="ar-SA"/>
        </w:rPr>
        <w:t xml:space="preserve"> [</w:t>
      </w:r>
      <w:r w:rsidRPr="0035018C">
        <w:rPr>
          <w:i/>
          <w:color w:val="000000"/>
          <w:szCs w:val="24"/>
          <w:lang w:eastAsia="en-GB" w:bidi="ar-SA"/>
        </w:rPr>
        <w:t>Identity and contact details of the data exporter(s) and, where applicable, of its/their data protection officer and/or representative in the European Union</w:t>
      </w:r>
      <w:r w:rsidRPr="0035018C">
        <w:rPr>
          <w:color w:val="000000"/>
          <w:szCs w:val="24"/>
          <w:lang w:eastAsia="en-GB" w:bidi="ar-SA"/>
        </w:rPr>
        <w:t>]</w:t>
      </w:r>
    </w:p>
    <w:p w14:paraId="63DCD52D"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29EB06AD"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386BE0D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1D9D17E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2EA9FE0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4A837D4E"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316AF19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6EC379BC"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importer(s):</w:t>
      </w:r>
      <w:r w:rsidRPr="0035018C">
        <w:rPr>
          <w:color w:val="000000"/>
          <w:szCs w:val="24"/>
          <w:lang w:eastAsia="en-GB" w:bidi="ar-SA"/>
        </w:rPr>
        <w:t xml:space="preserve"> [</w:t>
      </w:r>
      <w:r w:rsidRPr="0035018C">
        <w:rPr>
          <w:i/>
          <w:color w:val="000000"/>
          <w:szCs w:val="24"/>
          <w:lang w:eastAsia="en-GB" w:bidi="ar-SA"/>
        </w:rPr>
        <w:t>Identity and contact details of the data importer(s), including any contact person with responsibility for data protection</w:t>
      </w:r>
      <w:r w:rsidRPr="0035018C">
        <w:rPr>
          <w:color w:val="000000"/>
          <w:szCs w:val="24"/>
          <w:lang w:eastAsia="en-GB" w:bidi="ar-SA"/>
        </w:rPr>
        <w:t>]</w:t>
      </w:r>
    </w:p>
    <w:p w14:paraId="5C22048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20138F3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296A46B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6D26A4A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7E86946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0BF7D3B7"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3D81D20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3863E38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B. DESCRIPTION OF TRANSFER</w:t>
      </w:r>
    </w:p>
    <w:p w14:paraId="6B1CDC0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data subjects whose personal data is transferred</w:t>
      </w:r>
    </w:p>
    <w:p w14:paraId="4D32E46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470D25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personal data transferred</w:t>
      </w:r>
    </w:p>
    <w:p w14:paraId="6741BFF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606E9D08"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Pr="0035018C">
        <w:rPr>
          <w:i/>
          <w:color w:val="000000"/>
          <w:szCs w:val="24"/>
          <w:lang w:eastAsia="en-GB" w:bidi="ar-SA"/>
        </w:rPr>
        <w:lastRenderedPageBreak/>
        <w:t>specialised training), keeping a record of access to the data, restrictions for onward transfers or additional security measures.</w:t>
      </w:r>
    </w:p>
    <w:p w14:paraId="0E8B1320"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08697697"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frequency of the transfer (e.g. whether the data is transferred on a one-off or continuous basis).</w:t>
      </w:r>
    </w:p>
    <w:p w14:paraId="50F728A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4DFE93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Nature of the processing</w:t>
      </w:r>
    </w:p>
    <w:p w14:paraId="0D0376B8"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58EE351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Purpose(s) of the data transfer and further processing</w:t>
      </w:r>
    </w:p>
    <w:p w14:paraId="4578127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2A6A42C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period for which the personal data will be retained, or, if that is not possible, the criteria used to determine that period</w:t>
      </w:r>
    </w:p>
    <w:p w14:paraId="49902E9F"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B59664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For transfers to (sub-) processors, also specify subject matter, nature and duration of the processing</w:t>
      </w:r>
    </w:p>
    <w:p w14:paraId="6FB657F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415956D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C. COMPETENT SUPERVISORY AUTHORITY</w:t>
      </w:r>
    </w:p>
    <w:p w14:paraId="1B65C4F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Identify the competent supervisory authority/ies in accordance with Clause 13</w:t>
      </w:r>
    </w:p>
    <w:p w14:paraId="2A42BE95" w14:textId="77777777" w:rsidR="0035018C" w:rsidRPr="0035018C" w:rsidRDefault="0035018C" w:rsidP="0035018C">
      <w:pPr>
        <w:widowControl/>
        <w:pBdr>
          <w:top w:val="nil"/>
          <w:left w:val="nil"/>
          <w:bottom w:val="nil"/>
          <w:right w:val="nil"/>
          <w:between w:val="nil"/>
        </w:pBdr>
        <w:autoSpaceDE/>
        <w:autoSpaceDN/>
        <w:spacing w:before="120"/>
        <w:ind w:left="1800"/>
        <w:rPr>
          <w:color w:val="000000"/>
          <w:szCs w:val="24"/>
          <w:lang w:eastAsia="en-GB" w:bidi="ar-SA"/>
        </w:rPr>
      </w:pPr>
    </w:p>
    <w:p w14:paraId="5D961519"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II</w:t>
      </w:r>
    </w:p>
    <w:p w14:paraId="61B4380C" w14:textId="77777777" w:rsidR="0035018C" w:rsidRPr="0035018C" w:rsidRDefault="0035018C" w:rsidP="0035018C">
      <w:pPr>
        <w:widowControl/>
        <w:pBdr>
          <w:top w:val="nil"/>
          <w:left w:val="nil"/>
          <w:bottom w:val="nil"/>
          <w:right w:val="nil"/>
          <w:between w:val="nil"/>
        </w:pBdr>
        <w:autoSpaceDE/>
        <w:autoSpaceDN/>
        <w:spacing w:before="240" w:after="240"/>
        <w:ind w:firstLine="1440"/>
        <w:jc w:val="center"/>
        <w:rPr>
          <w:b/>
          <w:color w:val="000000"/>
          <w:szCs w:val="24"/>
          <w:lang w:eastAsia="en-GB" w:bidi="ar-SA"/>
        </w:rPr>
      </w:pPr>
      <w:r w:rsidRPr="0035018C">
        <w:rPr>
          <w:b/>
          <w:color w:val="000000"/>
          <w:szCs w:val="24"/>
          <w:lang w:eastAsia="en-GB" w:bidi="ar-SA"/>
        </w:rPr>
        <w:t>TECHNICAL AND ORGANISATIONAL MEASURES INCLUDING TECHNICAL AND ORGANISATIONAL MEASURES TO ENSURE THE SECURITY OF THE DATA</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0702E825" w14:textId="77777777" w:rsidTr="00DB6205">
        <w:tc>
          <w:tcPr>
            <w:tcW w:w="9026" w:type="dxa"/>
          </w:tcPr>
          <w:p w14:paraId="59D707A3"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EXPLANATORY NOTE:</w:t>
            </w:r>
          </w:p>
          <w:p w14:paraId="294CEBE8"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The technical and organisational measures must be described in specific (and not generic) terms. See also the general comment on the first page of the Appendix, in particular on the need to clearly indicate which measures apply to each transfer/set of transfers.</w:t>
            </w:r>
          </w:p>
        </w:tc>
      </w:tr>
    </w:tbl>
    <w:p w14:paraId="1590842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42A5BD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[Examples of possible measures:</w:t>
      </w:r>
    </w:p>
    <w:p w14:paraId="4811AC6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of pseudonymisation and encryption of personal data</w:t>
      </w:r>
    </w:p>
    <w:p w14:paraId="6910DEAF"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ongoing confidentiality, integrity, availability and resilience of processing systems and services</w:t>
      </w:r>
    </w:p>
    <w:p w14:paraId="473BE0E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the ability to restore the availability and access to personal data in a timely manner in the event of a physical or technical incident</w:t>
      </w:r>
    </w:p>
    <w:p w14:paraId="5F2FC50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Processes for regularly testing, assessing and evaluating the effectiveness of technical and organisational measures in order to ensure the security of the processing</w:t>
      </w:r>
    </w:p>
    <w:p w14:paraId="46A65F7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user identification and authorisation</w:t>
      </w:r>
    </w:p>
    <w:p w14:paraId="77A9C58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the protection of data during transmission</w:t>
      </w:r>
    </w:p>
    <w:p w14:paraId="470BAFB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the protection of data during storage</w:t>
      </w:r>
    </w:p>
    <w:p w14:paraId="26602FF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physical security of locations at which personal data are processed</w:t>
      </w:r>
    </w:p>
    <w:p w14:paraId="531D94BD"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events logging</w:t>
      </w:r>
    </w:p>
    <w:p w14:paraId="30DFE75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system configuration, including default configuration</w:t>
      </w:r>
    </w:p>
    <w:p w14:paraId="18BB7FF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internal IT and IT security governance and management</w:t>
      </w:r>
    </w:p>
    <w:p w14:paraId="6C286AB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certification/assurance of processes and products</w:t>
      </w:r>
    </w:p>
    <w:p w14:paraId="6592B55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data minimisation</w:t>
      </w:r>
    </w:p>
    <w:p w14:paraId="4844845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data quality</w:t>
      </w:r>
    </w:p>
    <w:p w14:paraId="079578A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limited data retention</w:t>
      </w:r>
    </w:p>
    <w:p w14:paraId="0C42C5B0"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accountability</w:t>
      </w:r>
    </w:p>
    <w:p w14:paraId="78A69FB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lastRenderedPageBreak/>
        <w:t>Measures for allowing data portability and ensuring erasure]</w:t>
      </w:r>
    </w:p>
    <w:p w14:paraId="2B493054"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i/>
          <w:color w:val="000000"/>
          <w:szCs w:val="24"/>
          <w:lang w:eastAsia="en-GB" w:bidi="ar-SA"/>
        </w:rPr>
        <w:t>For transfers to (sub-) processors, also describe the specific technical and organisational measures to be taken by the (sub-) processor to be able to provide assistance to the</w:t>
      </w:r>
      <w:r w:rsidRPr="0035018C">
        <w:rPr>
          <w:color w:val="000000"/>
          <w:szCs w:val="24"/>
          <w:lang w:eastAsia="en-GB" w:bidi="ar-SA"/>
        </w:rPr>
        <w:t xml:space="preserve"> </w:t>
      </w:r>
      <w:r w:rsidRPr="0035018C">
        <w:rPr>
          <w:i/>
          <w:color w:val="000000"/>
          <w:szCs w:val="24"/>
          <w:lang w:eastAsia="en-GB" w:bidi="ar-SA"/>
        </w:rPr>
        <w:t>controller and, for transfers from a processor to a sub-processor, to the data exporter</w:t>
      </w:r>
    </w:p>
    <w:p w14:paraId="31CFD711"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ANNEX III</w:t>
      </w:r>
    </w:p>
    <w:p w14:paraId="0D7A64C5"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LIST OF SUB-PROCESSORS</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7946C43B" w14:textId="77777777" w:rsidTr="00DB6205">
        <w:tc>
          <w:tcPr>
            <w:tcW w:w="9026" w:type="dxa"/>
          </w:tcPr>
          <w:p w14:paraId="2B7898E2"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EXPLANATORY NOTE:</w:t>
            </w:r>
          </w:p>
          <w:p w14:paraId="4C8DDC3C"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 xml:space="preserve">This Annex must be completed in case of the specific authorization of sub-processors (Clause 9(a), Option 1). </w:t>
            </w:r>
          </w:p>
        </w:tc>
      </w:tr>
    </w:tbl>
    <w:p w14:paraId="2AE314DB"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The controller has authorised the use of the following sub-processors:</w:t>
      </w:r>
    </w:p>
    <w:p w14:paraId="64A3CE2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7B27A72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3B442A8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411F7EA4"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Description of processing (including a clear delimitation of responsibilities in case several sub-processors are authorised): …</w:t>
      </w:r>
    </w:p>
    <w:p w14:paraId="704A230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672DDDDD" w14:textId="77777777" w:rsidR="0035018C" w:rsidRPr="0035018C" w:rsidRDefault="0035018C" w:rsidP="0035018C">
      <w:pPr>
        <w:widowControl/>
        <w:autoSpaceDE/>
        <w:autoSpaceDN/>
        <w:spacing w:after="200" w:line="276" w:lineRule="auto"/>
        <w:rPr>
          <w:rFonts w:ascii="Calibri" w:eastAsia="Calibri" w:hAnsi="Calibri" w:cs="Calibri"/>
          <w:sz w:val="22"/>
          <w:lang w:eastAsia="en-GB" w:bidi="ar-SA"/>
        </w:rPr>
      </w:pPr>
      <w:r w:rsidRPr="0035018C">
        <w:rPr>
          <w:rFonts w:ascii="Calibri" w:eastAsia="Calibri" w:hAnsi="Calibri" w:cs="Calibri"/>
          <w:sz w:val="22"/>
          <w:lang w:eastAsia="en-GB" w:bidi="ar-SA"/>
        </w:rPr>
        <w:br w:type="page"/>
      </w:r>
    </w:p>
    <w:p w14:paraId="65A554E7" w14:textId="77777777" w:rsidR="0035018C" w:rsidRPr="0035018C" w:rsidRDefault="0035018C" w:rsidP="00873BB8">
      <w:pPr>
        <w:pStyle w:val="Heading2"/>
        <w:pageBreakBefore/>
      </w:pPr>
      <w:bookmarkStart w:id="2165" w:name="_Toc141721073"/>
      <w:r w:rsidRPr="0035018C">
        <w:lastRenderedPageBreak/>
        <w:t xml:space="preserve">Part </w:t>
      </w:r>
      <w:bookmarkStart w:id="2166" w:name="Schedule_31_Annex_3_Part_C"/>
      <w:r w:rsidRPr="0035018C">
        <w:t>C</w:t>
      </w:r>
      <w:bookmarkEnd w:id="2166"/>
      <w:r w:rsidRPr="0035018C">
        <w:t>: Processor to Processor Standard Contractual Clauses</w:t>
      </w:r>
      <w:bookmarkEnd w:id="2165"/>
    </w:p>
    <w:p w14:paraId="12B71828" w14:textId="77777777" w:rsidR="0035018C" w:rsidRPr="0035018C" w:rsidRDefault="0035018C" w:rsidP="0035018C">
      <w:pPr>
        <w:widowControl/>
        <w:pBdr>
          <w:top w:val="nil"/>
          <w:left w:val="nil"/>
          <w:bottom w:val="nil"/>
          <w:right w:val="nil"/>
          <w:between w:val="nil"/>
        </w:pBdr>
        <w:autoSpaceDE/>
        <w:autoSpaceDN/>
        <w:spacing w:before="120" w:after="240"/>
        <w:jc w:val="center"/>
        <w:rPr>
          <w:b/>
          <w:color w:val="000000"/>
          <w:szCs w:val="24"/>
          <w:lang w:eastAsia="en-GB" w:bidi="ar-SA"/>
        </w:rPr>
      </w:pPr>
      <w:r w:rsidRPr="0035018C">
        <w:rPr>
          <w:b/>
          <w:color w:val="000000"/>
          <w:szCs w:val="24"/>
          <w:lang w:eastAsia="en-GB" w:bidi="ar-SA"/>
        </w:rPr>
        <w:t>Standard Contractual Clauses for Personal Data Transfers from an EU Processor to a Processor Established in a Third Country (Processor-to-Processor Transfers)</w:t>
      </w:r>
    </w:p>
    <w:p w14:paraId="15268223"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w:t>
      </w:r>
    </w:p>
    <w:p w14:paraId="015B36C2"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w:t>
      </w:r>
    </w:p>
    <w:p w14:paraId="2350733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Purpose and scope</w:t>
      </w:r>
    </w:p>
    <w:p w14:paraId="6061BEEE" w14:textId="0CC1DDBD" w:rsidR="0035018C" w:rsidRPr="0035018C" w:rsidRDefault="0035018C" w:rsidP="00B71FC0">
      <w:pPr>
        <w:widowControl/>
        <w:numPr>
          <w:ilvl w:val="1"/>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32lfgkd">
        <w:r w:rsidRPr="0035018C">
          <w:rPr>
            <w:color w:val="0000FF"/>
            <w:szCs w:val="24"/>
            <w:u w:val="single"/>
            <w:lang w:eastAsia="en-GB" w:bidi="ar-SA"/>
          </w:rPr>
          <w:t>FN1</w:t>
        </w:r>
      </w:hyperlink>
      <w:r w:rsidRPr="0035018C">
        <w:rPr>
          <w:color w:val="000000"/>
          <w:szCs w:val="24"/>
          <w:lang w:eastAsia="en-GB" w:bidi="ar-SA"/>
        </w:rPr>
        <w:t>] for the transfer of personal data to a third country.</w:t>
      </w:r>
    </w:p>
    <w:p w14:paraId="20E698A7" w14:textId="77777777" w:rsidR="0035018C" w:rsidRPr="0035018C" w:rsidRDefault="0035018C" w:rsidP="00B71FC0">
      <w:pPr>
        <w:widowControl/>
        <w:numPr>
          <w:ilvl w:val="1"/>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w:t>
      </w:r>
    </w:p>
    <w:p w14:paraId="497AF4EA" w14:textId="77777777" w:rsidR="0035018C" w:rsidRPr="0035018C" w:rsidRDefault="0035018C" w:rsidP="00B71FC0">
      <w:pPr>
        <w:widowControl/>
        <w:numPr>
          <w:ilvl w:val="2"/>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natural or legal person(s), public authority/ies, agency/ies or other body/ies (hereinafter 'entity/ies') transferring the personal data, as listed in Annex I.A (hereinafter each 'data exporter'), and</w:t>
      </w:r>
    </w:p>
    <w:p w14:paraId="0D12A255" w14:textId="77777777" w:rsidR="0035018C" w:rsidRPr="0035018C" w:rsidRDefault="0035018C" w:rsidP="00B71FC0">
      <w:pPr>
        <w:widowControl/>
        <w:numPr>
          <w:ilvl w:val="2"/>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entity/ies in a third country receiving the personal data from the data exporter, directly or indirectly via another entity also Party to these Clauses, as listed in Annex I.A (hereinafter each 'data importer')</w:t>
      </w:r>
    </w:p>
    <w:p w14:paraId="1EEA4AE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have agreed to these standard contractual clauses (hereinafter: 'Clauses').</w:t>
      </w:r>
    </w:p>
    <w:p w14:paraId="1D4775D4" w14:textId="77777777" w:rsidR="0035018C" w:rsidRPr="0035018C" w:rsidRDefault="0035018C" w:rsidP="00B71FC0">
      <w:pPr>
        <w:widowControl/>
        <w:numPr>
          <w:ilvl w:val="1"/>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apply with respect to the transfer of personal data as specified in Annex I.B.</w:t>
      </w:r>
    </w:p>
    <w:p w14:paraId="5980028E" w14:textId="77777777" w:rsidR="0035018C" w:rsidRPr="0035018C" w:rsidRDefault="0035018C" w:rsidP="00B71FC0">
      <w:pPr>
        <w:widowControl/>
        <w:numPr>
          <w:ilvl w:val="1"/>
          <w:numId w:val="3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Appendix to these Clauses containing the Annexes referred to therein forms an integral part of these Clauses.</w:t>
      </w:r>
    </w:p>
    <w:p w14:paraId="1EEEF8CD"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2</w:t>
      </w:r>
    </w:p>
    <w:p w14:paraId="50CB8393"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Effect and invariability of the Clauses</w:t>
      </w:r>
    </w:p>
    <w:p w14:paraId="2A837399" w14:textId="77777777" w:rsidR="0035018C" w:rsidRPr="0035018C" w:rsidRDefault="0035018C" w:rsidP="0035018C">
      <w:pPr>
        <w:widowControl/>
        <w:numPr>
          <w:ilvl w:val="1"/>
          <w:numId w:val="1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r w:rsidRPr="0035018C">
        <w:rPr>
          <w:color w:val="000000"/>
          <w:szCs w:val="24"/>
          <w:lang w:eastAsia="en-GB" w:bidi="ar-SA"/>
        </w:rPr>
        <w:lastRenderedPageBreak/>
        <w:t>provided that they do not contradict, directly or indirectly, these Clauses or prejudice the fundamental rights or freedoms of data subjects.</w:t>
      </w:r>
    </w:p>
    <w:p w14:paraId="0FF67C37" w14:textId="77777777" w:rsidR="0035018C" w:rsidRPr="0035018C" w:rsidRDefault="0035018C" w:rsidP="0035018C">
      <w:pPr>
        <w:widowControl/>
        <w:numPr>
          <w:ilvl w:val="1"/>
          <w:numId w:val="1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are without prejudice to obligations to which the data exporter is subject by virtue of Regulation (EU) 2016/679.</w:t>
      </w:r>
    </w:p>
    <w:p w14:paraId="7E081654"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3</w:t>
      </w:r>
    </w:p>
    <w:p w14:paraId="174D983E"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Third-party beneficiaries</w:t>
      </w:r>
    </w:p>
    <w:p w14:paraId="16D64297" w14:textId="77777777" w:rsidR="0035018C" w:rsidRPr="0035018C" w:rsidRDefault="0035018C" w:rsidP="0035018C">
      <w:pPr>
        <w:widowControl/>
        <w:numPr>
          <w:ilvl w:val="1"/>
          <w:numId w:val="1"/>
        </w:numPr>
        <w:pBdr>
          <w:top w:val="nil"/>
          <w:left w:val="nil"/>
          <w:bottom w:val="nil"/>
          <w:right w:val="nil"/>
          <w:between w:val="nil"/>
        </w:pBdr>
        <w:autoSpaceDE/>
        <w:autoSpaceDN/>
        <w:spacing w:before="120" w:after="240" w:line="276" w:lineRule="auto"/>
        <w:rPr>
          <w:color w:val="000000"/>
          <w:szCs w:val="24"/>
          <w:lang w:eastAsia="en-GB" w:bidi="ar-SA"/>
        </w:rPr>
      </w:pPr>
      <w:bookmarkStart w:id="2167" w:name="_Ref141220883"/>
      <w:r w:rsidRPr="0035018C">
        <w:rPr>
          <w:color w:val="000000"/>
          <w:szCs w:val="24"/>
          <w:lang w:eastAsia="en-GB" w:bidi="ar-SA"/>
        </w:rPr>
        <w:t>Data subjects may invoke and enforce these Clauses, as third-party beneficiaries, against the data exporter and/or data importer, with the following exceptions:</w:t>
      </w:r>
      <w:bookmarkEnd w:id="2167"/>
    </w:p>
    <w:p w14:paraId="34C559F2"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Clause 1, Clause 2, Clause 3, Clause 6, Clause 7; </w:t>
      </w:r>
    </w:p>
    <w:p w14:paraId="12187082"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8 – Module One: Clause 8.5 (e) and Clause 8.9(b); Module Two: Clause 8.1(b), 8.9(a), (c), (d) and (e); Module Three: Clause 8.1(a), (c) and (d) and Clause 8.9(a), (c), (d), (e), (f) and (g); Module Four: Clause 8.1 (b) and Clause 8.3(b);</w:t>
      </w:r>
    </w:p>
    <w:p w14:paraId="4EA0EBAA"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9 – Module Two: Clause 9(a), (c), (d) and (e); Module Three: Clause 9(a), (c), (d) and (e);</w:t>
      </w:r>
    </w:p>
    <w:p w14:paraId="0E7DBAB1"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12 – Module One: Clause 12(a) and (d); Modules Two and Three: Clause 12(a), (d) and (f);</w:t>
      </w:r>
    </w:p>
    <w:p w14:paraId="086FDB4A"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13;</w:t>
      </w:r>
    </w:p>
    <w:p w14:paraId="463C6832"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15.1(c), (d) and (e);</w:t>
      </w:r>
    </w:p>
    <w:p w14:paraId="1676167D"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16(e);</w:t>
      </w:r>
    </w:p>
    <w:p w14:paraId="4B498876" w14:textId="77777777" w:rsidR="0035018C" w:rsidRPr="0035018C" w:rsidRDefault="0035018C" w:rsidP="0035018C">
      <w:pPr>
        <w:widowControl/>
        <w:numPr>
          <w:ilvl w:val="2"/>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Clause 18 – Modules One, Two and Three: Clause 18(a) and (b); Module Four: Clause 18.</w:t>
      </w:r>
    </w:p>
    <w:p w14:paraId="5F04E28B" w14:textId="1600919E" w:rsidR="0035018C" w:rsidRPr="0035018C" w:rsidRDefault="0035018C" w:rsidP="0035018C">
      <w:pPr>
        <w:widowControl/>
        <w:numPr>
          <w:ilvl w:val="1"/>
          <w:numId w:val="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Paragraph </w:t>
      </w:r>
      <w:r w:rsidR="007A5171">
        <w:rPr>
          <w:color w:val="000000"/>
          <w:szCs w:val="24"/>
          <w:lang w:eastAsia="en-GB" w:bidi="ar-SA"/>
        </w:rPr>
        <w:fldChar w:fldCharType="begin"/>
      </w:r>
      <w:r w:rsidR="007A5171">
        <w:rPr>
          <w:color w:val="000000"/>
          <w:szCs w:val="24"/>
          <w:lang w:eastAsia="en-GB" w:bidi="ar-SA"/>
        </w:rPr>
        <w:instrText xml:space="preserve"> REF _Ref141220883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xml:space="preserve"> is without prejudice to rights of data subjects under Regulation (EU) 2016/679. </w:t>
      </w:r>
    </w:p>
    <w:p w14:paraId="5973D9D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4</w:t>
      </w:r>
    </w:p>
    <w:p w14:paraId="4C79FEA7"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Interpretation</w:t>
      </w:r>
    </w:p>
    <w:p w14:paraId="7F2B20CF" w14:textId="77777777" w:rsidR="0035018C" w:rsidRPr="0035018C" w:rsidRDefault="0035018C" w:rsidP="0035018C">
      <w:pPr>
        <w:widowControl/>
        <w:numPr>
          <w:ilvl w:val="1"/>
          <w:numId w:val="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these Clauses use terms that are defined in Regulation (EU) 2016/679, those terms shall have the same meaning as in that Regulation.</w:t>
      </w:r>
    </w:p>
    <w:p w14:paraId="3496A4BA" w14:textId="77777777" w:rsidR="0035018C" w:rsidRPr="0035018C" w:rsidRDefault="0035018C" w:rsidP="0035018C">
      <w:pPr>
        <w:widowControl/>
        <w:numPr>
          <w:ilvl w:val="1"/>
          <w:numId w:val="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These Clauses shall be read and interpreted in the light of the provisions of Regulation (EU) 2016/679.</w:t>
      </w:r>
    </w:p>
    <w:p w14:paraId="123A5368" w14:textId="77777777" w:rsidR="0035018C" w:rsidRPr="0035018C" w:rsidRDefault="0035018C" w:rsidP="0035018C">
      <w:pPr>
        <w:widowControl/>
        <w:numPr>
          <w:ilvl w:val="1"/>
          <w:numId w:val="2"/>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These Clauses shall not be interpreted in a way that conflicts with rights and obligations provided for in Regulation (EU) 2016/679.</w:t>
      </w:r>
    </w:p>
    <w:p w14:paraId="629E7C7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5</w:t>
      </w:r>
    </w:p>
    <w:p w14:paraId="7519F091"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Hierarchy</w:t>
      </w:r>
    </w:p>
    <w:p w14:paraId="7F2ED6DE"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 event of a contradiction between these Clauses and the provisions of related agreements between the Parties, existing at the time these Clauses are agreed or entered into thereafter, these Clauses shall prevail.</w:t>
      </w:r>
    </w:p>
    <w:p w14:paraId="42F60DF1"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6</w:t>
      </w:r>
    </w:p>
    <w:p w14:paraId="7481A3C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Description of the transfer(s)</w:t>
      </w:r>
    </w:p>
    <w:p w14:paraId="2C75D3B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details of the transfer(s), and in particular the categories of personal data that are transferred and the purpose(s) for which they are transferred, are specified in Annex I.B.</w:t>
      </w:r>
    </w:p>
    <w:p w14:paraId="3F4861E9"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7 - Optional</w:t>
      </w:r>
    </w:p>
    <w:p w14:paraId="56E0EB3B"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Docking clause</w:t>
      </w:r>
    </w:p>
    <w:p w14:paraId="0DAD0A22" w14:textId="77777777" w:rsidR="0035018C" w:rsidRPr="0035018C" w:rsidRDefault="0035018C" w:rsidP="0035018C">
      <w:pPr>
        <w:widowControl/>
        <w:numPr>
          <w:ilvl w:val="1"/>
          <w:numId w:val="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An entity that is not a Party to these Clauses may, with the agreement of the Parties, accede to these Clauses at any time, either as a data exporter or as a data importer, by completing the Appendix and signing Annex I.A.</w:t>
      </w:r>
    </w:p>
    <w:p w14:paraId="426A69B5" w14:textId="77777777" w:rsidR="0035018C" w:rsidRPr="0035018C" w:rsidRDefault="0035018C" w:rsidP="0035018C">
      <w:pPr>
        <w:widowControl/>
        <w:numPr>
          <w:ilvl w:val="1"/>
          <w:numId w:val="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Once it has completed the Appendix and signed Annex I.A, the acceding entity shall become a Party to these Clauses and have the rights and obligations of a data exporter or data importer in accordance with its designation in Annex I.A.</w:t>
      </w:r>
    </w:p>
    <w:p w14:paraId="076616CE" w14:textId="77777777" w:rsidR="0035018C" w:rsidRPr="0035018C" w:rsidRDefault="0035018C" w:rsidP="0035018C">
      <w:pPr>
        <w:widowControl/>
        <w:numPr>
          <w:ilvl w:val="1"/>
          <w:numId w:val="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acceding entity shall have no rights or obligations arising under these Clauses from the period prior to becoming a Party.]</w:t>
      </w:r>
    </w:p>
    <w:p w14:paraId="72858C5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 - OBLIGATIONS OF THE PARTIES</w:t>
      </w:r>
    </w:p>
    <w:p w14:paraId="0865C59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8</w:t>
      </w:r>
    </w:p>
    <w:p w14:paraId="4359FF8E"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protection safeguards</w:t>
      </w:r>
    </w:p>
    <w:p w14:paraId="6EADD24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exporter warrants that it has used reasonable efforts to determine that the data importer is able, through the implementation of appropriate technical and organisational measures, to satisfy its obligations under these Clauses.</w:t>
      </w:r>
    </w:p>
    <w:p w14:paraId="1D692359" w14:textId="77777777" w:rsidR="0035018C" w:rsidRPr="0035018C" w:rsidRDefault="0035018C" w:rsidP="0035018C">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 xml:space="preserve">8.1 Instructions </w:t>
      </w:r>
    </w:p>
    <w:p w14:paraId="657DC54D" w14:textId="77777777" w:rsidR="0035018C" w:rsidRPr="0035018C" w:rsidRDefault="0035018C" w:rsidP="0035018C">
      <w:pPr>
        <w:widowControl/>
        <w:numPr>
          <w:ilvl w:val="1"/>
          <w:numId w:val="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has informed the data importer that it acts as processor under the instructions of its controller(s), which the data exporter shall make available to the data importer prior to processing.</w:t>
      </w:r>
    </w:p>
    <w:p w14:paraId="25070F1D" w14:textId="77777777" w:rsidR="0035018C" w:rsidRPr="0035018C" w:rsidRDefault="0035018C" w:rsidP="0035018C">
      <w:pPr>
        <w:widowControl/>
        <w:numPr>
          <w:ilvl w:val="1"/>
          <w:numId w:val="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1ADB93D8" w14:textId="77777777" w:rsidR="0035018C" w:rsidRPr="0035018C" w:rsidRDefault="0035018C" w:rsidP="0035018C">
      <w:pPr>
        <w:widowControl/>
        <w:numPr>
          <w:ilvl w:val="1"/>
          <w:numId w:val="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immediately inform the data exporter if it is unable to follow those instructions. Where the data importer is unable to follow the instructions from the controller, the data exporter shall immediately notify the controller.</w:t>
      </w:r>
    </w:p>
    <w:p w14:paraId="74C383CE" w14:textId="3D04A8FB" w:rsidR="0035018C" w:rsidRPr="0035018C" w:rsidRDefault="0035018C" w:rsidP="0035018C">
      <w:pPr>
        <w:widowControl/>
        <w:numPr>
          <w:ilvl w:val="1"/>
          <w:numId w:val="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warrants that it has imposed the same data protection obligations on the data importer as set out in the contract or other legal act under Union or Member State law between the controller and the data exporter[</w:t>
      </w:r>
      <w:hyperlink w:anchor="bookmark=id.1hqpqs6">
        <w:r w:rsidRPr="0035018C">
          <w:rPr>
            <w:color w:val="0000FF"/>
            <w:szCs w:val="24"/>
            <w:u w:val="single"/>
            <w:lang w:eastAsia="en-GB" w:bidi="ar-SA"/>
          </w:rPr>
          <w:t>FN5</w:t>
        </w:r>
      </w:hyperlink>
      <w:r w:rsidRPr="0035018C">
        <w:rPr>
          <w:color w:val="000000"/>
          <w:szCs w:val="24"/>
          <w:lang w:eastAsia="en-GB" w:bidi="ar-SA"/>
        </w:rPr>
        <w:t xml:space="preserve">]. </w:t>
      </w:r>
    </w:p>
    <w:p w14:paraId="0BA47AD6" w14:textId="77777777" w:rsidR="0035018C" w:rsidRPr="0035018C" w:rsidRDefault="0035018C" w:rsidP="0035018C">
      <w:pPr>
        <w:widowControl/>
        <w:pBdr>
          <w:top w:val="nil"/>
          <w:left w:val="nil"/>
          <w:bottom w:val="nil"/>
          <w:right w:val="nil"/>
          <w:between w:val="nil"/>
        </w:pBdr>
        <w:autoSpaceDE/>
        <w:autoSpaceDN/>
        <w:spacing w:before="120" w:after="240"/>
        <w:ind w:left="720" w:firstLine="720"/>
        <w:rPr>
          <w:b/>
          <w:color w:val="000000"/>
          <w:szCs w:val="24"/>
          <w:lang w:eastAsia="en-GB" w:bidi="ar-SA"/>
        </w:rPr>
      </w:pPr>
      <w:r w:rsidRPr="0035018C">
        <w:rPr>
          <w:b/>
          <w:color w:val="000000"/>
          <w:szCs w:val="24"/>
          <w:lang w:eastAsia="en-GB" w:bidi="ar-SA"/>
        </w:rPr>
        <w:t>8.2 Purpose limitation</w:t>
      </w:r>
    </w:p>
    <w:p w14:paraId="4009271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3A2DF59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8.3 Transparency</w:t>
      </w:r>
    </w:p>
    <w:p w14:paraId="1033D0AB"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2ED8DAAF"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8.4 Accuracy</w:t>
      </w:r>
    </w:p>
    <w:p w14:paraId="504A25A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4792FC0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8.5 Duration of processing and erasure or return of data</w:t>
      </w:r>
    </w:p>
    <w:p w14:paraId="6CDAED7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w:t>
      </w:r>
      <w:r w:rsidRPr="0035018C">
        <w:rPr>
          <w:color w:val="000000"/>
          <w:szCs w:val="24"/>
          <w:lang w:eastAsia="en-GB" w:bidi="ar-SA"/>
        </w:rPr>
        <w:lastRenderedPageBreak/>
        <w:t>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25D490B3"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8.6 Security of processing</w:t>
      </w:r>
    </w:p>
    <w:p w14:paraId="66BFEBC8" w14:textId="77777777" w:rsidR="0035018C" w:rsidRPr="0035018C" w:rsidRDefault="0035018C" w:rsidP="0035018C">
      <w:pPr>
        <w:widowControl/>
        <w:numPr>
          <w:ilvl w:val="1"/>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6BC53FCE" w14:textId="77777777" w:rsidR="0035018C" w:rsidRPr="0035018C" w:rsidRDefault="0035018C" w:rsidP="0035018C">
      <w:pPr>
        <w:widowControl/>
        <w:numPr>
          <w:ilvl w:val="1"/>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092DAE1C" w14:textId="77777777" w:rsidR="0035018C" w:rsidRPr="0035018C" w:rsidRDefault="0035018C" w:rsidP="0035018C">
      <w:pPr>
        <w:widowControl/>
        <w:numPr>
          <w:ilvl w:val="1"/>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387D2DC8" w14:textId="77777777" w:rsidR="0035018C" w:rsidRPr="0035018C" w:rsidRDefault="0035018C" w:rsidP="0035018C">
      <w:pPr>
        <w:widowControl/>
        <w:numPr>
          <w:ilvl w:val="1"/>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355221AE"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8.7 Sensitive data</w:t>
      </w:r>
    </w:p>
    <w:p w14:paraId="2AE2E9C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5E2E46E9"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8.8 Onward transfers</w:t>
      </w:r>
    </w:p>
    <w:p w14:paraId="30634285" w14:textId="29302CB3"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hyperlink w:anchor="bookmark=id.41qd9fz">
        <w:r w:rsidRPr="0035018C">
          <w:rPr>
            <w:color w:val="0000FF"/>
            <w:szCs w:val="24"/>
            <w:u w:val="single"/>
            <w:lang w:eastAsia="en-GB" w:bidi="ar-SA"/>
          </w:rPr>
          <w:t>FN6</w:t>
        </w:r>
      </w:hyperlink>
      <w:r w:rsidRPr="0035018C">
        <w:rPr>
          <w:color w:val="000000"/>
          <w:szCs w:val="24"/>
          <w:lang w:eastAsia="en-GB" w:bidi="ar-SA"/>
        </w:rPr>
        <w:t>] (in the same country as the data importer or in another third country, hereinafter 'onward transfer') if the third party is or agrees to be bound by these Clauses, under the appropriate Module, or if:</w:t>
      </w:r>
    </w:p>
    <w:p w14:paraId="6AFBB50A" w14:textId="77777777" w:rsidR="0035018C" w:rsidRPr="0035018C" w:rsidRDefault="0035018C" w:rsidP="0035018C">
      <w:pPr>
        <w:widowControl/>
        <w:numPr>
          <w:ilvl w:val="2"/>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to a country benefitting from an adequacy decision pursuant to Article 45 of Regulation (EU) 2016/679 that covers the onward transfer;</w:t>
      </w:r>
    </w:p>
    <w:p w14:paraId="555D40D6" w14:textId="77777777" w:rsidR="0035018C" w:rsidRPr="0035018C" w:rsidRDefault="0035018C" w:rsidP="0035018C">
      <w:pPr>
        <w:widowControl/>
        <w:numPr>
          <w:ilvl w:val="2"/>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third party otherwise ensures appropriate safeguards pursuant to Articles 46 or 47 of Regulation (EU) 2016/679;</w:t>
      </w:r>
    </w:p>
    <w:p w14:paraId="758D237C" w14:textId="77777777" w:rsidR="0035018C" w:rsidRPr="0035018C" w:rsidRDefault="0035018C" w:rsidP="0035018C">
      <w:pPr>
        <w:widowControl/>
        <w:numPr>
          <w:ilvl w:val="2"/>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necessary for the establishment, exercise or defence of legal claims in the context of specific administrative, regulatory or judicial proceedings; or</w:t>
      </w:r>
    </w:p>
    <w:p w14:paraId="429752C5" w14:textId="77777777" w:rsidR="0035018C" w:rsidRPr="0035018C" w:rsidRDefault="0035018C" w:rsidP="0035018C">
      <w:pPr>
        <w:widowControl/>
        <w:numPr>
          <w:ilvl w:val="2"/>
          <w:numId w:val="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onward transfer is necessary in order to protect the vital interests of the data subject or of another natural person.</w:t>
      </w:r>
    </w:p>
    <w:p w14:paraId="424F19D2"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Any onward transfer is subject to compliance by the data importer with all the other safeguards under these Clauses, in particular purpose limitation.</w:t>
      </w:r>
    </w:p>
    <w:p w14:paraId="6F9E675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8.9 Documentation and compliance</w:t>
      </w:r>
    </w:p>
    <w:p w14:paraId="2AEFCE46"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promptly and adequately deal with enquiries from the data exporter or the controller that relate to the processing under these Clauses.</w:t>
      </w:r>
    </w:p>
    <w:p w14:paraId="4CC92088"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bookmarkStart w:id="2168" w:name="_Ref141220920"/>
      <w:r w:rsidRPr="0035018C">
        <w:rPr>
          <w:color w:val="000000"/>
          <w:szCs w:val="24"/>
          <w:lang w:eastAsia="en-GB" w:bidi="ar-SA"/>
        </w:rPr>
        <w:t>The Parties shall be able to demonstrate compliance with these Clauses. In particular, the data importer shall keep appropriate documentation on the processing activities carried out on behalf of the controller.</w:t>
      </w:r>
      <w:bookmarkEnd w:id="2168"/>
    </w:p>
    <w:p w14:paraId="5AF1D7B9"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bookmarkStart w:id="2169" w:name="_Ref141220928"/>
      <w:r w:rsidRPr="0035018C">
        <w:rPr>
          <w:color w:val="000000"/>
          <w:szCs w:val="24"/>
          <w:lang w:eastAsia="en-GB" w:bidi="ar-SA"/>
        </w:rPr>
        <w:lastRenderedPageBreak/>
        <w:t>The data importer shall make all information necessary to demonstrate compliance with the obligations set out in these Clauses available to the data exporter, which shall provide it to the controller.</w:t>
      </w:r>
      <w:bookmarkEnd w:id="2169"/>
    </w:p>
    <w:p w14:paraId="0AEDB7A4"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5CAAC37A"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 audit is carried out on the instructions of the controller, the data exporter shall make the results available to the controller.</w:t>
      </w:r>
    </w:p>
    <w:p w14:paraId="1E1A024E" w14:textId="77777777"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exporter may choose to conduct the audit by itself or mandate an independent auditor. Audits may include inspections at the premises or physical facilities of the data importer and shall, where appropriate, be carried out with reasonable notice.</w:t>
      </w:r>
    </w:p>
    <w:p w14:paraId="66D71BC9" w14:textId="4498EE39" w:rsidR="0035018C" w:rsidRPr="0035018C" w:rsidRDefault="0035018C" w:rsidP="0035018C">
      <w:pPr>
        <w:widowControl/>
        <w:numPr>
          <w:ilvl w:val="1"/>
          <w:numId w:val="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shall make the information referred to in paragraphs </w:t>
      </w:r>
      <w:r w:rsidR="007A5171">
        <w:rPr>
          <w:color w:val="000000"/>
          <w:szCs w:val="24"/>
          <w:lang w:eastAsia="en-GB" w:bidi="ar-SA"/>
        </w:rPr>
        <w:fldChar w:fldCharType="begin"/>
      </w:r>
      <w:r w:rsidR="007A5171">
        <w:rPr>
          <w:color w:val="000000"/>
          <w:szCs w:val="24"/>
          <w:lang w:eastAsia="en-GB" w:bidi="ar-SA"/>
        </w:rPr>
        <w:instrText xml:space="preserve"> REF _Ref141220920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xml:space="preserve"> and ‎</w:t>
      </w:r>
      <w:r w:rsidR="007A5171">
        <w:rPr>
          <w:color w:val="000000"/>
          <w:szCs w:val="24"/>
          <w:lang w:eastAsia="en-GB" w:bidi="ar-SA"/>
        </w:rPr>
        <w:fldChar w:fldCharType="begin"/>
      </w:r>
      <w:r w:rsidR="007A5171">
        <w:rPr>
          <w:color w:val="000000"/>
          <w:szCs w:val="24"/>
          <w:lang w:eastAsia="en-GB" w:bidi="ar-SA"/>
        </w:rPr>
        <w:instrText xml:space="preserve"> REF _Ref141220928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including the results of any audits, available to the competent supervisory authority on request.</w:t>
      </w:r>
    </w:p>
    <w:p w14:paraId="6551E9B9"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9</w:t>
      </w:r>
    </w:p>
    <w:p w14:paraId="12805A2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Use of sub-processors</w:t>
      </w:r>
    </w:p>
    <w:p w14:paraId="610EDB30" w14:textId="77777777" w:rsidR="0035018C" w:rsidRPr="0035018C" w:rsidRDefault="0035018C" w:rsidP="00B71FC0">
      <w:pPr>
        <w:widowControl/>
        <w:numPr>
          <w:ilvl w:val="1"/>
          <w:numId w:val="18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OPTION 1: SPECIFIC PRIOR AUTHORISATION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w:t>
      </w:r>
      <w:r w:rsidRPr="0035018C">
        <w:rPr>
          <w:i/>
          <w:color w:val="000000"/>
          <w:szCs w:val="24"/>
          <w:lang w:eastAsia="en-GB" w:bidi="ar-SA"/>
        </w:rPr>
        <w:t>Specify time period</w:t>
      </w:r>
      <w:r w:rsidRPr="0035018C">
        <w:rPr>
          <w:color w:val="000000"/>
          <w:szCs w:val="24"/>
          <w:lang w:eastAsia="en-GB" w:bidi="ar-SA"/>
        </w:rPr>
        <w:t>] prior to the engagement of the sub-processor, together with the information necessary to enable the controller to decide on the authorisation. It shall inform the data exporter of such engagement. The list of sub-processors already authorised by the controller can be found in Annex III. The Parties shall keep Annex III up to date.</w:t>
      </w:r>
    </w:p>
    <w:p w14:paraId="11FB9E8D" w14:textId="77777777" w:rsidR="0035018C" w:rsidRPr="0035018C" w:rsidRDefault="0035018C" w:rsidP="007F77B6">
      <w:pPr>
        <w:widowControl/>
        <w:pBdr>
          <w:top w:val="nil"/>
          <w:left w:val="nil"/>
          <w:bottom w:val="nil"/>
          <w:right w:val="nil"/>
          <w:between w:val="nil"/>
        </w:pBdr>
        <w:autoSpaceDE/>
        <w:autoSpaceDN/>
        <w:spacing w:before="120" w:after="240" w:line="276" w:lineRule="auto"/>
        <w:ind w:left="720" w:firstLine="1440"/>
        <w:rPr>
          <w:color w:val="000000"/>
          <w:szCs w:val="24"/>
          <w:lang w:eastAsia="en-GB" w:bidi="ar-SA"/>
        </w:rPr>
      </w:pPr>
      <w:r w:rsidRPr="0035018C">
        <w:rPr>
          <w:color w:val="000000"/>
          <w:szCs w:val="24"/>
          <w:lang w:eastAsia="en-GB" w:bidi="ar-SA"/>
        </w:rPr>
        <w:t>OPTION 2: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Pr="0035018C">
        <w:rPr>
          <w:i/>
          <w:color w:val="000000"/>
          <w:szCs w:val="24"/>
          <w:lang w:eastAsia="en-GB" w:bidi="ar-SA"/>
        </w:rPr>
        <w:t>Specify time period</w:t>
      </w:r>
      <w:r w:rsidRPr="0035018C">
        <w:rPr>
          <w:color w:val="000000"/>
          <w:szCs w:val="24"/>
          <w:lang w:eastAsia="en-GB" w:bidi="ar-SA"/>
        </w:rPr>
        <w:t>]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7CFE4017" w14:textId="60093B82" w:rsidR="0035018C" w:rsidRPr="0035018C" w:rsidRDefault="0035018C" w:rsidP="00B71FC0">
      <w:pPr>
        <w:widowControl/>
        <w:numPr>
          <w:ilvl w:val="1"/>
          <w:numId w:val="18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w:anchor="bookmark=id.2gvnjns">
        <w:r w:rsidRPr="0035018C">
          <w:rPr>
            <w:color w:val="0000FF"/>
            <w:szCs w:val="24"/>
            <w:u w:val="single"/>
            <w:lang w:eastAsia="en-GB" w:bidi="ar-SA"/>
          </w:rPr>
          <w:t>FN9</w:t>
        </w:r>
      </w:hyperlink>
      <w:r w:rsidRPr="0035018C">
        <w:rPr>
          <w:color w:val="000000"/>
          <w:szCs w:val="24"/>
          <w:lang w:eastAsia="en-GB" w:bidi="ar-SA"/>
        </w:rPr>
        <w:t>] The Parties agree that, by complying with this Clause, the data importer fulfils its obligations under Clause 8.8. The data importer shall ensure that the sub-processor complies with the obligations to which the data importer is subject pursuant to these Clauses.</w:t>
      </w:r>
    </w:p>
    <w:p w14:paraId="40EDAD63" w14:textId="77777777" w:rsidR="0035018C" w:rsidRPr="0035018C" w:rsidRDefault="0035018C" w:rsidP="00B71FC0">
      <w:pPr>
        <w:widowControl/>
        <w:numPr>
          <w:ilvl w:val="1"/>
          <w:numId w:val="18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792192B1" w14:textId="77777777" w:rsidR="0035018C" w:rsidRPr="0035018C" w:rsidRDefault="0035018C" w:rsidP="00B71FC0">
      <w:pPr>
        <w:widowControl/>
        <w:numPr>
          <w:ilvl w:val="1"/>
          <w:numId w:val="18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18058771" w14:textId="77777777" w:rsidR="0035018C" w:rsidRPr="0035018C" w:rsidRDefault="0035018C" w:rsidP="00B71FC0">
      <w:pPr>
        <w:widowControl/>
        <w:numPr>
          <w:ilvl w:val="1"/>
          <w:numId w:val="181"/>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2729A656"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10</w:t>
      </w:r>
    </w:p>
    <w:p w14:paraId="03DEF222"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Data subject rights</w:t>
      </w:r>
    </w:p>
    <w:p w14:paraId="1AFBC15E" w14:textId="77777777" w:rsidR="0035018C" w:rsidRPr="0035018C" w:rsidRDefault="0035018C" w:rsidP="00B71FC0">
      <w:pPr>
        <w:widowControl/>
        <w:numPr>
          <w:ilvl w:val="1"/>
          <w:numId w:val="24"/>
        </w:numPr>
        <w:pBdr>
          <w:top w:val="nil"/>
          <w:left w:val="nil"/>
          <w:bottom w:val="nil"/>
          <w:right w:val="nil"/>
          <w:between w:val="nil"/>
        </w:pBdr>
        <w:autoSpaceDE/>
        <w:autoSpaceDN/>
        <w:spacing w:before="120" w:after="240" w:line="276" w:lineRule="auto"/>
        <w:rPr>
          <w:color w:val="000000"/>
          <w:szCs w:val="24"/>
          <w:lang w:eastAsia="en-GB" w:bidi="ar-SA"/>
        </w:rPr>
      </w:pPr>
      <w:bookmarkStart w:id="2170" w:name="_Ref141220948"/>
      <w:r w:rsidRPr="0035018C">
        <w:rPr>
          <w:color w:val="000000"/>
          <w:szCs w:val="24"/>
          <w:lang w:eastAsia="en-GB" w:bidi="ar-SA"/>
        </w:rPr>
        <w:t>The data importer shall promptly notify the data exporter and, where appropriate, the controller of any request it has received from a data subject, without responding to that request unless it has been authorised to do so by the controller.</w:t>
      </w:r>
      <w:bookmarkEnd w:id="2170"/>
    </w:p>
    <w:p w14:paraId="473603C5" w14:textId="77777777" w:rsidR="0035018C" w:rsidRPr="0035018C" w:rsidRDefault="0035018C" w:rsidP="00B71FC0">
      <w:pPr>
        <w:widowControl/>
        <w:numPr>
          <w:ilvl w:val="1"/>
          <w:numId w:val="24"/>
        </w:numPr>
        <w:pBdr>
          <w:top w:val="nil"/>
          <w:left w:val="nil"/>
          <w:bottom w:val="nil"/>
          <w:right w:val="nil"/>
          <w:between w:val="nil"/>
        </w:pBdr>
        <w:autoSpaceDE/>
        <w:autoSpaceDN/>
        <w:spacing w:before="120" w:after="240" w:line="276" w:lineRule="auto"/>
        <w:rPr>
          <w:color w:val="000000"/>
          <w:szCs w:val="24"/>
          <w:lang w:eastAsia="en-GB" w:bidi="ar-SA"/>
        </w:rPr>
      </w:pPr>
      <w:bookmarkStart w:id="2171" w:name="_Ref141220954"/>
      <w:r w:rsidRPr="0035018C">
        <w:rPr>
          <w:color w:val="000000"/>
          <w:szCs w:val="24"/>
          <w:lang w:eastAsia="en-GB" w:bidi="ar-SA"/>
        </w:rPr>
        <w:t>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taking into account the nature of the processing, by which the assistance shall be provided, as well as the scope and the extent of the assistance required.</w:t>
      </w:r>
      <w:bookmarkEnd w:id="2171"/>
    </w:p>
    <w:p w14:paraId="7E3B877C" w14:textId="1794BF6C" w:rsidR="0035018C" w:rsidRPr="0035018C" w:rsidRDefault="0035018C" w:rsidP="00B71FC0">
      <w:pPr>
        <w:widowControl/>
        <w:numPr>
          <w:ilvl w:val="1"/>
          <w:numId w:val="24"/>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In fulfilling its obligations under paragraphs </w:t>
      </w:r>
      <w:r w:rsidR="007A5171">
        <w:rPr>
          <w:color w:val="000000"/>
          <w:szCs w:val="24"/>
          <w:lang w:eastAsia="en-GB" w:bidi="ar-SA"/>
        </w:rPr>
        <w:fldChar w:fldCharType="begin"/>
      </w:r>
      <w:r w:rsidR="007A5171">
        <w:rPr>
          <w:color w:val="000000"/>
          <w:szCs w:val="24"/>
          <w:lang w:eastAsia="en-GB" w:bidi="ar-SA"/>
        </w:rPr>
        <w:instrText xml:space="preserve"> REF _Ref141220948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xml:space="preserve"> and </w:t>
      </w:r>
      <w:r w:rsidR="007A5171">
        <w:rPr>
          <w:color w:val="000000"/>
          <w:szCs w:val="24"/>
          <w:lang w:eastAsia="en-GB" w:bidi="ar-SA"/>
        </w:rPr>
        <w:fldChar w:fldCharType="begin"/>
      </w:r>
      <w:r w:rsidR="007A5171">
        <w:rPr>
          <w:color w:val="000000"/>
          <w:szCs w:val="24"/>
          <w:lang w:eastAsia="en-GB" w:bidi="ar-SA"/>
        </w:rPr>
        <w:instrText xml:space="preserve"> REF _Ref141220954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the data importer shall comply with the instructions from the controller, as communicated by the data exporter.</w:t>
      </w:r>
    </w:p>
    <w:p w14:paraId="4CC9A7F7"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CLAUSE 11</w:t>
      </w:r>
    </w:p>
    <w:p w14:paraId="6F3D9BC0"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Redress</w:t>
      </w:r>
    </w:p>
    <w:p w14:paraId="298CF99B"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bookmarkStart w:id="2172" w:name="_Ref141220966"/>
      <w:r w:rsidRPr="0035018C">
        <w:rPr>
          <w:color w:val="000000"/>
          <w:szCs w:val="24"/>
          <w:lang w:eastAsia="en-GB" w:bidi="ar-SA"/>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2172"/>
    </w:p>
    <w:p w14:paraId="205075AB" w14:textId="640BA2CA"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[OPTION: The data importer agrees that data subjects may also lodge a complaint with an independent dispute resolution body[</w:t>
      </w:r>
      <w:hyperlink w:anchor="bookmark=id.w0xtvl">
        <w:r w:rsidRPr="0035018C">
          <w:rPr>
            <w:color w:val="0000FF"/>
            <w:szCs w:val="24"/>
            <w:u w:val="single"/>
            <w:lang w:eastAsia="en-GB" w:bidi="ar-SA"/>
          </w:rPr>
          <w:t>FN11</w:t>
        </w:r>
      </w:hyperlink>
      <w:r w:rsidRPr="0035018C">
        <w:rPr>
          <w:color w:val="000000"/>
          <w:szCs w:val="24"/>
          <w:lang w:eastAsia="en-GB" w:bidi="ar-SA"/>
        </w:rPr>
        <w:t xml:space="preserve">] at no cost to the data subject. It shall inform the data subjects, in the manner set out in paragraph </w:t>
      </w:r>
      <w:r w:rsidR="007A5171">
        <w:rPr>
          <w:color w:val="000000"/>
          <w:szCs w:val="24"/>
          <w:lang w:eastAsia="en-GB" w:bidi="ar-SA"/>
        </w:rPr>
        <w:fldChar w:fldCharType="begin"/>
      </w:r>
      <w:r w:rsidR="007A5171">
        <w:rPr>
          <w:color w:val="000000"/>
          <w:szCs w:val="24"/>
          <w:lang w:eastAsia="en-GB" w:bidi="ar-SA"/>
        </w:rPr>
        <w:instrText xml:space="preserve"> REF _Ref141220966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of such redress mechanism and that they are not required to use it, or follow a particular sequence in seeking redress.]</w:t>
      </w:r>
    </w:p>
    <w:p w14:paraId="49BEEA1A"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C27BE23"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 data subject invokes a third-party beneficiary right pursuant to Clause 3, the data importer shall accept the decision of the data subject to:</w:t>
      </w:r>
    </w:p>
    <w:p w14:paraId="5BB6249F" w14:textId="77777777" w:rsidR="0035018C" w:rsidRPr="0035018C" w:rsidRDefault="0035018C" w:rsidP="00B71FC0">
      <w:pPr>
        <w:widowControl/>
        <w:numPr>
          <w:ilvl w:val="2"/>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lodge a complaint with the supervisory authority in the Member State of his/her habitual residence or place of work, or the competent supervisory authority pursuant to Clause 13;</w:t>
      </w:r>
    </w:p>
    <w:p w14:paraId="75A7D4C8" w14:textId="77777777" w:rsidR="0035018C" w:rsidRPr="0035018C" w:rsidRDefault="0035018C" w:rsidP="00B71FC0">
      <w:pPr>
        <w:widowControl/>
        <w:numPr>
          <w:ilvl w:val="2"/>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refer the dispute to the competent courts within the meaning of Clause 18.</w:t>
      </w:r>
    </w:p>
    <w:p w14:paraId="429AE183"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accept that the data subject may be represented by a not-for-profit body, organisation or association under the conditions set out in Article 80(1) of Regulation (EU) 2016/679.</w:t>
      </w:r>
    </w:p>
    <w:p w14:paraId="4ACA24F2"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abide by a decision that is binding under the applicable EU or Member State law.</w:t>
      </w:r>
    </w:p>
    <w:p w14:paraId="47F84742" w14:textId="77777777" w:rsidR="0035018C" w:rsidRPr="0035018C" w:rsidRDefault="0035018C" w:rsidP="00B71FC0">
      <w:pPr>
        <w:widowControl/>
        <w:numPr>
          <w:ilvl w:val="1"/>
          <w:numId w:val="2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that the choice made by the data subject will not prejudice his/her substantive and procedural rights to seek remedies in accordance with applicable laws.</w:t>
      </w:r>
    </w:p>
    <w:p w14:paraId="1AD285AC"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12</w:t>
      </w:r>
    </w:p>
    <w:p w14:paraId="195ED108"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Liability</w:t>
      </w:r>
    </w:p>
    <w:p w14:paraId="6585E690" w14:textId="77777777"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Each Party shall be liable to the other Party/ies for any damages it causes the other Party/ies by any breach of these Clauses.</w:t>
      </w:r>
    </w:p>
    <w:p w14:paraId="5CEB072A" w14:textId="77777777"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bookmarkStart w:id="2173" w:name="_Ref141220977"/>
      <w:r w:rsidRPr="0035018C">
        <w:rPr>
          <w:color w:val="000000"/>
          <w:szCs w:val="24"/>
          <w:lang w:eastAsia="en-GB" w:bidi="ar-SA"/>
        </w:rPr>
        <w:lastRenderedPageBreak/>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2173"/>
    </w:p>
    <w:p w14:paraId="3F7EC2D4" w14:textId="2D28A996"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bookmarkStart w:id="2174" w:name="_Ref141220984"/>
      <w:r w:rsidRPr="0035018C">
        <w:rPr>
          <w:color w:val="000000"/>
          <w:szCs w:val="24"/>
          <w:lang w:eastAsia="en-GB" w:bidi="ar-SA"/>
        </w:rPr>
        <w:t xml:space="preserve">Notwithstanding paragraph </w:t>
      </w:r>
      <w:r w:rsidR="007A5171">
        <w:rPr>
          <w:color w:val="000000"/>
          <w:szCs w:val="24"/>
          <w:lang w:eastAsia="en-GB" w:bidi="ar-SA"/>
        </w:rPr>
        <w:fldChar w:fldCharType="begin"/>
      </w:r>
      <w:r w:rsidR="007A5171">
        <w:rPr>
          <w:color w:val="000000"/>
          <w:szCs w:val="24"/>
          <w:lang w:eastAsia="en-GB" w:bidi="ar-SA"/>
        </w:rPr>
        <w:instrText xml:space="preserve"> REF _Ref141220977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2174"/>
    </w:p>
    <w:p w14:paraId="7D05206B" w14:textId="5C90210D"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that if the data exporter is held liable under paragraph </w:t>
      </w:r>
      <w:r w:rsidR="007A5171">
        <w:rPr>
          <w:color w:val="000000"/>
          <w:szCs w:val="24"/>
          <w:lang w:eastAsia="en-GB" w:bidi="ar-SA"/>
        </w:rPr>
        <w:fldChar w:fldCharType="begin"/>
      </w:r>
      <w:r w:rsidR="007A5171">
        <w:rPr>
          <w:color w:val="000000"/>
          <w:szCs w:val="24"/>
          <w:lang w:eastAsia="en-GB" w:bidi="ar-SA"/>
        </w:rPr>
        <w:instrText xml:space="preserve"> REF _Ref141220984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(c)</w:t>
      </w:r>
      <w:r w:rsidR="007A5171">
        <w:rPr>
          <w:color w:val="000000"/>
          <w:szCs w:val="24"/>
          <w:lang w:eastAsia="en-GB" w:bidi="ar-SA"/>
        </w:rPr>
        <w:fldChar w:fldCharType="end"/>
      </w:r>
      <w:r w:rsidRPr="0035018C">
        <w:rPr>
          <w:color w:val="000000"/>
          <w:szCs w:val="24"/>
          <w:lang w:eastAsia="en-GB" w:bidi="ar-SA"/>
        </w:rPr>
        <w:t xml:space="preserve"> for damages caused by the data importer (or its sub-processor), it shall be entitled to claim back from the data importer that part of the compensation corresponding to the data importer's responsibility for the damage.</w:t>
      </w:r>
    </w:p>
    <w:p w14:paraId="48B9AE2B" w14:textId="77777777"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bookmarkStart w:id="2175" w:name="_Ref141220991"/>
      <w:r w:rsidRPr="0035018C">
        <w:rPr>
          <w:color w:val="000000"/>
          <w:szCs w:val="24"/>
          <w:lang w:eastAsia="en-GB" w:bidi="ar-SA"/>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2175"/>
    </w:p>
    <w:p w14:paraId="165B86DC" w14:textId="22784F54"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that if one Party is held liable under paragraph </w:t>
      </w:r>
      <w:r w:rsidR="007A5171">
        <w:rPr>
          <w:color w:val="000000"/>
          <w:szCs w:val="24"/>
          <w:lang w:eastAsia="en-GB" w:bidi="ar-SA"/>
        </w:rPr>
        <w:fldChar w:fldCharType="begin"/>
      </w:r>
      <w:r w:rsidR="007A5171">
        <w:rPr>
          <w:color w:val="000000"/>
          <w:szCs w:val="24"/>
          <w:lang w:eastAsia="en-GB" w:bidi="ar-SA"/>
        </w:rPr>
        <w:instrText xml:space="preserve"> REF _Ref141220991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(e)</w:t>
      </w:r>
      <w:r w:rsidR="007A5171">
        <w:rPr>
          <w:color w:val="000000"/>
          <w:szCs w:val="24"/>
          <w:lang w:eastAsia="en-GB" w:bidi="ar-SA"/>
        </w:rPr>
        <w:fldChar w:fldCharType="end"/>
      </w:r>
      <w:r w:rsidRPr="0035018C">
        <w:rPr>
          <w:color w:val="000000"/>
          <w:szCs w:val="24"/>
          <w:lang w:eastAsia="en-GB" w:bidi="ar-SA"/>
        </w:rPr>
        <w:t>, it shall be entitled to claim back from the other Party/ies that part of the compensation corresponding to its/their responsibility for the damage.</w:t>
      </w:r>
    </w:p>
    <w:p w14:paraId="5051543A" w14:textId="77777777" w:rsidR="0035018C" w:rsidRPr="0035018C" w:rsidRDefault="0035018C" w:rsidP="00B71FC0">
      <w:pPr>
        <w:widowControl/>
        <w:numPr>
          <w:ilvl w:val="1"/>
          <w:numId w:val="2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may not invoke the conduct of a sub-processor to avoid its own liability.</w:t>
      </w:r>
    </w:p>
    <w:p w14:paraId="5B1918A6" w14:textId="77777777" w:rsidR="0035018C" w:rsidRPr="0035018C" w:rsidRDefault="0035018C" w:rsidP="0035018C">
      <w:pPr>
        <w:keepNext/>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13</w:t>
      </w:r>
    </w:p>
    <w:p w14:paraId="6CD38180" w14:textId="77777777" w:rsidR="0035018C" w:rsidRPr="0035018C" w:rsidRDefault="0035018C" w:rsidP="0035018C">
      <w:pPr>
        <w:keepNext/>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Supervision</w:t>
      </w:r>
    </w:p>
    <w:p w14:paraId="091C0C9B" w14:textId="77777777" w:rsidR="0035018C" w:rsidRPr="0035018C" w:rsidRDefault="0035018C" w:rsidP="00B71FC0">
      <w:pPr>
        <w:widowControl/>
        <w:numPr>
          <w:ilvl w:val="1"/>
          <w:numId w:val="2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141C4897"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1C1977C3"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lastRenderedPageBreak/>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18144271" w14:textId="77777777" w:rsidR="0035018C" w:rsidRPr="0035018C" w:rsidRDefault="0035018C" w:rsidP="00B71FC0">
      <w:pPr>
        <w:widowControl/>
        <w:numPr>
          <w:ilvl w:val="1"/>
          <w:numId w:val="2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C45B14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III – LOCAL LAWS AND OBLIGATIONS IN CASE OF ACCESS BY PUBLIC AUTHORITIES</w:t>
      </w:r>
    </w:p>
    <w:p w14:paraId="78AEF4E3"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14</w:t>
      </w:r>
    </w:p>
    <w:p w14:paraId="6AF5B195"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Local laws and practices affecting compliance with the Clauses</w:t>
      </w:r>
    </w:p>
    <w:p w14:paraId="6EAA8A8D" w14:textId="77777777"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bookmarkStart w:id="2176" w:name="_Ref141221005"/>
      <w:r w:rsidRPr="0035018C">
        <w:rPr>
          <w:color w:val="000000"/>
          <w:szCs w:val="24"/>
          <w:lang w:eastAsia="en-GB" w:bidi="ar-SA"/>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176"/>
    </w:p>
    <w:p w14:paraId="1F9232F1" w14:textId="2B8E757D"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bookmarkStart w:id="2177" w:name="_Ref141221015"/>
      <w:r w:rsidRPr="0035018C">
        <w:rPr>
          <w:color w:val="000000"/>
          <w:szCs w:val="24"/>
          <w:lang w:eastAsia="en-GB" w:bidi="ar-SA"/>
        </w:rPr>
        <w:t>The Parties declare that in providing the warranty in paragraph </w:t>
      </w:r>
      <w:r w:rsidR="007A5171">
        <w:rPr>
          <w:color w:val="000000"/>
          <w:szCs w:val="24"/>
          <w:lang w:eastAsia="en-GB" w:bidi="ar-SA"/>
        </w:rPr>
        <w:fldChar w:fldCharType="begin"/>
      </w:r>
      <w:r w:rsidR="007A5171">
        <w:rPr>
          <w:color w:val="000000"/>
          <w:szCs w:val="24"/>
          <w:lang w:eastAsia="en-GB" w:bidi="ar-SA"/>
        </w:rPr>
        <w:instrText xml:space="preserve"> REF _Ref141221005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(a)</w:t>
      </w:r>
      <w:r w:rsidR="007A5171">
        <w:rPr>
          <w:color w:val="000000"/>
          <w:szCs w:val="24"/>
          <w:lang w:eastAsia="en-GB" w:bidi="ar-SA"/>
        </w:rPr>
        <w:fldChar w:fldCharType="end"/>
      </w:r>
      <w:r w:rsidRPr="0035018C">
        <w:rPr>
          <w:color w:val="000000"/>
          <w:szCs w:val="24"/>
          <w:lang w:eastAsia="en-GB" w:bidi="ar-SA"/>
        </w:rPr>
        <w:t>, they have taken due account in particular of the following elements:</w:t>
      </w:r>
      <w:bookmarkEnd w:id="2177"/>
    </w:p>
    <w:p w14:paraId="46B91ACC" w14:textId="77777777" w:rsidR="0035018C" w:rsidRPr="0035018C" w:rsidRDefault="0035018C" w:rsidP="0035018C">
      <w:pPr>
        <w:widowControl/>
        <w:numPr>
          <w:ilvl w:val="2"/>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4645D661" w14:textId="69BFC4C6" w:rsidR="0035018C" w:rsidRPr="0035018C" w:rsidRDefault="0035018C" w:rsidP="0035018C">
      <w:pPr>
        <w:widowControl/>
        <w:numPr>
          <w:ilvl w:val="2"/>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bookmark=id.3g0lcje">
        <w:r w:rsidRPr="0035018C">
          <w:rPr>
            <w:color w:val="0000FF"/>
            <w:szCs w:val="24"/>
            <w:u w:val="single"/>
            <w:lang w:eastAsia="en-GB" w:bidi="ar-SA"/>
          </w:rPr>
          <w:t>FN12</w:t>
        </w:r>
      </w:hyperlink>
      <w:r w:rsidRPr="0035018C">
        <w:rPr>
          <w:color w:val="000000"/>
          <w:szCs w:val="24"/>
          <w:lang w:eastAsia="en-GB" w:bidi="ar-SA"/>
        </w:rPr>
        <w:t>];</w:t>
      </w:r>
    </w:p>
    <w:p w14:paraId="003E3204" w14:textId="77777777" w:rsidR="0035018C" w:rsidRPr="0035018C" w:rsidRDefault="0035018C" w:rsidP="0035018C">
      <w:pPr>
        <w:widowControl/>
        <w:numPr>
          <w:ilvl w:val="2"/>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any relevant contractual, technical or organisational safeguards put in place to supplement the safeguards under these Clauses, including measures applied during transmission and to the processing of the personal data in the country of destination.</w:t>
      </w:r>
    </w:p>
    <w:p w14:paraId="6D1170B5" w14:textId="31F9E640"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importer warrants that, in carrying out the assessment under paragraph </w:t>
      </w:r>
      <w:r w:rsidR="007A5171">
        <w:rPr>
          <w:color w:val="000000"/>
          <w:szCs w:val="24"/>
          <w:lang w:eastAsia="en-GB" w:bidi="ar-SA"/>
        </w:rPr>
        <w:fldChar w:fldCharType="begin"/>
      </w:r>
      <w:r w:rsidR="007A5171">
        <w:rPr>
          <w:color w:val="000000"/>
          <w:szCs w:val="24"/>
          <w:lang w:eastAsia="en-GB" w:bidi="ar-SA"/>
        </w:rPr>
        <w:instrText xml:space="preserve"> REF _Ref141221015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it has made its best efforts to provide the data exporter with relevant information and agrees that it will continue to cooperate with the data exporter in ensuring compliance with these Clauses.</w:t>
      </w:r>
    </w:p>
    <w:p w14:paraId="511DC4DE" w14:textId="1DFE1709"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to document the assessment under paragraph </w:t>
      </w:r>
      <w:r w:rsidR="007A5171">
        <w:rPr>
          <w:color w:val="000000"/>
          <w:szCs w:val="24"/>
          <w:lang w:eastAsia="en-GB" w:bidi="ar-SA"/>
        </w:rPr>
        <w:fldChar w:fldCharType="begin"/>
      </w:r>
      <w:r w:rsidR="007A5171">
        <w:rPr>
          <w:color w:val="000000"/>
          <w:szCs w:val="24"/>
          <w:lang w:eastAsia="en-GB" w:bidi="ar-SA"/>
        </w:rPr>
        <w:instrText xml:space="preserve"> REF _Ref141221015 \n \h </w:instrText>
      </w:r>
      <w:r w:rsidR="007A5171">
        <w:rPr>
          <w:color w:val="000000"/>
          <w:szCs w:val="24"/>
          <w:lang w:eastAsia="en-GB" w:bidi="ar-SA"/>
        </w:rPr>
      </w:r>
      <w:r w:rsidR="007A5171">
        <w:rPr>
          <w:color w:val="000000"/>
          <w:szCs w:val="24"/>
          <w:lang w:eastAsia="en-GB" w:bidi="ar-SA"/>
        </w:rPr>
        <w:fldChar w:fldCharType="separate"/>
      </w:r>
      <w:r w:rsidR="009749A0">
        <w:rPr>
          <w:color w:val="000000"/>
          <w:szCs w:val="24"/>
          <w:lang w:eastAsia="en-GB" w:bidi="ar-SA"/>
        </w:rPr>
        <w:t>(b)</w:t>
      </w:r>
      <w:r w:rsidR="007A5171">
        <w:rPr>
          <w:color w:val="000000"/>
          <w:szCs w:val="24"/>
          <w:lang w:eastAsia="en-GB" w:bidi="ar-SA"/>
        </w:rPr>
        <w:fldChar w:fldCharType="end"/>
      </w:r>
      <w:r w:rsidRPr="0035018C">
        <w:rPr>
          <w:color w:val="000000"/>
          <w:szCs w:val="24"/>
          <w:lang w:eastAsia="en-GB" w:bidi="ar-SA"/>
        </w:rPr>
        <w:t xml:space="preserve"> and make it available to the competent supervisory authority on request.</w:t>
      </w:r>
    </w:p>
    <w:p w14:paraId="7E165D46" w14:textId="0E63EFD8"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bookmarkStart w:id="2178" w:name="_Ref141221047"/>
      <w:r w:rsidRPr="0035018C">
        <w:rPr>
          <w:color w:val="000000"/>
          <w:szCs w:val="24"/>
          <w:lang w:eastAsia="en-GB" w:bidi="ar-SA"/>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1D1CE9">
        <w:rPr>
          <w:color w:val="000000"/>
          <w:szCs w:val="24"/>
          <w:lang w:eastAsia="en-GB" w:bidi="ar-SA"/>
        </w:rPr>
        <w:fldChar w:fldCharType="begin"/>
      </w:r>
      <w:r w:rsidR="001D1CE9">
        <w:rPr>
          <w:color w:val="000000"/>
          <w:szCs w:val="24"/>
          <w:lang w:eastAsia="en-GB" w:bidi="ar-SA"/>
        </w:rPr>
        <w:instrText xml:space="preserve"> REF _Ref141221005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(a)</w:t>
      </w:r>
      <w:r w:rsidR="001D1CE9">
        <w:rPr>
          <w:color w:val="000000"/>
          <w:szCs w:val="24"/>
          <w:lang w:eastAsia="en-GB" w:bidi="ar-SA"/>
        </w:rPr>
        <w:fldChar w:fldCharType="end"/>
      </w:r>
      <w:r w:rsidRPr="0035018C">
        <w:rPr>
          <w:color w:val="000000"/>
          <w:szCs w:val="24"/>
          <w:lang w:eastAsia="en-GB" w:bidi="ar-SA"/>
        </w:rPr>
        <w:t xml:space="preserve">, including following a change in the laws of the third country or a measure (such as a disclosure request) indicating an application of such laws in practice that is not in line with the requirements in paragraph </w:t>
      </w:r>
      <w:r w:rsidR="001D1CE9">
        <w:rPr>
          <w:color w:val="000000"/>
          <w:szCs w:val="24"/>
          <w:lang w:eastAsia="en-GB" w:bidi="ar-SA"/>
        </w:rPr>
        <w:fldChar w:fldCharType="begin"/>
      </w:r>
      <w:r w:rsidR="001D1CE9">
        <w:rPr>
          <w:color w:val="000000"/>
          <w:szCs w:val="24"/>
          <w:lang w:eastAsia="en-GB" w:bidi="ar-SA"/>
        </w:rPr>
        <w:instrText xml:space="preserve"> REF _Ref141221005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(a)</w:t>
      </w:r>
      <w:r w:rsidR="001D1CE9">
        <w:rPr>
          <w:color w:val="000000"/>
          <w:szCs w:val="24"/>
          <w:lang w:eastAsia="en-GB" w:bidi="ar-SA"/>
        </w:rPr>
        <w:fldChar w:fldCharType="end"/>
      </w:r>
      <w:r w:rsidRPr="0035018C">
        <w:rPr>
          <w:color w:val="000000"/>
          <w:szCs w:val="24"/>
          <w:lang w:eastAsia="en-GB" w:bidi="ar-SA"/>
        </w:rPr>
        <w:t>. The data exporter shall forward the notification to the controller.</w:t>
      </w:r>
      <w:bookmarkEnd w:id="2178"/>
    </w:p>
    <w:p w14:paraId="3B054476" w14:textId="055BAAA1" w:rsidR="0035018C" w:rsidRPr="0035018C" w:rsidRDefault="0035018C" w:rsidP="0035018C">
      <w:pPr>
        <w:widowControl/>
        <w:numPr>
          <w:ilvl w:val="1"/>
          <w:numId w:val="13"/>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Following a notification pursuant to paragraph </w:t>
      </w:r>
      <w:r w:rsidR="001D1CE9">
        <w:rPr>
          <w:color w:val="000000"/>
          <w:szCs w:val="24"/>
          <w:lang w:eastAsia="en-GB" w:bidi="ar-SA"/>
        </w:rPr>
        <w:fldChar w:fldCharType="begin"/>
      </w:r>
      <w:r w:rsidR="001D1CE9">
        <w:rPr>
          <w:color w:val="000000"/>
          <w:szCs w:val="24"/>
          <w:lang w:eastAsia="en-GB" w:bidi="ar-SA"/>
        </w:rPr>
        <w:instrText xml:space="preserve"> REF _Ref141221047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(e)</w:t>
      </w:r>
      <w:r w:rsidR="001D1CE9">
        <w:rPr>
          <w:color w:val="000000"/>
          <w:szCs w:val="24"/>
          <w:lang w:eastAsia="en-GB" w:bidi="ar-SA"/>
        </w:rPr>
        <w:fldChar w:fldCharType="end"/>
      </w:r>
      <w:r w:rsidRPr="0035018C">
        <w:rPr>
          <w:color w:val="000000"/>
          <w:szCs w:val="24"/>
          <w:lang w:eastAsia="en-GB" w:bidi="ar-SA"/>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54202A6C"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15</w:t>
      </w:r>
    </w:p>
    <w:p w14:paraId="71085CFB"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Obligations of the data importer in case of access by public authorities</w:t>
      </w:r>
    </w:p>
    <w:p w14:paraId="68E3EAAA"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15.1 Notification</w:t>
      </w:r>
    </w:p>
    <w:p w14:paraId="0AAE61BD" w14:textId="77777777" w:rsidR="0035018C" w:rsidRPr="0035018C" w:rsidRDefault="0035018C" w:rsidP="0035018C">
      <w:pPr>
        <w:widowControl/>
        <w:numPr>
          <w:ilvl w:val="1"/>
          <w:numId w:val="15"/>
        </w:numPr>
        <w:pBdr>
          <w:top w:val="nil"/>
          <w:left w:val="nil"/>
          <w:bottom w:val="nil"/>
          <w:right w:val="nil"/>
          <w:between w:val="nil"/>
        </w:pBdr>
        <w:autoSpaceDE/>
        <w:autoSpaceDN/>
        <w:spacing w:before="120" w:after="240" w:line="276" w:lineRule="auto"/>
        <w:rPr>
          <w:color w:val="000000"/>
          <w:szCs w:val="24"/>
          <w:lang w:eastAsia="en-GB" w:bidi="ar-SA"/>
        </w:rPr>
      </w:pPr>
      <w:bookmarkStart w:id="2179" w:name="_Ref141221062"/>
      <w:r w:rsidRPr="0035018C">
        <w:rPr>
          <w:color w:val="000000"/>
          <w:szCs w:val="24"/>
          <w:lang w:eastAsia="en-GB" w:bidi="ar-SA"/>
        </w:rPr>
        <w:t>The data importer agrees to notify the data exporter and, where possible, the data subject promptly (if necessary with the help of the data exporter) if it:</w:t>
      </w:r>
      <w:bookmarkEnd w:id="2179"/>
    </w:p>
    <w:p w14:paraId="5EE84B4D" w14:textId="77777777" w:rsidR="0035018C" w:rsidRPr="0035018C" w:rsidRDefault="0035018C" w:rsidP="0035018C">
      <w:pPr>
        <w:widowControl/>
        <w:numPr>
          <w:ilvl w:val="2"/>
          <w:numId w:val="1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receives a legally binding request from a public authority, including judicial authorities, under the laws of the country of destination for the disclosure </w:t>
      </w:r>
      <w:r w:rsidRPr="0035018C">
        <w:rPr>
          <w:color w:val="000000"/>
          <w:szCs w:val="24"/>
          <w:lang w:eastAsia="en-GB" w:bidi="ar-SA"/>
        </w:rPr>
        <w:lastRenderedPageBreak/>
        <w:t>of personal data transferred pursuant to these Clauses; such notification shall include information about the personal data requested, the requesting authority, the legal basis for the request and the response provided; or</w:t>
      </w:r>
    </w:p>
    <w:p w14:paraId="109DB94B" w14:textId="77777777" w:rsidR="0035018C" w:rsidRPr="0035018C" w:rsidRDefault="0035018C" w:rsidP="0035018C">
      <w:pPr>
        <w:widowControl/>
        <w:numPr>
          <w:ilvl w:val="2"/>
          <w:numId w:val="1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becomes aware of any direct access by public authorities to personal data transferred pursuant to these Clauses in accordance with the laws of the country of destination; such notification shall include all information available to the importer.</w:t>
      </w:r>
    </w:p>
    <w:p w14:paraId="0DDA3071"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The data exporter shall forward the notification to the controller.</w:t>
      </w:r>
    </w:p>
    <w:p w14:paraId="06810964" w14:textId="77777777" w:rsidR="0035018C" w:rsidRPr="0035018C" w:rsidRDefault="0035018C" w:rsidP="0035018C">
      <w:pPr>
        <w:widowControl/>
        <w:numPr>
          <w:ilvl w:val="1"/>
          <w:numId w:val="1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1F51E67F" w14:textId="77777777" w:rsidR="0035018C" w:rsidRPr="0035018C" w:rsidRDefault="0035018C" w:rsidP="0035018C">
      <w:pPr>
        <w:widowControl/>
        <w:numPr>
          <w:ilvl w:val="1"/>
          <w:numId w:val="15"/>
        </w:numPr>
        <w:pBdr>
          <w:top w:val="nil"/>
          <w:left w:val="nil"/>
          <w:bottom w:val="nil"/>
          <w:right w:val="nil"/>
          <w:between w:val="nil"/>
        </w:pBdr>
        <w:autoSpaceDE/>
        <w:autoSpaceDN/>
        <w:spacing w:before="120" w:after="240" w:line="276" w:lineRule="auto"/>
        <w:rPr>
          <w:color w:val="000000"/>
          <w:szCs w:val="24"/>
          <w:lang w:eastAsia="en-GB" w:bidi="ar-SA"/>
        </w:rPr>
      </w:pPr>
      <w:bookmarkStart w:id="2180" w:name="_Ref141221068"/>
      <w:r w:rsidRPr="0035018C">
        <w:rPr>
          <w:color w:val="000000"/>
          <w:szCs w:val="24"/>
          <w:lang w:eastAsia="en-GB" w:bidi="ar-SA"/>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bookmarkEnd w:id="2180"/>
    </w:p>
    <w:p w14:paraId="24044D36" w14:textId="5B88089C" w:rsidR="0035018C" w:rsidRPr="0035018C" w:rsidRDefault="0035018C" w:rsidP="0035018C">
      <w:pPr>
        <w:widowControl/>
        <w:numPr>
          <w:ilvl w:val="1"/>
          <w:numId w:val="1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importer agrees to preserve the information pursuant to paragraphs </w:t>
      </w:r>
      <w:r w:rsidR="001D1CE9">
        <w:rPr>
          <w:color w:val="000000"/>
          <w:szCs w:val="24"/>
          <w:lang w:eastAsia="en-GB" w:bidi="ar-SA"/>
        </w:rPr>
        <w:fldChar w:fldCharType="begin"/>
      </w:r>
      <w:r w:rsidR="001D1CE9">
        <w:rPr>
          <w:color w:val="000000"/>
          <w:szCs w:val="24"/>
          <w:lang w:eastAsia="en-GB" w:bidi="ar-SA"/>
        </w:rPr>
        <w:instrText xml:space="preserve"> REF _Ref141221062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(a)</w:t>
      </w:r>
      <w:r w:rsidR="001D1CE9">
        <w:rPr>
          <w:color w:val="000000"/>
          <w:szCs w:val="24"/>
          <w:lang w:eastAsia="en-GB" w:bidi="ar-SA"/>
        </w:rPr>
        <w:fldChar w:fldCharType="end"/>
      </w:r>
      <w:r w:rsidRPr="0035018C">
        <w:rPr>
          <w:color w:val="000000"/>
          <w:szCs w:val="24"/>
          <w:lang w:eastAsia="en-GB" w:bidi="ar-SA"/>
        </w:rPr>
        <w:t xml:space="preserve"> to </w:t>
      </w:r>
      <w:r w:rsidR="001D1CE9">
        <w:rPr>
          <w:color w:val="000000"/>
          <w:szCs w:val="24"/>
          <w:lang w:eastAsia="en-GB" w:bidi="ar-SA"/>
        </w:rPr>
        <w:fldChar w:fldCharType="begin"/>
      </w:r>
      <w:r w:rsidR="001D1CE9">
        <w:rPr>
          <w:color w:val="000000"/>
          <w:szCs w:val="24"/>
          <w:lang w:eastAsia="en-GB" w:bidi="ar-SA"/>
        </w:rPr>
        <w:instrText xml:space="preserve"> REF _Ref141221068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(c)</w:t>
      </w:r>
      <w:r w:rsidR="001D1CE9">
        <w:rPr>
          <w:color w:val="000000"/>
          <w:szCs w:val="24"/>
          <w:lang w:eastAsia="en-GB" w:bidi="ar-SA"/>
        </w:rPr>
        <w:fldChar w:fldCharType="end"/>
      </w:r>
      <w:r w:rsidRPr="0035018C">
        <w:rPr>
          <w:color w:val="000000"/>
          <w:szCs w:val="24"/>
          <w:lang w:eastAsia="en-GB" w:bidi="ar-SA"/>
        </w:rPr>
        <w:t xml:space="preserve"> for the duration of the contract and make it available to the competent supervisory authority on request.</w:t>
      </w:r>
    </w:p>
    <w:p w14:paraId="5412D780" w14:textId="3F34D001" w:rsidR="0035018C" w:rsidRPr="0035018C" w:rsidRDefault="0035018C" w:rsidP="0035018C">
      <w:pPr>
        <w:widowControl/>
        <w:numPr>
          <w:ilvl w:val="1"/>
          <w:numId w:val="15"/>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Paragraphs </w:t>
      </w:r>
      <w:r w:rsidR="001D1CE9">
        <w:rPr>
          <w:color w:val="000000"/>
          <w:szCs w:val="24"/>
          <w:lang w:eastAsia="en-GB" w:bidi="ar-SA"/>
        </w:rPr>
        <w:fldChar w:fldCharType="begin"/>
      </w:r>
      <w:r w:rsidR="001D1CE9">
        <w:rPr>
          <w:color w:val="000000"/>
          <w:szCs w:val="24"/>
          <w:lang w:eastAsia="en-GB" w:bidi="ar-SA"/>
        </w:rPr>
        <w:instrText xml:space="preserve"> REF _Ref141221062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(a)</w:t>
      </w:r>
      <w:r w:rsidR="001D1CE9">
        <w:rPr>
          <w:color w:val="000000"/>
          <w:szCs w:val="24"/>
          <w:lang w:eastAsia="en-GB" w:bidi="ar-SA"/>
        </w:rPr>
        <w:fldChar w:fldCharType="end"/>
      </w:r>
      <w:r w:rsidRPr="0035018C">
        <w:rPr>
          <w:color w:val="000000"/>
          <w:szCs w:val="24"/>
          <w:lang w:eastAsia="en-GB" w:bidi="ar-SA"/>
        </w:rPr>
        <w:t xml:space="preserve"> to </w:t>
      </w:r>
      <w:r w:rsidR="001D1CE9">
        <w:rPr>
          <w:color w:val="000000"/>
          <w:szCs w:val="24"/>
          <w:lang w:eastAsia="en-GB" w:bidi="ar-SA"/>
        </w:rPr>
        <w:fldChar w:fldCharType="begin"/>
      </w:r>
      <w:r w:rsidR="001D1CE9">
        <w:rPr>
          <w:color w:val="000000"/>
          <w:szCs w:val="24"/>
          <w:lang w:eastAsia="en-GB" w:bidi="ar-SA"/>
        </w:rPr>
        <w:instrText xml:space="preserve"> REF _Ref141221068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(c)</w:t>
      </w:r>
      <w:r w:rsidR="001D1CE9">
        <w:rPr>
          <w:color w:val="000000"/>
          <w:szCs w:val="24"/>
          <w:lang w:eastAsia="en-GB" w:bidi="ar-SA"/>
        </w:rPr>
        <w:fldChar w:fldCharType="end"/>
      </w:r>
      <w:r w:rsidRPr="0035018C">
        <w:rPr>
          <w:color w:val="000000"/>
          <w:szCs w:val="24"/>
          <w:lang w:eastAsia="en-GB" w:bidi="ar-SA"/>
        </w:rPr>
        <w:t xml:space="preserve"> are without prejudice to the obligation of the data importer pursuant to Clause 14(e) and Clause 16 to inform the data exporter promptly where it is unable to comply with these Clauses.</w:t>
      </w:r>
    </w:p>
    <w:p w14:paraId="71E21CE4"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15.2 Review of legality and data minimisation</w:t>
      </w:r>
    </w:p>
    <w:p w14:paraId="0A7B5D67" w14:textId="77777777" w:rsidR="0035018C" w:rsidRPr="0035018C" w:rsidRDefault="0035018C" w:rsidP="0035018C">
      <w:pPr>
        <w:widowControl/>
        <w:numPr>
          <w:ilvl w:val="1"/>
          <w:numId w:val="1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9BAF496" w14:textId="77777777" w:rsidR="0035018C" w:rsidRPr="0035018C" w:rsidRDefault="0035018C" w:rsidP="0035018C">
      <w:pPr>
        <w:widowControl/>
        <w:numPr>
          <w:ilvl w:val="1"/>
          <w:numId w:val="1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lastRenderedPageBreak/>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assessment available to the controller. </w:t>
      </w:r>
    </w:p>
    <w:p w14:paraId="5445F2DC" w14:textId="77777777" w:rsidR="0035018C" w:rsidRPr="0035018C" w:rsidRDefault="0035018C" w:rsidP="0035018C">
      <w:pPr>
        <w:widowControl/>
        <w:numPr>
          <w:ilvl w:val="1"/>
          <w:numId w:val="17"/>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agrees to provide the minimum amount of information permissible when responding to a request for disclosure, based on a reasonable interpretation of the request.</w:t>
      </w:r>
    </w:p>
    <w:p w14:paraId="1A82CFFF"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SECTION IV – FINAL PROVISIONS</w:t>
      </w:r>
    </w:p>
    <w:p w14:paraId="27721698"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16</w:t>
      </w:r>
    </w:p>
    <w:p w14:paraId="5ED99E75"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Non-compliance with the Clauses and termination</w:t>
      </w:r>
    </w:p>
    <w:p w14:paraId="5DA0D527" w14:textId="77777777" w:rsidR="0035018C" w:rsidRPr="0035018C" w:rsidRDefault="0035018C" w:rsidP="00B71FC0">
      <w:pPr>
        <w:widowControl/>
        <w:numPr>
          <w:ilvl w:val="1"/>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shall promptly inform the data exporter if it is unable to comply with these Clauses, for whatever reason.</w:t>
      </w:r>
    </w:p>
    <w:p w14:paraId="7E1E3386" w14:textId="77777777" w:rsidR="0035018C" w:rsidRPr="0035018C" w:rsidRDefault="0035018C" w:rsidP="00B71FC0">
      <w:pPr>
        <w:widowControl/>
        <w:numPr>
          <w:ilvl w:val="1"/>
          <w:numId w:val="166"/>
        </w:numPr>
        <w:pBdr>
          <w:top w:val="nil"/>
          <w:left w:val="nil"/>
          <w:bottom w:val="nil"/>
          <w:right w:val="nil"/>
          <w:between w:val="nil"/>
        </w:pBdr>
        <w:autoSpaceDE/>
        <w:autoSpaceDN/>
        <w:spacing w:before="120" w:after="240" w:line="276" w:lineRule="auto"/>
        <w:rPr>
          <w:color w:val="000000"/>
          <w:szCs w:val="24"/>
          <w:lang w:eastAsia="en-GB" w:bidi="ar-SA"/>
        </w:rPr>
      </w:pPr>
      <w:bookmarkStart w:id="2181" w:name="_Ref141221098"/>
      <w:r w:rsidRPr="0035018C">
        <w:rPr>
          <w:color w:val="000000"/>
          <w:szCs w:val="24"/>
          <w:lang w:eastAsia="en-GB" w:bidi="ar-SA"/>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181"/>
    </w:p>
    <w:p w14:paraId="67AB8D45" w14:textId="77777777" w:rsidR="0035018C" w:rsidRPr="0035018C" w:rsidRDefault="0035018C" w:rsidP="00B71FC0">
      <w:pPr>
        <w:widowControl/>
        <w:numPr>
          <w:ilvl w:val="1"/>
          <w:numId w:val="166"/>
        </w:numPr>
        <w:pBdr>
          <w:top w:val="nil"/>
          <w:left w:val="nil"/>
          <w:bottom w:val="nil"/>
          <w:right w:val="nil"/>
          <w:between w:val="nil"/>
        </w:pBdr>
        <w:autoSpaceDE/>
        <w:autoSpaceDN/>
        <w:spacing w:before="120" w:after="240" w:line="276" w:lineRule="auto"/>
        <w:rPr>
          <w:color w:val="000000"/>
          <w:szCs w:val="24"/>
          <w:lang w:eastAsia="en-GB" w:bidi="ar-SA"/>
        </w:rPr>
      </w:pPr>
      <w:bookmarkStart w:id="2182" w:name="_Ref141221105"/>
      <w:r w:rsidRPr="0035018C">
        <w:rPr>
          <w:color w:val="000000"/>
          <w:szCs w:val="24"/>
          <w:lang w:eastAsia="en-GB" w:bidi="ar-SA"/>
        </w:rPr>
        <w:t>The data exporter shall be entitled to terminate the contract, insofar as it concerns the processing of personal data under these Clauses, where:</w:t>
      </w:r>
      <w:bookmarkEnd w:id="2182"/>
    </w:p>
    <w:p w14:paraId="3B5777FE" w14:textId="7287605F" w:rsidR="0035018C" w:rsidRPr="0035018C" w:rsidRDefault="0035018C" w:rsidP="00B71FC0">
      <w:pPr>
        <w:widowControl/>
        <w:numPr>
          <w:ilvl w:val="2"/>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data exporter has suspended the transfer of personal data to the data importer pursuant to paragraph </w:t>
      </w:r>
      <w:r w:rsidR="001D1CE9">
        <w:rPr>
          <w:color w:val="000000"/>
          <w:szCs w:val="24"/>
          <w:lang w:eastAsia="en-GB" w:bidi="ar-SA"/>
        </w:rPr>
        <w:fldChar w:fldCharType="begin"/>
      </w:r>
      <w:r w:rsidR="001D1CE9">
        <w:rPr>
          <w:color w:val="000000"/>
          <w:szCs w:val="24"/>
          <w:lang w:eastAsia="en-GB" w:bidi="ar-SA"/>
        </w:rPr>
        <w:instrText xml:space="preserve"> REF _Ref141221098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(b)</w:t>
      </w:r>
      <w:r w:rsidR="001D1CE9">
        <w:rPr>
          <w:color w:val="000000"/>
          <w:szCs w:val="24"/>
          <w:lang w:eastAsia="en-GB" w:bidi="ar-SA"/>
        </w:rPr>
        <w:fldChar w:fldCharType="end"/>
      </w:r>
      <w:r w:rsidRPr="0035018C">
        <w:rPr>
          <w:color w:val="000000"/>
          <w:szCs w:val="24"/>
          <w:lang w:eastAsia="en-GB" w:bidi="ar-SA"/>
        </w:rPr>
        <w:t xml:space="preserve"> and compliance with these Clauses is not restored within a reasonable time and in any event within one month of suspension;</w:t>
      </w:r>
    </w:p>
    <w:p w14:paraId="25A322A4" w14:textId="77777777" w:rsidR="0035018C" w:rsidRPr="0035018C" w:rsidRDefault="0035018C" w:rsidP="00B71FC0">
      <w:pPr>
        <w:widowControl/>
        <w:numPr>
          <w:ilvl w:val="2"/>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is in substantial or persistent breach of these Clauses; or</w:t>
      </w:r>
    </w:p>
    <w:p w14:paraId="7E74BF79" w14:textId="77777777" w:rsidR="0035018C" w:rsidRPr="0035018C" w:rsidRDefault="0035018C" w:rsidP="00B71FC0">
      <w:pPr>
        <w:widowControl/>
        <w:numPr>
          <w:ilvl w:val="2"/>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data importer fails to comply with a binding decision of a competent court or supervisory authority regarding its obligations under these Clauses.</w:t>
      </w:r>
    </w:p>
    <w:p w14:paraId="5FE2734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In these cases, it shall inform the competent supervisory authority and the controller of such non-compliance. Where the contract involves more than two Parties, the data exporter may exercise this right to termination only with respect to the relevant Party, unless the Parties have agreed otherwise.</w:t>
      </w:r>
    </w:p>
    <w:p w14:paraId="0D6C467B" w14:textId="498B2DC7" w:rsidR="0035018C" w:rsidRPr="0035018C" w:rsidRDefault="0035018C" w:rsidP="00B71FC0">
      <w:pPr>
        <w:widowControl/>
        <w:numPr>
          <w:ilvl w:val="1"/>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Personal data that has been transferred prior to the termination of the contract pursuant to paragraph </w:t>
      </w:r>
      <w:r w:rsidR="001D1CE9">
        <w:rPr>
          <w:color w:val="000000"/>
          <w:szCs w:val="24"/>
          <w:lang w:eastAsia="en-GB" w:bidi="ar-SA"/>
        </w:rPr>
        <w:fldChar w:fldCharType="begin"/>
      </w:r>
      <w:r w:rsidR="001D1CE9">
        <w:rPr>
          <w:color w:val="000000"/>
          <w:szCs w:val="24"/>
          <w:lang w:eastAsia="en-GB" w:bidi="ar-SA"/>
        </w:rPr>
        <w:instrText xml:space="preserve"> REF _Ref141221105 \n \h </w:instrText>
      </w:r>
      <w:r w:rsidR="001D1CE9">
        <w:rPr>
          <w:color w:val="000000"/>
          <w:szCs w:val="24"/>
          <w:lang w:eastAsia="en-GB" w:bidi="ar-SA"/>
        </w:rPr>
      </w:r>
      <w:r w:rsidR="001D1CE9">
        <w:rPr>
          <w:color w:val="000000"/>
          <w:szCs w:val="24"/>
          <w:lang w:eastAsia="en-GB" w:bidi="ar-SA"/>
        </w:rPr>
        <w:fldChar w:fldCharType="separate"/>
      </w:r>
      <w:r w:rsidR="009749A0">
        <w:rPr>
          <w:color w:val="000000"/>
          <w:szCs w:val="24"/>
          <w:lang w:eastAsia="en-GB" w:bidi="ar-SA"/>
        </w:rPr>
        <w:t>(c)</w:t>
      </w:r>
      <w:r w:rsidR="001D1CE9">
        <w:rPr>
          <w:color w:val="000000"/>
          <w:szCs w:val="24"/>
          <w:lang w:eastAsia="en-GB" w:bidi="ar-SA"/>
        </w:rPr>
        <w:fldChar w:fldCharType="end"/>
      </w:r>
      <w:r w:rsidRPr="0035018C">
        <w:rPr>
          <w:color w:val="000000"/>
          <w:szCs w:val="24"/>
          <w:lang w:eastAsia="en-GB" w:bidi="ar-SA"/>
        </w:rPr>
        <w:t xml:space="preserve"> shall at the choice of the data exporter immediately be returned to the data exporter or deleted in its entirety. The same shall apply to any copies of the data. The data importer shall certify the deletion of the data to the data exporter. </w:t>
      </w:r>
      <w:r w:rsidRPr="0035018C">
        <w:rPr>
          <w:color w:val="000000"/>
          <w:szCs w:val="24"/>
          <w:lang w:eastAsia="en-GB" w:bidi="ar-SA"/>
        </w:rPr>
        <w:lastRenderedPageBreak/>
        <w:t>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DD88333" w14:textId="77777777" w:rsidR="0035018C" w:rsidRPr="0035018C" w:rsidRDefault="0035018C" w:rsidP="00B71FC0">
      <w:pPr>
        <w:widowControl/>
        <w:numPr>
          <w:ilvl w:val="1"/>
          <w:numId w:val="166"/>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62DFCF1"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17</w:t>
      </w:r>
    </w:p>
    <w:p w14:paraId="6D4D72FA"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Governing law</w:t>
      </w:r>
    </w:p>
    <w:p w14:paraId="4F40E152"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[OPTION 1: These Clauses shall be governed by the law of one of the EU Member States, provided such law allows for third-party beneficiary rights. The Parties agree that this shall be the law of _______ (</w:t>
      </w:r>
      <w:r w:rsidRPr="0035018C">
        <w:rPr>
          <w:i/>
          <w:color w:val="000000"/>
          <w:szCs w:val="24"/>
          <w:lang w:eastAsia="en-GB" w:bidi="ar-SA"/>
        </w:rPr>
        <w:t>specify Member State</w:t>
      </w:r>
      <w:r w:rsidRPr="0035018C">
        <w:rPr>
          <w:color w:val="000000"/>
          <w:szCs w:val="24"/>
          <w:lang w:eastAsia="en-GB" w:bidi="ar-SA"/>
        </w:rPr>
        <w:t>).]</w:t>
      </w:r>
    </w:p>
    <w:p w14:paraId="0710F46A"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35018C">
        <w:rPr>
          <w:i/>
          <w:color w:val="000000"/>
          <w:szCs w:val="24"/>
          <w:lang w:eastAsia="en-GB" w:bidi="ar-SA"/>
        </w:rPr>
        <w:t>specify Member State</w:t>
      </w:r>
      <w:r w:rsidRPr="0035018C">
        <w:rPr>
          <w:color w:val="000000"/>
          <w:szCs w:val="24"/>
          <w:lang w:eastAsia="en-GB" w:bidi="ar-SA"/>
        </w:rPr>
        <w:t>).]</w:t>
      </w:r>
    </w:p>
    <w:p w14:paraId="307D3005"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CLAUSE 18</w:t>
      </w:r>
    </w:p>
    <w:p w14:paraId="4DA7FB6B"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Choice of forum and jurisdiction</w:t>
      </w:r>
    </w:p>
    <w:p w14:paraId="40651C46" w14:textId="77777777" w:rsidR="0035018C" w:rsidRPr="0035018C" w:rsidRDefault="0035018C" w:rsidP="00B71FC0">
      <w:pPr>
        <w:widowControl/>
        <w:numPr>
          <w:ilvl w:val="1"/>
          <w:numId w:val="2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Any dispute arising from these Clauses shall be resolved by the courts of an EU Member State.</w:t>
      </w:r>
    </w:p>
    <w:p w14:paraId="01FA928F" w14:textId="77777777" w:rsidR="0035018C" w:rsidRPr="0035018C" w:rsidRDefault="0035018C" w:rsidP="00B71FC0">
      <w:pPr>
        <w:widowControl/>
        <w:numPr>
          <w:ilvl w:val="1"/>
          <w:numId w:val="2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 xml:space="preserve">The Parties agree that those shall be the courts of _____ </w:t>
      </w:r>
      <w:r w:rsidRPr="0035018C">
        <w:rPr>
          <w:i/>
          <w:color w:val="000000"/>
          <w:szCs w:val="24"/>
          <w:lang w:eastAsia="en-GB" w:bidi="ar-SA"/>
        </w:rPr>
        <w:t>(specify Member State)</w:t>
      </w:r>
      <w:r w:rsidRPr="0035018C">
        <w:rPr>
          <w:color w:val="000000"/>
          <w:szCs w:val="24"/>
          <w:lang w:eastAsia="en-GB" w:bidi="ar-SA"/>
        </w:rPr>
        <w:t>.</w:t>
      </w:r>
    </w:p>
    <w:p w14:paraId="04D5255C" w14:textId="77777777" w:rsidR="0035018C" w:rsidRPr="0035018C" w:rsidRDefault="0035018C" w:rsidP="00B71FC0">
      <w:pPr>
        <w:widowControl/>
        <w:numPr>
          <w:ilvl w:val="1"/>
          <w:numId w:val="2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A data subject may also bring legal proceedings against the data exporter and/or data importer before the courts of the Member State in which he/she has his/her habitual residence.</w:t>
      </w:r>
    </w:p>
    <w:p w14:paraId="0006F0C0" w14:textId="77777777" w:rsidR="0035018C" w:rsidRPr="0035018C" w:rsidRDefault="0035018C" w:rsidP="00B71FC0">
      <w:pPr>
        <w:widowControl/>
        <w:numPr>
          <w:ilvl w:val="1"/>
          <w:numId w:val="20"/>
        </w:numPr>
        <w:pBdr>
          <w:top w:val="nil"/>
          <w:left w:val="nil"/>
          <w:bottom w:val="nil"/>
          <w:right w:val="nil"/>
          <w:between w:val="nil"/>
        </w:pBdr>
        <w:autoSpaceDE/>
        <w:autoSpaceDN/>
        <w:spacing w:before="120" w:after="240" w:line="276" w:lineRule="auto"/>
        <w:rPr>
          <w:color w:val="000000"/>
          <w:szCs w:val="24"/>
          <w:lang w:eastAsia="en-GB" w:bidi="ar-SA"/>
        </w:rPr>
      </w:pPr>
      <w:r w:rsidRPr="0035018C">
        <w:rPr>
          <w:color w:val="000000"/>
          <w:szCs w:val="24"/>
          <w:lang w:eastAsia="en-GB" w:bidi="ar-SA"/>
        </w:rPr>
        <w:t>The Parties agree to submit themselves to the jurisdiction of such courts.</w:t>
      </w:r>
    </w:p>
    <w:p w14:paraId="254EB44F"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5767F89E" w14:textId="77777777" w:rsidR="0035018C" w:rsidRPr="0035018C" w:rsidRDefault="0035018C" w:rsidP="0035018C">
      <w:pPr>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t>Official European Commission Footnotes</w:t>
      </w:r>
    </w:p>
    <w:p w14:paraId="4AB9B5A4" w14:textId="356DBF3F"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l354xk">
        <w:r w:rsidR="0035018C" w:rsidRPr="0035018C">
          <w:rPr>
            <w:color w:val="0000FF"/>
            <w:szCs w:val="24"/>
            <w:u w:val="single"/>
            <w:lang w:eastAsia="en-GB" w:bidi="ar-SA"/>
          </w:rPr>
          <w:t>FN1</w:t>
        </w:r>
      </w:hyperlink>
      <w:r w:rsidR="0035018C" w:rsidRPr="0035018C">
        <w:rPr>
          <w:color w:val="000000"/>
          <w:szCs w:val="24"/>
          <w:lang w:eastAsia="en-GB" w:bidi="ar-SA"/>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w:t>
      </w:r>
      <w:r w:rsidR="0035018C" w:rsidRPr="0035018C">
        <w:rPr>
          <w:color w:val="000000"/>
          <w:szCs w:val="24"/>
          <w:lang w:eastAsia="en-GB" w:bidi="ar-SA"/>
        </w:rPr>
        <w:lastRenderedPageBreak/>
        <w:t>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0035018C" w:rsidRPr="0035018C">
        <w:rPr>
          <w:color w:val="0000FF"/>
          <w:szCs w:val="24"/>
          <w:u w:val="single"/>
          <w:lang w:eastAsia="en-GB" w:bidi="ar-SA"/>
        </w:rPr>
        <w:t>OJ L 295, 21.11.2018, p. 39</w:t>
      </w:r>
      <w:r w:rsidR="0035018C" w:rsidRPr="0035018C">
        <w:rPr>
          <w:color w:val="000000"/>
          <w:szCs w:val="24"/>
          <w:lang w:eastAsia="en-GB" w:bidi="ar-SA"/>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517A322A" w14:textId="39B0DE29"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3vuw5zt">
        <w:r w:rsidR="0035018C" w:rsidRPr="0035018C">
          <w:rPr>
            <w:color w:val="0000FF"/>
            <w:szCs w:val="24"/>
            <w:u w:val="single"/>
            <w:lang w:eastAsia="en-GB" w:bidi="ar-SA"/>
          </w:rPr>
          <w:t>FN5</w:t>
        </w:r>
      </w:hyperlink>
      <w:r w:rsidR="0035018C" w:rsidRPr="0035018C">
        <w:rPr>
          <w:color w:val="000000"/>
          <w:szCs w:val="24"/>
          <w:lang w:eastAsia="en-GB" w:bidi="ar-SA"/>
        </w:rPr>
        <w:t>: See Article 28(4) of Regulation (EU) 2016/679 and, where the controller is an EU institution or body, Article 29(4) of Regulation (EU) 2018/1725.</w:t>
      </w:r>
    </w:p>
    <w:p w14:paraId="57E34A13" w14:textId="41D5B102"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ueyeci">
        <w:r w:rsidR="0035018C" w:rsidRPr="0035018C">
          <w:rPr>
            <w:color w:val="0000FF"/>
            <w:szCs w:val="24"/>
            <w:u w:val="single"/>
            <w:lang w:eastAsia="en-GB" w:bidi="ar-SA"/>
          </w:rPr>
          <w:t>FN6</w:t>
        </w:r>
      </w:hyperlink>
      <w:r w:rsidR="0035018C" w:rsidRPr="0035018C">
        <w:rPr>
          <w:color w:val="000000"/>
          <w:szCs w:val="24"/>
          <w:lang w:eastAsia="en-GB" w:bidi="ar-SA"/>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459DAC6B" w14:textId="64AF229B"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dtqche">
        <w:r w:rsidR="0035018C" w:rsidRPr="0035018C">
          <w:rPr>
            <w:color w:val="0000FF"/>
            <w:szCs w:val="24"/>
            <w:u w:val="single"/>
            <w:lang w:eastAsia="en-GB" w:bidi="ar-SA"/>
          </w:rPr>
          <w:t>FN9</w:t>
        </w:r>
      </w:hyperlink>
      <w:r w:rsidR="0035018C" w:rsidRPr="0035018C">
        <w:rPr>
          <w:color w:val="000000"/>
          <w:szCs w:val="24"/>
          <w:lang w:eastAsia="en-GB" w:bidi="ar-SA"/>
        </w:rPr>
        <w:t>: This requirement may be satisfied by the sub-processor acceding to these Clauses under the appropriate Module, in accordance with Clause 7.</w:t>
      </w:r>
    </w:p>
    <w:p w14:paraId="4CEC65D4" w14:textId="0D92CD82"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1dtqche">
        <w:r w:rsidR="0035018C" w:rsidRPr="0035018C">
          <w:rPr>
            <w:color w:val="0000FF"/>
            <w:szCs w:val="24"/>
            <w:u w:val="single"/>
            <w:lang w:eastAsia="en-GB" w:bidi="ar-SA"/>
          </w:rPr>
          <w:t>FN11</w:t>
        </w:r>
      </w:hyperlink>
      <w:r w:rsidR="0035018C" w:rsidRPr="0035018C">
        <w:rPr>
          <w:color w:val="000000"/>
          <w:szCs w:val="24"/>
          <w:lang w:eastAsia="en-GB" w:bidi="ar-SA"/>
        </w:rPr>
        <w:t>: The data importer may offer independent dispute resolution through an arbitration body only if it is established in a country that has ratified the New York Convention on Enforcement of Arbitration Awards.</w:t>
      </w:r>
    </w:p>
    <w:p w14:paraId="240B5181" w14:textId="3BF49749" w:rsidR="0035018C" w:rsidRPr="0035018C" w:rsidRDefault="00EC0D9B" w:rsidP="0035018C">
      <w:pPr>
        <w:widowControl/>
        <w:pBdr>
          <w:top w:val="nil"/>
          <w:left w:val="nil"/>
          <w:bottom w:val="nil"/>
          <w:right w:val="nil"/>
          <w:between w:val="nil"/>
        </w:pBdr>
        <w:autoSpaceDE/>
        <w:autoSpaceDN/>
        <w:spacing w:before="240" w:after="240"/>
        <w:ind w:firstLine="1440"/>
        <w:rPr>
          <w:color w:val="000000"/>
          <w:szCs w:val="24"/>
          <w:lang w:eastAsia="en-GB" w:bidi="ar-SA"/>
        </w:rPr>
      </w:pPr>
      <w:hyperlink w:anchor="bookmark=id.30mxrez">
        <w:r w:rsidR="0035018C" w:rsidRPr="0035018C">
          <w:rPr>
            <w:color w:val="0000FF"/>
            <w:szCs w:val="24"/>
            <w:u w:val="single"/>
            <w:lang w:eastAsia="en-GB" w:bidi="ar-SA"/>
          </w:rPr>
          <w:t>FN12</w:t>
        </w:r>
      </w:hyperlink>
      <w:r w:rsidR="0035018C" w:rsidRPr="0035018C">
        <w:rPr>
          <w:color w:val="000000"/>
          <w:szCs w:val="24"/>
          <w:lang w:eastAsia="en-GB" w:bidi="ar-SA"/>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61429362"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APPENDIX</w:t>
      </w:r>
    </w:p>
    <w:p w14:paraId="521D086B"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251D76B2" w14:textId="77777777" w:rsidTr="00DB6205">
        <w:tc>
          <w:tcPr>
            <w:tcW w:w="9026" w:type="dxa"/>
          </w:tcPr>
          <w:p w14:paraId="3ED8C757"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EXPLANATORY NOTE:</w:t>
            </w:r>
          </w:p>
          <w:p w14:paraId="1D641F9C"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765F4807"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p>
    <w:p w14:paraId="405B2BAE"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w:t>
      </w:r>
    </w:p>
    <w:p w14:paraId="04A784DC"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 xml:space="preserve"> </w:t>
      </w:r>
    </w:p>
    <w:p w14:paraId="29A0ACD0"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A. LIST OF PARTIES</w:t>
      </w:r>
    </w:p>
    <w:p w14:paraId="14126695"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exporter(s):</w:t>
      </w:r>
      <w:r w:rsidRPr="0035018C">
        <w:rPr>
          <w:color w:val="000000"/>
          <w:szCs w:val="24"/>
          <w:lang w:eastAsia="en-GB" w:bidi="ar-SA"/>
        </w:rPr>
        <w:t xml:space="preserve"> [</w:t>
      </w:r>
      <w:r w:rsidRPr="0035018C">
        <w:rPr>
          <w:i/>
          <w:color w:val="000000"/>
          <w:szCs w:val="24"/>
          <w:lang w:eastAsia="en-GB" w:bidi="ar-SA"/>
        </w:rPr>
        <w:t>Identity and contact details of the data exporter(s) and, where applicable, of its/their data protection officer and/or representative in the European Union</w:t>
      </w:r>
      <w:r w:rsidRPr="0035018C">
        <w:rPr>
          <w:color w:val="000000"/>
          <w:szCs w:val="24"/>
          <w:lang w:eastAsia="en-GB" w:bidi="ar-SA"/>
        </w:rPr>
        <w:t>]</w:t>
      </w:r>
    </w:p>
    <w:p w14:paraId="20F60C64"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1. Name: …</w:t>
      </w:r>
    </w:p>
    <w:p w14:paraId="1A461CE4"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0ECF1206"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38F336B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6585D4DA"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5A43A40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6FF7C162"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0EC2B295"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b/>
          <w:color w:val="000000"/>
          <w:szCs w:val="24"/>
          <w:lang w:eastAsia="en-GB" w:bidi="ar-SA"/>
        </w:rPr>
        <w:t>Data importer(s):</w:t>
      </w:r>
      <w:r w:rsidRPr="0035018C">
        <w:rPr>
          <w:color w:val="000000"/>
          <w:szCs w:val="24"/>
          <w:lang w:eastAsia="en-GB" w:bidi="ar-SA"/>
        </w:rPr>
        <w:t xml:space="preserve"> [</w:t>
      </w:r>
      <w:r w:rsidRPr="0035018C">
        <w:rPr>
          <w:i/>
          <w:color w:val="000000"/>
          <w:szCs w:val="24"/>
          <w:lang w:eastAsia="en-GB" w:bidi="ar-SA"/>
        </w:rPr>
        <w:t>Identity and contact details of the data importer(s), including any contact person with responsibility for data protection</w:t>
      </w:r>
      <w:r w:rsidRPr="0035018C">
        <w:rPr>
          <w:color w:val="000000"/>
          <w:szCs w:val="24"/>
          <w:lang w:eastAsia="en-GB" w:bidi="ar-SA"/>
        </w:rPr>
        <w:t>]</w:t>
      </w:r>
    </w:p>
    <w:p w14:paraId="5E49B9D8" w14:textId="77777777" w:rsidR="0035018C" w:rsidRPr="0035018C" w:rsidRDefault="0035018C" w:rsidP="0035018C">
      <w:pPr>
        <w:widowControl/>
        <w:pBdr>
          <w:top w:val="nil"/>
          <w:left w:val="nil"/>
          <w:bottom w:val="nil"/>
          <w:right w:val="nil"/>
          <w:between w:val="nil"/>
        </w:pBdr>
        <w:autoSpaceDE/>
        <w:autoSpaceDN/>
        <w:spacing w:before="120" w:after="240"/>
        <w:ind w:left="2160"/>
        <w:rPr>
          <w:color w:val="000000"/>
          <w:szCs w:val="24"/>
          <w:lang w:eastAsia="en-GB" w:bidi="ar-SA"/>
        </w:rPr>
      </w:pPr>
      <w:r w:rsidRPr="0035018C">
        <w:rPr>
          <w:color w:val="000000"/>
          <w:szCs w:val="24"/>
          <w:lang w:eastAsia="en-GB" w:bidi="ar-SA"/>
        </w:rPr>
        <w:t>1. Name: …</w:t>
      </w:r>
    </w:p>
    <w:p w14:paraId="4D6B8AC1"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31B6EE8C"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51EA41EE"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Activities relevant to the data transferred under these Clauses: …</w:t>
      </w:r>
    </w:p>
    <w:p w14:paraId="22F035D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Signature and date: …</w:t>
      </w:r>
    </w:p>
    <w:p w14:paraId="744DF535"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Role (controller/processor): …</w:t>
      </w:r>
    </w:p>
    <w:p w14:paraId="6DC4E15F"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2. …</w:t>
      </w:r>
    </w:p>
    <w:p w14:paraId="3506E1BD"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B. DESCRIPTION OF TRANSFER</w:t>
      </w:r>
    </w:p>
    <w:p w14:paraId="640EDC9C"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data subjects whose personal data is transferred</w:t>
      </w:r>
    </w:p>
    <w:p w14:paraId="29323B6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071E3D2F"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Categories of personal data transferred</w:t>
      </w:r>
    </w:p>
    <w:p w14:paraId="2E1DE83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4C62BCB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Pr="0035018C">
        <w:rPr>
          <w:i/>
          <w:color w:val="000000"/>
          <w:szCs w:val="24"/>
          <w:lang w:eastAsia="en-GB" w:bidi="ar-SA"/>
        </w:rPr>
        <w:lastRenderedPageBreak/>
        <w:t>specialised training), keeping a record of access to the data, restrictions for onward transfers or additional security measures.</w:t>
      </w:r>
    </w:p>
    <w:p w14:paraId="02EF2C9A"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2C8EBB2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frequency of the transfer (e.g. whether the data is transferred on a one-off or continuous basis).</w:t>
      </w:r>
    </w:p>
    <w:p w14:paraId="7AAFA622"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F854FB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Nature of the processing</w:t>
      </w:r>
    </w:p>
    <w:p w14:paraId="784F6ED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1A5C7F7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Purpose(s) of the data transfer and further processing</w:t>
      </w:r>
    </w:p>
    <w:p w14:paraId="6992727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323DF33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The period for which the personal data will be retained, or, if that is not possible, the criteria used to determine that period</w:t>
      </w:r>
    </w:p>
    <w:p w14:paraId="0DA8FA8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269FA339"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For transfers to (sub-) processors, also specify subject matter, nature and duration of the processing</w:t>
      </w:r>
    </w:p>
    <w:p w14:paraId="5545928E"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w:t>
      </w:r>
    </w:p>
    <w:p w14:paraId="69142B0C"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C. COMPETENT SUPERVISORY AUTHORITY</w:t>
      </w:r>
    </w:p>
    <w:p w14:paraId="45C466E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Identify the competent supervisory authority/ies in accordance with Clause 13</w:t>
      </w:r>
    </w:p>
    <w:p w14:paraId="1AAD0D01" w14:textId="77777777" w:rsidR="0035018C" w:rsidRPr="0035018C" w:rsidRDefault="0035018C" w:rsidP="0035018C">
      <w:pPr>
        <w:widowControl/>
        <w:pBdr>
          <w:top w:val="nil"/>
          <w:left w:val="nil"/>
          <w:bottom w:val="nil"/>
          <w:right w:val="nil"/>
          <w:between w:val="nil"/>
        </w:pBdr>
        <w:autoSpaceDE/>
        <w:autoSpaceDN/>
        <w:spacing w:before="120"/>
        <w:ind w:left="1800"/>
        <w:rPr>
          <w:color w:val="000000"/>
          <w:szCs w:val="24"/>
          <w:lang w:eastAsia="en-GB" w:bidi="ar-SA"/>
        </w:rPr>
      </w:pPr>
    </w:p>
    <w:p w14:paraId="7BD8ABB6"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II</w:t>
      </w:r>
    </w:p>
    <w:p w14:paraId="424068D7" w14:textId="77777777" w:rsidR="0035018C" w:rsidRPr="0035018C" w:rsidRDefault="0035018C" w:rsidP="0035018C">
      <w:pPr>
        <w:widowControl/>
        <w:pBdr>
          <w:top w:val="nil"/>
          <w:left w:val="nil"/>
          <w:bottom w:val="nil"/>
          <w:right w:val="nil"/>
          <w:between w:val="nil"/>
        </w:pBdr>
        <w:autoSpaceDE/>
        <w:autoSpaceDN/>
        <w:spacing w:before="240" w:after="240"/>
        <w:ind w:firstLine="1440"/>
        <w:rPr>
          <w:b/>
          <w:color w:val="000000"/>
          <w:szCs w:val="24"/>
          <w:lang w:eastAsia="en-GB" w:bidi="ar-SA"/>
        </w:rPr>
      </w:pPr>
      <w:r w:rsidRPr="0035018C">
        <w:rPr>
          <w:b/>
          <w:color w:val="000000"/>
          <w:szCs w:val="24"/>
          <w:lang w:eastAsia="en-GB" w:bidi="ar-SA"/>
        </w:rPr>
        <w:t>TECHNICAL AND ORGANISATIONAL MEASURES INCLUDING TECHNICAL AND ORGANISATIONAL MEASURES TO ENSURE THE SECURITY OF THE DATA</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42BCD383" w14:textId="77777777" w:rsidTr="00DB6205">
        <w:tc>
          <w:tcPr>
            <w:tcW w:w="9026" w:type="dxa"/>
          </w:tcPr>
          <w:p w14:paraId="3C02E688"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EXPLANATORY NOTE:</w:t>
            </w:r>
          </w:p>
          <w:p w14:paraId="5652D4DC" w14:textId="77777777" w:rsidR="0035018C" w:rsidRPr="0035018C" w:rsidRDefault="0035018C" w:rsidP="0035018C">
            <w:pPr>
              <w:widowControl/>
              <w:pBdr>
                <w:top w:val="nil"/>
                <w:left w:val="nil"/>
                <w:bottom w:val="nil"/>
                <w:right w:val="nil"/>
                <w:between w:val="nil"/>
              </w:pBdr>
              <w:autoSpaceDE/>
              <w:autoSpaceDN/>
              <w:spacing w:before="120"/>
              <w:rPr>
                <w:color w:val="000000"/>
                <w:szCs w:val="24"/>
                <w:lang w:eastAsia="en-GB" w:bidi="ar-SA"/>
              </w:rPr>
            </w:pPr>
            <w:r w:rsidRPr="0035018C">
              <w:rPr>
                <w:color w:val="000000"/>
                <w:szCs w:val="24"/>
                <w:lang w:eastAsia="en-GB" w:bidi="ar-SA"/>
              </w:rPr>
              <w:t>The technical and organisational measures must be described in specific (and not generic) terms. See also the general comment on the first page of the Appendix, in particular on the need to clearly indicate which measures apply to each transfer/set of transfers.</w:t>
            </w:r>
          </w:p>
        </w:tc>
      </w:tr>
    </w:tbl>
    <w:p w14:paraId="610B2F6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0525F14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[Examples of possible measures:</w:t>
      </w:r>
    </w:p>
    <w:p w14:paraId="1BA55A5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of pseudonymisation and encryption of personal data</w:t>
      </w:r>
    </w:p>
    <w:p w14:paraId="31870AD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ongoing confidentiality, integrity, availability and resilience of processing systems and services</w:t>
      </w:r>
    </w:p>
    <w:p w14:paraId="24B73757"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the ability to restore the availability and access to personal data in a timely manner in the event of a physical or technical incident</w:t>
      </w:r>
    </w:p>
    <w:p w14:paraId="23D2D3A8"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Processes for regularly testing, assessing and evaluating the effectiveness of technical and organisational measures in order to ensure the security of the processing</w:t>
      </w:r>
    </w:p>
    <w:p w14:paraId="6A0E9FB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user identification and authorisation</w:t>
      </w:r>
    </w:p>
    <w:p w14:paraId="4E11CE20"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the protection of data during transmission</w:t>
      </w:r>
    </w:p>
    <w:p w14:paraId="1C1D86A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the protection of data during storage</w:t>
      </w:r>
    </w:p>
    <w:p w14:paraId="33C2A2A2"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physical security of locations at which personal data are processed</w:t>
      </w:r>
    </w:p>
    <w:p w14:paraId="4CE5FA04"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events logging</w:t>
      </w:r>
    </w:p>
    <w:p w14:paraId="2DB54B2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system configuration, including default configuration</w:t>
      </w:r>
    </w:p>
    <w:p w14:paraId="1F1055D5"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internal IT and IT security governance and management</w:t>
      </w:r>
    </w:p>
    <w:p w14:paraId="50B9973B"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certification/assurance of processes and products</w:t>
      </w:r>
    </w:p>
    <w:p w14:paraId="7AEB9DE1"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data minimisation</w:t>
      </w:r>
    </w:p>
    <w:p w14:paraId="3C14ACB6"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data quality</w:t>
      </w:r>
    </w:p>
    <w:p w14:paraId="00329238"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ensuring limited data retention</w:t>
      </w:r>
    </w:p>
    <w:p w14:paraId="2F20287D"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lastRenderedPageBreak/>
        <w:t>Measures for ensuring accountability</w:t>
      </w:r>
    </w:p>
    <w:p w14:paraId="7FBE1B73" w14:textId="77777777" w:rsidR="0035018C" w:rsidRPr="0035018C" w:rsidRDefault="0035018C" w:rsidP="0035018C">
      <w:pPr>
        <w:widowControl/>
        <w:pBdr>
          <w:top w:val="nil"/>
          <w:left w:val="nil"/>
          <w:bottom w:val="nil"/>
          <w:right w:val="nil"/>
          <w:between w:val="nil"/>
        </w:pBdr>
        <w:autoSpaceDE/>
        <w:autoSpaceDN/>
        <w:spacing w:before="240" w:after="240"/>
        <w:ind w:firstLine="1440"/>
        <w:rPr>
          <w:i/>
          <w:color w:val="000000"/>
          <w:szCs w:val="24"/>
          <w:lang w:eastAsia="en-GB" w:bidi="ar-SA"/>
        </w:rPr>
      </w:pPr>
      <w:r w:rsidRPr="0035018C">
        <w:rPr>
          <w:i/>
          <w:color w:val="000000"/>
          <w:szCs w:val="24"/>
          <w:lang w:eastAsia="en-GB" w:bidi="ar-SA"/>
        </w:rPr>
        <w:t>Measures for allowing data portability and ensuring erasure]</w:t>
      </w:r>
    </w:p>
    <w:p w14:paraId="3B30036A"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i/>
          <w:color w:val="000000"/>
          <w:szCs w:val="24"/>
          <w:lang w:eastAsia="en-GB" w:bidi="ar-SA"/>
        </w:rPr>
        <w:t>For transfers to (sub-) processors, also describe the specific technical and organisational measures to be taken by the (sub-) processor to be able to provide assistance to the</w:t>
      </w:r>
      <w:r w:rsidRPr="0035018C">
        <w:rPr>
          <w:color w:val="000000"/>
          <w:szCs w:val="24"/>
          <w:lang w:eastAsia="en-GB" w:bidi="ar-SA"/>
        </w:rPr>
        <w:t xml:space="preserve"> </w:t>
      </w:r>
      <w:r w:rsidRPr="0035018C">
        <w:rPr>
          <w:i/>
          <w:color w:val="000000"/>
          <w:szCs w:val="24"/>
          <w:lang w:eastAsia="en-GB" w:bidi="ar-SA"/>
        </w:rPr>
        <w:t>controller and, for transfers from a processor to a sub-processor, to the data exporter</w:t>
      </w:r>
    </w:p>
    <w:p w14:paraId="3BFFBE11" w14:textId="77777777" w:rsidR="0035018C" w:rsidRPr="0035018C" w:rsidRDefault="0035018C" w:rsidP="0035018C">
      <w:pPr>
        <w:pageBreakBefore/>
        <w:widowControl/>
        <w:pBdr>
          <w:top w:val="nil"/>
          <w:left w:val="nil"/>
          <w:bottom w:val="nil"/>
          <w:right w:val="nil"/>
          <w:between w:val="nil"/>
        </w:pBdr>
        <w:autoSpaceDE/>
        <w:autoSpaceDN/>
        <w:spacing w:before="120"/>
        <w:jc w:val="center"/>
        <w:rPr>
          <w:b/>
          <w:color w:val="000000"/>
          <w:szCs w:val="24"/>
          <w:lang w:eastAsia="en-GB" w:bidi="ar-SA"/>
        </w:rPr>
      </w:pPr>
      <w:r w:rsidRPr="0035018C">
        <w:rPr>
          <w:b/>
          <w:color w:val="000000"/>
          <w:szCs w:val="24"/>
          <w:lang w:eastAsia="en-GB" w:bidi="ar-SA"/>
        </w:rPr>
        <w:lastRenderedPageBreak/>
        <w:t>ANNEX III</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35018C" w:rsidRPr="0035018C" w14:paraId="14FBEAC1" w14:textId="77777777" w:rsidTr="00DB6205">
        <w:tc>
          <w:tcPr>
            <w:tcW w:w="9026" w:type="dxa"/>
          </w:tcPr>
          <w:p w14:paraId="5D2B73BB"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EXPLANATORY NOTE:</w:t>
            </w:r>
          </w:p>
          <w:p w14:paraId="6703B9CD" w14:textId="77777777" w:rsidR="0035018C" w:rsidRPr="0035018C" w:rsidRDefault="0035018C" w:rsidP="0035018C">
            <w:pPr>
              <w:pBdr>
                <w:top w:val="nil"/>
                <w:left w:val="nil"/>
                <w:bottom w:val="nil"/>
                <w:right w:val="nil"/>
                <w:between w:val="nil"/>
              </w:pBdr>
              <w:rPr>
                <w:color w:val="000000"/>
                <w:szCs w:val="24"/>
                <w:lang w:eastAsia="en-GB" w:bidi="ar-SA"/>
              </w:rPr>
            </w:pPr>
            <w:r w:rsidRPr="0035018C">
              <w:rPr>
                <w:color w:val="000000"/>
                <w:szCs w:val="24"/>
                <w:lang w:eastAsia="en-GB" w:bidi="ar-SA"/>
              </w:rPr>
              <w:t xml:space="preserve">This Annex must be completed in case of the specific authorization of sub-processors (Clause 9(a), Option 1). </w:t>
            </w:r>
          </w:p>
        </w:tc>
      </w:tr>
    </w:tbl>
    <w:p w14:paraId="1F69BC91" w14:textId="77777777" w:rsidR="0035018C" w:rsidRPr="0035018C" w:rsidRDefault="0035018C" w:rsidP="0035018C">
      <w:pPr>
        <w:widowControl/>
        <w:pBdr>
          <w:top w:val="nil"/>
          <w:left w:val="nil"/>
          <w:bottom w:val="nil"/>
          <w:right w:val="nil"/>
          <w:between w:val="nil"/>
        </w:pBdr>
        <w:autoSpaceDE/>
        <w:autoSpaceDN/>
        <w:spacing w:before="240" w:after="240"/>
        <w:ind w:firstLine="1440"/>
        <w:rPr>
          <w:color w:val="000000"/>
          <w:szCs w:val="24"/>
          <w:lang w:eastAsia="en-GB" w:bidi="ar-SA"/>
        </w:rPr>
      </w:pPr>
      <w:r w:rsidRPr="0035018C">
        <w:rPr>
          <w:color w:val="000000"/>
          <w:szCs w:val="24"/>
          <w:lang w:eastAsia="en-GB" w:bidi="ar-SA"/>
        </w:rPr>
        <w:t>The controller has authorised the use of the following sub-processors:</w:t>
      </w:r>
    </w:p>
    <w:p w14:paraId="3673C0F9"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Name: …</w:t>
      </w:r>
    </w:p>
    <w:p w14:paraId="11BED013"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Address: …</w:t>
      </w:r>
    </w:p>
    <w:p w14:paraId="6041248B"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Contact person's name, position and contact details: …</w:t>
      </w:r>
    </w:p>
    <w:p w14:paraId="3E23D8D0" w14:textId="77777777" w:rsidR="0035018C" w:rsidRPr="0035018C" w:rsidRDefault="0035018C" w:rsidP="0035018C">
      <w:pPr>
        <w:widowControl/>
        <w:pBdr>
          <w:top w:val="nil"/>
          <w:left w:val="nil"/>
          <w:bottom w:val="nil"/>
          <w:right w:val="nil"/>
          <w:between w:val="nil"/>
        </w:pBdr>
        <w:autoSpaceDE/>
        <w:autoSpaceDN/>
        <w:spacing w:before="120" w:after="240"/>
        <w:ind w:left="720" w:firstLine="1440"/>
        <w:rPr>
          <w:color w:val="000000"/>
          <w:szCs w:val="24"/>
          <w:lang w:eastAsia="en-GB" w:bidi="ar-SA"/>
        </w:rPr>
      </w:pPr>
      <w:r w:rsidRPr="0035018C">
        <w:rPr>
          <w:color w:val="000000"/>
          <w:szCs w:val="24"/>
          <w:lang w:eastAsia="en-GB" w:bidi="ar-SA"/>
        </w:rPr>
        <w:t>Description of processing (including a clear delimitation of responsibilities in case several sub-processors are authorised): …</w:t>
      </w:r>
    </w:p>
    <w:bookmarkEnd w:id="2136"/>
    <w:p w14:paraId="0041881F" w14:textId="77777777" w:rsidR="0035018C" w:rsidRPr="0035018C" w:rsidRDefault="0035018C" w:rsidP="0035018C">
      <w:pPr>
        <w:widowControl/>
        <w:autoSpaceDE/>
        <w:autoSpaceDN/>
        <w:spacing w:after="200" w:line="276" w:lineRule="auto"/>
        <w:rPr>
          <w:sz w:val="22"/>
          <w:lang w:eastAsia="en-GB" w:bidi="ar-SA"/>
        </w:rPr>
      </w:pPr>
    </w:p>
    <w:p w14:paraId="0174D70B" w14:textId="7A6A7571" w:rsidR="00FE46BD" w:rsidRDefault="00FE46BD" w:rsidP="000447D5">
      <w:pPr>
        <w:spacing w:before="100" w:after="200"/>
        <w:rPr>
          <w:rFonts w:asciiTheme="minorHAnsi" w:hAnsiTheme="minorHAnsi" w:cstheme="minorHAnsi"/>
          <w:bCs/>
          <w:iCs/>
          <w:szCs w:val="24"/>
        </w:rPr>
      </w:pPr>
    </w:p>
    <w:p w14:paraId="2BD93411" w14:textId="77777777" w:rsidR="00627ADA" w:rsidRDefault="00627ADA" w:rsidP="000447D5">
      <w:pPr>
        <w:spacing w:before="100" w:after="200"/>
        <w:rPr>
          <w:rFonts w:asciiTheme="minorHAnsi" w:hAnsiTheme="minorHAnsi" w:cstheme="minorHAnsi"/>
          <w:bCs/>
          <w:iCs/>
          <w:szCs w:val="24"/>
        </w:rPr>
        <w:sectPr w:rsidR="00627ADA" w:rsidSect="00EA65BF">
          <w:headerReference w:type="default" r:id="rId123"/>
          <w:footerReference w:type="default" r:id="rId124"/>
          <w:pgSz w:w="11910" w:h="16840"/>
          <w:pgMar w:top="1701" w:right="851" w:bottom="1134" w:left="851" w:header="567" w:footer="567" w:gutter="0"/>
          <w:cols w:space="720"/>
        </w:sectPr>
      </w:pPr>
      <w:bookmarkStart w:id="2183" w:name="_heading=h.1p04j8c" w:colFirst="0" w:colLast="0"/>
      <w:bookmarkStart w:id="2184" w:name="_heading=h.40p60yl" w:colFirst="0" w:colLast="0"/>
      <w:bookmarkStart w:id="2185" w:name="_heading=h.26c9ti5" w:colFirst="0" w:colLast="0"/>
      <w:bookmarkStart w:id="2186" w:name="_heading=h.2005hpz" w:colFirst="0" w:colLast="0"/>
      <w:bookmarkStart w:id="2187" w:name="_heading=h.1ojhawc" w:colFirst="0" w:colLast="0"/>
      <w:bookmarkStart w:id="2188" w:name="_heading=h.408isml" w:colFirst="0" w:colLast="0"/>
      <w:bookmarkStart w:id="2189" w:name="_heading=h.3ifqa0s" w:colFirst="0" w:colLast="0"/>
      <w:bookmarkEnd w:id="2183"/>
      <w:bookmarkEnd w:id="2184"/>
      <w:bookmarkEnd w:id="2185"/>
      <w:bookmarkEnd w:id="2186"/>
      <w:bookmarkEnd w:id="2187"/>
      <w:bookmarkEnd w:id="2188"/>
      <w:bookmarkEnd w:id="2189"/>
    </w:p>
    <w:p w14:paraId="3E223B02" w14:textId="77777777" w:rsidR="00E60EAE" w:rsidRPr="00EE4F10" w:rsidRDefault="00E60EAE" w:rsidP="00E60EAE">
      <w:pPr>
        <w:pStyle w:val="Dividername"/>
      </w:pPr>
      <w:r w:rsidRPr="00EE4F10">
        <w:lastRenderedPageBreak/>
        <w:t xml:space="preserve">Schedule </w:t>
      </w:r>
      <w:bookmarkStart w:id="2190" w:name="Schedule_32"/>
      <w:r w:rsidRPr="00EE4F10">
        <w:t>32</w:t>
      </w:r>
      <w:bookmarkEnd w:id="2190"/>
    </w:p>
    <w:p w14:paraId="423E91E5" w14:textId="77777777" w:rsidR="00E60EAE" w:rsidRPr="00EE4F10" w:rsidRDefault="00E60EAE" w:rsidP="00E60EAE">
      <w:pPr>
        <w:pStyle w:val="Dividername"/>
      </w:pPr>
      <w:r w:rsidRPr="00EE4F10">
        <w:t xml:space="preserve">Intellectual </w:t>
      </w:r>
      <w:r>
        <w:t>P</w:t>
      </w:r>
      <w:r w:rsidRPr="00EE4F10">
        <w:t xml:space="preserve">roperty </w:t>
      </w:r>
      <w:r>
        <w:t>R</w:t>
      </w:r>
      <w:r w:rsidRPr="00EE4F10">
        <w:t>ights</w:t>
      </w:r>
    </w:p>
    <w:p w14:paraId="756FD3AF" w14:textId="77777777" w:rsidR="00E60EAE" w:rsidRDefault="00E60EAE" w:rsidP="00E60EAE"/>
    <w:p w14:paraId="5E18C414" w14:textId="77777777" w:rsidR="00E60EAE" w:rsidRPr="00016234" w:rsidRDefault="00E60EAE" w:rsidP="00E60EAE">
      <w:r w:rsidRPr="00016234">
        <w:br w:type="page"/>
      </w:r>
    </w:p>
    <w:p w14:paraId="1C355FD7" w14:textId="77777777" w:rsidR="00E60EAE" w:rsidRPr="00477926" w:rsidRDefault="00E60EAE" w:rsidP="00E60EAE">
      <w:pPr>
        <w:pStyle w:val="Heading1"/>
      </w:pPr>
      <w:bookmarkStart w:id="2191" w:name="_Ref92200326"/>
      <w:bookmarkStart w:id="2192" w:name="_Toc118293561"/>
      <w:bookmarkStart w:id="2193" w:name="_Toc141721074"/>
      <w:r w:rsidRPr="00477926">
        <w:lastRenderedPageBreak/>
        <w:t>Schedule 32</w:t>
      </w:r>
      <w:r>
        <w:t xml:space="preserve">: </w:t>
      </w:r>
      <w:r w:rsidRPr="002223EA">
        <w:t>Intellectual Property Rights</w:t>
      </w:r>
      <w:bookmarkEnd w:id="2191"/>
      <w:bookmarkEnd w:id="2192"/>
      <w:bookmarkEnd w:id="2193"/>
    </w:p>
    <w:p w14:paraId="46AA7600" w14:textId="77777777" w:rsidR="00E60EAE" w:rsidRPr="00493933" w:rsidRDefault="00E60EAE" w:rsidP="00E60EAE">
      <w:pPr>
        <w:tabs>
          <w:tab w:val="left" w:pos="2257"/>
        </w:tabs>
        <w:spacing w:before="120" w:after="120"/>
        <w:rPr>
          <w:b/>
          <w:i/>
          <w:szCs w:val="24"/>
          <w:highlight w:val="yellow"/>
        </w:rPr>
      </w:pPr>
      <w:r w:rsidRPr="0066203D">
        <w:rPr>
          <w:b/>
          <w:iCs/>
          <w:szCs w:val="24"/>
        </w:rPr>
        <w:t>[</w:t>
      </w:r>
      <w:r w:rsidRPr="00493933">
        <w:rPr>
          <w:b/>
          <w:i/>
          <w:szCs w:val="24"/>
          <w:highlight w:val="yellow"/>
        </w:rPr>
        <w:t xml:space="preserve">Guidance note: this Schedule on Intellectual Property Rights (IPRs) can be amended depending on how you need to arrange ownership and licencing of all Specially Written Software and Project Specific IPRs (‘Foreground IPR’) created for or pursuant to the contract. </w:t>
      </w:r>
    </w:p>
    <w:p w14:paraId="147DAF00" w14:textId="46EDB260" w:rsidR="00E60EAE" w:rsidRPr="00493933" w:rsidRDefault="00E60EAE" w:rsidP="00E60EAE">
      <w:pPr>
        <w:rPr>
          <w:b/>
          <w:i/>
          <w:szCs w:val="24"/>
          <w:highlight w:val="yellow"/>
        </w:rPr>
      </w:pPr>
      <w:r w:rsidRPr="00493933">
        <w:rPr>
          <w:b/>
          <w:i/>
          <w:szCs w:val="24"/>
          <w:highlight w:val="yellow"/>
        </w:rPr>
        <w:t xml:space="preserve">See the </w:t>
      </w:r>
      <w:hyperlink r:id="rId125" w:history="1">
        <w:r w:rsidRPr="00493933">
          <w:rPr>
            <w:rStyle w:val="Hyperlink"/>
            <w:b/>
            <w:i/>
            <w:szCs w:val="24"/>
            <w:highlight w:val="yellow"/>
          </w:rPr>
          <w:t>Intellectual Property Rights Guidance Note</w:t>
        </w:r>
      </w:hyperlink>
      <w:r w:rsidRPr="00493933">
        <w:rPr>
          <w:b/>
          <w:i/>
          <w:szCs w:val="24"/>
          <w:highlight w:val="yellow"/>
        </w:rPr>
        <w:t xml:space="preserve">, and para 2.7 of the </w:t>
      </w:r>
      <w:r w:rsidRPr="00493933">
        <w:rPr>
          <w:b/>
          <w:i/>
          <w:color w:val="000000"/>
          <w:szCs w:val="24"/>
          <w:highlight w:val="yellow"/>
        </w:rPr>
        <w:t xml:space="preserve">MSC Guidance </w:t>
      </w:r>
      <w:r w:rsidRPr="00493933">
        <w:rPr>
          <w:b/>
          <w:i/>
          <w:szCs w:val="24"/>
          <w:highlight w:val="yellow"/>
        </w:rPr>
        <w:t xml:space="preserve">document for further guidance on how to select an appropriate option(s). The General Provisions will apply for every Contract, no matter what option(s) is selected. </w:t>
      </w:r>
    </w:p>
    <w:p w14:paraId="34AF540A" w14:textId="77777777" w:rsidR="00E60EAE" w:rsidRPr="00493933" w:rsidRDefault="00E60EAE" w:rsidP="00E60EAE">
      <w:pPr>
        <w:tabs>
          <w:tab w:val="left" w:pos="2257"/>
        </w:tabs>
        <w:spacing w:before="120" w:after="120"/>
        <w:rPr>
          <w:b/>
          <w:i/>
          <w:szCs w:val="24"/>
          <w:highlight w:val="yellow"/>
        </w:rPr>
      </w:pPr>
      <w:r w:rsidRPr="00493933">
        <w:rPr>
          <w:b/>
          <w:i/>
          <w:szCs w:val="24"/>
          <w:highlight w:val="yellow"/>
        </w:rPr>
        <w:t>The options are:</w:t>
      </w:r>
    </w:p>
    <w:p w14:paraId="4537D096" w14:textId="6FA288B4" w:rsidR="00E60EAE" w:rsidRPr="000D10B1" w:rsidRDefault="00E60EAE" w:rsidP="00B71FC0">
      <w:pPr>
        <w:pStyle w:val="ListParagraph"/>
        <w:widowControl/>
        <w:numPr>
          <w:ilvl w:val="0"/>
          <w:numId w:val="172"/>
        </w:numPr>
        <w:tabs>
          <w:tab w:val="left" w:pos="2257"/>
        </w:tabs>
        <w:suppressAutoHyphens/>
        <w:autoSpaceDE/>
        <w:autoSpaceDN/>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OPTION1_SCHEDULE32 \h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1</w:t>
      </w:r>
      <w:r w:rsidRPr="000D10B1">
        <w:rPr>
          <w:b/>
          <w:i/>
          <w:szCs w:val="24"/>
          <w:highlight w:val="yellow"/>
        </w:rPr>
        <w:fldChar w:fldCharType="end"/>
      </w:r>
      <w:r w:rsidRPr="000D10B1">
        <w:rPr>
          <w:b/>
          <w:i/>
          <w:szCs w:val="24"/>
          <w:highlight w:val="yellow"/>
        </w:rPr>
        <w:t xml:space="preserve">: Authority owns all Specially Written Software and Project Specific IPRs with limited Supplier rights in order to deliver the Contract; </w:t>
      </w:r>
    </w:p>
    <w:p w14:paraId="0949D2E0" w14:textId="41939766" w:rsidR="00E60EAE" w:rsidRPr="000D10B1" w:rsidRDefault="00E60EAE" w:rsidP="00B71FC0">
      <w:pPr>
        <w:pStyle w:val="ListParagraph"/>
        <w:widowControl/>
        <w:numPr>
          <w:ilvl w:val="0"/>
          <w:numId w:val="172"/>
        </w:numPr>
        <w:tabs>
          <w:tab w:val="left" w:pos="2257"/>
        </w:tabs>
        <w:suppressAutoHyphens/>
        <w:autoSpaceDE/>
        <w:autoSpaceDN/>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OPTION2_SCHEDULE32 \h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2</w:t>
      </w:r>
      <w:r w:rsidRPr="000D10B1">
        <w:rPr>
          <w:b/>
          <w:i/>
          <w:szCs w:val="24"/>
          <w:highlight w:val="yellow"/>
        </w:rPr>
        <w:fldChar w:fldCharType="end"/>
      </w:r>
      <w:r w:rsidRPr="000D10B1">
        <w:rPr>
          <w:b/>
          <w:i/>
          <w:szCs w:val="24"/>
          <w:highlight w:val="yellow"/>
        </w:rPr>
        <w:t xml:space="preserve">: Authority ownership of all Specially Written Software and Project Specific IPRs with non-exclusive Supplier rights for the Contract and for commercial exploitation; </w:t>
      </w:r>
    </w:p>
    <w:p w14:paraId="702BA0AE" w14:textId="49E0C152" w:rsidR="00E60EAE" w:rsidRPr="000D10B1" w:rsidRDefault="00E60EAE" w:rsidP="00B71FC0">
      <w:pPr>
        <w:pStyle w:val="ListParagraph"/>
        <w:widowControl/>
        <w:numPr>
          <w:ilvl w:val="0"/>
          <w:numId w:val="172"/>
        </w:numPr>
        <w:tabs>
          <w:tab w:val="left" w:pos="2257"/>
        </w:tabs>
        <w:suppressAutoHyphens/>
        <w:autoSpaceDE/>
        <w:autoSpaceDN/>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OPTION3_SCHEDULE32 \h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3</w:t>
      </w:r>
      <w:r w:rsidRPr="000D10B1">
        <w:rPr>
          <w:b/>
          <w:i/>
          <w:szCs w:val="24"/>
          <w:highlight w:val="yellow"/>
        </w:rPr>
        <w:fldChar w:fldCharType="end"/>
      </w:r>
      <w:r w:rsidRPr="000D10B1">
        <w:rPr>
          <w:b/>
          <w:i/>
          <w:szCs w:val="24"/>
          <w:highlight w:val="yellow"/>
        </w:rPr>
        <w:t>: Supplier ownership of all Specially Written Software and Project Specific IPRs with Authority rights for the current contract only;</w:t>
      </w:r>
    </w:p>
    <w:p w14:paraId="54C03416" w14:textId="6A1D7E8A" w:rsidR="00E60EAE" w:rsidRPr="000D10B1" w:rsidRDefault="00E60EAE" w:rsidP="00B71FC0">
      <w:pPr>
        <w:pStyle w:val="ListParagraph"/>
        <w:widowControl/>
        <w:numPr>
          <w:ilvl w:val="0"/>
          <w:numId w:val="172"/>
        </w:numPr>
        <w:tabs>
          <w:tab w:val="left" w:pos="2257"/>
        </w:tabs>
        <w:suppressAutoHyphens/>
        <w:autoSpaceDE/>
        <w:autoSpaceDN/>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OPTION4_SCHEDULE32 \h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4</w:t>
      </w:r>
      <w:r w:rsidRPr="000D10B1">
        <w:rPr>
          <w:b/>
          <w:i/>
          <w:szCs w:val="24"/>
          <w:highlight w:val="yellow"/>
        </w:rPr>
        <w:fldChar w:fldCharType="end"/>
      </w:r>
      <w:r w:rsidRPr="000D10B1">
        <w:rPr>
          <w:b/>
          <w:i/>
          <w:szCs w:val="24"/>
          <w:highlight w:val="yellow"/>
        </w:rPr>
        <w:t>: Supplier ownership of Specially Written Software and Project Specific IPRs with Authority rights for the current contract and broader public sector functions;</w:t>
      </w:r>
    </w:p>
    <w:p w14:paraId="6C9B1A03" w14:textId="32FDE039" w:rsidR="00E60EAE" w:rsidRPr="000D10B1" w:rsidRDefault="00E60EAE" w:rsidP="00B71FC0">
      <w:pPr>
        <w:pStyle w:val="ListParagraph"/>
        <w:widowControl/>
        <w:numPr>
          <w:ilvl w:val="0"/>
          <w:numId w:val="172"/>
        </w:numPr>
        <w:tabs>
          <w:tab w:val="left" w:pos="2257"/>
        </w:tabs>
        <w:suppressAutoHyphens/>
        <w:autoSpaceDE/>
        <w:autoSpaceDN/>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OPTION5_SCHEDULE32 \h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5</w:t>
      </w:r>
      <w:r w:rsidRPr="000D10B1">
        <w:rPr>
          <w:b/>
          <w:i/>
          <w:szCs w:val="24"/>
          <w:highlight w:val="yellow"/>
        </w:rPr>
        <w:fldChar w:fldCharType="end"/>
      </w:r>
      <w:r w:rsidRPr="000D10B1">
        <w:rPr>
          <w:b/>
          <w:i/>
          <w:szCs w:val="24"/>
          <w:highlight w:val="yellow"/>
        </w:rPr>
        <w:t xml:space="preserve">: Options </w:t>
      </w:r>
      <w:r w:rsidRPr="000D10B1">
        <w:rPr>
          <w:b/>
          <w:i/>
          <w:szCs w:val="24"/>
          <w:highlight w:val="yellow"/>
        </w:rPr>
        <w:fldChar w:fldCharType="begin"/>
      </w:r>
      <w:r w:rsidRPr="000D10B1">
        <w:rPr>
          <w:b/>
          <w:i/>
          <w:szCs w:val="24"/>
          <w:highlight w:val="yellow"/>
        </w:rPr>
        <w:instrText xml:space="preserve"> REF OPTION2_SCHEDULE32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2</w:t>
      </w:r>
      <w:r w:rsidRPr="000D10B1">
        <w:rPr>
          <w:b/>
          <w:i/>
          <w:szCs w:val="24"/>
          <w:highlight w:val="yellow"/>
        </w:rPr>
        <w:fldChar w:fldCharType="end"/>
      </w:r>
      <w:r w:rsidRPr="000D10B1">
        <w:rPr>
          <w:b/>
          <w:i/>
          <w:szCs w:val="24"/>
          <w:highlight w:val="yellow"/>
        </w:rPr>
        <w:t xml:space="preserve">, </w:t>
      </w:r>
      <w:r w:rsidRPr="000D10B1">
        <w:rPr>
          <w:b/>
          <w:i/>
          <w:szCs w:val="24"/>
          <w:highlight w:val="yellow"/>
        </w:rPr>
        <w:fldChar w:fldCharType="begin"/>
      </w:r>
      <w:r w:rsidRPr="000D10B1">
        <w:rPr>
          <w:b/>
          <w:i/>
          <w:szCs w:val="24"/>
          <w:highlight w:val="yellow"/>
        </w:rPr>
        <w:instrText xml:space="preserve"> REF OPTION3_SCHEDULE32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3</w:t>
      </w:r>
      <w:r w:rsidRPr="000D10B1">
        <w:rPr>
          <w:b/>
          <w:i/>
          <w:szCs w:val="24"/>
          <w:highlight w:val="yellow"/>
        </w:rPr>
        <w:fldChar w:fldCharType="end"/>
      </w:r>
      <w:r w:rsidRPr="000D10B1">
        <w:rPr>
          <w:b/>
          <w:i/>
          <w:szCs w:val="24"/>
          <w:highlight w:val="yellow"/>
        </w:rPr>
        <w:t xml:space="preserve">, or </w:t>
      </w:r>
      <w:r w:rsidRPr="000D10B1">
        <w:rPr>
          <w:b/>
          <w:i/>
          <w:szCs w:val="24"/>
          <w:highlight w:val="yellow"/>
        </w:rPr>
        <w:fldChar w:fldCharType="begin"/>
      </w:r>
      <w:r w:rsidRPr="000D10B1">
        <w:rPr>
          <w:b/>
          <w:i/>
          <w:szCs w:val="24"/>
          <w:highlight w:val="yellow"/>
        </w:rPr>
        <w:instrText xml:space="preserve"> REF OPTION4_SCHEDULE32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4</w:t>
      </w:r>
      <w:r w:rsidRPr="000D10B1">
        <w:rPr>
          <w:b/>
          <w:i/>
          <w:szCs w:val="24"/>
          <w:highlight w:val="yellow"/>
        </w:rPr>
        <w:fldChar w:fldCharType="end"/>
      </w:r>
      <w:r w:rsidRPr="000D10B1">
        <w:rPr>
          <w:b/>
          <w:i/>
          <w:szCs w:val="24"/>
          <w:highlight w:val="yellow"/>
        </w:rPr>
        <w:t>, plus Authority rights to royalties</w:t>
      </w:r>
    </w:p>
    <w:p w14:paraId="1541E61F" w14:textId="04E6CF78" w:rsidR="00E60EAE" w:rsidRPr="00493933" w:rsidRDefault="00E60EAE" w:rsidP="00E60EAE">
      <w:pPr>
        <w:tabs>
          <w:tab w:val="left" w:pos="2257"/>
        </w:tabs>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OPTION2_SCHEDULE32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2</w:t>
      </w:r>
      <w:r w:rsidRPr="000D10B1">
        <w:rPr>
          <w:b/>
          <w:i/>
          <w:szCs w:val="24"/>
          <w:highlight w:val="yellow"/>
        </w:rPr>
        <w:fldChar w:fldCharType="end"/>
      </w:r>
      <w:r w:rsidRPr="000D10B1">
        <w:rPr>
          <w:b/>
          <w:i/>
          <w:szCs w:val="24"/>
          <w:highlight w:val="yellow"/>
        </w:rPr>
        <w:t xml:space="preserve"> should </w:t>
      </w:r>
      <w:r w:rsidRPr="00493933">
        <w:rPr>
          <w:b/>
          <w:i/>
          <w:szCs w:val="24"/>
          <w:highlight w:val="yellow"/>
        </w:rPr>
        <w:t>be considered for use in situations where the Authority should retain ownership of any Specially Written Software and Project Specific IPRs but where the Supplier should be able to use any Specially Written Software and Project Specific IPRs developed, subject to Authority approval. In this situation, the Authority will not look to publish the Specially Written Software and Project Specific IPRs under Open Licence.</w:t>
      </w:r>
    </w:p>
    <w:p w14:paraId="1C25DEA6" w14:textId="458148B8" w:rsidR="00E60EAE" w:rsidRPr="000D10B1" w:rsidRDefault="00E60EAE" w:rsidP="00E60EAE">
      <w:pPr>
        <w:tabs>
          <w:tab w:val="left" w:pos="2257"/>
        </w:tabs>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OPTION3_SCHEDULE32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3</w:t>
      </w:r>
      <w:r w:rsidRPr="000D10B1">
        <w:rPr>
          <w:b/>
          <w:i/>
          <w:szCs w:val="24"/>
          <w:highlight w:val="yellow"/>
        </w:rPr>
        <w:fldChar w:fldCharType="end"/>
      </w:r>
      <w:r w:rsidRPr="000D10B1">
        <w:rPr>
          <w:b/>
          <w:i/>
          <w:szCs w:val="24"/>
          <w:highlight w:val="yellow"/>
        </w:rPr>
        <w:t xml:space="preserve"> should be considered for use where (a) there is no clear benefit in the Authority owning the Specially Written Software and Project Specific IPRs, or (b) where any Specially Written Software and Project Specific IPRs created cannot easily be separated from the Supplier’s Existing IPR (e.g. Software As A Service (SAAS)), but where a licence is only needed for the current contracted service and the IPR in question will not be needed for other services. </w:t>
      </w:r>
    </w:p>
    <w:p w14:paraId="73DB404C" w14:textId="2345CFD6" w:rsidR="00E60EAE" w:rsidRPr="000D10B1" w:rsidRDefault="00E60EAE" w:rsidP="00E60EAE">
      <w:pPr>
        <w:tabs>
          <w:tab w:val="left" w:pos="2257"/>
        </w:tabs>
        <w:spacing w:before="120" w:after="120"/>
        <w:rPr>
          <w:b/>
          <w:i/>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OPTION4_SCHEDULE32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4</w:t>
      </w:r>
      <w:r w:rsidRPr="000D10B1">
        <w:rPr>
          <w:b/>
          <w:i/>
          <w:szCs w:val="24"/>
          <w:highlight w:val="yellow"/>
        </w:rPr>
        <w:fldChar w:fldCharType="end"/>
      </w:r>
      <w:r w:rsidRPr="000D10B1">
        <w:rPr>
          <w:b/>
          <w:i/>
          <w:szCs w:val="24"/>
          <w:highlight w:val="yellow"/>
        </w:rPr>
        <w:t xml:space="preserve"> is similar to Option </w:t>
      </w:r>
      <w:r w:rsidRPr="000D10B1">
        <w:rPr>
          <w:b/>
          <w:i/>
          <w:szCs w:val="24"/>
          <w:highlight w:val="yellow"/>
        </w:rPr>
        <w:fldChar w:fldCharType="begin"/>
      </w:r>
      <w:r w:rsidRPr="000D10B1">
        <w:rPr>
          <w:b/>
          <w:i/>
          <w:szCs w:val="24"/>
          <w:highlight w:val="yellow"/>
        </w:rPr>
        <w:instrText xml:space="preserve"> REF OPTION3_SCHEDULE32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3</w:t>
      </w:r>
      <w:r w:rsidRPr="000D10B1">
        <w:rPr>
          <w:b/>
          <w:i/>
          <w:szCs w:val="24"/>
          <w:highlight w:val="yellow"/>
        </w:rPr>
        <w:fldChar w:fldCharType="end"/>
      </w:r>
      <w:r w:rsidRPr="000D10B1">
        <w:rPr>
          <w:b/>
          <w:i/>
          <w:szCs w:val="24"/>
          <w:highlight w:val="yellow"/>
        </w:rPr>
        <w:t>, except it should be used where the licence to the Authority for the IPR in question should extend to cover other contracts and services, which may include contracts and services not yet awarded, and broader public sector functions.</w:t>
      </w:r>
    </w:p>
    <w:p w14:paraId="5F5704C5" w14:textId="0A282503" w:rsidR="00F84ADE" w:rsidRDefault="00E60EAE" w:rsidP="00E60EAE">
      <w:pPr>
        <w:tabs>
          <w:tab w:val="left" w:pos="2257"/>
        </w:tabs>
        <w:spacing w:before="120" w:after="120"/>
        <w:rPr>
          <w:szCs w:val="24"/>
          <w:highlight w:val="yellow"/>
        </w:rPr>
      </w:pPr>
      <w:r w:rsidRPr="000D10B1">
        <w:rPr>
          <w:b/>
          <w:i/>
          <w:szCs w:val="24"/>
          <w:highlight w:val="yellow"/>
        </w:rPr>
        <w:t xml:space="preserve">Option </w:t>
      </w:r>
      <w:r w:rsidRPr="000D10B1">
        <w:rPr>
          <w:b/>
          <w:i/>
          <w:szCs w:val="24"/>
          <w:highlight w:val="yellow"/>
        </w:rPr>
        <w:fldChar w:fldCharType="begin"/>
      </w:r>
      <w:r w:rsidRPr="000D10B1">
        <w:rPr>
          <w:b/>
          <w:i/>
          <w:szCs w:val="24"/>
          <w:highlight w:val="yellow"/>
        </w:rPr>
        <w:instrText xml:space="preserve"> REF OPTION5_SCHEDULE32 \h </w:instrText>
      </w:r>
      <w:r w:rsidR="00493933" w:rsidRPr="000D10B1">
        <w:rPr>
          <w:b/>
          <w:i/>
          <w:szCs w:val="24"/>
          <w:highlight w:val="yellow"/>
        </w:rPr>
        <w:instrText xml:space="preserve"> \* MERGEFORMAT </w:instrText>
      </w:r>
      <w:r w:rsidRPr="000D10B1">
        <w:rPr>
          <w:b/>
          <w:i/>
          <w:szCs w:val="24"/>
          <w:highlight w:val="yellow"/>
        </w:rPr>
      </w:r>
      <w:r w:rsidRPr="000D10B1">
        <w:rPr>
          <w:b/>
          <w:i/>
          <w:szCs w:val="24"/>
          <w:highlight w:val="yellow"/>
        </w:rPr>
        <w:fldChar w:fldCharType="separate"/>
      </w:r>
      <w:r w:rsidR="009749A0" w:rsidRPr="000D10B1">
        <w:rPr>
          <w:b/>
          <w:i/>
          <w:highlight w:val="yellow"/>
        </w:rPr>
        <w:t>5</w:t>
      </w:r>
      <w:r w:rsidRPr="000D10B1">
        <w:rPr>
          <w:b/>
          <w:i/>
          <w:szCs w:val="24"/>
          <w:highlight w:val="yellow"/>
        </w:rPr>
        <w:fldChar w:fldCharType="end"/>
      </w:r>
      <w:r w:rsidRPr="000D10B1">
        <w:rPr>
          <w:b/>
          <w:i/>
          <w:szCs w:val="24"/>
          <w:highlight w:val="yellow"/>
        </w:rPr>
        <w:t xml:space="preserve"> should </w:t>
      </w:r>
      <w:r w:rsidRPr="00493933">
        <w:rPr>
          <w:b/>
          <w:i/>
          <w:szCs w:val="24"/>
          <w:highlight w:val="yellow"/>
        </w:rPr>
        <w:t>be considered if an Authority has invested significant resource or funding in the development of the project and intends to seek a return on that investment. Includes a right for the Authority to request ownership of unexploited IPR after 3 years</w:t>
      </w:r>
      <w:r w:rsidR="00F84ADE">
        <w:rPr>
          <w:b/>
          <w:i/>
          <w:szCs w:val="24"/>
          <w:highlight w:val="yellow"/>
        </w:rPr>
        <w:t xml:space="preserve"> (except when Option  2 is used). </w:t>
      </w:r>
    </w:p>
    <w:p w14:paraId="3D3E9414" w14:textId="285EF1AE" w:rsidR="00E60EAE" w:rsidRPr="002223EA" w:rsidRDefault="00F84ADE" w:rsidP="00E60EAE">
      <w:pPr>
        <w:tabs>
          <w:tab w:val="left" w:pos="2257"/>
        </w:tabs>
        <w:spacing w:before="120" w:after="120"/>
        <w:rPr>
          <w:bCs/>
          <w:iCs/>
          <w:szCs w:val="24"/>
          <w:highlight w:val="yellow"/>
        </w:rPr>
      </w:pPr>
      <w:r>
        <w:rPr>
          <w:b/>
          <w:i/>
          <w:szCs w:val="24"/>
          <w:highlight w:val="yellow"/>
        </w:rPr>
        <w:t>Carefully check cross-references as these may need to be updated when unused clauses are deleted</w:t>
      </w:r>
      <w:r w:rsidR="00E60EAE" w:rsidRPr="0066203D">
        <w:rPr>
          <w:szCs w:val="24"/>
        </w:rPr>
        <w:t>]</w:t>
      </w:r>
      <w:r w:rsidR="00E60EAE" w:rsidRPr="002223EA">
        <w:rPr>
          <w:bCs/>
          <w:iCs/>
          <w:szCs w:val="24"/>
          <w:highlight w:val="yellow"/>
        </w:rPr>
        <w:t xml:space="preserve"> </w:t>
      </w:r>
    </w:p>
    <w:p w14:paraId="24C38F78" w14:textId="77777777" w:rsidR="00E60EAE" w:rsidRPr="002223EA" w:rsidRDefault="00E60EAE" w:rsidP="00E60EAE">
      <w:pPr>
        <w:rPr>
          <w:iCs/>
          <w:highlight w:val="yellow"/>
        </w:rPr>
      </w:pPr>
    </w:p>
    <w:p w14:paraId="10143B32" w14:textId="170BBC06" w:rsidR="00E60EAE" w:rsidRDefault="00E60EAE">
      <w:pPr>
        <w:rPr>
          <w:rFonts w:asciiTheme="minorHAnsi" w:hAnsiTheme="minorHAnsi" w:cstheme="minorHAnsi"/>
          <w:bCs/>
          <w:iCs/>
          <w:szCs w:val="24"/>
        </w:rPr>
      </w:pPr>
      <w:r>
        <w:rPr>
          <w:rFonts w:asciiTheme="minorHAnsi" w:hAnsiTheme="minorHAnsi" w:cstheme="minorHAnsi"/>
          <w:bCs/>
          <w:iCs/>
          <w:szCs w:val="24"/>
        </w:rPr>
        <w:br w:type="page"/>
      </w:r>
    </w:p>
    <w:p w14:paraId="2A4726F8" w14:textId="77777777" w:rsidR="00E60EAE" w:rsidRDefault="00E60EAE" w:rsidP="00B71FC0">
      <w:pPr>
        <w:pStyle w:val="Numbered1"/>
        <w:numPr>
          <w:ilvl w:val="0"/>
          <w:numId w:val="173"/>
        </w:numPr>
      </w:pPr>
      <w:r w:rsidRPr="00F67802">
        <w:lastRenderedPageBreak/>
        <w:t>Intellectual Property Rights – General Provisions</w:t>
      </w:r>
    </w:p>
    <w:p w14:paraId="06AECD97" w14:textId="77777777" w:rsidR="00E60EAE" w:rsidRPr="00016234" w:rsidRDefault="00E60EAE" w:rsidP="00B71FC0">
      <w:pPr>
        <w:pStyle w:val="Numbered11"/>
        <w:keepNext/>
        <w:numPr>
          <w:ilvl w:val="1"/>
          <w:numId w:val="173"/>
        </w:numPr>
      </w:pPr>
      <w:r w:rsidRPr="00F67802">
        <w:t>Except as expressly provided for in this Contract or otherwise agreed in writing:</w:t>
      </w:r>
    </w:p>
    <w:p w14:paraId="7B11D6FE" w14:textId="77777777" w:rsidR="00E60EAE" w:rsidRPr="00016234" w:rsidRDefault="00E60EAE" w:rsidP="00B71FC0">
      <w:pPr>
        <w:pStyle w:val="Numbered111"/>
        <w:keepNext/>
        <w:numPr>
          <w:ilvl w:val="2"/>
          <w:numId w:val="173"/>
        </w:numPr>
      </w:pPr>
      <w:bookmarkStart w:id="2194" w:name="_Ref141105848"/>
      <w:r w:rsidRPr="00F67802">
        <w:t>the Authority does not acquire any right, title or interest in or to the Intellectual Property Rights of the Supplier or its licensors, namely:</w:t>
      </w:r>
      <w:bookmarkEnd w:id="2194"/>
    </w:p>
    <w:p w14:paraId="7671D6DD" w14:textId="77777777" w:rsidR="00E60EAE" w:rsidRPr="00CE3D3D" w:rsidRDefault="00E60EAE" w:rsidP="00B71FC0">
      <w:pPr>
        <w:pStyle w:val="Numbered111a"/>
        <w:numPr>
          <w:ilvl w:val="3"/>
          <w:numId w:val="173"/>
        </w:numPr>
      </w:pPr>
      <w:r w:rsidRPr="00CE3D3D">
        <w:t>the Supplier Software;</w:t>
      </w:r>
    </w:p>
    <w:p w14:paraId="084CE196" w14:textId="77777777" w:rsidR="00E60EAE" w:rsidRPr="00CE3D3D" w:rsidRDefault="00E60EAE" w:rsidP="00B71FC0">
      <w:pPr>
        <w:pStyle w:val="Numbered111a"/>
        <w:numPr>
          <w:ilvl w:val="3"/>
          <w:numId w:val="173"/>
        </w:numPr>
      </w:pPr>
      <w:r w:rsidRPr="00CE3D3D">
        <w:t xml:space="preserve">the Third Party Software; </w:t>
      </w:r>
    </w:p>
    <w:p w14:paraId="0876F05E" w14:textId="77777777" w:rsidR="00E60EAE" w:rsidRPr="00CE3D3D" w:rsidRDefault="00E60EAE" w:rsidP="00B71FC0">
      <w:pPr>
        <w:pStyle w:val="Numbered111a"/>
        <w:numPr>
          <w:ilvl w:val="3"/>
          <w:numId w:val="173"/>
        </w:numPr>
      </w:pPr>
      <w:r w:rsidRPr="00CE3D3D">
        <w:t>the Third Party IPRs;</w:t>
      </w:r>
    </w:p>
    <w:p w14:paraId="55EFF474" w14:textId="77777777" w:rsidR="00E60EAE" w:rsidRPr="00CE3D3D" w:rsidRDefault="00E60EAE" w:rsidP="00B71FC0">
      <w:pPr>
        <w:pStyle w:val="Numbered111a"/>
        <w:numPr>
          <w:ilvl w:val="3"/>
          <w:numId w:val="173"/>
        </w:numPr>
      </w:pPr>
      <w:r w:rsidRPr="00CE3D3D">
        <w:t>the Supplier Background IPRs; and</w:t>
      </w:r>
    </w:p>
    <w:p w14:paraId="7181E9B8" w14:textId="77777777" w:rsidR="00E60EAE" w:rsidRPr="00CE3D3D" w:rsidRDefault="00E60EAE" w:rsidP="00B71FC0">
      <w:pPr>
        <w:pStyle w:val="Numbered111a"/>
        <w:numPr>
          <w:ilvl w:val="3"/>
          <w:numId w:val="173"/>
        </w:numPr>
      </w:pPr>
      <w:r w:rsidRPr="00CE3D3D">
        <w:t>any Know-How, trade secrets or Confidential Information of the Supplier contained in any Specially Written Software or Project Specific IPR; and</w:t>
      </w:r>
    </w:p>
    <w:p w14:paraId="1FF0210C" w14:textId="419FA50D" w:rsidR="00E60EAE" w:rsidRPr="00016234" w:rsidRDefault="00E60EAE" w:rsidP="00B71FC0">
      <w:pPr>
        <w:pStyle w:val="Numbered111"/>
        <w:keepNext/>
        <w:numPr>
          <w:ilvl w:val="2"/>
          <w:numId w:val="173"/>
        </w:numPr>
      </w:pPr>
      <w:r w:rsidRPr="0028223C">
        <w:t xml:space="preserve">the Supplier does not acquire any right, title or interest in or to the Intellectual Property Rights of the </w:t>
      </w:r>
      <w:r w:rsidR="00CA505B">
        <w:t>Authority</w:t>
      </w:r>
      <w:r w:rsidR="00CA505B" w:rsidRPr="0028223C">
        <w:t xml:space="preserve"> </w:t>
      </w:r>
      <w:r w:rsidRPr="0028223C">
        <w:t>or its licensors, including:</w:t>
      </w:r>
    </w:p>
    <w:p w14:paraId="5A307DBC" w14:textId="77777777" w:rsidR="00E60EAE" w:rsidRDefault="00E60EAE" w:rsidP="00B71FC0">
      <w:pPr>
        <w:pStyle w:val="Numbered111a"/>
        <w:numPr>
          <w:ilvl w:val="0"/>
          <w:numId w:val="174"/>
        </w:numPr>
      </w:pPr>
      <w:r>
        <w:t>the Authority Software;</w:t>
      </w:r>
    </w:p>
    <w:p w14:paraId="11546DDE" w14:textId="77777777" w:rsidR="00E60EAE" w:rsidRDefault="00E60EAE" w:rsidP="00B71FC0">
      <w:pPr>
        <w:pStyle w:val="Numbered111a"/>
        <w:numPr>
          <w:ilvl w:val="3"/>
          <w:numId w:val="173"/>
        </w:numPr>
      </w:pPr>
      <w:r>
        <w:t>the Authority Data; and</w:t>
      </w:r>
    </w:p>
    <w:p w14:paraId="6F078595" w14:textId="77777777" w:rsidR="00E60EAE" w:rsidRPr="00016234" w:rsidRDefault="00E60EAE" w:rsidP="00B71FC0">
      <w:pPr>
        <w:pStyle w:val="Numbered111a"/>
        <w:numPr>
          <w:ilvl w:val="3"/>
          <w:numId w:val="173"/>
        </w:numPr>
      </w:pPr>
      <w:r>
        <w:t>the Authority Background IPRs; and</w:t>
      </w:r>
    </w:p>
    <w:p w14:paraId="0E9C9E37" w14:textId="77777777" w:rsidR="00E60EAE" w:rsidRPr="00016234" w:rsidRDefault="00E60EAE" w:rsidP="00B71FC0">
      <w:pPr>
        <w:pStyle w:val="Numbered111"/>
        <w:numPr>
          <w:ilvl w:val="2"/>
          <w:numId w:val="173"/>
        </w:numPr>
      </w:pPr>
      <w:r w:rsidRPr="0028223C">
        <w:t>neither Party has the right to use the other Party’s IPRs, including any use of the other Party’s names, logos or trademarks</w:t>
      </w:r>
      <w:r w:rsidRPr="00016234">
        <w:t xml:space="preserve">. </w:t>
      </w:r>
    </w:p>
    <w:p w14:paraId="296E6BD7" w14:textId="7672CD45" w:rsidR="00E60EAE" w:rsidRDefault="00E60EAE" w:rsidP="00B71FC0">
      <w:pPr>
        <w:pStyle w:val="Numbered11"/>
        <w:numPr>
          <w:ilvl w:val="1"/>
          <w:numId w:val="173"/>
        </w:numPr>
      </w:pPr>
      <w:r w:rsidRPr="0028223C">
        <w:t xml:space="preserve">Where either Party acquires, by operation of law, ownership of Intellectual Property Rights that is inconsistent with the requirements of this Schedule </w:t>
      </w:r>
      <w:r w:rsidR="006065F7">
        <w:fldChar w:fldCharType="begin"/>
      </w:r>
      <w:r w:rsidR="006065F7">
        <w:instrText xml:space="preserve"> REF Schedule_32 \h </w:instrText>
      </w:r>
      <w:r w:rsidR="006065F7">
        <w:fldChar w:fldCharType="separate"/>
      </w:r>
      <w:r w:rsidR="009749A0" w:rsidRPr="00EE4F10">
        <w:t>32</w:t>
      </w:r>
      <w:r w:rsidR="006065F7">
        <w:fldChar w:fldCharType="end"/>
      </w:r>
      <w:r w:rsidRPr="0028223C">
        <w:t xml:space="preserve"> (</w:t>
      </w:r>
      <w:r w:rsidRPr="00A660A1">
        <w:rPr>
          <w:i/>
          <w:iCs/>
        </w:rPr>
        <w:t>Intellectual Property Rights</w:t>
      </w:r>
      <w:r w:rsidRPr="0028223C">
        <w:t xml:space="preserve">), it must </w:t>
      </w:r>
      <w:r w:rsidR="007B217F">
        <w:t xml:space="preserve">carry out an </w:t>
      </w:r>
      <w:r w:rsidRPr="0028223C">
        <w:t>assign</w:t>
      </w:r>
      <w:r w:rsidR="007B217F">
        <w:t>ation</w:t>
      </w:r>
      <w:r w:rsidRPr="0028223C">
        <w:t xml:space="preserve"> in writing the Intellectual Property Rights concerned to the other Party on the other Party’s request (whenever made).</w:t>
      </w:r>
    </w:p>
    <w:p w14:paraId="0C2BD201" w14:textId="11026E7C" w:rsidR="00E60EAE" w:rsidRPr="00016234" w:rsidRDefault="00E60EAE" w:rsidP="00E60EAE">
      <w:pPr>
        <w:pStyle w:val="StdBodyText2"/>
        <w:tabs>
          <w:tab w:val="left" w:pos="8364"/>
        </w:tabs>
      </w:pPr>
      <w:r w:rsidRPr="0028223C">
        <w:t>[</w:t>
      </w:r>
      <w:r w:rsidRPr="00964392">
        <w:rPr>
          <w:b/>
          <w:bCs/>
          <w:i/>
          <w:iCs/>
          <w:highlight w:val="yellow"/>
        </w:rPr>
        <w:t xml:space="preserve">Guidance note: the cross references in Paragraph </w:t>
      </w:r>
      <w:r w:rsidRPr="00964392">
        <w:rPr>
          <w:b/>
          <w:bCs/>
          <w:i/>
          <w:iCs/>
          <w:highlight w:val="yellow"/>
        </w:rPr>
        <w:fldChar w:fldCharType="begin"/>
      </w:r>
      <w:r w:rsidRPr="00964392">
        <w:rPr>
          <w:b/>
          <w:bCs/>
          <w:i/>
          <w:iCs/>
          <w:highlight w:val="yellow"/>
        </w:rPr>
        <w:instrText xml:space="preserve"> REF _Ref141111937 \w \h  \* MERGEFORMAT </w:instrText>
      </w:r>
      <w:r w:rsidRPr="00964392">
        <w:rPr>
          <w:b/>
          <w:bCs/>
          <w:i/>
          <w:iCs/>
          <w:highlight w:val="yellow"/>
        </w:rPr>
      </w:r>
      <w:r w:rsidRPr="00964392">
        <w:rPr>
          <w:b/>
          <w:bCs/>
          <w:i/>
          <w:iCs/>
          <w:highlight w:val="yellow"/>
        </w:rPr>
        <w:fldChar w:fldCharType="separate"/>
      </w:r>
      <w:r w:rsidR="009749A0">
        <w:rPr>
          <w:b/>
          <w:bCs/>
          <w:i/>
          <w:iCs/>
          <w:highlight w:val="yellow"/>
        </w:rPr>
        <w:t>1.3</w:t>
      </w:r>
      <w:r w:rsidRPr="00964392">
        <w:rPr>
          <w:b/>
          <w:bCs/>
          <w:i/>
          <w:iCs/>
          <w:highlight w:val="yellow"/>
        </w:rPr>
        <w:fldChar w:fldCharType="end"/>
      </w:r>
      <w:r w:rsidRPr="00964392">
        <w:rPr>
          <w:b/>
          <w:bCs/>
          <w:i/>
          <w:iCs/>
          <w:highlight w:val="yellow"/>
        </w:rPr>
        <w:t xml:space="preserve"> are for Option </w:t>
      </w:r>
      <w:r w:rsidRPr="00964392">
        <w:rPr>
          <w:b/>
          <w:bCs/>
          <w:i/>
          <w:iCs/>
          <w:highlight w:val="yellow"/>
        </w:rPr>
        <w:fldChar w:fldCharType="begin"/>
      </w:r>
      <w:r w:rsidRPr="00964392">
        <w:rPr>
          <w:b/>
          <w:bCs/>
          <w:i/>
          <w:iCs/>
          <w:highlight w:val="yellow"/>
        </w:rPr>
        <w:instrText xml:space="preserve"> REF OPTION1_SCHEDULE32 \h  \* MERGEFORMAT </w:instrText>
      </w:r>
      <w:r w:rsidRPr="00964392">
        <w:rPr>
          <w:b/>
          <w:bCs/>
          <w:i/>
          <w:iCs/>
          <w:highlight w:val="yellow"/>
        </w:rPr>
      </w:r>
      <w:r w:rsidRPr="00964392">
        <w:rPr>
          <w:b/>
          <w:bCs/>
          <w:i/>
          <w:iCs/>
          <w:highlight w:val="yellow"/>
        </w:rPr>
        <w:fldChar w:fldCharType="separate"/>
      </w:r>
      <w:r w:rsidR="009749A0" w:rsidRPr="00B664D1">
        <w:rPr>
          <w:b/>
          <w:bCs/>
          <w:i/>
          <w:iCs/>
          <w:highlight w:val="yellow"/>
        </w:rPr>
        <w:t>1</w:t>
      </w:r>
      <w:r w:rsidRPr="00964392">
        <w:rPr>
          <w:b/>
          <w:bCs/>
          <w:i/>
          <w:iCs/>
          <w:highlight w:val="yellow"/>
        </w:rPr>
        <w:fldChar w:fldCharType="end"/>
      </w:r>
      <w:r w:rsidRPr="00964392">
        <w:rPr>
          <w:b/>
          <w:bCs/>
          <w:i/>
          <w:iCs/>
          <w:highlight w:val="yellow"/>
        </w:rPr>
        <w:t xml:space="preserve"> and should be updated for Option </w:t>
      </w:r>
      <w:r w:rsidRPr="00964392">
        <w:rPr>
          <w:b/>
          <w:bCs/>
          <w:i/>
          <w:iCs/>
          <w:highlight w:val="yellow"/>
        </w:rPr>
        <w:fldChar w:fldCharType="begin"/>
      </w:r>
      <w:r w:rsidRPr="00964392">
        <w:rPr>
          <w:b/>
          <w:bCs/>
          <w:i/>
          <w:iCs/>
          <w:highlight w:val="yellow"/>
        </w:rPr>
        <w:instrText xml:space="preserve"> REF OPTION2_SCHEDULE32 \h  \* MERGEFORMAT </w:instrText>
      </w:r>
      <w:r w:rsidRPr="00964392">
        <w:rPr>
          <w:b/>
          <w:bCs/>
          <w:i/>
          <w:iCs/>
          <w:highlight w:val="yellow"/>
        </w:rPr>
      </w:r>
      <w:r w:rsidRPr="00964392">
        <w:rPr>
          <w:b/>
          <w:bCs/>
          <w:i/>
          <w:iCs/>
          <w:highlight w:val="yellow"/>
        </w:rPr>
        <w:fldChar w:fldCharType="separate"/>
      </w:r>
      <w:r w:rsidR="009749A0" w:rsidRPr="00B664D1">
        <w:rPr>
          <w:b/>
          <w:bCs/>
          <w:i/>
          <w:iCs/>
          <w:highlight w:val="yellow"/>
        </w:rPr>
        <w:t>2</w:t>
      </w:r>
      <w:r w:rsidRPr="00964392">
        <w:rPr>
          <w:b/>
          <w:bCs/>
          <w:i/>
          <w:iCs/>
          <w:highlight w:val="yellow"/>
        </w:rPr>
        <w:fldChar w:fldCharType="end"/>
      </w:r>
      <w:r w:rsidRPr="00964392">
        <w:rPr>
          <w:b/>
          <w:bCs/>
          <w:i/>
          <w:iCs/>
          <w:highlight w:val="yellow"/>
        </w:rPr>
        <w:t xml:space="preserve"> to </w:t>
      </w:r>
      <w:r w:rsidRPr="00964392">
        <w:rPr>
          <w:b/>
          <w:bCs/>
          <w:i/>
          <w:iCs/>
          <w:highlight w:val="yellow"/>
        </w:rPr>
        <w:fldChar w:fldCharType="begin"/>
      </w:r>
      <w:r w:rsidRPr="00964392">
        <w:rPr>
          <w:b/>
          <w:bCs/>
          <w:i/>
          <w:iCs/>
          <w:highlight w:val="yellow"/>
        </w:rPr>
        <w:instrText xml:space="preserve"> REF _Ref140100775 \w \h  \* MERGEFORMAT </w:instrText>
      </w:r>
      <w:r w:rsidRPr="00964392">
        <w:rPr>
          <w:b/>
          <w:bCs/>
          <w:i/>
          <w:iCs/>
          <w:highlight w:val="yellow"/>
        </w:rPr>
      </w:r>
      <w:r w:rsidRPr="00964392">
        <w:rPr>
          <w:b/>
          <w:bCs/>
          <w:i/>
          <w:iCs/>
          <w:highlight w:val="yellow"/>
        </w:rPr>
        <w:fldChar w:fldCharType="separate"/>
      </w:r>
      <w:r w:rsidR="009749A0">
        <w:rPr>
          <w:b/>
          <w:bCs/>
          <w:i/>
          <w:iCs/>
          <w:highlight w:val="yellow"/>
        </w:rPr>
        <w:t>2</w:t>
      </w:r>
      <w:r w:rsidRPr="00964392">
        <w:rPr>
          <w:b/>
          <w:bCs/>
          <w:i/>
          <w:iCs/>
          <w:highlight w:val="yellow"/>
        </w:rPr>
        <w:fldChar w:fldCharType="end"/>
      </w:r>
      <w:r w:rsidRPr="00964392">
        <w:rPr>
          <w:b/>
          <w:bCs/>
          <w:i/>
          <w:iCs/>
          <w:highlight w:val="yellow"/>
        </w:rPr>
        <w:t xml:space="preserve">, </w:t>
      </w:r>
      <w:r w:rsidRPr="00964392">
        <w:rPr>
          <w:b/>
          <w:bCs/>
          <w:i/>
          <w:iCs/>
          <w:highlight w:val="yellow"/>
        </w:rPr>
        <w:fldChar w:fldCharType="begin"/>
      </w:r>
      <w:r w:rsidRPr="00964392">
        <w:rPr>
          <w:b/>
          <w:bCs/>
          <w:i/>
          <w:iCs/>
          <w:highlight w:val="yellow"/>
        </w:rPr>
        <w:instrText xml:space="preserve"> REF _Ref140767399 \w \h  \* MERGEFORMAT </w:instrText>
      </w:r>
      <w:r w:rsidRPr="00964392">
        <w:rPr>
          <w:b/>
          <w:bCs/>
          <w:i/>
          <w:iCs/>
          <w:highlight w:val="yellow"/>
        </w:rPr>
      </w:r>
      <w:r w:rsidRPr="00964392">
        <w:rPr>
          <w:b/>
          <w:bCs/>
          <w:i/>
          <w:iCs/>
          <w:highlight w:val="yellow"/>
        </w:rPr>
        <w:fldChar w:fldCharType="separate"/>
      </w:r>
      <w:r w:rsidR="009749A0">
        <w:rPr>
          <w:b/>
          <w:bCs/>
          <w:i/>
          <w:iCs/>
          <w:highlight w:val="yellow"/>
        </w:rPr>
        <w:t>3</w:t>
      </w:r>
      <w:r w:rsidRPr="00964392">
        <w:rPr>
          <w:b/>
          <w:bCs/>
          <w:i/>
          <w:iCs/>
          <w:highlight w:val="yellow"/>
        </w:rPr>
        <w:fldChar w:fldCharType="end"/>
      </w:r>
      <w:r w:rsidRPr="00964392">
        <w:rPr>
          <w:b/>
          <w:bCs/>
          <w:i/>
          <w:iCs/>
          <w:highlight w:val="yellow"/>
        </w:rPr>
        <w:t xml:space="preserve"> and </w:t>
      </w:r>
      <w:r w:rsidRPr="00964392">
        <w:rPr>
          <w:b/>
          <w:bCs/>
          <w:i/>
          <w:iCs/>
          <w:highlight w:val="yellow"/>
        </w:rPr>
        <w:fldChar w:fldCharType="begin"/>
      </w:r>
      <w:r w:rsidRPr="00964392">
        <w:rPr>
          <w:b/>
          <w:bCs/>
          <w:i/>
          <w:iCs/>
          <w:highlight w:val="yellow"/>
        </w:rPr>
        <w:instrText xml:space="preserve"> REF _Ref140100250 \w \h  \* MERGEFORMAT </w:instrText>
      </w:r>
      <w:r w:rsidRPr="00964392">
        <w:rPr>
          <w:b/>
          <w:bCs/>
          <w:i/>
          <w:iCs/>
          <w:highlight w:val="yellow"/>
        </w:rPr>
      </w:r>
      <w:r w:rsidRPr="00964392">
        <w:rPr>
          <w:b/>
          <w:bCs/>
          <w:i/>
          <w:iCs/>
          <w:highlight w:val="yellow"/>
        </w:rPr>
        <w:fldChar w:fldCharType="separate"/>
      </w:r>
      <w:r w:rsidR="009749A0">
        <w:rPr>
          <w:b/>
          <w:bCs/>
          <w:i/>
          <w:iCs/>
          <w:highlight w:val="yellow"/>
        </w:rPr>
        <w:t>7</w:t>
      </w:r>
      <w:r w:rsidRPr="00964392">
        <w:rPr>
          <w:b/>
          <w:bCs/>
          <w:i/>
          <w:iCs/>
          <w:highlight w:val="yellow"/>
        </w:rPr>
        <w:fldChar w:fldCharType="end"/>
      </w:r>
      <w:r w:rsidRPr="00964392">
        <w:rPr>
          <w:b/>
          <w:bCs/>
          <w:i/>
          <w:iCs/>
          <w:highlight w:val="yellow"/>
        </w:rPr>
        <w:t xml:space="preserve">; Option </w:t>
      </w:r>
      <w:r w:rsidRPr="00964392">
        <w:rPr>
          <w:b/>
          <w:bCs/>
          <w:i/>
          <w:iCs/>
          <w:highlight w:val="yellow"/>
        </w:rPr>
        <w:fldChar w:fldCharType="begin"/>
      </w:r>
      <w:r w:rsidRPr="00964392">
        <w:rPr>
          <w:b/>
          <w:bCs/>
          <w:i/>
          <w:iCs/>
          <w:highlight w:val="yellow"/>
        </w:rPr>
        <w:instrText xml:space="preserve"> REF OPTION3_SCHEDULE32 \h  \* MERGEFORMAT </w:instrText>
      </w:r>
      <w:r w:rsidRPr="00964392">
        <w:rPr>
          <w:b/>
          <w:bCs/>
          <w:i/>
          <w:iCs/>
          <w:highlight w:val="yellow"/>
        </w:rPr>
      </w:r>
      <w:r w:rsidRPr="00964392">
        <w:rPr>
          <w:b/>
          <w:bCs/>
          <w:i/>
          <w:iCs/>
          <w:highlight w:val="yellow"/>
        </w:rPr>
        <w:fldChar w:fldCharType="separate"/>
      </w:r>
      <w:r w:rsidR="009749A0" w:rsidRPr="00B664D1">
        <w:rPr>
          <w:b/>
          <w:bCs/>
          <w:i/>
          <w:iCs/>
          <w:highlight w:val="yellow"/>
        </w:rPr>
        <w:t>3</w:t>
      </w:r>
      <w:r w:rsidRPr="00964392">
        <w:rPr>
          <w:b/>
          <w:bCs/>
          <w:i/>
          <w:iCs/>
          <w:highlight w:val="yellow"/>
        </w:rPr>
        <w:fldChar w:fldCharType="end"/>
      </w:r>
      <w:r w:rsidRPr="00964392">
        <w:rPr>
          <w:b/>
          <w:bCs/>
          <w:i/>
          <w:iCs/>
          <w:highlight w:val="yellow"/>
        </w:rPr>
        <w:t xml:space="preserve"> to Paragraphs </w:t>
      </w:r>
      <w:r w:rsidRPr="00964392">
        <w:rPr>
          <w:b/>
          <w:bCs/>
          <w:i/>
          <w:iCs/>
          <w:highlight w:val="yellow"/>
        </w:rPr>
        <w:fldChar w:fldCharType="begin"/>
      </w:r>
      <w:r w:rsidRPr="00964392">
        <w:rPr>
          <w:b/>
          <w:bCs/>
          <w:i/>
          <w:iCs/>
          <w:highlight w:val="yellow"/>
        </w:rPr>
        <w:instrText xml:space="preserve"> REF _Ref140133039 \w \h  \* MERGEFORMAT </w:instrText>
      </w:r>
      <w:r w:rsidRPr="00964392">
        <w:rPr>
          <w:b/>
          <w:bCs/>
          <w:i/>
          <w:iCs/>
          <w:highlight w:val="yellow"/>
        </w:rPr>
      </w:r>
      <w:r w:rsidRPr="00964392">
        <w:rPr>
          <w:b/>
          <w:bCs/>
          <w:i/>
          <w:iCs/>
          <w:highlight w:val="yellow"/>
        </w:rPr>
        <w:fldChar w:fldCharType="separate"/>
      </w:r>
      <w:r w:rsidR="009749A0">
        <w:rPr>
          <w:b/>
          <w:bCs/>
          <w:i/>
          <w:iCs/>
          <w:highlight w:val="yellow"/>
        </w:rPr>
        <w:t>2</w:t>
      </w:r>
      <w:r w:rsidRPr="00964392">
        <w:rPr>
          <w:b/>
          <w:bCs/>
          <w:i/>
          <w:iCs/>
          <w:highlight w:val="yellow"/>
        </w:rPr>
        <w:fldChar w:fldCharType="end"/>
      </w:r>
      <w:r w:rsidRPr="00964392">
        <w:rPr>
          <w:b/>
          <w:bCs/>
          <w:i/>
          <w:iCs/>
          <w:highlight w:val="yellow"/>
        </w:rPr>
        <w:t xml:space="preserve"> and </w:t>
      </w:r>
      <w:r w:rsidRPr="00964392">
        <w:rPr>
          <w:b/>
          <w:bCs/>
          <w:i/>
          <w:iCs/>
          <w:highlight w:val="yellow"/>
        </w:rPr>
        <w:fldChar w:fldCharType="begin"/>
      </w:r>
      <w:r w:rsidRPr="00964392">
        <w:rPr>
          <w:b/>
          <w:bCs/>
          <w:i/>
          <w:iCs/>
          <w:highlight w:val="yellow"/>
        </w:rPr>
        <w:instrText xml:space="preserve"> REF _Ref140767086 \w \h  \* MERGEFORMAT </w:instrText>
      </w:r>
      <w:r w:rsidRPr="00964392">
        <w:rPr>
          <w:b/>
          <w:bCs/>
          <w:i/>
          <w:iCs/>
          <w:highlight w:val="yellow"/>
        </w:rPr>
      </w:r>
      <w:r w:rsidRPr="00964392">
        <w:rPr>
          <w:b/>
          <w:bCs/>
          <w:i/>
          <w:iCs/>
          <w:highlight w:val="yellow"/>
        </w:rPr>
        <w:fldChar w:fldCharType="separate"/>
      </w:r>
      <w:r w:rsidR="009749A0">
        <w:rPr>
          <w:b/>
          <w:bCs/>
          <w:i/>
          <w:iCs/>
          <w:highlight w:val="yellow"/>
        </w:rPr>
        <w:t>5</w:t>
      </w:r>
      <w:r w:rsidRPr="00964392">
        <w:rPr>
          <w:b/>
          <w:bCs/>
          <w:i/>
          <w:iCs/>
          <w:highlight w:val="yellow"/>
        </w:rPr>
        <w:fldChar w:fldCharType="end"/>
      </w:r>
      <w:r w:rsidRPr="00964392">
        <w:rPr>
          <w:b/>
          <w:bCs/>
          <w:i/>
          <w:iCs/>
          <w:highlight w:val="yellow"/>
        </w:rPr>
        <w:t xml:space="preserve">; and for Option </w:t>
      </w:r>
      <w:r w:rsidRPr="00964392">
        <w:rPr>
          <w:b/>
          <w:bCs/>
          <w:i/>
          <w:iCs/>
          <w:highlight w:val="yellow"/>
        </w:rPr>
        <w:fldChar w:fldCharType="begin"/>
      </w:r>
      <w:r w:rsidRPr="00964392">
        <w:rPr>
          <w:b/>
          <w:bCs/>
          <w:i/>
          <w:iCs/>
          <w:highlight w:val="yellow"/>
        </w:rPr>
        <w:instrText xml:space="preserve"> REF OPTION4_SCHEDULE32 \h  \* MERGEFORMAT </w:instrText>
      </w:r>
      <w:r w:rsidRPr="00964392">
        <w:rPr>
          <w:b/>
          <w:bCs/>
          <w:i/>
          <w:iCs/>
          <w:highlight w:val="yellow"/>
        </w:rPr>
      </w:r>
      <w:r w:rsidRPr="00964392">
        <w:rPr>
          <w:b/>
          <w:bCs/>
          <w:i/>
          <w:iCs/>
          <w:highlight w:val="yellow"/>
        </w:rPr>
        <w:fldChar w:fldCharType="separate"/>
      </w:r>
      <w:r w:rsidR="009749A0" w:rsidRPr="000D10B1">
        <w:rPr>
          <w:b/>
          <w:bCs/>
          <w:i/>
          <w:iCs/>
          <w:highlight w:val="yellow"/>
        </w:rPr>
        <w:t>4</w:t>
      </w:r>
      <w:r w:rsidRPr="00964392">
        <w:rPr>
          <w:b/>
          <w:bCs/>
          <w:i/>
          <w:iCs/>
          <w:highlight w:val="yellow"/>
        </w:rPr>
        <w:fldChar w:fldCharType="end"/>
      </w:r>
      <w:r w:rsidRPr="00964392">
        <w:rPr>
          <w:b/>
          <w:bCs/>
          <w:i/>
          <w:iCs/>
          <w:highlight w:val="yellow"/>
        </w:rPr>
        <w:t xml:space="preserve"> to </w:t>
      </w:r>
      <w:r w:rsidRPr="00964392">
        <w:rPr>
          <w:b/>
          <w:bCs/>
          <w:i/>
          <w:iCs/>
          <w:highlight w:val="yellow"/>
        </w:rPr>
        <w:fldChar w:fldCharType="begin"/>
      </w:r>
      <w:r w:rsidRPr="00964392">
        <w:rPr>
          <w:b/>
          <w:bCs/>
          <w:i/>
          <w:iCs/>
          <w:highlight w:val="yellow"/>
        </w:rPr>
        <w:instrText xml:space="preserve"> REF _Ref140767308 \w \h  \* MERGEFORMAT </w:instrText>
      </w:r>
      <w:r w:rsidRPr="00964392">
        <w:rPr>
          <w:b/>
          <w:bCs/>
          <w:i/>
          <w:iCs/>
          <w:highlight w:val="yellow"/>
        </w:rPr>
      </w:r>
      <w:r w:rsidRPr="00964392">
        <w:rPr>
          <w:b/>
          <w:bCs/>
          <w:i/>
          <w:iCs/>
          <w:highlight w:val="yellow"/>
        </w:rPr>
        <w:fldChar w:fldCharType="separate"/>
      </w:r>
      <w:r w:rsidR="009749A0">
        <w:rPr>
          <w:b/>
          <w:bCs/>
          <w:i/>
          <w:iCs/>
          <w:highlight w:val="yellow"/>
        </w:rPr>
        <w:t>2</w:t>
      </w:r>
      <w:r w:rsidRPr="00964392">
        <w:rPr>
          <w:b/>
          <w:bCs/>
          <w:i/>
          <w:iCs/>
          <w:highlight w:val="yellow"/>
        </w:rPr>
        <w:fldChar w:fldCharType="end"/>
      </w:r>
      <w:r w:rsidRPr="00964392">
        <w:rPr>
          <w:b/>
          <w:bCs/>
          <w:i/>
          <w:iCs/>
          <w:highlight w:val="yellow"/>
        </w:rPr>
        <w:t xml:space="preserve"> and </w:t>
      </w:r>
      <w:r w:rsidRPr="00964392">
        <w:rPr>
          <w:b/>
          <w:bCs/>
          <w:i/>
          <w:iCs/>
          <w:highlight w:val="yellow"/>
        </w:rPr>
        <w:fldChar w:fldCharType="begin"/>
      </w:r>
      <w:r w:rsidRPr="00964392">
        <w:rPr>
          <w:b/>
          <w:bCs/>
          <w:i/>
          <w:iCs/>
          <w:highlight w:val="yellow"/>
        </w:rPr>
        <w:instrText xml:space="preserve"> REF _Ref140767324 \w \h  \* MERGEFORMAT </w:instrText>
      </w:r>
      <w:r w:rsidRPr="00964392">
        <w:rPr>
          <w:b/>
          <w:bCs/>
          <w:i/>
          <w:iCs/>
          <w:highlight w:val="yellow"/>
        </w:rPr>
      </w:r>
      <w:r w:rsidRPr="00964392">
        <w:rPr>
          <w:b/>
          <w:bCs/>
          <w:i/>
          <w:iCs/>
          <w:highlight w:val="yellow"/>
        </w:rPr>
        <w:fldChar w:fldCharType="separate"/>
      </w:r>
      <w:r w:rsidR="009749A0">
        <w:rPr>
          <w:b/>
          <w:bCs/>
          <w:i/>
          <w:iCs/>
          <w:highlight w:val="yellow"/>
        </w:rPr>
        <w:t>5</w:t>
      </w:r>
      <w:r w:rsidRPr="00964392">
        <w:rPr>
          <w:b/>
          <w:bCs/>
          <w:i/>
          <w:iCs/>
          <w:highlight w:val="yellow"/>
        </w:rPr>
        <w:fldChar w:fldCharType="end"/>
      </w:r>
      <w:r>
        <w:t>]</w:t>
      </w:r>
    </w:p>
    <w:p w14:paraId="08241B00" w14:textId="04D5D154" w:rsidR="00E60EAE" w:rsidRDefault="00E60EAE" w:rsidP="00B71FC0">
      <w:pPr>
        <w:pStyle w:val="Numbered11"/>
        <w:numPr>
          <w:ilvl w:val="1"/>
          <w:numId w:val="173"/>
        </w:numPr>
      </w:pPr>
      <w:bookmarkStart w:id="2195" w:name="_Ref141111937"/>
      <w:r w:rsidRPr="0028223C">
        <w:t xml:space="preserve">If the Supplier becomes aware at any time, including after the Term, that, in respect of any Deliverable, the Authority has not received the licences to the Supplier Software, the Third Party Software, the Third Party IPRs and the Supplier Background IPRs required by Paragraphs </w:t>
      </w:r>
      <w:r>
        <w:fldChar w:fldCharType="begin"/>
      </w:r>
      <w:r>
        <w:instrText xml:space="preserve"> REF _Ref140766633 \w \h </w:instrText>
      </w:r>
      <w:r>
        <w:fldChar w:fldCharType="separate"/>
      </w:r>
      <w:r w:rsidR="009749A0">
        <w:t>2</w:t>
      </w:r>
      <w:r>
        <w:fldChar w:fldCharType="end"/>
      </w:r>
      <w:r w:rsidRPr="0028223C">
        <w:t xml:space="preserve">, </w:t>
      </w:r>
      <w:r>
        <w:fldChar w:fldCharType="begin"/>
      </w:r>
      <w:r>
        <w:instrText xml:space="preserve"> REF _Ref140766637 \w \h </w:instrText>
      </w:r>
      <w:r>
        <w:fldChar w:fldCharType="separate"/>
      </w:r>
      <w:r w:rsidR="009749A0">
        <w:t>3</w:t>
      </w:r>
      <w:r>
        <w:fldChar w:fldCharType="end"/>
      </w:r>
      <w:r w:rsidRPr="0028223C">
        <w:t xml:space="preserve"> and </w:t>
      </w:r>
      <w:r>
        <w:fldChar w:fldCharType="begin"/>
      </w:r>
      <w:r>
        <w:instrText xml:space="preserve"> REF _Ref140096688 \w \h </w:instrText>
      </w:r>
      <w:r>
        <w:fldChar w:fldCharType="separate"/>
      </w:r>
      <w:r w:rsidR="009749A0">
        <w:t>5</w:t>
      </w:r>
      <w:r>
        <w:fldChar w:fldCharType="end"/>
      </w:r>
      <w:r w:rsidRPr="0028223C">
        <w:t>, the Supplier must, within 10 Working Days notify the Authority:</w:t>
      </w:r>
      <w:bookmarkEnd w:id="2195"/>
    </w:p>
    <w:p w14:paraId="6C2C9009" w14:textId="77777777" w:rsidR="00E60EAE" w:rsidRDefault="00E60EAE" w:rsidP="00B71FC0">
      <w:pPr>
        <w:pStyle w:val="Numbered111"/>
        <w:numPr>
          <w:ilvl w:val="2"/>
          <w:numId w:val="173"/>
        </w:numPr>
      </w:pPr>
      <w:r>
        <w:t>the specific Intellectual Property Rights the Authority has not received licences to; and</w:t>
      </w:r>
    </w:p>
    <w:p w14:paraId="049E9C97" w14:textId="77777777" w:rsidR="00E60EAE" w:rsidRPr="00016234" w:rsidRDefault="00E60EAE" w:rsidP="00B71FC0">
      <w:pPr>
        <w:pStyle w:val="Numbered111"/>
        <w:numPr>
          <w:ilvl w:val="2"/>
          <w:numId w:val="173"/>
        </w:numPr>
      </w:pPr>
      <w:r>
        <w:t>the Deliverables affected.</w:t>
      </w:r>
    </w:p>
    <w:p w14:paraId="53E9EEF2" w14:textId="77777777" w:rsidR="00E60EAE" w:rsidRPr="00016234" w:rsidRDefault="00E60EAE" w:rsidP="00B71FC0">
      <w:pPr>
        <w:pStyle w:val="Numbered11"/>
        <w:numPr>
          <w:ilvl w:val="1"/>
          <w:numId w:val="173"/>
        </w:numPr>
      </w:pPr>
      <w:r w:rsidRPr="0028223C">
        <w:t>Where a patent owned by the Supplier is infringed by the use of the Specially Written Software or Project Specific IPR by the Authority or any Replacement Supplier, the Supplier hereby grants to the Authority and the Replacement Supplier a non-exclusive, irrevocable, royalty-free, worldwide patent licence to use the infringing methods, materials or software.</w:t>
      </w:r>
    </w:p>
    <w:p w14:paraId="5080AC8E" w14:textId="29C3E97C" w:rsidR="00E60EAE" w:rsidRDefault="00E60EAE" w:rsidP="00B71FC0">
      <w:pPr>
        <w:pStyle w:val="Numbered11"/>
        <w:keepNext/>
        <w:numPr>
          <w:ilvl w:val="1"/>
          <w:numId w:val="173"/>
        </w:numPr>
      </w:pPr>
      <w:r w:rsidRPr="0028223C">
        <w:lastRenderedPageBreak/>
        <w:t xml:space="preserve">Unless otherwise agreed in writing, the Supplier will record in the table at Annex </w:t>
      </w:r>
      <w:r>
        <w:fldChar w:fldCharType="begin"/>
      </w:r>
      <w:r>
        <w:instrText xml:space="preserve"> REF ANNEX1_SCHEDULE32 \h </w:instrText>
      </w:r>
      <w:r>
        <w:fldChar w:fldCharType="separate"/>
      </w:r>
      <w:r w:rsidR="009749A0" w:rsidRPr="001B4E17">
        <w:t>1</w:t>
      </w:r>
      <w:r>
        <w:fldChar w:fldCharType="end"/>
      </w:r>
      <w:r w:rsidRPr="0028223C">
        <w:t xml:space="preserve"> to this Schedule and keep updated throughout the Term:</w:t>
      </w:r>
    </w:p>
    <w:p w14:paraId="736899FA" w14:textId="77777777" w:rsidR="00E60EAE" w:rsidRDefault="00E60EAE" w:rsidP="00B71FC0">
      <w:pPr>
        <w:pStyle w:val="Numbered111"/>
        <w:numPr>
          <w:ilvl w:val="2"/>
          <w:numId w:val="173"/>
        </w:numPr>
      </w:pPr>
      <w:r>
        <w:t>any Specially Written Software and Project Specific IPR; and</w:t>
      </w:r>
    </w:p>
    <w:p w14:paraId="0EE7F639" w14:textId="77777777" w:rsidR="00E60EAE" w:rsidRDefault="00E60EAE" w:rsidP="00B71FC0">
      <w:pPr>
        <w:pStyle w:val="Numbered111"/>
        <w:keepNext/>
        <w:numPr>
          <w:ilvl w:val="2"/>
          <w:numId w:val="173"/>
        </w:numPr>
      </w:pPr>
      <w:r>
        <w:t>where:</w:t>
      </w:r>
    </w:p>
    <w:p w14:paraId="73DD997C" w14:textId="77777777" w:rsidR="00E60EAE" w:rsidRDefault="00E60EAE" w:rsidP="00B71FC0">
      <w:pPr>
        <w:pStyle w:val="Numbered111a"/>
        <w:numPr>
          <w:ilvl w:val="3"/>
          <w:numId w:val="173"/>
        </w:numPr>
      </w:pPr>
      <w:r>
        <w:t>the Specially Written Software or Project Specific IPR adapts Supplier Software, Third Party Software, Third Party IPRs, or Supplier Background IPRs; or</w:t>
      </w:r>
    </w:p>
    <w:p w14:paraId="17560D68" w14:textId="77777777" w:rsidR="00E60EAE" w:rsidRPr="00016234" w:rsidRDefault="00E60EAE" w:rsidP="00B71FC0">
      <w:pPr>
        <w:pStyle w:val="Numbered111a"/>
        <w:numPr>
          <w:ilvl w:val="3"/>
          <w:numId w:val="173"/>
        </w:numPr>
      </w:pPr>
      <w:r>
        <w:t>Supplier Software, Third Party Software, Third Party IPRs, or Supplier Background IPRs is embedded in, or forms an integral part of, the Specially Written Software or Project Specific IPR;</w:t>
      </w:r>
    </w:p>
    <w:p w14:paraId="5B4CFCDC" w14:textId="77777777" w:rsidR="00E60EAE" w:rsidRDefault="00E60EAE" w:rsidP="00E60EAE">
      <w:pPr>
        <w:pStyle w:val="StdBodyText3"/>
      </w:pPr>
      <w:bookmarkStart w:id="2196" w:name="_Ref_ContractCompanion_9kb9Ur08G"/>
      <w:bookmarkStart w:id="2197" w:name="_Ref_ContractCompanion_9kb9Ur237"/>
      <w:bookmarkStart w:id="2198" w:name="_9kR3WTrAG867DhQx1n7JHNqI0xG9w96376C41DC"/>
      <w:bookmarkStart w:id="2199" w:name="_9kR3WTr299DECgQx1n7JHNqI0xG9w96376C41DC"/>
      <w:bookmarkStart w:id="2200" w:name="_Toc44585082"/>
      <w:r w:rsidRPr="0028223C">
        <w:t>full details of the Supplier Software, Third Party Software, Third Party IPRs, or Supplier Background IPRs.</w:t>
      </w:r>
    </w:p>
    <w:p w14:paraId="338D78F6" w14:textId="77777777" w:rsidR="00E60EAE" w:rsidRDefault="00E60EAE" w:rsidP="00B71FC0">
      <w:pPr>
        <w:pStyle w:val="Numbered11"/>
        <w:keepNext/>
        <w:numPr>
          <w:ilvl w:val="1"/>
          <w:numId w:val="173"/>
        </w:numPr>
      </w:pPr>
      <w:r>
        <w:t>For the avoidance of doubt:</w:t>
      </w:r>
    </w:p>
    <w:p w14:paraId="55664491" w14:textId="1D3365DF" w:rsidR="00E60EAE" w:rsidRDefault="00E60EAE" w:rsidP="00B71FC0">
      <w:pPr>
        <w:pStyle w:val="Numbered111"/>
        <w:numPr>
          <w:ilvl w:val="2"/>
          <w:numId w:val="173"/>
        </w:numPr>
      </w:pPr>
      <w:r>
        <w:t>except as provided for in Paragraph </w:t>
      </w:r>
      <w:r>
        <w:fldChar w:fldCharType="begin"/>
      </w:r>
      <w:r>
        <w:instrText xml:space="preserve"> REF _Ref139986097 \w \h </w:instrText>
      </w:r>
      <w:r>
        <w:fldChar w:fldCharType="separate"/>
      </w:r>
      <w:r w:rsidR="009749A0">
        <w:t>2.2.3(c)(ii)</w:t>
      </w:r>
      <w:r>
        <w:fldChar w:fldCharType="end"/>
      </w:r>
      <w:r>
        <w:t>, the expiry or termination of this Contract does not of itself terminate the licences granted to the Authority under Paragraph </w:t>
      </w:r>
      <w:r>
        <w:fldChar w:fldCharType="begin"/>
      </w:r>
      <w:r>
        <w:instrText xml:space="preserve"> REF _Ref140766633 \w \h </w:instrText>
      </w:r>
      <w:r>
        <w:fldChar w:fldCharType="separate"/>
      </w:r>
      <w:r w:rsidR="009749A0">
        <w:t>2</w:t>
      </w:r>
      <w:r>
        <w:fldChar w:fldCharType="end"/>
      </w:r>
      <w:r>
        <w:t>;</w:t>
      </w:r>
    </w:p>
    <w:p w14:paraId="4F61484A" w14:textId="77777777" w:rsidR="00E60EAE" w:rsidRDefault="00E60EAE" w:rsidP="00B71FC0">
      <w:pPr>
        <w:pStyle w:val="Numbered111"/>
        <w:keepNext/>
        <w:numPr>
          <w:ilvl w:val="2"/>
          <w:numId w:val="173"/>
        </w:numPr>
      </w:pPr>
      <w:r>
        <w:t>the award of this Contract or the ordering of any Deliverables does not constitute an authorisation by the Crown under:</w:t>
      </w:r>
    </w:p>
    <w:p w14:paraId="621F2203" w14:textId="77777777" w:rsidR="00E60EAE" w:rsidRDefault="00E60EAE" w:rsidP="00B71FC0">
      <w:pPr>
        <w:pStyle w:val="Numbered111a"/>
        <w:numPr>
          <w:ilvl w:val="3"/>
          <w:numId w:val="173"/>
        </w:numPr>
      </w:pPr>
      <w:r>
        <w:t>Sections 55 and 56 of the Patents Act 1977;</w:t>
      </w:r>
    </w:p>
    <w:p w14:paraId="5F68B2D7" w14:textId="77777777" w:rsidR="00E60EAE" w:rsidRDefault="00E60EAE" w:rsidP="00B71FC0">
      <w:pPr>
        <w:pStyle w:val="Numbered111a"/>
        <w:numPr>
          <w:ilvl w:val="3"/>
          <w:numId w:val="173"/>
        </w:numPr>
      </w:pPr>
      <w:r>
        <w:t>section 12 of the Registered Designs Act 1949; or</w:t>
      </w:r>
    </w:p>
    <w:p w14:paraId="4EA1D592" w14:textId="77777777" w:rsidR="00E60EAE" w:rsidRDefault="00E60EAE" w:rsidP="00B71FC0">
      <w:pPr>
        <w:pStyle w:val="Numbered111a"/>
        <w:numPr>
          <w:ilvl w:val="3"/>
          <w:numId w:val="173"/>
        </w:numPr>
      </w:pPr>
      <w:r>
        <w:t>sections 240 to 243 of the Copyright, Designs and Patents Act 1988.</w:t>
      </w:r>
    </w:p>
    <w:p w14:paraId="318B185C" w14:textId="6E9EE206" w:rsidR="00E60EAE" w:rsidRDefault="00E60EAE" w:rsidP="00E60EAE">
      <w:pPr>
        <w:pStyle w:val="StdBodyText4"/>
        <w:ind w:left="0"/>
        <w:rPr>
          <w:bCs/>
          <w:iCs/>
        </w:rPr>
      </w:pPr>
      <w:r w:rsidRPr="00FB3CC1">
        <w:rPr>
          <w:b/>
          <w:iCs/>
        </w:rPr>
        <w:t>[</w:t>
      </w:r>
      <w:r w:rsidRPr="00964392">
        <w:rPr>
          <w:b/>
          <w:i/>
          <w:highlight w:val="yellow"/>
        </w:rPr>
        <w:t>Guidance note:</w:t>
      </w:r>
      <w:r w:rsidRPr="00964392">
        <w:rPr>
          <w:bCs/>
          <w:i/>
          <w:highlight w:val="yellow"/>
        </w:rPr>
        <w:t xml:space="preserve"> for </w:t>
      </w:r>
      <w:r w:rsidRPr="00964392">
        <w:rPr>
          <w:bCs/>
          <w:i/>
          <w:highlight w:val="yellow"/>
          <w:u w:val="single"/>
        </w:rPr>
        <w:t xml:space="preserve">Option </w:t>
      </w:r>
      <w:r w:rsidRPr="00964392">
        <w:rPr>
          <w:bCs/>
          <w:i/>
          <w:highlight w:val="yellow"/>
          <w:u w:val="single"/>
        </w:rPr>
        <w:fldChar w:fldCharType="begin"/>
      </w:r>
      <w:r w:rsidRPr="00964392">
        <w:rPr>
          <w:bCs/>
          <w:i/>
          <w:highlight w:val="yellow"/>
          <w:u w:val="single"/>
        </w:rPr>
        <w:instrText xml:space="preserve"> REF OPTION1_SCHEDULE32 \h  \* MERGEFORMAT </w:instrText>
      </w:r>
      <w:r w:rsidRPr="00964392">
        <w:rPr>
          <w:bCs/>
          <w:i/>
          <w:highlight w:val="yellow"/>
          <w:u w:val="single"/>
        </w:rPr>
      </w:r>
      <w:r w:rsidRPr="00964392">
        <w:rPr>
          <w:bCs/>
          <w:i/>
          <w:highlight w:val="yellow"/>
          <w:u w:val="single"/>
        </w:rPr>
        <w:fldChar w:fldCharType="separate"/>
      </w:r>
      <w:r w:rsidR="009749A0" w:rsidRPr="00B664D1">
        <w:rPr>
          <w:i/>
          <w:u w:val="single"/>
        </w:rPr>
        <w:t>1</w:t>
      </w:r>
      <w:r w:rsidRPr="00964392">
        <w:rPr>
          <w:bCs/>
          <w:i/>
          <w:highlight w:val="yellow"/>
          <w:u w:val="single"/>
        </w:rPr>
        <w:fldChar w:fldCharType="end"/>
      </w:r>
      <w:r w:rsidRPr="00964392">
        <w:rPr>
          <w:bCs/>
          <w:i/>
          <w:highlight w:val="yellow"/>
        </w:rPr>
        <w:t>: Authority owns all Project Specific IPR and Specially Written Software, with limited Supplier rights to all Project Specific IPR and Specially Written Software in order to deliver the Contract, please include the following drafting</w:t>
      </w:r>
      <w:r w:rsidRPr="00FB3CC1">
        <w:rPr>
          <w:bCs/>
          <w:iCs/>
          <w:highlight w:val="yellow"/>
        </w:rPr>
        <w:t>:</w:t>
      </w:r>
      <w:r w:rsidRPr="00FB3CC1">
        <w:rPr>
          <w:bCs/>
          <w:iCs/>
        </w:rPr>
        <w:t>]</w:t>
      </w:r>
    </w:p>
    <w:p w14:paraId="40323E7D" w14:textId="77777777" w:rsidR="00E60EAE" w:rsidRPr="009E452F" w:rsidRDefault="00E60EAE" w:rsidP="00E60EAE">
      <w:pPr>
        <w:pStyle w:val="Heading2"/>
      </w:pPr>
      <w:bookmarkStart w:id="2201" w:name="_Toc118293562"/>
      <w:bookmarkStart w:id="2202" w:name="_Toc141721075"/>
      <w:r>
        <w:t xml:space="preserve">Option </w:t>
      </w:r>
      <w:bookmarkStart w:id="2203" w:name="OPTION1_SCHEDULE32"/>
      <w:r>
        <w:t>1</w:t>
      </w:r>
      <w:bookmarkEnd w:id="2201"/>
      <w:bookmarkEnd w:id="2203"/>
      <w:bookmarkEnd w:id="2202"/>
    </w:p>
    <w:bookmarkEnd w:id="2196"/>
    <w:bookmarkEnd w:id="2197"/>
    <w:bookmarkEnd w:id="2198"/>
    <w:bookmarkEnd w:id="2199"/>
    <w:bookmarkEnd w:id="2200"/>
    <w:p w14:paraId="62941CAC" w14:textId="77777777" w:rsidR="00E60EAE" w:rsidRPr="00016234" w:rsidRDefault="00E60EAE" w:rsidP="00B71FC0">
      <w:pPr>
        <w:pStyle w:val="Numbered1"/>
        <w:numPr>
          <w:ilvl w:val="0"/>
          <w:numId w:val="175"/>
        </w:numPr>
      </w:pPr>
      <w:r w:rsidRPr="0028223C">
        <w:t>Ownership and delivery of IPR created under the Contract</w:t>
      </w:r>
    </w:p>
    <w:p w14:paraId="671CD576" w14:textId="1033EFC8" w:rsidR="00E60EAE" w:rsidRPr="00016234" w:rsidRDefault="00E60EAE" w:rsidP="00B71FC0">
      <w:pPr>
        <w:pStyle w:val="Numbered11"/>
        <w:keepNext/>
        <w:numPr>
          <w:ilvl w:val="1"/>
          <w:numId w:val="173"/>
        </w:numPr>
      </w:pPr>
      <w:r w:rsidRPr="0028223C">
        <w:t>Subject to Paragraph</w:t>
      </w:r>
      <w:r>
        <w:t> </w:t>
      </w:r>
      <w:r>
        <w:fldChar w:fldCharType="begin"/>
      </w:r>
      <w:r>
        <w:instrText xml:space="preserve"> REF _Ref141105848 \w \h </w:instrText>
      </w:r>
      <w:r>
        <w:fldChar w:fldCharType="separate"/>
      </w:r>
      <w:r w:rsidR="009749A0">
        <w:t>1.1.1</w:t>
      </w:r>
      <w:r>
        <w:fldChar w:fldCharType="end"/>
      </w:r>
      <w:r w:rsidRPr="0028223C">
        <w:t>, the Supplier agrees to:</w:t>
      </w:r>
    </w:p>
    <w:p w14:paraId="58360E0C" w14:textId="77777777" w:rsidR="00E60EAE" w:rsidRDefault="00E60EAE" w:rsidP="00B71FC0">
      <w:pPr>
        <w:pStyle w:val="Numbered111"/>
        <w:keepNext/>
        <w:numPr>
          <w:ilvl w:val="2"/>
          <w:numId w:val="173"/>
        </w:numPr>
      </w:pPr>
      <w:r>
        <w:t>transfer to the Authority, or procure the transfer to the Authority of all Intellectual Property Rights in the Specially Written Software and Project Specific IPRs, including:</w:t>
      </w:r>
    </w:p>
    <w:p w14:paraId="2CC5B7B4" w14:textId="77777777" w:rsidR="00E60EAE" w:rsidRDefault="00E60EAE" w:rsidP="00B71FC0">
      <w:pPr>
        <w:pStyle w:val="Numbered111a"/>
        <w:numPr>
          <w:ilvl w:val="3"/>
          <w:numId w:val="173"/>
        </w:numPr>
      </w:pPr>
      <w:r>
        <w:t>the Documentation, Source Code and the Object Code of the Specially Written Software; and</w:t>
      </w:r>
    </w:p>
    <w:p w14:paraId="382549F6" w14:textId="77777777" w:rsidR="00E60EAE" w:rsidRDefault="00E60EAE" w:rsidP="00B71FC0">
      <w:pPr>
        <w:pStyle w:val="Numbered111a"/>
        <w:numPr>
          <w:ilvl w:val="3"/>
          <w:numId w:val="173"/>
        </w:numPr>
      </w:pPr>
      <w:r>
        <w:t>all build instructions, test instructions, test scripts, test data, operating instructions and other documents and tools necessary for maintaining and supporting the Specially Written Software,</w:t>
      </w:r>
    </w:p>
    <w:p w14:paraId="0993267B" w14:textId="77777777" w:rsidR="00E60EAE" w:rsidRDefault="00E60EAE" w:rsidP="00E60EAE">
      <w:pPr>
        <w:pStyle w:val="StdBodyText3"/>
      </w:pPr>
      <w:r>
        <w:t xml:space="preserve">(together the </w:t>
      </w:r>
      <w:r w:rsidRPr="00D71E55">
        <w:rPr>
          <w:b/>
          <w:bCs/>
        </w:rPr>
        <w:t>Software Supporting Materials</w:t>
      </w:r>
      <w:r>
        <w:t>); and</w:t>
      </w:r>
    </w:p>
    <w:p w14:paraId="6D37F46E" w14:textId="79414278" w:rsidR="00E60EAE" w:rsidRDefault="00E60EAE" w:rsidP="00B71FC0">
      <w:pPr>
        <w:pStyle w:val="Numbered111"/>
        <w:numPr>
          <w:ilvl w:val="2"/>
          <w:numId w:val="173"/>
        </w:numPr>
      </w:pPr>
      <w:r w:rsidRPr="00016234">
        <w:lastRenderedPageBreak/>
        <w:t xml:space="preserve">execute all such </w:t>
      </w:r>
      <w:r w:rsidR="007B217F">
        <w:t>assignations</w:t>
      </w:r>
      <w:r w:rsidR="007B217F" w:rsidRPr="00016234">
        <w:t xml:space="preserve"> </w:t>
      </w:r>
      <w:r w:rsidRPr="00016234">
        <w:t xml:space="preserve">required to </w:t>
      </w:r>
      <w:r>
        <w:t xml:space="preserve">transfer properly any </w:t>
      </w:r>
      <w:r w:rsidRPr="00016234">
        <w:t>rights in the Specially Written Software and Project Specific IPRs to the Authority</w:t>
      </w:r>
      <w:r>
        <w:t>.</w:t>
      </w:r>
    </w:p>
    <w:p w14:paraId="16A8FF33" w14:textId="77777777" w:rsidR="00E60EAE" w:rsidRDefault="00E60EAE" w:rsidP="00B71FC0">
      <w:pPr>
        <w:pStyle w:val="Numbered11"/>
        <w:keepNext/>
        <w:numPr>
          <w:ilvl w:val="1"/>
          <w:numId w:val="173"/>
        </w:numPr>
      </w:pPr>
      <w:bookmarkStart w:id="2204" w:name="_Ref131407379"/>
      <w:r>
        <w:t>The Supplier must deliver to the Authority:</w:t>
      </w:r>
      <w:bookmarkEnd w:id="2204"/>
    </w:p>
    <w:p w14:paraId="6C52F5E8" w14:textId="77777777" w:rsidR="00E60EAE" w:rsidRDefault="00E60EAE" w:rsidP="00B71FC0">
      <w:pPr>
        <w:pStyle w:val="Numbered111"/>
        <w:numPr>
          <w:ilvl w:val="2"/>
          <w:numId w:val="173"/>
        </w:numPr>
      </w:pPr>
      <w:r w:rsidRPr="008C3BB0">
        <w:t>the Specially Written Software</w:t>
      </w:r>
      <w:r>
        <w:t xml:space="preserve">; </w:t>
      </w:r>
    </w:p>
    <w:p w14:paraId="45B0AFD4" w14:textId="77777777" w:rsidR="00E60EAE" w:rsidRDefault="00E60EAE" w:rsidP="00B71FC0">
      <w:pPr>
        <w:pStyle w:val="Numbered111"/>
        <w:numPr>
          <w:ilvl w:val="2"/>
          <w:numId w:val="173"/>
        </w:numPr>
      </w:pPr>
      <w:r w:rsidRPr="008C3BB0">
        <w:t xml:space="preserve">any </w:t>
      </w:r>
      <w:r>
        <w:t>software</w:t>
      </w:r>
      <w:r w:rsidRPr="008C3BB0">
        <w:t xml:space="preserve"> elements of the </w:t>
      </w:r>
      <w:r>
        <w:t>Project Specific IPR;</w:t>
      </w:r>
    </w:p>
    <w:p w14:paraId="26563D3F" w14:textId="77777777" w:rsidR="00E60EAE" w:rsidRDefault="00E60EAE" w:rsidP="00B71FC0">
      <w:pPr>
        <w:pStyle w:val="Numbered111"/>
        <w:numPr>
          <w:ilvl w:val="2"/>
          <w:numId w:val="173"/>
        </w:numPr>
      </w:pPr>
      <w:r w:rsidRPr="008C3BB0">
        <w:t>relevant Documentation</w:t>
      </w:r>
      <w:r>
        <w:t>; and</w:t>
      </w:r>
    </w:p>
    <w:p w14:paraId="55785C92" w14:textId="77777777" w:rsidR="00E60EAE" w:rsidRDefault="00E60EAE" w:rsidP="00B71FC0">
      <w:pPr>
        <w:pStyle w:val="Numbered111"/>
        <w:numPr>
          <w:ilvl w:val="2"/>
          <w:numId w:val="173"/>
        </w:numPr>
      </w:pPr>
      <w:r w:rsidRPr="008C3BB0">
        <w:t>all related Software Supporting Materials</w:t>
      </w:r>
      <w:r>
        <w:t>,</w:t>
      </w:r>
    </w:p>
    <w:p w14:paraId="05844035" w14:textId="77777777" w:rsidR="00E60EAE" w:rsidRDefault="00E60EAE" w:rsidP="00E60EAE">
      <w:pPr>
        <w:pStyle w:val="StdBodyText1"/>
        <w:keepNext/>
      </w:pPr>
      <w:r w:rsidRPr="008C3BB0">
        <w:t>within</w:t>
      </w:r>
      <w:r>
        <w:t xml:space="preserve"> 5 Working D</w:t>
      </w:r>
      <w:r w:rsidRPr="008C3BB0">
        <w:t>ays of</w:t>
      </w:r>
      <w:r>
        <w:t>:</w:t>
      </w:r>
    </w:p>
    <w:p w14:paraId="3D9FEBB3" w14:textId="77777777" w:rsidR="00E60EAE" w:rsidRDefault="00E60EAE" w:rsidP="00B71FC0">
      <w:pPr>
        <w:pStyle w:val="Numbered111"/>
        <w:keepNext/>
        <w:numPr>
          <w:ilvl w:val="2"/>
          <w:numId w:val="173"/>
        </w:numPr>
      </w:pPr>
      <w:r>
        <w:t>either:</w:t>
      </w:r>
    </w:p>
    <w:p w14:paraId="3B21FF94" w14:textId="77777777" w:rsidR="00E60EAE" w:rsidRDefault="00E60EAE" w:rsidP="00B71FC0">
      <w:pPr>
        <w:pStyle w:val="Numbered111a"/>
        <w:numPr>
          <w:ilvl w:val="3"/>
          <w:numId w:val="173"/>
        </w:numPr>
      </w:pPr>
      <w:r>
        <w:t>initial release or deployment;</w:t>
      </w:r>
      <w:r w:rsidRPr="008C3BB0">
        <w:t xml:space="preserve"> or</w:t>
      </w:r>
    </w:p>
    <w:p w14:paraId="2256AA88" w14:textId="77777777" w:rsidR="00E60EAE" w:rsidRDefault="00E60EAE" w:rsidP="00B71FC0">
      <w:pPr>
        <w:pStyle w:val="Numbered111a"/>
        <w:numPr>
          <w:ilvl w:val="3"/>
          <w:numId w:val="173"/>
        </w:numPr>
      </w:pPr>
      <w:r w:rsidRPr="008C3BB0">
        <w:t>if a relevant Milestone has been identified in an Implementation Plan, Achievement of that Milestone</w:t>
      </w:r>
      <w:r>
        <w:t>; and</w:t>
      </w:r>
    </w:p>
    <w:p w14:paraId="71D8EE1B" w14:textId="77777777" w:rsidR="00E60EAE" w:rsidRDefault="00E60EAE" w:rsidP="00B71FC0">
      <w:pPr>
        <w:pStyle w:val="Numbered111"/>
        <w:numPr>
          <w:ilvl w:val="2"/>
          <w:numId w:val="173"/>
        </w:numPr>
      </w:pPr>
      <w:r>
        <w:t>each subsequent release or deployment of the Specially Written Software and any software elements of the Project Specific IPR.</w:t>
      </w:r>
    </w:p>
    <w:p w14:paraId="2A3385AF" w14:textId="33030E1E" w:rsidR="00E60EAE" w:rsidRDefault="00E60EAE" w:rsidP="00B71FC0">
      <w:pPr>
        <w:pStyle w:val="Numbered11"/>
        <w:numPr>
          <w:ilvl w:val="1"/>
          <w:numId w:val="173"/>
        </w:numPr>
      </w:pPr>
      <w:r>
        <w:t>Where the Supplier delivers materials to the Authority under Paragraph </w:t>
      </w:r>
      <w:r>
        <w:fldChar w:fldCharType="begin"/>
      </w:r>
      <w:r>
        <w:instrText xml:space="preserve"> REF _Ref131407379 \n \h  \* MERGEFORMAT </w:instrText>
      </w:r>
      <w:r>
        <w:fldChar w:fldCharType="separate"/>
      </w:r>
      <w:r w:rsidR="009749A0">
        <w:t>1.2</w:t>
      </w:r>
      <w:r>
        <w:fldChar w:fldCharType="end"/>
      </w:r>
      <w:r>
        <w:t>, it must do so in a format specified by the Authority. Where the Authority specifies the material is to be delivered on media, the Authority becomes the owner of the media containing the material on delivery.</w:t>
      </w:r>
    </w:p>
    <w:p w14:paraId="159C586D" w14:textId="77777777" w:rsidR="00E60EAE" w:rsidRDefault="00E60EAE" w:rsidP="00B71FC0">
      <w:pPr>
        <w:pStyle w:val="Numbered1"/>
        <w:numPr>
          <w:ilvl w:val="0"/>
          <w:numId w:val="173"/>
        </w:numPr>
      </w:pPr>
      <w:bookmarkStart w:id="2205" w:name="_Toc136451125"/>
      <w:bookmarkStart w:id="2206" w:name="_Ref135302633"/>
      <w:bookmarkStart w:id="2207" w:name="_Ref140766633"/>
      <w:r>
        <w:t xml:space="preserve">Use of Supplier or Third Party </w:t>
      </w:r>
      <w:bookmarkEnd w:id="2205"/>
      <w:bookmarkEnd w:id="2206"/>
      <w:r>
        <w:t>Non-COTS Software or Non-COTS Background IPR</w:t>
      </w:r>
      <w:bookmarkEnd w:id="2207"/>
    </w:p>
    <w:p w14:paraId="29F91CE0"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54D57798" w14:textId="77777777" w:rsidR="00E60EAE" w:rsidRDefault="00E60EAE" w:rsidP="00B71FC0">
      <w:pPr>
        <w:pStyle w:val="Numbered111"/>
        <w:numPr>
          <w:ilvl w:val="2"/>
          <w:numId w:val="173"/>
        </w:numPr>
      </w:pPr>
      <w:r w:rsidRPr="00A550B3">
        <w:t>Supplier Non-COTS Software</w:t>
      </w:r>
      <w:r>
        <w:t>; or</w:t>
      </w:r>
    </w:p>
    <w:p w14:paraId="1C59E13B" w14:textId="77777777" w:rsidR="00E60EAE" w:rsidRDefault="00E60EAE" w:rsidP="00B71FC0">
      <w:pPr>
        <w:pStyle w:val="Numbered111"/>
        <w:numPr>
          <w:ilvl w:val="2"/>
          <w:numId w:val="173"/>
        </w:numPr>
      </w:pPr>
      <w:r w:rsidRPr="00A550B3">
        <w:t>Supplier Non-COTS Background IPR</w:t>
      </w:r>
      <w:r>
        <w:t>;</w:t>
      </w:r>
    </w:p>
    <w:p w14:paraId="3F225433" w14:textId="77777777" w:rsidR="00E60EAE" w:rsidRDefault="00E60EAE" w:rsidP="00E60EAE">
      <w:pPr>
        <w:pStyle w:val="StdBodyText2"/>
        <w:keepNext/>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w:t>
      </w:r>
    </w:p>
    <w:p w14:paraId="2304F21C" w14:textId="77777777" w:rsidR="00E60EAE" w:rsidRDefault="00E60EAE" w:rsidP="00B71FC0">
      <w:pPr>
        <w:pStyle w:val="Numbered111"/>
        <w:keepNext/>
        <w:numPr>
          <w:ilvl w:val="2"/>
          <w:numId w:val="173"/>
        </w:numPr>
      </w:pPr>
      <w:r>
        <w:t>in the case of Supplier Non-COTS Software and the software elements of Supplier</w:t>
      </w:r>
      <w:r w:rsidRPr="00A550B3">
        <w:t xml:space="preserve"> Non-COTS Background IPR</w:t>
      </w:r>
      <w:r>
        <w:t>, it is:</w:t>
      </w:r>
    </w:p>
    <w:p w14:paraId="0FC8DDE3" w14:textId="051D1620"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27F50C68" w14:textId="77777777" w:rsidR="00E60EAE" w:rsidRDefault="00E60EAE" w:rsidP="00B71FC0">
      <w:pPr>
        <w:pStyle w:val="Numbered111a"/>
        <w:keepNext/>
        <w:numPr>
          <w:ilvl w:val="3"/>
          <w:numId w:val="173"/>
        </w:numPr>
      </w:pPr>
      <w:r>
        <w:t>both:</w:t>
      </w:r>
    </w:p>
    <w:p w14:paraId="7EE9BB6F" w14:textId="77777777" w:rsidR="00E60EAE" w:rsidRDefault="00E60EAE" w:rsidP="00B71FC0">
      <w:pPr>
        <w:pStyle w:val="Numbered111ai"/>
        <w:numPr>
          <w:ilvl w:val="4"/>
          <w:numId w:val="173"/>
        </w:numPr>
      </w:pPr>
      <w:r>
        <w:t xml:space="preserve">submitted </w:t>
      </w:r>
      <w:r w:rsidRPr="00A550B3">
        <w:t>to the Technical Board for review</w:t>
      </w:r>
      <w:r>
        <w:t>; and</w:t>
      </w:r>
    </w:p>
    <w:p w14:paraId="67C8805E" w14:textId="77777777" w:rsidR="00E60EAE" w:rsidRDefault="00E60EAE" w:rsidP="00B71FC0">
      <w:pPr>
        <w:pStyle w:val="Numbered111ai"/>
        <w:numPr>
          <w:ilvl w:val="4"/>
          <w:numId w:val="173"/>
        </w:numPr>
      </w:pPr>
      <w:r>
        <w:t xml:space="preserve">approved </w:t>
      </w:r>
      <w:r w:rsidRPr="00A550B3">
        <w:t>by the Authority</w:t>
      </w:r>
      <w:r>
        <w:t>; and</w:t>
      </w:r>
    </w:p>
    <w:p w14:paraId="11F1777C" w14:textId="77777777" w:rsidR="00E60EAE" w:rsidRDefault="00E60EAE" w:rsidP="00B71FC0">
      <w:pPr>
        <w:pStyle w:val="Numbered111"/>
        <w:numPr>
          <w:ilvl w:val="2"/>
          <w:numId w:val="173"/>
        </w:numPr>
      </w:pPr>
      <w:r>
        <w:t>in the case of non-software elements of Supplier</w:t>
      </w:r>
      <w:r w:rsidRPr="00A550B3">
        <w:t xml:space="preserve"> Non-COTS Background IPR</w:t>
      </w:r>
      <w:r>
        <w:t xml:space="preserve">, it is approved by the Authority in writing. </w:t>
      </w:r>
    </w:p>
    <w:p w14:paraId="778181A5" w14:textId="77777777" w:rsidR="00E60EAE" w:rsidRDefault="00E60EAE" w:rsidP="00B71FC0">
      <w:pPr>
        <w:pStyle w:val="Numbered11"/>
        <w:keepNext/>
        <w:numPr>
          <w:ilvl w:val="1"/>
          <w:numId w:val="173"/>
        </w:numPr>
      </w:pPr>
      <w:r w:rsidRPr="00A550B3">
        <w:lastRenderedPageBreak/>
        <w:t xml:space="preserve">The Supplier </w:t>
      </w:r>
      <w:r>
        <w:t xml:space="preserve">must </w:t>
      </w:r>
      <w:r w:rsidRPr="00A550B3">
        <w:t>not use any</w:t>
      </w:r>
      <w:r>
        <w:t>:</w:t>
      </w:r>
    </w:p>
    <w:p w14:paraId="3E57A096" w14:textId="77777777" w:rsidR="00E60EAE" w:rsidRDefault="00E60EAE" w:rsidP="00B71FC0">
      <w:pPr>
        <w:pStyle w:val="Numbered111"/>
        <w:numPr>
          <w:ilvl w:val="2"/>
          <w:numId w:val="173"/>
        </w:numPr>
      </w:pPr>
      <w:r>
        <w:t>Third Party Non-COTS Software; or</w:t>
      </w:r>
    </w:p>
    <w:p w14:paraId="42B867E5" w14:textId="77777777" w:rsidR="00E60EAE" w:rsidRDefault="00E60EAE" w:rsidP="00B71FC0">
      <w:pPr>
        <w:pStyle w:val="Numbered111"/>
        <w:numPr>
          <w:ilvl w:val="2"/>
          <w:numId w:val="173"/>
        </w:numPr>
      </w:pPr>
      <w:r>
        <w:t>Third Party</w:t>
      </w:r>
      <w:r w:rsidRPr="00A550B3">
        <w:t xml:space="preserve"> Non-COTS Background IPR</w:t>
      </w:r>
      <w:r>
        <w:t>,</w:t>
      </w:r>
    </w:p>
    <w:p w14:paraId="37768805" w14:textId="77777777" w:rsidR="00E60EAE" w:rsidRDefault="00E60EAE" w:rsidP="00E60EAE">
      <w:pPr>
        <w:pStyle w:val="StdBodyText3"/>
        <w:keepNext/>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 xml:space="preserve">: </w:t>
      </w:r>
    </w:p>
    <w:p w14:paraId="594CFAC3" w14:textId="77777777" w:rsidR="00E60EAE" w:rsidRDefault="00E60EAE" w:rsidP="00B71FC0">
      <w:pPr>
        <w:pStyle w:val="Numbered111"/>
        <w:keepNext/>
        <w:numPr>
          <w:ilvl w:val="2"/>
          <w:numId w:val="173"/>
        </w:numPr>
      </w:pPr>
      <w:r>
        <w:t>in the case of Third Party Non-COTS Software and the software elements of Third Party</w:t>
      </w:r>
      <w:r w:rsidRPr="00A550B3">
        <w:t xml:space="preserve"> Non-COTS Background IPR</w:t>
      </w:r>
      <w:r>
        <w:t>, it is:</w:t>
      </w:r>
    </w:p>
    <w:p w14:paraId="793CE799" w14:textId="2C7C7E0D"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308DD3D7" w14:textId="77777777" w:rsidR="00E60EAE" w:rsidRDefault="00E60EAE" w:rsidP="00B71FC0">
      <w:pPr>
        <w:pStyle w:val="Numbered111a"/>
        <w:keepNext/>
        <w:numPr>
          <w:ilvl w:val="3"/>
          <w:numId w:val="173"/>
        </w:numPr>
      </w:pPr>
      <w:r>
        <w:t>both:</w:t>
      </w:r>
    </w:p>
    <w:p w14:paraId="4C04B14D" w14:textId="77777777" w:rsidR="00E60EAE" w:rsidRDefault="00E60EAE" w:rsidP="00B71FC0">
      <w:pPr>
        <w:pStyle w:val="Numbered111ai"/>
        <w:numPr>
          <w:ilvl w:val="4"/>
          <w:numId w:val="173"/>
        </w:numPr>
      </w:pPr>
      <w:r>
        <w:t xml:space="preserve">submitted </w:t>
      </w:r>
      <w:r w:rsidRPr="00A550B3">
        <w:t>to the Technical Board for review</w:t>
      </w:r>
      <w:r>
        <w:t>; and</w:t>
      </w:r>
    </w:p>
    <w:p w14:paraId="6B12BAC6" w14:textId="77777777" w:rsidR="00E60EAE" w:rsidRDefault="00E60EAE" w:rsidP="00B71FC0">
      <w:pPr>
        <w:pStyle w:val="Numbered111ai"/>
        <w:numPr>
          <w:ilvl w:val="4"/>
          <w:numId w:val="173"/>
        </w:numPr>
      </w:pPr>
      <w:r>
        <w:t xml:space="preserve">approved </w:t>
      </w:r>
      <w:r w:rsidRPr="00A550B3">
        <w:t>by the Authority</w:t>
      </w:r>
      <w:r>
        <w:t>; and</w:t>
      </w:r>
    </w:p>
    <w:p w14:paraId="48943C09" w14:textId="77777777" w:rsidR="00E60EAE" w:rsidRDefault="00E60EAE" w:rsidP="00B71FC0">
      <w:pPr>
        <w:pStyle w:val="Numbered111a"/>
        <w:keepNext/>
        <w:numPr>
          <w:ilvl w:val="3"/>
          <w:numId w:val="173"/>
        </w:numPr>
      </w:pPr>
      <w:r>
        <w:t>one of the following conditions is met:</w:t>
      </w:r>
    </w:p>
    <w:p w14:paraId="79CFF3B7" w14:textId="6354CDB0" w:rsidR="00E60EAE" w:rsidRDefault="00E60EAE" w:rsidP="00B71FC0">
      <w:pPr>
        <w:pStyle w:val="Numbered111ai"/>
        <w:numPr>
          <w:ilvl w:val="4"/>
          <w:numId w:val="173"/>
        </w:numPr>
      </w:pPr>
      <w:bookmarkStart w:id="2208" w:name="_Ref139985532"/>
      <w:r>
        <w:t>the owner or an authorised licensor of the relevant IPR has granted the Authority a direct licence on the terms equivalent to those set out in Paragraph </w:t>
      </w:r>
      <w:r>
        <w:fldChar w:fldCharType="begin"/>
      </w:r>
      <w:r>
        <w:instrText xml:space="preserve"> REF _Ref140096688 \w \h  \* MERGEFORMAT </w:instrText>
      </w:r>
      <w:r>
        <w:fldChar w:fldCharType="separate"/>
      </w:r>
      <w:r w:rsidR="009749A0">
        <w:t>5</w:t>
      </w:r>
      <w:r>
        <w:fldChar w:fldCharType="end"/>
      </w:r>
      <w:bookmarkEnd w:id="2208"/>
      <w:r>
        <w:t>; or</w:t>
      </w:r>
    </w:p>
    <w:p w14:paraId="39C5BA81" w14:textId="5B0CDD14" w:rsidR="00E60EAE" w:rsidRDefault="00E60EAE" w:rsidP="00B71FC0">
      <w:pPr>
        <w:pStyle w:val="Numbered111ai"/>
        <w:keepNext/>
        <w:numPr>
          <w:ilvl w:val="4"/>
          <w:numId w:val="173"/>
        </w:numPr>
      </w:pPr>
      <w:bookmarkStart w:id="2209" w:name="_Ref139986097"/>
      <w:r>
        <w:t>if the Supplier cannot, after commercially reasonable endeavours, meet the condition in Paragraph </w:t>
      </w:r>
      <w:r>
        <w:fldChar w:fldCharType="begin"/>
      </w:r>
      <w:r>
        <w:instrText xml:space="preserve"> REF _Ref139985532 \w \h  \* MERGEFORMAT </w:instrText>
      </w:r>
      <w:r>
        <w:fldChar w:fldCharType="separate"/>
      </w:r>
      <w:r w:rsidR="009749A0">
        <w:t>2.2.3(c)(i)</w:t>
      </w:r>
      <w:r>
        <w:fldChar w:fldCharType="end"/>
      </w:r>
      <w:r>
        <w:t>, all the following conditions are met:</w:t>
      </w:r>
      <w:bookmarkEnd w:id="2209"/>
    </w:p>
    <w:p w14:paraId="7190A6A0" w14:textId="77777777" w:rsidR="00E60EAE" w:rsidRDefault="00E60EAE" w:rsidP="00B71FC0">
      <w:pPr>
        <w:pStyle w:val="Numbered111aiA"/>
        <w:keepNext/>
        <w:numPr>
          <w:ilvl w:val="5"/>
          <w:numId w:val="173"/>
        </w:numPr>
      </w:pPr>
      <w:r>
        <w:t>the Supplier has notified the Authority in writing giving details of:</w:t>
      </w:r>
    </w:p>
    <w:p w14:paraId="55553811" w14:textId="77777777" w:rsidR="00E60EAE" w:rsidRDefault="00E60EAE" w:rsidP="00B71FC0">
      <w:pPr>
        <w:pStyle w:val="Numbered111aiA1"/>
        <w:numPr>
          <w:ilvl w:val="6"/>
          <w:numId w:val="173"/>
        </w:numPr>
      </w:pPr>
      <w:r>
        <w:t>what licence terms can be obtained from the relevant third party; and</w:t>
      </w:r>
    </w:p>
    <w:p w14:paraId="4154CC67" w14:textId="77777777" w:rsidR="00E60EAE" w:rsidRDefault="00E60EAE" w:rsidP="00B71FC0">
      <w:pPr>
        <w:pStyle w:val="Numbered111aiA"/>
        <w:numPr>
          <w:ilvl w:val="6"/>
          <w:numId w:val="173"/>
        </w:numPr>
      </w:pPr>
      <w:r>
        <w:t xml:space="preserve">whether there are providers which the Supplier could seek to use and the licence terms obtainable from those third parties; </w:t>
      </w:r>
    </w:p>
    <w:p w14:paraId="6D32584B" w14:textId="77777777" w:rsidR="00E60EAE" w:rsidRDefault="00E60EAE" w:rsidP="00B71FC0">
      <w:pPr>
        <w:pStyle w:val="Numbered111aiA"/>
        <w:numPr>
          <w:ilvl w:val="5"/>
          <w:numId w:val="173"/>
        </w:numPr>
      </w:pPr>
      <w:r>
        <w:t>the Authority approves the licence terms of one of those third parties; and</w:t>
      </w:r>
    </w:p>
    <w:p w14:paraId="3F721D06" w14:textId="77777777" w:rsidR="00E60EAE" w:rsidRDefault="00E60EAE" w:rsidP="00B71FC0">
      <w:pPr>
        <w:pStyle w:val="Numbered111aiA"/>
        <w:numPr>
          <w:ilvl w:val="5"/>
          <w:numId w:val="173"/>
        </w:numPr>
      </w:pPr>
      <w:r>
        <w:t>the owner and authorised licensor of the Third Party IPR has granted a direct licence of the Third Party IPR to the Authority on those terms; or</w:t>
      </w:r>
    </w:p>
    <w:p w14:paraId="17D038B0" w14:textId="2A69CC53" w:rsidR="00E60EAE" w:rsidRDefault="00E60EAE" w:rsidP="00B71FC0">
      <w:pPr>
        <w:pStyle w:val="Numbered111ai"/>
        <w:numPr>
          <w:ilvl w:val="4"/>
          <w:numId w:val="173"/>
        </w:numPr>
      </w:pPr>
      <w:r>
        <w:t>if the Supplier cannot meet the conditions in Paragraphs </w:t>
      </w:r>
      <w:r>
        <w:fldChar w:fldCharType="begin"/>
      </w:r>
      <w:r>
        <w:instrText xml:space="preserve"> REF _Ref139985532 \w \h  \* MERGEFORMAT </w:instrText>
      </w:r>
      <w:r>
        <w:fldChar w:fldCharType="separate"/>
      </w:r>
      <w:r w:rsidR="009749A0">
        <w:t>2.2.3(c)(i)</w:t>
      </w:r>
      <w:r>
        <w:fldChar w:fldCharType="end"/>
      </w:r>
      <w:r>
        <w:t xml:space="preserve"> and </w:t>
      </w:r>
      <w:r>
        <w:fldChar w:fldCharType="begin"/>
      </w:r>
      <w:r>
        <w:instrText xml:space="preserve"> REF _Ref139986097 \w \h  \* MERGEFORMAT </w:instrText>
      </w:r>
      <w:r>
        <w:fldChar w:fldCharType="separate"/>
      </w:r>
      <w:r w:rsidR="009749A0">
        <w:t>2.2.3(c)(ii)</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 or</w:t>
      </w:r>
    </w:p>
    <w:p w14:paraId="2A1B72AF" w14:textId="77777777" w:rsidR="00E60EAE" w:rsidRDefault="00E60EAE" w:rsidP="00B71FC0">
      <w:pPr>
        <w:pStyle w:val="Numbered111"/>
        <w:numPr>
          <w:ilvl w:val="2"/>
          <w:numId w:val="173"/>
        </w:numPr>
      </w:pPr>
      <w:r>
        <w:t xml:space="preserve">in the case of non-software elements of </w:t>
      </w:r>
      <w:bookmarkStart w:id="2210" w:name="_Hlk140822560"/>
      <w:r>
        <w:t xml:space="preserve">Third-Party </w:t>
      </w:r>
      <w:r w:rsidRPr="00A550B3">
        <w:t>Non-COTS Background IPR</w:t>
      </w:r>
      <w:bookmarkEnd w:id="2210"/>
      <w:r>
        <w:t xml:space="preserve">, it is approved by the Authority in writing. </w:t>
      </w:r>
    </w:p>
    <w:p w14:paraId="7A0B66A2" w14:textId="77777777" w:rsidR="00E60EAE" w:rsidRDefault="00E60EAE" w:rsidP="00B71FC0">
      <w:pPr>
        <w:pStyle w:val="Numbered1"/>
        <w:numPr>
          <w:ilvl w:val="0"/>
          <w:numId w:val="173"/>
        </w:numPr>
      </w:pPr>
      <w:bookmarkStart w:id="2211" w:name="_Ref140766637"/>
      <w:r>
        <w:lastRenderedPageBreak/>
        <w:t>Use of Supplier or Third Party COTS Software or COTS Background IPR</w:t>
      </w:r>
      <w:bookmarkEnd w:id="2211"/>
    </w:p>
    <w:p w14:paraId="226D447F"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54E9887D" w14:textId="77777777" w:rsidR="00E60EAE" w:rsidRDefault="00E60EAE" w:rsidP="00B71FC0">
      <w:pPr>
        <w:pStyle w:val="Numbered111"/>
        <w:numPr>
          <w:ilvl w:val="2"/>
          <w:numId w:val="173"/>
        </w:numPr>
      </w:pPr>
      <w:r w:rsidRPr="00A550B3">
        <w:t>Supplier COTS Software</w:t>
      </w:r>
      <w:r>
        <w:t>;</w:t>
      </w:r>
    </w:p>
    <w:p w14:paraId="1E2600C6" w14:textId="77777777" w:rsidR="00E60EAE" w:rsidRDefault="00E60EAE" w:rsidP="00B71FC0">
      <w:pPr>
        <w:pStyle w:val="Numbered111"/>
        <w:numPr>
          <w:ilvl w:val="2"/>
          <w:numId w:val="173"/>
        </w:numPr>
      </w:pPr>
      <w:r w:rsidRPr="00A550B3">
        <w:t>Supplier COTS Background IPR</w:t>
      </w:r>
      <w:r>
        <w:t>;</w:t>
      </w:r>
    </w:p>
    <w:p w14:paraId="32F86BD8" w14:textId="77777777" w:rsidR="00E60EAE" w:rsidRDefault="00E60EAE" w:rsidP="00B71FC0">
      <w:pPr>
        <w:pStyle w:val="Numbered111"/>
        <w:numPr>
          <w:ilvl w:val="2"/>
          <w:numId w:val="173"/>
        </w:numPr>
      </w:pPr>
      <w:r>
        <w:t>Third Party COTS Software; or</w:t>
      </w:r>
    </w:p>
    <w:p w14:paraId="7F4E14FB" w14:textId="77777777" w:rsidR="00E60EAE" w:rsidRDefault="00E60EAE" w:rsidP="00B71FC0">
      <w:pPr>
        <w:pStyle w:val="Numbered111"/>
        <w:numPr>
          <w:ilvl w:val="2"/>
          <w:numId w:val="173"/>
        </w:numPr>
      </w:pPr>
      <w:r>
        <w:t>Third Party</w:t>
      </w:r>
      <w:r w:rsidRPr="00A550B3">
        <w:t xml:space="preserve"> COTS Background IPR</w:t>
      </w:r>
      <w:r>
        <w:t>,</w:t>
      </w:r>
    </w:p>
    <w:p w14:paraId="7187E761" w14:textId="77777777" w:rsidR="00E60EAE" w:rsidRDefault="00E60EAE" w:rsidP="00E60EAE">
      <w:pPr>
        <w:pStyle w:val="StdBodyText2"/>
      </w:pPr>
      <w:r w:rsidRPr="00A550B3">
        <w:t>in the provision of the Services</w:t>
      </w:r>
      <w:r>
        <w:t xml:space="preserve"> </w:t>
      </w:r>
      <w:r w:rsidRPr="00016234">
        <w:t>(including in any Specially Written Software or in the software element of Project Specific IPRs)</w:t>
      </w:r>
      <w:r w:rsidRPr="00A550B3">
        <w:t xml:space="preserve"> unless</w:t>
      </w:r>
      <w:r>
        <w:t>:</w:t>
      </w:r>
    </w:p>
    <w:p w14:paraId="05C45A5F" w14:textId="77777777" w:rsidR="00E60EAE" w:rsidRDefault="00E60EAE" w:rsidP="00B71FC0">
      <w:pPr>
        <w:pStyle w:val="Numbered111"/>
        <w:keepNext/>
        <w:numPr>
          <w:ilvl w:val="2"/>
          <w:numId w:val="173"/>
        </w:numPr>
      </w:pPr>
      <w:r>
        <w:t xml:space="preserve">in the case of Supplier COTS Software, Third Party COTS Software and the software elements of Supplier </w:t>
      </w:r>
      <w:r w:rsidRPr="00A550B3">
        <w:t>COTS Background IPR</w:t>
      </w:r>
      <w:r>
        <w:t xml:space="preserve"> and Supplier </w:t>
      </w:r>
      <w:r w:rsidRPr="00A550B3">
        <w:t>COTS Background IPR</w:t>
      </w:r>
      <w:r>
        <w:t>, it is either:</w:t>
      </w:r>
    </w:p>
    <w:p w14:paraId="58CB91CD" w14:textId="3CD6F334"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14A55485" w14:textId="77777777" w:rsidR="00E60EAE" w:rsidRDefault="00E60EAE" w:rsidP="00B71FC0">
      <w:pPr>
        <w:pStyle w:val="Numbered111a"/>
        <w:keepNext/>
        <w:numPr>
          <w:ilvl w:val="3"/>
          <w:numId w:val="173"/>
        </w:numPr>
      </w:pPr>
      <w:r>
        <w:t>both:</w:t>
      </w:r>
    </w:p>
    <w:p w14:paraId="25A82D23" w14:textId="77777777" w:rsidR="00E60EAE" w:rsidRDefault="00E60EAE" w:rsidP="00B71FC0">
      <w:pPr>
        <w:pStyle w:val="Numbered111ai"/>
        <w:numPr>
          <w:ilvl w:val="4"/>
          <w:numId w:val="173"/>
        </w:numPr>
      </w:pPr>
      <w:r>
        <w:t xml:space="preserve">submitted </w:t>
      </w:r>
      <w:r w:rsidRPr="00A550B3">
        <w:t>to the Technical Board for review</w:t>
      </w:r>
      <w:r>
        <w:t>; and</w:t>
      </w:r>
    </w:p>
    <w:p w14:paraId="3FD861BF" w14:textId="77777777" w:rsidR="00E60EAE" w:rsidRDefault="00E60EAE" w:rsidP="00B71FC0">
      <w:pPr>
        <w:pStyle w:val="Numbered111ai"/>
        <w:numPr>
          <w:ilvl w:val="4"/>
          <w:numId w:val="173"/>
        </w:numPr>
      </w:pPr>
      <w:r>
        <w:t xml:space="preserve">approved </w:t>
      </w:r>
      <w:r w:rsidRPr="00A550B3">
        <w:t>by the Authority</w:t>
      </w:r>
      <w:r>
        <w:t>; and</w:t>
      </w:r>
    </w:p>
    <w:p w14:paraId="6B2AA18B" w14:textId="77777777" w:rsidR="00E60EAE" w:rsidRDefault="00E60EAE" w:rsidP="00B71FC0">
      <w:pPr>
        <w:pStyle w:val="Numbered111"/>
        <w:keepNext/>
        <w:numPr>
          <w:ilvl w:val="2"/>
          <w:numId w:val="173"/>
        </w:numPr>
      </w:pPr>
      <w:r>
        <w:t>all the following conditions are met:</w:t>
      </w:r>
    </w:p>
    <w:p w14:paraId="5D84446F" w14:textId="77777777" w:rsidR="00E60EAE" w:rsidRDefault="00E60EAE" w:rsidP="00B71FC0">
      <w:pPr>
        <w:pStyle w:val="Numbered111a"/>
        <w:numPr>
          <w:ilvl w:val="3"/>
          <w:numId w:val="1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364248BE" w14:textId="77777777" w:rsidR="00E60EAE" w:rsidRDefault="00E60EAE" w:rsidP="00B71FC0">
      <w:pPr>
        <w:pStyle w:val="Numbered111a"/>
        <w:numPr>
          <w:ilvl w:val="3"/>
          <w:numId w:val="173"/>
        </w:numPr>
      </w:pPr>
      <w:r>
        <w:t>the Authority has not (in its absolute discretion) rejected those licence terms within 10 Working Days of the date on which they were provided to the Authority.</w:t>
      </w:r>
    </w:p>
    <w:p w14:paraId="27ED6283" w14:textId="77777777" w:rsidR="00E60EAE" w:rsidRDefault="00E60EAE" w:rsidP="00B71FC0">
      <w:pPr>
        <w:pStyle w:val="Numbered1"/>
        <w:numPr>
          <w:ilvl w:val="0"/>
          <w:numId w:val="173"/>
        </w:numPr>
      </w:pPr>
      <w:r>
        <w:t>Licences granted by the Authority</w:t>
      </w:r>
      <w:bookmarkStart w:id="2212" w:name="_Hlk133581533"/>
    </w:p>
    <w:p w14:paraId="58E90BFD" w14:textId="77777777" w:rsidR="00E60EAE" w:rsidRDefault="00E60EAE" w:rsidP="00B71FC0">
      <w:pPr>
        <w:pStyle w:val="Numbered11"/>
        <w:keepNext/>
        <w:numPr>
          <w:ilvl w:val="1"/>
          <w:numId w:val="173"/>
        </w:numPr>
      </w:pPr>
      <w:bookmarkStart w:id="2213" w:name="_Ref131410868"/>
      <w:r>
        <w:t xml:space="preserve">The Authority grants the Supplier a licence to the </w:t>
      </w:r>
    </w:p>
    <w:p w14:paraId="7F7DBEED" w14:textId="77777777" w:rsidR="00E60EAE" w:rsidRDefault="00E60EAE" w:rsidP="00B71FC0">
      <w:pPr>
        <w:pStyle w:val="Numbered111"/>
        <w:numPr>
          <w:ilvl w:val="2"/>
          <w:numId w:val="173"/>
        </w:numPr>
      </w:pPr>
      <w:r>
        <w:t>the Project-Specific IPR;</w:t>
      </w:r>
    </w:p>
    <w:p w14:paraId="16127805" w14:textId="77777777" w:rsidR="00E60EAE" w:rsidRDefault="00E60EAE" w:rsidP="00B71FC0">
      <w:pPr>
        <w:pStyle w:val="Numbered111"/>
        <w:numPr>
          <w:ilvl w:val="2"/>
          <w:numId w:val="173"/>
        </w:numPr>
      </w:pPr>
      <w:r>
        <w:t>the Specially Written Software;</w:t>
      </w:r>
    </w:p>
    <w:p w14:paraId="5D931D46" w14:textId="77777777" w:rsidR="00E60EAE" w:rsidRDefault="00E60EAE" w:rsidP="00B71FC0">
      <w:pPr>
        <w:pStyle w:val="Numbered111"/>
        <w:numPr>
          <w:ilvl w:val="2"/>
          <w:numId w:val="173"/>
        </w:numPr>
      </w:pPr>
      <w:r>
        <w:t>the Authority Software;</w:t>
      </w:r>
    </w:p>
    <w:p w14:paraId="6FD6EEE1" w14:textId="77777777" w:rsidR="00E60EAE" w:rsidRDefault="00E60EAE" w:rsidP="00B71FC0">
      <w:pPr>
        <w:pStyle w:val="Numbered111"/>
        <w:numPr>
          <w:ilvl w:val="2"/>
          <w:numId w:val="173"/>
        </w:numPr>
      </w:pPr>
      <w:r>
        <w:t>the Authority Data; and</w:t>
      </w:r>
    </w:p>
    <w:p w14:paraId="23970F86" w14:textId="77777777" w:rsidR="00E60EAE" w:rsidRDefault="00E60EAE" w:rsidP="00B71FC0">
      <w:pPr>
        <w:pStyle w:val="Numbered111"/>
        <w:numPr>
          <w:ilvl w:val="2"/>
          <w:numId w:val="173"/>
        </w:numPr>
      </w:pPr>
      <w:r>
        <w:t>the Authority Background IPRs</w:t>
      </w:r>
    </w:p>
    <w:p w14:paraId="753B3CCD" w14:textId="77777777" w:rsidR="00E60EAE" w:rsidRDefault="00E60EAE" w:rsidP="00E60EAE">
      <w:pPr>
        <w:pStyle w:val="StdBodyText1"/>
        <w:keepNext/>
      </w:pPr>
      <w:r>
        <w:t>that:</w:t>
      </w:r>
      <w:bookmarkEnd w:id="2213"/>
    </w:p>
    <w:p w14:paraId="7C987C5B" w14:textId="77777777" w:rsidR="00E60EAE" w:rsidRDefault="00E60EAE" w:rsidP="00B71FC0">
      <w:pPr>
        <w:pStyle w:val="Numbered111"/>
        <w:numPr>
          <w:ilvl w:val="2"/>
          <w:numId w:val="173"/>
        </w:numPr>
      </w:pPr>
      <w:r>
        <w:t>is non-exclusive, royalty-free and non-transferable;</w:t>
      </w:r>
    </w:p>
    <w:p w14:paraId="00E7A0E1" w14:textId="77777777" w:rsidR="00E60EAE" w:rsidRDefault="00E60EAE" w:rsidP="00B71FC0">
      <w:pPr>
        <w:pStyle w:val="Numbered111"/>
        <w:keepNext/>
        <w:numPr>
          <w:ilvl w:val="2"/>
          <w:numId w:val="173"/>
        </w:numPr>
      </w:pPr>
      <w:bookmarkStart w:id="2214" w:name="_Ref131498038"/>
      <w:r>
        <w:lastRenderedPageBreak/>
        <w:t>is sub-licensable to any Sub-contractor where</w:t>
      </w:r>
      <w:bookmarkEnd w:id="2214"/>
    </w:p>
    <w:p w14:paraId="511387EB" w14:textId="7E848E79" w:rsidR="00E60EAE" w:rsidRDefault="00E60EAE" w:rsidP="00B71FC0">
      <w:pPr>
        <w:pStyle w:val="Numbered111a"/>
        <w:numPr>
          <w:ilvl w:val="3"/>
          <w:numId w:val="173"/>
        </w:numPr>
      </w:pPr>
      <w:r>
        <w:t>the Sub-contractor enters into a confidentiality undertaking</w:t>
      </w:r>
      <w:r w:rsidRPr="00E36B93">
        <w:t xml:space="preserve"> with the Supplier on the same terms as set out </w:t>
      </w:r>
      <w:r>
        <w:t>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to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and</w:t>
      </w:r>
    </w:p>
    <w:p w14:paraId="75521457" w14:textId="77777777" w:rsidR="00E60EAE" w:rsidRDefault="00E60EAE" w:rsidP="00B71FC0">
      <w:pPr>
        <w:pStyle w:val="Numbered111a"/>
        <w:numPr>
          <w:ilvl w:val="3"/>
          <w:numId w:val="173"/>
        </w:numPr>
      </w:pPr>
      <w:r>
        <w:t>the sub-licence does not purport to provide the sub-licensee with any wider rights than those granted to the Supplier under this Paragraph;</w:t>
      </w:r>
    </w:p>
    <w:p w14:paraId="68E34E55" w14:textId="77777777" w:rsidR="00E60EAE" w:rsidRDefault="00E60EAE" w:rsidP="00B71FC0">
      <w:pPr>
        <w:pStyle w:val="Numbered111"/>
        <w:numPr>
          <w:ilvl w:val="2"/>
          <w:numId w:val="173"/>
        </w:numPr>
      </w:pPr>
      <w:r>
        <w:t xml:space="preserve">allows the Supplier and any sub-licensee to use, copy and adapt any licensed IPRs for the purpose of fulfilling its obligations under this Contract; and </w:t>
      </w:r>
    </w:p>
    <w:p w14:paraId="7340EF1D" w14:textId="77777777" w:rsidR="00E60EAE" w:rsidRDefault="00E60EAE" w:rsidP="00B71FC0">
      <w:pPr>
        <w:pStyle w:val="Numbered111"/>
        <w:keepNext/>
        <w:numPr>
          <w:ilvl w:val="2"/>
          <w:numId w:val="173"/>
        </w:numPr>
      </w:pPr>
      <w:r>
        <w:t>terminates at the later of:</w:t>
      </w:r>
    </w:p>
    <w:p w14:paraId="1D221C61" w14:textId="77777777" w:rsidR="00E60EAE" w:rsidRDefault="00E60EAE" w:rsidP="00B71FC0">
      <w:pPr>
        <w:pStyle w:val="Numbered111a"/>
        <w:numPr>
          <w:ilvl w:val="3"/>
          <w:numId w:val="173"/>
        </w:numPr>
      </w:pPr>
      <w:r>
        <w:t>the expiry of the Term; or</w:t>
      </w:r>
    </w:p>
    <w:p w14:paraId="40A77DFE" w14:textId="77777777" w:rsidR="00E60EAE" w:rsidRDefault="00E60EAE" w:rsidP="00B71FC0">
      <w:pPr>
        <w:pStyle w:val="Numbered111a"/>
        <w:numPr>
          <w:ilvl w:val="3"/>
          <w:numId w:val="173"/>
        </w:numPr>
      </w:pPr>
      <w:r>
        <w:t>the end of any Termination Assistance Period.</w:t>
      </w:r>
    </w:p>
    <w:p w14:paraId="7499616C" w14:textId="12F512BA" w:rsidR="00E60EAE" w:rsidRDefault="00E60EAE" w:rsidP="00B71FC0">
      <w:pPr>
        <w:pStyle w:val="Numbered11"/>
        <w:keepNext/>
        <w:numPr>
          <w:ilvl w:val="1"/>
          <w:numId w:val="173"/>
        </w:numPr>
      </w:pPr>
      <w:r>
        <w:t>When the licence granted under Paragraph </w:t>
      </w:r>
      <w:r>
        <w:fldChar w:fldCharType="begin"/>
      </w:r>
      <w:r>
        <w:instrText xml:space="preserve"> REF _Ref131410868 \n \h  \* MERGEFORMAT </w:instrText>
      </w:r>
      <w:r>
        <w:fldChar w:fldCharType="separate"/>
      </w:r>
      <w:r w:rsidR="009749A0">
        <w:t>4.1</w:t>
      </w:r>
      <w:r>
        <w:fldChar w:fldCharType="end"/>
      </w:r>
      <w:r>
        <w:t xml:space="preserve"> terminates, the Supplier must, and must ensure that each Sub-contractor granted a sub-licence under Paragraph </w:t>
      </w:r>
      <w:r>
        <w:fldChar w:fldCharType="begin"/>
      </w:r>
      <w:r>
        <w:instrText xml:space="preserve"> REF _Ref131498038 \r \h  \* MERGEFORMAT </w:instrText>
      </w:r>
      <w:r>
        <w:fldChar w:fldCharType="separate"/>
      </w:r>
      <w:r w:rsidR="009749A0">
        <w:t>4.1.7</w:t>
      </w:r>
      <w:r>
        <w:fldChar w:fldCharType="end"/>
      </w:r>
      <w:r>
        <w:t>:</w:t>
      </w:r>
    </w:p>
    <w:p w14:paraId="3B3B5882" w14:textId="77777777" w:rsidR="00E60EAE" w:rsidRDefault="00E60EAE" w:rsidP="00B71FC0">
      <w:pPr>
        <w:pStyle w:val="Numbered111"/>
        <w:numPr>
          <w:ilvl w:val="2"/>
          <w:numId w:val="173"/>
        </w:numPr>
      </w:pPr>
      <w:r>
        <w:t>immediately cease all use of the licensed IPR;</w:t>
      </w:r>
    </w:p>
    <w:p w14:paraId="6EBF38D5" w14:textId="77777777" w:rsidR="00E60EAE" w:rsidRDefault="00E60EAE" w:rsidP="00B71FC0">
      <w:pPr>
        <w:pStyle w:val="Numbered111"/>
        <w:keepNext/>
        <w:numPr>
          <w:ilvl w:val="2"/>
          <w:numId w:val="173"/>
        </w:numPr>
      </w:pPr>
      <w:r>
        <w:t>either:</w:t>
      </w:r>
    </w:p>
    <w:p w14:paraId="38F439C4" w14:textId="77777777" w:rsidR="00E60EAE" w:rsidRDefault="00E60EAE" w:rsidP="00B71FC0">
      <w:pPr>
        <w:pStyle w:val="Numbered111a"/>
        <w:numPr>
          <w:ilvl w:val="3"/>
          <w:numId w:val="173"/>
        </w:numPr>
      </w:pPr>
      <w:r>
        <w:t xml:space="preserve">at the discretion of the Authority, return or destroy documents and other tangible materials that contain any of the licensed IPR; or </w:t>
      </w:r>
    </w:p>
    <w:p w14:paraId="0C58EDBF" w14:textId="77777777" w:rsidR="00E60EAE" w:rsidRDefault="00E60EAE" w:rsidP="00B71FC0">
      <w:pPr>
        <w:pStyle w:val="Numbered111a"/>
        <w:numPr>
          <w:ilvl w:val="3"/>
          <w:numId w:val="173"/>
        </w:numPr>
      </w:pPr>
      <w:r>
        <w:t>if the Authority has not made an election within six months of the termination of the licence, destroy the documents and other tangible materials that contain any of the licensed IPR; and</w:t>
      </w:r>
    </w:p>
    <w:p w14:paraId="4AA56E2F" w14:textId="77777777" w:rsidR="00E60EAE" w:rsidRDefault="00E60EAE" w:rsidP="00B71FC0">
      <w:pPr>
        <w:pStyle w:val="Numbered111"/>
        <w:numPr>
          <w:ilvl w:val="2"/>
          <w:numId w:val="173"/>
        </w:numPr>
      </w:pPr>
      <w:r>
        <w:t>ensure, so far as reasonably practicable, that any licensed IPR held in electronic, digital or other machine-readable form ceases to be readily accessible from any computer, word processor, voicemail system or any other device of the Supplier.</w:t>
      </w:r>
    </w:p>
    <w:p w14:paraId="4780EAF3" w14:textId="77777777" w:rsidR="00E60EAE" w:rsidRDefault="00E60EAE" w:rsidP="00B71FC0">
      <w:pPr>
        <w:pStyle w:val="Numbered1"/>
        <w:numPr>
          <w:ilvl w:val="0"/>
          <w:numId w:val="173"/>
        </w:numPr>
      </w:pPr>
      <w:bookmarkStart w:id="2215" w:name="_Toc136451126"/>
      <w:bookmarkStart w:id="2216" w:name="_Ref140096688"/>
      <w:bookmarkEnd w:id="2212"/>
      <w:r w:rsidRPr="007E15D7">
        <w:t xml:space="preserve">Licences </w:t>
      </w:r>
      <w:r>
        <w:t>in respect of</w:t>
      </w:r>
      <w:r w:rsidRPr="007E15D7">
        <w:t xml:space="preserve"> </w:t>
      </w:r>
      <w:bookmarkEnd w:id="2215"/>
      <w:r w:rsidRPr="00A550B3">
        <w:t>Supplier Non-COTS Software</w:t>
      </w:r>
      <w:r>
        <w:t xml:space="preserve"> and </w:t>
      </w:r>
      <w:r w:rsidRPr="00A550B3">
        <w:t>Supplier Non-COTS Background IPR</w:t>
      </w:r>
      <w:bookmarkEnd w:id="2216"/>
    </w:p>
    <w:p w14:paraId="37C23901" w14:textId="06489A3D" w:rsidR="00E60EAE" w:rsidRDefault="00E60EAE" w:rsidP="00B71FC0">
      <w:pPr>
        <w:pStyle w:val="Numbered11"/>
        <w:keepNext/>
        <w:numPr>
          <w:ilvl w:val="1"/>
          <w:numId w:val="173"/>
        </w:numPr>
      </w:pPr>
      <w:bookmarkStart w:id="2217" w:name="_Ref131584298"/>
      <w:bookmarkStart w:id="2218" w:name="_Ref135302701"/>
      <w:r>
        <w:t xml:space="preserve">Subject to the Authority approving the use of </w:t>
      </w:r>
      <w:bookmarkStart w:id="2219" w:name="_Hlk140094449"/>
      <w:r w:rsidRPr="00A550B3">
        <w:t>Supplier Non-COTS Software</w:t>
      </w:r>
      <w:r>
        <w:t xml:space="preserve"> and </w:t>
      </w:r>
      <w:r w:rsidRPr="00A550B3">
        <w:t>Supplier Non-COTS Background IPR</w:t>
      </w:r>
      <w:bookmarkEnd w:id="2219"/>
      <w:r>
        <w:t xml:space="preserve"> under Paragraph </w:t>
      </w:r>
      <w:r>
        <w:fldChar w:fldCharType="begin"/>
      </w:r>
      <w:r>
        <w:instrText xml:space="preserve"> REF _Ref135302633 \w \h  \* MERGEFORMAT </w:instrText>
      </w:r>
      <w:r>
        <w:fldChar w:fldCharType="separate"/>
      </w:r>
      <w:r w:rsidR="009749A0">
        <w:t>2</w:t>
      </w:r>
      <w:r>
        <w:fldChar w:fldCharType="end"/>
      </w:r>
      <w:r>
        <w:t>, the Supplier grants the Authority a Supplier Existing IPR Licence on the terms set out in Paragraph </w:t>
      </w:r>
      <w:r>
        <w:fldChar w:fldCharType="begin"/>
      </w:r>
      <w:r>
        <w:instrText xml:space="preserve"> REF _Ref131410802 \n \h  \* MERGEFORMAT </w:instrText>
      </w:r>
      <w:r>
        <w:fldChar w:fldCharType="separate"/>
      </w:r>
      <w:r w:rsidR="009749A0">
        <w:t>5.3</w:t>
      </w:r>
      <w:r>
        <w:fldChar w:fldCharType="end"/>
      </w:r>
      <w:r>
        <w:t xml:space="preserve"> in respect of each Deliverable where:</w:t>
      </w:r>
      <w:bookmarkEnd w:id="2217"/>
      <w:bookmarkEnd w:id="2218"/>
    </w:p>
    <w:p w14:paraId="3111B534" w14:textId="77777777" w:rsidR="00E60EAE" w:rsidRDefault="00E60EAE" w:rsidP="00B71FC0">
      <w:pPr>
        <w:pStyle w:val="Numbered111"/>
        <w:numPr>
          <w:ilvl w:val="2"/>
          <w:numId w:val="173"/>
        </w:numPr>
      </w:pPr>
      <w:r>
        <w:t xml:space="preserve">the </w:t>
      </w:r>
      <w:r w:rsidRPr="00A550B3">
        <w:t>Supplier Non-COTS Software</w:t>
      </w:r>
      <w:r>
        <w:t xml:space="preserve"> and </w:t>
      </w:r>
      <w:r w:rsidRPr="00A550B3">
        <w:t>Supplier Non-COTS Background IPR</w:t>
      </w:r>
      <w:r>
        <w:t xml:space="preserve"> is embedded in the Deliverable;</w:t>
      </w:r>
    </w:p>
    <w:p w14:paraId="0F615D91" w14:textId="34DA7479" w:rsidR="00E60EAE" w:rsidRDefault="00E60EAE" w:rsidP="00B71FC0">
      <w:pPr>
        <w:pStyle w:val="Numbered111"/>
        <w:numPr>
          <w:ilvl w:val="2"/>
          <w:numId w:val="173"/>
        </w:numPr>
      </w:pPr>
      <w:r>
        <w:t xml:space="preserve">the </w:t>
      </w:r>
      <w:r w:rsidRPr="00A550B3">
        <w:t>Supplier Non-COTS Software</w:t>
      </w:r>
      <w:r>
        <w:t xml:space="preserve"> and </w:t>
      </w:r>
      <w:r w:rsidRPr="00A550B3">
        <w:t>Supplier Non-COTS Background IPR</w:t>
      </w:r>
      <w:r>
        <w:t xml:space="preserve"> is necessary for the Authority to use the Deliverable for any of the purposes set out in Paragraph </w:t>
      </w:r>
      <w:r>
        <w:fldChar w:fldCharType="begin"/>
      </w:r>
      <w:r>
        <w:instrText xml:space="preserve"> REF _Ref131410738 \n \h  \* MERGEFORMAT </w:instrText>
      </w:r>
      <w:r>
        <w:fldChar w:fldCharType="separate"/>
      </w:r>
      <w:r w:rsidR="009749A0">
        <w:t>5.4</w:t>
      </w:r>
      <w:r>
        <w:fldChar w:fldCharType="end"/>
      </w:r>
      <w:r>
        <w:t>; or</w:t>
      </w:r>
    </w:p>
    <w:p w14:paraId="254F36B4" w14:textId="77777777" w:rsidR="00E60EAE" w:rsidRDefault="00E60EAE" w:rsidP="00B71FC0">
      <w:pPr>
        <w:pStyle w:val="Numbered111"/>
        <w:numPr>
          <w:ilvl w:val="2"/>
          <w:numId w:val="173"/>
        </w:numPr>
      </w:pPr>
      <w:r>
        <w:t xml:space="preserve">the Deliverable is a customisation or adaptation of </w:t>
      </w:r>
      <w:r w:rsidRPr="00A550B3">
        <w:t>Supplier Non-COTS Software</w:t>
      </w:r>
      <w:r>
        <w:t xml:space="preserve"> and </w:t>
      </w:r>
      <w:r w:rsidRPr="00A550B3">
        <w:t>Supplier Non-COTS Background IPR</w:t>
      </w:r>
      <w:r>
        <w:t>.</w:t>
      </w:r>
    </w:p>
    <w:p w14:paraId="6AF2659D" w14:textId="5D797916" w:rsidR="00E60EAE" w:rsidRDefault="00E60EAE" w:rsidP="00B71FC0">
      <w:pPr>
        <w:pStyle w:val="Numbered11"/>
        <w:numPr>
          <w:ilvl w:val="1"/>
          <w:numId w:val="173"/>
        </w:numPr>
      </w:pPr>
      <w:r>
        <w:lastRenderedPageBreak/>
        <w:t xml:space="preserve">The categories of </w:t>
      </w:r>
      <w:r w:rsidRPr="00A550B3">
        <w:t>Supplier Non-COTS Software</w:t>
      </w:r>
      <w:r>
        <w:t xml:space="preserve"> and </w:t>
      </w:r>
      <w:r w:rsidRPr="00A550B3">
        <w:t>Supplier Non-COTS Background IPR</w:t>
      </w:r>
      <w:r>
        <w:t xml:space="preserve"> set out in Paragraph </w:t>
      </w:r>
      <w:r>
        <w:fldChar w:fldCharType="begin"/>
      </w:r>
      <w:r>
        <w:instrText xml:space="preserve"> REF _Ref135302701 \w \h  \* MERGEFORMAT </w:instrText>
      </w:r>
      <w:r>
        <w:fldChar w:fldCharType="separate"/>
      </w:r>
      <w:r w:rsidR="009749A0">
        <w:t>5.1</w:t>
      </w:r>
      <w:r>
        <w:fldChar w:fldCharType="end"/>
      </w:r>
      <w:r>
        <w:t xml:space="preserve"> are mutually exclusive.</w:t>
      </w:r>
    </w:p>
    <w:p w14:paraId="70312A26" w14:textId="77777777" w:rsidR="00E60EAE" w:rsidRDefault="00E60EAE" w:rsidP="00B71FC0">
      <w:pPr>
        <w:pStyle w:val="Numbered11"/>
        <w:keepNext/>
        <w:numPr>
          <w:ilvl w:val="1"/>
          <w:numId w:val="173"/>
        </w:numPr>
      </w:pPr>
      <w:bookmarkStart w:id="2220" w:name="_Ref131410802"/>
      <w:r>
        <w:t>The Supplier Existing IPR Licence granted by the Supplier to the Authority is a non-exclusive, perpetual, royalty-free, irrevocable, transferable, sub-licensable, worldwide licence that:</w:t>
      </w:r>
      <w:bookmarkEnd w:id="2220"/>
    </w:p>
    <w:p w14:paraId="292AE639" w14:textId="77777777" w:rsidR="00E60EAE" w:rsidRDefault="00E60EAE" w:rsidP="00B71FC0">
      <w:pPr>
        <w:pStyle w:val="Numbered111"/>
        <w:keepNext/>
        <w:numPr>
          <w:ilvl w:val="2"/>
          <w:numId w:val="173"/>
        </w:numPr>
      </w:pPr>
      <w:r>
        <w:t xml:space="preserve">in the case of </w:t>
      </w:r>
      <w:r w:rsidRPr="00A550B3">
        <w:t>Supplier Non-COTS Software</w:t>
      </w:r>
      <w:r>
        <w:t xml:space="preserve"> and </w:t>
      </w:r>
      <w:r w:rsidRPr="00A550B3">
        <w:t>Supplier Non-COTS Background IPR</w:t>
      </w:r>
      <w:r>
        <w:t xml:space="preserve"> embedded in a Deliverable:</w:t>
      </w:r>
    </w:p>
    <w:p w14:paraId="6DCEDA44" w14:textId="77777777" w:rsidR="00E60EAE" w:rsidRDefault="00E60EAE" w:rsidP="00B71FC0">
      <w:pPr>
        <w:pStyle w:val="Numbered111a"/>
        <w:numPr>
          <w:ilvl w:val="3"/>
          <w:numId w:val="173"/>
        </w:numPr>
      </w:pPr>
      <w:bookmarkStart w:id="2221" w:name="_Ref140096282"/>
      <w:r>
        <w:t>has no restriction on the identity of any transferee or sub-licensee;</w:t>
      </w:r>
      <w:bookmarkEnd w:id="2221"/>
    </w:p>
    <w:p w14:paraId="3398606F" w14:textId="33B25BB6" w:rsidR="00E60EAE" w:rsidRDefault="00E60EAE" w:rsidP="00B71FC0">
      <w:pPr>
        <w:pStyle w:val="Numbered111a"/>
        <w:numPr>
          <w:ilvl w:val="3"/>
          <w:numId w:val="173"/>
        </w:numPr>
      </w:pPr>
      <w:r>
        <w:t>is sub-licensable for any of the purposes set out in Paragraph </w:t>
      </w:r>
      <w:r>
        <w:fldChar w:fldCharType="begin"/>
      </w:r>
      <w:r>
        <w:instrText xml:space="preserve"> REF _Ref131410738 \n \h  \* MERGEFORMAT </w:instrText>
      </w:r>
      <w:r>
        <w:fldChar w:fldCharType="separate"/>
      </w:r>
      <w:r w:rsidR="009749A0">
        <w:t>5.4</w:t>
      </w:r>
      <w:r>
        <w:fldChar w:fldCharType="end"/>
      </w:r>
      <w:r>
        <w:t>;</w:t>
      </w:r>
    </w:p>
    <w:p w14:paraId="77B8545E" w14:textId="12CE8A43" w:rsidR="00E60EAE" w:rsidRDefault="00E60EAE" w:rsidP="00B71FC0">
      <w:pPr>
        <w:pStyle w:val="Numbered111a"/>
        <w:numPr>
          <w:ilvl w:val="3"/>
          <w:numId w:val="173"/>
        </w:numPr>
      </w:pPr>
      <w:r>
        <w:t xml:space="preserve">allows the Authority and any transferee or sub-licensee to use, copy and adapt the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_Ref131410738 \n \h  \* MERGEFORMAT </w:instrText>
      </w:r>
      <w:r>
        <w:fldChar w:fldCharType="separate"/>
      </w:r>
      <w:r w:rsidR="009749A0">
        <w:t>5.4</w:t>
      </w:r>
      <w:r>
        <w:fldChar w:fldCharType="end"/>
      </w:r>
      <w:r>
        <w:t>; and</w:t>
      </w:r>
    </w:p>
    <w:p w14:paraId="75899660" w14:textId="77777777" w:rsidR="00E60EAE" w:rsidRPr="007E15D7" w:rsidRDefault="00E60EAE" w:rsidP="00B71FC0">
      <w:pPr>
        <w:pStyle w:val="Numbered111"/>
        <w:keepNext/>
        <w:numPr>
          <w:ilvl w:val="2"/>
          <w:numId w:val="173"/>
        </w:numPr>
      </w:pPr>
      <w:r w:rsidRPr="007E15D7">
        <w:t xml:space="preserve">in the case of </w:t>
      </w:r>
      <w:r w:rsidRPr="00A550B3">
        <w:t>Supplier Non-COTS Software</w:t>
      </w:r>
      <w:r>
        <w:t xml:space="preserve"> and </w:t>
      </w:r>
      <w:r w:rsidRPr="00A550B3">
        <w:t>Supplier Non-COTS Background IPR</w:t>
      </w:r>
      <w:r w:rsidRPr="007E15D7">
        <w:t xml:space="preserve"> that is necessary for the </w:t>
      </w:r>
      <w:r>
        <w:t>Authority</w:t>
      </w:r>
      <w:r w:rsidRPr="007E15D7">
        <w:t xml:space="preserve"> to use the Deliverable for its intended purpose or has been customised or adapted to provide the Deliverable:</w:t>
      </w:r>
    </w:p>
    <w:p w14:paraId="3A5AE75F" w14:textId="099FFA0F" w:rsidR="00E60EAE" w:rsidRDefault="00E60EAE" w:rsidP="00B71FC0">
      <w:pPr>
        <w:pStyle w:val="Numbered111a"/>
        <w:numPr>
          <w:ilvl w:val="3"/>
          <w:numId w:val="173"/>
        </w:numPr>
      </w:pPr>
      <w:r>
        <w:t xml:space="preserve">allows the Authority and any transferee or sublicensee to use and copy, but not adapt, disassemble or reverse engineer the relevant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_Ref131410738 \n \h  \* MERGEFORMAT </w:instrText>
      </w:r>
      <w:r>
        <w:fldChar w:fldCharType="separate"/>
      </w:r>
      <w:r w:rsidR="009749A0">
        <w:t>5.4</w:t>
      </w:r>
      <w:r>
        <w:fldChar w:fldCharType="end"/>
      </w:r>
      <w:r>
        <w:t>;</w:t>
      </w:r>
    </w:p>
    <w:p w14:paraId="4C6B0326" w14:textId="77777777" w:rsidR="00E60EAE" w:rsidRDefault="00E60EAE" w:rsidP="00B71FC0">
      <w:pPr>
        <w:pStyle w:val="Numbered111a"/>
        <w:keepNext/>
        <w:numPr>
          <w:ilvl w:val="3"/>
          <w:numId w:val="173"/>
        </w:numPr>
      </w:pPr>
      <w:bookmarkStart w:id="2222" w:name="_Ref140096285"/>
      <w:r>
        <w:t>is transferrable to only:</w:t>
      </w:r>
      <w:bookmarkEnd w:id="2222"/>
    </w:p>
    <w:p w14:paraId="4064A843" w14:textId="77777777" w:rsidR="00E60EAE" w:rsidRDefault="00E60EAE" w:rsidP="00B71FC0">
      <w:pPr>
        <w:pStyle w:val="Numbered111ai"/>
        <w:numPr>
          <w:ilvl w:val="4"/>
          <w:numId w:val="173"/>
        </w:numPr>
      </w:pPr>
      <w:r>
        <w:t>a Crown Body;</w:t>
      </w:r>
    </w:p>
    <w:p w14:paraId="7097FBE9" w14:textId="77777777" w:rsidR="00E60EAE" w:rsidRDefault="00E60EAE" w:rsidP="00B71FC0">
      <w:pPr>
        <w:pStyle w:val="Numbered111ai"/>
        <w:numPr>
          <w:ilvl w:val="4"/>
          <w:numId w:val="1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1F7E877D" w14:textId="77777777" w:rsidR="00DE7345" w:rsidRDefault="00E60EAE" w:rsidP="00DE7345">
      <w:pPr>
        <w:pStyle w:val="Numbered111ai"/>
        <w:numPr>
          <w:ilvl w:val="4"/>
          <w:numId w:val="173"/>
        </w:numPr>
      </w:pPr>
      <w:r>
        <w:t>a person or organisation that is not a direct competitor of the Supplier</w:t>
      </w:r>
      <w:r w:rsidR="00DE7345">
        <w:t>, where that transferee:</w:t>
      </w:r>
    </w:p>
    <w:p w14:paraId="54208234" w14:textId="425CFC21" w:rsidR="00DE7345" w:rsidRDefault="00DE7345" w:rsidP="00DE7345">
      <w:pPr>
        <w:pStyle w:val="Numbered111aiA"/>
        <w:numPr>
          <w:ilvl w:val="5"/>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7E2FDCC7" w14:textId="77777777" w:rsidR="00DE7345" w:rsidRDefault="00DE7345" w:rsidP="00DE7345">
      <w:pPr>
        <w:pStyle w:val="Numbered111aiA"/>
        <w:numPr>
          <w:ilvl w:val="5"/>
          <w:numId w:val="173"/>
        </w:numPr>
      </w:pPr>
      <w:r>
        <w:t>enters into a confidentiality arrangement with the Authority in terms equivalent to those set out in set out in Clause 19 (</w:t>
      </w:r>
      <w:r w:rsidRPr="00E03699">
        <w:rPr>
          <w:i/>
          <w:iCs/>
        </w:rPr>
        <w:t>Confidentiality</w:t>
      </w:r>
      <w:r>
        <w:t>);</w:t>
      </w:r>
    </w:p>
    <w:p w14:paraId="639040A3" w14:textId="50F644CB" w:rsidR="00DE7345" w:rsidRDefault="00E60EAE" w:rsidP="00DE7345">
      <w:pPr>
        <w:pStyle w:val="Numbered111a"/>
        <w:numPr>
          <w:ilvl w:val="3"/>
          <w:numId w:val="173"/>
        </w:numPr>
      </w:pPr>
      <w:r w:rsidRPr="007E15D7">
        <w:t>is sub-licensable to the Replacement Supplier (including where the Replacement Supplier is a competitor of the Supplier)</w:t>
      </w:r>
      <w:r w:rsidR="00DE7345" w:rsidRPr="00DE7345">
        <w:t xml:space="preserve"> </w:t>
      </w:r>
      <w:r w:rsidR="00DE7345">
        <w:t>where the Replacement Supplier:</w:t>
      </w:r>
    </w:p>
    <w:p w14:paraId="300CA5C7" w14:textId="74876A82" w:rsidR="00DE7345" w:rsidRDefault="00DE7345" w:rsidP="00DE7345">
      <w:pPr>
        <w:pStyle w:val="Numbered111ai"/>
        <w:numPr>
          <w:ilvl w:val="4"/>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704080BB" w14:textId="77777777" w:rsidR="00DE7345" w:rsidRDefault="00DE7345" w:rsidP="00DE7345">
      <w:pPr>
        <w:pStyle w:val="Numbered111ai"/>
        <w:numPr>
          <w:ilvl w:val="4"/>
          <w:numId w:val="173"/>
        </w:numPr>
      </w:pPr>
      <w:r>
        <w:t xml:space="preserve">enters into a confidentiality arrangement with the Authority in terms equivalent to those set out in set out in Clause 19 </w:t>
      </w:r>
      <w:r>
        <w:lastRenderedPageBreak/>
        <w:t>(</w:t>
      </w:r>
      <w:r w:rsidRPr="00E03699">
        <w:rPr>
          <w:i/>
          <w:iCs/>
        </w:rPr>
        <w:t>Confidentiality</w:t>
      </w:r>
      <w:r>
        <w:t>);</w:t>
      </w:r>
    </w:p>
    <w:p w14:paraId="402C9314" w14:textId="77777777" w:rsidR="00E60EAE" w:rsidRDefault="00E60EAE" w:rsidP="00B71FC0">
      <w:pPr>
        <w:pStyle w:val="Numbered111"/>
        <w:numPr>
          <w:ilvl w:val="2"/>
          <w:numId w:val="173"/>
        </w:numPr>
      </w:pPr>
      <w:r>
        <w:t xml:space="preserve">includes a perpetual, royalty-free, non-exclusive licence to use, copy and adapt any Know-How, trade secrets or Confidential Information of the Supplier contained within any </w:t>
      </w:r>
      <w:r w:rsidRPr="00A550B3">
        <w:t>Supplier Non-COTS Software</w:t>
      </w:r>
      <w:r>
        <w:t xml:space="preserve"> and </w:t>
      </w:r>
      <w:r w:rsidRPr="00A550B3">
        <w:t>Supplier Non-COTS Background IPR</w:t>
      </w:r>
      <w:r>
        <w:t>;</w:t>
      </w:r>
    </w:p>
    <w:p w14:paraId="09134DE5" w14:textId="77777777" w:rsidR="00E60EAE" w:rsidRDefault="00E60EAE" w:rsidP="00B71FC0">
      <w:pPr>
        <w:pStyle w:val="Numbered111"/>
        <w:numPr>
          <w:ilvl w:val="2"/>
          <w:numId w:val="173"/>
        </w:numPr>
      </w:pPr>
      <w:r>
        <w:t>continues in effect following the expiry or earlier termination of this Contract; and</w:t>
      </w:r>
    </w:p>
    <w:p w14:paraId="44A005AF" w14:textId="77777777" w:rsidR="00E60EAE" w:rsidRDefault="00E60EAE" w:rsidP="00B71FC0">
      <w:pPr>
        <w:pStyle w:val="Numbered111"/>
        <w:keepNext/>
        <w:numPr>
          <w:ilvl w:val="2"/>
          <w:numId w:val="173"/>
        </w:numPr>
      </w:pPr>
      <w:r>
        <w:t>is subject to the restrictions that:</w:t>
      </w:r>
    </w:p>
    <w:p w14:paraId="4A06ECF4" w14:textId="77777777" w:rsidR="00E60EAE" w:rsidRDefault="00E60EAE" w:rsidP="00B71FC0">
      <w:pPr>
        <w:pStyle w:val="Numbered111a"/>
        <w:numPr>
          <w:ilvl w:val="3"/>
          <w:numId w:val="173"/>
        </w:numPr>
      </w:pPr>
      <w:r>
        <w:t xml:space="preserve">no sub-licence granted to the </w:t>
      </w:r>
      <w:r w:rsidRPr="00A550B3">
        <w:t>Supplier Non-COTS Software</w:t>
      </w:r>
      <w:r>
        <w:t xml:space="preserve"> and </w:t>
      </w:r>
      <w:r w:rsidRPr="00A550B3">
        <w:t>Supplier Non-COTS Background IPR</w:t>
      </w:r>
      <w:r>
        <w:t xml:space="preserve"> shall purport to provide the sub-licensee with any wider rights than those granted to the Authority under this Paragraph; and</w:t>
      </w:r>
    </w:p>
    <w:p w14:paraId="06BD3971" w14:textId="77777777" w:rsidR="00E60EAE" w:rsidRDefault="00E60EAE" w:rsidP="00B71FC0">
      <w:pPr>
        <w:pStyle w:val="Numbered111a"/>
        <w:keepNext/>
        <w:numPr>
          <w:ilvl w:val="3"/>
          <w:numId w:val="173"/>
        </w:numPr>
      </w:pPr>
      <w:r>
        <w:t xml:space="preserve">any transferee or sublicensee of the </w:t>
      </w:r>
      <w:r w:rsidRPr="00A550B3">
        <w:t>Supplier Non-COTS Software</w:t>
      </w:r>
      <w:r>
        <w:t xml:space="preserve"> and </w:t>
      </w:r>
      <w:r w:rsidRPr="00A550B3">
        <w:t>Supplier Non-COTS Background IPR</w:t>
      </w:r>
      <w:r>
        <w:t xml:space="preserve"> must either:</w:t>
      </w:r>
    </w:p>
    <w:p w14:paraId="24514DA3" w14:textId="49A38E82" w:rsidR="00E60EAE" w:rsidRDefault="00E60EAE" w:rsidP="00B71FC0">
      <w:pPr>
        <w:pStyle w:val="Numbered111ai"/>
        <w:numPr>
          <w:ilvl w:val="4"/>
          <w:numId w:val="173"/>
        </w:numPr>
      </w:pPr>
      <w:r>
        <w:t>enter into a direct arrangement with the Supplier in the form set out 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of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or</w:t>
      </w:r>
    </w:p>
    <w:p w14:paraId="5E1C38C9" w14:textId="77777777" w:rsidR="00E60EAE" w:rsidRDefault="00E60EAE" w:rsidP="00B71FC0">
      <w:pPr>
        <w:pStyle w:val="Numbered111ai"/>
        <w:numPr>
          <w:ilvl w:val="4"/>
          <w:numId w:val="173"/>
        </w:numPr>
      </w:pPr>
      <w:r>
        <w:t>enter into a confidentiality arrangement with the Authority in terms equivalent to those set out in set out in Clause 19 (</w:t>
      </w:r>
      <w:r>
        <w:rPr>
          <w:i/>
          <w:iCs/>
        </w:rPr>
        <w:t>Confidentiality</w:t>
      </w:r>
      <w:r>
        <w:t xml:space="preserve">). </w:t>
      </w:r>
    </w:p>
    <w:p w14:paraId="7BBB574D" w14:textId="04D6353E" w:rsidR="00E60EAE" w:rsidRDefault="00E60EAE" w:rsidP="00B71FC0">
      <w:pPr>
        <w:pStyle w:val="Numbered11"/>
        <w:keepNext/>
        <w:numPr>
          <w:ilvl w:val="1"/>
          <w:numId w:val="173"/>
        </w:numPr>
      </w:pPr>
      <w:bookmarkStart w:id="2223" w:name="_Ref131410738"/>
      <w:r>
        <w:t>For the purposes of Paragraphs </w:t>
      </w:r>
      <w:r>
        <w:fldChar w:fldCharType="begin"/>
      </w:r>
      <w:r>
        <w:instrText xml:space="preserve"> REF _Ref131584298 \r \h  \* MERGEFORMAT </w:instrText>
      </w:r>
      <w:r>
        <w:fldChar w:fldCharType="separate"/>
      </w:r>
      <w:r w:rsidR="009749A0">
        <w:t>5.1</w:t>
      </w:r>
      <w:r>
        <w:fldChar w:fldCharType="end"/>
      </w:r>
      <w:r>
        <w:t xml:space="preserve"> and </w:t>
      </w:r>
      <w:r>
        <w:fldChar w:fldCharType="begin"/>
      </w:r>
      <w:r>
        <w:instrText xml:space="preserve"> REF _Ref131410802 \n \h  \* MERGEFORMAT </w:instrText>
      </w:r>
      <w:r>
        <w:fldChar w:fldCharType="separate"/>
      </w:r>
      <w:r w:rsidR="009749A0">
        <w:t>5.3</w:t>
      </w:r>
      <w:r>
        <w:fldChar w:fldCharType="end"/>
      </w:r>
      <w:r>
        <w:t>, the relevant purposes are:</w:t>
      </w:r>
      <w:bookmarkEnd w:id="2223"/>
    </w:p>
    <w:p w14:paraId="5D110E78" w14:textId="77777777" w:rsidR="00E60EAE" w:rsidRDefault="00E60EAE" w:rsidP="00B71FC0">
      <w:pPr>
        <w:pStyle w:val="Numbered111"/>
        <w:numPr>
          <w:ilvl w:val="2"/>
          <w:numId w:val="173"/>
        </w:numPr>
      </w:pPr>
      <w:r>
        <w:t>to allow the Authority or any End User to receive and use the Deliverables;</w:t>
      </w:r>
    </w:p>
    <w:p w14:paraId="72650834" w14:textId="77777777" w:rsidR="00E60EAE" w:rsidRDefault="00E60EAE" w:rsidP="00B71FC0">
      <w:pPr>
        <w:pStyle w:val="Numbered111"/>
        <w:numPr>
          <w:ilvl w:val="2"/>
          <w:numId w:val="173"/>
        </w:numPr>
      </w:pPr>
      <w:r>
        <w:t>to commercially exploit (including by publication under Open Licence) the Project Specific IPR, Specially Written Software and Software Supporting Materials; and</w:t>
      </w:r>
    </w:p>
    <w:p w14:paraId="28F8A156" w14:textId="77777777" w:rsidR="00E60EAE" w:rsidRDefault="00E60EAE" w:rsidP="00B71FC0">
      <w:pPr>
        <w:pStyle w:val="Numbered111"/>
        <w:numPr>
          <w:ilvl w:val="2"/>
          <w:numId w:val="173"/>
        </w:numPr>
      </w:pPr>
      <w:r>
        <w:t>for any purpose relating to the exercise of the Authority’s (or, if the Authority is a Public Sector Body, any other Public Sector Body’s) business or function.</w:t>
      </w:r>
    </w:p>
    <w:p w14:paraId="65523030" w14:textId="77777777" w:rsidR="00E60EAE" w:rsidRDefault="00E60EAE" w:rsidP="00B71FC0">
      <w:pPr>
        <w:pStyle w:val="Numbered11"/>
        <w:keepNext/>
        <w:numPr>
          <w:ilvl w:val="1"/>
          <w:numId w:val="173"/>
        </w:numPr>
      </w:pPr>
      <w:bookmarkStart w:id="2224" w:name="_Ref140096407"/>
      <w:r>
        <w:t>Where the legal status of the Authority changes, such that it ceases to be a Crown Body:</w:t>
      </w:r>
      <w:bookmarkEnd w:id="2224"/>
    </w:p>
    <w:p w14:paraId="1D0F9A60" w14:textId="77777777" w:rsidR="00E60EAE" w:rsidRDefault="00E60EAE" w:rsidP="00B71FC0">
      <w:pPr>
        <w:pStyle w:val="Numbered111"/>
        <w:numPr>
          <w:ilvl w:val="2"/>
          <w:numId w:val="173"/>
        </w:numPr>
      </w:pPr>
      <w:r>
        <w:t>the Supplier Existing IPR Licence is unaffected; and</w:t>
      </w:r>
    </w:p>
    <w:p w14:paraId="7AA20ECB" w14:textId="77777777" w:rsidR="00E60EAE" w:rsidRDefault="00E60EAE" w:rsidP="00B71FC0">
      <w:pPr>
        <w:pStyle w:val="Numbered111"/>
        <w:numPr>
          <w:ilvl w:val="2"/>
          <w:numId w:val="173"/>
        </w:numPr>
      </w:pPr>
      <w:r>
        <w:t>any successor body of the Authority that is a Crown Body shall have the benefit of the Supplier Existing IPR Licence.</w:t>
      </w:r>
    </w:p>
    <w:p w14:paraId="361E6B3F" w14:textId="37C2531E" w:rsidR="00E60EAE" w:rsidRDefault="00E60EAE" w:rsidP="00B71FC0">
      <w:pPr>
        <w:pStyle w:val="Numbered11"/>
        <w:numPr>
          <w:ilvl w:val="1"/>
          <w:numId w:val="173"/>
        </w:numPr>
      </w:pPr>
      <w:r>
        <w:t>Where the Supplier Existing IPR Licence is transferred under Paragraph </w:t>
      </w:r>
      <w:r>
        <w:fldChar w:fldCharType="begin"/>
      </w:r>
      <w:r>
        <w:instrText xml:space="preserve"> REF _Ref140096282 \w \h  \* MERGEFORMAT </w:instrText>
      </w:r>
      <w:r>
        <w:fldChar w:fldCharType="separate"/>
      </w:r>
      <w:r w:rsidR="009749A0">
        <w:t>5.3.1(a)</w:t>
      </w:r>
      <w:r>
        <w:fldChar w:fldCharType="end"/>
      </w:r>
      <w:r>
        <w:t xml:space="preserve"> or </w:t>
      </w:r>
      <w:r>
        <w:fldChar w:fldCharType="begin"/>
      </w:r>
      <w:r>
        <w:instrText xml:space="preserve"> REF _Ref140096285 \w \h  \* MERGEFORMAT </w:instrText>
      </w:r>
      <w:r>
        <w:fldChar w:fldCharType="separate"/>
      </w:r>
      <w:r w:rsidR="009749A0">
        <w:t>5.3.2(b)</w:t>
      </w:r>
      <w:r>
        <w:fldChar w:fldCharType="end"/>
      </w:r>
      <w:r>
        <w:t xml:space="preserve"> or there is a change in the Authority’s legal status to which Paragraph </w:t>
      </w:r>
      <w:r>
        <w:fldChar w:fldCharType="begin"/>
      </w:r>
      <w:r>
        <w:instrText xml:space="preserve"> REF _Ref140096407 \w \h  \* MERGEFORMAT </w:instrText>
      </w:r>
      <w:r>
        <w:fldChar w:fldCharType="separate"/>
      </w:r>
      <w:r w:rsidR="009749A0">
        <w:t>5.5</w:t>
      </w:r>
      <w:r>
        <w:fldChar w:fldCharType="end"/>
      </w:r>
      <w:r>
        <w:t xml:space="preserve"> applies, the transferee or successor body do not acquire any wider rights than those granted to the Authority under this Paragraph.</w:t>
      </w:r>
    </w:p>
    <w:p w14:paraId="48052022" w14:textId="77777777" w:rsidR="00E60EAE" w:rsidRDefault="00E60EAE" w:rsidP="00B71FC0">
      <w:pPr>
        <w:pStyle w:val="Numbered1"/>
        <w:numPr>
          <w:ilvl w:val="0"/>
          <w:numId w:val="173"/>
        </w:numPr>
      </w:pPr>
      <w:r>
        <w:t>Open Licence Publication</w:t>
      </w:r>
    </w:p>
    <w:p w14:paraId="07AEA6CD" w14:textId="1D836CC8" w:rsidR="00E60EAE" w:rsidRDefault="00E60EAE" w:rsidP="00B71FC0">
      <w:pPr>
        <w:pStyle w:val="Numbered11"/>
        <w:numPr>
          <w:ilvl w:val="1"/>
          <w:numId w:val="173"/>
        </w:numPr>
      </w:pPr>
      <w:r>
        <w:t>Subject to Paragraph </w:t>
      </w:r>
      <w:r>
        <w:fldChar w:fldCharType="begin"/>
      </w:r>
      <w:r>
        <w:instrText xml:space="preserve"> REF _Ref140820522 \r \h  \* MERGEFORMAT </w:instrText>
      </w:r>
      <w:r>
        <w:fldChar w:fldCharType="separate"/>
      </w:r>
      <w:r w:rsidR="009749A0">
        <w:t>6.8</w:t>
      </w:r>
      <w:r>
        <w:fldChar w:fldCharType="end"/>
      </w:r>
      <w:r>
        <w:t>, the Supplier agrees that the Authority may at its sole discretion publish under Open Licence all or part of the Project Specific IPR, the Specially Written Software or the Software Supporting Materials.</w:t>
      </w:r>
    </w:p>
    <w:p w14:paraId="5241AFE8" w14:textId="77777777" w:rsidR="00E60EAE" w:rsidRDefault="00E60EAE" w:rsidP="00B71FC0">
      <w:pPr>
        <w:pStyle w:val="Numbered11"/>
        <w:keepNext/>
        <w:numPr>
          <w:ilvl w:val="1"/>
          <w:numId w:val="173"/>
        </w:numPr>
      </w:pPr>
      <w:r>
        <w:lastRenderedPageBreak/>
        <w:t>The Supplier warrants that:</w:t>
      </w:r>
    </w:p>
    <w:p w14:paraId="3D064248" w14:textId="77777777" w:rsidR="00E60EAE" w:rsidRDefault="00E60EAE" w:rsidP="00B71FC0">
      <w:pPr>
        <w:pStyle w:val="Numbered111"/>
        <w:numPr>
          <w:ilvl w:val="2"/>
          <w:numId w:val="173"/>
        </w:numPr>
      </w:pPr>
      <w:r>
        <w:t>the Project Specific IPR, the Specially Written Software or the Software Supporting Materials are suitable for release under Open Licence;</w:t>
      </w:r>
    </w:p>
    <w:p w14:paraId="34298652" w14:textId="77777777" w:rsidR="00E60EAE" w:rsidRDefault="00E60EAE" w:rsidP="00B71FC0">
      <w:pPr>
        <w:pStyle w:val="Numbered111"/>
        <w:keepNext/>
        <w:numPr>
          <w:ilvl w:val="2"/>
          <w:numId w:val="173"/>
        </w:numPr>
      </w:pPr>
      <w:r>
        <w:t>in developing Project Specific IPR, the Specially Written Software or the Software Supporting Materials it has used reasonable endeavours to ensure that:</w:t>
      </w:r>
    </w:p>
    <w:p w14:paraId="3812BA2D" w14:textId="77777777" w:rsidR="00E60EAE" w:rsidRDefault="00E60EAE" w:rsidP="00B71FC0">
      <w:pPr>
        <w:pStyle w:val="Numbered111a"/>
        <w:keepNext/>
        <w:numPr>
          <w:ilvl w:val="3"/>
          <w:numId w:val="173"/>
        </w:numPr>
      </w:pPr>
      <w:r>
        <w:t>the publication by the Authority will not:</w:t>
      </w:r>
    </w:p>
    <w:p w14:paraId="417D27A4" w14:textId="77777777" w:rsidR="00E60EAE" w:rsidRDefault="00E60EAE" w:rsidP="00B71FC0">
      <w:pPr>
        <w:pStyle w:val="Numbered111ai"/>
        <w:numPr>
          <w:ilvl w:val="4"/>
          <w:numId w:val="173"/>
        </w:numPr>
      </w:pPr>
      <w:r>
        <w:t xml:space="preserve">allow a third party to use them in to compromise </w:t>
      </w:r>
      <w:r w:rsidRPr="00DA0C3F">
        <w:t>the operation, running or security of the Specially Written Software, the Project Specific IPRs</w:t>
      </w:r>
      <w:r>
        <w:t>,</w:t>
      </w:r>
      <w:r w:rsidRPr="00DA0C3F">
        <w:t xml:space="preserve"> the Authority System</w:t>
      </w:r>
      <w:r>
        <w:t xml:space="preserve"> or the Supplier System;</w:t>
      </w:r>
    </w:p>
    <w:p w14:paraId="79668981" w14:textId="77777777" w:rsidR="00E60EAE" w:rsidRDefault="00E60EAE" w:rsidP="00B71FC0">
      <w:pPr>
        <w:pStyle w:val="Numbered111ai"/>
        <w:numPr>
          <w:ilvl w:val="4"/>
          <w:numId w:val="173"/>
        </w:numPr>
      </w:pPr>
      <w:r>
        <w:t>cause any harm or damage to any party using them; or</w:t>
      </w:r>
    </w:p>
    <w:p w14:paraId="6DB60C47" w14:textId="77777777" w:rsidR="00E60EAE" w:rsidRDefault="00E60EAE" w:rsidP="00B71FC0">
      <w:pPr>
        <w:pStyle w:val="Numbered111ai"/>
        <w:numPr>
          <w:ilvl w:val="4"/>
          <w:numId w:val="173"/>
        </w:numPr>
      </w:pPr>
      <w:r>
        <w:t>breach the rights of any third party; and</w:t>
      </w:r>
    </w:p>
    <w:p w14:paraId="7C01E7B7" w14:textId="77777777" w:rsidR="00E60EAE" w:rsidRDefault="00E60EAE" w:rsidP="00B71FC0">
      <w:pPr>
        <w:pStyle w:val="Numbered111a"/>
        <w:numPr>
          <w:ilvl w:val="3"/>
          <w:numId w:val="173"/>
        </w:numPr>
      </w:pPr>
      <w:r>
        <w:t xml:space="preserve">they do not contain </w:t>
      </w:r>
      <w:r w:rsidRPr="00307996">
        <w:t>any material which would bring the Authority into disrepute if published</w:t>
      </w:r>
      <w:r>
        <w:t>.</w:t>
      </w:r>
    </w:p>
    <w:p w14:paraId="70235548" w14:textId="77777777" w:rsidR="00E60EAE" w:rsidRDefault="00E60EAE" w:rsidP="00B71FC0">
      <w:pPr>
        <w:pStyle w:val="Numbered11"/>
        <w:numPr>
          <w:ilvl w:val="1"/>
          <w:numId w:val="173"/>
        </w:numPr>
      </w:pPr>
      <w:r>
        <w:t>The Supplier must not include in the</w:t>
      </w:r>
      <w:r w:rsidRPr="00F70171">
        <w:t xml:space="preserve"> </w:t>
      </w:r>
      <w:r>
        <w:t>Project Specific IPR, the Specially Written Software or the Software Supporting Materials provided for publication by Open Licence any Supplier Software, Supplier Background IPR, or Know-How, trade secrets or Confidential Information of the Supplier contained in any Specially Written Software or Project Specific IPR unless the Supplier consents to:</w:t>
      </w:r>
    </w:p>
    <w:p w14:paraId="168BAA76" w14:textId="77777777" w:rsidR="00E60EAE" w:rsidRDefault="00E60EAE" w:rsidP="00B71FC0">
      <w:pPr>
        <w:pStyle w:val="Numbered111"/>
        <w:numPr>
          <w:ilvl w:val="2"/>
          <w:numId w:val="173"/>
        </w:numPr>
      </w:pPr>
      <w:r>
        <w:t>their publication by the Authority under Open Licence; and</w:t>
      </w:r>
    </w:p>
    <w:p w14:paraId="07173BB9" w14:textId="77777777" w:rsidR="00E60EAE" w:rsidRDefault="00E60EAE" w:rsidP="00B71FC0">
      <w:pPr>
        <w:pStyle w:val="Numbered111"/>
        <w:numPr>
          <w:ilvl w:val="2"/>
          <w:numId w:val="173"/>
        </w:numPr>
      </w:pPr>
      <w:r>
        <w:t>their subsequent licence and treatment as Open Licence under the terms of the licence chosen by the Authority.</w:t>
      </w:r>
    </w:p>
    <w:p w14:paraId="215AED4B" w14:textId="77777777" w:rsidR="00E60EAE" w:rsidRDefault="00E60EAE" w:rsidP="00B71FC0">
      <w:pPr>
        <w:pStyle w:val="Numbered11"/>
        <w:numPr>
          <w:ilvl w:val="1"/>
          <w:numId w:val="173"/>
        </w:numPr>
      </w:pPr>
      <w:r>
        <w:t>T</w:t>
      </w:r>
      <w:r w:rsidRPr="00026597">
        <w:t xml:space="preserve">he </w:t>
      </w:r>
      <w:r>
        <w:t xml:space="preserve">Authority </w:t>
      </w:r>
      <w:r w:rsidRPr="00026597">
        <w:t xml:space="preserve">will not be liable in the event that any </w:t>
      </w:r>
      <w:r>
        <w:t xml:space="preserve">Supplier Software, Supplier Background IPR, or Know-How, trade secrets or Confidential Information of the Supplier contained in any Specially Written Software or Project Specific IPR </w:t>
      </w:r>
      <w:r w:rsidRPr="00026597">
        <w:t xml:space="preserve">is included in the Open Licence Publication Material published by the </w:t>
      </w:r>
      <w:r>
        <w:t>Authority</w:t>
      </w:r>
    </w:p>
    <w:p w14:paraId="384E1BDB" w14:textId="77777777" w:rsidR="00E60EAE" w:rsidRDefault="00E60EAE" w:rsidP="00B71FC0">
      <w:pPr>
        <w:pStyle w:val="Numbered11"/>
        <w:numPr>
          <w:ilvl w:val="1"/>
          <w:numId w:val="173"/>
        </w:numPr>
      </w:pPr>
      <w:bookmarkStart w:id="2225" w:name="_Ref140819898"/>
      <w:r>
        <w:t xml:space="preserve">The Supplier must supply any or all the Project Specific IPR, the Specially Written Software or the Software Supporting Materials in a format (whether it is provided in any other format or not) suitable for publication under an Open Licence (the </w:t>
      </w:r>
      <w:r w:rsidRPr="001D3888">
        <w:rPr>
          <w:b/>
          <w:bCs/>
        </w:rPr>
        <w:t>Open Licence Publication Material</w:t>
      </w:r>
      <w:r>
        <w:t>) within 30 Working Days of written request from the Authority (</w:t>
      </w:r>
      <w:r>
        <w:rPr>
          <w:b/>
          <w:bCs/>
        </w:rPr>
        <w:t>Authority</w:t>
      </w:r>
      <w:r w:rsidRPr="001D3888">
        <w:rPr>
          <w:b/>
          <w:bCs/>
        </w:rPr>
        <w:t xml:space="preserve"> Open Licence Request</w:t>
      </w:r>
      <w:r>
        <w:t>).</w:t>
      </w:r>
      <w:bookmarkEnd w:id="2225"/>
    </w:p>
    <w:p w14:paraId="278F7095" w14:textId="198FA94A" w:rsidR="00E60EAE" w:rsidRDefault="00E60EAE" w:rsidP="00B71FC0">
      <w:pPr>
        <w:pStyle w:val="Numbered11"/>
        <w:keepNext/>
        <w:numPr>
          <w:ilvl w:val="1"/>
          <w:numId w:val="173"/>
        </w:numPr>
      </w:pPr>
      <w:r>
        <w:t>The Supplier may within 15 Working Days of Authority Open Licence Request under Paragraph </w:t>
      </w:r>
      <w:r>
        <w:fldChar w:fldCharType="begin"/>
      </w:r>
      <w:r>
        <w:instrText xml:space="preserve"> REF _Ref140819898 \r \h  \* MERGEFORMAT </w:instrText>
      </w:r>
      <w:r>
        <w:fldChar w:fldCharType="separate"/>
      </w:r>
      <w:r w:rsidR="009749A0">
        <w:t>6.5</w:t>
      </w:r>
      <w:r>
        <w:fldChar w:fldCharType="end"/>
      </w:r>
      <w:r>
        <w:t xml:space="preserve"> request in writing that the Authority excludes all or part of:</w:t>
      </w:r>
    </w:p>
    <w:p w14:paraId="44DEDDAB" w14:textId="77777777" w:rsidR="00E60EAE" w:rsidRDefault="00E60EAE" w:rsidP="00B71FC0">
      <w:pPr>
        <w:pStyle w:val="Numbered111"/>
        <w:numPr>
          <w:ilvl w:val="2"/>
          <w:numId w:val="173"/>
        </w:numPr>
      </w:pPr>
      <w:r>
        <w:t>the Project Specific IPR, the Specially Written Software or the Software Supporting Materials Items; or</w:t>
      </w:r>
    </w:p>
    <w:p w14:paraId="34EAC549" w14:textId="34290423" w:rsidR="00E60EAE" w:rsidRDefault="00E60EAE" w:rsidP="00B71FC0">
      <w:pPr>
        <w:pStyle w:val="Numbered111"/>
        <w:numPr>
          <w:ilvl w:val="2"/>
          <w:numId w:val="173"/>
        </w:numPr>
      </w:pPr>
      <w:r>
        <w:t xml:space="preserve">the Supplier Software, the Third Party Software, the Third Party IPRs, the Supplier Background IPRs, or any Know-How, trade secrets or Confidential Information of the Supplier contained in any Specially Written Software or Project Specific IPR that would otherwise be included in the Open Licence </w:t>
      </w:r>
      <w:r>
        <w:lastRenderedPageBreak/>
        <w:t>Publication Material supplied to the Authority pursuant to Paragraph </w:t>
      </w:r>
      <w:r>
        <w:fldChar w:fldCharType="begin"/>
      </w:r>
      <w:r>
        <w:instrText xml:space="preserve"> REF _Ref140819898 \r \h  \* MERGEFORMAT </w:instrText>
      </w:r>
      <w:r>
        <w:fldChar w:fldCharType="separate"/>
      </w:r>
      <w:r w:rsidR="009749A0">
        <w:t>6.5</w:t>
      </w:r>
      <w:r>
        <w:fldChar w:fldCharType="end"/>
      </w:r>
      <w:r>
        <w:t>,</w:t>
      </w:r>
    </w:p>
    <w:p w14:paraId="2D9F4508" w14:textId="77777777" w:rsidR="00E60EAE" w:rsidRDefault="00E60EAE" w:rsidP="00E60EAE">
      <w:pPr>
        <w:pStyle w:val="StdBodyText1"/>
      </w:pPr>
      <w:r>
        <w:t>from Open Licence publication.</w:t>
      </w:r>
    </w:p>
    <w:p w14:paraId="522810A2" w14:textId="56CC2802" w:rsidR="00E60EAE" w:rsidRDefault="00E60EAE" w:rsidP="00B71FC0">
      <w:pPr>
        <w:pStyle w:val="Numbered11"/>
        <w:numPr>
          <w:ilvl w:val="1"/>
          <w:numId w:val="173"/>
        </w:numPr>
      </w:pPr>
      <w:r>
        <w:t>The Supplier’s request under Paragraph </w:t>
      </w:r>
      <w:r>
        <w:fldChar w:fldCharType="begin"/>
      </w:r>
      <w:r>
        <w:instrText xml:space="preserve"> REF _Ref140819898 \r \h  \* MERGEFORMAT </w:instrText>
      </w:r>
      <w:r>
        <w:fldChar w:fldCharType="separate"/>
      </w:r>
      <w:r w:rsidR="009749A0">
        <w:t>6.5</w:t>
      </w:r>
      <w:r>
        <w:fldChar w:fldCharType="end"/>
      </w:r>
      <w:r>
        <w:t xml:space="preserve"> must include the Supplier’s assessment of the impact the Authority’s agreeing to the request would have on its ability to publish other Project Specific IPR, Specially Written Software or Software Supporting Materials under an Open Licence.</w:t>
      </w:r>
    </w:p>
    <w:p w14:paraId="6612F0B0" w14:textId="2D4C7F42" w:rsidR="00E60EAE" w:rsidRPr="00FB3CC1" w:rsidRDefault="00E60EAE" w:rsidP="00B71FC0">
      <w:pPr>
        <w:pStyle w:val="Numbered11"/>
        <w:numPr>
          <w:ilvl w:val="1"/>
          <w:numId w:val="173"/>
        </w:numPr>
      </w:pPr>
      <w:bookmarkStart w:id="2226" w:name="_Ref140820522"/>
      <w:r>
        <w:t>Any decision to Approve any such request from the Supplier under Paragraph </w:t>
      </w:r>
      <w:r>
        <w:fldChar w:fldCharType="begin"/>
      </w:r>
      <w:r>
        <w:instrText xml:space="preserve"> REF _Ref140819898 \r \h  \* MERGEFORMAT </w:instrText>
      </w:r>
      <w:r>
        <w:fldChar w:fldCharType="separate"/>
      </w:r>
      <w:r w:rsidR="009749A0">
        <w:t>6.5</w:t>
      </w:r>
      <w:r>
        <w:fldChar w:fldCharType="end"/>
      </w:r>
      <w:r>
        <w:t xml:space="preserve"> shall be at the Authority’s sole discretion, not to be unreasonably withheld or delayed, or made subject to unreasonable conditions.</w:t>
      </w:r>
      <w:bookmarkEnd w:id="2226"/>
    </w:p>
    <w:p w14:paraId="7FA887F8" w14:textId="77777777" w:rsidR="00E60EAE" w:rsidRPr="005368AA" w:rsidRDefault="00E60EAE" w:rsidP="00E60EAE">
      <w:r w:rsidRPr="005368AA">
        <w:br w:type="page"/>
      </w:r>
    </w:p>
    <w:p w14:paraId="7F7534D8" w14:textId="3381C8DA" w:rsidR="00E60EAE" w:rsidRPr="002223EA" w:rsidRDefault="00E60EAE" w:rsidP="00E60EAE">
      <w:pPr>
        <w:pStyle w:val="StdBodyText"/>
        <w:rPr>
          <w:bCs/>
          <w:iCs/>
        </w:rPr>
      </w:pPr>
      <w:r w:rsidRPr="002223EA">
        <w:rPr>
          <w:b/>
          <w:iCs/>
        </w:rPr>
        <w:lastRenderedPageBreak/>
        <w:t>[</w:t>
      </w:r>
      <w:r w:rsidRPr="00964392">
        <w:rPr>
          <w:b/>
          <w:i/>
          <w:highlight w:val="yellow"/>
        </w:rPr>
        <w:t xml:space="preserve">Guidance note: for </w:t>
      </w:r>
      <w:r w:rsidRPr="00964392">
        <w:rPr>
          <w:b/>
          <w:i/>
          <w:highlight w:val="yellow"/>
          <w:u w:val="single"/>
        </w:rPr>
        <w:t xml:space="preserve">Option </w:t>
      </w:r>
      <w:r w:rsidRPr="00964392">
        <w:rPr>
          <w:b/>
          <w:i/>
          <w:highlight w:val="yellow"/>
          <w:u w:val="single"/>
        </w:rPr>
        <w:fldChar w:fldCharType="begin"/>
      </w:r>
      <w:r w:rsidRPr="00964392">
        <w:rPr>
          <w:b/>
          <w:i/>
          <w:highlight w:val="yellow"/>
          <w:u w:val="single"/>
        </w:rPr>
        <w:instrText xml:space="preserve"> REF OPTION2_SCHEDULE32 \h  \* MERGEFORMAT </w:instrText>
      </w:r>
      <w:r w:rsidRPr="00964392">
        <w:rPr>
          <w:b/>
          <w:i/>
          <w:highlight w:val="yellow"/>
          <w:u w:val="single"/>
        </w:rPr>
      </w:r>
      <w:r w:rsidRPr="00964392">
        <w:rPr>
          <w:b/>
          <w:i/>
          <w:highlight w:val="yellow"/>
          <w:u w:val="single"/>
        </w:rPr>
        <w:fldChar w:fldCharType="separate"/>
      </w:r>
      <w:r w:rsidR="009749A0" w:rsidRPr="00B664D1">
        <w:rPr>
          <w:b/>
          <w:i/>
          <w:u w:val="single"/>
        </w:rPr>
        <w:t>2</w:t>
      </w:r>
      <w:r w:rsidRPr="00964392">
        <w:rPr>
          <w:b/>
          <w:i/>
          <w:highlight w:val="yellow"/>
          <w:u w:val="single"/>
        </w:rPr>
        <w:fldChar w:fldCharType="end"/>
      </w:r>
      <w:r w:rsidRPr="00964392">
        <w:rPr>
          <w:b/>
          <w:i/>
          <w:highlight w:val="yellow"/>
        </w:rPr>
        <w:t>: Authority owns all Project Specific IPR and Specially Written Software with non-exclusive Supplier rights, please include the following drafting:</w:t>
      </w:r>
      <w:r w:rsidRPr="002223EA">
        <w:rPr>
          <w:bCs/>
          <w:iCs/>
        </w:rPr>
        <w:t>]</w:t>
      </w:r>
    </w:p>
    <w:p w14:paraId="4E793722" w14:textId="77777777" w:rsidR="00E60EAE" w:rsidRDefault="00E60EAE" w:rsidP="00E60EAE">
      <w:pPr>
        <w:pStyle w:val="Heading2"/>
      </w:pPr>
      <w:bookmarkStart w:id="2227" w:name="_Toc118293563"/>
      <w:bookmarkStart w:id="2228" w:name="_Toc141721076"/>
      <w:r>
        <w:t xml:space="preserve">Option </w:t>
      </w:r>
      <w:bookmarkStart w:id="2229" w:name="OPTION2_SCHEDULE32"/>
      <w:r>
        <w:t>2</w:t>
      </w:r>
      <w:bookmarkEnd w:id="2227"/>
      <w:bookmarkEnd w:id="2229"/>
      <w:bookmarkEnd w:id="2228"/>
    </w:p>
    <w:p w14:paraId="1B44E626" w14:textId="77777777" w:rsidR="00E60EAE" w:rsidRDefault="00E60EAE" w:rsidP="00B71FC0">
      <w:pPr>
        <w:pStyle w:val="Numbered1"/>
        <w:numPr>
          <w:ilvl w:val="0"/>
          <w:numId w:val="176"/>
        </w:numPr>
      </w:pPr>
      <w:bookmarkStart w:id="2230" w:name="_Toc136451186"/>
      <w:r>
        <w:t>Ownership and delivery of IPR created under the Contract</w:t>
      </w:r>
      <w:bookmarkEnd w:id="2230"/>
    </w:p>
    <w:p w14:paraId="3D3E0EA1" w14:textId="156FB59C" w:rsidR="00E60EAE" w:rsidRDefault="00E60EAE" w:rsidP="00B71FC0">
      <w:pPr>
        <w:pStyle w:val="Numbered11"/>
        <w:keepNext/>
        <w:numPr>
          <w:ilvl w:val="1"/>
          <w:numId w:val="173"/>
        </w:numPr>
      </w:pPr>
      <w:r>
        <w:t>Subject to Paragraph </w:t>
      </w:r>
      <w:r>
        <w:fldChar w:fldCharType="begin"/>
      </w:r>
      <w:r>
        <w:instrText xml:space="preserve"> REF _Ref141105848 \w \h </w:instrText>
      </w:r>
      <w:r>
        <w:fldChar w:fldCharType="separate"/>
      </w:r>
      <w:r w:rsidR="009749A0">
        <w:t>1.1.1</w:t>
      </w:r>
      <w:r>
        <w:fldChar w:fldCharType="end"/>
      </w:r>
      <w:r>
        <w:t>, the Supplier agrees to</w:t>
      </w:r>
    </w:p>
    <w:p w14:paraId="10C413A1" w14:textId="77777777" w:rsidR="00E60EAE" w:rsidRDefault="00E60EAE" w:rsidP="00B71FC0">
      <w:pPr>
        <w:pStyle w:val="Numbered111"/>
        <w:keepNext/>
        <w:numPr>
          <w:ilvl w:val="2"/>
          <w:numId w:val="173"/>
        </w:numPr>
      </w:pPr>
      <w:r>
        <w:t>transfer to the Authority, or procure the transfer to the Authority of all Intellectual Property Rights in the Specially Written Software and Project Specific IPRs, including:</w:t>
      </w:r>
    </w:p>
    <w:p w14:paraId="4D31B27F" w14:textId="77777777" w:rsidR="00E60EAE" w:rsidRDefault="00E60EAE" w:rsidP="00B71FC0">
      <w:pPr>
        <w:pStyle w:val="Numbered111a"/>
        <w:numPr>
          <w:ilvl w:val="3"/>
          <w:numId w:val="173"/>
        </w:numPr>
      </w:pPr>
      <w:r>
        <w:t>the Documentation, Source Code and the Object Code of the Specially Written Software; and</w:t>
      </w:r>
    </w:p>
    <w:p w14:paraId="06999605" w14:textId="77777777" w:rsidR="00E60EAE" w:rsidRDefault="00E60EAE" w:rsidP="00B71FC0">
      <w:pPr>
        <w:pStyle w:val="Numbered111a"/>
        <w:numPr>
          <w:ilvl w:val="3"/>
          <w:numId w:val="173"/>
        </w:numPr>
      </w:pPr>
      <w:r>
        <w:t>all build instructions, test instructions, test scripts, test data, operating instructions and other documents and tools necessary for maintaining and supporting the Specially Written Software,</w:t>
      </w:r>
    </w:p>
    <w:p w14:paraId="4D1CF629" w14:textId="77777777" w:rsidR="00E60EAE" w:rsidRDefault="00E60EAE" w:rsidP="00E60EAE">
      <w:pPr>
        <w:pStyle w:val="StdBodyText3"/>
      </w:pPr>
      <w:r>
        <w:t xml:space="preserve">(together the </w:t>
      </w:r>
      <w:r w:rsidRPr="0043795B">
        <w:rPr>
          <w:b/>
          <w:bCs/>
        </w:rPr>
        <w:t>Software Supporting Materials</w:t>
      </w:r>
      <w:r>
        <w:t>); and</w:t>
      </w:r>
    </w:p>
    <w:p w14:paraId="6B1C7382" w14:textId="21F9F647" w:rsidR="00E60EAE" w:rsidRDefault="00E60EAE" w:rsidP="00B71FC0">
      <w:pPr>
        <w:pStyle w:val="Numbered111"/>
        <w:numPr>
          <w:ilvl w:val="2"/>
          <w:numId w:val="173"/>
        </w:numPr>
      </w:pPr>
      <w:r w:rsidRPr="00016234">
        <w:t xml:space="preserve">execute all such </w:t>
      </w:r>
      <w:r w:rsidR="007B217F">
        <w:t>assignations</w:t>
      </w:r>
      <w:r w:rsidR="007B217F" w:rsidRPr="00016234">
        <w:t xml:space="preserve"> </w:t>
      </w:r>
      <w:r w:rsidRPr="00016234">
        <w:t xml:space="preserve">required to </w:t>
      </w:r>
      <w:r>
        <w:t xml:space="preserve">transfer properly any </w:t>
      </w:r>
      <w:r w:rsidRPr="00016234">
        <w:t>rights in the Specially Written Software and Project Specific IPRs to the Authority</w:t>
      </w:r>
      <w:r>
        <w:t>.</w:t>
      </w:r>
    </w:p>
    <w:p w14:paraId="3D8842A7" w14:textId="77777777" w:rsidR="00E60EAE" w:rsidRDefault="00E60EAE" w:rsidP="00B71FC0">
      <w:pPr>
        <w:pStyle w:val="Numbered11"/>
        <w:keepNext/>
        <w:numPr>
          <w:ilvl w:val="1"/>
          <w:numId w:val="173"/>
        </w:numPr>
      </w:pPr>
      <w:bookmarkStart w:id="2231" w:name="_Ref140100191"/>
      <w:r>
        <w:t>The Supplier must deliver to the Authority:</w:t>
      </w:r>
      <w:bookmarkEnd w:id="2231"/>
    </w:p>
    <w:p w14:paraId="2F71E765" w14:textId="77777777" w:rsidR="00E60EAE" w:rsidRDefault="00E60EAE" w:rsidP="00B71FC0">
      <w:pPr>
        <w:pStyle w:val="Numbered111"/>
        <w:numPr>
          <w:ilvl w:val="2"/>
          <w:numId w:val="173"/>
        </w:numPr>
      </w:pPr>
      <w:r w:rsidRPr="008C3BB0">
        <w:t>the Specially Written Software</w:t>
      </w:r>
      <w:r>
        <w:t xml:space="preserve">; </w:t>
      </w:r>
    </w:p>
    <w:p w14:paraId="3FC6E8A8" w14:textId="77777777" w:rsidR="00E60EAE" w:rsidRDefault="00E60EAE" w:rsidP="00B71FC0">
      <w:pPr>
        <w:pStyle w:val="Numbered111"/>
        <w:numPr>
          <w:ilvl w:val="2"/>
          <w:numId w:val="173"/>
        </w:numPr>
      </w:pPr>
      <w:r w:rsidRPr="008C3BB0">
        <w:t xml:space="preserve">any </w:t>
      </w:r>
      <w:r>
        <w:t>software</w:t>
      </w:r>
      <w:r w:rsidRPr="008C3BB0">
        <w:t xml:space="preserve"> elements of the </w:t>
      </w:r>
      <w:r>
        <w:t>Project Specific IPR;</w:t>
      </w:r>
    </w:p>
    <w:p w14:paraId="4CD83C23" w14:textId="77777777" w:rsidR="00E60EAE" w:rsidRDefault="00E60EAE" w:rsidP="00B71FC0">
      <w:pPr>
        <w:pStyle w:val="Numbered111"/>
        <w:numPr>
          <w:ilvl w:val="2"/>
          <w:numId w:val="173"/>
        </w:numPr>
      </w:pPr>
      <w:r w:rsidRPr="008C3BB0">
        <w:t>relevant Documentation</w:t>
      </w:r>
      <w:r>
        <w:t>; and</w:t>
      </w:r>
    </w:p>
    <w:p w14:paraId="1E87F304" w14:textId="77777777" w:rsidR="00E60EAE" w:rsidRDefault="00E60EAE" w:rsidP="00B71FC0">
      <w:pPr>
        <w:pStyle w:val="Numbered111"/>
        <w:numPr>
          <w:ilvl w:val="2"/>
          <w:numId w:val="173"/>
        </w:numPr>
      </w:pPr>
      <w:r w:rsidRPr="008C3BB0">
        <w:t>all related Software Supporting Materials</w:t>
      </w:r>
      <w:r>
        <w:t>,</w:t>
      </w:r>
    </w:p>
    <w:p w14:paraId="6082B44C" w14:textId="77777777" w:rsidR="00E60EAE" w:rsidRDefault="00E60EAE" w:rsidP="00E60EAE">
      <w:pPr>
        <w:pStyle w:val="StdBodyText2"/>
        <w:keepNext/>
      </w:pPr>
      <w:r w:rsidRPr="008C3BB0">
        <w:t>within</w:t>
      </w:r>
      <w:r>
        <w:t xml:space="preserve"> </w:t>
      </w:r>
      <w:r w:rsidRPr="008C3BB0">
        <w:t>seven days of</w:t>
      </w:r>
      <w:r>
        <w:t>:</w:t>
      </w:r>
    </w:p>
    <w:p w14:paraId="114BAB44" w14:textId="77777777" w:rsidR="00E60EAE" w:rsidRDefault="00E60EAE" w:rsidP="00B71FC0">
      <w:pPr>
        <w:pStyle w:val="Numbered111"/>
        <w:keepNext/>
        <w:numPr>
          <w:ilvl w:val="2"/>
          <w:numId w:val="173"/>
        </w:numPr>
      </w:pPr>
      <w:r>
        <w:t>either:</w:t>
      </w:r>
    </w:p>
    <w:p w14:paraId="1EF61983" w14:textId="77777777" w:rsidR="00E60EAE" w:rsidRDefault="00E60EAE" w:rsidP="00B71FC0">
      <w:pPr>
        <w:pStyle w:val="Numbered111a"/>
        <w:numPr>
          <w:ilvl w:val="3"/>
          <w:numId w:val="173"/>
        </w:numPr>
      </w:pPr>
      <w:r>
        <w:t>initial release or deployment;</w:t>
      </w:r>
      <w:r w:rsidRPr="008C3BB0">
        <w:t xml:space="preserve"> or</w:t>
      </w:r>
    </w:p>
    <w:p w14:paraId="623D66D8" w14:textId="77777777" w:rsidR="00E60EAE" w:rsidRDefault="00E60EAE" w:rsidP="00B71FC0">
      <w:pPr>
        <w:pStyle w:val="Numbered111a"/>
        <w:numPr>
          <w:ilvl w:val="3"/>
          <w:numId w:val="173"/>
        </w:numPr>
      </w:pPr>
      <w:r w:rsidRPr="008C3BB0">
        <w:t>if a relevant Milestone has been identified in an Implementation Plan, Achievement of that Milestone</w:t>
      </w:r>
      <w:r>
        <w:t>; and</w:t>
      </w:r>
    </w:p>
    <w:p w14:paraId="689F4568" w14:textId="77777777" w:rsidR="00E60EAE" w:rsidRDefault="00E60EAE" w:rsidP="00B71FC0">
      <w:pPr>
        <w:pStyle w:val="Numbered111"/>
        <w:numPr>
          <w:ilvl w:val="2"/>
          <w:numId w:val="173"/>
        </w:numPr>
      </w:pPr>
      <w:r>
        <w:t>each subsequent release or deployment of the Specially Written Software and any software elements of the Project Specific IPR.</w:t>
      </w:r>
    </w:p>
    <w:p w14:paraId="413697EC" w14:textId="2CEE8849" w:rsidR="00E60EAE" w:rsidRDefault="00E60EAE" w:rsidP="00B71FC0">
      <w:pPr>
        <w:pStyle w:val="Numbered11"/>
        <w:numPr>
          <w:ilvl w:val="1"/>
          <w:numId w:val="173"/>
        </w:numPr>
      </w:pPr>
      <w:r>
        <w:t>Where the Supplier delivers materials to the Authority under Paragraph </w:t>
      </w:r>
      <w:r>
        <w:fldChar w:fldCharType="begin"/>
      </w:r>
      <w:r>
        <w:instrText xml:space="preserve"> REF _Ref140100191 \w \h  \* MERGEFORMAT </w:instrText>
      </w:r>
      <w:r>
        <w:fldChar w:fldCharType="separate"/>
      </w:r>
      <w:r w:rsidR="009749A0">
        <w:t>1.2</w:t>
      </w:r>
      <w:r>
        <w:fldChar w:fldCharType="end"/>
      </w:r>
      <w:r>
        <w:t>, it must do so in a format specified by the Authority. Where the Authority specifies the material is to be delivered on media, the Authority becomes the owner of the media containing the material on delivery.</w:t>
      </w:r>
    </w:p>
    <w:p w14:paraId="666F1D36" w14:textId="77777777" w:rsidR="00E60EAE" w:rsidRDefault="00E60EAE" w:rsidP="00B71FC0">
      <w:pPr>
        <w:pStyle w:val="Numbered1"/>
        <w:numPr>
          <w:ilvl w:val="0"/>
          <w:numId w:val="173"/>
        </w:numPr>
      </w:pPr>
      <w:bookmarkStart w:id="2232" w:name="_Ref140100775"/>
      <w:r>
        <w:lastRenderedPageBreak/>
        <w:t>Use of Supplier or Third Party Non-COTS Software or Non-COTS Background IPR</w:t>
      </w:r>
      <w:bookmarkEnd w:id="2232"/>
    </w:p>
    <w:p w14:paraId="4FC090B6"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297C65C5" w14:textId="77777777" w:rsidR="00E60EAE" w:rsidRDefault="00E60EAE" w:rsidP="00B71FC0">
      <w:pPr>
        <w:pStyle w:val="Numbered111"/>
        <w:numPr>
          <w:ilvl w:val="2"/>
          <w:numId w:val="173"/>
        </w:numPr>
      </w:pPr>
      <w:r w:rsidRPr="00A550B3">
        <w:t>Supplier Non-COTS Software</w:t>
      </w:r>
      <w:r>
        <w:t>; or</w:t>
      </w:r>
    </w:p>
    <w:p w14:paraId="2458ED44" w14:textId="77777777" w:rsidR="00E60EAE" w:rsidRDefault="00E60EAE" w:rsidP="00B71FC0">
      <w:pPr>
        <w:pStyle w:val="Numbered111"/>
        <w:numPr>
          <w:ilvl w:val="2"/>
          <w:numId w:val="173"/>
        </w:numPr>
      </w:pPr>
      <w:r>
        <w:t xml:space="preserve">any </w:t>
      </w:r>
      <w:r w:rsidRPr="00A550B3">
        <w:t>Supplier Non-COTS Background IPR</w:t>
      </w:r>
      <w:r>
        <w:t>;</w:t>
      </w:r>
    </w:p>
    <w:p w14:paraId="0293141C" w14:textId="77777777" w:rsidR="00E60EAE" w:rsidRDefault="00E60EAE" w:rsidP="00E60EAE">
      <w:pPr>
        <w:pStyle w:val="StdBodyText1"/>
      </w:pPr>
      <w:r w:rsidRPr="00A550B3">
        <w:t>in the provision of the Services</w:t>
      </w:r>
      <w:r>
        <w:t xml:space="preserve"> or any Deliverables </w:t>
      </w:r>
      <w:r w:rsidRPr="00016234">
        <w:t>(including in any Specially Written Software or in the software element of Project Specific IPRs)</w:t>
      </w:r>
      <w:r w:rsidRPr="00A550B3">
        <w:t xml:space="preserve"> unless</w:t>
      </w:r>
      <w:r>
        <w:t>:</w:t>
      </w:r>
    </w:p>
    <w:p w14:paraId="5F7737CF" w14:textId="77777777" w:rsidR="00E60EAE" w:rsidRDefault="00E60EAE" w:rsidP="00B71FC0">
      <w:pPr>
        <w:pStyle w:val="Numbered111"/>
        <w:keepNext/>
        <w:numPr>
          <w:ilvl w:val="2"/>
          <w:numId w:val="173"/>
        </w:numPr>
      </w:pPr>
      <w:r>
        <w:t>in the case of Supplier Non-COTS Software and the software elements of Supplier</w:t>
      </w:r>
      <w:r w:rsidRPr="00A550B3">
        <w:t xml:space="preserve"> Non-COTS Background IPR</w:t>
      </w:r>
      <w:r>
        <w:t>, it is either:</w:t>
      </w:r>
    </w:p>
    <w:p w14:paraId="7BA4DE88" w14:textId="5F702AC9"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7EFA128B" w14:textId="77777777" w:rsidR="00E60EAE" w:rsidRDefault="00E60EAE" w:rsidP="00B71FC0">
      <w:pPr>
        <w:pStyle w:val="Numbered111a"/>
        <w:keepNext/>
        <w:numPr>
          <w:ilvl w:val="3"/>
          <w:numId w:val="173"/>
        </w:numPr>
      </w:pPr>
      <w:r>
        <w:t>both:</w:t>
      </w:r>
    </w:p>
    <w:p w14:paraId="5AA66A89" w14:textId="77777777" w:rsidR="00E60EAE" w:rsidRDefault="00E60EAE" w:rsidP="00B71FC0">
      <w:pPr>
        <w:pStyle w:val="Numbered111ai"/>
        <w:numPr>
          <w:ilvl w:val="4"/>
          <w:numId w:val="173"/>
        </w:numPr>
      </w:pPr>
      <w:r>
        <w:t xml:space="preserve">submitted </w:t>
      </w:r>
      <w:r w:rsidRPr="00A550B3">
        <w:t>to the Technical Board for review</w:t>
      </w:r>
      <w:r>
        <w:t>; and</w:t>
      </w:r>
    </w:p>
    <w:p w14:paraId="3D51F657" w14:textId="77777777" w:rsidR="00E60EAE" w:rsidRDefault="00E60EAE" w:rsidP="00B71FC0">
      <w:pPr>
        <w:pStyle w:val="Numbered111ai"/>
        <w:numPr>
          <w:ilvl w:val="4"/>
          <w:numId w:val="173"/>
        </w:numPr>
      </w:pPr>
      <w:r>
        <w:t xml:space="preserve">approved </w:t>
      </w:r>
      <w:r w:rsidRPr="00A550B3">
        <w:t>by the Authority</w:t>
      </w:r>
      <w:r>
        <w:t>; or</w:t>
      </w:r>
    </w:p>
    <w:p w14:paraId="0C644904" w14:textId="77777777" w:rsidR="00E60EAE" w:rsidRDefault="00E60EAE" w:rsidP="00B71FC0">
      <w:pPr>
        <w:pStyle w:val="Numbered111"/>
        <w:numPr>
          <w:ilvl w:val="2"/>
          <w:numId w:val="173"/>
        </w:numPr>
      </w:pPr>
      <w:r>
        <w:t>in the case of non-software elements of Supplier</w:t>
      </w:r>
      <w:r w:rsidRPr="00A550B3">
        <w:t xml:space="preserve"> Non-COTS Background IPR</w:t>
      </w:r>
      <w:r>
        <w:t>, it is approved by the Authority in writing.</w:t>
      </w:r>
    </w:p>
    <w:p w14:paraId="7E51D705"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24B2E057" w14:textId="77777777" w:rsidR="00E60EAE" w:rsidRDefault="00E60EAE" w:rsidP="00B71FC0">
      <w:pPr>
        <w:pStyle w:val="Numbered111"/>
        <w:numPr>
          <w:ilvl w:val="2"/>
          <w:numId w:val="173"/>
        </w:numPr>
      </w:pPr>
      <w:r>
        <w:t>Third Party Non-COTS Software; or</w:t>
      </w:r>
    </w:p>
    <w:p w14:paraId="7D553774" w14:textId="77777777" w:rsidR="00E60EAE" w:rsidRDefault="00E60EAE" w:rsidP="00B71FC0">
      <w:pPr>
        <w:pStyle w:val="Numbered111"/>
        <w:numPr>
          <w:ilvl w:val="2"/>
          <w:numId w:val="173"/>
        </w:numPr>
      </w:pPr>
      <w:r>
        <w:t>Third Party</w:t>
      </w:r>
      <w:r w:rsidRPr="00A550B3">
        <w:t xml:space="preserve"> Non-COTS Background IPR</w:t>
      </w:r>
      <w:r>
        <w:t>,</w:t>
      </w:r>
    </w:p>
    <w:p w14:paraId="493D52C7" w14:textId="77777777" w:rsidR="00E60EAE" w:rsidRDefault="00E60EAE" w:rsidP="00E60EAE">
      <w:pPr>
        <w:pStyle w:val="StdBodyText1"/>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w:t>
      </w:r>
    </w:p>
    <w:p w14:paraId="509D7D06" w14:textId="77777777" w:rsidR="00E60EAE" w:rsidRDefault="00E60EAE" w:rsidP="00B71FC0">
      <w:pPr>
        <w:pStyle w:val="Numbered111"/>
        <w:keepNext/>
        <w:numPr>
          <w:ilvl w:val="2"/>
          <w:numId w:val="173"/>
        </w:numPr>
      </w:pPr>
      <w:r>
        <w:t>in the case of Third Party Non-COTS Software and the software elements of Third Party</w:t>
      </w:r>
      <w:r w:rsidRPr="00A550B3">
        <w:t xml:space="preserve"> Non-COTS Background IPR</w:t>
      </w:r>
      <w:r>
        <w:t>, it is either:</w:t>
      </w:r>
    </w:p>
    <w:p w14:paraId="44D23C20" w14:textId="07B94117"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50597582" w14:textId="77777777" w:rsidR="00E60EAE" w:rsidRDefault="00E60EAE" w:rsidP="00B71FC0">
      <w:pPr>
        <w:pStyle w:val="Numbered111a"/>
        <w:keepNext/>
        <w:numPr>
          <w:ilvl w:val="3"/>
          <w:numId w:val="173"/>
        </w:numPr>
      </w:pPr>
      <w:r>
        <w:t>both:</w:t>
      </w:r>
    </w:p>
    <w:p w14:paraId="12FDECEC" w14:textId="77777777" w:rsidR="00E60EAE" w:rsidRDefault="00E60EAE" w:rsidP="00B71FC0">
      <w:pPr>
        <w:pStyle w:val="Numbered111ai"/>
        <w:numPr>
          <w:ilvl w:val="4"/>
          <w:numId w:val="173"/>
        </w:numPr>
      </w:pPr>
      <w:r>
        <w:t xml:space="preserve">submitted </w:t>
      </w:r>
      <w:r w:rsidRPr="00A550B3">
        <w:t>to the Technical Board for review</w:t>
      </w:r>
      <w:r>
        <w:t>; and</w:t>
      </w:r>
    </w:p>
    <w:p w14:paraId="3276D468" w14:textId="77777777" w:rsidR="00E60EAE" w:rsidRDefault="00E60EAE" w:rsidP="00B71FC0">
      <w:pPr>
        <w:pStyle w:val="Numbered111ai"/>
        <w:numPr>
          <w:ilvl w:val="4"/>
          <w:numId w:val="173"/>
        </w:numPr>
      </w:pPr>
      <w:r>
        <w:t xml:space="preserve">approved </w:t>
      </w:r>
      <w:r w:rsidRPr="00A550B3">
        <w:t>by the Authority</w:t>
      </w:r>
      <w:r>
        <w:t>; and</w:t>
      </w:r>
    </w:p>
    <w:p w14:paraId="13BF55E0" w14:textId="77777777" w:rsidR="00E60EAE" w:rsidRDefault="00E60EAE" w:rsidP="00B71FC0">
      <w:pPr>
        <w:pStyle w:val="Numbered111a"/>
        <w:keepNext/>
        <w:numPr>
          <w:ilvl w:val="3"/>
          <w:numId w:val="173"/>
        </w:numPr>
      </w:pPr>
      <w:r>
        <w:t>one of the following conditions is met:</w:t>
      </w:r>
    </w:p>
    <w:p w14:paraId="2E4E3FC7" w14:textId="2B94448F" w:rsidR="00E60EAE" w:rsidRDefault="00E60EAE" w:rsidP="00B71FC0">
      <w:pPr>
        <w:pStyle w:val="Numbered111ai"/>
        <w:numPr>
          <w:ilvl w:val="4"/>
          <w:numId w:val="173"/>
        </w:numPr>
      </w:pPr>
      <w:bookmarkStart w:id="2233" w:name="_Ref140100286"/>
      <w:r>
        <w:t>the owner or an authorised licensor of the relevant IPR has granted the Authority a direct licence on the terms equivalent to those set out in Paragraph </w:t>
      </w:r>
      <w:r>
        <w:fldChar w:fldCharType="begin"/>
      </w:r>
      <w:r>
        <w:instrText xml:space="preserve"> REF _Ref140100250 \w \h  \* MERGEFORMAT </w:instrText>
      </w:r>
      <w:r>
        <w:fldChar w:fldCharType="separate"/>
      </w:r>
      <w:r w:rsidR="009749A0">
        <w:t>7</w:t>
      </w:r>
      <w:r>
        <w:fldChar w:fldCharType="end"/>
      </w:r>
      <w:r>
        <w:t>; or</w:t>
      </w:r>
      <w:bookmarkEnd w:id="2233"/>
    </w:p>
    <w:p w14:paraId="0AF18120" w14:textId="74A13EC1" w:rsidR="00E60EAE" w:rsidRDefault="00E60EAE" w:rsidP="00B71FC0">
      <w:pPr>
        <w:pStyle w:val="Numbered111ai"/>
        <w:keepNext/>
        <w:numPr>
          <w:ilvl w:val="4"/>
          <w:numId w:val="173"/>
        </w:numPr>
      </w:pPr>
      <w:bookmarkStart w:id="2234" w:name="_Ref140100316"/>
      <w:r>
        <w:t>if the Supplier cannot, after commercially reasonable endeavours, meet the condition in Paragraph </w:t>
      </w:r>
      <w:r>
        <w:fldChar w:fldCharType="begin"/>
      </w:r>
      <w:r>
        <w:instrText xml:space="preserve"> REF _Ref140100286 \w \h  \* MERGEFORMAT </w:instrText>
      </w:r>
      <w:r>
        <w:fldChar w:fldCharType="separate"/>
      </w:r>
      <w:r w:rsidR="009749A0">
        <w:t>2.2.3(c)(i)</w:t>
      </w:r>
      <w:r>
        <w:fldChar w:fldCharType="end"/>
      </w:r>
      <w:r>
        <w:t>, all the following conditions are met:</w:t>
      </w:r>
      <w:bookmarkEnd w:id="2234"/>
    </w:p>
    <w:p w14:paraId="6DF35534" w14:textId="77777777" w:rsidR="00E60EAE" w:rsidRDefault="00E60EAE" w:rsidP="00B71FC0">
      <w:pPr>
        <w:pStyle w:val="Numbered111aiA"/>
        <w:keepNext/>
        <w:numPr>
          <w:ilvl w:val="5"/>
          <w:numId w:val="173"/>
        </w:numPr>
      </w:pPr>
      <w:r>
        <w:t xml:space="preserve">the Supplier has notified the Authority in writing giving </w:t>
      </w:r>
      <w:r>
        <w:lastRenderedPageBreak/>
        <w:t>details of:</w:t>
      </w:r>
    </w:p>
    <w:p w14:paraId="2B18AF04" w14:textId="77777777" w:rsidR="00E60EAE" w:rsidRDefault="00E60EAE" w:rsidP="00B71FC0">
      <w:pPr>
        <w:pStyle w:val="Numbered111aiA1"/>
        <w:numPr>
          <w:ilvl w:val="6"/>
          <w:numId w:val="173"/>
        </w:numPr>
      </w:pPr>
      <w:r>
        <w:t>what licence terms can be obtained from the relevant third party; and</w:t>
      </w:r>
    </w:p>
    <w:p w14:paraId="6CFF017F" w14:textId="77777777" w:rsidR="00E60EAE" w:rsidRDefault="00E60EAE" w:rsidP="00B71FC0">
      <w:pPr>
        <w:pStyle w:val="Numbered111aiA1"/>
        <w:numPr>
          <w:ilvl w:val="6"/>
          <w:numId w:val="173"/>
        </w:numPr>
      </w:pPr>
      <w:r>
        <w:t xml:space="preserve">whether there are providers which the Supplier could seek to use and the licence terms obtainable from those third parties; </w:t>
      </w:r>
    </w:p>
    <w:p w14:paraId="0DE94533" w14:textId="77777777" w:rsidR="00E60EAE" w:rsidRDefault="00E60EAE" w:rsidP="00B71FC0">
      <w:pPr>
        <w:pStyle w:val="Numbered111aiA"/>
        <w:numPr>
          <w:ilvl w:val="5"/>
          <w:numId w:val="173"/>
        </w:numPr>
      </w:pPr>
      <w:r>
        <w:t>the Authority approves the licence terms of one of those third parties; and</w:t>
      </w:r>
    </w:p>
    <w:p w14:paraId="491063E8" w14:textId="77777777" w:rsidR="00E60EAE" w:rsidRDefault="00E60EAE" w:rsidP="00B71FC0">
      <w:pPr>
        <w:pStyle w:val="Numbered111aiA"/>
        <w:numPr>
          <w:ilvl w:val="5"/>
          <w:numId w:val="173"/>
        </w:numPr>
      </w:pPr>
      <w:r>
        <w:t>the owner and authorised licensor of the Third Party IPR has granted a direct licence of the Third Party IPR to the Authority on those terms; or</w:t>
      </w:r>
    </w:p>
    <w:p w14:paraId="14D5A5D5" w14:textId="381E35FA" w:rsidR="00E60EAE" w:rsidRDefault="00E60EAE" w:rsidP="00B71FC0">
      <w:pPr>
        <w:pStyle w:val="Numbered111ai"/>
        <w:numPr>
          <w:ilvl w:val="4"/>
          <w:numId w:val="173"/>
        </w:numPr>
      </w:pPr>
      <w:r>
        <w:t>if the Supplier cannot meet the conditions in Paragraphs </w:t>
      </w:r>
      <w:r>
        <w:fldChar w:fldCharType="begin"/>
      </w:r>
      <w:r>
        <w:instrText xml:space="preserve"> REF _Ref140100286 \w \h  \* MERGEFORMAT </w:instrText>
      </w:r>
      <w:r>
        <w:fldChar w:fldCharType="separate"/>
      </w:r>
      <w:r w:rsidR="009749A0">
        <w:t>2.2.3(c)(i)</w:t>
      </w:r>
      <w:r>
        <w:fldChar w:fldCharType="end"/>
      </w:r>
      <w:r>
        <w:t xml:space="preserve"> and </w:t>
      </w:r>
      <w:r>
        <w:fldChar w:fldCharType="begin"/>
      </w:r>
      <w:r>
        <w:instrText xml:space="preserve"> REF _Ref140100316 \w \h  \* MERGEFORMAT </w:instrText>
      </w:r>
      <w:r>
        <w:fldChar w:fldCharType="separate"/>
      </w:r>
      <w:r w:rsidR="009749A0">
        <w:t>2.2.3(c)(ii)</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 or</w:t>
      </w:r>
    </w:p>
    <w:p w14:paraId="63479B18" w14:textId="77777777" w:rsidR="00E60EAE" w:rsidRDefault="00E60EAE" w:rsidP="00B71FC0">
      <w:pPr>
        <w:pStyle w:val="Numbered111"/>
        <w:numPr>
          <w:ilvl w:val="2"/>
          <w:numId w:val="173"/>
        </w:numPr>
      </w:pPr>
      <w:r>
        <w:t xml:space="preserve">in the case of non-software elements of Third-Party </w:t>
      </w:r>
      <w:r w:rsidRPr="00A550B3">
        <w:t>Non-COTS Background IPR</w:t>
      </w:r>
      <w:r>
        <w:t>, it is approved by the Authority in writing.</w:t>
      </w:r>
    </w:p>
    <w:p w14:paraId="4D15C2D5" w14:textId="77777777" w:rsidR="00E60EAE" w:rsidRDefault="00E60EAE" w:rsidP="00B71FC0">
      <w:pPr>
        <w:pStyle w:val="Numbered1"/>
        <w:numPr>
          <w:ilvl w:val="0"/>
          <w:numId w:val="173"/>
        </w:numPr>
      </w:pPr>
      <w:bookmarkStart w:id="2235" w:name="_Ref140767399"/>
      <w:r>
        <w:t>Use of Supplier or Third Party COTS Software or COTS Background IPR</w:t>
      </w:r>
      <w:bookmarkEnd w:id="2235"/>
    </w:p>
    <w:p w14:paraId="56E03A6C"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732E214A" w14:textId="77777777" w:rsidR="00E60EAE" w:rsidRDefault="00E60EAE" w:rsidP="00B71FC0">
      <w:pPr>
        <w:pStyle w:val="Numbered111"/>
        <w:numPr>
          <w:ilvl w:val="2"/>
          <w:numId w:val="173"/>
        </w:numPr>
      </w:pPr>
      <w:r w:rsidRPr="00A550B3">
        <w:t>Supplier COTS Software</w:t>
      </w:r>
      <w:r>
        <w:t>;</w:t>
      </w:r>
    </w:p>
    <w:p w14:paraId="4BC00ED7" w14:textId="77777777" w:rsidR="00E60EAE" w:rsidRDefault="00E60EAE" w:rsidP="00B71FC0">
      <w:pPr>
        <w:pStyle w:val="Numbered111"/>
        <w:numPr>
          <w:ilvl w:val="2"/>
          <w:numId w:val="173"/>
        </w:numPr>
      </w:pPr>
      <w:r w:rsidRPr="00A550B3">
        <w:t>Supplier COTS Background IPR</w:t>
      </w:r>
      <w:r>
        <w:t>;</w:t>
      </w:r>
    </w:p>
    <w:p w14:paraId="22062ACB" w14:textId="77777777" w:rsidR="00E60EAE" w:rsidRDefault="00E60EAE" w:rsidP="00B71FC0">
      <w:pPr>
        <w:pStyle w:val="Numbered111"/>
        <w:numPr>
          <w:ilvl w:val="2"/>
          <w:numId w:val="173"/>
        </w:numPr>
      </w:pPr>
      <w:r>
        <w:t>Third Party COTS Software; or</w:t>
      </w:r>
    </w:p>
    <w:p w14:paraId="61A47BAB" w14:textId="77777777" w:rsidR="00E60EAE" w:rsidRDefault="00E60EAE" w:rsidP="00B71FC0">
      <w:pPr>
        <w:pStyle w:val="Numbered111"/>
        <w:numPr>
          <w:ilvl w:val="2"/>
          <w:numId w:val="173"/>
        </w:numPr>
      </w:pPr>
      <w:r>
        <w:t>Third Party</w:t>
      </w:r>
      <w:r w:rsidRPr="00A550B3">
        <w:t xml:space="preserve"> COTS Background IPR</w:t>
      </w:r>
      <w:r>
        <w:t>,</w:t>
      </w:r>
    </w:p>
    <w:p w14:paraId="7E294BB9" w14:textId="77777777" w:rsidR="00E60EAE" w:rsidRDefault="00E60EAE" w:rsidP="00E60EAE">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w:t>
      </w:r>
    </w:p>
    <w:p w14:paraId="114AFB09" w14:textId="77777777" w:rsidR="00E60EAE" w:rsidRDefault="00E60EAE" w:rsidP="00B71FC0">
      <w:pPr>
        <w:pStyle w:val="Numbered111"/>
        <w:keepNext/>
        <w:numPr>
          <w:ilvl w:val="2"/>
          <w:numId w:val="173"/>
        </w:numPr>
      </w:pPr>
      <w:r>
        <w:t xml:space="preserve">in the case of Supplier COTS Software, Third Party COTS Software and the software elements of Supplier </w:t>
      </w:r>
      <w:r w:rsidRPr="00A550B3">
        <w:t>COTS Background IPR</w:t>
      </w:r>
      <w:r>
        <w:t xml:space="preserve"> and Supplier </w:t>
      </w:r>
      <w:r w:rsidRPr="00A550B3">
        <w:t>COTS Background IPR</w:t>
      </w:r>
      <w:r>
        <w:t>, it is either:</w:t>
      </w:r>
    </w:p>
    <w:p w14:paraId="048D4172" w14:textId="312EF474" w:rsidR="00E60EAE" w:rsidRDefault="00E60EAE" w:rsidP="00B71FC0">
      <w:pPr>
        <w:pStyle w:val="Numbered111a"/>
        <w:numPr>
          <w:ilvl w:val="3"/>
          <w:numId w:val="173"/>
        </w:numPr>
      </w:pPr>
      <w:r w:rsidRPr="00A550B3">
        <w:t xml:space="preserve">detailed in Schedule </w:t>
      </w:r>
      <w:r w:rsidR="006065F7">
        <w:fldChar w:fldCharType="begin"/>
      </w:r>
      <w:r w:rsidR="006065F7">
        <w:instrText xml:space="preserve"> REF Schedule_12 \h </w:instrText>
      </w:r>
      <w:r w:rsidR="006065F7">
        <w:fldChar w:fldCharType="separate"/>
      </w:r>
      <w:r w:rsidR="009749A0">
        <w:t>12</w:t>
      </w:r>
      <w:r w:rsidR="006065F7">
        <w:fldChar w:fldCharType="end"/>
      </w:r>
      <w:r w:rsidRPr="00A550B3">
        <w:t xml:space="preserve"> (</w:t>
      </w:r>
      <w:r w:rsidRPr="00A550B3">
        <w:rPr>
          <w:i/>
          <w:iCs/>
        </w:rPr>
        <w:t>Software</w:t>
      </w:r>
      <w:r w:rsidRPr="00A550B3">
        <w:t>)</w:t>
      </w:r>
      <w:r>
        <w:t>;</w:t>
      </w:r>
      <w:r w:rsidRPr="00A550B3">
        <w:t xml:space="preserve"> or</w:t>
      </w:r>
    </w:p>
    <w:p w14:paraId="3A14563B" w14:textId="77777777" w:rsidR="00E60EAE" w:rsidRDefault="00E60EAE" w:rsidP="00B71FC0">
      <w:pPr>
        <w:pStyle w:val="Numbered111a"/>
        <w:keepNext/>
        <w:numPr>
          <w:ilvl w:val="3"/>
          <w:numId w:val="173"/>
        </w:numPr>
      </w:pPr>
      <w:r>
        <w:t>both:</w:t>
      </w:r>
    </w:p>
    <w:p w14:paraId="393CE888" w14:textId="77777777" w:rsidR="00E60EAE" w:rsidRDefault="00E60EAE" w:rsidP="00B71FC0">
      <w:pPr>
        <w:pStyle w:val="Numbered111ai"/>
        <w:numPr>
          <w:ilvl w:val="4"/>
          <w:numId w:val="173"/>
        </w:numPr>
      </w:pPr>
      <w:r>
        <w:t xml:space="preserve">submitted </w:t>
      </w:r>
      <w:r w:rsidRPr="00A550B3">
        <w:t>to the Technical Board for review</w:t>
      </w:r>
      <w:r>
        <w:t>; and</w:t>
      </w:r>
    </w:p>
    <w:p w14:paraId="70B16DBD" w14:textId="77777777" w:rsidR="00E60EAE" w:rsidRDefault="00E60EAE" w:rsidP="00B71FC0">
      <w:pPr>
        <w:pStyle w:val="Numbered111ai"/>
        <w:numPr>
          <w:ilvl w:val="4"/>
          <w:numId w:val="173"/>
        </w:numPr>
      </w:pPr>
      <w:r>
        <w:t xml:space="preserve">approved </w:t>
      </w:r>
      <w:r w:rsidRPr="00A550B3">
        <w:t>by the Authority</w:t>
      </w:r>
      <w:r>
        <w:t>; and</w:t>
      </w:r>
    </w:p>
    <w:p w14:paraId="61CBDEAC" w14:textId="77777777" w:rsidR="00E60EAE" w:rsidRDefault="00E60EAE" w:rsidP="00B71FC0">
      <w:pPr>
        <w:pStyle w:val="Numbered111"/>
        <w:keepNext/>
        <w:numPr>
          <w:ilvl w:val="2"/>
          <w:numId w:val="173"/>
        </w:numPr>
      </w:pPr>
      <w:r>
        <w:t>all the following conditions are met:</w:t>
      </w:r>
    </w:p>
    <w:p w14:paraId="652A65CB" w14:textId="77777777" w:rsidR="00E60EAE" w:rsidRDefault="00E60EAE" w:rsidP="00B71FC0">
      <w:pPr>
        <w:pStyle w:val="Numbered111a"/>
        <w:numPr>
          <w:ilvl w:val="3"/>
          <w:numId w:val="1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268FF982" w14:textId="77777777" w:rsidR="00E60EAE" w:rsidRDefault="00E60EAE" w:rsidP="00B71FC0">
      <w:pPr>
        <w:pStyle w:val="Numbered111a"/>
        <w:numPr>
          <w:ilvl w:val="3"/>
          <w:numId w:val="173"/>
        </w:numPr>
      </w:pPr>
      <w:r>
        <w:lastRenderedPageBreak/>
        <w:t>the Authority has not (in its absolute discretion) rejected those licence terms within 10 Working Days of the date on which they were provided to the Authority.</w:t>
      </w:r>
    </w:p>
    <w:p w14:paraId="7C63C51E" w14:textId="77777777" w:rsidR="00E60EAE" w:rsidRDefault="00E60EAE" w:rsidP="00B71FC0">
      <w:pPr>
        <w:pStyle w:val="Numbered1"/>
        <w:numPr>
          <w:ilvl w:val="0"/>
          <w:numId w:val="173"/>
        </w:numPr>
      </w:pPr>
      <w:r>
        <w:t>Licences granted by the Authority</w:t>
      </w:r>
    </w:p>
    <w:p w14:paraId="1A8E0863" w14:textId="466A2C6C" w:rsidR="00E60EAE" w:rsidRDefault="00E60EAE" w:rsidP="00B71FC0">
      <w:pPr>
        <w:pStyle w:val="Numbered11"/>
        <w:keepNext/>
        <w:numPr>
          <w:ilvl w:val="1"/>
          <w:numId w:val="173"/>
        </w:numPr>
      </w:pPr>
      <w:bookmarkStart w:id="2236" w:name="_Ref140823882"/>
      <w:r>
        <w:t>Subject to Paragraph </w:t>
      </w:r>
      <w:r>
        <w:fldChar w:fldCharType="begin"/>
      </w:r>
      <w:r>
        <w:instrText xml:space="preserve"> REF _Ref140098796 \w \h  \* MERGEFORMAT </w:instrText>
      </w:r>
      <w:r>
        <w:fldChar w:fldCharType="separate"/>
      </w:r>
      <w:r w:rsidR="009749A0">
        <w:t>5</w:t>
      </w:r>
      <w:r>
        <w:fldChar w:fldCharType="end"/>
      </w:r>
      <w:r>
        <w:t>, the Authority grants the Supplier a licence to the</w:t>
      </w:r>
      <w:bookmarkEnd w:id="2236"/>
      <w:r>
        <w:t xml:space="preserve"> </w:t>
      </w:r>
    </w:p>
    <w:p w14:paraId="55E47470" w14:textId="77777777" w:rsidR="00E60EAE" w:rsidRDefault="00E60EAE" w:rsidP="00B71FC0">
      <w:pPr>
        <w:pStyle w:val="Numbered111"/>
        <w:numPr>
          <w:ilvl w:val="2"/>
          <w:numId w:val="173"/>
        </w:numPr>
      </w:pPr>
      <w:r>
        <w:t>the Project-Specific IPR;</w:t>
      </w:r>
    </w:p>
    <w:p w14:paraId="3853C88D" w14:textId="77777777" w:rsidR="00E60EAE" w:rsidRDefault="00E60EAE" w:rsidP="00B71FC0">
      <w:pPr>
        <w:pStyle w:val="Numbered111"/>
        <w:numPr>
          <w:ilvl w:val="2"/>
          <w:numId w:val="173"/>
        </w:numPr>
      </w:pPr>
      <w:r>
        <w:t>the Specially Written Software;</w:t>
      </w:r>
    </w:p>
    <w:p w14:paraId="0141973A" w14:textId="77777777" w:rsidR="00E60EAE" w:rsidRDefault="00E60EAE" w:rsidP="00B71FC0">
      <w:pPr>
        <w:pStyle w:val="Numbered111"/>
        <w:numPr>
          <w:ilvl w:val="2"/>
          <w:numId w:val="173"/>
        </w:numPr>
      </w:pPr>
      <w:r>
        <w:t>the Authority Software;</w:t>
      </w:r>
    </w:p>
    <w:p w14:paraId="4C5342EB" w14:textId="77777777" w:rsidR="00E60EAE" w:rsidRDefault="00E60EAE" w:rsidP="00B71FC0">
      <w:pPr>
        <w:pStyle w:val="Numbered111"/>
        <w:numPr>
          <w:ilvl w:val="2"/>
          <w:numId w:val="173"/>
        </w:numPr>
      </w:pPr>
      <w:r>
        <w:t>the Authority Data; and</w:t>
      </w:r>
    </w:p>
    <w:p w14:paraId="313B09B7" w14:textId="77777777" w:rsidR="00E60EAE" w:rsidRDefault="00E60EAE" w:rsidP="00B71FC0">
      <w:pPr>
        <w:pStyle w:val="Numbered111"/>
        <w:numPr>
          <w:ilvl w:val="2"/>
          <w:numId w:val="173"/>
        </w:numPr>
      </w:pPr>
      <w:r>
        <w:t>the Authority Background IPRs;</w:t>
      </w:r>
    </w:p>
    <w:p w14:paraId="40F07657" w14:textId="77777777" w:rsidR="00E60EAE" w:rsidRDefault="00E60EAE" w:rsidP="00E60EAE">
      <w:pPr>
        <w:pStyle w:val="StdBodyText1"/>
        <w:keepNext/>
      </w:pPr>
      <w:r>
        <w:t>that:</w:t>
      </w:r>
    </w:p>
    <w:p w14:paraId="63F8BEAC" w14:textId="77777777" w:rsidR="00E60EAE" w:rsidRDefault="00E60EAE" w:rsidP="00B71FC0">
      <w:pPr>
        <w:pStyle w:val="Numbered111"/>
        <w:numPr>
          <w:ilvl w:val="2"/>
          <w:numId w:val="173"/>
        </w:numPr>
      </w:pPr>
      <w:r>
        <w:t>is non-exclusive, royalty-free and non-transferable;</w:t>
      </w:r>
    </w:p>
    <w:p w14:paraId="58B7A8DF" w14:textId="77777777" w:rsidR="00E60EAE" w:rsidRDefault="00E60EAE" w:rsidP="00B71FC0">
      <w:pPr>
        <w:pStyle w:val="Numbered111"/>
        <w:keepNext/>
        <w:numPr>
          <w:ilvl w:val="2"/>
          <w:numId w:val="173"/>
        </w:numPr>
      </w:pPr>
      <w:bookmarkStart w:id="2237" w:name="_Ref140823895"/>
      <w:r>
        <w:t>is sub-licensable to any Sub-contractor where</w:t>
      </w:r>
      <w:bookmarkEnd w:id="2237"/>
    </w:p>
    <w:p w14:paraId="18D64B6E" w14:textId="6341CC03" w:rsidR="00E60EAE" w:rsidRDefault="00E60EAE" w:rsidP="00B71FC0">
      <w:pPr>
        <w:pStyle w:val="Numbered111a"/>
        <w:numPr>
          <w:ilvl w:val="3"/>
          <w:numId w:val="173"/>
        </w:numPr>
      </w:pPr>
      <w:r>
        <w:t>the Sub-contractor enters into a confidentiality undertaking</w:t>
      </w:r>
      <w:r w:rsidRPr="00E36B93">
        <w:t xml:space="preserve"> with the Supplier on the same terms as set out </w:t>
      </w:r>
      <w:r>
        <w:t>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to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and</w:t>
      </w:r>
    </w:p>
    <w:p w14:paraId="70187B52" w14:textId="77777777" w:rsidR="00E60EAE" w:rsidRDefault="00E60EAE" w:rsidP="00B71FC0">
      <w:pPr>
        <w:pStyle w:val="Numbered111a"/>
        <w:numPr>
          <w:ilvl w:val="3"/>
          <w:numId w:val="173"/>
        </w:numPr>
      </w:pPr>
      <w:r>
        <w:t>the sub-licence does not purport to provide the sub-licensee with any wider rights than those granted to the Supplier under this Paragraph;</w:t>
      </w:r>
    </w:p>
    <w:p w14:paraId="763FFA1D" w14:textId="77777777" w:rsidR="00E60EAE" w:rsidRDefault="00E60EAE" w:rsidP="00B71FC0">
      <w:pPr>
        <w:pStyle w:val="Numbered111"/>
        <w:keepNext/>
        <w:numPr>
          <w:ilvl w:val="2"/>
          <w:numId w:val="173"/>
        </w:numPr>
      </w:pPr>
      <w:r>
        <w:t>allows the Supplier and any sub-licensee to use, copy and adapt any licensed IPRs for the purpose of:</w:t>
      </w:r>
    </w:p>
    <w:p w14:paraId="0F6B1829" w14:textId="77777777" w:rsidR="00E60EAE" w:rsidRDefault="00E60EAE" w:rsidP="00B71FC0">
      <w:pPr>
        <w:pStyle w:val="Numbered111a"/>
        <w:numPr>
          <w:ilvl w:val="3"/>
          <w:numId w:val="173"/>
        </w:numPr>
      </w:pPr>
      <w:r>
        <w:t>fulfilling its obligations under this Contract; and</w:t>
      </w:r>
    </w:p>
    <w:p w14:paraId="1A8A867B" w14:textId="77777777" w:rsidR="00E60EAE" w:rsidRDefault="00E60EAE" w:rsidP="00B71FC0">
      <w:pPr>
        <w:pStyle w:val="Numbered111a"/>
        <w:numPr>
          <w:ilvl w:val="3"/>
          <w:numId w:val="173"/>
        </w:numPr>
      </w:pPr>
      <w:r>
        <w:t>commercially exploiting the Project Specific IPR and Specially Written Software; and</w:t>
      </w:r>
    </w:p>
    <w:p w14:paraId="4F55EF41" w14:textId="77777777" w:rsidR="00E60EAE" w:rsidRDefault="00E60EAE" w:rsidP="00B71FC0">
      <w:pPr>
        <w:pStyle w:val="Numbered111"/>
        <w:keepNext/>
        <w:numPr>
          <w:ilvl w:val="2"/>
          <w:numId w:val="173"/>
        </w:numPr>
      </w:pPr>
      <w:r>
        <w:t>continues in effect following the expiry or earlier termination of this Contract.</w:t>
      </w:r>
    </w:p>
    <w:p w14:paraId="2EC870E6" w14:textId="22AE54CD" w:rsidR="00E60EAE" w:rsidRDefault="00E60EAE" w:rsidP="00B71FC0">
      <w:pPr>
        <w:pStyle w:val="Numbered11"/>
        <w:keepNext/>
        <w:numPr>
          <w:ilvl w:val="1"/>
          <w:numId w:val="173"/>
        </w:numPr>
      </w:pPr>
      <w:r>
        <w:t>When the licence granted under Paragraph </w:t>
      </w:r>
      <w:r>
        <w:fldChar w:fldCharType="begin"/>
      </w:r>
      <w:r>
        <w:instrText xml:space="preserve"> REF _Ref140823882 \r \h  \* MERGEFORMAT </w:instrText>
      </w:r>
      <w:r>
        <w:fldChar w:fldCharType="separate"/>
      </w:r>
      <w:r w:rsidR="009749A0">
        <w:t>4.1</w:t>
      </w:r>
      <w:r>
        <w:fldChar w:fldCharType="end"/>
      </w:r>
      <w:r>
        <w:t>:</w:t>
      </w:r>
    </w:p>
    <w:p w14:paraId="5A9FEAB0" w14:textId="0A99E277" w:rsidR="00E60EAE" w:rsidRDefault="00E60EAE" w:rsidP="00B71FC0">
      <w:pPr>
        <w:pStyle w:val="Numbered111"/>
        <w:numPr>
          <w:ilvl w:val="2"/>
          <w:numId w:val="173"/>
        </w:numPr>
      </w:pPr>
      <w:r>
        <w:t>terminates in accordance with Paragraph </w:t>
      </w:r>
      <w:r>
        <w:fldChar w:fldCharType="begin"/>
      </w:r>
      <w:r>
        <w:instrText xml:space="preserve"> REF _Ref140824054 \r \h  \* MERGEFORMAT </w:instrText>
      </w:r>
      <w:r>
        <w:fldChar w:fldCharType="separate"/>
      </w:r>
      <w:r w:rsidR="009749A0">
        <w:t>5</w:t>
      </w:r>
      <w:r>
        <w:fldChar w:fldCharType="end"/>
      </w:r>
      <w:r>
        <w:t>; or</w:t>
      </w:r>
    </w:p>
    <w:p w14:paraId="43FB588D" w14:textId="77777777" w:rsidR="00E60EAE" w:rsidRDefault="00E60EAE" w:rsidP="00B71FC0">
      <w:pPr>
        <w:pStyle w:val="Numbered111"/>
        <w:numPr>
          <w:ilvl w:val="2"/>
          <w:numId w:val="173"/>
        </w:numPr>
      </w:pPr>
      <w:r>
        <w:t>no longer has effect at the end of the Term or the expiry of any Termination Assistance Period (whichever is the later),</w:t>
      </w:r>
    </w:p>
    <w:p w14:paraId="1C80E14E" w14:textId="0A4F891A" w:rsidR="00E60EAE" w:rsidRDefault="00E60EAE" w:rsidP="00E60EAE">
      <w:pPr>
        <w:pStyle w:val="StdBodyText1"/>
        <w:keepNext/>
      </w:pPr>
      <w:r>
        <w:t>the Supplier must, and must ensure that each Sub-contractor granted a sub-licence under Paragraph </w:t>
      </w:r>
      <w:r>
        <w:fldChar w:fldCharType="begin"/>
      </w:r>
      <w:r>
        <w:instrText xml:space="preserve"> REF _Ref140823895 \r \h  \* MERGEFORMAT </w:instrText>
      </w:r>
      <w:r>
        <w:fldChar w:fldCharType="separate"/>
      </w:r>
      <w:r w:rsidR="009749A0">
        <w:t>4.1.7</w:t>
      </w:r>
      <w:r>
        <w:fldChar w:fldCharType="end"/>
      </w:r>
      <w:r>
        <w:t>:</w:t>
      </w:r>
    </w:p>
    <w:p w14:paraId="17503D23" w14:textId="77777777" w:rsidR="00E60EAE" w:rsidRDefault="00E60EAE" w:rsidP="00B71FC0">
      <w:pPr>
        <w:pStyle w:val="Numbered111"/>
        <w:numPr>
          <w:ilvl w:val="2"/>
          <w:numId w:val="173"/>
        </w:numPr>
      </w:pPr>
      <w:r>
        <w:t>immediately cease all use of the licensed IPR;</w:t>
      </w:r>
    </w:p>
    <w:p w14:paraId="7C462C59" w14:textId="77777777" w:rsidR="00E60EAE" w:rsidRDefault="00E60EAE" w:rsidP="00B71FC0">
      <w:pPr>
        <w:pStyle w:val="Numbered111"/>
        <w:keepNext/>
        <w:numPr>
          <w:ilvl w:val="2"/>
          <w:numId w:val="173"/>
        </w:numPr>
      </w:pPr>
      <w:r>
        <w:t>either:</w:t>
      </w:r>
    </w:p>
    <w:p w14:paraId="2B203ADC" w14:textId="77777777" w:rsidR="00E60EAE" w:rsidRDefault="00E60EAE" w:rsidP="00B71FC0">
      <w:pPr>
        <w:pStyle w:val="Numbered111a"/>
        <w:numPr>
          <w:ilvl w:val="3"/>
          <w:numId w:val="173"/>
        </w:numPr>
      </w:pPr>
      <w:r>
        <w:t xml:space="preserve">at the discretion of the Authority, return or destroy documents and other tangible materials that contain any of the licensed IPR; or </w:t>
      </w:r>
    </w:p>
    <w:p w14:paraId="0E7ECC63" w14:textId="77777777" w:rsidR="00E60EAE" w:rsidRDefault="00E60EAE" w:rsidP="00B71FC0">
      <w:pPr>
        <w:pStyle w:val="Numbered111a"/>
        <w:numPr>
          <w:ilvl w:val="3"/>
          <w:numId w:val="173"/>
        </w:numPr>
      </w:pPr>
      <w:r>
        <w:lastRenderedPageBreak/>
        <w:t>if the Authority has not made an election within six months of the termination of the licence, destroy the documents and other tangible materials that contain any of the licensed IPR; and</w:t>
      </w:r>
    </w:p>
    <w:p w14:paraId="3173A9DD" w14:textId="77777777" w:rsidR="00E60EAE" w:rsidRDefault="00E60EAE" w:rsidP="00B71FC0">
      <w:pPr>
        <w:pStyle w:val="Numbered111"/>
        <w:numPr>
          <w:ilvl w:val="2"/>
          <w:numId w:val="173"/>
        </w:numPr>
      </w:pPr>
      <w:r>
        <w:t>ensure, so far as reasonably practicable, that any licensed IPR held in electronic, digital or other machine-readable form ceases to be readily accessible from any computer, word processor, voicemail system or any other device of the Supplier.</w:t>
      </w:r>
    </w:p>
    <w:p w14:paraId="3D484A18" w14:textId="77777777" w:rsidR="00E60EAE" w:rsidRDefault="00E60EAE" w:rsidP="00B71FC0">
      <w:pPr>
        <w:pStyle w:val="Numbered1"/>
        <w:numPr>
          <w:ilvl w:val="0"/>
          <w:numId w:val="173"/>
        </w:numPr>
      </w:pPr>
      <w:bookmarkStart w:id="2238" w:name="_Ref140098796"/>
      <w:bookmarkStart w:id="2239" w:name="_Ref140824054"/>
      <w:r>
        <w:t>Authority approval for Supplier to exploit IPR</w:t>
      </w:r>
      <w:bookmarkEnd w:id="2238"/>
      <w:r>
        <w:t xml:space="preserve"> created under Contract</w:t>
      </w:r>
      <w:bookmarkEnd w:id="2239"/>
    </w:p>
    <w:p w14:paraId="194F4726" w14:textId="77777777" w:rsidR="00E60EAE" w:rsidRDefault="00E60EAE" w:rsidP="00B71FC0">
      <w:pPr>
        <w:pStyle w:val="Numbered11"/>
        <w:keepNext/>
        <w:numPr>
          <w:ilvl w:val="1"/>
          <w:numId w:val="173"/>
        </w:numPr>
      </w:pPr>
      <w:r>
        <w:t>Before using, copying or adapting any:</w:t>
      </w:r>
    </w:p>
    <w:p w14:paraId="11693AC6" w14:textId="77777777" w:rsidR="00E60EAE" w:rsidRDefault="00E60EAE" w:rsidP="00B71FC0">
      <w:pPr>
        <w:pStyle w:val="Numbered111"/>
        <w:numPr>
          <w:ilvl w:val="2"/>
          <w:numId w:val="173"/>
        </w:numPr>
      </w:pPr>
      <w:r>
        <w:t>Project-Specific IPR;</w:t>
      </w:r>
    </w:p>
    <w:p w14:paraId="0D0079BA" w14:textId="77777777" w:rsidR="00E60EAE" w:rsidRDefault="00E60EAE" w:rsidP="00B71FC0">
      <w:pPr>
        <w:pStyle w:val="Numbered111"/>
        <w:numPr>
          <w:ilvl w:val="2"/>
          <w:numId w:val="173"/>
        </w:numPr>
      </w:pPr>
      <w:r>
        <w:t>Specially Written Software;</w:t>
      </w:r>
    </w:p>
    <w:p w14:paraId="664A8619" w14:textId="77777777" w:rsidR="00E60EAE" w:rsidRDefault="00E60EAE" w:rsidP="00B71FC0">
      <w:pPr>
        <w:pStyle w:val="Numbered111"/>
        <w:numPr>
          <w:ilvl w:val="2"/>
          <w:numId w:val="173"/>
        </w:numPr>
      </w:pPr>
      <w:r>
        <w:t>Authority Software;</w:t>
      </w:r>
    </w:p>
    <w:p w14:paraId="54074965" w14:textId="77777777" w:rsidR="00E60EAE" w:rsidRDefault="00E60EAE" w:rsidP="00B71FC0">
      <w:pPr>
        <w:pStyle w:val="Numbered111"/>
        <w:numPr>
          <w:ilvl w:val="2"/>
          <w:numId w:val="173"/>
        </w:numPr>
      </w:pPr>
      <w:r>
        <w:t>Authority Data; and</w:t>
      </w:r>
    </w:p>
    <w:p w14:paraId="36977924" w14:textId="77777777" w:rsidR="00E60EAE" w:rsidRDefault="00E60EAE" w:rsidP="00B71FC0">
      <w:pPr>
        <w:pStyle w:val="Numbered111"/>
        <w:numPr>
          <w:ilvl w:val="2"/>
          <w:numId w:val="173"/>
        </w:numPr>
      </w:pPr>
      <w:r>
        <w:t>Authority Background IPRs;</w:t>
      </w:r>
    </w:p>
    <w:p w14:paraId="6C0F1E8F" w14:textId="77777777" w:rsidR="00E60EAE" w:rsidRDefault="00E60EAE" w:rsidP="00E60EAE">
      <w:pPr>
        <w:pStyle w:val="StdBodyText1"/>
      </w:pPr>
      <w:r>
        <w:t>for any purpose other than fulfilling its obligations under this Contract, the Supplier must seek the approval of the Authority in accordance with the provisions of this Paragraph.</w:t>
      </w:r>
    </w:p>
    <w:p w14:paraId="1B1454E7" w14:textId="77777777" w:rsidR="00E60EAE" w:rsidRDefault="00E60EAE" w:rsidP="00B71FC0">
      <w:pPr>
        <w:pStyle w:val="Numbered11"/>
        <w:numPr>
          <w:ilvl w:val="1"/>
          <w:numId w:val="173"/>
        </w:numPr>
      </w:pPr>
      <w:r>
        <w:t>The Authority may terminate any licence it grants under this Paragraph by notice in writing with immediate effect where the Supplier breaches any condition in that licence.</w:t>
      </w:r>
    </w:p>
    <w:p w14:paraId="7609EC9E" w14:textId="0F8E81E3" w:rsidR="00E60EAE" w:rsidRPr="00F917B5" w:rsidRDefault="00E60EAE" w:rsidP="00E60EAE">
      <w:pPr>
        <w:pStyle w:val="StdBodyText"/>
      </w:pPr>
      <w:r w:rsidRPr="0038435A">
        <w:t>[</w:t>
      </w:r>
      <w:r w:rsidRPr="00241256">
        <w:rPr>
          <w:b/>
          <w:bCs/>
          <w:i/>
          <w:iCs/>
          <w:highlight w:val="yellow"/>
        </w:rPr>
        <w:t>Guidance note: where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9749A0" w:rsidRPr="00B664D1">
        <w:rPr>
          <w:b/>
          <w:bCs/>
          <w:i/>
          <w:iCs/>
        </w:rPr>
        <w:t>5</w:t>
      </w:r>
      <w:r w:rsidRPr="00C26F4C">
        <w:rPr>
          <w:b/>
          <w:bCs/>
          <w:i/>
          <w:iCs/>
          <w:highlight w:val="yellow"/>
        </w:rPr>
        <w:fldChar w:fldCharType="end"/>
      </w:r>
      <w:r w:rsidRPr="00241256">
        <w:rPr>
          <w:b/>
          <w:bCs/>
          <w:i/>
          <w:iCs/>
          <w:highlight w:val="yellow"/>
        </w:rPr>
        <w:t xml:space="preserve"> is used, replace Paragraphs </w:t>
      </w:r>
      <w:r w:rsidRPr="00241256">
        <w:rPr>
          <w:b/>
          <w:bCs/>
          <w:i/>
          <w:iCs/>
          <w:highlight w:val="yellow"/>
        </w:rPr>
        <w:fldChar w:fldCharType="begin"/>
      </w:r>
      <w:r w:rsidRPr="00241256">
        <w:rPr>
          <w:b/>
          <w:bCs/>
          <w:i/>
          <w:iCs/>
          <w:highlight w:val="yellow"/>
        </w:rPr>
        <w:instrText xml:space="preserve"> REF _Ref140819692 \r \h  \* MERGEFORMAT </w:instrText>
      </w:r>
      <w:r w:rsidRPr="00241256">
        <w:rPr>
          <w:b/>
          <w:bCs/>
          <w:i/>
          <w:iCs/>
          <w:highlight w:val="yellow"/>
        </w:rPr>
      </w:r>
      <w:r w:rsidRPr="00241256">
        <w:rPr>
          <w:b/>
          <w:bCs/>
          <w:i/>
          <w:iCs/>
          <w:highlight w:val="yellow"/>
        </w:rPr>
        <w:fldChar w:fldCharType="separate"/>
      </w:r>
      <w:r w:rsidR="009749A0">
        <w:rPr>
          <w:b/>
          <w:bCs/>
          <w:i/>
          <w:iCs/>
          <w:highlight w:val="yellow"/>
        </w:rPr>
        <w:t>5.3</w:t>
      </w:r>
      <w:r w:rsidRPr="00241256">
        <w:rPr>
          <w:b/>
          <w:bCs/>
          <w:i/>
          <w:iCs/>
          <w:highlight w:val="yellow"/>
        </w:rPr>
        <w:fldChar w:fldCharType="end"/>
      </w:r>
      <w:r w:rsidRPr="00241256">
        <w:rPr>
          <w:b/>
          <w:bCs/>
          <w:i/>
          <w:iCs/>
          <w:highlight w:val="yellow"/>
        </w:rPr>
        <w:t xml:space="preserve">, </w:t>
      </w:r>
      <w:r w:rsidRPr="00241256">
        <w:rPr>
          <w:b/>
          <w:bCs/>
          <w:i/>
          <w:iCs/>
          <w:highlight w:val="yellow"/>
        </w:rPr>
        <w:fldChar w:fldCharType="begin"/>
      </w:r>
      <w:r w:rsidRPr="00241256">
        <w:rPr>
          <w:b/>
          <w:bCs/>
          <w:i/>
          <w:iCs/>
          <w:highlight w:val="yellow"/>
        </w:rPr>
        <w:instrText xml:space="preserve"> REF _Ref140819694 \r \h  \* MERGEFORMAT </w:instrText>
      </w:r>
      <w:r w:rsidRPr="00241256">
        <w:rPr>
          <w:b/>
          <w:bCs/>
          <w:i/>
          <w:iCs/>
          <w:highlight w:val="yellow"/>
        </w:rPr>
      </w:r>
      <w:r w:rsidRPr="00241256">
        <w:rPr>
          <w:b/>
          <w:bCs/>
          <w:i/>
          <w:iCs/>
          <w:highlight w:val="yellow"/>
        </w:rPr>
        <w:fldChar w:fldCharType="separate"/>
      </w:r>
      <w:r w:rsidR="009749A0">
        <w:rPr>
          <w:b/>
          <w:bCs/>
          <w:i/>
          <w:iCs/>
          <w:highlight w:val="yellow"/>
        </w:rPr>
        <w:t>5.4</w:t>
      </w:r>
      <w:r w:rsidRPr="00241256">
        <w:rPr>
          <w:b/>
          <w:bCs/>
          <w:i/>
          <w:iCs/>
          <w:highlight w:val="yellow"/>
        </w:rPr>
        <w:fldChar w:fldCharType="end"/>
      </w:r>
      <w:r w:rsidRPr="00241256">
        <w:rPr>
          <w:b/>
          <w:bCs/>
          <w:i/>
          <w:iCs/>
          <w:highlight w:val="yellow"/>
        </w:rPr>
        <w:t xml:space="preserve"> and </w:t>
      </w:r>
      <w:r w:rsidRPr="00241256">
        <w:rPr>
          <w:b/>
          <w:bCs/>
          <w:i/>
          <w:iCs/>
          <w:highlight w:val="yellow"/>
        </w:rPr>
        <w:fldChar w:fldCharType="begin"/>
      </w:r>
      <w:r w:rsidRPr="00241256">
        <w:rPr>
          <w:b/>
          <w:bCs/>
          <w:i/>
          <w:iCs/>
          <w:highlight w:val="yellow"/>
        </w:rPr>
        <w:instrText xml:space="preserve"> REF _Ref140819698 \r \h  \* MERGEFORMAT </w:instrText>
      </w:r>
      <w:r w:rsidRPr="00241256">
        <w:rPr>
          <w:b/>
          <w:bCs/>
          <w:i/>
          <w:iCs/>
          <w:highlight w:val="yellow"/>
        </w:rPr>
      </w:r>
      <w:r w:rsidRPr="00241256">
        <w:rPr>
          <w:b/>
          <w:bCs/>
          <w:i/>
          <w:iCs/>
          <w:highlight w:val="yellow"/>
        </w:rPr>
        <w:fldChar w:fldCharType="separate"/>
      </w:r>
      <w:r w:rsidR="009749A0">
        <w:rPr>
          <w:b/>
          <w:bCs/>
          <w:i/>
          <w:iCs/>
          <w:highlight w:val="yellow"/>
        </w:rPr>
        <w:t>5.5</w:t>
      </w:r>
      <w:r w:rsidRPr="00241256">
        <w:rPr>
          <w:b/>
          <w:bCs/>
          <w:i/>
          <w:iCs/>
          <w:highlight w:val="yellow"/>
        </w:rPr>
        <w:fldChar w:fldCharType="end"/>
      </w:r>
      <w:r w:rsidRPr="00241256">
        <w:rPr>
          <w:b/>
          <w:bCs/>
          <w:i/>
          <w:iCs/>
          <w:highlight w:val="yellow"/>
        </w:rPr>
        <w:t xml:space="preserve"> with the Paragraphs in </w:t>
      </w:r>
      <w:r w:rsidRPr="00B664D1">
        <w:rPr>
          <w:b/>
          <w:bCs/>
          <w:i/>
          <w:iCs/>
          <w:highlight w:val="yellow"/>
        </w:rPr>
        <w:t>Option </w:t>
      </w:r>
      <w:r w:rsidRPr="00B664D1">
        <w:rPr>
          <w:b/>
          <w:bCs/>
          <w:i/>
          <w:iCs/>
          <w:highlight w:val="yellow"/>
        </w:rPr>
        <w:fldChar w:fldCharType="begin"/>
      </w:r>
      <w:r w:rsidRPr="00B664D1">
        <w:rPr>
          <w:b/>
          <w:bCs/>
          <w:i/>
          <w:iCs/>
          <w:highlight w:val="yellow"/>
        </w:rPr>
        <w:instrText xml:space="preserve"> REF OPTION5_SCHEDULE32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5</w:t>
      </w:r>
      <w:r w:rsidRPr="00B664D1">
        <w:rPr>
          <w:b/>
          <w:bCs/>
          <w:i/>
          <w:iCs/>
          <w:highlight w:val="yellow"/>
        </w:rPr>
        <w:fldChar w:fldCharType="end"/>
      </w:r>
      <w:r w:rsidRPr="00B664D1">
        <w:rPr>
          <w:b/>
          <w:bCs/>
          <w:i/>
          <w:iCs/>
          <w:highlight w:val="yellow"/>
        </w:rPr>
        <w:t>.</w:t>
      </w:r>
      <w:r w:rsidRPr="00B664D1">
        <w:rPr>
          <w:highlight w:val="yellow"/>
        </w:rPr>
        <w:t>]</w:t>
      </w:r>
    </w:p>
    <w:p w14:paraId="75C76D45" w14:textId="77777777" w:rsidR="00E60EAE" w:rsidRDefault="00E60EAE" w:rsidP="00B71FC0">
      <w:pPr>
        <w:pStyle w:val="Numbered11"/>
        <w:keepNext/>
        <w:numPr>
          <w:ilvl w:val="1"/>
          <w:numId w:val="173"/>
        </w:numPr>
      </w:pPr>
      <w:bookmarkStart w:id="2240" w:name="_Ref140819692"/>
      <w:r>
        <w:t>The Supplier must provide a proposal setting out:</w:t>
      </w:r>
      <w:bookmarkEnd w:id="2240"/>
    </w:p>
    <w:p w14:paraId="7EB7E447" w14:textId="77777777" w:rsidR="00E60EAE" w:rsidRDefault="00E60EAE" w:rsidP="00B71FC0">
      <w:pPr>
        <w:pStyle w:val="Numbered111"/>
        <w:numPr>
          <w:ilvl w:val="2"/>
          <w:numId w:val="173"/>
        </w:numPr>
      </w:pPr>
      <w:r>
        <w:t>the purpose for which it proposes to use the IPR;</w:t>
      </w:r>
    </w:p>
    <w:p w14:paraId="6FBD6D81" w14:textId="77777777" w:rsidR="00E60EAE" w:rsidRDefault="00E60EAE" w:rsidP="00B71FC0">
      <w:pPr>
        <w:pStyle w:val="Numbered111"/>
        <w:numPr>
          <w:ilvl w:val="2"/>
          <w:numId w:val="173"/>
        </w:numPr>
      </w:pPr>
      <w:r>
        <w:t>the activities the Supplier proposes to undertake with or in respect of the IPR;</w:t>
      </w:r>
    </w:p>
    <w:p w14:paraId="511ED57D" w14:textId="77777777" w:rsidR="00E60EAE" w:rsidRDefault="00E60EAE" w:rsidP="00B71FC0">
      <w:pPr>
        <w:pStyle w:val="Numbered111"/>
        <w:numPr>
          <w:ilvl w:val="2"/>
          <w:numId w:val="173"/>
        </w:numPr>
      </w:pPr>
      <w:r>
        <w:t>such further information as the Authority may reasonably require to properly consider the proposal.</w:t>
      </w:r>
    </w:p>
    <w:p w14:paraId="26F0FE58" w14:textId="77777777" w:rsidR="00E60EAE" w:rsidRDefault="00E60EAE" w:rsidP="00B71FC0">
      <w:pPr>
        <w:pStyle w:val="Numbered11"/>
        <w:keepNext/>
        <w:numPr>
          <w:ilvl w:val="1"/>
          <w:numId w:val="173"/>
        </w:numPr>
      </w:pPr>
      <w:bookmarkStart w:id="2241" w:name="_Ref140819694"/>
      <w:r>
        <w:t>The Authority may only refuse the Supplier’s proposal where it considers that if the Supplier were to implement the proposal it would harm:</w:t>
      </w:r>
      <w:bookmarkEnd w:id="2241"/>
    </w:p>
    <w:p w14:paraId="065A38F5" w14:textId="77777777" w:rsidR="00E60EAE" w:rsidRDefault="00E60EAE" w:rsidP="00B71FC0">
      <w:pPr>
        <w:pStyle w:val="Numbered111"/>
        <w:numPr>
          <w:ilvl w:val="2"/>
          <w:numId w:val="173"/>
        </w:numPr>
      </w:pPr>
      <w:r>
        <w:t>the Authority’s reputation; or</w:t>
      </w:r>
    </w:p>
    <w:p w14:paraId="4E47D151" w14:textId="77777777" w:rsidR="00E60EAE" w:rsidRDefault="00E60EAE" w:rsidP="00B71FC0">
      <w:pPr>
        <w:pStyle w:val="Numbered111"/>
        <w:numPr>
          <w:ilvl w:val="2"/>
          <w:numId w:val="173"/>
        </w:numPr>
      </w:pPr>
      <w:r>
        <w:t>the Authority’s interests.</w:t>
      </w:r>
    </w:p>
    <w:p w14:paraId="3435E0C0" w14:textId="77777777" w:rsidR="00E60EAE" w:rsidRDefault="00E60EAE" w:rsidP="00B71FC0">
      <w:pPr>
        <w:pStyle w:val="Numbered11"/>
        <w:keepNext/>
        <w:numPr>
          <w:ilvl w:val="1"/>
          <w:numId w:val="173"/>
        </w:numPr>
      </w:pPr>
      <w:bookmarkStart w:id="2242" w:name="_Ref140819698"/>
      <w:r>
        <w:t>Where the Authority has not:</w:t>
      </w:r>
      <w:bookmarkEnd w:id="2242"/>
    </w:p>
    <w:p w14:paraId="11FBF4CD" w14:textId="77777777" w:rsidR="00E60EAE" w:rsidRDefault="00E60EAE" w:rsidP="00B71FC0">
      <w:pPr>
        <w:pStyle w:val="Numbered111"/>
        <w:numPr>
          <w:ilvl w:val="2"/>
          <w:numId w:val="173"/>
        </w:numPr>
      </w:pPr>
      <w:r w:rsidRPr="00BE333C">
        <w:t>approved or declined the proposal</w:t>
      </w:r>
      <w:r>
        <w:t>; or</w:t>
      </w:r>
    </w:p>
    <w:p w14:paraId="09EB2827" w14:textId="77777777" w:rsidR="00E60EAE" w:rsidRDefault="00E60EAE" w:rsidP="00B71FC0">
      <w:pPr>
        <w:pStyle w:val="Numbered111"/>
        <w:numPr>
          <w:ilvl w:val="2"/>
          <w:numId w:val="173"/>
        </w:numPr>
      </w:pPr>
      <w:r>
        <w:t>required further information,</w:t>
      </w:r>
    </w:p>
    <w:p w14:paraId="1D70252E" w14:textId="77777777" w:rsidR="00E60EAE" w:rsidRDefault="00E60EAE" w:rsidP="00E60EAE">
      <w:pPr>
        <w:pStyle w:val="StdBodyText1"/>
        <w:keepNext/>
      </w:pPr>
      <w:r>
        <w:t>within 20 Working Days of the later of:</w:t>
      </w:r>
    </w:p>
    <w:p w14:paraId="724F1459" w14:textId="77777777" w:rsidR="00E60EAE" w:rsidRDefault="00E60EAE" w:rsidP="00B71FC0">
      <w:pPr>
        <w:pStyle w:val="Numbered111"/>
        <w:numPr>
          <w:ilvl w:val="2"/>
          <w:numId w:val="173"/>
        </w:numPr>
      </w:pPr>
      <w:r>
        <w:t>the date the proposal was first provided to the Authority; or</w:t>
      </w:r>
    </w:p>
    <w:p w14:paraId="5ECC94D7" w14:textId="77777777" w:rsidR="00E60EAE" w:rsidRDefault="00E60EAE" w:rsidP="00B71FC0">
      <w:pPr>
        <w:pStyle w:val="Numbered111"/>
        <w:keepNext/>
        <w:numPr>
          <w:ilvl w:val="2"/>
          <w:numId w:val="173"/>
        </w:numPr>
      </w:pPr>
      <w:r>
        <w:lastRenderedPageBreak/>
        <w:t>the date on which further information was provided to the Authority,</w:t>
      </w:r>
    </w:p>
    <w:p w14:paraId="6976D558" w14:textId="77777777" w:rsidR="00E60EAE" w:rsidRDefault="00E60EAE" w:rsidP="00E60EAE">
      <w:pPr>
        <w:pStyle w:val="StdBodyText1"/>
      </w:pPr>
      <w:r>
        <w:t>then the proposal is, for the purposes of this Contract, approved.</w:t>
      </w:r>
    </w:p>
    <w:p w14:paraId="378AF932" w14:textId="77777777" w:rsidR="00E60EAE" w:rsidRDefault="00E60EAE" w:rsidP="00B71FC0">
      <w:pPr>
        <w:pStyle w:val="Numbered1"/>
        <w:numPr>
          <w:ilvl w:val="0"/>
          <w:numId w:val="173"/>
        </w:numPr>
      </w:pPr>
      <w:r>
        <w:t>Provision of information on Project Specific IPR and Specially Written Software</w:t>
      </w:r>
    </w:p>
    <w:p w14:paraId="6986CA87" w14:textId="77777777" w:rsidR="00E60EAE" w:rsidRDefault="00E60EAE" w:rsidP="00B71FC0">
      <w:pPr>
        <w:pStyle w:val="Numbered11"/>
        <w:keepNext/>
        <w:numPr>
          <w:ilvl w:val="1"/>
          <w:numId w:val="173"/>
        </w:numPr>
      </w:pPr>
      <w:r>
        <w:t>The Authority may, at any time, require the Supplier to provide information on:</w:t>
      </w:r>
    </w:p>
    <w:p w14:paraId="7314954D" w14:textId="77777777" w:rsidR="00E60EAE" w:rsidRDefault="00E60EAE" w:rsidP="00B71FC0">
      <w:pPr>
        <w:pStyle w:val="Numbered111"/>
        <w:numPr>
          <w:ilvl w:val="2"/>
          <w:numId w:val="173"/>
        </w:numPr>
      </w:pPr>
      <w:r>
        <w:t>the purposes, other than for the purposes of this Contract, for which the Supplier uses Project Specific IPR and Specially Written Software; and</w:t>
      </w:r>
    </w:p>
    <w:p w14:paraId="77B09944" w14:textId="77777777" w:rsidR="00E60EAE" w:rsidRDefault="00E60EAE" w:rsidP="00B71FC0">
      <w:pPr>
        <w:pStyle w:val="Numbered111"/>
        <w:numPr>
          <w:ilvl w:val="2"/>
          <w:numId w:val="173"/>
        </w:numPr>
      </w:pPr>
      <w:r>
        <w:t>the activities the Supplier undertakes, other than under this Contract, with or in respect of the Project Specific IPR and Specially Written Software.</w:t>
      </w:r>
    </w:p>
    <w:p w14:paraId="4CF4ADEE" w14:textId="77777777" w:rsidR="00E60EAE" w:rsidRDefault="00E60EAE" w:rsidP="00B71FC0">
      <w:pPr>
        <w:pStyle w:val="Numbered11"/>
        <w:keepNext/>
        <w:numPr>
          <w:ilvl w:val="1"/>
          <w:numId w:val="173"/>
        </w:numPr>
      </w:pPr>
      <w:r>
        <w:t>The Supplier must provide the information required by the Authority:</w:t>
      </w:r>
    </w:p>
    <w:p w14:paraId="61C15069" w14:textId="77777777" w:rsidR="00E60EAE" w:rsidRDefault="00E60EAE" w:rsidP="00B71FC0">
      <w:pPr>
        <w:pStyle w:val="Numbered111"/>
        <w:numPr>
          <w:ilvl w:val="2"/>
          <w:numId w:val="173"/>
        </w:numPr>
      </w:pPr>
      <w:r>
        <w:t>within 20 Working Days of the date of the requirement; and</w:t>
      </w:r>
    </w:p>
    <w:p w14:paraId="5036BAE3" w14:textId="77777777" w:rsidR="00E60EAE" w:rsidRDefault="00E60EAE" w:rsidP="00B71FC0">
      <w:pPr>
        <w:pStyle w:val="Numbered111"/>
        <w:numPr>
          <w:ilvl w:val="2"/>
          <w:numId w:val="173"/>
        </w:numPr>
      </w:pPr>
      <w:r>
        <w:t>in the form and with the content specified by the Authority.</w:t>
      </w:r>
    </w:p>
    <w:p w14:paraId="5EAC8223" w14:textId="77777777" w:rsidR="00E60EAE" w:rsidRDefault="00E60EAE" w:rsidP="00B71FC0">
      <w:pPr>
        <w:pStyle w:val="Numbered1"/>
        <w:numPr>
          <w:ilvl w:val="0"/>
          <w:numId w:val="173"/>
        </w:numPr>
      </w:pPr>
      <w:bookmarkStart w:id="2243" w:name="_Ref140100250"/>
      <w:r w:rsidRPr="007E15D7">
        <w:t xml:space="preserve">Licences </w:t>
      </w:r>
      <w:r>
        <w:t>in respect of</w:t>
      </w:r>
      <w:r w:rsidRPr="007E15D7">
        <w:t xml:space="preserve"> </w:t>
      </w:r>
      <w:r w:rsidRPr="00A550B3">
        <w:t>Supplier Non-COTS Software</w:t>
      </w:r>
      <w:r>
        <w:t xml:space="preserve"> and </w:t>
      </w:r>
      <w:r w:rsidRPr="00A550B3">
        <w:t>Supplier Non-COTS Background IPR</w:t>
      </w:r>
      <w:bookmarkEnd w:id="2243"/>
    </w:p>
    <w:p w14:paraId="1B09533B" w14:textId="2D9D07F3" w:rsidR="00E60EAE" w:rsidRDefault="00E60EAE" w:rsidP="00B71FC0">
      <w:pPr>
        <w:pStyle w:val="Numbered11"/>
        <w:keepNext/>
        <w:numPr>
          <w:ilvl w:val="1"/>
          <w:numId w:val="173"/>
        </w:numPr>
      </w:pPr>
      <w:bookmarkStart w:id="2244" w:name="_Ref140100837"/>
      <w:r>
        <w:t xml:space="preserve">Subject to the Authority approving the use of </w:t>
      </w:r>
      <w:r w:rsidRPr="00A550B3">
        <w:t>Supplier Non-COTS Software</w:t>
      </w:r>
      <w:r>
        <w:t xml:space="preserve"> and </w:t>
      </w:r>
      <w:r w:rsidRPr="00A550B3">
        <w:t>Supplier Non-COTS Background IPR</w:t>
      </w:r>
      <w:r>
        <w:t xml:space="preserve"> under Paragraph </w:t>
      </w:r>
      <w:r>
        <w:fldChar w:fldCharType="begin"/>
      </w:r>
      <w:r>
        <w:instrText xml:space="preserve"> REF _Ref140100775 \w \h  \* MERGEFORMAT </w:instrText>
      </w:r>
      <w:r>
        <w:fldChar w:fldCharType="separate"/>
      </w:r>
      <w:r w:rsidR="009749A0">
        <w:t>2</w:t>
      </w:r>
      <w:r>
        <w:fldChar w:fldCharType="end"/>
      </w:r>
      <w:r>
        <w:t>, the Supplier grants the Authority a Supplier Existing IPR Licence on the terms set out in Paragraph </w:t>
      </w:r>
      <w:r>
        <w:fldChar w:fldCharType="begin"/>
      </w:r>
      <w:r>
        <w:instrText xml:space="preserve"> REF _Ref140819998 \r \h  \* MERGEFORMAT </w:instrText>
      </w:r>
      <w:r>
        <w:fldChar w:fldCharType="separate"/>
      </w:r>
      <w:r w:rsidR="009749A0">
        <w:t>7.3</w:t>
      </w:r>
      <w:r>
        <w:fldChar w:fldCharType="end"/>
      </w:r>
      <w:r>
        <w:t xml:space="preserve"> in respect of each Deliverable where:</w:t>
      </w:r>
      <w:bookmarkEnd w:id="2244"/>
    </w:p>
    <w:p w14:paraId="4FCAC218" w14:textId="77777777" w:rsidR="00E60EAE" w:rsidRDefault="00E60EAE" w:rsidP="00B71FC0">
      <w:pPr>
        <w:pStyle w:val="Numbered111"/>
        <w:numPr>
          <w:ilvl w:val="2"/>
          <w:numId w:val="173"/>
        </w:numPr>
      </w:pPr>
      <w:r>
        <w:t xml:space="preserve">the </w:t>
      </w:r>
      <w:r w:rsidRPr="00A550B3">
        <w:t>Supplier Non-COTS Software</w:t>
      </w:r>
      <w:r>
        <w:t xml:space="preserve"> and </w:t>
      </w:r>
      <w:r w:rsidRPr="00A550B3">
        <w:t>Supplier Non-COTS Background IPR</w:t>
      </w:r>
      <w:r>
        <w:t xml:space="preserve"> is embedded in the Deliverable;</w:t>
      </w:r>
    </w:p>
    <w:p w14:paraId="3084ED62" w14:textId="5A749B45" w:rsidR="00E60EAE" w:rsidRDefault="00E60EAE" w:rsidP="00B71FC0">
      <w:pPr>
        <w:pStyle w:val="Numbered111"/>
        <w:numPr>
          <w:ilvl w:val="2"/>
          <w:numId w:val="173"/>
        </w:numPr>
      </w:pPr>
      <w:r>
        <w:t xml:space="preserve">the </w:t>
      </w:r>
      <w:r w:rsidRPr="00A550B3">
        <w:t>Supplier Non-COTS Software</w:t>
      </w:r>
      <w:r>
        <w:t xml:space="preserve"> and </w:t>
      </w:r>
      <w:r w:rsidRPr="00A550B3">
        <w:t>Supplier Non-COTS Background IPR</w:t>
      </w:r>
      <w:r>
        <w:t xml:space="preserve"> is necessary for the Authority to use the Deliverable for any of the purposes set out in Paragraph </w:t>
      </w:r>
      <w:r>
        <w:fldChar w:fldCharType="begin"/>
      </w:r>
      <w:r>
        <w:instrText xml:space="preserve"> REF _Ref140100819 \w \h  \* MERGEFORMAT </w:instrText>
      </w:r>
      <w:r>
        <w:fldChar w:fldCharType="separate"/>
      </w:r>
      <w:r w:rsidR="009749A0">
        <w:t>7.4</w:t>
      </w:r>
      <w:r>
        <w:fldChar w:fldCharType="end"/>
      </w:r>
      <w:r>
        <w:t>; or</w:t>
      </w:r>
    </w:p>
    <w:p w14:paraId="76939A32" w14:textId="77777777" w:rsidR="00E60EAE" w:rsidRDefault="00E60EAE" w:rsidP="00B71FC0">
      <w:pPr>
        <w:pStyle w:val="Numbered111"/>
        <w:numPr>
          <w:ilvl w:val="2"/>
          <w:numId w:val="173"/>
        </w:numPr>
      </w:pPr>
      <w:r>
        <w:t xml:space="preserve">the Deliverable is a customisation or adaptation of </w:t>
      </w:r>
      <w:r w:rsidRPr="00A550B3">
        <w:t>Supplier Non-COTS Software</w:t>
      </w:r>
      <w:r>
        <w:t xml:space="preserve"> and </w:t>
      </w:r>
      <w:r w:rsidRPr="00A550B3">
        <w:t>Supplier Non-COTS Background IPR</w:t>
      </w:r>
      <w:r>
        <w:t>.</w:t>
      </w:r>
    </w:p>
    <w:p w14:paraId="178F68F4" w14:textId="26E0A020" w:rsidR="00E60EAE" w:rsidRDefault="00E60EAE" w:rsidP="00B71FC0">
      <w:pPr>
        <w:pStyle w:val="Numbered11"/>
        <w:numPr>
          <w:ilvl w:val="1"/>
          <w:numId w:val="173"/>
        </w:numPr>
      </w:pPr>
      <w:r>
        <w:t xml:space="preserve">The categories of </w:t>
      </w:r>
      <w:r w:rsidRPr="00A550B3">
        <w:t>Supplier Non-COTS Software</w:t>
      </w:r>
      <w:r>
        <w:t xml:space="preserve"> and </w:t>
      </w:r>
      <w:r w:rsidRPr="00A550B3">
        <w:t>Supplier Non-COTS Background IPR</w:t>
      </w:r>
      <w:r>
        <w:t xml:space="preserve"> set out in Paragraph </w:t>
      </w:r>
      <w:r>
        <w:fldChar w:fldCharType="begin"/>
      </w:r>
      <w:r>
        <w:instrText xml:space="preserve"> REF _Ref140100837 \w \h  \* MERGEFORMAT </w:instrText>
      </w:r>
      <w:r>
        <w:fldChar w:fldCharType="separate"/>
      </w:r>
      <w:r w:rsidR="009749A0">
        <w:t>7.1</w:t>
      </w:r>
      <w:r>
        <w:fldChar w:fldCharType="end"/>
      </w:r>
      <w:r>
        <w:t xml:space="preserve"> are mutually exclusive.</w:t>
      </w:r>
    </w:p>
    <w:p w14:paraId="73BA049F" w14:textId="77777777" w:rsidR="00E60EAE" w:rsidRDefault="00E60EAE" w:rsidP="00B71FC0">
      <w:pPr>
        <w:pStyle w:val="Numbered11"/>
        <w:keepNext/>
        <w:numPr>
          <w:ilvl w:val="1"/>
          <w:numId w:val="173"/>
        </w:numPr>
      </w:pPr>
      <w:bookmarkStart w:id="2245" w:name="_Ref140819998"/>
      <w:r>
        <w:t>The Supplier Existing IPR Licence granted by the Supplier to the Authority is a non-exclusive, perpetual, royalty-free, irrevocable, transferable, sub-licensable, worldwide licence that:</w:t>
      </w:r>
      <w:bookmarkEnd w:id="2245"/>
    </w:p>
    <w:p w14:paraId="42503981" w14:textId="77777777" w:rsidR="00E60EAE" w:rsidRDefault="00E60EAE" w:rsidP="00B71FC0">
      <w:pPr>
        <w:pStyle w:val="Numbered111"/>
        <w:keepNext/>
        <w:numPr>
          <w:ilvl w:val="2"/>
          <w:numId w:val="173"/>
        </w:numPr>
      </w:pPr>
      <w:r>
        <w:t xml:space="preserve">in the case of </w:t>
      </w:r>
      <w:r w:rsidRPr="00A550B3">
        <w:t>Supplier Non-COTS Software</w:t>
      </w:r>
      <w:r>
        <w:t xml:space="preserve"> and </w:t>
      </w:r>
      <w:r w:rsidRPr="00A550B3">
        <w:t>Supplier Non-COTS Background IPR</w:t>
      </w:r>
      <w:r>
        <w:t xml:space="preserve"> embedded in a Deliverable:</w:t>
      </w:r>
    </w:p>
    <w:p w14:paraId="1ABAD984" w14:textId="77777777" w:rsidR="00E60EAE" w:rsidRDefault="00E60EAE" w:rsidP="00B71FC0">
      <w:pPr>
        <w:pStyle w:val="Numbered111a"/>
        <w:numPr>
          <w:ilvl w:val="3"/>
          <w:numId w:val="173"/>
        </w:numPr>
      </w:pPr>
      <w:bookmarkStart w:id="2246" w:name="_Ref140100920"/>
      <w:r>
        <w:t>has no restriction on the identity of any transferee or sub-licensee;</w:t>
      </w:r>
      <w:bookmarkEnd w:id="2246"/>
    </w:p>
    <w:p w14:paraId="0D3753A7" w14:textId="47DA2210" w:rsidR="00E60EAE" w:rsidRDefault="00E60EAE" w:rsidP="00B71FC0">
      <w:pPr>
        <w:pStyle w:val="Numbered111a"/>
        <w:numPr>
          <w:ilvl w:val="3"/>
          <w:numId w:val="173"/>
        </w:numPr>
      </w:pPr>
      <w:r>
        <w:t>is sub-licensable for any of the purposes set out in Paragraph </w:t>
      </w:r>
      <w:r>
        <w:fldChar w:fldCharType="begin"/>
      </w:r>
      <w:r>
        <w:instrText xml:space="preserve"> REF _Ref140100819 \w \h  \* MERGEFORMAT </w:instrText>
      </w:r>
      <w:r>
        <w:fldChar w:fldCharType="separate"/>
      </w:r>
      <w:r w:rsidR="009749A0">
        <w:t>7.4</w:t>
      </w:r>
      <w:r>
        <w:fldChar w:fldCharType="end"/>
      </w:r>
      <w:r>
        <w:t>;</w:t>
      </w:r>
    </w:p>
    <w:p w14:paraId="1E90F813" w14:textId="0673ECD4" w:rsidR="00E60EAE" w:rsidRDefault="00E60EAE" w:rsidP="00B71FC0">
      <w:pPr>
        <w:pStyle w:val="Numbered111a"/>
        <w:numPr>
          <w:ilvl w:val="3"/>
          <w:numId w:val="173"/>
        </w:numPr>
      </w:pPr>
      <w:r>
        <w:t xml:space="preserve">allows the Authority and any transferee or sub-licensee to use, copy and adapt the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_Ref140100819 \w \h  \* MERGEFORMAT </w:instrText>
      </w:r>
      <w:r>
        <w:fldChar w:fldCharType="separate"/>
      </w:r>
      <w:r w:rsidR="009749A0">
        <w:t>7.4</w:t>
      </w:r>
      <w:r>
        <w:fldChar w:fldCharType="end"/>
      </w:r>
      <w:r>
        <w:t>; and</w:t>
      </w:r>
    </w:p>
    <w:p w14:paraId="3A89B28A" w14:textId="77777777" w:rsidR="00E60EAE" w:rsidRPr="007E15D7" w:rsidRDefault="00E60EAE" w:rsidP="00B71FC0">
      <w:pPr>
        <w:pStyle w:val="Numbered111"/>
        <w:keepNext/>
        <w:numPr>
          <w:ilvl w:val="2"/>
          <w:numId w:val="173"/>
        </w:numPr>
      </w:pPr>
      <w:r w:rsidRPr="007E15D7">
        <w:lastRenderedPageBreak/>
        <w:t xml:space="preserve">in the case of </w:t>
      </w:r>
      <w:r w:rsidRPr="00A550B3">
        <w:t>Supplier Non-COTS Software</w:t>
      </w:r>
      <w:r>
        <w:t xml:space="preserve"> and </w:t>
      </w:r>
      <w:r w:rsidRPr="00A550B3">
        <w:t>Supplier Non-COTS Background IPR</w:t>
      </w:r>
      <w:r w:rsidRPr="007E15D7">
        <w:t xml:space="preserve"> that is necessary for the </w:t>
      </w:r>
      <w:r>
        <w:t>Authority</w:t>
      </w:r>
      <w:r w:rsidRPr="007E15D7">
        <w:t xml:space="preserve"> to use the Deliverable for its intended purpose or has been customised or adapted to provide the Deliverable:</w:t>
      </w:r>
    </w:p>
    <w:p w14:paraId="4F933678" w14:textId="4BCDF4AC" w:rsidR="00E60EAE" w:rsidRDefault="00E60EAE" w:rsidP="00B71FC0">
      <w:pPr>
        <w:pStyle w:val="Numbered111a"/>
        <w:numPr>
          <w:ilvl w:val="3"/>
          <w:numId w:val="173"/>
        </w:numPr>
      </w:pPr>
      <w:r>
        <w:t xml:space="preserve">allows the Authority and any transferee or sublicensee to use and copy, but not adapt, disassemble or reverse engineer the relevant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_Ref140100819 \w \h  \* MERGEFORMAT </w:instrText>
      </w:r>
      <w:r>
        <w:fldChar w:fldCharType="separate"/>
      </w:r>
      <w:r w:rsidR="009749A0">
        <w:t>7.4</w:t>
      </w:r>
      <w:r>
        <w:fldChar w:fldCharType="end"/>
      </w:r>
      <w:r>
        <w:t>;</w:t>
      </w:r>
    </w:p>
    <w:p w14:paraId="5D9D675E" w14:textId="77777777" w:rsidR="00E60EAE" w:rsidRDefault="00E60EAE" w:rsidP="00B71FC0">
      <w:pPr>
        <w:pStyle w:val="Numbered111a"/>
        <w:keepNext/>
        <w:numPr>
          <w:ilvl w:val="3"/>
          <w:numId w:val="173"/>
        </w:numPr>
      </w:pPr>
      <w:bookmarkStart w:id="2247" w:name="_Ref140100946"/>
      <w:r>
        <w:t>is transferrable to only:</w:t>
      </w:r>
      <w:bookmarkEnd w:id="2247"/>
    </w:p>
    <w:p w14:paraId="7A936FD0" w14:textId="77777777" w:rsidR="00E60EAE" w:rsidRDefault="00E60EAE" w:rsidP="00B71FC0">
      <w:pPr>
        <w:pStyle w:val="Numbered111ai"/>
        <w:numPr>
          <w:ilvl w:val="4"/>
          <w:numId w:val="173"/>
        </w:numPr>
      </w:pPr>
      <w:r>
        <w:t>a Crown Body;</w:t>
      </w:r>
    </w:p>
    <w:p w14:paraId="053589A2" w14:textId="77777777" w:rsidR="00E60EAE" w:rsidRDefault="00E60EAE" w:rsidP="00B71FC0">
      <w:pPr>
        <w:pStyle w:val="Numbered111ai"/>
        <w:numPr>
          <w:ilvl w:val="4"/>
          <w:numId w:val="1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2C7D12EF" w14:textId="77777777" w:rsidR="00817698" w:rsidRDefault="00E60EAE" w:rsidP="00817698">
      <w:pPr>
        <w:pStyle w:val="Numbered111ai"/>
        <w:numPr>
          <w:ilvl w:val="4"/>
          <w:numId w:val="173"/>
        </w:numPr>
      </w:pPr>
      <w:r>
        <w:t>a person or organisation that is not a direct competitor of the Supplier</w:t>
      </w:r>
      <w:r w:rsidR="00817698">
        <w:t>,</w:t>
      </w:r>
      <w:r w:rsidR="00817698" w:rsidRPr="008D6332">
        <w:t xml:space="preserve"> </w:t>
      </w:r>
      <w:r w:rsidR="00817698">
        <w:t>where that transferee:</w:t>
      </w:r>
    </w:p>
    <w:p w14:paraId="554C25FA" w14:textId="1ACF42C2" w:rsidR="00817698" w:rsidRDefault="00817698" w:rsidP="00817698">
      <w:pPr>
        <w:pStyle w:val="Numbered111aiA"/>
        <w:numPr>
          <w:ilvl w:val="5"/>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6559C8C7" w14:textId="77777777" w:rsidR="00817698" w:rsidRDefault="00817698" w:rsidP="00817698">
      <w:pPr>
        <w:pStyle w:val="Numbered111aiA"/>
        <w:numPr>
          <w:ilvl w:val="5"/>
          <w:numId w:val="173"/>
        </w:numPr>
      </w:pPr>
      <w:r>
        <w:t>enters into a confidentiality arrangement with the Authority in terms equivalent to those set out in set out in Clause 19 (</w:t>
      </w:r>
      <w:r w:rsidRPr="00E03699">
        <w:rPr>
          <w:i/>
          <w:iCs/>
        </w:rPr>
        <w:t>Confidentiality</w:t>
      </w:r>
      <w:r>
        <w:t>);</w:t>
      </w:r>
    </w:p>
    <w:p w14:paraId="4E6B01C2" w14:textId="7D484498" w:rsidR="00817698" w:rsidRDefault="00E60EAE" w:rsidP="00817698">
      <w:pPr>
        <w:pStyle w:val="Numbered111a"/>
        <w:numPr>
          <w:ilvl w:val="3"/>
          <w:numId w:val="173"/>
        </w:numPr>
      </w:pPr>
      <w:r w:rsidRPr="007E15D7">
        <w:t>is sub-licensable to the Replacement Supplier (including where the Replacement Supplier is a competitor of the Supplier)</w:t>
      </w:r>
      <w:r w:rsidR="00817698" w:rsidRPr="00817698">
        <w:t xml:space="preserve"> </w:t>
      </w:r>
      <w:r w:rsidR="00817698">
        <w:t>where the Replacement Supplier:</w:t>
      </w:r>
    </w:p>
    <w:p w14:paraId="7A2F5F1E" w14:textId="3FB0061A" w:rsidR="00817698" w:rsidRDefault="00817698" w:rsidP="00817698">
      <w:pPr>
        <w:pStyle w:val="Numbered111ai"/>
        <w:numPr>
          <w:ilvl w:val="4"/>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0660F478" w14:textId="77777777" w:rsidR="00817698" w:rsidRPr="008D6332" w:rsidRDefault="00817698" w:rsidP="00817698">
      <w:pPr>
        <w:pStyle w:val="Numbered111ai"/>
        <w:numPr>
          <w:ilvl w:val="4"/>
          <w:numId w:val="173"/>
        </w:numPr>
      </w:pPr>
      <w:r w:rsidRPr="008D6332">
        <w:t>enters into a confidentiality arrangement with the Authority in terms equivalent to those set out in set out in Clause 19 (</w:t>
      </w:r>
      <w:r w:rsidRPr="00E03699">
        <w:rPr>
          <w:i/>
          <w:iCs/>
        </w:rPr>
        <w:t>Confidentiality</w:t>
      </w:r>
      <w:r w:rsidRPr="008D6332">
        <w:t>);</w:t>
      </w:r>
    </w:p>
    <w:p w14:paraId="450742FB" w14:textId="77777777" w:rsidR="00E60EAE" w:rsidRDefault="00E60EAE" w:rsidP="00B71FC0">
      <w:pPr>
        <w:pStyle w:val="Numbered111"/>
        <w:numPr>
          <w:ilvl w:val="2"/>
          <w:numId w:val="173"/>
        </w:numPr>
      </w:pPr>
      <w:r>
        <w:t xml:space="preserve">includes a perpetual, royalty-free, non-exclusive licence to use, copy and adapt any Know-How, trade secrets or Confidential Information of the Supplier contained within any </w:t>
      </w:r>
      <w:r w:rsidRPr="00A550B3">
        <w:t>Supplier Non-COTS Software</w:t>
      </w:r>
      <w:r>
        <w:t xml:space="preserve"> and </w:t>
      </w:r>
      <w:r w:rsidRPr="00A550B3">
        <w:t>Supplier Non-COTS Background IPR</w:t>
      </w:r>
      <w:r>
        <w:t>;</w:t>
      </w:r>
    </w:p>
    <w:p w14:paraId="42A164F6" w14:textId="77777777" w:rsidR="00E60EAE" w:rsidRDefault="00E60EAE" w:rsidP="00B71FC0">
      <w:pPr>
        <w:pStyle w:val="Numbered111"/>
        <w:numPr>
          <w:ilvl w:val="2"/>
          <w:numId w:val="173"/>
        </w:numPr>
      </w:pPr>
      <w:r>
        <w:t>continues in effect following the expiry or earlier termination of this Contract; and</w:t>
      </w:r>
    </w:p>
    <w:p w14:paraId="44AAF9AC" w14:textId="77777777" w:rsidR="00E60EAE" w:rsidRDefault="00E60EAE" w:rsidP="00B71FC0">
      <w:pPr>
        <w:pStyle w:val="Numbered111"/>
        <w:keepNext/>
        <w:numPr>
          <w:ilvl w:val="2"/>
          <w:numId w:val="173"/>
        </w:numPr>
      </w:pPr>
      <w:r>
        <w:t>is subject to the restrictions that:</w:t>
      </w:r>
    </w:p>
    <w:p w14:paraId="6E39202F" w14:textId="77777777" w:rsidR="00E60EAE" w:rsidRDefault="00E60EAE" w:rsidP="00B71FC0">
      <w:pPr>
        <w:pStyle w:val="Numbered111a"/>
        <w:numPr>
          <w:ilvl w:val="3"/>
          <w:numId w:val="173"/>
        </w:numPr>
      </w:pPr>
      <w:r>
        <w:t xml:space="preserve">no sub-licence granted to the </w:t>
      </w:r>
      <w:r w:rsidRPr="00A550B3">
        <w:t>Supplier Non-COTS Software</w:t>
      </w:r>
      <w:r>
        <w:t xml:space="preserve"> and </w:t>
      </w:r>
      <w:r w:rsidRPr="00A550B3">
        <w:t>Supplier Non-COTS Background IPR</w:t>
      </w:r>
      <w:r>
        <w:t xml:space="preserve"> shall purport to provide the sub-licensee with any wider rights than those granted to the Authority under this Paragraph;</w:t>
      </w:r>
    </w:p>
    <w:p w14:paraId="2094B013" w14:textId="77777777" w:rsidR="00E60EAE" w:rsidRDefault="00E60EAE" w:rsidP="00B71FC0">
      <w:pPr>
        <w:pStyle w:val="Numbered111a"/>
        <w:keepNext/>
        <w:numPr>
          <w:ilvl w:val="3"/>
          <w:numId w:val="173"/>
        </w:numPr>
      </w:pPr>
      <w:r>
        <w:lastRenderedPageBreak/>
        <w:t xml:space="preserve">any transferee or sublicensee of the </w:t>
      </w:r>
      <w:r w:rsidRPr="00A550B3">
        <w:t>Supplier Non-COTS Software</w:t>
      </w:r>
      <w:r>
        <w:t xml:space="preserve"> and </w:t>
      </w:r>
      <w:r w:rsidRPr="00A550B3">
        <w:t>Supplier Non-COTS Background IPR</w:t>
      </w:r>
      <w:r>
        <w:t xml:space="preserve"> must either:</w:t>
      </w:r>
    </w:p>
    <w:p w14:paraId="03338C44" w14:textId="3C4D2FB5" w:rsidR="00E60EAE" w:rsidRDefault="00E60EAE" w:rsidP="00B71FC0">
      <w:pPr>
        <w:pStyle w:val="Numbered111ai"/>
        <w:numPr>
          <w:ilvl w:val="4"/>
          <w:numId w:val="173"/>
        </w:numPr>
      </w:pPr>
      <w:r>
        <w:t>enter into a direct arrangement with the Supplier in the form set out 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of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or</w:t>
      </w:r>
    </w:p>
    <w:p w14:paraId="6B98CB7E" w14:textId="77777777" w:rsidR="00E60EAE" w:rsidRDefault="00E60EAE" w:rsidP="00B71FC0">
      <w:pPr>
        <w:pStyle w:val="Numbered111ai"/>
        <w:numPr>
          <w:ilvl w:val="4"/>
          <w:numId w:val="173"/>
        </w:numPr>
      </w:pPr>
      <w:r>
        <w:t>enter into a confidentiality arrangement with the Authority in terms equivalent to those set out in set out in Clause 19 (</w:t>
      </w:r>
      <w:r>
        <w:rPr>
          <w:i/>
          <w:iCs/>
        </w:rPr>
        <w:t>Confidentiality</w:t>
      </w:r>
      <w:r>
        <w:t xml:space="preserve">). </w:t>
      </w:r>
    </w:p>
    <w:p w14:paraId="5FC382DB" w14:textId="14578E15" w:rsidR="00E60EAE" w:rsidRDefault="00E60EAE" w:rsidP="00B71FC0">
      <w:pPr>
        <w:pStyle w:val="Numbered11"/>
        <w:keepNext/>
        <w:numPr>
          <w:ilvl w:val="1"/>
          <w:numId w:val="173"/>
        </w:numPr>
      </w:pPr>
      <w:bookmarkStart w:id="2248" w:name="_Ref140100819"/>
      <w:r>
        <w:t>For the purposes of Paragraphs </w:t>
      </w:r>
      <w:r>
        <w:fldChar w:fldCharType="begin"/>
      </w:r>
      <w:r>
        <w:instrText xml:space="preserve"> REF _Ref140100837 \r \h  \* MERGEFORMAT </w:instrText>
      </w:r>
      <w:r>
        <w:fldChar w:fldCharType="separate"/>
      </w:r>
      <w:r w:rsidR="009749A0">
        <w:t>7.1</w:t>
      </w:r>
      <w:r>
        <w:fldChar w:fldCharType="end"/>
      </w:r>
      <w:r>
        <w:t xml:space="preserve"> and </w:t>
      </w:r>
      <w:r>
        <w:fldChar w:fldCharType="begin"/>
      </w:r>
      <w:r>
        <w:instrText xml:space="preserve"> REF _Ref140819998 \r \h  \* MERGEFORMAT </w:instrText>
      </w:r>
      <w:r>
        <w:fldChar w:fldCharType="separate"/>
      </w:r>
      <w:r w:rsidR="009749A0">
        <w:t>7.3</w:t>
      </w:r>
      <w:r>
        <w:fldChar w:fldCharType="end"/>
      </w:r>
      <w:r>
        <w:t>, the relevant purposes are:</w:t>
      </w:r>
      <w:bookmarkEnd w:id="2248"/>
    </w:p>
    <w:p w14:paraId="6A7FF37B" w14:textId="77777777" w:rsidR="00E60EAE" w:rsidRDefault="00E60EAE" w:rsidP="00B71FC0">
      <w:pPr>
        <w:pStyle w:val="Numbered111"/>
        <w:numPr>
          <w:ilvl w:val="2"/>
          <w:numId w:val="173"/>
        </w:numPr>
      </w:pPr>
      <w:r>
        <w:t>to allow the Authority or any End User to receive and use the Deliverables;</w:t>
      </w:r>
    </w:p>
    <w:p w14:paraId="49ACB36A" w14:textId="77777777" w:rsidR="00E60EAE" w:rsidRDefault="00E60EAE" w:rsidP="00D33D5D">
      <w:pPr>
        <w:pStyle w:val="Numbered111"/>
        <w:keepNext/>
        <w:numPr>
          <w:ilvl w:val="2"/>
          <w:numId w:val="173"/>
        </w:numPr>
      </w:pPr>
      <w:r>
        <w:t>to commercially exploit the Project Specific IPR, Specially Written Software and Software Supporting Materials; and</w:t>
      </w:r>
    </w:p>
    <w:p w14:paraId="016BBB69" w14:textId="77777777" w:rsidR="00E60EAE" w:rsidRDefault="00E60EAE" w:rsidP="00B71FC0">
      <w:pPr>
        <w:pStyle w:val="Numbered111"/>
        <w:numPr>
          <w:ilvl w:val="2"/>
          <w:numId w:val="173"/>
        </w:numPr>
      </w:pPr>
      <w:r>
        <w:t>for any purpose relating to the exercise of the Authority’s (or, if the Authority is a Public Sector Body, any other Public Sector Body’s) business or function.</w:t>
      </w:r>
    </w:p>
    <w:p w14:paraId="1D014CB7" w14:textId="77777777" w:rsidR="00E60EAE" w:rsidRDefault="00E60EAE" w:rsidP="00B71FC0">
      <w:pPr>
        <w:pStyle w:val="Numbered11"/>
        <w:keepNext/>
        <w:numPr>
          <w:ilvl w:val="1"/>
          <w:numId w:val="173"/>
        </w:numPr>
      </w:pPr>
      <w:bookmarkStart w:id="2249" w:name="_Ref140100893"/>
      <w:r>
        <w:t>Where the legal status of the Authority changes, such that it ceases to be a Crown Body:</w:t>
      </w:r>
      <w:bookmarkEnd w:id="2249"/>
    </w:p>
    <w:p w14:paraId="55E8CA58" w14:textId="77777777" w:rsidR="00E60EAE" w:rsidRDefault="00E60EAE" w:rsidP="00B71FC0">
      <w:pPr>
        <w:pStyle w:val="Numbered111"/>
        <w:numPr>
          <w:ilvl w:val="2"/>
          <w:numId w:val="173"/>
        </w:numPr>
      </w:pPr>
      <w:r>
        <w:t>the Supplier Existing IPR Licence is unaffected; and</w:t>
      </w:r>
    </w:p>
    <w:p w14:paraId="5EA76A58" w14:textId="77777777" w:rsidR="00E60EAE" w:rsidRDefault="00E60EAE" w:rsidP="00B71FC0">
      <w:pPr>
        <w:pStyle w:val="Numbered111"/>
        <w:numPr>
          <w:ilvl w:val="2"/>
          <w:numId w:val="173"/>
        </w:numPr>
      </w:pPr>
      <w:r>
        <w:t>any successor body of the Authority that is a Crown Body shall have the benefit of the Supplier Existing IPR Licence.</w:t>
      </w:r>
    </w:p>
    <w:p w14:paraId="57A7A85B" w14:textId="10030545" w:rsidR="00E60EAE" w:rsidRPr="00FB3CC1" w:rsidRDefault="00E60EAE" w:rsidP="00B71FC0">
      <w:pPr>
        <w:pStyle w:val="Numbered11"/>
        <w:numPr>
          <w:ilvl w:val="1"/>
          <w:numId w:val="173"/>
        </w:numPr>
      </w:pPr>
      <w:r>
        <w:t>Where the Supplier Existing IPR Licence is transferred under Paragraph </w:t>
      </w:r>
      <w:r>
        <w:fldChar w:fldCharType="begin"/>
      </w:r>
      <w:r>
        <w:instrText xml:space="preserve"> REF _Ref140100920 \w \h  \* MERGEFORMAT </w:instrText>
      </w:r>
      <w:r>
        <w:fldChar w:fldCharType="separate"/>
      </w:r>
      <w:r w:rsidR="009749A0">
        <w:t>7.3.1(a)</w:t>
      </w:r>
      <w:r>
        <w:fldChar w:fldCharType="end"/>
      </w:r>
      <w:r>
        <w:t xml:space="preserve"> or </w:t>
      </w:r>
      <w:r>
        <w:fldChar w:fldCharType="begin"/>
      </w:r>
      <w:r>
        <w:instrText xml:space="preserve"> REF _Ref140100946 \w \h  \* MERGEFORMAT </w:instrText>
      </w:r>
      <w:r>
        <w:fldChar w:fldCharType="separate"/>
      </w:r>
      <w:r w:rsidR="009749A0">
        <w:t>7.3.2(b)</w:t>
      </w:r>
      <w:r>
        <w:fldChar w:fldCharType="end"/>
      </w:r>
      <w:r>
        <w:t xml:space="preserve"> or there is a change in the Authority’s legal status to which Paragraph </w:t>
      </w:r>
      <w:r>
        <w:fldChar w:fldCharType="begin"/>
      </w:r>
      <w:r>
        <w:instrText xml:space="preserve"> REF _Ref140100893 \w \h  \* MERGEFORMAT </w:instrText>
      </w:r>
      <w:r>
        <w:fldChar w:fldCharType="separate"/>
      </w:r>
      <w:r w:rsidR="009749A0">
        <w:t>7.5</w:t>
      </w:r>
      <w:r>
        <w:fldChar w:fldCharType="end"/>
      </w:r>
      <w:r>
        <w:t xml:space="preserve"> applies, the transferee or successor body do not acquire any wider rights than those granted to the Authority under this Paragraph.</w:t>
      </w:r>
    </w:p>
    <w:p w14:paraId="55F28499" w14:textId="77777777" w:rsidR="00E60EAE" w:rsidRDefault="00E60EAE" w:rsidP="00E60EAE">
      <w:r>
        <w:br w:type="page"/>
      </w:r>
    </w:p>
    <w:p w14:paraId="53D5BDBE" w14:textId="3022385F" w:rsidR="00E60EAE" w:rsidRPr="002223EA" w:rsidRDefault="00E60EAE" w:rsidP="00E60EAE">
      <w:pPr>
        <w:pStyle w:val="StdBodyText"/>
        <w:rPr>
          <w:bCs/>
          <w:iCs/>
        </w:rPr>
      </w:pPr>
      <w:r w:rsidRPr="002223EA">
        <w:rPr>
          <w:b/>
          <w:iCs/>
        </w:rPr>
        <w:lastRenderedPageBreak/>
        <w:t>[</w:t>
      </w:r>
      <w:r w:rsidRPr="00964392">
        <w:rPr>
          <w:b/>
          <w:i/>
          <w:highlight w:val="yellow"/>
        </w:rPr>
        <w:t xml:space="preserve">Guidance note: for </w:t>
      </w:r>
      <w:r w:rsidRPr="00964392">
        <w:rPr>
          <w:b/>
          <w:i/>
          <w:highlight w:val="yellow"/>
          <w:u w:val="single"/>
        </w:rPr>
        <w:t>Option </w:t>
      </w:r>
      <w:r w:rsidRPr="00964392">
        <w:rPr>
          <w:b/>
          <w:i/>
          <w:highlight w:val="yellow"/>
          <w:u w:val="single"/>
        </w:rPr>
        <w:fldChar w:fldCharType="begin"/>
      </w:r>
      <w:r w:rsidRPr="00964392">
        <w:rPr>
          <w:b/>
          <w:i/>
          <w:highlight w:val="yellow"/>
          <w:u w:val="single"/>
        </w:rPr>
        <w:instrText xml:space="preserve"> REF OPTION3_SCHEDULE32 \h  \* MERGEFORMAT </w:instrText>
      </w:r>
      <w:r w:rsidRPr="00964392">
        <w:rPr>
          <w:b/>
          <w:i/>
          <w:highlight w:val="yellow"/>
          <w:u w:val="single"/>
        </w:rPr>
      </w:r>
      <w:r w:rsidRPr="00964392">
        <w:rPr>
          <w:b/>
          <w:i/>
          <w:highlight w:val="yellow"/>
          <w:u w:val="single"/>
        </w:rPr>
        <w:fldChar w:fldCharType="separate"/>
      </w:r>
      <w:r w:rsidR="009749A0" w:rsidRPr="00B664D1">
        <w:rPr>
          <w:b/>
          <w:i/>
          <w:u w:val="single"/>
        </w:rPr>
        <w:t>3</w:t>
      </w:r>
      <w:r w:rsidRPr="00964392">
        <w:rPr>
          <w:b/>
          <w:i/>
          <w:highlight w:val="yellow"/>
          <w:u w:val="single"/>
        </w:rPr>
        <w:fldChar w:fldCharType="end"/>
      </w:r>
      <w:r w:rsidRPr="00964392">
        <w:rPr>
          <w:b/>
          <w:i/>
          <w:highlight w:val="yellow"/>
        </w:rPr>
        <w:t xml:space="preserve">: </w:t>
      </w:r>
      <w:r w:rsidRPr="00964392">
        <w:rPr>
          <w:rFonts w:eastAsia="Arial" w:cs="Arial"/>
          <w:b/>
          <w:i/>
          <w:highlight w:val="yellow"/>
        </w:rPr>
        <w:t>Supplier ownership of all Project Specific IPR and Specially Written Software with Authority rights for the current contract only, please include the following drafting:</w:t>
      </w:r>
      <w:r w:rsidRPr="002223EA">
        <w:rPr>
          <w:bCs/>
          <w:iCs/>
        </w:rPr>
        <w:t>]</w:t>
      </w:r>
    </w:p>
    <w:p w14:paraId="49DD0BE6" w14:textId="77777777" w:rsidR="00E60EAE" w:rsidRDefault="00E60EAE" w:rsidP="00E60EAE">
      <w:pPr>
        <w:pStyle w:val="Heading2"/>
      </w:pPr>
      <w:bookmarkStart w:id="2250" w:name="_Toc118293564"/>
      <w:bookmarkStart w:id="2251" w:name="_Toc141721077"/>
      <w:r>
        <w:t xml:space="preserve">Option </w:t>
      </w:r>
      <w:bookmarkStart w:id="2252" w:name="OPTION3_SCHEDULE32"/>
      <w:r>
        <w:t>3</w:t>
      </w:r>
      <w:bookmarkEnd w:id="2250"/>
      <w:bookmarkEnd w:id="2252"/>
      <w:bookmarkEnd w:id="2251"/>
    </w:p>
    <w:p w14:paraId="401E4348" w14:textId="77777777" w:rsidR="00E60EAE" w:rsidRDefault="00E60EAE" w:rsidP="00B71FC0">
      <w:pPr>
        <w:pStyle w:val="Numbered1"/>
        <w:numPr>
          <w:ilvl w:val="0"/>
          <w:numId w:val="177"/>
        </w:numPr>
      </w:pPr>
      <w:r>
        <w:t>Ownership of IPR created under the Contract</w:t>
      </w:r>
    </w:p>
    <w:p w14:paraId="6407FAFE" w14:textId="5D41F1D3" w:rsidR="00E60EAE" w:rsidRDefault="00E60EAE" w:rsidP="00B71FC0">
      <w:pPr>
        <w:pStyle w:val="Numbered11"/>
        <w:keepNext/>
        <w:numPr>
          <w:ilvl w:val="1"/>
          <w:numId w:val="173"/>
        </w:numPr>
      </w:pPr>
      <w:r>
        <w:t>Subject to Paragraph </w:t>
      </w:r>
      <w:r>
        <w:fldChar w:fldCharType="begin"/>
      </w:r>
      <w:r>
        <w:instrText xml:space="preserve"> REF _Ref141105848 \w \h </w:instrText>
      </w:r>
      <w:r>
        <w:fldChar w:fldCharType="separate"/>
      </w:r>
      <w:r w:rsidR="009749A0">
        <w:t>1.1.1</w:t>
      </w:r>
      <w:r>
        <w:fldChar w:fldCharType="end"/>
      </w:r>
      <w:r>
        <w:t>, the Authority agrees to</w:t>
      </w:r>
    </w:p>
    <w:p w14:paraId="2134DA50" w14:textId="77777777" w:rsidR="00E60EAE" w:rsidRDefault="00E60EAE" w:rsidP="00B71FC0">
      <w:pPr>
        <w:pStyle w:val="Numbered111"/>
        <w:keepNext/>
        <w:numPr>
          <w:ilvl w:val="2"/>
          <w:numId w:val="173"/>
        </w:numPr>
      </w:pPr>
      <w:r>
        <w:t>transfer to the Supplier, or procure the transfer to the Supplier, of all Intellectual Property Rights in the Specially Written Software and Project Specific IPRs not already vesting in the Supplier, including:</w:t>
      </w:r>
    </w:p>
    <w:p w14:paraId="03A7E218" w14:textId="77777777" w:rsidR="00E60EAE" w:rsidRDefault="00E60EAE" w:rsidP="00B71FC0">
      <w:pPr>
        <w:pStyle w:val="Numbered111a"/>
        <w:numPr>
          <w:ilvl w:val="3"/>
          <w:numId w:val="173"/>
        </w:numPr>
      </w:pPr>
      <w:r>
        <w:t>the Documentation, Source Code and the Object Code of the Specially Written Software; and</w:t>
      </w:r>
    </w:p>
    <w:p w14:paraId="5A995A94" w14:textId="77777777" w:rsidR="00E60EAE" w:rsidRDefault="00E60EAE" w:rsidP="00B71FC0">
      <w:pPr>
        <w:pStyle w:val="Numbered111a"/>
        <w:numPr>
          <w:ilvl w:val="3"/>
          <w:numId w:val="173"/>
        </w:numPr>
      </w:pPr>
      <w:r>
        <w:t>all build instructions, test instructions, test scripts, test data, operating instructions and other documents and tools necessary for maintaining and supporting the Specially Written Software,</w:t>
      </w:r>
    </w:p>
    <w:p w14:paraId="4834D1E2" w14:textId="77777777" w:rsidR="00E60EAE" w:rsidRDefault="00E60EAE" w:rsidP="00E60EAE">
      <w:pPr>
        <w:pStyle w:val="StdBodyText3"/>
      </w:pPr>
      <w:r>
        <w:t xml:space="preserve">(together the </w:t>
      </w:r>
      <w:r w:rsidRPr="002369BF">
        <w:rPr>
          <w:b/>
          <w:bCs/>
        </w:rPr>
        <w:t>Software Supporting Materials</w:t>
      </w:r>
      <w:r>
        <w:t>); and</w:t>
      </w:r>
    </w:p>
    <w:p w14:paraId="2D649715" w14:textId="70A1F607" w:rsidR="00E60EAE" w:rsidRDefault="00E60EAE" w:rsidP="00B71FC0">
      <w:pPr>
        <w:pStyle w:val="Numbered111"/>
        <w:numPr>
          <w:ilvl w:val="2"/>
          <w:numId w:val="173"/>
        </w:numPr>
      </w:pPr>
      <w:r w:rsidRPr="00016234">
        <w:t xml:space="preserve">execute all such </w:t>
      </w:r>
      <w:r w:rsidR="007B217F">
        <w:t>assignations</w:t>
      </w:r>
      <w:r w:rsidR="007B217F" w:rsidRPr="00016234">
        <w:t xml:space="preserve"> </w:t>
      </w:r>
      <w:r w:rsidRPr="00016234">
        <w:t xml:space="preserve">required to </w:t>
      </w:r>
      <w:r>
        <w:t xml:space="preserve">transfer properly any </w:t>
      </w:r>
      <w:r w:rsidRPr="00016234">
        <w:t xml:space="preserve">rights in the Specially Written Software and Project Specific IPRs to the </w:t>
      </w:r>
      <w:r>
        <w:t>Supplier.</w:t>
      </w:r>
    </w:p>
    <w:p w14:paraId="0704BB27" w14:textId="77777777" w:rsidR="00E60EAE" w:rsidRDefault="00E60EAE" w:rsidP="00B71FC0">
      <w:pPr>
        <w:pStyle w:val="Numbered11"/>
        <w:keepNext/>
        <w:numPr>
          <w:ilvl w:val="1"/>
          <w:numId w:val="173"/>
        </w:numPr>
      </w:pPr>
      <w:r>
        <w:t>If, within three years of its creation, the Supplier:</w:t>
      </w:r>
    </w:p>
    <w:p w14:paraId="5B8C7553" w14:textId="77777777" w:rsidR="00E60EAE" w:rsidRDefault="00E60EAE" w:rsidP="00B71FC0">
      <w:pPr>
        <w:pStyle w:val="Numbered111"/>
        <w:numPr>
          <w:ilvl w:val="2"/>
          <w:numId w:val="173"/>
        </w:numPr>
      </w:pPr>
      <w:r>
        <w:t xml:space="preserve">is not commercially exploiting any </w:t>
      </w:r>
      <w:r w:rsidRPr="00016234">
        <w:t>Specially Written Software</w:t>
      </w:r>
      <w:r>
        <w:t>,</w:t>
      </w:r>
      <w:r w:rsidRPr="00016234">
        <w:t xml:space="preserve"> Project Specific IPRs</w:t>
      </w:r>
      <w:r>
        <w:t xml:space="preserve"> or </w:t>
      </w:r>
      <w:r w:rsidRPr="00430DD0">
        <w:t>Software Supporting Materials</w:t>
      </w:r>
      <w:r>
        <w:t>; or</w:t>
      </w:r>
    </w:p>
    <w:p w14:paraId="367DC6CC" w14:textId="77777777" w:rsidR="00E60EAE" w:rsidRDefault="00E60EAE" w:rsidP="00B71FC0">
      <w:pPr>
        <w:pStyle w:val="Numbered111"/>
        <w:numPr>
          <w:ilvl w:val="2"/>
          <w:numId w:val="173"/>
        </w:numPr>
      </w:pPr>
      <w:r>
        <w:t>where the Supplier is not commercially exploiting that IPR, is not, to the satisfaction of the Authority, using its best endeavours to do so,</w:t>
      </w:r>
    </w:p>
    <w:p w14:paraId="12404B31" w14:textId="77777777" w:rsidR="00E60EAE" w:rsidRDefault="00E60EAE" w:rsidP="00E60EAE">
      <w:pPr>
        <w:pStyle w:val="StdBodyText1"/>
        <w:keepNext/>
      </w:pPr>
      <w:r>
        <w:t>then, on written request from the Authority:</w:t>
      </w:r>
    </w:p>
    <w:p w14:paraId="47914A6D" w14:textId="776DD217" w:rsidR="00E60EAE" w:rsidRDefault="00E60EAE" w:rsidP="00B71FC0">
      <w:pPr>
        <w:pStyle w:val="Numbered111"/>
        <w:numPr>
          <w:ilvl w:val="2"/>
          <w:numId w:val="173"/>
        </w:numPr>
      </w:pPr>
      <w:r>
        <w:t xml:space="preserve">the Supplier must promptly </w:t>
      </w:r>
      <w:r w:rsidR="007B217F">
        <w:t xml:space="preserve">carry out an </w:t>
      </w:r>
      <w:r>
        <w:t>assign</w:t>
      </w:r>
      <w:r w:rsidR="007B217F">
        <w:t>ation</w:t>
      </w:r>
      <w:r>
        <w:t xml:space="preserve"> to the Authority the </w:t>
      </w:r>
      <w:r w:rsidRPr="00016234">
        <w:t>Specially Written Software</w:t>
      </w:r>
      <w:r>
        <w:t>,</w:t>
      </w:r>
      <w:r w:rsidRPr="00016234">
        <w:t xml:space="preserve"> Project Specific IPRs</w:t>
      </w:r>
      <w:r>
        <w:t xml:space="preserve"> and </w:t>
      </w:r>
      <w:r w:rsidRPr="00430DD0">
        <w:t>Software Supporting Materials</w:t>
      </w:r>
      <w:r>
        <w:t>, or any specified items of that IPR; and</w:t>
      </w:r>
    </w:p>
    <w:p w14:paraId="2BE11735" w14:textId="333EE030" w:rsidR="00E60EAE" w:rsidRDefault="00E60EAE" w:rsidP="00B71FC0">
      <w:pPr>
        <w:pStyle w:val="Numbered111"/>
        <w:keepNext/>
        <w:numPr>
          <w:ilvl w:val="2"/>
          <w:numId w:val="173"/>
        </w:numPr>
      </w:pPr>
      <w:r>
        <w:t>the licence to the Authority Software, Authority Data and Authority Background IPRs granted under Paragraph </w:t>
      </w:r>
      <w:r>
        <w:fldChar w:fldCharType="begin"/>
      </w:r>
      <w:r>
        <w:instrText xml:space="preserve"> REF _Ref140134332 \r \h  \* MERGEFORMAT </w:instrText>
      </w:r>
      <w:r>
        <w:fldChar w:fldCharType="separate"/>
      </w:r>
      <w:r w:rsidR="009749A0">
        <w:t>6.1</w:t>
      </w:r>
      <w:r>
        <w:fldChar w:fldCharType="end"/>
      </w:r>
      <w:r>
        <w:t xml:space="preserve"> (insofar as it relates to the commercial exploitation of the Project Specific IPR, the Specially Written Software or the Software Supporting Materials)</w:t>
      </w:r>
      <w:r w:rsidRPr="00C4760F">
        <w:t xml:space="preserve"> terminates</w:t>
      </w:r>
      <w:r>
        <w:t xml:space="preserve"> either:</w:t>
      </w:r>
    </w:p>
    <w:p w14:paraId="75441D66" w14:textId="77777777" w:rsidR="00E60EAE" w:rsidRDefault="00E60EAE" w:rsidP="00B71FC0">
      <w:pPr>
        <w:pStyle w:val="Numbered111a"/>
        <w:numPr>
          <w:ilvl w:val="3"/>
          <w:numId w:val="173"/>
        </w:numPr>
      </w:pPr>
      <w:r>
        <w:t>on the date specified in the notice; or</w:t>
      </w:r>
    </w:p>
    <w:p w14:paraId="5128C764" w14:textId="77777777" w:rsidR="00E60EAE" w:rsidRDefault="00E60EAE" w:rsidP="00B71FC0">
      <w:pPr>
        <w:pStyle w:val="Numbered111a"/>
        <w:numPr>
          <w:ilvl w:val="3"/>
          <w:numId w:val="173"/>
        </w:numPr>
      </w:pPr>
      <w:r>
        <w:t>where no date is specified in the notice, on the date the notice is received by the Supplier.</w:t>
      </w:r>
    </w:p>
    <w:p w14:paraId="2476328D" w14:textId="551B7F5E" w:rsidR="00E60EAE" w:rsidRPr="00A32A56" w:rsidRDefault="00E60EAE" w:rsidP="00B71FC0">
      <w:pPr>
        <w:pStyle w:val="Numbered11"/>
        <w:numPr>
          <w:ilvl w:val="1"/>
          <w:numId w:val="173"/>
        </w:numPr>
      </w:pPr>
      <w:r>
        <w:t xml:space="preserve">Each Party shall bear its own costs of preparing and executing any </w:t>
      </w:r>
      <w:r w:rsidR="007B217F">
        <w:t>assignation</w:t>
      </w:r>
      <w:r w:rsidR="007B217F" w:rsidRPr="00016234">
        <w:t xml:space="preserve"> </w:t>
      </w:r>
      <w:r>
        <w:t>required by this Paragraph.</w:t>
      </w:r>
    </w:p>
    <w:p w14:paraId="657E224A" w14:textId="77777777" w:rsidR="00E60EAE" w:rsidRDefault="00E60EAE" w:rsidP="00B71FC0">
      <w:pPr>
        <w:pStyle w:val="Numbered1"/>
        <w:numPr>
          <w:ilvl w:val="0"/>
          <w:numId w:val="173"/>
        </w:numPr>
      </w:pPr>
      <w:bookmarkStart w:id="2253" w:name="_Ref140133039"/>
      <w:r>
        <w:lastRenderedPageBreak/>
        <w:t>Licence of Supplier IPR</w:t>
      </w:r>
      <w:bookmarkEnd w:id="2253"/>
    </w:p>
    <w:p w14:paraId="32F64D45" w14:textId="2FE25572" w:rsidR="00E60EAE" w:rsidRDefault="00E60EAE" w:rsidP="00B71FC0">
      <w:pPr>
        <w:pStyle w:val="Numbered11"/>
        <w:keepNext/>
        <w:numPr>
          <w:ilvl w:val="1"/>
          <w:numId w:val="173"/>
        </w:numPr>
      </w:pPr>
      <w:bookmarkStart w:id="2254" w:name="_Ref140102597"/>
      <w:r>
        <w:t>The Supplier grants the Authority a licence on the terms set out in Paragraph </w:t>
      </w:r>
      <w:r>
        <w:fldChar w:fldCharType="begin"/>
      </w:r>
      <w:r>
        <w:instrText xml:space="preserve"> REF _Ref140102259 \w \h  \* MERGEFORMAT </w:instrText>
      </w:r>
      <w:r>
        <w:fldChar w:fldCharType="separate"/>
      </w:r>
      <w:r w:rsidR="009749A0">
        <w:t>2.3</w:t>
      </w:r>
      <w:r>
        <w:fldChar w:fldCharType="end"/>
      </w:r>
      <w:r>
        <w:t xml:space="preserve"> in respect of each Deliverable where </w:t>
      </w:r>
      <w:r w:rsidRPr="00016234">
        <w:t>Specially Written Software</w:t>
      </w:r>
      <w:r>
        <w:t>,</w:t>
      </w:r>
      <w:r w:rsidRPr="00016234">
        <w:t xml:space="preserve"> Project Specific IPRs</w:t>
      </w:r>
      <w:r>
        <w:t xml:space="preserve">, </w:t>
      </w:r>
      <w:r w:rsidRPr="00430DD0">
        <w:t>Software Supporting Materials</w:t>
      </w:r>
      <w:r>
        <w:t>, Supplier Software or Supplier Background IPRs are:</w:t>
      </w:r>
      <w:bookmarkEnd w:id="2254"/>
    </w:p>
    <w:p w14:paraId="2DFF287C" w14:textId="77777777" w:rsidR="00E60EAE" w:rsidRDefault="00E60EAE" w:rsidP="00B71FC0">
      <w:pPr>
        <w:pStyle w:val="Numbered111"/>
        <w:numPr>
          <w:ilvl w:val="2"/>
          <w:numId w:val="173"/>
        </w:numPr>
      </w:pPr>
      <w:r>
        <w:t>is embedded in the Deliverable;</w:t>
      </w:r>
    </w:p>
    <w:p w14:paraId="30C0DD69" w14:textId="77777777" w:rsidR="00E60EAE" w:rsidRDefault="00E60EAE" w:rsidP="00B71FC0">
      <w:pPr>
        <w:pStyle w:val="Numbered111"/>
        <w:numPr>
          <w:ilvl w:val="2"/>
          <w:numId w:val="173"/>
        </w:numPr>
      </w:pPr>
      <w:r>
        <w:t>is necessary for the Authority to use the Deliverable; or</w:t>
      </w:r>
    </w:p>
    <w:p w14:paraId="71FAE01B" w14:textId="77777777" w:rsidR="00E60EAE" w:rsidRDefault="00E60EAE" w:rsidP="00B71FC0">
      <w:pPr>
        <w:pStyle w:val="Numbered111"/>
        <w:numPr>
          <w:ilvl w:val="2"/>
          <w:numId w:val="173"/>
        </w:numPr>
      </w:pPr>
      <w:r>
        <w:t>has been customised or adapted to create the Deliverable.</w:t>
      </w:r>
    </w:p>
    <w:p w14:paraId="40745947" w14:textId="7F56E847" w:rsidR="00E60EAE" w:rsidRDefault="00E60EAE" w:rsidP="00B71FC0">
      <w:pPr>
        <w:pStyle w:val="Numbered11"/>
        <w:numPr>
          <w:ilvl w:val="1"/>
          <w:numId w:val="173"/>
        </w:numPr>
      </w:pPr>
      <w:r>
        <w:t>The categories of relevant IPR set out in Paragraph </w:t>
      </w:r>
      <w:r>
        <w:fldChar w:fldCharType="begin"/>
      </w:r>
      <w:r>
        <w:instrText xml:space="preserve"> REF _Ref140102597 \w \h  \* MERGEFORMAT </w:instrText>
      </w:r>
      <w:r>
        <w:fldChar w:fldCharType="separate"/>
      </w:r>
      <w:r w:rsidR="009749A0">
        <w:t>2.1</w:t>
      </w:r>
      <w:r>
        <w:fldChar w:fldCharType="end"/>
      </w:r>
      <w:r>
        <w:t xml:space="preserve"> are mutually exclusive.</w:t>
      </w:r>
    </w:p>
    <w:p w14:paraId="4A91E12B" w14:textId="31BBC498" w:rsidR="00E60EAE" w:rsidRDefault="00E60EAE" w:rsidP="00B71FC0">
      <w:pPr>
        <w:pStyle w:val="Numbered11"/>
        <w:keepNext/>
        <w:numPr>
          <w:ilvl w:val="1"/>
          <w:numId w:val="173"/>
        </w:numPr>
      </w:pPr>
      <w:bookmarkStart w:id="2255" w:name="_Ref140102259"/>
      <w:r>
        <w:t>The licence referred to in Paragraph </w:t>
      </w:r>
      <w:r>
        <w:fldChar w:fldCharType="begin"/>
      </w:r>
      <w:r>
        <w:instrText xml:space="preserve"> REF _Ref140102597 \w \h  \* MERGEFORMAT </w:instrText>
      </w:r>
      <w:r>
        <w:fldChar w:fldCharType="separate"/>
      </w:r>
      <w:r w:rsidR="009749A0">
        <w:t>2.1</w:t>
      </w:r>
      <w:r>
        <w:fldChar w:fldCharType="end"/>
      </w:r>
      <w:r>
        <w:t xml:space="preserve"> is a non-exclusive, royalty-free, irrevocable, transferable, sub-licensable, worldwide licence that:</w:t>
      </w:r>
      <w:bookmarkEnd w:id="2255"/>
    </w:p>
    <w:p w14:paraId="5978096F" w14:textId="77777777" w:rsidR="00E60EAE" w:rsidRDefault="00E60EAE" w:rsidP="00B71FC0">
      <w:pPr>
        <w:pStyle w:val="Numbered111"/>
        <w:keepNext/>
        <w:numPr>
          <w:ilvl w:val="2"/>
          <w:numId w:val="173"/>
        </w:numPr>
      </w:pPr>
      <w:r>
        <w:t>in the case of relevant IPR embedded in a Deliverable or is used to provide the Deliverable:</w:t>
      </w:r>
    </w:p>
    <w:p w14:paraId="6D0EC6DB" w14:textId="77777777" w:rsidR="00E60EAE" w:rsidRDefault="00E60EAE" w:rsidP="00B71FC0">
      <w:pPr>
        <w:pStyle w:val="Numbered111a"/>
        <w:numPr>
          <w:ilvl w:val="3"/>
          <w:numId w:val="173"/>
        </w:numPr>
      </w:pPr>
      <w:r>
        <w:t>is sub-licensable;</w:t>
      </w:r>
    </w:p>
    <w:p w14:paraId="6AEFB019" w14:textId="77777777" w:rsidR="00E60EAE" w:rsidRDefault="00E60EAE" w:rsidP="00B71FC0">
      <w:pPr>
        <w:pStyle w:val="Numbered111a"/>
        <w:numPr>
          <w:ilvl w:val="3"/>
          <w:numId w:val="173"/>
        </w:numPr>
      </w:pPr>
      <w:bookmarkStart w:id="2256" w:name="_Ref140103076"/>
      <w:r>
        <w:t>has no restriction on the identity of any transferee or sub-licensee;</w:t>
      </w:r>
      <w:bookmarkEnd w:id="2256"/>
    </w:p>
    <w:p w14:paraId="0843A8B2" w14:textId="6EAD69B5" w:rsidR="00E60EAE" w:rsidRDefault="00E60EAE" w:rsidP="00B71FC0">
      <w:pPr>
        <w:pStyle w:val="Numbered111a"/>
        <w:numPr>
          <w:ilvl w:val="3"/>
          <w:numId w:val="173"/>
        </w:numPr>
      </w:pPr>
      <w:r>
        <w:t>allows the Authority and any transferee or sub-licensee to use, copy and adapt the relevant IPR for any of the purposes set out in Paragraph </w:t>
      </w:r>
      <w:r>
        <w:fldChar w:fldCharType="begin"/>
      </w:r>
      <w:r>
        <w:instrText xml:space="preserve"> REF _Ref140103145 \w \h  \* MERGEFORMAT </w:instrText>
      </w:r>
      <w:r>
        <w:fldChar w:fldCharType="separate"/>
      </w:r>
      <w:r w:rsidR="009749A0">
        <w:t>2.4</w:t>
      </w:r>
      <w:r>
        <w:fldChar w:fldCharType="end"/>
      </w:r>
      <w:r>
        <w:t>;</w:t>
      </w:r>
    </w:p>
    <w:p w14:paraId="26AB60A6" w14:textId="77777777" w:rsidR="00E60EAE" w:rsidRPr="007E15D7" w:rsidRDefault="00E60EAE" w:rsidP="00B71FC0">
      <w:pPr>
        <w:pStyle w:val="Numbered111"/>
        <w:keepNext/>
        <w:numPr>
          <w:ilvl w:val="2"/>
          <w:numId w:val="173"/>
        </w:numPr>
      </w:pPr>
      <w:r w:rsidRPr="007E15D7">
        <w:t xml:space="preserve">in the case of </w:t>
      </w:r>
      <w:r>
        <w:t>relevant IPR</w:t>
      </w:r>
      <w:r w:rsidRPr="007E15D7">
        <w:t xml:space="preserve"> that is necessary for the </w:t>
      </w:r>
      <w:r>
        <w:t>Authority</w:t>
      </w:r>
      <w:r w:rsidRPr="007E15D7">
        <w:t xml:space="preserve"> to </w:t>
      </w:r>
      <w:r>
        <w:t xml:space="preserve">receive or </w:t>
      </w:r>
      <w:r w:rsidRPr="007E15D7">
        <w:t>use the Deliverable:</w:t>
      </w:r>
    </w:p>
    <w:p w14:paraId="17A78BAF" w14:textId="2E22BE2C" w:rsidR="00E60EAE" w:rsidRDefault="00E60EAE" w:rsidP="00B71FC0">
      <w:pPr>
        <w:pStyle w:val="Numbered111a"/>
        <w:numPr>
          <w:ilvl w:val="3"/>
          <w:numId w:val="173"/>
        </w:numPr>
      </w:pPr>
      <w:r>
        <w:t>allows the Authority and any transferee or sublicensee to use and copy, but not adapt, disassemble or reverse engineer the relevant IPR for any of the purposes set out in Paragraph </w:t>
      </w:r>
      <w:r>
        <w:fldChar w:fldCharType="begin"/>
      </w:r>
      <w:r>
        <w:instrText xml:space="preserve"> REF _Ref140103145 \w \h  \* MERGEFORMAT </w:instrText>
      </w:r>
      <w:r>
        <w:fldChar w:fldCharType="separate"/>
      </w:r>
      <w:r w:rsidR="009749A0">
        <w:t>2.4</w:t>
      </w:r>
      <w:r>
        <w:fldChar w:fldCharType="end"/>
      </w:r>
      <w:r>
        <w:t>;</w:t>
      </w:r>
    </w:p>
    <w:p w14:paraId="11A68814" w14:textId="77777777" w:rsidR="00E60EAE" w:rsidRDefault="00E60EAE" w:rsidP="00B71FC0">
      <w:pPr>
        <w:pStyle w:val="Numbered111a"/>
        <w:keepNext/>
        <w:numPr>
          <w:ilvl w:val="3"/>
          <w:numId w:val="173"/>
        </w:numPr>
      </w:pPr>
      <w:bookmarkStart w:id="2257" w:name="_Ref140103090"/>
      <w:r>
        <w:t>is transferrable to only:</w:t>
      </w:r>
      <w:bookmarkEnd w:id="2257"/>
    </w:p>
    <w:p w14:paraId="3CBF1007" w14:textId="77777777" w:rsidR="00E60EAE" w:rsidRDefault="00E60EAE" w:rsidP="00B71FC0">
      <w:pPr>
        <w:pStyle w:val="Numbered111ai"/>
        <w:numPr>
          <w:ilvl w:val="4"/>
          <w:numId w:val="173"/>
        </w:numPr>
      </w:pPr>
      <w:r>
        <w:t>a Crown Body;</w:t>
      </w:r>
    </w:p>
    <w:p w14:paraId="08D6AF31" w14:textId="77777777" w:rsidR="00E60EAE" w:rsidRDefault="00E60EAE" w:rsidP="00B71FC0">
      <w:pPr>
        <w:pStyle w:val="Numbered111ai"/>
        <w:numPr>
          <w:ilvl w:val="4"/>
          <w:numId w:val="1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72871004" w14:textId="77777777" w:rsidR="00817698" w:rsidRDefault="00E60EAE" w:rsidP="00817698">
      <w:pPr>
        <w:pStyle w:val="Numbered111ai"/>
        <w:numPr>
          <w:ilvl w:val="4"/>
          <w:numId w:val="173"/>
        </w:numPr>
      </w:pPr>
      <w:r>
        <w:t>a person or organisation that is not a direct competitor of the Supplier</w:t>
      </w:r>
      <w:r w:rsidR="00817698">
        <w:t>, where that transferee:</w:t>
      </w:r>
    </w:p>
    <w:p w14:paraId="427E5D4B" w14:textId="3861992D" w:rsidR="00817698" w:rsidRDefault="00817698" w:rsidP="00817698">
      <w:pPr>
        <w:pStyle w:val="Numbered111aiA"/>
        <w:numPr>
          <w:ilvl w:val="5"/>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04CDD932" w14:textId="77777777" w:rsidR="00817698" w:rsidRDefault="00817698" w:rsidP="00817698">
      <w:pPr>
        <w:pStyle w:val="Numbered111aiA"/>
        <w:numPr>
          <w:ilvl w:val="5"/>
          <w:numId w:val="173"/>
        </w:numPr>
      </w:pPr>
      <w:r>
        <w:t>enters into a confidentiality arrangement with the Authority in terms equivalent to those set out in set out in Clause 19 (</w:t>
      </w:r>
      <w:r w:rsidRPr="00E03699">
        <w:rPr>
          <w:i/>
          <w:iCs/>
        </w:rPr>
        <w:t>Confidentiality</w:t>
      </w:r>
      <w:r>
        <w:t>);</w:t>
      </w:r>
    </w:p>
    <w:p w14:paraId="1A24619E" w14:textId="10AB8F7D" w:rsidR="00817698" w:rsidRDefault="00E60EAE" w:rsidP="00817698">
      <w:pPr>
        <w:pStyle w:val="Numbered111a"/>
        <w:numPr>
          <w:ilvl w:val="3"/>
          <w:numId w:val="173"/>
        </w:numPr>
      </w:pPr>
      <w:r w:rsidRPr="007E15D7">
        <w:t>is sub-licensable to the Replacement Supplier (including where the Replacement Supplier is a competitor of the Supplier)</w:t>
      </w:r>
      <w:r w:rsidR="00817698" w:rsidRPr="00817698">
        <w:t xml:space="preserve"> </w:t>
      </w:r>
      <w:r w:rsidR="00817698" w:rsidRPr="008D6332">
        <w:t>where the Replacement Supplier:</w:t>
      </w:r>
    </w:p>
    <w:p w14:paraId="00C1B136" w14:textId="1FD42549" w:rsidR="00817698" w:rsidRDefault="00817698" w:rsidP="00817698">
      <w:pPr>
        <w:pStyle w:val="Numbered111ai"/>
        <w:numPr>
          <w:ilvl w:val="4"/>
          <w:numId w:val="173"/>
        </w:numPr>
      </w:pPr>
      <w:r>
        <w:lastRenderedPageBreak/>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21B80AAF" w14:textId="77777777" w:rsidR="00817698" w:rsidRDefault="00817698" w:rsidP="00817698">
      <w:pPr>
        <w:pStyle w:val="Numbered111ai"/>
        <w:numPr>
          <w:ilvl w:val="4"/>
          <w:numId w:val="173"/>
        </w:numPr>
      </w:pPr>
      <w:r>
        <w:t>enters into a confidentiality arrangement with the Authority in terms equivalent to those set out in set out in Clause 19 (</w:t>
      </w:r>
      <w:r w:rsidRPr="00E03699">
        <w:rPr>
          <w:i/>
          <w:iCs/>
        </w:rPr>
        <w:t>Confidentiality</w:t>
      </w:r>
      <w:r>
        <w:t>);</w:t>
      </w:r>
    </w:p>
    <w:p w14:paraId="6F03480C" w14:textId="77777777" w:rsidR="00E60EAE" w:rsidRDefault="00E60EAE" w:rsidP="00B71FC0">
      <w:pPr>
        <w:pStyle w:val="Numbered111"/>
        <w:keepNext/>
        <w:numPr>
          <w:ilvl w:val="2"/>
          <w:numId w:val="173"/>
        </w:numPr>
      </w:pPr>
      <w:r>
        <w:t>expires at the later of</w:t>
      </w:r>
    </w:p>
    <w:p w14:paraId="6BEFDF48" w14:textId="77777777" w:rsidR="00E60EAE" w:rsidRDefault="00E60EAE" w:rsidP="00B71FC0">
      <w:pPr>
        <w:pStyle w:val="Numbered111a"/>
        <w:numPr>
          <w:ilvl w:val="3"/>
          <w:numId w:val="173"/>
        </w:numPr>
      </w:pPr>
      <w:r>
        <w:t>the expiry of the Term; or</w:t>
      </w:r>
    </w:p>
    <w:p w14:paraId="6C55AEC9" w14:textId="77777777" w:rsidR="00E60EAE" w:rsidRDefault="00E60EAE" w:rsidP="00B71FC0">
      <w:pPr>
        <w:pStyle w:val="Numbered111a"/>
        <w:numPr>
          <w:ilvl w:val="3"/>
          <w:numId w:val="173"/>
        </w:numPr>
      </w:pPr>
      <w:r>
        <w:t>the expiry of any Termination Assistance Period; and</w:t>
      </w:r>
    </w:p>
    <w:p w14:paraId="2E1F48EF" w14:textId="77777777" w:rsidR="00E60EAE" w:rsidRDefault="00E60EAE" w:rsidP="00B71FC0">
      <w:pPr>
        <w:pStyle w:val="Numbered111"/>
        <w:keepNext/>
        <w:numPr>
          <w:ilvl w:val="2"/>
          <w:numId w:val="173"/>
        </w:numPr>
      </w:pPr>
      <w:r>
        <w:t>is subject to the restrictions that</w:t>
      </w:r>
    </w:p>
    <w:p w14:paraId="013DD2AB" w14:textId="77777777" w:rsidR="00E60EAE" w:rsidRDefault="00E60EAE" w:rsidP="00B71FC0">
      <w:pPr>
        <w:pStyle w:val="Numbered111a"/>
        <w:keepNext/>
        <w:numPr>
          <w:ilvl w:val="3"/>
          <w:numId w:val="173"/>
        </w:numPr>
      </w:pPr>
      <w:r>
        <w:t>each transferee or sub-licensee either:</w:t>
      </w:r>
    </w:p>
    <w:p w14:paraId="3BC7956E" w14:textId="08E3E12E" w:rsidR="00E60EAE" w:rsidRDefault="00E60EAE" w:rsidP="00B71FC0">
      <w:pPr>
        <w:pStyle w:val="Numbered111ai"/>
        <w:numPr>
          <w:ilvl w:val="4"/>
          <w:numId w:val="173"/>
        </w:numPr>
      </w:pPr>
      <w:r>
        <w:t>enters into a direct arrangement with the Supplier in the form set out 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to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or</w:t>
      </w:r>
    </w:p>
    <w:p w14:paraId="72BC7659" w14:textId="77777777" w:rsidR="00E60EAE" w:rsidRDefault="00E60EAE" w:rsidP="00B71FC0">
      <w:pPr>
        <w:pStyle w:val="Numbered111ai"/>
        <w:numPr>
          <w:ilvl w:val="4"/>
          <w:numId w:val="173"/>
        </w:numPr>
      </w:pPr>
      <w:r>
        <w:t xml:space="preserve">enters into a confidentiality arrangement with the Authority in terms equivalent to those set out in </w:t>
      </w:r>
      <w:r w:rsidRPr="00E36B93">
        <w:t xml:space="preserve">set out in </w:t>
      </w:r>
      <w:r>
        <w:t>clause 19 (</w:t>
      </w:r>
      <w:r>
        <w:rPr>
          <w:i/>
          <w:iCs/>
        </w:rPr>
        <w:t>Confidentiality</w:t>
      </w:r>
      <w:r>
        <w:t>); and</w:t>
      </w:r>
    </w:p>
    <w:p w14:paraId="43153462" w14:textId="77777777" w:rsidR="00E60EAE" w:rsidRDefault="00E60EAE" w:rsidP="00B71FC0">
      <w:pPr>
        <w:pStyle w:val="Numbered111a"/>
        <w:numPr>
          <w:ilvl w:val="3"/>
          <w:numId w:val="173"/>
        </w:numPr>
      </w:pPr>
      <w:r>
        <w:t>no sub-licence granted to the relevant IPR shall purport to provide the sub-licensee with any wider rights than those granted to the Authority under this Paragraph.</w:t>
      </w:r>
    </w:p>
    <w:p w14:paraId="1F877DC7" w14:textId="0960311E" w:rsidR="00E60EAE" w:rsidRDefault="00E60EAE" w:rsidP="00B71FC0">
      <w:pPr>
        <w:pStyle w:val="Numbered11"/>
        <w:keepNext/>
        <w:numPr>
          <w:ilvl w:val="1"/>
          <w:numId w:val="173"/>
        </w:numPr>
      </w:pPr>
      <w:bookmarkStart w:id="2258" w:name="_Ref140103145"/>
      <w:r>
        <w:t>For the purposes of Paragraphs </w:t>
      </w:r>
      <w:r>
        <w:fldChar w:fldCharType="begin"/>
      </w:r>
      <w:r>
        <w:instrText xml:space="preserve"> REF _Ref140102597 \w \h  \* MERGEFORMAT </w:instrText>
      </w:r>
      <w:r>
        <w:fldChar w:fldCharType="separate"/>
      </w:r>
      <w:r w:rsidR="009749A0">
        <w:t>2.1</w:t>
      </w:r>
      <w:r>
        <w:fldChar w:fldCharType="end"/>
      </w:r>
      <w:r>
        <w:t xml:space="preserve"> and </w:t>
      </w:r>
      <w:r>
        <w:fldChar w:fldCharType="begin"/>
      </w:r>
      <w:r>
        <w:instrText xml:space="preserve"> REF _Ref140102259 \w \h  \* MERGEFORMAT </w:instrText>
      </w:r>
      <w:r>
        <w:fldChar w:fldCharType="separate"/>
      </w:r>
      <w:r w:rsidR="009749A0">
        <w:t>2.3</w:t>
      </w:r>
      <w:r>
        <w:fldChar w:fldCharType="end"/>
      </w:r>
      <w:r>
        <w:t>, the relevant purposes are:</w:t>
      </w:r>
      <w:bookmarkEnd w:id="2258"/>
    </w:p>
    <w:p w14:paraId="2BF0FD88" w14:textId="77777777" w:rsidR="00E60EAE" w:rsidRDefault="00E60EAE" w:rsidP="00B71FC0">
      <w:pPr>
        <w:pStyle w:val="Numbered111"/>
        <w:numPr>
          <w:ilvl w:val="2"/>
          <w:numId w:val="173"/>
        </w:numPr>
      </w:pPr>
      <w:r>
        <w:t>to allow the Authority or any End User to receive and use the Deliverables; and</w:t>
      </w:r>
    </w:p>
    <w:p w14:paraId="573B13C3" w14:textId="77777777" w:rsidR="00E60EAE" w:rsidRDefault="00E60EAE" w:rsidP="00B71FC0">
      <w:pPr>
        <w:pStyle w:val="Numbered111"/>
        <w:numPr>
          <w:ilvl w:val="2"/>
          <w:numId w:val="173"/>
        </w:numPr>
      </w:pPr>
      <w:r>
        <w:t>for any purpose relating to the exercise of the Authority’s (or, if the Authority is a Public Sector Body, any other Public Sector Body’s) business or function.</w:t>
      </w:r>
    </w:p>
    <w:p w14:paraId="1071F303" w14:textId="77777777" w:rsidR="00E60EAE" w:rsidRDefault="00E60EAE" w:rsidP="00B71FC0">
      <w:pPr>
        <w:pStyle w:val="Numbered11"/>
        <w:keepNext/>
        <w:numPr>
          <w:ilvl w:val="1"/>
          <w:numId w:val="173"/>
        </w:numPr>
      </w:pPr>
      <w:bookmarkStart w:id="2259" w:name="_Ref140103108"/>
      <w:r>
        <w:t>Where the legal status of the Authority changes, such that it ceases to be a Crown Body:</w:t>
      </w:r>
      <w:bookmarkEnd w:id="2259"/>
    </w:p>
    <w:p w14:paraId="7E848564" w14:textId="6F5AF4A9" w:rsidR="00E60EAE" w:rsidRDefault="00E60EAE" w:rsidP="00B71FC0">
      <w:pPr>
        <w:pStyle w:val="Numbered111"/>
        <w:numPr>
          <w:ilvl w:val="2"/>
          <w:numId w:val="173"/>
        </w:numPr>
      </w:pPr>
      <w:r>
        <w:t>the licence granted under Paragraph </w:t>
      </w:r>
      <w:r>
        <w:fldChar w:fldCharType="begin"/>
      </w:r>
      <w:r>
        <w:instrText xml:space="preserve"> REF _Ref140102259 \w \h  \* MERGEFORMAT </w:instrText>
      </w:r>
      <w:r>
        <w:fldChar w:fldCharType="separate"/>
      </w:r>
      <w:r w:rsidR="009749A0">
        <w:t>2.3</w:t>
      </w:r>
      <w:r>
        <w:fldChar w:fldCharType="end"/>
      </w:r>
      <w:r>
        <w:t xml:space="preserve"> is unaffected; and</w:t>
      </w:r>
    </w:p>
    <w:p w14:paraId="3CFE3C39" w14:textId="476E4BA9" w:rsidR="00E60EAE" w:rsidRDefault="00E60EAE" w:rsidP="00B71FC0">
      <w:pPr>
        <w:pStyle w:val="Numbered111"/>
        <w:numPr>
          <w:ilvl w:val="2"/>
          <w:numId w:val="173"/>
        </w:numPr>
      </w:pPr>
      <w:r>
        <w:t>any successor body of the Authority that is a Crown Body shall have the benefit of the licence granted under Paragraph </w:t>
      </w:r>
      <w:r>
        <w:fldChar w:fldCharType="begin"/>
      </w:r>
      <w:r>
        <w:instrText xml:space="preserve"> REF _Ref140102259 \w \h  \* MERGEFORMAT </w:instrText>
      </w:r>
      <w:r>
        <w:fldChar w:fldCharType="separate"/>
      </w:r>
      <w:r w:rsidR="009749A0">
        <w:t>2.3</w:t>
      </w:r>
      <w:r>
        <w:fldChar w:fldCharType="end"/>
      </w:r>
      <w:r>
        <w:t>.</w:t>
      </w:r>
    </w:p>
    <w:p w14:paraId="005929F5" w14:textId="78B19D45" w:rsidR="00E60EAE" w:rsidRDefault="00E60EAE" w:rsidP="00B71FC0">
      <w:pPr>
        <w:pStyle w:val="Numbered11"/>
        <w:numPr>
          <w:ilvl w:val="1"/>
          <w:numId w:val="173"/>
        </w:numPr>
      </w:pPr>
      <w:r>
        <w:t>Where the licence granted under Paragraph </w:t>
      </w:r>
      <w:r>
        <w:fldChar w:fldCharType="begin"/>
      </w:r>
      <w:r>
        <w:instrText xml:space="preserve"> REF _Ref140102259 \w \h  \* MERGEFORMAT </w:instrText>
      </w:r>
      <w:r>
        <w:fldChar w:fldCharType="separate"/>
      </w:r>
      <w:r w:rsidR="009749A0">
        <w:t>2.3</w:t>
      </w:r>
      <w:r>
        <w:fldChar w:fldCharType="end"/>
      </w:r>
      <w:r>
        <w:t xml:space="preserve"> is transferred under Paragraph </w:t>
      </w:r>
      <w:r>
        <w:fldChar w:fldCharType="begin"/>
      </w:r>
      <w:r>
        <w:instrText xml:space="preserve"> REF _Ref140103076 \w \h  \* MERGEFORMAT </w:instrText>
      </w:r>
      <w:r>
        <w:fldChar w:fldCharType="separate"/>
      </w:r>
      <w:r w:rsidR="009749A0">
        <w:t>2.3.1(b)</w:t>
      </w:r>
      <w:r>
        <w:fldChar w:fldCharType="end"/>
      </w:r>
      <w:r>
        <w:t xml:space="preserve"> or </w:t>
      </w:r>
      <w:r>
        <w:fldChar w:fldCharType="begin"/>
      </w:r>
      <w:r>
        <w:instrText xml:space="preserve"> REF _Ref140103090 \w \h  \* MERGEFORMAT </w:instrText>
      </w:r>
      <w:r>
        <w:fldChar w:fldCharType="separate"/>
      </w:r>
      <w:r w:rsidR="009749A0">
        <w:t>2.3.2(b)</w:t>
      </w:r>
      <w:r>
        <w:fldChar w:fldCharType="end"/>
      </w:r>
      <w:r>
        <w:t xml:space="preserve"> or there is a change in the Authority’s legal status to which Paragraph </w:t>
      </w:r>
      <w:r>
        <w:fldChar w:fldCharType="begin"/>
      </w:r>
      <w:r>
        <w:instrText xml:space="preserve"> REF _Ref140103108 \w \h  \* MERGEFORMAT </w:instrText>
      </w:r>
      <w:r>
        <w:fldChar w:fldCharType="separate"/>
      </w:r>
      <w:r w:rsidR="009749A0">
        <w:t>2.5</w:t>
      </w:r>
      <w:r>
        <w:fldChar w:fldCharType="end"/>
      </w:r>
      <w:r>
        <w:t xml:space="preserve"> applies, the transferee or successor body do not acquire any wider rights than those granted to the Authority under this Paragraph.</w:t>
      </w:r>
    </w:p>
    <w:p w14:paraId="77AB47E9" w14:textId="77777777" w:rsidR="00E60EAE" w:rsidRDefault="00E60EAE" w:rsidP="00B71FC0">
      <w:pPr>
        <w:pStyle w:val="Numbered1"/>
        <w:numPr>
          <w:ilvl w:val="0"/>
          <w:numId w:val="173"/>
        </w:numPr>
      </w:pPr>
      <w:bookmarkStart w:id="2260" w:name="_Ref140134668"/>
      <w:r>
        <w:t>Authority approval for Supplier to exploit Authority IPR</w:t>
      </w:r>
      <w:bookmarkEnd w:id="2260"/>
    </w:p>
    <w:p w14:paraId="00F2A06C" w14:textId="77777777" w:rsidR="00E60EAE" w:rsidRDefault="00E60EAE" w:rsidP="00B71FC0">
      <w:pPr>
        <w:pStyle w:val="Numbered11"/>
        <w:keepNext/>
        <w:numPr>
          <w:ilvl w:val="1"/>
          <w:numId w:val="173"/>
        </w:numPr>
      </w:pPr>
      <w:r>
        <w:t>Before using, copying or adapting any:</w:t>
      </w:r>
    </w:p>
    <w:p w14:paraId="77010AF3" w14:textId="77777777" w:rsidR="00E60EAE" w:rsidRDefault="00E60EAE" w:rsidP="00B71FC0">
      <w:pPr>
        <w:pStyle w:val="Numbered111"/>
        <w:numPr>
          <w:ilvl w:val="2"/>
          <w:numId w:val="173"/>
        </w:numPr>
      </w:pPr>
      <w:r>
        <w:t>Authority Software;</w:t>
      </w:r>
    </w:p>
    <w:p w14:paraId="7E0E0390" w14:textId="77777777" w:rsidR="00E60EAE" w:rsidRDefault="00E60EAE" w:rsidP="00B71FC0">
      <w:pPr>
        <w:pStyle w:val="Numbered111"/>
        <w:numPr>
          <w:ilvl w:val="2"/>
          <w:numId w:val="173"/>
        </w:numPr>
      </w:pPr>
      <w:r>
        <w:t>Authority Data; and</w:t>
      </w:r>
    </w:p>
    <w:p w14:paraId="7AAB9748" w14:textId="77777777" w:rsidR="00E60EAE" w:rsidRDefault="00E60EAE" w:rsidP="00B71FC0">
      <w:pPr>
        <w:pStyle w:val="Numbered111"/>
        <w:keepNext/>
        <w:numPr>
          <w:ilvl w:val="2"/>
          <w:numId w:val="173"/>
        </w:numPr>
      </w:pPr>
      <w:r>
        <w:lastRenderedPageBreak/>
        <w:t>Authority Background IPRs;</w:t>
      </w:r>
    </w:p>
    <w:p w14:paraId="23D79B9F" w14:textId="77777777" w:rsidR="00E60EAE" w:rsidRDefault="00E60EAE" w:rsidP="00E60EAE">
      <w:pPr>
        <w:pStyle w:val="StdBodyText1"/>
      </w:pPr>
      <w:r>
        <w:t>for any purpose other than fulfilling its obligations under this Contract, the Supplier must seek the approval of the Authority in accordance with the provisions of this Paragraph.</w:t>
      </w:r>
    </w:p>
    <w:p w14:paraId="2179DCFC" w14:textId="77777777" w:rsidR="00E60EAE" w:rsidRDefault="00E60EAE" w:rsidP="00B71FC0">
      <w:pPr>
        <w:pStyle w:val="Numbered11"/>
        <w:numPr>
          <w:ilvl w:val="1"/>
          <w:numId w:val="173"/>
        </w:numPr>
      </w:pPr>
      <w:r>
        <w:t>The Authority may terminate any licence it grants under this Paragraph by notice in writing with immediate effect where the Supplier breaches any condition in that licence.</w:t>
      </w:r>
    </w:p>
    <w:p w14:paraId="5B1F6831" w14:textId="605AD968" w:rsidR="00E60EAE" w:rsidRPr="00F917B5" w:rsidRDefault="00E60EAE" w:rsidP="00E60EAE">
      <w:pPr>
        <w:pStyle w:val="StdBodyText"/>
      </w:pPr>
      <w:r w:rsidRPr="00160722">
        <w:t>[</w:t>
      </w:r>
      <w:r w:rsidRPr="00160722">
        <w:rPr>
          <w:b/>
          <w:bCs/>
          <w:i/>
          <w:iCs/>
          <w:highlight w:val="yellow"/>
        </w:rPr>
        <w:t xml:space="preserve">Guidance note: </w:t>
      </w:r>
      <w:r w:rsidRPr="00B664D1">
        <w:rPr>
          <w:b/>
          <w:bCs/>
          <w:i/>
          <w:iCs/>
          <w:highlight w:val="yellow"/>
        </w:rPr>
        <w:t>where Option </w:t>
      </w:r>
      <w:r w:rsidRPr="00B664D1">
        <w:rPr>
          <w:b/>
          <w:bCs/>
          <w:i/>
          <w:iCs/>
          <w:highlight w:val="yellow"/>
        </w:rPr>
        <w:fldChar w:fldCharType="begin"/>
      </w:r>
      <w:r w:rsidRPr="00B664D1">
        <w:rPr>
          <w:b/>
          <w:bCs/>
          <w:i/>
          <w:iCs/>
          <w:highlight w:val="yellow"/>
        </w:rPr>
        <w:instrText xml:space="preserve"> REF OPTION5_SCHEDULE32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5</w:t>
      </w:r>
      <w:r w:rsidRPr="00B664D1">
        <w:rPr>
          <w:b/>
          <w:bCs/>
          <w:i/>
          <w:iCs/>
          <w:highlight w:val="yellow"/>
        </w:rPr>
        <w:fldChar w:fldCharType="end"/>
      </w:r>
      <w:r w:rsidRPr="00B664D1">
        <w:rPr>
          <w:b/>
          <w:bCs/>
          <w:i/>
          <w:iCs/>
          <w:highlight w:val="yellow"/>
        </w:rPr>
        <w:t xml:space="preserve"> is used, replace Paragraphs </w:t>
      </w:r>
      <w:r w:rsidRPr="00B664D1">
        <w:rPr>
          <w:b/>
          <w:bCs/>
          <w:i/>
          <w:iCs/>
          <w:highlight w:val="yellow"/>
        </w:rPr>
        <w:fldChar w:fldCharType="begin"/>
      </w:r>
      <w:r w:rsidRPr="00B664D1">
        <w:rPr>
          <w:b/>
          <w:bCs/>
          <w:i/>
          <w:iCs/>
          <w:highlight w:val="yellow"/>
        </w:rPr>
        <w:instrText xml:space="preserve"> REF _Ref140818123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3.3</w:t>
      </w:r>
      <w:r w:rsidRPr="00B664D1">
        <w:rPr>
          <w:b/>
          <w:bCs/>
          <w:i/>
          <w:iCs/>
          <w:highlight w:val="yellow"/>
        </w:rPr>
        <w:fldChar w:fldCharType="end"/>
      </w:r>
      <w:r w:rsidRPr="00B664D1">
        <w:rPr>
          <w:b/>
          <w:bCs/>
          <w:i/>
          <w:iCs/>
          <w:highlight w:val="yellow"/>
        </w:rPr>
        <w:t xml:space="preserve">, </w:t>
      </w:r>
      <w:r w:rsidRPr="00B664D1">
        <w:rPr>
          <w:b/>
          <w:bCs/>
          <w:i/>
          <w:iCs/>
          <w:highlight w:val="yellow"/>
        </w:rPr>
        <w:fldChar w:fldCharType="begin"/>
      </w:r>
      <w:r w:rsidRPr="00B664D1">
        <w:rPr>
          <w:b/>
          <w:bCs/>
          <w:i/>
          <w:iCs/>
          <w:highlight w:val="yellow"/>
        </w:rPr>
        <w:instrText xml:space="preserve"> REF _Ref140818124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3.4</w:t>
      </w:r>
      <w:r w:rsidRPr="00B664D1">
        <w:rPr>
          <w:b/>
          <w:bCs/>
          <w:i/>
          <w:iCs/>
          <w:highlight w:val="yellow"/>
        </w:rPr>
        <w:fldChar w:fldCharType="end"/>
      </w:r>
      <w:r w:rsidRPr="00B664D1">
        <w:rPr>
          <w:b/>
          <w:bCs/>
          <w:i/>
          <w:iCs/>
          <w:highlight w:val="yellow"/>
        </w:rPr>
        <w:t xml:space="preserve"> and </w:t>
      </w:r>
      <w:r w:rsidRPr="00B664D1">
        <w:rPr>
          <w:b/>
          <w:bCs/>
          <w:i/>
          <w:iCs/>
          <w:highlight w:val="yellow"/>
        </w:rPr>
        <w:fldChar w:fldCharType="begin"/>
      </w:r>
      <w:r w:rsidRPr="00B664D1">
        <w:rPr>
          <w:b/>
          <w:bCs/>
          <w:i/>
          <w:iCs/>
          <w:highlight w:val="yellow"/>
        </w:rPr>
        <w:instrText xml:space="preserve"> REF _Ref140818127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3.5</w:t>
      </w:r>
      <w:r w:rsidRPr="00B664D1">
        <w:rPr>
          <w:b/>
          <w:bCs/>
          <w:i/>
          <w:iCs/>
          <w:highlight w:val="yellow"/>
        </w:rPr>
        <w:fldChar w:fldCharType="end"/>
      </w:r>
      <w:r w:rsidRPr="00B664D1">
        <w:rPr>
          <w:b/>
          <w:bCs/>
          <w:i/>
          <w:iCs/>
          <w:highlight w:val="yellow"/>
        </w:rPr>
        <w:t xml:space="preserve"> with the Paragraphs in Option </w:t>
      </w:r>
      <w:r w:rsidRPr="00B664D1">
        <w:rPr>
          <w:b/>
          <w:bCs/>
          <w:i/>
          <w:iCs/>
          <w:highlight w:val="yellow"/>
        </w:rPr>
        <w:fldChar w:fldCharType="begin"/>
      </w:r>
      <w:r w:rsidRPr="00B664D1">
        <w:rPr>
          <w:b/>
          <w:bCs/>
          <w:i/>
          <w:iCs/>
          <w:highlight w:val="yellow"/>
        </w:rPr>
        <w:instrText xml:space="preserve"> REF OPTION5_SCHEDULE32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5</w:t>
      </w:r>
      <w:r w:rsidRPr="00B664D1">
        <w:rPr>
          <w:b/>
          <w:bCs/>
          <w:i/>
          <w:iCs/>
          <w:highlight w:val="yellow"/>
        </w:rPr>
        <w:fldChar w:fldCharType="end"/>
      </w:r>
      <w:r w:rsidRPr="00B664D1">
        <w:rPr>
          <w:b/>
          <w:bCs/>
          <w:i/>
          <w:iCs/>
          <w:highlight w:val="yellow"/>
        </w:rPr>
        <w:t>.</w:t>
      </w:r>
      <w:r w:rsidRPr="00B664D1">
        <w:rPr>
          <w:highlight w:val="yellow"/>
        </w:rPr>
        <w:t>]</w:t>
      </w:r>
    </w:p>
    <w:p w14:paraId="5EED05ED" w14:textId="77777777" w:rsidR="00E60EAE" w:rsidRDefault="00E60EAE" w:rsidP="00B71FC0">
      <w:pPr>
        <w:pStyle w:val="Numbered11"/>
        <w:keepNext/>
        <w:numPr>
          <w:ilvl w:val="1"/>
          <w:numId w:val="173"/>
        </w:numPr>
      </w:pPr>
      <w:bookmarkStart w:id="2261" w:name="_Ref140818123"/>
      <w:r>
        <w:t>The Supplier must provide a proposal setting out:</w:t>
      </w:r>
      <w:bookmarkEnd w:id="2261"/>
    </w:p>
    <w:p w14:paraId="4609450A" w14:textId="77777777" w:rsidR="00E60EAE" w:rsidRDefault="00E60EAE" w:rsidP="00B71FC0">
      <w:pPr>
        <w:pStyle w:val="Numbered111"/>
        <w:numPr>
          <w:ilvl w:val="2"/>
          <w:numId w:val="173"/>
        </w:numPr>
      </w:pPr>
      <w:r>
        <w:t>the purpose for which it proposes to use the IPR;</w:t>
      </w:r>
    </w:p>
    <w:p w14:paraId="6CAA78B5" w14:textId="77777777" w:rsidR="00E60EAE" w:rsidRDefault="00E60EAE" w:rsidP="00B71FC0">
      <w:pPr>
        <w:pStyle w:val="Numbered111"/>
        <w:numPr>
          <w:ilvl w:val="2"/>
          <w:numId w:val="173"/>
        </w:numPr>
      </w:pPr>
      <w:r>
        <w:t>the activities the Supplier proposes to undertake with or in respect of the IPR;</w:t>
      </w:r>
    </w:p>
    <w:p w14:paraId="62E59D0E" w14:textId="77777777" w:rsidR="00E60EAE" w:rsidRDefault="00E60EAE" w:rsidP="00B71FC0">
      <w:pPr>
        <w:pStyle w:val="Numbered111"/>
        <w:numPr>
          <w:ilvl w:val="2"/>
          <w:numId w:val="173"/>
        </w:numPr>
      </w:pPr>
      <w:r>
        <w:t>such further information as the Authority may reasonably require to properly consider the proposal.</w:t>
      </w:r>
    </w:p>
    <w:p w14:paraId="1DC7121B" w14:textId="77777777" w:rsidR="00E60EAE" w:rsidRDefault="00E60EAE" w:rsidP="00B71FC0">
      <w:pPr>
        <w:pStyle w:val="Numbered11"/>
        <w:keepNext/>
        <w:numPr>
          <w:ilvl w:val="1"/>
          <w:numId w:val="173"/>
        </w:numPr>
      </w:pPr>
      <w:bookmarkStart w:id="2262" w:name="_Ref140818124"/>
      <w:r>
        <w:t>The Authority may only refuse the Supplier’s proposal where it considers that if the Supplier were to implement the proposal it would harm:</w:t>
      </w:r>
      <w:bookmarkEnd w:id="2262"/>
    </w:p>
    <w:p w14:paraId="790E5E7C" w14:textId="77777777" w:rsidR="00E60EAE" w:rsidRDefault="00E60EAE" w:rsidP="00B71FC0">
      <w:pPr>
        <w:pStyle w:val="Numbered111"/>
        <w:numPr>
          <w:ilvl w:val="2"/>
          <w:numId w:val="173"/>
        </w:numPr>
      </w:pPr>
      <w:r>
        <w:t>the Authority’s reputation; or</w:t>
      </w:r>
    </w:p>
    <w:p w14:paraId="374BC298" w14:textId="77777777" w:rsidR="00E60EAE" w:rsidRDefault="00E60EAE" w:rsidP="00B71FC0">
      <w:pPr>
        <w:pStyle w:val="Numbered111"/>
        <w:numPr>
          <w:ilvl w:val="2"/>
          <w:numId w:val="173"/>
        </w:numPr>
      </w:pPr>
      <w:r>
        <w:t>the Authority’s interests.</w:t>
      </w:r>
    </w:p>
    <w:p w14:paraId="70750B52" w14:textId="77777777" w:rsidR="00E60EAE" w:rsidRDefault="00E60EAE" w:rsidP="00B71FC0">
      <w:pPr>
        <w:pStyle w:val="Numbered11"/>
        <w:keepNext/>
        <w:numPr>
          <w:ilvl w:val="1"/>
          <w:numId w:val="173"/>
        </w:numPr>
      </w:pPr>
      <w:bookmarkStart w:id="2263" w:name="_Ref140818127"/>
      <w:r>
        <w:t>Where the Authority has not:</w:t>
      </w:r>
      <w:bookmarkEnd w:id="2263"/>
    </w:p>
    <w:p w14:paraId="55403B47" w14:textId="77777777" w:rsidR="00E60EAE" w:rsidRDefault="00E60EAE" w:rsidP="00B71FC0">
      <w:pPr>
        <w:pStyle w:val="Numbered111"/>
        <w:numPr>
          <w:ilvl w:val="2"/>
          <w:numId w:val="173"/>
        </w:numPr>
      </w:pPr>
      <w:r w:rsidRPr="00BE333C">
        <w:t>approved or declined the proposal</w:t>
      </w:r>
      <w:r>
        <w:t>; or</w:t>
      </w:r>
    </w:p>
    <w:p w14:paraId="1C2F019D" w14:textId="77777777" w:rsidR="00E60EAE" w:rsidRDefault="00E60EAE" w:rsidP="00B71FC0">
      <w:pPr>
        <w:pStyle w:val="Numbered111"/>
        <w:keepNext/>
        <w:numPr>
          <w:ilvl w:val="2"/>
          <w:numId w:val="173"/>
        </w:numPr>
      </w:pPr>
      <w:r>
        <w:t>required further information,</w:t>
      </w:r>
    </w:p>
    <w:p w14:paraId="525DB050" w14:textId="77777777" w:rsidR="00E60EAE" w:rsidRDefault="00E60EAE" w:rsidP="00684CD0">
      <w:pPr>
        <w:pStyle w:val="StdBodyText1"/>
        <w:keepNext/>
      </w:pPr>
      <w:r>
        <w:t>within 20 Working Days of the later of:</w:t>
      </w:r>
    </w:p>
    <w:p w14:paraId="6F41C374" w14:textId="77777777" w:rsidR="00E60EAE" w:rsidRDefault="00E60EAE" w:rsidP="00B71FC0">
      <w:pPr>
        <w:pStyle w:val="Numbered111"/>
        <w:numPr>
          <w:ilvl w:val="2"/>
          <w:numId w:val="173"/>
        </w:numPr>
      </w:pPr>
      <w:r>
        <w:t>the date the proposal was first provided to the Authority; or</w:t>
      </w:r>
    </w:p>
    <w:p w14:paraId="48F4238A" w14:textId="77777777" w:rsidR="00E60EAE" w:rsidRDefault="00E60EAE" w:rsidP="00B71FC0">
      <w:pPr>
        <w:pStyle w:val="Numbered111"/>
        <w:keepNext/>
        <w:numPr>
          <w:ilvl w:val="2"/>
          <w:numId w:val="173"/>
        </w:numPr>
      </w:pPr>
      <w:r>
        <w:t>the date on which further information was provided to the Authority,</w:t>
      </w:r>
    </w:p>
    <w:p w14:paraId="59043C46" w14:textId="12930AA6" w:rsidR="00E60EAE" w:rsidRDefault="00E60EAE" w:rsidP="00E60EAE">
      <w:pPr>
        <w:pStyle w:val="StdBodyText1"/>
      </w:pPr>
      <w:r>
        <w:t>then the proposal is, for the purposes of this Contract, approved.</w:t>
      </w:r>
    </w:p>
    <w:p w14:paraId="2E0C3A47" w14:textId="206A952C" w:rsidR="009E7AED" w:rsidRDefault="009E7AED" w:rsidP="009E7AED">
      <w:pPr>
        <w:pStyle w:val="Numbered11"/>
        <w:keepNext/>
        <w:numPr>
          <w:ilvl w:val="1"/>
          <w:numId w:val="173"/>
        </w:numPr>
      </w:pPr>
      <w:r>
        <w:t>Where the Authority approves the Supplier’s proposal, with or without changes, the Supplier may not use, copy or adapt any</w:t>
      </w:r>
    </w:p>
    <w:p w14:paraId="33E978E6" w14:textId="5F689229" w:rsidR="009E7AED" w:rsidRDefault="009E7AED" w:rsidP="009E7AED">
      <w:pPr>
        <w:pStyle w:val="Numbered111"/>
        <w:keepNext/>
        <w:numPr>
          <w:ilvl w:val="2"/>
          <w:numId w:val="173"/>
        </w:numPr>
      </w:pPr>
      <w:r>
        <w:t>Authority Software;</w:t>
      </w:r>
    </w:p>
    <w:p w14:paraId="21442BFD" w14:textId="69CED6AD" w:rsidR="009E7AED" w:rsidRDefault="009E7AED" w:rsidP="009E7AED">
      <w:pPr>
        <w:pStyle w:val="Numbered111"/>
        <w:keepNext/>
        <w:numPr>
          <w:ilvl w:val="2"/>
          <w:numId w:val="173"/>
        </w:numPr>
      </w:pPr>
      <w:r>
        <w:t>Authority Data; or</w:t>
      </w:r>
    </w:p>
    <w:p w14:paraId="3F0E8A15" w14:textId="49B3F040" w:rsidR="009E7AED" w:rsidRDefault="009E7AED" w:rsidP="009E7AED">
      <w:pPr>
        <w:pStyle w:val="Numbered111"/>
        <w:keepNext/>
        <w:numPr>
          <w:ilvl w:val="2"/>
          <w:numId w:val="173"/>
        </w:numPr>
      </w:pPr>
      <w:r>
        <w:t>Authority Background IPRs</w:t>
      </w:r>
    </w:p>
    <w:p w14:paraId="17149CD2" w14:textId="6ED3EB33" w:rsidR="009E7AED" w:rsidRDefault="009E7AED" w:rsidP="009E7AED">
      <w:pPr>
        <w:pStyle w:val="StdBodyText1"/>
      </w:pPr>
      <w:r>
        <w:t>other than for the purpose of fulfilling its obligations under this Contract until both Parties have executed:</w:t>
      </w:r>
    </w:p>
    <w:p w14:paraId="52F2FAF6" w14:textId="4ECD7BC1" w:rsidR="009E7AED" w:rsidRDefault="009E7AED" w:rsidP="009E7AED">
      <w:pPr>
        <w:pStyle w:val="Numbered111"/>
        <w:keepNext/>
        <w:numPr>
          <w:ilvl w:val="2"/>
          <w:numId w:val="173"/>
        </w:numPr>
      </w:pPr>
      <w:r>
        <w:lastRenderedPageBreak/>
        <w:t>any additional agreement to give effect to the proposal;</w:t>
      </w:r>
    </w:p>
    <w:p w14:paraId="67E10D46" w14:textId="098C1D71" w:rsidR="009E7AED" w:rsidRDefault="009E7AED" w:rsidP="000D10B1">
      <w:pPr>
        <w:pStyle w:val="Numbered111"/>
        <w:keepNext/>
        <w:numPr>
          <w:ilvl w:val="2"/>
          <w:numId w:val="173"/>
        </w:numPr>
      </w:pPr>
      <w:r>
        <w:t xml:space="preserve">any </w:t>
      </w:r>
      <w:r w:rsidR="000D10B1">
        <w:t>c</w:t>
      </w:r>
      <w:r>
        <w:t>onsequential Contract Change.</w:t>
      </w:r>
    </w:p>
    <w:p w14:paraId="056E6F93" w14:textId="77777777" w:rsidR="00E60EAE" w:rsidRDefault="00E60EAE" w:rsidP="00B71FC0">
      <w:pPr>
        <w:pStyle w:val="Numbered1"/>
        <w:numPr>
          <w:ilvl w:val="0"/>
          <w:numId w:val="173"/>
        </w:numPr>
      </w:pPr>
      <w:r>
        <w:t>Provision of information on Project Specific IPR and Specially Written Software</w:t>
      </w:r>
    </w:p>
    <w:p w14:paraId="78BB1A2A" w14:textId="77777777" w:rsidR="00E60EAE" w:rsidRDefault="00E60EAE" w:rsidP="00B71FC0">
      <w:pPr>
        <w:pStyle w:val="Numbered11"/>
        <w:keepNext/>
        <w:numPr>
          <w:ilvl w:val="1"/>
          <w:numId w:val="173"/>
        </w:numPr>
      </w:pPr>
      <w:r>
        <w:t>The Authority may, at any time, require the Supplier to provide information on:</w:t>
      </w:r>
    </w:p>
    <w:p w14:paraId="3CE7AD34" w14:textId="77777777" w:rsidR="00E60EAE" w:rsidRDefault="00E60EAE" w:rsidP="00B71FC0">
      <w:pPr>
        <w:pStyle w:val="Numbered111"/>
        <w:numPr>
          <w:ilvl w:val="2"/>
          <w:numId w:val="173"/>
        </w:numPr>
      </w:pPr>
      <w:r>
        <w:t>the purposes, other than for the purposes of this Contract, for which the Supplier uses Project Specific IPR and Specially Written Software; and</w:t>
      </w:r>
    </w:p>
    <w:p w14:paraId="1EEC65C1" w14:textId="77777777" w:rsidR="00E60EAE" w:rsidRDefault="00E60EAE" w:rsidP="00B71FC0">
      <w:pPr>
        <w:pStyle w:val="Numbered111"/>
        <w:numPr>
          <w:ilvl w:val="2"/>
          <w:numId w:val="173"/>
        </w:numPr>
      </w:pPr>
      <w:r>
        <w:t>the activities the Supplier undertakes, other than under this Contract, with or in respect of the Project Specific IPR and Specially Written Software.</w:t>
      </w:r>
    </w:p>
    <w:p w14:paraId="6E0869FD" w14:textId="77777777" w:rsidR="00E60EAE" w:rsidRDefault="00E60EAE" w:rsidP="00B71FC0">
      <w:pPr>
        <w:pStyle w:val="Numbered11"/>
        <w:keepNext/>
        <w:numPr>
          <w:ilvl w:val="1"/>
          <w:numId w:val="173"/>
        </w:numPr>
      </w:pPr>
      <w:r>
        <w:t>The Supplier must provide the information required by the Authority:</w:t>
      </w:r>
    </w:p>
    <w:p w14:paraId="53D6F6AF" w14:textId="77777777" w:rsidR="00E60EAE" w:rsidRDefault="00E60EAE" w:rsidP="00B71FC0">
      <w:pPr>
        <w:pStyle w:val="Numbered111"/>
        <w:numPr>
          <w:ilvl w:val="2"/>
          <w:numId w:val="173"/>
        </w:numPr>
      </w:pPr>
      <w:r>
        <w:t>within 20 Working Days of the date of the requirement; and</w:t>
      </w:r>
    </w:p>
    <w:p w14:paraId="78C28770" w14:textId="77777777" w:rsidR="00E60EAE" w:rsidRDefault="00E60EAE" w:rsidP="00B71FC0">
      <w:pPr>
        <w:pStyle w:val="Numbered111"/>
        <w:numPr>
          <w:ilvl w:val="2"/>
          <w:numId w:val="173"/>
        </w:numPr>
      </w:pPr>
      <w:r>
        <w:t>in the form and with the content specified by the Authority.</w:t>
      </w:r>
    </w:p>
    <w:p w14:paraId="59D2DB28" w14:textId="77777777" w:rsidR="00E60EAE" w:rsidRDefault="00E60EAE" w:rsidP="00B71FC0">
      <w:pPr>
        <w:pStyle w:val="Numbered1"/>
        <w:numPr>
          <w:ilvl w:val="0"/>
          <w:numId w:val="173"/>
        </w:numPr>
      </w:pPr>
      <w:bookmarkStart w:id="2264" w:name="_Ref140767086"/>
      <w:bookmarkStart w:id="2265" w:name="_Toc136451195"/>
      <w:r>
        <w:t>Use of Third Party IPR</w:t>
      </w:r>
      <w:bookmarkEnd w:id="2264"/>
    </w:p>
    <w:p w14:paraId="092E76F6"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56965E48" w14:textId="77777777" w:rsidR="00E60EAE" w:rsidRDefault="00E60EAE" w:rsidP="00B71FC0">
      <w:pPr>
        <w:pStyle w:val="Numbered111"/>
        <w:numPr>
          <w:ilvl w:val="2"/>
          <w:numId w:val="173"/>
        </w:numPr>
      </w:pPr>
      <w:r>
        <w:t>Third Party Non-COTS Software; or</w:t>
      </w:r>
    </w:p>
    <w:p w14:paraId="61ABE2B8" w14:textId="77777777" w:rsidR="00E60EAE" w:rsidRDefault="00E60EAE" w:rsidP="00B71FC0">
      <w:pPr>
        <w:pStyle w:val="Numbered111"/>
        <w:keepNext/>
        <w:numPr>
          <w:ilvl w:val="2"/>
          <w:numId w:val="173"/>
        </w:numPr>
      </w:pPr>
      <w:r>
        <w:t>Third Party</w:t>
      </w:r>
      <w:r w:rsidRPr="00A550B3">
        <w:t xml:space="preserve"> Non-COTS Background IPR</w:t>
      </w:r>
      <w:r>
        <w:t>,</w:t>
      </w:r>
    </w:p>
    <w:p w14:paraId="1A25A2A2" w14:textId="77777777" w:rsidR="00E60EAE" w:rsidRDefault="00E60EAE" w:rsidP="00684CD0">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one of the following conditions is met:</w:t>
      </w:r>
    </w:p>
    <w:p w14:paraId="30DCE902" w14:textId="1FDF1511" w:rsidR="00E60EAE" w:rsidRDefault="00E60EAE" w:rsidP="00B71FC0">
      <w:pPr>
        <w:pStyle w:val="Numbered111"/>
        <w:numPr>
          <w:ilvl w:val="2"/>
          <w:numId w:val="173"/>
        </w:numPr>
      </w:pPr>
      <w:bookmarkStart w:id="2266" w:name="_Ref140133364"/>
      <w:r>
        <w:t>the owner or an authorised licensor of the relevant IPR has granted the Authority a direct licence on the terms equivalent to those set out in Paragraph </w:t>
      </w:r>
      <w:r>
        <w:fldChar w:fldCharType="begin"/>
      </w:r>
      <w:r>
        <w:instrText xml:space="preserve"> REF _Ref140133039 \w \h  \* MERGEFORMAT </w:instrText>
      </w:r>
      <w:r>
        <w:fldChar w:fldCharType="separate"/>
      </w:r>
      <w:r w:rsidR="009749A0">
        <w:t>2</w:t>
      </w:r>
      <w:r>
        <w:fldChar w:fldCharType="end"/>
      </w:r>
      <w:r>
        <w:t>; or</w:t>
      </w:r>
      <w:bookmarkEnd w:id="2266"/>
    </w:p>
    <w:p w14:paraId="25E3C87F" w14:textId="199D96B8" w:rsidR="00E60EAE" w:rsidRDefault="00E60EAE" w:rsidP="00B71FC0">
      <w:pPr>
        <w:pStyle w:val="Numbered111"/>
        <w:keepNext/>
        <w:numPr>
          <w:ilvl w:val="2"/>
          <w:numId w:val="173"/>
        </w:numPr>
      </w:pPr>
      <w:bookmarkStart w:id="2267" w:name="_Ref140133432"/>
      <w:r>
        <w:t>if the Supplier cannot, after commercially reasonable endeavours, meet the condition in Paragraph </w:t>
      </w:r>
      <w:r>
        <w:fldChar w:fldCharType="begin"/>
      </w:r>
      <w:r>
        <w:instrText xml:space="preserve"> REF _Ref140133364 \w \h  \* MERGEFORMAT </w:instrText>
      </w:r>
      <w:r>
        <w:fldChar w:fldCharType="separate"/>
      </w:r>
      <w:r w:rsidR="009749A0">
        <w:t>5.1.3</w:t>
      </w:r>
      <w:r>
        <w:fldChar w:fldCharType="end"/>
      </w:r>
      <w:r>
        <w:t>, all the following conditions are met:</w:t>
      </w:r>
      <w:bookmarkEnd w:id="2267"/>
    </w:p>
    <w:p w14:paraId="2E8F70A7" w14:textId="77777777" w:rsidR="00E60EAE" w:rsidRDefault="00E60EAE" w:rsidP="00B71FC0">
      <w:pPr>
        <w:pStyle w:val="Numbered111a"/>
        <w:keepNext/>
        <w:numPr>
          <w:ilvl w:val="3"/>
          <w:numId w:val="173"/>
        </w:numPr>
      </w:pPr>
      <w:r>
        <w:t>the Supplier has notified the Authority in writing giving details of:</w:t>
      </w:r>
    </w:p>
    <w:p w14:paraId="4FE17934" w14:textId="77777777" w:rsidR="00E60EAE" w:rsidRDefault="00E60EAE" w:rsidP="00B71FC0">
      <w:pPr>
        <w:pStyle w:val="Numbered111ai"/>
        <w:numPr>
          <w:ilvl w:val="4"/>
          <w:numId w:val="173"/>
        </w:numPr>
      </w:pPr>
      <w:r>
        <w:t>what licence terms can be obtained from the relevant third party; and</w:t>
      </w:r>
    </w:p>
    <w:p w14:paraId="17F3A51F" w14:textId="77777777" w:rsidR="00E60EAE" w:rsidRDefault="00E60EAE" w:rsidP="00B71FC0">
      <w:pPr>
        <w:pStyle w:val="Numbered111ai"/>
        <w:numPr>
          <w:ilvl w:val="4"/>
          <w:numId w:val="173"/>
        </w:numPr>
      </w:pPr>
      <w:r>
        <w:t xml:space="preserve">whether there are providers which the Supplier could seek to use and the licence terms obtainable from those third parties; </w:t>
      </w:r>
    </w:p>
    <w:p w14:paraId="791258F2" w14:textId="77777777" w:rsidR="00E60EAE" w:rsidRDefault="00E60EAE" w:rsidP="00B71FC0">
      <w:pPr>
        <w:pStyle w:val="Numbered111a"/>
        <w:numPr>
          <w:ilvl w:val="3"/>
          <w:numId w:val="173"/>
        </w:numPr>
      </w:pPr>
      <w:r>
        <w:t>the Authority approves the licence terms of one of those third parties; and</w:t>
      </w:r>
    </w:p>
    <w:p w14:paraId="4FEB2F14" w14:textId="77777777" w:rsidR="00E60EAE" w:rsidRDefault="00E60EAE" w:rsidP="00B71FC0">
      <w:pPr>
        <w:pStyle w:val="Numbered111a"/>
        <w:numPr>
          <w:ilvl w:val="3"/>
          <w:numId w:val="173"/>
        </w:numPr>
      </w:pPr>
      <w:r>
        <w:t>the owner and authorised licensor of the Third Party IPR has granted a direct licence of the Third Party IPR to the Authority on those terms; or</w:t>
      </w:r>
    </w:p>
    <w:p w14:paraId="0C79F327" w14:textId="166F874A" w:rsidR="00E60EAE" w:rsidRDefault="00E60EAE" w:rsidP="00B71FC0">
      <w:pPr>
        <w:pStyle w:val="Numbered111"/>
        <w:numPr>
          <w:ilvl w:val="2"/>
          <w:numId w:val="173"/>
        </w:numPr>
      </w:pPr>
      <w:r>
        <w:t>if the Supplier cannot meet the conditions in Paragraphs </w:t>
      </w:r>
      <w:r>
        <w:fldChar w:fldCharType="begin"/>
      </w:r>
      <w:r>
        <w:instrText xml:space="preserve"> REF _Ref140133364 \w \h  \* MERGEFORMAT </w:instrText>
      </w:r>
      <w:r>
        <w:fldChar w:fldCharType="separate"/>
      </w:r>
      <w:r w:rsidR="009749A0">
        <w:t>5.1.3</w:t>
      </w:r>
      <w:r>
        <w:fldChar w:fldCharType="end"/>
      </w:r>
      <w:r>
        <w:t xml:space="preserve"> and </w:t>
      </w:r>
      <w:r>
        <w:fldChar w:fldCharType="begin"/>
      </w:r>
      <w:r>
        <w:instrText xml:space="preserve"> REF _Ref140133432 \w \h  \* MERGEFORMAT </w:instrText>
      </w:r>
      <w:r>
        <w:fldChar w:fldCharType="separate"/>
      </w:r>
      <w:r w:rsidR="009749A0">
        <w:t>5.1.4</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w:t>
      </w:r>
    </w:p>
    <w:p w14:paraId="3D71CD53" w14:textId="77777777" w:rsidR="00E60EAE" w:rsidRDefault="00E60EAE" w:rsidP="00B71FC0">
      <w:pPr>
        <w:pStyle w:val="Numbered11"/>
        <w:keepNext/>
        <w:numPr>
          <w:ilvl w:val="1"/>
          <w:numId w:val="173"/>
        </w:numPr>
      </w:pPr>
      <w:r w:rsidRPr="00A550B3">
        <w:lastRenderedPageBreak/>
        <w:t xml:space="preserve">The Supplier </w:t>
      </w:r>
      <w:r>
        <w:t xml:space="preserve">must </w:t>
      </w:r>
      <w:r w:rsidRPr="00A550B3">
        <w:t>not use any</w:t>
      </w:r>
      <w:r>
        <w:t>:</w:t>
      </w:r>
    </w:p>
    <w:p w14:paraId="51DEBECB" w14:textId="77777777" w:rsidR="00E60EAE" w:rsidRDefault="00E60EAE" w:rsidP="00B71FC0">
      <w:pPr>
        <w:pStyle w:val="Numbered111"/>
        <w:numPr>
          <w:ilvl w:val="2"/>
          <w:numId w:val="173"/>
        </w:numPr>
      </w:pPr>
      <w:r>
        <w:t>Third Party COTS Software; or</w:t>
      </w:r>
    </w:p>
    <w:p w14:paraId="694A632F" w14:textId="77777777" w:rsidR="00E60EAE" w:rsidRDefault="00E60EAE" w:rsidP="00B71FC0">
      <w:pPr>
        <w:pStyle w:val="Numbered111"/>
        <w:keepNext/>
        <w:numPr>
          <w:ilvl w:val="2"/>
          <w:numId w:val="173"/>
        </w:numPr>
      </w:pPr>
      <w:r>
        <w:t>Third Party</w:t>
      </w:r>
      <w:r w:rsidRPr="00A550B3">
        <w:t xml:space="preserve"> COTS Background IPR</w:t>
      </w:r>
      <w:r>
        <w:t>,</w:t>
      </w:r>
    </w:p>
    <w:p w14:paraId="65CC026D" w14:textId="77777777" w:rsidR="00E60EAE" w:rsidRDefault="00E60EAE" w:rsidP="00684CD0">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the following conditions are met:</w:t>
      </w:r>
    </w:p>
    <w:p w14:paraId="5E85EF34" w14:textId="77777777" w:rsidR="00E60EAE" w:rsidRDefault="00E60EAE" w:rsidP="00B71FC0">
      <w:pPr>
        <w:pStyle w:val="Numbered111"/>
        <w:numPr>
          <w:ilvl w:val="2"/>
          <w:numId w:val="1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53369567" w14:textId="77777777" w:rsidR="00E60EAE" w:rsidRDefault="00E60EAE" w:rsidP="00B71FC0">
      <w:pPr>
        <w:pStyle w:val="Numbered111"/>
        <w:numPr>
          <w:ilvl w:val="2"/>
          <w:numId w:val="173"/>
        </w:numPr>
      </w:pPr>
      <w:r>
        <w:t>the Authority has not (in its absolute discretion) rejected those licence terms within 10 Working Days of the date on which they were provided to the Authority.</w:t>
      </w:r>
    </w:p>
    <w:p w14:paraId="700E5F64" w14:textId="77777777" w:rsidR="00E60EAE" w:rsidRDefault="00E60EAE" w:rsidP="00B71FC0">
      <w:pPr>
        <w:pStyle w:val="Numbered1"/>
        <w:numPr>
          <w:ilvl w:val="0"/>
          <w:numId w:val="173"/>
        </w:numPr>
      </w:pPr>
      <w:bookmarkStart w:id="2268" w:name="_Ref141111600"/>
      <w:bookmarkStart w:id="2269" w:name="_Toc136451197"/>
      <w:bookmarkEnd w:id="2265"/>
      <w:r>
        <w:t>Licences granted by the Authority</w:t>
      </w:r>
      <w:bookmarkEnd w:id="2268"/>
    </w:p>
    <w:p w14:paraId="726E6A66" w14:textId="4B4BDEA0" w:rsidR="00E60EAE" w:rsidRDefault="00E60EAE" w:rsidP="00B71FC0">
      <w:pPr>
        <w:pStyle w:val="Numbered11"/>
        <w:keepNext/>
        <w:numPr>
          <w:ilvl w:val="1"/>
          <w:numId w:val="173"/>
        </w:numPr>
      </w:pPr>
      <w:bookmarkStart w:id="2270" w:name="_Ref140134332"/>
      <w:r>
        <w:t>Subject to Paragraph </w:t>
      </w:r>
      <w:r>
        <w:fldChar w:fldCharType="begin"/>
      </w:r>
      <w:r>
        <w:instrText xml:space="preserve"> REF _Ref140134668 \w \h  \* MERGEFORMAT </w:instrText>
      </w:r>
      <w:r>
        <w:fldChar w:fldCharType="separate"/>
      </w:r>
      <w:r w:rsidR="009749A0">
        <w:t>3</w:t>
      </w:r>
      <w:r>
        <w:fldChar w:fldCharType="end"/>
      </w:r>
      <w:r>
        <w:t>, the Authority grants the Supplier a licence to the</w:t>
      </w:r>
      <w:bookmarkEnd w:id="2270"/>
      <w:r>
        <w:t xml:space="preserve"> </w:t>
      </w:r>
    </w:p>
    <w:p w14:paraId="10F4BAA0" w14:textId="77777777" w:rsidR="00E60EAE" w:rsidRDefault="00E60EAE" w:rsidP="00B71FC0">
      <w:pPr>
        <w:pStyle w:val="Numbered111"/>
        <w:numPr>
          <w:ilvl w:val="2"/>
          <w:numId w:val="173"/>
        </w:numPr>
      </w:pPr>
      <w:r>
        <w:t>the Authority Software;</w:t>
      </w:r>
    </w:p>
    <w:p w14:paraId="17A85170" w14:textId="77777777" w:rsidR="00E60EAE" w:rsidRDefault="00E60EAE" w:rsidP="00B71FC0">
      <w:pPr>
        <w:pStyle w:val="Numbered111"/>
        <w:numPr>
          <w:ilvl w:val="2"/>
          <w:numId w:val="173"/>
        </w:numPr>
      </w:pPr>
      <w:r>
        <w:t>the Authority Data; and</w:t>
      </w:r>
    </w:p>
    <w:p w14:paraId="2F48E9D7" w14:textId="77777777" w:rsidR="00E60EAE" w:rsidRDefault="00E60EAE" w:rsidP="00B71FC0">
      <w:pPr>
        <w:pStyle w:val="Numbered111"/>
        <w:numPr>
          <w:ilvl w:val="2"/>
          <w:numId w:val="173"/>
        </w:numPr>
      </w:pPr>
      <w:r>
        <w:t>the Authority Background IPRs</w:t>
      </w:r>
    </w:p>
    <w:p w14:paraId="1B3FA0C5" w14:textId="77777777" w:rsidR="00E60EAE" w:rsidRDefault="00E60EAE" w:rsidP="00E60EAE">
      <w:pPr>
        <w:pStyle w:val="StdBodyText1"/>
        <w:keepNext/>
      </w:pPr>
      <w:r>
        <w:t>that:</w:t>
      </w:r>
    </w:p>
    <w:p w14:paraId="730759DD" w14:textId="77777777" w:rsidR="00E60EAE" w:rsidRDefault="00E60EAE" w:rsidP="00B71FC0">
      <w:pPr>
        <w:pStyle w:val="Numbered111"/>
        <w:numPr>
          <w:ilvl w:val="2"/>
          <w:numId w:val="173"/>
        </w:numPr>
      </w:pPr>
      <w:r>
        <w:t>is perpetual, non-exclusive, royalty-free and non-transferable;</w:t>
      </w:r>
    </w:p>
    <w:p w14:paraId="7C0F6B3E" w14:textId="77777777" w:rsidR="00E60EAE" w:rsidRDefault="00E60EAE" w:rsidP="00B71FC0">
      <w:pPr>
        <w:pStyle w:val="Numbered111"/>
        <w:keepNext/>
        <w:numPr>
          <w:ilvl w:val="2"/>
          <w:numId w:val="173"/>
        </w:numPr>
      </w:pPr>
      <w:bookmarkStart w:id="2271" w:name="_Ref140134591"/>
      <w:r>
        <w:t>is sub-licensable to any Sub-contractor where</w:t>
      </w:r>
      <w:bookmarkEnd w:id="2271"/>
      <w:r>
        <w:t>:</w:t>
      </w:r>
    </w:p>
    <w:p w14:paraId="76922261" w14:textId="4B9630B8" w:rsidR="00E60EAE" w:rsidRDefault="00E60EAE" w:rsidP="00B71FC0">
      <w:pPr>
        <w:pStyle w:val="Numbered111a"/>
        <w:numPr>
          <w:ilvl w:val="3"/>
          <w:numId w:val="173"/>
        </w:numPr>
      </w:pPr>
      <w:r>
        <w:t>the Sub-contractor enters into a confidentiality undertaking</w:t>
      </w:r>
      <w:r w:rsidRPr="00E36B93">
        <w:t xml:space="preserve"> with the Supplier on the same terms as set out </w:t>
      </w:r>
      <w:r>
        <w:t>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of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and</w:t>
      </w:r>
    </w:p>
    <w:p w14:paraId="5F3DE2FD" w14:textId="77777777" w:rsidR="00E60EAE" w:rsidRDefault="00E60EAE" w:rsidP="00B71FC0">
      <w:pPr>
        <w:pStyle w:val="Numbered111a"/>
        <w:numPr>
          <w:ilvl w:val="3"/>
          <w:numId w:val="173"/>
        </w:numPr>
      </w:pPr>
      <w:r>
        <w:t>the sub-licence does not purport to provide the sub-licensee with any wider rights than those granted to the Supplier under this Paragraph;</w:t>
      </w:r>
    </w:p>
    <w:p w14:paraId="6439F892" w14:textId="77777777" w:rsidR="00E60EAE" w:rsidRDefault="00E60EAE" w:rsidP="00B71FC0">
      <w:pPr>
        <w:pStyle w:val="Numbered111"/>
        <w:keepNext/>
        <w:numPr>
          <w:ilvl w:val="2"/>
          <w:numId w:val="173"/>
        </w:numPr>
      </w:pPr>
      <w:r>
        <w:t>allows the Supplier and any sub-licensee to use, copy and adapt any licensed IPRs for the purpose of:</w:t>
      </w:r>
    </w:p>
    <w:p w14:paraId="1F01F220" w14:textId="77777777" w:rsidR="00E60EAE" w:rsidRDefault="00E60EAE" w:rsidP="00B71FC0">
      <w:pPr>
        <w:pStyle w:val="Numbered111a"/>
        <w:numPr>
          <w:ilvl w:val="3"/>
          <w:numId w:val="173"/>
        </w:numPr>
      </w:pPr>
      <w:r>
        <w:t>fulfilling its obligations under this Contract; or</w:t>
      </w:r>
    </w:p>
    <w:p w14:paraId="28B27D7C" w14:textId="77777777" w:rsidR="00E60EAE" w:rsidRDefault="00E60EAE" w:rsidP="00B71FC0">
      <w:pPr>
        <w:pStyle w:val="Numbered111a"/>
        <w:numPr>
          <w:ilvl w:val="3"/>
          <w:numId w:val="173"/>
        </w:numPr>
      </w:pPr>
      <w:bookmarkStart w:id="2272" w:name="_Ref140818594"/>
      <w:r>
        <w:t>commercially exploiting the Project Specific IPR, the Specially Written Software or the Software Supporting Materials.</w:t>
      </w:r>
      <w:bookmarkEnd w:id="2272"/>
    </w:p>
    <w:p w14:paraId="6284B8F0" w14:textId="057E9D20" w:rsidR="00E60EAE" w:rsidRDefault="00E60EAE" w:rsidP="00B71FC0">
      <w:pPr>
        <w:pStyle w:val="Numbered11"/>
        <w:keepNext/>
        <w:numPr>
          <w:ilvl w:val="1"/>
          <w:numId w:val="173"/>
        </w:numPr>
      </w:pPr>
      <w:r>
        <w:t>When the licence granted under Paragraph </w:t>
      </w:r>
      <w:r>
        <w:fldChar w:fldCharType="begin"/>
      </w:r>
      <w:r>
        <w:instrText xml:space="preserve"> REF _Ref140134332 \w \h  \* MERGEFORMAT </w:instrText>
      </w:r>
      <w:r>
        <w:fldChar w:fldCharType="separate"/>
      </w:r>
      <w:r w:rsidR="009749A0">
        <w:t>6.1</w:t>
      </w:r>
      <w:r>
        <w:fldChar w:fldCharType="end"/>
      </w:r>
      <w:r>
        <w:t>:</w:t>
      </w:r>
    </w:p>
    <w:p w14:paraId="18B7C68D" w14:textId="78418BF9" w:rsidR="00E60EAE" w:rsidRDefault="00E60EAE" w:rsidP="00B71FC0">
      <w:pPr>
        <w:pStyle w:val="Numbered111"/>
        <w:numPr>
          <w:ilvl w:val="2"/>
          <w:numId w:val="173"/>
        </w:numPr>
      </w:pPr>
      <w:r>
        <w:t>terminates in accordance with Paragraph </w:t>
      </w:r>
      <w:r>
        <w:fldChar w:fldCharType="begin"/>
      </w:r>
      <w:r>
        <w:instrText xml:space="preserve"> REF _Ref140134668 \r \h  \* MERGEFORMAT </w:instrText>
      </w:r>
      <w:r>
        <w:fldChar w:fldCharType="separate"/>
      </w:r>
      <w:r w:rsidR="009749A0">
        <w:t>3</w:t>
      </w:r>
      <w:r>
        <w:fldChar w:fldCharType="end"/>
      </w:r>
      <w:r>
        <w:t>; or</w:t>
      </w:r>
    </w:p>
    <w:p w14:paraId="5D48D042" w14:textId="77777777" w:rsidR="00E60EAE" w:rsidRDefault="00E60EAE" w:rsidP="00B71FC0">
      <w:pPr>
        <w:pStyle w:val="Numbered111"/>
        <w:keepNext/>
        <w:numPr>
          <w:ilvl w:val="2"/>
          <w:numId w:val="173"/>
        </w:numPr>
      </w:pPr>
      <w:r>
        <w:t xml:space="preserve">no longer has effect at the end of the Term or the expiry of any Termination </w:t>
      </w:r>
      <w:r>
        <w:lastRenderedPageBreak/>
        <w:t>Assistance Period (whichever is the later),</w:t>
      </w:r>
    </w:p>
    <w:p w14:paraId="4D6A674A" w14:textId="78E69230" w:rsidR="00E60EAE" w:rsidRDefault="00E60EAE" w:rsidP="00684CD0">
      <w:pPr>
        <w:pStyle w:val="StdBodyText1"/>
        <w:keepNext/>
      </w:pPr>
      <w:r>
        <w:t>the Supplier must, and must ensure that each Sub-contractor granted a sub-licence under Paragraph </w:t>
      </w:r>
      <w:r>
        <w:fldChar w:fldCharType="begin"/>
      </w:r>
      <w:r>
        <w:instrText xml:space="preserve"> REF _Ref140134591 \w \h  \* MERGEFORMAT </w:instrText>
      </w:r>
      <w:r>
        <w:fldChar w:fldCharType="separate"/>
      </w:r>
      <w:r w:rsidR="009749A0">
        <w:t>6.1.5</w:t>
      </w:r>
      <w:r>
        <w:fldChar w:fldCharType="end"/>
      </w:r>
      <w:r>
        <w:t>:</w:t>
      </w:r>
    </w:p>
    <w:p w14:paraId="060970A1" w14:textId="77777777" w:rsidR="00E60EAE" w:rsidRDefault="00E60EAE" w:rsidP="00B71FC0">
      <w:pPr>
        <w:pStyle w:val="Numbered111"/>
        <w:numPr>
          <w:ilvl w:val="2"/>
          <w:numId w:val="173"/>
        </w:numPr>
      </w:pPr>
      <w:r>
        <w:t>immediately cease all use of the licensed IPR;</w:t>
      </w:r>
    </w:p>
    <w:p w14:paraId="333295CC" w14:textId="77777777" w:rsidR="00E60EAE" w:rsidRDefault="00E60EAE" w:rsidP="00B71FC0">
      <w:pPr>
        <w:pStyle w:val="Numbered111"/>
        <w:keepNext/>
        <w:numPr>
          <w:ilvl w:val="2"/>
          <w:numId w:val="173"/>
        </w:numPr>
      </w:pPr>
      <w:r>
        <w:t>either:</w:t>
      </w:r>
    </w:p>
    <w:p w14:paraId="36A98DA0" w14:textId="77777777" w:rsidR="00E60EAE" w:rsidRDefault="00E60EAE" w:rsidP="00B71FC0">
      <w:pPr>
        <w:pStyle w:val="Numbered111a"/>
        <w:numPr>
          <w:ilvl w:val="3"/>
          <w:numId w:val="173"/>
        </w:numPr>
      </w:pPr>
      <w:r>
        <w:t xml:space="preserve">at the discretion of the Authority, return or destroy documents and other tangible materials that contain any of the licensed IPR; or </w:t>
      </w:r>
    </w:p>
    <w:p w14:paraId="21AAF6CA" w14:textId="77777777" w:rsidR="00E60EAE" w:rsidRDefault="00E60EAE" w:rsidP="00B71FC0">
      <w:pPr>
        <w:pStyle w:val="Numbered111a"/>
        <w:numPr>
          <w:ilvl w:val="3"/>
          <w:numId w:val="173"/>
        </w:numPr>
      </w:pPr>
      <w:r>
        <w:t>if the Authority has not made an election within six months of the termination of the licence, destroy the documents and other tangible materials that contain any of the licensed IPR; and</w:t>
      </w:r>
    </w:p>
    <w:p w14:paraId="36CA57AF" w14:textId="77777777" w:rsidR="00E60EAE" w:rsidRPr="00381CB0" w:rsidRDefault="00E60EAE" w:rsidP="00B71FC0">
      <w:pPr>
        <w:pStyle w:val="Numbered111"/>
        <w:numPr>
          <w:ilvl w:val="2"/>
          <w:numId w:val="173"/>
        </w:numPr>
      </w:pPr>
      <w:r>
        <w:t xml:space="preserve">ensure, so far as reasonably practicable, that any licensed IPR held in electronic, digital or other machine-readable form ceases to be readily accessible from any computer, word processor, voicemail system or any other device of </w:t>
      </w:r>
      <w:r w:rsidRPr="005E259D">
        <w:t>the Supplier.</w:t>
      </w:r>
      <w:bookmarkEnd w:id="2269"/>
      <w:r w:rsidRPr="005E259D">
        <w:rPr>
          <w:rFonts w:ascii="Arial Bold" w:hAnsi="Arial Bold"/>
          <w:b/>
          <w:szCs w:val="24"/>
        </w:rPr>
        <w:br w:type="page"/>
      </w:r>
    </w:p>
    <w:p w14:paraId="0B92A62D" w14:textId="145A712B" w:rsidR="00E60EAE" w:rsidRPr="002223EA" w:rsidRDefault="00E60EAE" w:rsidP="00E60EAE">
      <w:pPr>
        <w:pStyle w:val="StdBodyText"/>
        <w:rPr>
          <w:bCs/>
          <w:iCs/>
        </w:rPr>
      </w:pPr>
      <w:r w:rsidRPr="002223EA">
        <w:rPr>
          <w:b/>
          <w:iCs/>
        </w:rPr>
        <w:lastRenderedPageBreak/>
        <w:t>[</w:t>
      </w:r>
      <w:r w:rsidRPr="00964392">
        <w:rPr>
          <w:b/>
          <w:i/>
          <w:highlight w:val="yellow"/>
        </w:rPr>
        <w:t xml:space="preserve">Guidance note: for </w:t>
      </w:r>
      <w:r w:rsidRPr="00964392">
        <w:rPr>
          <w:b/>
          <w:i/>
          <w:highlight w:val="yellow"/>
          <w:u w:val="single"/>
        </w:rPr>
        <w:t xml:space="preserve">Option </w:t>
      </w:r>
      <w:r w:rsidRPr="00964392">
        <w:rPr>
          <w:b/>
          <w:i/>
          <w:highlight w:val="yellow"/>
          <w:u w:val="single"/>
        </w:rPr>
        <w:fldChar w:fldCharType="begin"/>
      </w:r>
      <w:r w:rsidRPr="00964392">
        <w:rPr>
          <w:b/>
          <w:i/>
          <w:highlight w:val="yellow"/>
          <w:u w:val="single"/>
        </w:rPr>
        <w:instrText xml:space="preserve"> REF OPTION4_SCHEDULE32 \h  \* MERGEFORMAT </w:instrText>
      </w:r>
      <w:r w:rsidRPr="00964392">
        <w:rPr>
          <w:b/>
          <w:i/>
          <w:highlight w:val="yellow"/>
          <w:u w:val="single"/>
        </w:rPr>
      </w:r>
      <w:r w:rsidRPr="00964392">
        <w:rPr>
          <w:b/>
          <w:i/>
          <w:highlight w:val="yellow"/>
          <w:u w:val="single"/>
        </w:rPr>
        <w:fldChar w:fldCharType="separate"/>
      </w:r>
      <w:r w:rsidR="009749A0" w:rsidRPr="00B664D1">
        <w:rPr>
          <w:b/>
          <w:i/>
          <w:u w:val="single"/>
        </w:rPr>
        <w:t>4</w:t>
      </w:r>
      <w:r w:rsidRPr="00964392">
        <w:rPr>
          <w:b/>
          <w:i/>
          <w:highlight w:val="yellow"/>
          <w:u w:val="single"/>
        </w:rPr>
        <w:fldChar w:fldCharType="end"/>
      </w:r>
      <w:r w:rsidRPr="00964392">
        <w:rPr>
          <w:b/>
          <w:i/>
          <w:highlight w:val="yellow"/>
        </w:rPr>
        <w:t xml:space="preserve">: </w:t>
      </w:r>
      <w:r w:rsidRPr="00964392">
        <w:rPr>
          <w:rFonts w:eastAsia="Arial" w:cs="Arial"/>
          <w:b/>
          <w:i/>
          <w:highlight w:val="yellow"/>
        </w:rPr>
        <w:t>Supplier ownership of all Specially Written Software and Project Specific IPR with Authority rights for the current contract and broader public sector functions, please include the following drafting</w:t>
      </w:r>
      <w:r w:rsidRPr="00DA566F">
        <w:rPr>
          <w:rFonts w:eastAsia="Arial" w:cs="Arial"/>
          <w:bCs/>
          <w:iCs/>
          <w:highlight w:val="yellow"/>
        </w:rPr>
        <w:t>:</w:t>
      </w:r>
      <w:r w:rsidRPr="00DA566F">
        <w:rPr>
          <w:bCs/>
          <w:iCs/>
        </w:rPr>
        <w:t>]</w:t>
      </w:r>
    </w:p>
    <w:p w14:paraId="13FDB869" w14:textId="77777777" w:rsidR="00E60EAE" w:rsidRDefault="00E60EAE" w:rsidP="00E60EAE">
      <w:pPr>
        <w:pStyle w:val="Heading2"/>
      </w:pPr>
      <w:bookmarkStart w:id="2273" w:name="_Toc118293565"/>
      <w:bookmarkStart w:id="2274" w:name="_Toc141721078"/>
      <w:r>
        <w:t xml:space="preserve">Option </w:t>
      </w:r>
      <w:bookmarkStart w:id="2275" w:name="OPTION4_SCHEDULE32"/>
      <w:r>
        <w:t>4</w:t>
      </w:r>
      <w:bookmarkEnd w:id="2273"/>
      <w:bookmarkEnd w:id="2275"/>
      <w:bookmarkEnd w:id="2274"/>
    </w:p>
    <w:p w14:paraId="07984022" w14:textId="77777777" w:rsidR="00E60EAE" w:rsidRDefault="00E60EAE" w:rsidP="00B71FC0">
      <w:pPr>
        <w:pStyle w:val="Numbered1"/>
        <w:numPr>
          <w:ilvl w:val="0"/>
          <w:numId w:val="178"/>
        </w:numPr>
      </w:pPr>
      <w:bookmarkStart w:id="2276" w:name="_Ref141719840"/>
      <w:r>
        <w:t>Ownership of IPR created under the Contract</w:t>
      </w:r>
      <w:bookmarkEnd w:id="2276"/>
    </w:p>
    <w:p w14:paraId="76E0FD5D" w14:textId="467969D6" w:rsidR="00E60EAE" w:rsidRDefault="00E60EAE" w:rsidP="00B71FC0">
      <w:pPr>
        <w:pStyle w:val="Numbered11"/>
        <w:keepNext/>
        <w:numPr>
          <w:ilvl w:val="1"/>
          <w:numId w:val="173"/>
        </w:numPr>
      </w:pPr>
      <w:r>
        <w:t>Subject to Paragraph </w:t>
      </w:r>
      <w:r>
        <w:fldChar w:fldCharType="begin"/>
      </w:r>
      <w:r>
        <w:instrText xml:space="preserve"> REF _Ref141105848 \w \h </w:instrText>
      </w:r>
      <w:r>
        <w:fldChar w:fldCharType="separate"/>
      </w:r>
      <w:r w:rsidR="009749A0">
        <w:t>1.1.1</w:t>
      </w:r>
      <w:r>
        <w:fldChar w:fldCharType="end"/>
      </w:r>
      <w:r>
        <w:t>, the Authority agrees to</w:t>
      </w:r>
    </w:p>
    <w:p w14:paraId="3064CEA6" w14:textId="77777777" w:rsidR="00E60EAE" w:rsidRDefault="00E60EAE" w:rsidP="00B71FC0">
      <w:pPr>
        <w:pStyle w:val="Numbered111"/>
        <w:keepNext/>
        <w:numPr>
          <w:ilvl w:val="2"/>
          <w:numId w:val="173"/>
        </w:numPr>
      </w:pPr>
      <w:r>
        <w:t>transfer to the Supplier, or procure the transfer to the Supplier, of all Intellectual Property Rights in the Specially Written Software and Project Specific IPRs not already vesting in the Supplier, including:</w:t>
      </w:r>
    </w:p>
    <w:p w14:paraId="26588581" w14:textId="77777777" w:rsidR="00E60EAE" w:rsidRDefault="00E60EAE" w:rsidP="00B71FC0">
      <w:pPr>
        <w:pStyle w:val="Numbered111a"/>
        <w:numPr>
          <w:ilvl w:val="3"/>
          <w:numId w:val="173"/>
        </w:numPr>
      </w:pPr>
      <w:r>
        <w:t>the Documentation, Source Code and the Object Code of the Specially Written Software; and</w:t>
      </w:r>
    </w:p>
    <w:p w14:paraId="2D067F7B" w14:textId="77777777" w:rsidR="00E60EAE" w:rsidRDefault="00E60EAE" w:rsidP="00B71FC0">
      <w:pPr>
        <w:pStyle w:val="Numbered111a"/>
        <w:keepNext/>
        <w:numPr>
          <w:ilvl w:val="3"/>
          <w:numId w:val="173"/>
        </w:numPr>
      </w:pPr>
      <w:r>
        <w:t>all build instructions, test instructions, test scripts, test data, operating instructions and other documents and tools necessary for maintaining and supporting the Specially Written Software,</w:t>
      </w:r>
    </w:p>
    <w:p w14:paraId="6D554E73" w14:textId="77777777" w:rsidR="00E60EAE" w:rsidRDefault="00E60EAE" w:rsidP="00684CD0">
      <w:pPr>
        <w:pStyle w:val="StdBodyText3"/>
        <w:keepNext/>
      </w:pPr>
      <w:r>
        <w:t xml:space="preserve">(together the </w:t>
      </w:r>
      <w:r w:rsidRPr="00CC7A15">
        <w:rPr>
          <w:b/>
          <w:bCs/>
        </w:rPr>
        <w:t>Software Supporting Materials</w:t>
      </w:r>
      <w:r>
        <w:t>); and</w:t>
      </w:r>
    </w:p>
    <w:p w14:paraId="7CAF7787" w14:textId="6DC92373" w:rsidR="00E60EAE" w:rsidRDefault="00E60EAE" w:rsidP="00B71FC0">
      <w:pPr>
        <w:pStyle w:val="Numbered111"/>
        <w:numPr>
          <w:ilvl w:val="2"/>
          <w:numId w:val="173"/>
        </w:numPr>
      </w:pPr>
      <w:r w:rsidRPr="00016234">
        <w:t xml:space="preserve">execute all such </w:t>
      </w:r>
      <w:r w:rsidR="007B217F">
        <w:t>assignations</w:t>
      </w:r>
      <w:r w:rsidR="007B217F" w:rsidRPr="00016234">
        <w:t xml:space="preserve"> </w:t>
      </w:r>
      <w:r w:rsidRPr="00016234">
        <w:t xml:space="preserve">required to </w:t>
      </w:r>
      <w:r>
        <w:t xml:space="preserve">transfer properly any </w:t>
      </w:r>
      <w:r w:rsidRPr="00016234">
        <w:t xml:space="preserve">rights in the Specially Written Software and Project Specific IPRs to the </w:t>
      </w:r>
      <w:r>
        <w:t>Supplier.</w:t>
      </w:r>
    </w:p>
    <w:p w14:paraId="728969A8" w14:textId="77777777" w:rsidR="00E60EAE" w:rsidRDefault="00E60EAE" w:rsidP="00B71FC0">
      <w:pPr>
        <w:pStyle w:val="Numbered11"/>
        <w:keepNext/>
        <w:numPr>
          <w:ilvl w:val="1"/>
          <w:numId w:val="173"/>
        </w:numPr>
      </w:pPr>
      <w:r>
        <w:t>If, within three years of its creation, the Supplier:</w:t>
      </w:r>
    </w:p>
    <w:p w14:paraId="1CA7365D" w14:textId="77777777" w:rsidR="00E60EAE" w:rsidRDefault="00E60EAE" w:rsidP="00B71FC0">
      <w:pPr>
        <w:pStyle w:val="Numbered111"/>
        <w:numPr>
          <w:ilvl w:val="2"/>
          <w:numId w:val="173"/>
        </w:numPr>
      </w:pPr>
      <w:r>
        <w:t xml:space="preserve">is not commercially exploiting any </w:t>
      </w:r>
      <w:r w:rsidRPr="00016234">
        <w:t>Specially Written Software</w:t>
      </w:r>
      <w:r>
        <w:t>,</w:t>
      </w:r>
      <w:r w:rsidRPr="00016234">
        <w:t xml:space="preserve"> Project Specific IPRs</w:t>
      </w:r>
      <w:r>
        <w:t xml:space="preserve"> or </w:t>
      </w:r>
      <w:r w:rsidRPr="00430DD0">
        <w:t>Software Supporting Materials</w:t>
      </w:r>
      <w:r>
        <w:t>; or</w:t>
      </w:r>
    </w:p>
    <w:p w14:paraId="55DD49A7" w14:textId="77777777" w:rsidR="00E60EAE" w:rsidRDefault="00E60EAE" w:rsidP="00B71FC0">
      <w:pPr>
        <w:pStyle w:val="Numbered111"/>
        <w:keepNext/>
        <w:numPr>
          <w:ilvl w:val="2"/>
          <w:numId w:val="173"/>
        </w:numPr>
      </w:pPr>
      <w:r>
        <w:t>where the Supplier is not commercially exploiting that IPR, is not, to the satisfaction of the Authority, using its best endeavours to do so,</w:t>
      </w:r>
    </w:p>
    <w:p w14:paraId="255F6A87" w14:textId="77777777" w:rsidR="00E60EAE" w:rsidRDefault="00E60EAE" w:rsidP="00684CD0">
      <w:pPr>
        <w:pStyle w:val="StdBodyText2"/>
        <w:keepNext/>
      </w:pPr>
      <w:r>
        <w:t>then, on written request from the Authority:</w:t>
      </w:r>
    </w:p>
    <w:p w14:paraId="5886953B" w14:textId="3081CDEB" w:rsidR="00E60EAE" w:rsidRDefault="00E60EAE" w:rsidP="00B71FC0">
      <w:pPr>
        <w:pStyle w:val="Numbered111"/>
        <w:numPr>
          <w:ilvl w:val="2"/>
          <w:numId w:val="173"/>
        </w:numPr>
      </w:pPr>
      <w:r>
        <w:t>the Supplier must promptly</w:t>
      </w:r>
      <w:r w:rsidR="007B217F">
        <w:t xml:space="preserve"> carry out an</w:t>
      </w:r>
      <w:r>
        <w:t xml:space="preserve"> </w:t>
      </w:r>
      <w:r w:rsidR="007B217F">
        <w:t xml:space="preserve">assignation </w:t>
      </w:r>
      <w:r>
        <w:t xml:space="preserve"> to the Authority the </w:t>
      </w:r>
      <w:r w:rsidRPr="00016234">
        <w:t>Specially Written Software</w:t>
      </w:r>
      <w:r>
        <w:t>,</w:t>
      </w:r>
      <w:r w:rsidRPr="00016234">
        <w:t xml:space="preserve"> Project Specific IPRs</w:t>
      </w:r>
      <w:r>
        <w:t xml:space="preserve"> and </w:t>
      </w:r>
      <w:r w:rsidRPr="00430DD0">
        <w:t>Software Supporting Materials</w:t>
      </w:r>
      <w:r>
        <w:t>, or any specified items of that IPR; and</w:t>
      </w:r>
    </w:p>
    <w:p w14:paraId="3E17F09E" w14:textId="7F4BD48E" w:rsidR="00E60EAE" w:rsidRDefault="00E60EAE" w:rsidP="00B71FC0">
      <w:pPr>
        <w:pStyle w:val="Numbered111"/>
        <w:keepNext/>
        <w:numPr>
          <w:ilvl w:val="2"/>
          <w:numId w:val="173"/>
        </w:numPr>
      </w:pPr>
      <w:r>
        <w:t>the licence to the Authority Software, Authority Data and Authority Background IPRs granted under Paragraph </w:t>
      </w:r>
      <w:r>
        <w:fldChar w:fldCharType="begin"/>
      </w:r>
      <w:r>
        <w:instrText xml:space="preserve"> REF _Ref140164815 \r \h  \* MERGEFORMAT </w:instrText>
      </w:r>
      <w:r>
        <w:fldChar w:fldCharType="separate"/>
      </w:r>
      <w:r w:rsidR="009749A0">
        <w:t>6.1</w:t>
      </w:r>
      <w:r>
        <w:fldChar w:fldCharType="end"/>
      </w:r>
      <w:r>
        <w:t xml:space="preserve"> (insofar as it relates to the commercial exploitation of the Project Specific IPR, the Specially Written Software or the Software Supporting Materials)</w:t>
      </w:r>
      <w:r w:rsidRPr="00C4760F">
        <w:t xml:space="preserve"> terminates</w:t>
      </w:r>
      <w:r>
        <w:t xml:space="preserve"> either:</w:t>
      </w:r>
    </w:p>
    <w:p w14:paraId="3776C4BA" w14:textId="77777777" w:rsidR="00E60EAE" w:rsidRDefault="00E60EAE" w:rsidP="00B71FC0">
      <w:pPr>
        <w:pStyle w:val="Numbered111a"/>
        <w:numPr>
          <w:ilvl w:val="3"/>
          <w:numId w:val="173"/>
        </w:numPr>
      </w:pPr>
      <w:r>
        <w:t>on the date specified in the notice; or</w:t>
      </w:r>
    </w:p>
    <w:p w14:paraId="6265D98D" w14:textId="77777777" w:rsidR="00E60EAE" w:rsidRDefault="00E60EAE" w:rsidP="00B71FC0">
      <w:pPr>
        <w:pStyle w:val="Numbered111a"/>
        <w:numPr>
          <w:ilvl w:val="3"/>
          <w:numId w:val="173"/>
        </w:numPr>
      </w:pPr>
      <w:r>
        <w:t>where no date is specified in the notice, on the date the notice is received by the Supplier.</w:t>
      </w:r>
    </w:p>
    <w:p w14:paraId="7857E916" w14:textId="4CAB67B2" w:rsidR="00E60EAE" w:rsidRPr="00A32A56" w:rsidRDefault="00E60EAE" w:rsidP="00B71FC0">
      <w:pPr>
        <w:pStyle w:val="Numbered11"/>
        <w:numPr>
          <w:ilvl w:val="1"/>
          <w:numId w:val="173"/>
        </w:numPr>
      </w:pPr>
      <w:r>
        <w:t xml:space="preserve">Each Party shall bear its own costs of preparing and executing any </w:t>
      </w:r>
      <w:r w:rsidR="007B217F">
        <w:t>assignation</w:t>
      </w:r>
      <w:r w:rsidR="007B217F" w:rsidRPr="00016234">
        <w:t xml:space="preserve"> </w:t>
      </w:r>
      <w:r>
        <w:t>required by this Paragraph.</w:t>
      </w:r>
    </w:p>
    <w:p w14:paraId="5F95DC4A" w14:textId="77777777" w:rsidR="00E60EAE" w:rsidRDefault="00E60EAE" w:rsidP="00B71FC0">
      <w:pPr>
        <w:pStyle w:val="Numbered1"/>
        <w:numPr>
          <w:ilvl w:val="0"/>
          <w:numId w:val="173"/>
        </w:numPr>
      </w:pPr>
      <w:bookmarkStart w:id="2277" w:name="_Ref140767308"/>
      <w:r>
        <w:lastRenderedPageBreak/>
        <w:t>Licence of Supplier IPR</w:t>
      </w:r>
      <w:bookmarkEnd w:id="2277"/>
    </w:p>
    <w:p w14:paraId="1330E0EC" w14:textId="25AF67B8" w:rsidR="00E60EAE" w:rsidRDefault="00E60EAE" w:rsidP="00B71FC0">
      <w:pPr>
        <w:pStyle w:val="Numbered11"/>
        <w:keepNext/>
        <w:numPr>
          <w:ilvl w:val="1"/>
          <w:numId w:val="173"/>
        </w:numPr>
      </w:pPr>
      <w:bookmarkStart w:id="2278" w:name="_Ref140164143"/>
      <w:r>
        <w:t>The Supplier grants the Authority a licence on the terms set out in Paragraph </w:t>
      </w:r>
      <w:r>
        <w:fldChar w:fldCharType="begin"/>
      </w:r>
      <w:r>
        <w:instrText xml:space="preserve"> REF _Ref140164126 \r \h  \* MERGEFORMAT </w:instrText>
      </w:r>
      <w:r>
        <w:fldChar w:fldCharType="separate"/>
      </w:r>
      <w:r w:rsidR="009749A0">
        <w:t>2.3</w:t>
      </w:r>
      <w:r>
        <w:fldChar w:fldCharType="end"/>
      </w:r>
      <w:r>
        <w:t xml:space="preserve"> in respect of each Deliverable where </w:t>
      </w:r>
      <w:r w:rsidRPr="00016234">
        <w:t>Specially Written Software</w:t>
      </w:r>
      <w:r>
        <w:t>,</w:t>
      </w:r>
      <w:r w:rsidRPr="00016234">
        <w:t xml:space="preserve"> Project Specific IPRs</w:t>
      </w:r>
      <w:r>
        <w:t xml:space="preserve">, </w:t>
      </w:r>
      <w:r w:rsidRPr="00430DD0">
        <w:t>Software Supporting Materials</w:t>
      </w:r>
      <w:r>
        <w:t>, Supplier Software or Supplier Background IPRs are:</w:t>
      </w:r>
      <w:bookmarkEnd w:id="2278"/>
    </w:p>
    <w:p w14:paraId="55316FA3" w14:textId="77777777" w:rsidR="00E60EAE" w:rsidRDefault="00E60EAE" w:rsidP="00B71FC0">
      <w:pPr>
        <w:pStyle w:val="Numbered111"/>
        <w:numPr>
          <w:ilvl w:val="2"/>
          <w:numId w:val="173"/>
        </w:numPr>
      </w:pPr>
      <w:r>
        <w:t>is embedded in the Deliverable;</w:t>
      </w:r>
    </w:p>
    <w:p w14:paraId="64949901" w14:textId="77777777" w:rsidR="00E60EAE" w:rsidRDefault="00E60EAE" w:rsidP="00B71FC0">
      <w:pPr>
        <w:pStyle w:val="Numbered111"/>
        <w:numPr>
          <w:ilvl w:val="2"/>
          <w:numId w:val="173"/>
        </w:numPr>
      </w:pPr>
      <w:r>
        <w:t>is necessary for the Authority to use the Deliverable;</w:t>
      </w:r>
    </w:p>
    <w:p w14:paraId="33BE9E92" w14:textId="77777777" w:rsidR="00E60EAE" w:rsidRDefault="00E60EAE" w:rsidP="00B71FC0">
      <w:pPr>
        <w:pStyle w:val="Numbered111"/>
        <w:numPr>
          <w:ilvl w:val="2"/>
          <w:numId w:val="173"/>
        </w:numPr>
      </w:pPr>
      <w:r>
        <w:t xml:space="preserve">in the case of </w:t>
      </w:r>
      <w:r w:rsidRPr="00016234">
        <w:t>Specially Written Software</w:t>
      </w:r>
      <w:r>
        <w:t>,</w:t>
      </w:r>
      <w:r w:rsidRPr="00016234">
        <w:t xml:space="preserve"> Project Specific IPRs</w:t>
      </w:r>
      <w:r>
        <w:t xml:space="preserve">, </w:t>
      </w:r>
      <w:r w:rsidRPr="00430DD0">
        <w:t>Software Supporting Materials</w:t>
      </w:r>
      <w:r>
        <w:t xml:space="preserve"> is used to provide the Deliverable;</w:t>
      </w:r>
    </w:p>
    <w:p w14:paraId="32D60D66" w14:textId="77777777" w:rsidR="00E60EAE" w:rsidRDefault="00E60EAE" w:rsidP="00B71FC0">
      <w:pPr>
        <w:pStyle w:val="Numbered111"/>
        <w:numPr>
          <w:ilvl w:val="2"/>
          <w:numId w:val="173"/>
        </w:numPr>
      </w:pPr>
      <w:r>
        <w:t>in the case of Supplier Software or Supplier Background IPRs has been customised or adapted to create the Deliverable.</w:t>
      </w:r>
    </w:p>
    <w:p w14:paraId="58CCCB09" w14:textId="665C54DC" w:rsidR="00E60EAE" w:rsidRDefault="00E60EAE" w:rsidP="00B71FC0">
      <w:pPr>
        <w:pStyle w:val="Numbered11"/>
        <w:numPr>
          <w:ilvl w:val="1"/>
          <w:numId w:val="173"/>
        </w:numPr>
      </w:pPr>
      <w:r>
        <w:t>The categories of relevant IPR set out in Paragraph </w:t>
      </w:r>
      <w:r>
        <w:fldChar w:fldCharType="begin"/>
      </w:r>
      <w:r>
        <w:instrText xml:space="preserve"> REF _Ref140164143 \r \h  \* MERGEFORMAT </w:instrText>
      </w:r>
      <w:r>
        <w:fldChar w:fldCharType="separate"/>
      </w:r>
      <w:r w:rsidR="009749A0">
        <w:t>2.1</w:t>
      </w:r>
      <w:r>
        <w:fldChar w:fldCharType="end"/>
      </w:r>
      <w:r>
        <w:t xml:space="preserve"> are mutually exclusive.</w:t>
      </w:r>
    </w:p>
    <w:p w14:paraId="4395EEF6" w14:textId="7D11C31A" w:rsidR="00E60EAE" w:rsidRDefault="00E60EAE" w:rsidP="00B71FC0">
      <w:pPr>
        <w:pStyle w:val="Numbered11"/>
        <w:numPr>
          <w:ilvl w:val="1"/>
          <w:numId w:val="173"/>
        </w:numPr>
      </w:pPr>
      <w:bookmarkStart w:id="2279" w:name="_Ref140164126"/>
      <w:r>
        <w:t>The licence referred to in Paragraph </w:t>
      </w:r>
      <w:r>
        <w:fldChar w:fldCharType="begin"/>
      </w:r>
      <w:r>
        <w:instrText xml:space="preserve"> REF _Ref140164143 \r \h  \* MERGEFORMAT </w:instrText>
      </w:r>
      <w:r>
        <w:fldChar w:fldCharType="separate"/>
      </w:r>
      <w:r w:rsidR="009749A0">
        <w:t>2.1</w:t>
      </w:r>
      <w:r>
        <w:fldChar w:fldCharType="end"/>
      </w:r>
      <w:r>
        <w:t xml:space="preserve"> is a perpetual, non-exclusive, royalty-free, irrevocable, transferable, sub-licensable, worldwide licence that:</w:t>
      </w:r>
      <w:bookmarkEnd w:id="2279"/>
    </w:p>
    <w:p w14:paraId="69FD3346" w14:textId="77777777" w:rsidR="00E60EAE" w:rsidRDefault="00E60EAE" w:rsidP="00B71FC0">
      <w:pPr>
        <w:pStyle w:val="Numbered111"/>
        <w:keepNext/>
        <w:numPr>
          <w:ilvl w:val="2"/>
          <w:numId w:val="173"/>
        </w:numPr>
      </w:pPr>
      <w:r>
        <w:t>in the case of relevant IPR embedded in a Deliverable, is used to provide the Deliverable, or where the relevant IPR has been customised or adapted to create the Deliverable:</w:t>
      </w:r>
    </w:p>
    <w:p w14:paraId="31A4F174" w14:textId="77777777" w:rsidR="00E60EAE" w:rsidRDefault="00E60EAE" w:rsidP="00B71FC0">
      <w:pPr>
        <w:pStyle w:val="Numbered111a"/>
        <w:numPr>
          <w:ilvl w:val="3"/>
          <w:numId w:val="173"/>
        </w:numPr>
      </w:pPr>
      <w:r>
        <w:t>is sub-licensable;</w:t>
      </w:r>
    </w:p>
    <w:p w14:paraId="1FCFADA2" w14:textId="77777777" w:rsidR="00E60EAE" w:rsidRDefault="00E60EAE" w:rsidP="00B71FC0">
      <w:pPr>
        <w:pStyle w:val="Numbered111a"/>
        <w:numPr>
          <w:ilvl w:val="3"/>
          <w:numId w:val="173"/>
        </w:numPr>
      </w:pPr>
      <w:bookmarkStart w:id="2280" w:name="_Ref140164414"/>
      <w:r>
        <w:t>has no restriction on the identity of any transferee or sub-licensee;</w:t>
      </w:r>
      <w:bookmarkEnd w:id="2280"/>
    </w:p>
    <w:p w14:paraId="7D44E60E" w14:textId="2DE065AE" w:rsidR="00E60EAE" w:rsidRDefault="00E60EAE" w:rsidP="00B71FC0">
      <w:pPr>
        <w:pStyle w:val="Numbered111a"/>
        <w:numPr>
          <w:ilvl w:val="3"/>
          <w:numId w:val="173"/>
        </w:numPr>
      </w:pPr>
      <w:r>
        <w:t>allows the Authority and any transferee or sub-licensee to use, copy and adapt the relevant IPR for any of the purposes set out in Paragraph </w:t>
      </w:r>
      <w:r>
        <w:fldChar w:fldCharType="begin"/>
      </w:r>
      <w:r>
        <w:instrText xml:space="preserve"> REF _Ref140164180 \r \h  \* MERGEFORMAT </w:instrText>
      </w:r>
      <w:r>
        <w:fldChar w:fldCharType="separate"/>
      </w:r>
      <w:r w:rsidR="009749A0">
        <w:t>2.4</w:t>
      </w:r>
      <w:r>
        <w:fldChar w:fldCharType="end"/>
      </w:r>
      <w:r>
        <w:t>;</w:t>
      </w:r>
    </w:p>
    <w:p w14:paraId="573AAEDB" w14:textId="77777777" w:rsidR="00E60EAE" w:rsidRPr="007E15D7" w:rsidRDefault="00E60EAE" w:rsidP="00B71FC0">
      <w:pPr>
        <w:pStyle w:val="Numbered111"/>
        <w:keepNext/>
        <w:numPr>
          <w:ilvl w:val="2"/>
          <w:numId w:val="173"/>
        </w:numPr>
      </w:pPr>
      <w:r w:rsidRPr="007E15D7">
        <w:t xml:space="preserve">in the case of </w:t>
      </w:r>
      <w:r>
        <w:t>relevant IPR</w:t>
      </w:r>
      <w:r w:rsidRPr="007E15D7">
        <w:t xml:space="preserve"> that is necessary for the </w:t>
      </w:r>
      <w:r>
        <w:t>Authority</w:t>
      </w:r>
      <w:r w:rsidRPr="007E15D7">
        <w:t xml:space="preserve"> to </w:t>
      </w:r>
      <w:r>
        <w:t xml:space="preserve">receive or </w:t>
      </w:r>
      <w:r w:rsidRPr="007E15D7">
        <w:t>use the Deliverable:</w:t>
      </w:r>
    </w:p>
    <w:p w14:paraId="0152E67F" w14:textId="493854DF" w:rsidR="00E60EAE" w:rsidRDefault="00E60EAE" w:rsidP="00B71FC0">
      <w:pPr>
        <w:pStyle w:val="Numbered111a"/>
        <w:numPr>
          <w:ilvl w:val="3"/>
          <w:numId w:val="173"/>
        </w:numPr>
      </w:pPr>
      <w:r>
        <w:t>allows the Authority and any transferee or sublicensee to use and copy, but not adapt, disassemble or reverse engineer the relevant IPR for any of the purposes set out in Paragraph </w:t>
      </w:r>
      <w:r>
        <w:fldChar w:fldCharType="begin"/>
      </w:r>
      <w:r>
        <w:instrText xml:space="preserve"> REF _Ref140164180 \r \h  \* MERGEFORMAT </w:instrText>
      </w:r>
      <w:r>
        <w:fldChar w:fldCharType="separate"/>
      </w:r>
      <w:r w:rsidR="009749A0">
        <w:t>2.4</w:t>
      </w:r>
      <w:r>
        <w:fldChar w:fldCharType="end"/>
      </w:r>
      <w:r>
        <w:t>;</w:t>
      </w:r>
    </w:p>
    <w:p w14:paraId="64614EEE" w14:textId="77777777" w:rsidR="00E60EAE" w:rsidRDefault="00E60EAE" w:rsidP="00B71FC0">
      <w:pPr>
        <w:pStyle w:val="Numbered111a"/>
        <w:keepNext/>
        <w:numPr>
          <w:ilvl w:val="3"/>
          <w:numId w:val="173"/>
        </w:numPr>
      </w:pPr>
      <w:bookmarkStart w:id="2281" w:name="_Ref140164445"/>
      <w:r>
        <w:t>is transferrable to only:</w:t>
      </w:r>
      <w:bookmarkEnd w:id="2281"/>
    </w:p>
    <w:p w14:paraId="041DF488" w14:textId="77777777" w:rsidR="00E60EAE" w:rsidRDefault="00E60EAE" w:rsidP="00B71FC0">
      <w:pPr>
        <w:pStyle w:val="Numbered111ai"/>
        <w:numPr>
          <w:ilvl w:val="4"/>
          <w:numId w:val="173"/>
        </w:numPr>
      </w:pPr>
      <w:r>
        <w:t>a Crown Body;</w:t>
      </w:r>
    </w:p>
    <w:p w14:paraId="0C3AABD9" w14:textId="77777777" w:rsidR="00E60EAE" w:rsidRDefault="00E60EAE" w:rsidP="00B71FC0">
      <w:pPr>
        <w:pStyle w:val="Numbered111ai"/>
        <w:numPr>
          <w:ilvl w:val="4"/>
          <w:numId w:val="1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0A6049C4" w14:textId="77777777" w:rsidR="00817698" w:rsidRDefault="00E60EAE" w:rsidP="00817698">
      <w:pPr>
        <w:pStyle w:val="Numbered111ai"/>
        <w:numPr>
          <w:ilvl w:val="4"/>
          <w:numId w:val="173"/>
        </w:numPr>
      </w:pPr>
      <w:r>
        <w:t>a person or organisation that is not a direct competitor of the Supplier</w:t>
      </w:r>
      <w:r w:rsidR="00817698">
        <w:t>, where that transferee:</w:t>
      </w:r>
    </w:p>
    <w:p w14:paraId="2AFA9116" w14:textId="5B8B8684" w:rsidR="00817698" w:rsidRDefault="00817698" w:rsidP="00817698">
      <w:pPr>
        <w:pStyle w:val="Numbered111aiA"/>
        <w:numPr>
          <w:ilvl w:val="5"/>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699CCB43" w14:textId="77777777" w:rsidR="00817698" w:rsidRDefault="00817698" w:rsidP="00817698">
      <w:pPr>
        <w:pStyle w:val="Numbered111aiA"/>
        <w:numPr>
          <w:ilvl w:val="5"/>
          <w:numId w:val="173"/>
        </w:numPr>
      </w:pPr>
      <w:r>
        <w:t xml:space="preserve">enters into a confidentiality arrangement with the Authority in terms equivalent to those set out in set out in Clause 19 </w:t>
      </w:r>
      <w:r>
        <w:lastRenderedPageBreak/>
        <w:t>(</w:t>
      </w:r>
      <w:r w:rsidRPr="00E03699">
        <w:rPr>
          <w:i/>
          <w:iCs/>
        </w:rPr>
        <w:t>Confidentiality</w:t>
      </w:r>
      <w:r>
        <w:t xml:space="preserve">); </w:t>
      </w:r>
    </w:p>
    <w:p w14:paraId="4857EA3F" w14:textId="740E044E" w:rsidR="00817698" w:rsidRDefault="00E60EAE" w:rsidP="00817698">
      <w:pPr>
        <w:pStyle w:val="Numbered111a"/>
        <w:numPr>
          <w:ilvl w:val="3"/>
          <w:numId w:val="173"/>
        </w:numPr>
      </w:pPr>
      <w:r w:rsidRPr="007E15D7">
        <w:t>is sub-licensable to the Replacement Supplier (including where the Replacement Supplier is a competitor of the Supplier)</w:t>
      </w:r>
      <w:r w:rsidR="00817698" w:rsidRPr="00817698">
        <w:t xml:space="preserve"> </w:t>
      </w:r>
      <w:r w:rsidR="00817698">
        <w:t>where the Replacement Supplier:</w:t>
      </w:r>
    </w:p>
    <w:p w14:paraId="6FC25604" w14:textId="52C8877D" w:rsidR="00817698" w:rsidRDefault="00817698" w:rsidP="00817698">
      <w:pPr>
        <w:pStyle w:val="Numbered111ai"/>
        <w:numPr>
          <w:ilvl w:val="4"/>
          <w:numId w:val="173"/>
        </w:numPr>
      </w:pPr>
      <w:r>
        <w:t xml:space="preserve">enters into a direct arrangement with the Supplier in the form set out in </w:t>
      </w:r>
      <w:r w:rsidR="00C16B52">
        <w:t>Annex </w:t>
      </w:r>
      <w:r w:rsidR="00C16B52">
        <w:fldChar w:fldCharType="begin"/>
      </w:r>
      <w:r w:rsidR="00C16B52">
        <w:instrText xml:space="preserve"> REF Schedule_31_Annex_1 \h </w:instrText>
      </w:r>
      <w:r w:rsidR="00C16B52">
        <w:fldChar w:fldCharType="separate"/>
      </w:r>
      <w:r w:rsidR="009749A0" w:rsidRPr="00BD6C5F">
        <w:t>1</w:t>
      </w:r>
      <w:r w:rsidR="00C16B52">
        <w:fldChar w:fldCharType="end"/>
      </w:r>
      <w:r w:rsidR="00C16B52">
        <w:t xml:space="preserve"> to Schedule </w:t>
      </w:r>
      <w:r w:rsidR="00C16B52">
        <w:fldChar w:fldCharType="begin"/>
      </w:r>
      <w:r w:rsidR="00C16B52">
        <w:instrText xml:space="preserve"> REF Schedule_12 \h </w:instrText>
      </w:r>
      <w:r w:rsidR="00C16B52">
        <w:fldChar w:fldCharType="separate"/>
      </w:r>
      <w:r w:rsidR="009749A0">
        <w:t>12</w:t>
      </w:r>
      <w:r w:rsidR="00C16B52">
        <w:fldChar w:fldCharType="end"/>
      </w:r>
      <w:r w:rsidR="00C16B52">
        <w:t xml:space="preserve"> (</w:t>
      </w:r>
      <w:r w:rsidR="00C16B52">
        <w:rPr>
          <w:i/>
          <w:iCs/>
        </w:rPr>
        <w:t>Software</w:t>
      </w:r>
      <w:r w:rsidR="00C16B52">
        <w:t>)</w:t>
      </w:r>
      <w:r>
        <w:t>; or</w:t>
      </w:r>
    </w:p>
    <w:p w14:paraId="0D6ABD36" w14:textId="77777777" w:rsidR="00817698" w:rsidRDefault="00817698" w:rsidP="00817698">
      <w:pPr>
        <w:pStyle w:val="Numbered111ai"/>
        <w:numPr>
          <w:ilvl w:val="4"/>
          <w:numId w:val="173"/>
        </w:numPr>
      </w:pPr>
      <w:r>
        <w:t>enters into a confidentiality arrangement with the Authority in terms equivalent to those set out in set out in Clause 19 (</w:t>
      </w:r>
      <w:r w:rsidRPr="00E03699">
        <w:rPr>
          <w:i/>
          <w:iCs/>
        </w:rPr>
        <w:t>Confidentiality</w:t>
      </w:r>
      <w:r>
        <w:t>);</w:t>
      </w:r>
    </w:p>
    <w:p w14:paraId="302AE4BC" w14:textId="77777777" w:rsidR="00E60EAE" w:rsidRDefault="00E60EAE" w:rsidP="00B71FC0">
      <w:pPr>
        <w:pStyle w:val="Numbered111"/>
        <w:keepNext/>
        <w:numPr>
          <w:ilvl w:val="2"/>
          <w:numId w:val="173"/>
        </w:numPr>
      </w:pPr>
      <w:r>
        <w:t>expires at the later of</w:t>
      </w:r>
    </w:p>
    <w:p w14:paraId="7895CAFF" w14:textId="77777777" w:rsidR="00E60EAE" w:rsidRDefault="00E60EAE" w:rsidP="00B71FC0">
      <w:pPr>
        <w:pStyle w:val="Numbered111a"/>
        <w:numPr>
          <w:ilvl w:val="3"/>
          <w:numId w:val="173"/>
        </w:numPr>
      </w:pPr>
      <w:r>
        <w:t>the expiry of the Term; or</w:t>
      </w:r>
    </w:p>
    <w:p w14:paraId="25999C83" w14:textId="77777777" w:rsidR="00E60EAE" w:rsidRDefault="00E60EAE" w:rsidP="00B71FC0">
      <w:pPr>
        <w:pStyle w:val="Numbered111a"/>
        <w:numPr>
          <w:ilvl w:val="3"/>
          <w:numId w:val="173"/>
        </w:numPr>
      </w:pPr>
      <w:r>
        <w:t>the expiry of any Termination Assistance Period; and</w:t>
      </w:r>
    </w:p>
    <w:p w14:paraId="11161B72" w14:textId="77777777" w:rsidR="00E60EAE" w:rsidRDefault="00E60EAE" w:rsidP="00B71FC0">
      <w:pPr>
        <w:pStyle w:val="Numbered111"/>
        <w:keepNext/>
        <w:numPr>
          <w:ilvl w:val="2"/>
          <w:numId w:val="173"/>
        </w:numPr>
      </w:pPr>
      <w:r>
        <w:t>is subject to the restrictions that</w:t>
      </w:r>
    </w:p>
    <w:p w14:paraId="18278D54" w14:textId="77777777" w:rsidR="00E60EAE" w:rsidRDefault="00E60EAE" w:rsidP="00B71FC0">
      <w:pPr>
        <w:pStyle w:val="Numbered111a"/>
        <w:keepNext/>
        <w:numPr>
          <w:ilvl w:val="3"/>
          <w:numId w:val="173"/>
        </w:numPr>
      </w:pPr>
      <w:r>
        <w:t>each transferee or sub-licensee either:</w:t>
      </w:r>
    </w:p>
    <w:p w14:paraId="406589BC" w14:textId="10083030" w:rsidR="00E60EAE" w:rsidRDefault="00E60EAE" w:rsidP="00B71FC0">
      <w:pPr>
        <w:pStyle w:val="Numbered111ai"/>
        <w:numPr>
          <w:ilvl w:val="4"/>
          <w:numId w:val="173"/>
        </w:numPr>
      </w:pPr>
      <w:r>
        <w:t>enters into a direct arrangement with the Supplier in the form set out in 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to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or</w:t>
      </w:r>
    </w:p>
    <w:p w14:paraId="1261D04F" w14:textId="186CC8FA" w:rsidR="00E60EAE" w:rsidRDefault="00E60EAE" w:rsidP="00B71FC0">
      <w:pPr>
        <w:pStyle w:val="Numbered111ai"/>
        <w:numPr>
          <w:ilvl w:val="4"/>
          <w:numId w:val="173"/>
        </w:numPr>
      </w:pPr>
      <w:r>
        <w:t xml:space="preserve">enters into a confidentiality arrangement with the Authority in terms equivalent to those set out in </w:t>
      </w:r>
      <w:r w:rsidRPr="00E36B93">
        <w:t xml:space="preserve">set out in </w:t>
      </w:r>
      <w:r>
        <w:t>Clause 19 (</w:t>
      </w:r>
      <w:r>
        <w:rPr>
          <w:i/>
          <w:iCs/>
        </w:rPr>
        <w:t>Confidentiality</w:t>
      </w:r>
      <w:r>
        <w:t>); and</w:t>
      </w:r>
    </w:p>
    <w:p w14:paraId="4D812676" w14:textId="77777777" w:rsidR="00E60EAE" w:rsidRDefault="00E60EAE" w:rsidP="00B71FC0">
      <w:pPr>
        <w:pStyle w:val="Numbered111a"/>
        <w:numPr>
          <w:ilvl w:val="3"/>
          <w:numId w:val="173"/>
        </w:numPr>
      </w:pPr>
      <w:r>
        <w:t>no sub-licence granted to the relevant IPR shall purport to provide the sub-licensee with any wider rights than those granted to the Authority under this Paragraph.</w:t>
      </w:r>
    </w:p>
    <w:p w14:paraId="6EAD6CCF" w14:textId="3D2A458B" w:rsidR="00E60EAE" w:rsidRDefault="00E60EAE" w:rsidP="00B71FC0">
      <w:pPr>
        <w:pStyle w:val="Numbered11"/>
        <w:keepNext/>
        <w:numPr>
          <w:ilvl w:val="1"/>
          <w:numId w:val="173"/>
        </w:numPr>
      </w:pPr>
      <w:bookmarkStart w:id="2282" w:name="_Ref140164180"/>
      <w:r>
        <w:t>For the purposes of Paragraphs </w:t>
      </w:r>
      <w:r>
        <w:fldChar w:fldCharType="begin"/>
      </w:r>
      <w:r>
        <w:instrText xml:space="preserve"> REF _Ref140164143 \r \h  \* MERGEFORMAT </w:instrText>
      </w:r>
      <w:r>
        <w:fldChar w:fldCharType="separate"/>
      </w:r>
      <w:r w:rsidR="009749A0">
        <w:t>2.1</w:t>
      </w:r>
      <w:r>
        <w:fldChar w:fldCharType="end"/>
      </w:r>
      <w:r>
        <w:t xml:space="preserve"> and </w:t>
      </w:r>
      <w:r>
        <w:fldChar w:fldCharType="begin"/>
      </w:r>
      <w:r>
        <w:instrText xml:space="preserve"> REF _Ref140164126 \r \h  \* MERGEFORMAT </w:instrText>
      </w:r>
      <w:r>
        <w:fldChar w:fldCharType="separate"/>
      </w:r>
      <w:r w:rsidR="009749A0">
        <w:t>2.3</w:t>
      </w:r>
      <w:r>
        <w:fldChar w:fldCharType="end"/>
      </w:r>
      <w:r>
        <w:t>, the relevant purposes are:</w:t>
      </w:r>
      <w:bookmarkEnd w:id="2282"/>
    </w:p>
    <w:p w14:paraId="0E342947" w14:textId="77777777" w:rsidR="00E60EAE" w:rsidRDefault="00E60EAE" w:rsidP="00B71FC0">
      <w:pPr>
        <w:pStyle w:val="Numbered111"/>
        <w:numPr>
          <w:ilvl w:val="2"/>
          <w:numId w:val="173"/>
        </w:numPr>
      </w:pPr>
      <w:r>
        <w:t>to allow the Authority or any End User to receive and use the Deliverables; and</w:t>
      </w:r>
    </w:p>
    <w:p w14:paraId="022047D0" w14:textId="77777777" w:rsidR="00E60EAE" w:rsidRDefault="00E60EAE" w:rsidP="00B71FC0">
      <w:pPr>
        <w:pStyle w:val="Numbered111"/>
        <w:numPr>
          <w:ilvl w:val="2"/>
          <w:numId w:val="173"/>
        </w:numPr>
      </w:pPr>
      <w:r>
        <w:t>for any purpose relating to the exercise of the Authority’s (or, if the Authority is a Public Sector Body, any other Public Sector Body’s) business or function.</w:t>
      </w:r>
    </w:p>
    <w:p w14:paraId="2B6FA0D3" w14:textId="77777777" w:rsidR="00E60EAE" w:rsidRDefault="00E60EAE" w:rsidP="00B71FC0">
      <w:pPr>
        <w:pStyle w:val="Numbered11"/>
        <w:keepNext/>
        <w:numPr>
          <w:ilvl w:val="1"/>
          <w:numId w:val="173"/>
        </w:numPr>
      </w:pPr>
      <w:bookmarkStart w:id="2283" w:name="_Ref140164477"/>
      <w:r>
        <w:t>Where the legal status of the Authority changes, such that it ceases to be a Central Government Body:</w:t>
      </w:r>
      <w:bookmarkEnd w:id="2283"/>
    </w:p>
    <w:p w14:paraId="74798336" w14:textId="59E566BC" w:rsidR="00E60EAE" w:rsidRDefault="00E60EAE" w:rsidP="00B71FC0">
      <w:pPr>
        <w:pStyle w:val="Numbered111"/>
        <w:numPr>
          <w:ilvl w:val="2"/>
          <w:numId w:val="173"/>
        </w:numPr>
      </w:pPr>
      <w:r>
        <w:t>the licence granted under Paragraph </w:t>
      </w:r>
      <w:r>
        <w:fldChar w:fldCharType="begin"/>
      </w:r>
      <w:r>
        <w:instrText xml:space="preserve"> REF _Ref140164126 \r \h  \* MERGEFORMAT </w:instrText>
      </w:r>
      <w:r>
        <w:fldChar w:fldCharType="separate"/>
      </w:r>
      <w:r w:rsidR="009749A0">
        <w:t>2.3</w:t>
      </w:r>
      <w:r>
        <w:fldChar w:fldCharType="end"/>
      </w:r>
      <w:r>
        <w:t xml:space="preserve"> is unaffected; and</w:t>
      </w:r>
    </w:p>
    <w:p w14:paraId="74ABA72D" w14:textId="1DE61642" w:rsidR="00E60EAE" w:rsidRDefault="00E60EAE" w:rsidP="00B71FC0">
      <w:pPr>
        <w:pStyle w:val="Numbered111"/>
        <w:numPr>
          <w:ilvl w:val="2"/>
          <w:numId w:val="173"/>
        </w:numPr>
      </w:pPr>
      <w:r>
        <w:t>any successor body of the Authority that is a Crown Body shall have the benefit of the licence granted under Paragraph </w:t>
      </w:r>
      <w:r>
        <w:fldChar w:fldCharType="begin"/>
      </w:r>
      <w:r>
        <w:instrText xml:space="preserve"> REF _Ref140164126 \r \h  \* MERGEFORMAT </w:instrText>
      </w:r>
      <w:r>
        <w:fldChar w:fldCharType="separate"/>
      </w:r>
      <w:r w:rsidR="009749A0">
        <w:t>2.3</w:t>
      </w:r>
      <w:r>
        <w:fldChar w:fldCharType="end"/>
      </w:r>
      <w:r>
        <w:t>.</w:t>
      </w:r>
    </w:p>
    <w:p w14:paraId="78394D39" w14:textId="4AD41C7B" w:rsidR="00E60EAE" w:rsidRDefault="00E60EAE" w:rsidP="00B71FC0">
      <w:pPr>
        <w:pStyle w:val="Numbered11"/>
        <w:numPr>
          <w:ilvl w:val="1"/>
          <w:numId w:val="173"/>
        </w:numPr>
      </w:pPr>
      <w:r>
        <w:t>Where the licence granted under Paragraph </w:t>
      </w:r>
      <w:r>
        <w:fldChar w:fldCharType="begin"/>
      </w:r>
      <w:r>
        <w:instrText xml:space="preserve"> REF _Ref140164126 \r \h  \* MERGEFORMAT </w:instrText>
      </w:r>
      <w:r>
        <w:fldChar w:fldCharType="separate"/>
      </w:r>
      <w:r w:rsidR="009749A0">
        <w:t>2.3</w:t>
      </w:r>
      <w:r>
        <w:fldChar w:fldCharType="end"/>
      </w:r>
      <w:r>
        <w:t xml:space="preserve"> is transferred under Paragraph </w:t>
      </w:r>
      <w:r>
        <w:fldChar w:fldCharType="begin"/>
      </w:r>
      <w:r>
        <w:instrText xml:space="preserve"> REF _Ref140164414 \r \h  \* MERGEFORMAT </w:instrText>
      </w:r>
      <w:r>
        <w:fldChar w:fldCharType="separate"/>
      </w:r>
      <w:r w:rsidR="009749A0">
        <w:t>2.3.1(b)</w:t>
      </w:r>
      <w:r>
        <w:fldChar w:fldCharType="end"/>
      </w:r>
      <w:r>
        <w:t xml:space="preserve"> or </w:t>
      </w:r>
      <w:r>
        <w:fldChar w:fldCharType="begin"/>
      </w:r>
      <w:r>
        <w:instrText xml:space="preserve"> REF _Ref140164445 \r \h  \* MERGEFORMAT </w:instrText>
      </w:r>
      <w:r>
        <w:fldChar w:fldCharType="separate"/>
      </w:r>
      <w:r w:rsidR="009749A0">
        <w:t>2.3.2(b)</w:t>
      </w:r>
      <w:r>
        <w:fldChar w:fldCharType="end"/>
      </w:r>
      <w:r>
        <w:t xml:space="preserve"> or there is a change in the Authority’s legal status to which Paragraph </w:t>
      </w:r>
      <w:r>
        <w:fldChar w:fldCharType="begin"/>
      </w:r>
      <w:r>
        <w:instrText xml:space="preserve"> REF _Ref140164477 \r \h  \* MERGEFORMAT </w:instrText>
      </w:r>
      <w:r>
        <w:fldChar w:fldCharType="separate"/>
      </w:r>
      <w:r w:rsidR="009749A0">
        <w:t>2.5</w:t>
      </w:r>
      <w:r>
        <w:fldChar w:fldCharType="end"/>
      </w:r>
      <w:r>
        <w:t xml:space="preserve"> applies, the transferee or successor body do not acquire any wider rights than those granted to the Authority under this Paragraph.</w:t>
      </w:r>
    </w:p>
    <w:p w14:paraId="495488DB" w14:textId="77777777" w:rsidR="00E60EAE" w:rsidRDefault="00E60EAE" w:rsidP="00B71FC0">
      <w:pPr>
        <w:pStyle w:val="Numbered1"/>
        <w:numPr>
          <w:ilvl w:val="0"/>
          <w:numId w:val="173"/>
        </w:numPr>
      </w:pPr>
      <w:bookmarkStart w:id="2284" w:name="_Ref140164769"/>
      <w:r>
        <w:lastRenderedPageBreak/>
        <w:t>Authority approval for Supplier to exploit Authority IPR</w:t>
      </w:r>
      <w:bookmarkEnd w:id="2284"/>
    </w:p>
    <w:p w14:paraId="4B130ADB" w14:textId="77777777" w:rsidR="00E60EAE" w:rsidRDefault="00E60EAE" w:rsidP="00B71FC0">
      <w:pPr>
        <w:pStyle w:val="Numbered11"/>
        <w:keepNext/>
        <w:numPr>
          <w:ilvl w:val="1"/>
          <w:numId w:val="173"/>
        </w:numPr>
      </w:pPr>
      <w:r>
        <w:t>Before using, copying or adapting any:</w:t>
      </w:r>
    </w:p>
    <w:p w14:paraId="34945078" w14:textId="77777777" w:rsidR="00E60EAE" w:rsidRDefault="00E60EAE" w:rsidP="00B71FC0">
      <w:pPr>
        <w:pStyle w:val="Numbered111"/>
        <w:numPr>
          <w:ilvl w:val="2"/>
          <w:numId w:val="173"/>
        </w:numPr>
      </w:pPr>
      <w:r>
        <w:t>Authority Software;</w:t>
      </w:r>
    </w:p>
    <w:p w14:paraId="38DFEE6D" w14:textId="77777777" w:rsidR="00E60EAE" w:rsidRDefault="00E60EAE" w:rsidP="00B71FC0">
      <w:pPr>
        <w:pStyle w:val="Numbered111"/>
        <w:numPr>
          <w:ilvl w:val="2"/>
          <w:numId w:val="173"/>
        </w:numPr>
      </w:pPr>
      <w:r>
        <w:t>Authority Data; and</w:t>
      </w:r>
    </w:p>
    <w:p w14:paraId="01CA957B" w14:textId="77777777" w:rsidR="00E60EAE" w:rsidRDefault="00E60EAE" w:rsidP="00B71FC0">
      <w:pPr>
        <w:pStyle w:val="Numbered111"/>
        <w:keepNext/>
        <w:numPr>
          <w:ilvl w:val="2"/>
          <w:numId w:val="173"/>
        </w:numPr>
      </w:pPr>
      <w:r>
        <w:t>Authority Background IPRs;</w:t>
      </w:r>
    </w:p>
    <w:p w14:paraId="53D546E8" w14:textId="77777777" w:rsidR="00E60EAE" w:rsidRDefault="00E60EAE" w:rsidP="00E60EAE">
      <w:pPr>
        <w:pStyle w:val="StdBodyText1"/>
      </w:pPr>
      <w:r>
        <w:t>for any purpose other than fulfilling its obligations under this Contract, the Supplier must seek the approval of the Authority in accordance with the provisions of this Paragraph.</w:t>
      </w:r>
    </w:p>
    <w:p w14:paraId="380E071A" w14:textId="77777777" w:rsidR="00E60EAE" w:rsidRDefault="00E60EAE" w:rsidP="00B71FC0">
      <w:pPr>
        <w:pStyle w:val="Numbered11"/>
        <w:numPr>
          <w:ilvl w:val="1"/>
          <w:numId w:val="173"/>
        </w:numPr>
      </w:pPr>
      <w:r>
        <w:t>The Authority may terminate any licence it grants under this Paragraph by notice in writing with immediate effect where the Supplier breaches any condition in that licence.</w:t>
      </w:r>
    </w:p>
    <w:p w14:paraId="0D33529B" w14:textId="1E157872" w:rsidR="00E60EAE" w:rsidRPr="00F917B5" w:rsidRDefault="00E60EAE" w:rsidP="00E60EAE">
      <w:pPr>
        <w:pStyle w:val="StdBodyText"/>
      </w:pPr>
      <w:bookmarkStart w:id="2285" w:name="_Hlk140818074"/>
      <w:r w:rsidRPr="00524A21">
        <w:t>[</w:t>
      </w:r>
      <w:r w:rsidRPr="00524A21">
        <w:rPr>
          <w:b/>
          <w:bCs/>
          <w:i/>
          <w:iCs/>
          <w:highlight w:val="yellow"/>
        </w:rPr>
        <w:t xml:space="preserve">Guidance note: where </w:t>
      </w:r>
      <w:r w:rsidRPr="00B664D1">
        <w:rPr>
          <w:b/>
          <w:bCs/>
          <w:i/>
          <w:iCs/>
          <w:highlight w:val="yellow"/>
        </w:rPr>
        <w:t>Option </w:t>
      </w:r>
      <w:r w:rsidRPr="00B664D1">
        <w:rPr>
          <w:b/>
          <w:bCs/>
          <w:i/>
          <w:iCs/>
          <w:highlight w:val="yellow"/>
        </w:rPr>
        <w:fldChar w:fldCharType="begin"/>
      </w:r>
      <w:r w:rsidRPr="00B664D1">
        <w:rPr>
          <w:b/>
          <w:bCs/>
          <w:i/>
          <w:iCs/>
          <w:highlight w:val="yellow"/>
        </w:rPr>
        <w:instrText xml:space="preserve"> REF OPTION5_SCHEDULE32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5</w:t>
      </w:r>
      <w:r w:rsidRPr="00B664D1">
        <w:rPr>
          <w:b/>
          <w:bCs/>
          <w:i/>
          <w:iCs/>
          <w:highlight w:val="yellow"/>
        </w:rPr>
        <w:fldChar w:fldCharType="end"/>
      </w:r>
      <w:r w:rsidRPr="00B664D1">
        <w:rPr>
          <w:b/>
          <w:bCs/>
          <w:i/>
          <w:iCs/>
          <w:highlight w:val="yellow"/>
        </w:rPr>
        <w:t xml:space="preserve"> is used, replace Paragraphs </w:t>
      </w:r>
      <w:r w:rsidRPr="00B664D1">
        <w:rPr>
          <w:b/>
          <w:bCs/>
          <w:i/>
          <w:iCs/>
          <w:highlight w:val="yellow"/>
        </w:rPr>
        <w:fldChar w:fldCharType="begin"/>
      </w:r>
      <w:r w:rsidRPr="00B664D1">
        <w:rPr>
          <w:b/>
          <w:bCs/>
          <w:i/>
          <w:iCs/>
          <w:highlight w:val="yellow"/>
        </w:rPr>
        <w:instrText xml:space="preserve"> REF _Ref140818730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3.3</w:t>
      </w:r>
      <w:r w:rsidRPr="00B664D1">
        <w:rPr>
          <w:b/>
          <w:bCs/>
          <w:i/>
          <w:iCs/>
          <w:highlight w:val="yellow"/>
        </w:rPr>
        <w:fldChar w:fldCharType="end"/>
      </w:r>
      <w:r w:rsidRPr="00B664D1">
        <w:rPr>
          <w:b/>
          <w:bCs/>
          <w:i/>
          <w:iCs/>
          <w:highlight w:val="yellow"/>
        </w:rPr>
        <w:t xml:space="preserve">, </w:t>
      </w:r>
      <w:r w:rsidRPr="00B664D1">
        <w:rPr>
          <w:b/>
          <w:bCs/>
          <w:i/>
          <w:iCs/>
          <w:highlight w:val="yellow"/>
        </w:rPr>
        <w:fldChar w:fldCharType="begin"/>
      </w:r>
      <w:r w:rsidRPr="00B664D1">
        <w:rPr>
          <w:b/>
          <w:bCs/>
          <w:i/>
          <w:iCs/>
          <w:highlight w:val="yellow"/>
        </w:rPr>
        <w:instrText xml:space="preserve"> REF _Ref140818732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3.4</w:t>
      </w:r>
      <w:r w:rsidRPr="00B664D1">
        <w:rPr>
          <w:b/>
          <w:bCs/>
          <w:i/>
          <w:iCs/>
          <w:highlight w:val="yellow"/>
        </w:rPr>
        <w:fldChar w:fldCharType="end"/>
      </w:r>
      <w:r w:rsidRPr="00B664D1">
        <w:rPr>
          <w:b/>
          <w:bCs/>
          <w:i/>
          <w:iCs/>
          <w:highlight w:val="yellow"/>
        </w:rPr>
        <w:t xml:space="preserve">, </w:t>
      </w:r>
      <w:r w:rsidRPr="00B664D1">
        <w:rPr>
          <w:b/>
          <w:bCs/>
          <w:i/>
          <w:iCs/>
          <w:highlight w:val="yellow"/>
        </w:rPr>
        <w:fldChar w:fldCharType="begin"/>
      </w:r>
      <w:r w:rsidRPr="00B664D1">
        <w:rPr>
          <w:b/>
          <w:bCs/>
          <w:i/>
          <w:iCs/>
          <w:highlight w:val="yellow"/>
        </w:rPr>
        <w:instrText xml:space="preserve"> REF _Ref140818737 \r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3.5</w:t>
      </w:r>
      <w:r w:rsidRPr="00B664D1">
        <w:rPr>
          <w:b/>
          <w:bCs/>
          <w:i/>
          <w:iCs/>
          <w:highlight w:val="yellow"/>
        </w:rPr>
        <w:fldChar w:fldCharType="end"/>
      </w:r>
      <w:r w:rsidRPr="00B664D1">
        <w:rPr>
          <w:b/>
          <w:bCs/>
          <w:i/>
          <w:iCs/>
          <w:highlight w:val="yellow"/>
        </w:rPr>
        <w:t xml:space="preserve"> with the Paragraphs in Option </w:t>
      </w:r>
      <w:r w:rsidRPr="00B664D1">
        <w:rPr>
          <w:b/>
          <w:bCs/>
          <w:i/>
          <w:iCs/>
          <w:highlight w:val="yellow"/>
        </w:rPr>
        <w:fldChar w:fldCharType="begin"/>
      </w:r>
      <w:r w:rsidRPr="00B664D1">
        <w:rPr>
          <w:b/>
          <w:bCs/>
          <w:i/>
          <w:iCs/>
          <w:highlight w:val="yellow"/>
        </w:rPr>
        <w:instrText xml:space="preserve"> REF OPTION5_SCHEDULE32 \h  \* MERGEFORMAT </w:instrText>
      </w:r>
      <w:r w:rsidRPr="00B664D1">
        <w:rPr>
          <w:b/>
          <w:bCs/>
          <w:i/>
          <w:iCs/>
          <w:highlight w:val="yellow"/>
        </w:rPr>
      </w:r>
      <w:r w:rsidRPr="00B664D1">
        <w:rPr>
          <w:b/>
          <w:bCs/>
          <w:i/>
          <w:iCs/>
          <w:highlight w:val="yellow"/>
        </w:rPr>
        <w:fldChar w:fldCharType="separate"/>
      </w:r>
      <w:r w:rsidR="009749A0" w:rsidRPr="00B664D1">
        <w:rPr>
          <w:b/>
          <w:bCs/>
          <w:i/>
          <w:iCs/>
          <w:highlight w:val="yellow"/>
        </w:rPr>
        <w:t>5</w:t>
      </w:r>
      <w:r w:rsidRPr="00B664D1">
        <w:rPr>
          <w:b/>
          <w:bCs/>
          <w:i/>
          <w:iCs/>
          <w:highlight w:val="yellow"/>
        </w:rPr>
        <w:fldChar w:fldCharType="end"/>
      </w:r>
      <w:r w:rsidRPr="00B664D1">
        <w:rPr>
          <w:b/>
          <w:bCs/>
          <w:i/>
          <w:iCs/>
          <w:highlight w:val="yellow"/>
        </w:rPr>
        <w:t>.</w:t>
      </w:r>
      <w:r w:rsidRPr="00B664D1">
        <w:rPr>
          <w:highlight w:val="yellow"/>
        </w:rPr>
        <w:t>]</w:t>
      </w:r>
    </w:p>
    <w:p w14:paraId="04F4B5D7" w14:textId="77777777" w:rsidR="00E60EAE" w:rsidRDefault="00E60EAE" w:rsidP="00B71FC0">
      <w:pPr>
        <w:pStyle w:val="Numbered11"/>
        <w:keepNext/>
        <w:numPr>
          <w:ilvl w:val="1"/>
          <w:numId w:val="173"/>
        </w:numPr>
      </w:pPr>
      <w:bookmarkStart w:id="2286" w:name="_Ref140818730"/>
      <w:bookmarkEnd w:id="2285"/>
      <w:r>
        <w:t>The Supplier must provide a proposal setting out:</w:t>
      </w:r>
      <w:bookmarkEnd w:id="2286"/>
    </w:p>
    <w:p w14:paraId="3AF0AF0E" w14:textId="77777777" w:rsidR="00E60EAE" w:rsidRDefault="00E60EAE" w:rsidP="00B71FC0">
      <w:pPr>
        <w:pStyle w:val="Numbered111"/>
        <w:numPr>
          <w:ilvl w:val="2"/>
          <w:numId w:val="173"/>
        </w:numPr>
      </w:pPr>
      <w:r>
        <w:t>the purpose for which it proposes to use the IPR;</w:t>
      </w:r>
    </w:p>
    <w:p w14:paraId="3E787D89" w14:textId="77777777" w:rsidR="00E60EAE" w:rsidRDefault="00E60EAE" w:rsidP="00B71FC0">
      <w:pPr>
        <w:pStyle w:val="Numbered111"/>
        <w:numPr>
          <w:ilvl w:val="2"/>
          <w:numId w:val="173"/>
        </w:numPr>
      </w:pPr>
      <w:r>
        <w:t>the activities the Supplier proposes to undertake with or in respect of the IPR;</w:t>
      </w:r>
    </w:p>
    <w:p w14:paraId="2F74B541" w14:textId="77777777" w:rsidR="00E60EAE" w:rsidRDefault="00E60EAE" w:rsidP="00B71FC0">
      <w:pPr>
        <w:pStyle w:val="Numbered111"/>
        <w:numPr>
          <w:ilvl w:val="2"/>
          <w:numId w:val="173"/>
        </w:numPr>
      </w:pPr>
      <w:r>
        <w:t>such further information as the Authority may reasonably require to properly consider the proposal.</w:t>
      </w:r>
    </w:p>
    <w:p w14:paraId="2B5A5934" w14:textId="77777777" w:rsidR="00E60EAE" w:rsidRDefault="00E60EAE" w:rsidP="00B71FC0">
      <w:pPr>
        <w:pStyle w:val="Numbered11"/>
        <w:keepNext/>
        <w:numPr>
          <w:ilvl w:val="1"/>
          <w:numId w:val="173"/>
        </w:numPr>
      </w:pPr>
      <w:bookmarkStart w:id="2287" w:name="_Ref140818732"/>
      <w:r>
        <w:t>The Authority may only refuse the Supplier’s proposal where it considers that if the Supplier were to implement the proposal it would harm:</w:t>
      </w:r>
      <w:bookmarkEnd w:id="2287"/>
    </w:p>
    <w:p w14:paraId="441CEA85" w14:textId="77777777" w:rsidR="00E60EAE" w:rsidRDefault="00E60EAE" w:rsidP="00B71FC0">
      <w:pPr>
        <w:pStyle w:val="Numbered111"/>
        <w:numPr>
          <w:ilvl w:val="2"/>
          <w:numId w:val="173"/>
        </w:numPr>
      </w:pPr>
      <w:r>
        <w:t>the Authority’s reputation; or</w:t>
      </w:r>
    </w:p>
    <w:p w14:paraId="245DC6DC" w14:textId="77777777" w:rsidR="00E60EAE" w:rsidRDefault="00E60EAE" w:rsidP="00B71FC0">
      <w:pPr>
        <w:pStyle w:val="Numbered111"/>
        <w:numPr>
          <w:ilvl w:val="2"/>
          <w:numId w:val="173"/>
        </w:numPr>
      </w:pPr>
      <w:r>
        <w:t>the Authority’s interests.</w:t>
      </w:r>
    </w:p>
    <w:p w14:paraId="3CA2B7E5" w14:textId="77777777" w:rsidR="00E60EAE" w:rsidRPr="00B10F86" w:rsidRDefault="00E60EAE" w:rsidP="00B71FC0">
      <w:pPr>
        <w:pStyle w:val="Numbered11"/>
        <w:keepNext/>
        <w:numPr>
          <w:ilvl w:val="1"/>
          <w:numId w:val="173"/>
        </w:numPr>
      </w:pPr>
      <w:bookmarkStart w:id="2288" w:name="_Ref140818737"/>
      <w:r w:rsidRPr="00B10F86">
        <w:t>Where the Authority has not:</w:t>
      </w:r>
      <w:bookmarkEnd w:id="2288"/>
    </w:p>
    <w:p w14:paraId="49759B17" w14:textId="77777777" w:rsidR="00E60EAE" w:rsidRPr="00B10F86" w:rsidRDefault="00E60EAE" w:rsidP="00B71FC0">
      <w:pPr>
        <w:pStyle w:val="Numbered111"/>
        <w:numPr>
          <w:ilvl w:val="2"/>
          <w:numId w:val="173"/>
        </w:numPr>
      </w:pPr>
      <w:r w:rsidRPr="00B10F86">
        <w:t>approved or declined the proposal; or</w:t>
      </w:r>
    </w:p>
    <w:p w14:paraId="3FCBA576" w14:textId="77777777" w:rsidR="00E60EAE" w:rsidRPr="00B10F86" w:rsidRDefault="00E60EAE" w:rsidP="00B71FC0">
      <w:pPr>
        <w:pStyle w:val="Numbered111"/>
        <w:numPr>
          <w:ilvl w:val="2"/>
          <w:numId w:val="173"/>
        </w:numPr>
      </w:pPr>
      <w:r w:rsidRPr="00B10F86">
        <w:t>required further information,</w:t>
      </w:r>
    </w:p>
    <w:p w14:paraId="02976D1F" w14:textId="77777777" w:rsidR="00E60EAE" w:rsidRDefault="00E60EAE" w:rsidP="00E60EAE">
      <w:pPr>
        <w:pStyle w:val="StdBodyText1"/>
        <w:keepNext/>
      </w:pPr>
      <w:r>
        <w:t>within 20 Working Days of the later of:</w:t>
      </w:r>
    </w:p>
    <w:p w14:paraId="0641FC28" w14:textId="77777777" w:rsidR="00E60EAE" w:rsidRDefault="00E60EAE" w:rsidP="00B71FC0">
      <w:pPr>
        <w:pStyle w:val="Numbered111"/>
        <w:numPr>
          <w:ilvl w:val="2"/>
          <w:numId w:val="173"/>
        </w:numPr>
      </w:pPr>
      <w:r>
        <w:t>the date the proposal was first provided to the Authority; or</w:t>
      </w:r>
    </w:p>
    <w:p w14:paraId="2C733F5C" w14:textId="77777777" w:rsidR="00E60EAE" w:rsidRDefault="00E60EAE" w:rsidP="00B71FC0">
      <w:pPr>
        <w:pStyle w:val="Numbered111"/>
        <w:keepNext/>
        <w:numPr>
          <w:ilvl w:val="2"/>
          <w:numId w:val="173"/>
        </w:numPr>
      </w:pPr>
      <w:r>
        <w:t>the date on which further information was provided to the Authority,</w:t>
      </w:r>
    </w:p>
    <w:p w14:paraId="5C527910" w14:textId="77777777" w:rsidR="00E60EAE" w:rsidRDefault="00E60EAE" w:rsidP="00E60EAE">
      <w:pPr>
        <w:pStyle w:val="StdBodyText2"/>
      </w:pPr>
      <w:r>
        <w:t>then the proposal is, for the purposes of this Contract, approved.</w:t>
      </w:r>
    </w:p>
    <w:p w14:paraId="2BCDE301" w14:textId="77777777" w:rsidR="00E60EAE" w:rsidRDefault="00E60EAE" w:rsidP="00B71FC0">
      <w:pPr>
        <w:pStyle w:val="Numbered1"/>
        <w:numPr>
          <w:ilvl w:val="0"/>
          <w:numId w:val="173"/>
        </w:numPr>
      </w:pPr>
      <w:bookmarkStart w:id="2289" w:name="_Ref140164832"/>
      <w:r>
        <w:t>Provision of information on Project Specific IPR and Specially Written Software</w:t>
      </w:r>
    </w:p>
    <w:p w14:paraId="148A618D" w14:textId="77777777" w:rsidR="00E60EAE" w:rsidRDefault="00E60EAE" w:rsidP="00B71FC0">
      <w:pPr>
        <w:pStyle w:val="Numbered11"/>
        <w:keepNext/>
        <w:numPr>
          <w:ilvl w:val="1"/>
          <w:numId w:val="173"/>
        </w:numPr>
      </w:pPr>
      <w:r>
        <w:t>The Authority may, at any time, require the Supplier to provide information on:</w:t>
      </w:r>
    </w:p>
    <w:p w14:paraId="1BCD1CF1" w14:textId="77777777" w:rsidR="00E60EAE" w:rsidRDefault="00E60EAE" w:rsidP="00B71FC0">
      <w:pPr>
        <w:pStyle w:val="Numbered111"/>
        <w:numPr>
          <w:ilvl w:val="2"/>
          <w:numId w:val="173"/>
        </w:numPr>
      </w:pPr>
      <w:r>
        <w:t>the purposes, other than for the purposes of this Contract, for which the Supplier uses Project Specific IPR and Specially Written Software; and</w:t>
      </w:r>
    </w:p>
    <w:p w14:paraId="26DBFE4D" w14:textId="77777777" w:rsidR="00E60EAE" w:rsidRDefault="00E60EAE" w:rsidP="00B71FC0">
      <w:pPr>
        <w:pStyle w:val="Numbered111"/>
        <w:numPr>
          <w:ilvl w:val="2"/>
          <w:numId w:val="173"/>
        </w:numPr>
      </w:pPr>
      <w:r>
        <w:t xml:space="preserve">the activities the Supplier undertakes, other than under this Contract, with or in </w:t>
      </w:r>
      <w:r>
        <w:lastRenderedPageBreak/>
        <w:t>respect of the Project Specific IPR and Specially Written Software.</w:t>
      </w:r>
    </w:p>
    <w:p w14:paraId="60B7A504" w14:textId="77777777" w:rsidR="00E60EAE" w:rsidRDefault="00E60EAE" w:rsidP="00B71FC0">
      <w:pPr>
        <w:pStyle w:val="Numbered11"/>
        <w:keepNext/>
        <w:numPr>
          <w:ilvl w:val="1"/>
          <w:numId w:val="173"/>
        </w:numPr>
      </w:pPr>
      <w:r>
        <w:t>The Supplier must provide the information required by the Authority:</w:t>
      </w:r>
    </w:p>
    <w:p w14:paraId="00426A84" w14:textId="77777777" w:rsidR="00E60EAE" w:rsidRDefault="00E60EAE" w:rsidP="00B71FC0">
      <w:pPr>
        <w:pStyle w:val="Numbered111"/>
        <w:numPr>
          <w:ilvl w:val="2"/>
          <w:numId w:val="173"/>
        </w:numPr>
      </w:pPr>
      <w:r>
        <w:t>within 20 Working Days of the date of the requirement; and</w:t>
      </w:r>
    </w:p>
    <w:p w14:paraId="0EFCF830" w14:textId="77777777" w:rsidR="00E60EAE" w:rsidRDefault="00E60EAE" w:rsidP="00B71FC0">
      <w:pPr>
        <w:pStyle w:val="Numbered111"/>
        <w:numPr>
          <w:ilvl w:val="2"/>
          <w:numId w:val="173"/>
        </w:numPr>
      </w:pPr>
      <w:r>
        <w:t>in the form and with the content specified by the Authority.</w:t>
      </w:r>
    </w:p>
    <w:p w14:paraId="19C9FFB1" w14:textId="77777777" w:rsidR="00E60EAE" w:rsidRDefault="00E60EAE" w:rsidP="00B71FC0">
      <w:pPr>
        <w:pStyle w:val="Numbered1"/>
        <w:numPr>
          <w:ilvl w:val="0"/>
          <w:numId w:val="173"/>
        </w:numPr>
      </w:pPr>
      <w:bookmarkStart w:id="2290" w:name="_Ref140767324"/>
      <w:bookmarkEnd w:id="2289"/>
      <w:r>
        <w:t>Use of Third Party IPR</w:t>
      </w:r>
      <w:bookmarkEnd w:id="2290"/>
    </w:p>
    <w:p w14:paraId="7562D842"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6C0F5FC1" w14:textId="77777777" w:rsidR="00E60EAE" w:rsidRDefault="00E60EAE" w:rsidP="00B71FC0">
      <w:pPr>
        <w:pStyle w:val="Numbered111"/>
        <w:numPr>
          <w:ilvl w:val="2"/>
          <w:numId w:val="173"/>
        </w:numPr>
      </w:pPr>
      <w:r>
        <w:t>Third Party Non-COTS Software; or</w:t>
      </w:r>
    </w:p>
    <w:p w14:paraId="24D9643A" w14:textId="77777777" w:rsidR="00E60EAE" w:rsidRDefault="00E60EAE" w:rsidP="00B71FC0">
      <w:pPr>
        <w:pStyle w:val="Numbered111"/>
        <w:keepNext/>
        <w:numPr>
          <w:ilvl w:val="2"/>
          <w:numId w:val="173"/>
        </w:numPr>
      </w:pPr>
      <w:r>
        <w:t>Third Party</w:t>
      </w:r>
      <w:r w:rsidRPr="00A550B3">
        <w:t xml:space="preserve"> Non-COTS Background IPR</w:t>
      </w:r>
      <w:r>
        <w:t>,</w:t>
      </w:r>
    </w:p>
    <w:p w14:paraId="42E6DB50" w14:textId="77777777" w:rsidR="00E60EAE" w:rsidRDefault="00E60EAE" w:rsidP="00927CC4">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one of the following conditions is met:</w:t>
      </w:r>
    </w:p>
    <w:p w14:paraId="2D786887" w14:textId="1421524D" w:rsidR="00E60EAE" w:rsidRDefault="00E60EAE" w:rsidP="00B71FC0">
      <w:pPr>
        <w:pStyle w:val="Numbered111"/>
        <w:numPr>
          <w:ilvl w:val="2"/>
          <w:numId w:val="173"/>
        </w:numPr>
      </w:pPr>
      <w:bookmarkStart w:id="2291" w:name="_Ref140164629"/>
      <w:r>
        <w:t>the owner or an authorised licensor of the relevant IPR has granted the Authority a direct licence on the terms equivalent to those set out in Paragraph </w:t>
      </w:r>
      <w:r>
        <w:fldChar w:fldCharType="begin"/>
      </w:r>
      <w:r>
        <w:instrText xml:space="preserve"> REF _Ref140164126 \r \h  \* MERGEFORMAT </w:instrText>
      </w:r>
      <w:r>
        <w:fldChar w:fldCharType="separate"/>
      </w:r>
      <w:r w:rsidR="009749A0">
        <w:t>2.3</w:t>
      </w:r>
      <w:r>
        <w:fldChar w:fldCharType="end"/>
      </w:r>
      <w:r>
        <w:t>; or</w:t>
      </w:r>
      <w:bookmarkEnd w:id="2291"/>
    </w:p>
    <w:p w14:paraId="7F4EBC0F" w14:textId="225A10B1" w:rsidR="00E60EAE" w:rsidRDefault="00E60EAE" w:rsidP="00B71FC0">
      <w:pPr>
        <w:pStyle w:val="Numbered111"/>
        <w:keepNext/>
        <w:numPr>
          <w:ilvl w:val="2"/>
          <w:numId w:val="173"/>
        </w:numPr>
      </w:pPr>
      <w:bookmarkStart w:id="2292" w:name="_Ref140164674"/>
      <w:r>
        <w:t>if the Supplier cannot, after commercially reasonable endeavours, meet the condition in Paragraph </w:t>
      </w:r>
      <w:r>
        <w:fldChar w:fldCharType="begin"/>
      </w:r>
      <w:r>
        <w:instrText xml:space="preserve"> REF _Ref140164629 \w \h  \* MERGEFORMAT </w:instrText>
      </w:r>
      <w:r>
        <w:fldChar w:fldCharType="separate"/>
      </w:r>
      <w:r w:rsidR="009749A0">
        <w:t>5.1.3</w:t>
      </w:r>
      <w:r>
        <w:fldChar w:fldCharType="end"/>
      </w:r>
      <w:r>
        <w:t>, all the following conditions are met:</w:t>
      </w:r>
      <w:bookmarkEnd w:id="2292"/>
    </w:p>
    <w:p w14:paraId="0A91946C" w14:textId="77777777" w:rsidR="00E60EAE" w:rsidRDefault="00E60EAE" w:rsidP="00B71FC0">
      <w:pPr>
        <w:pStyle w:val="Numbered111a"/>
        <w:keepNext/>
        <w:numPr>
          <w:ilvl w:val="3"/>
          <w:numId w:val="173"/>
        </w:numPr>
      </w:pPr>
      <w:r>
        <w:t>the Supplier has notified the Authority in writing giving details of:</w:t>
      </w:r>
    </w:p>
    <w:p w14:paraId="0DF7A836" w14:textId="77777777" w:rsidR="00E60EAE" w:rsidRDefault="00E60EAE" w:rsidP="00B71FC0">
      <w:pPr>
        <w:pStyle w:val="Numbered111ai"/>
        <w:numPr>
          <w:ilvl w:val="4"/>
          <w:numId w:val="173"/>
        </w:numPr>
      </w:pPr>
      <w:r>
        <w:t>what licence terms can be obtained from the relevant third party; and</w:t>
      </w:r>
    </w:p>
    <w:p w14:paraId="70FCE333" w14:textId="77777777" w:rsidR="00E60EAE" w:rsidRDefault="00E60EAE" w:rsidP="00B71FC0">
      <w:pPr>
        <w:pStyle w:val="Numbered111ai"/>
        <w:numPr>
          <w:ilvl w:val="4"/>
          <w:numId w:val="173"/>
        </w:numPr>
      </w:pPr>
      <w:r>
        <w:t xml:space="preserve">whether there are providers which the Supplier could seek to use and the licence terms obtainable from those third parties; </w:t>
      </w:r>
    </w:p>
    <w:p w14:paraId="30A51596" w14:textId="77777777" w:rsidR="00E60EAE" w:rsidRDefault="00E60EAE" w:rsidP="00B71FC0">
      <w:pPr>
        <w:pStyle w:val="Numbered111a"/>
        <w:numPr>
          <w:ilvl w:val="3"/>
          <w:numId w:val="173"/>
        </w:numPr>
      </w:pPr>
      <w:r>
        <w:t>the Authority approves the licence terms of one of those third parties; and</w:t>
      </w:r>
    </w:p>
    <w:p w14:paraId="4839F149" w14:textId="77777777" w:rsidR="00E60EAE" w:rsidRDefault="00E60EAE" w:rsidP="00B71FC0">
      <w:pPr>
        <w:pStyle w:val="Numbered111a"/>
        <w:numPr>
          <w:ilvl w:val="3"/>
          <w:numId w:val="173"/>
        </w:numPr>
      </w:pPr>
      <w:r>
        <w:t>the owner and authorised licensor of the Third Party IPR has granted a direct licence of the Third Party IPR to the Authority on those terms; or</w:t>
      </w:r>
    </w:p>
    <w:p w14:paraId="71EA5688" w14:textId="52EFFCDB" w:rsidR="00E60EAE" w:rsidRDefault="00E60EAE" w:rsidP="00B71FC0">
      <w:pPr>
        <w:pStyle w:val="Numbered111"/>
        <w:numPr>
          <w:ilvl w:val="2"/>
          <w:numId w:val="173"/>
        </w:numPr>
      </w:pPr>
      <w:r>
        <w:t>if the Supplier cannot meet the conditions in Paragraphs </w:t>
      </w:r>
      <w:r>
        <w:fldChar w:fldCharType="begin"/>
      </w:r>
      <w:r>
        <w:instrText xml:space="preserve"> REF _Ref140164629 \w \h  \* MERGEFORMAT </w:instrText>
      </w:r>
      <w:r>
        <w:fldChar w:fldCharType="separate"/>
      </w:r>
      <w:r w:rsidR="009749A0">
        <w:t>5.1.3</w:t>
      </w:r>
      <w:r>
        <w:fldChar w:fldCharType="end"/>
      </w:r>
      <w:r>
        <w:t xml:space="preserve"> and </w:t>
      </w:r>
      <w:r>
        <w:fldChar w:fldCharType="begin"/>
      </w:r>
      <w:r>
        <w:instrText xml:space="preserve"> REF _Ref140164674 \w \h  \* MERGEFORMAT </w:instrText>
      </w:r>
      <w:r>
        <w:fldChar w:fldCharType="separate"/>
      </w:r>
      <w:r w:rsidR="009749A0">
        <w:t>5.1.4</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w:t>
      </w:r>
    </w:p>
    <w:p w14:paraId="46069784" w14:textId="77777777" w:rsidR="00E60EAE" w:rsidRDefault="00E60EAE" w:rsidP="00B71FC0">
      <w:pPr>
        <w:pStyle w:val="Numbered11"/>
        <w:keepNext/>
        <w:numPr>
          <w:ilvl w:val="1"/>
          <w:numId w:val="173"/>
        </w:numPr>
      </w:pPr>
      <w:r w:rsidRPr="00A550B3">
        <w:t xml:space="preserve">The Supplier </w:t>
      </w:r>
      <w:r>
        <w:t xml:space="preserve">must </w:t>
      </w:r>
      <w:r w:rsidRPr="00A550B3">
        <w:t>not use any</w:t>
      </w:r>
      <w:r>
        <w:t>:</w:t>
      </w:r>
    </w:p>
    <w:p w14:paraId="05EF8364" w14:textId="77777777" w:rsidR="00E60EAE" w:rsidRDefault="00E60EAE" w:rsidP="00B71FC0">
      <w:pPr>
        <w:pStyle w:val="Numbered111"/>
        <w:numPr>
          <w:ilvl w:val="2"/>
          <w:numId w:val="173"/>
        </w:numPr>
      </w:pPr>
      <w:r>
        <w:t>Third Party COTS Software; or</w:t>
      </w:r>
    </w:p>
    <w:p w14:paraId="50903E09" w14:textId="77777777" w:rsidR="00E60EAE" w:rsidRDefault="00E60EAE" w:rsidP="00B71FC0">
      <w:pPr>
        <w:pStyle w:val="Numbered111"/>
        <w:keepNext/>
        <w:numPr>
          <w:ilvl w:val="2"/>
          <w:numId w:val="173"/>
        </w:numPr>
      </w:pPr>
      <w:r>
        <w:t>Third Party</w:t>
      </w:r>
      <w:r w:rsidRPr="00A550B3">
        <w:t xml:space="preserve"> COTS Background IPR</w:t>
      </w:r>
      <w:r>
        <w:t>,</w:t>
      </w:r>
    </w:p>
    <w:p w14:paraId="48A8CDA4" w14:textId="77777777" w:rsidR="00E60EAE" w:rsidRDefault="00E60EAE" w:rsidP="00927CC4">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the following conditions are met:</w:t>
      </w:r>
    </w:p>
    <w:p w14:paraId="0EE5D569" w14:textId="77777777" w:rsidR="00E60EAE" w:rsidRDefault="00E60EAE" w:rsidP="00B71FC0">
      <w:pPr>
        <w:pStyle w:val="Numbered111"/>
        <w:numPr>
          <w:ilvl w:val="2"/>
          <w:numId w:val="173"/>
        </w:numPr>
      </w:pPr>
      <w:r>
        <w:t xml:space="preserve">the Supplier has provided the Authority with the applicable terms for the IPRs (which must be </w:t>
      </w:r>
      <w:r w:rsidRPr="007306D4">
        <w:t xml:space="preserve">at a price and on terms no less favourable than those standard commercial terms on which such software is usually made commercially </w:t>
      </w:r>
      <w:r w:rsidRPr="007306D4">
        <w:lastRenderedPageBreak/>
        <w:t>available</w:t>
      </w:r>
      <w:r>
        <w:t>); and</w:t>
      </w:r>
    </w:p>
    <w:p w14:paraId="2238E5E7" w14:textId="77777777" w:rsidR="00E60EAE" w:rsidRDefault="00E60EAE" w:rsidP="00B71FC0">
      <w:pPr>
        <w:pStyle w:val="Numbered111"/>
        <w:numPr>
          <w:ilvl w:val="2"/>
          <w:numId w:val="173"/>
        </w:numPr>
      </w:pPr>
      <w:r>
        <w:t>the Authority has not (in its absolute discretion) rejected those licence terms within 10 Working Days of the date on which they were provided to the Authority.</w:t>
      </w:r>
    </w:p>
    <w:p w14:paraId="7BD890B4" w14:textId="77777777" w:rsidR="00E60EAE" w:rsidRDefault="00E60EAE" w:rsidP="00B71FC0">
      <w:pPr>
        <w:pStyle w:val="Numbered1"/>
        <w:numPr>
          <w:ilvl w:val="0"/>
          <w:numId w:val="173"/>
        </w:numPr>
      </w:pPr>
      <w:bookmarkStart w:id="2293" w:name="_Ref140782233"/>
      <w:r>
        <w:t>Licences granted by the Authority</w:t>
      </w:r>
      <w:bookmarkEnd w:id="2293"/>
    </w:p>
    <w:p w14:paraId="3E3435AA" w14:textId="74123717" w:rsidR="00E60EAE" w:rsidRDefault="00E60EAE" w:rsidP="00B71FC0">
      <w:pPr>
        <w:pStyle w:val="Numbered11"/>
        <w:keepNext/>
        <w:numPr>
          <w:ilvl w:val="1"/>
          <w:numId w:val="173"/>
        </w:numPr>
      </w:pPr>
      <w:bookmarkStart w:id="2294" w:name="_Ref140164815"/>
      <w:r>
        <w:t>Subject to Paragraph </w:t>
      </w:r>
      <w:r>
        <w:fldChar w:fldCharType="begin"/>
      </w:r>
      <w:r>
        <w:instrText xml:space="preserve"> REF _Ref140164769 \w \h  \* MERGEFORMAT </w:instrText>
      </w:r>
      <w:r>
        <w:fldChar w:fldCharType="separate"/>
      </w:r>
      <w:r w:rsidR="009749A0">
        <w:t>3</w:t>
      </w:r>
      <w:r>
        <w:fldChar w:fldCharType="end"/>
      </w:r>
      <w:r>
        <w:t>, the Authority grants the Supplier a licence to the</w:t>
      </w:r>
      <w:bookmarkEnd w:id="2294"/>
      <w:r>
        <w:t xml:space="preserve"> </w:t>
      </w:r>
    </w:p>
    <w:p w14:paraId="73FB805D" w14:textId="77777777" w:rsidR="00E60EAE" w:rsidRDefault="00E60EAE" w:rsidP="00B71FC0">
      <w:pPr>
        <w:pStyle w:val="Numbered111"/>
        <w:numPr>
          <w:ilvl w:val="2"/>
          <w:numId w:val="173"/>
        </w:numPr>
      </w:pPr>
      <w:r>
        <w:t>the Authority Software;</w:t>
      </w:r>
    </w:p>
    <w:p w14:paraId="1278662D" w14:textId="77777777" w:rsidR="00E60EAE" w:rsidRDefault="00E60EAE" w:rsidP="00B71FC0">
      <w:pPr>
        <w:pStyle w:val="Numbered111"/>
        <w:numPr>
          <w:ilvl w:val="2"/>
          <w:numId w:val="173"/>
        </w:numPr>
      </w:pPr>
      <w:r>
        <w:t>the Authority Data; and</w:t>
      </w:r>
    </w:p>
    <w:p w14:paraId="2FF47F86" w14:textId="77777777" w:rsidR="00E60EAE" w:rsidRDefault="00E60EAE" w:rsidP="00B71FC0">
      <w:pPr>
        <w:pStyle w:val="Numbered111"/>
        <w:numPr>
          <w:ilvl w:val="2"/>
          <w:numId w:val="173"/>
        </w:numPr>
      </w:pPr>
      <w:r>
        <w:t>the Authority Background IPRs</w:t>
      </w:r>
    </w:p>
    <w:p w14:paraId="51CD13D7" w14:textId="77777777" w:rsidR="00E60EAE" w:rsidRDefault="00E60EAE" w:rsidP="00E60EAE">
      <w:pPr>
        <w:pStyle w:val="StdBodyText1"/>
        <w:keepNext/>
      </w:pPr>
      <w:r>
        <w:t>that:</w:t>
      </w:r>
    </w:p>
    <w:p w14:paraId="437F08FB" w14:textId="77777777" w:rsidR="00E60EAE" w:rsidRDefault="00E60EAE" w:rsidP="00B71FC0">
      <w:pPr>
        <w:pStyle w:val="Numbered111"/>
        <w:numPr>
          <w:ilvl w:val="2"/>
          <w:numId w:val="173"/>
        </w:numPr>
      </w:pPr>
      <w:r>
        <w:t>is perpetual, non-exclusive, royalty-free and non-transferable;</w:t>
      </w:r>
    </w:p>
    <w:p w14:paraId="7B8851E8" w14:textId="77777777" w:rsidR="00E60EAE" w:rsidRDefault="00E60EAE" w:rsidP="00B71FC0">
      <w:pPr>
        <w:pStyle w:val="Numbered111"/>
        <w:keepNext/>
        <w:numPr>
          <w:ilvl w:val="2"/>
          <w:numId w:val="173"/>
        </w:numPr>
      </w:pPr>
      <w:bookmarkStart w:id="2295" w:name="_Ref140164851"/>
      <w:r>
        <w:t>is sub-licensable to any Sub-contractor where:</w:t>
      </w:r>
      <w:bookmarkEnd w:id="2295"/>
    </w:p>
    <w:p w14:paraId="37BB317C" w14:textId="78AE604F" w:rsidR="00E60EAE" w:rsidRDefault="00E60EAE" w:rsidP="00B71FC0">
      <w:pPr>
        <w:pStyle w:val="Numbered111a"/>
        <w:numPr>
          <w:ilvl w:val="3"/>
          <w:numId w:val="173"/>
        </w:numPr>
      </w:pPr>
      <w:r>
        <w:t>the Sub-contractor enters into a confidentiality undertaking</w:t>
      </w:r>
      <w:r w:rsidRPr="00E36B93">
        <w:t xml:space="preserve"> with the Supplier on the same terms as set out </w:t>
      </w:r>
      <w:r>
        <w:t xml:space="preserve">Annex </w:t>
      </w:r>
      <w:r w:rsidR="00FD4D72">
        <w:fldChar w:fldCharType="begin"/>
      </w:r>
      <w:r w:rsidR="00FD4D72">
        <w:instrText xml:space="preserve"> REF Schedule_31_Annex_1 \h </w:instrText>
      </w:r>
      <w:r w:rsidR="00FD4D72">
        <w:fldChar w:fldCharType="separate"/>
      </w:r>
      <w:r w:rsidR="009749A0" w:rsidRPr="00BD6C5F">
        <w:t>1</w:t>
      </w:r>
      <w:r w:rsidR="00FD4D72">
        <w:fldChar w:fldCharType="end"/>
      </w:r>
      <w:r>
        <w:t xml:space="preserve"> to Schedule </w:t>
      </w:r>
      <w:r w:rsidR="006065F7">
        <w:fldChar w:fldCharType="begin"/>
      </w:r>
      <w:r w:rsidR="006065F7">
        <w:instrText xml:space="preserve"> REF Schedule_12 \h </w:instrText>
      </w:r>
      <w:r w:rsidR="006065F7">
        <w:fldChar w:fldCharType="separate"/>
      </w:r>
      <w:r w:rsidR="009749A0">
        <w:t>12</w:t>
      </w:r>
      <w:r w:rsidR="006065F7">
        <w:fldChar w:fldCharType="end"/>
      </w:r>
      <w:r>
        <w:t xml:space="preserve"> (</w:t>
      </w:r>
      <w:r>
        <w:rPr>
          <w:i/>
          <w:iCs/>
        </w:rPr>
        <w:t>Software</w:t>
      </w:r>
      <w:r>
        <w:t>); and</w:t>
      </w:r>
    </w:p>
    <w:p w14:paraId="236633CC" w14:textId="77777777" w:rsidR="00E60EAE" w:rsidRDefault="00E60EAE" w:rsidP="00B71FC0">
      <w:pPr>
        <w:pStyle w:val="Numbered111a"/>
        <w:numPr>
          <w:ilvl w:val="3"/>
          <w:numId w:val="173"/>
        </w:numPr>
      </w:pPr>
      <w:r>
        <w:t>the sub-licence does not purport to provide the sub-licensee with any wider rights than those granted to the Supplier under this Paragraph;</w:t>
      </w:r>
    </w:p>
    <w:p w14:paraId="22DDD31B" w14:textId="77777777" w:rsidR="00E60EAE" w:rsidRDefault="00E60EAE" w:rsidP="00B71FC0">
      <w:pPr>
        <w:pStyle w:val="Numbered111"/>
        <w:keepNext/>
        <w:numPr>
          <w:ilvl w:val="2"/>
          <w:numId w:val="173"/>
        </w:numPr>
      </w:pPr>
      <w:r>
        <w:t>allows the Supplier and any sub-licensee to use, copy and adapt any licensed IPRs for the purpose of:</w:t>
      </w:r>
    </w:p>
    <w:p w14:paraId="32F87CEA" w14:textId="77777777" w:rsidR="00E60EAE" w:rsidRDefault="00E60EAE" w:rsidP="00B71FC0">
      <w:pPr>
        <w:pStyle w:val="Numbered111a"/>
        <w:numPr>
          <w:ilvl w:val="3"/>
          <w:numId w:val="173"/>
        </w:numPr>
      </w:pPr>
      <w:r>
        <w:t>fulfilling its obligations under this Contract; or</w:t>
      </w:r>
    </w:p>
    <w:p w14:paraId="01DCE924" w14:textId="77777777" w:rsidR="00E60EAE" w:rsidRDefault="00E60EAE" w:rsidP="00B71FC0">
      <w:pPr>
        <w:pStyle w:val="Numbered111a"/>
        <w:numPr>
          <w:ilvl w:val="3"/>
          <w:numId w:val="173"/>
        </w:numPr>
      </w:pPr>
      <w:bookmarkStart w:id="2296" w:name="_Ref140818880"/>
      <w:r>
        <w:t>commercially exploiting the Project Specific IPR, the Specially Written Software or the Software Supporting Materials.</w:t>
      </w:r>
      <w:bookmarkEnd w:id="2296"/>
    </w:p>
    <w:p w14:paraId="12E8AC2C" w14:textId="41805C0F" w:rsidR="00E60EAE" w:rsidRDefault="00E60EAE" w:rsidP="00B71FC0">
      <w:pPr>
        <w:pStyle w:val="Numbered11"/>
        <w:keepNext/>
        <w:numPr>
          <w:ilvl w:val="1"/>
          <w:numId w:val="173"/>
        </w:numPr>
      </w:pPr>
      <w:r>
        <w:t>When the licence granted under Paragraph </w:t>
      </w:r>
      <w:r>
        <w:fldChar w:fldCharType="begin"/>
      </w:r>
      <w:r>
        <w:instrText xml:space="preserve"> REF _Ref140164815 \w \h  \* MERGEFORMAT </w:instrText>
      </w:r>
      <w:r>
        <w:fldChar w:fldCharType="separate"/>
      </w:r>
      <w:r w:rsidR="009749A0">
        <w:t>6.1</w:t>
      </w:r>
      <w:r>
        <w:fldChar w:fldCharType="end"/>
      </w:r>
      <w:r>
        <w:t>:</w:t>
      </w:r>
    </w:p>
    <w:p w14:paraId="0321E045" w14:textId="7CA56B79" w:rsidR="00E60EAE" w:rsidRDefault="00E60EAE" w:rsidP="00B71FC0">
      <w:pPr>
        <w:pStyle w:val="Numbered111"/>
        <w:numPr>
          <w:ilvl w:val="2"/>
          <w:numId w:val="173"/>
        </w:numPr>
      </w:pPr>
      <w:r>
        <w:t>terminates in accordance with Paragraph </w:t>
      </w:r>
      <w:r w:rsidR="006169C7">
        <w:fldChar w:fldCharType="begin"/>
      </w:r>
      <w:r w:rsidR="006169C7">
        <w:instrText xml:space="preserve"> REF _Ref141719840 \r \h </w:instrText>
      </w:r>
      <w:r w:rsidR="006169C7">
        <w:fldChar w:fldCharType="separate"/>
      </w:r>
      <w:r w:rsidR="006169C7">
        <w:t>1</w:t>
      </w:r>
      <w:r w:rsidR="006169C7">
        <w:fldChar w:fldCharType="end"/>
      </w:r>
      <w:r>
        <w:t>; or</w:t>
      </w:r>
    </w:p>
    <w:p w14:paraId="45A557BC" w14:textId="77777777" w:rsidR="00E60EAE" w:rsidRDefault="00E60EAE" w:rsidP="00B71FC0">
      <w:pPr>
        <w:pStyle w:val="Numbered111"/>
        <w:keepNext/>
        <w:numPr>
          <w:ilvl w:val="2"/>
          <w:numId w:val="173"/>
        </w:numPr>
      </w:pPr>
      <w:r>
        <w:t>no longer has effect at the end of the Term or the expiry of any Termination Assistance Period (whichever is the later),</w:t>
      </w:r>
    </w:p>
    <w:p w14:paraId="7323A8A1" w14:textId="685D46F7" w:rsidR="00E60EAE" w:rsidRDefault="00E60EAE" w:rsidP="00927CC4">
      <w:pPr>
        <w:pStyle w:val="StdBodyText1"/>
        <w:keepNext/>
      </w:pPr>
      <w:r>
        <w:t>the Supplier must, and must ensure that each Sub-contractor granted a sub-licence under Paragraph </w:t>
      </w:r>
      <w:r>
        <w:fldChar w:fldCharType="begin"/>
      </w:r>
      <w:r>
        <w:instrText xml:space="preserve"> REF _Ref140164851 \w \h  \* MERGEFORMAT </w:instrText>
      </w:r>
      <w:r>
        <w:fldChar w:fldCharType="separate"/>
      </w:r>
      <w:r w:rsidR="009749A0">
        <w:t>6.1.5</w:t>
      </w:r>
      <w:r>
        <w:fldChar w:fldCharType="end"/>
      </w:r>
      <w:r>
        <w:t>:</w:t>
      </w:r>
    </w:p>
    <w:p w14:paraId="3A091775" w14:textId="77777777" w:rsidR="00E60EAE" w:rsidRDefault="00E60EAE" w:rsidP="00B71FC0">
      <w:pPr>
        <w:pStyle w:val="Numbered111"/>
        <w:numPr>
          <w:ilvl w:val="2"/>
          <w:numId w:val="173"/>
        </w:numPr>
      </w:pPr>
      <w:r>
        <w:t>immediately cease all use of the licensed IPR;</w:t>
      </w:r>
    </w:p>
    <w:p w14:paraId="09D5BDCC" w14:textId="77777777" w:rsidR="00E60EAE" w:rsidRDefault="00E60EAE" w:rsidP="00B71FC0">
      <w:pPr>
        <w:pStyle w:val="Numbered111"/>
        <w:keepNext/>
        <w:numPr>
          <w:ilvl w:val="2"/>
          <w:numId w:val="173"/>
        </w:numPr>
      </w:pPr>
      <w:r>
        <w:t>either:</w:t>
      </w:r>
    </w:p>
    <w:p w14:paraId="67DEE9DD" w14:textId="77777777" w:rsidR="00E60EAE" w:rsidRDefault="00E60EAE" w:rsidP="00B71FC0">
      <w:pPr>
        <w:pStyle w:val="Numbered111a"/>
        <w:numPr>
          <w:ilvl w:val="3"/>
          <w:numId w:val="173"/>
        </w:numPr>
      </w:pPr>
      <w:r>
        <w:t xml:space="preserve">at the discretion of the Authority, return or destroy documents and other tangible materials that contain any of the licensed IPR; or </w:t>
      </w:r>
    </w:p>
    <w:p w14:paraId="6DBEAA4F" w14:textId="77777777" w:rsidR="00E60EAE" w:rsidRDefault="00E60EAE" w:rsidP="00B71FC0">
      <w:pPr>
        <w:pStyle w:val="Numbered111a"/>
        <w:numPr>
          <w:ilvl w:val="3"/>
          <w:numId w:val="173"/>
        </w:numPr>
      </w:pPr>
      <w:r>
        <w:t xml:space="preserve">if the Authority has not made an election within six months of the termination of the licence, destroy the documents and other tangible </w:t>
      </w:r>
      <w:r>
        <w:lastRenderedPageBreak/>
        <w:t>materials that contain any of the licensed IPR; and</w:t>
      </w:r>
    </w:p>
    <w:p w14:paraId="46988F89" w14:textId="77777777" w:rsidR="00E60EAE" w:rsidRPr="00DA566F" w:rsidRDefault="00E60EAE" w:rsidP="00B71FC0">
      <w:pPr>
        <w:pStyle w:val="Numbered111"/>
        <w:numPr>
          <w:ilvl w:val="2"/>
          <w:numId w:val="173"/>
        </w:numPr>
      </w:pPr>
      <w:r>
        <w:t>ensure, so far as reasonably practicable, that any licensed IPR held in electronic, digital or other machine-readable form ceases to be readily accessible from any computer, word processor, voicemail system or any other device of the Supplier</w:t>
      </w:r>
    </w:p>
    <w:p w14:paraId="65C757E7" w14:textId="75EBE6BA" w:rsidR="00E60EAE" w:rsidRPr="002223EA" w:rsidRDefault="00E60EAE" w:rsidP="00E60EAE">
      <w:pPr>
        <w:keepNext/>
        <w:pageBreakBefore/>
        <w:spacing w:before="240"/>
        <w:rPr>
          <w:bCs/>
          <w:iCs/>
        </w:rPr>
      </w:pPr>
      <w:r w:rsidRPr="009E452F">
        <w:rPr>
          <w:b/>
        </w:rPr>
        <w:lastRenderedPageBreak/>
        <w:t>[</w:t>
      </w:r>
      <w:r w:rsidRPr="00964392">
        <w:rPr>
          <w:b/>
          <w:i/>
          <w:highlight w:val="yellow"/>
        </w:rPr>
        <w:t xml:space="preserve">Guidance note: for </w:t>
      </w:r>
      <w:r w:rsidRPr="00B664D1">
        <w:rPr>
          <w:b/>
          <w:i/>
          <w:highlight w:val="yellow"/>
          <w:u w:val="single"/>
        </w:rPr>
        <w:t xml:space="preserve">Option </w:t>
      </w:r>
      <w:r w:rsidRPr="00B664D1">
        <w:rPr>
          <w:b/>
          <w:i/>
          <w:highlight w:val="yellow"/>
          <w:u w:val="single"/>
        </w:rPr>
        <w:fldChar w:fldCharType="begin"/>
      </w:r>
      <w:r w:rsidRPr="00B664D1">
        <w:rPr>
          <w:b/>
          <w:i/>
          <w:highlight w:val="yellow"/>
          <w:u w:val="single"/>
        </w:rPr>
        <w:instrText xml:space="preserve"> REF OPTION5_SCHEDULE32 \h  \* MERGEFORMAT </w:instrText>
      </w:r>
      <w:r w:rsidRPr="00B664D1">
        <w:rPr>
          <w:b/>
          <w:i/>
          <w:highlight w:val="yellow"/>
          <w:u w:val="single"/>
        </w:rPr>
      </w:r>
      <w:r w:rsidRPr="00B664D1">
        <w:rPr>
          <w:b/>
          <w:i/>
          <w:highlight w:val="yellow"/>
          <w:u w:val="single"/>
        </w:rPr>
        <w:fldChar w:fldCharType="separate"/>
      </w:r>
      <w:r w:rsidR="009749A0" w:rsidRPr="00B664D1">
        <w:rPr>
          <w:b/>
          <w:i/>
          <w:highlight w:val="yellow"/>
          <w:u w:val="single"/>
        </w:rPr>
        <w:t>5</w:t>
      </w:r>
      <w:r w:rsidRPr="00B664D1">
        <w:rPr>
          <w:b/>
          <w:i/>
          <w:highlight w:val="yellow"/>
          <w:u w:val="single"/>
        </w:rPr>
        <w:fldChar w:fldCharType="end"/>
      </w:r>
      <w:r w:rsidRPr="00B664D1">
        <w:rPr>
          <w:b/>
          <w:i/>
          <w:highlight w:val="yellow"/>
        </w:rPr>
        <w:t xml:space="preserve">: Supplier rights to all Project Specific IPR and Specially Written Software with </w:t>
      </w:r>
      <w:r w:rsidR="00F57741" w:rsidRPr="00B664D1">
        <w:rPr>
          <w:b/>
          <w:i/>
          <w:highlight w:val="yellow"/>
        </w:rPr>
        <w:t>royalties</w:t>
      </w:r>
      <w:r w:rsidRPr="00B664D1">
        <w:rPr>
          <w:b/>
          <w:i/>
          <w:highlight w:val="yellow"/>
        </w:rPr>
        <w:t>, please use the appropriate drafting taken from either Options </w:t>
      </w:r>
      <w:r w:rsidRPr="00B664D1">
        <w:rPr>
          <w:b/>
          <w:i/>
          <w:highlight w:val="yellow"/>
        </w:rPr>
        <w:fldChar w:fldCharType="begin"/>
      </w:r>
      <w:r w:rsidRPr="00B664D1">
        <w:rPr>
          <w:b/>
          <w:i/>
          <w:highlight w:val="yellow"/>
        </w:rPr>
        <w:instrText xml:space="preserve"> REF OPTION2_SCHEDULE32 \h </w:instrText>
      </w:r>
      <w:r w:rsidR="00964392" w:rsidRPr="00B664D1">
        <w:rPr>
          <w:b/>
          <w:i/>
          <w:highlight w:val="yellow"/>
        </w:rPr>
        <w:instrText xml:space="preserve"> \* MERGEFORMAT </w:instrText>
      </w:r>
      <w:r w:rsidRPr="00B664D1">
        <w:rPr>
          <w:b/>
          <w:i/>
          <w:highlight w:val="yellow"/>
        </w:rPr>
      </w:r>
      <w:r w:rsidRPr="00B664D1">
        <w:rPr>
          <w:b/>
          <w:i/>
          <w:highlight w:val="yellow"/>
        </w:rPr>
        <w:fldChar w:fldCharType="separate"/>
      </w:r>
      <w:r w:rsidR="009749A0" w:rsidRPr="00B664D1">
        <w:rPr>
          <w:b/>
          <w:i/>
          <w:highlight w:val="yellow"/>
        </w:rPr>
        <w:t>2</w:t>
      </w:r>
      <w:r w:rsidRPr="00B664D1">
        <w:rPr>
          <w:b/>
          <w:i/>
          <w:highlight w:val="yellow"/>
        </w:rPr>
        <w:fldChar w:fldCharType="end"/>
      </w:r>
      <w:r w:rsidRPr="00B664D1">
        <w:rPr>
          <w:b/>
          <w:i/>
          <w:highlight w:val="yellow"/>
        </w:rPr>
        <w:t xml:space="preserve">, </w:t>
      </w:r>
      <w:r w:rsidRPr="00B664D1">
        <w:rPr>
          <w:b/>
          <w:i/>
          <w:highlight w:val="yellow"/>
        </w:rPr>
        <w:fldChar w:fldCharType="begin"/>
      </w:r>
      <w:r w:rsidRPr="00B664D1">
        <w:rPr>
          <w:b/>
          <w:i/>
          <w:highlight w:val="yellow"/>
        </w:rPr>
        <w:instrText xml:space="preserve"> REF OPTION3_SCHEDULE32 \h </w:instrText>
      </w:r>
      <w:r w:rsidR="00964392" w:rsidRPr="00B664D1">
        <w:rPr>
          <w:b/>
          <w:i/>
          <w:highlight w:val="yellow"/>
        </w:rPr>
        <w:instrText xml:space="preserve"> \* MERGEFORMAT </w:instrText>
      </w:r>
      <w:r w:rsidRPr="00B664D1">
        <w:rPr>
          <w:b/>
          <w:i/>
          <w:highlight w:val="yellow"/>
        </w:rPr>
      </w:r>
      <w:r w:rsidRPr="00B664D1">
        <w:rPr>
          <w:b/>
          <w:i/>
          <w:highlight w:val="yellow"/>
        </w:rPr>
        <w:fldChar w:fldCharType="separate"/>
      </w:r>
      <w:r w:rsidR="009749A0" w:rsidRPr="00B664D1">
        <w:rPr>
          <w:b/>
          <w:i/>
          <w:highlight w:val="yellow"/>
        </w:rPr>
        <w:t>3</w:t>
      </w:r>
      <w:r w:rsidRPr="00B664D1">
        <w:rPr>
          <w:b/>
          <w:i/>
          <w:highlight w:val="yellow"/>
        </w:rPr>
        <w:fldChar w:fldCharType="end"/>
      </w:r>
      <w:r w:rsidRPr="00B664D1">
        <w:rPr>
          <w:b/>
          <w:i/>
          <w:highlight w:val="yellow"/>
        </w:rPr>
        <w:t xml:space="preserve"> or Option </w:t>
      </w:r>
      <w:r w:rsidRPr="00B664D1">
        <w:rPr>
          <w:b/>
          <w:i/>
          <w:highlight w:val="yellow"/>
        </w:rPr>
        <w:fldChar w:fldCharType="begin"/>
      </w:r>
      <w:r w:rsidRPr="00B664D1">
        <w:rPr>
          <w:b/>
          <w:i/>
          <w:highlight w:val="yellow"/>
        </w:rPr>
        <w:instrText xml:space="preserve"> REF OPTION4_SCHEDULE32 \h </w:instrText>
      </w:r>
      <w:r w:rsidR="00964392" w:rsidRPr="00B664D1">
        <w:rPr>
          <w:b/>
          <w:i/>
          <w:highlight w:val="yellow"/>
        </w:rPr>
        <w:instrText xml:space="preserve"> \* MERGEFORMAT </w:instrText>
      </w:r>
      <w:r w:rsidRPr="00B664D1">
        <w:rPr>
          <w:b/>
          <w:i/>
          <w:highlight w:val="yellow"/>
        </w:rPr>
      </w:r>
      <w:r w:rsidRPr="00B664D1">
        <w:rPr>
          <w:b/>
          <w:i/>
          <w:highlight w:val="yellow"/>
        </w:rPr>
        <w:fldChar w:fldCharType="separate"/>
      </w:r>
      <w:r w:rsidR="009749A0" w:rsidRPr="00B664D1">
        <w:rPr>
          <w:b/>
          <w:i/>
          <w:highlight w:val="yellow"/>
        </w:rPr>
        <w:t>4</w:t>
      </w:r>
      <w:r w:rsidRPr="00B664D1">
        <w:rPr>
          <w:b/>
          <w:i/>
          <w:highlight w:val="yellow"/>
        </w:rPr>
        <w:fldChar w:fldCharType="end"/>
      </w:r>
      <w:r w:rsidRPr="00B664D1">
        <w:rPr>
          <w:b/>
          <w:i/>
          <w:highlight w:val="yellow"/>
        </w:rPr>
        <w:t xml:space="preserve">, tailored </w:t>
      </w:r>
      <w:r w:rsidRPr="00964392">
        <w:rPr>
          <w:b/>
          <w:i/>
          <w:highlight w:val="yellow"/>
        </w:rPr>
        <w:t>as appropriate, and include the following additional drafting</w:t>
      </w:r>
      <w:r w:rsidRPr="002223EA">
        <w:rPr>
          <w:bCs/>
          <w:iCs/>
        </w:rPr>
        <w:t>]</w:t>
      </w:r>
    </w:p>
    <w:p w14:paraId="2B8430A8" w14:textId="77777777" w:rsidR="00E60EAE" w:rsidRDefault="00E60EAE" w:rsidP="00E60EAE">
      <w:pPr>
        <w:pStyle w:val="Heading2"/>
      </w:pPr>
      <w:bookmarkStart w:id="2297" w:name="_Toc118293566"/>
      <w:bookmarkStart w:id="2298" w:name="_Toc141721079"/>
      <w:r>
        <w:t xml:space="preserve">Option </w:t>
      </w:r>
      <w:bookmarkStart w:id="2299" w:name="OPTION5_SCHEDULE32"/>
      <w:r>
        <w:t>5</w:t>
      </w:r>
      <w:bookmarkEnd w:id="2297"/>
      <w:bookmarkEnd w:id="2299"/>
      <w:bookmarkEnd w:id="2298"/>
    </w:p>
    <w:p w14:paraId="094B5A8D" w14:textId="77777777" w:rsidR="00E60EAE" w:rsidRDefault="00E60EAE" w:rsidP="00B71FC0">
      <w:pPr>
        <w:pStyle w:val="Numbered1"/>
        <w:numPr>
          <w:ilvl w:val="0"/>
          <w:numId w:val="179"/>
        </w:numPr>
      </w:pPr>
      <w:bookmarkStart w:id="2300" w:name="_Toc136451207"/>
      <w:r>
        <w:t>Royalties</w:t>
      </w:r>
      <w:bookmarkEnd w:id="2300"/>
    </w:p>
    <w:p w14:paraId="2ADD8B92" w14:textId="77777777" w:rsidR="00E60EAE" w:rsidRDefault="00E60EAE" w:rsidP="00B71FC0">
      <w:pPr>
        <w:pStyle w:val="Numbered11"/>
        <w:keepNext/>
        <w:numPr>
          <w:ilvl w:val="1"/>
          <w:numId w:val="173"/>
        </w:numPr>
      </w:pPr>
      <w:r>
        <w:t>The Supplier must provide a detailed proposal setting out:</w:t>
      </w:r>
    </w:p>
    <w:p w14:paraId="10402A4C" w14:textId="77777777" w:rsidR="00E60EAE" w:rsidRDefault="00E60EAE" w:rsidP="00B71FC0">
      <w:pPr>
        <w:pStyle w:val="Numbered111"/>
        <w:numPr>
          <w:ilvl w:val="2"/>
          <w:numId w:val="173"/>
        </w:numPr>
      </w:pPr>
      <w:r>
        <w:t>the purpose for which it proposes to use the Project Specific IPR, Specially Written Software, the Authority Software, the Authority Data and/or the Authority Background IPRs;</w:t>
      </w:r>
    </w:p>
    <w:p w14:paraId="08A35950" w14:textId="77777777" w:rsidR="00E60EAE" w:rsidRDefault="00E60EAE" w:rsidP="00B71FC0">
      <w:pPr>
        <w:pStyle w:val="Numbered111"/>
        <w:numPr>
          <w:ilvl w:val="2"/>
          <w:numId w:val="173"/>
        </w:numPr>
      </w:pPr>
      <w:r>
        <w:t>the activities the Supplier proposes to undertake with or in respect of the Project Specific IPR, Specially Written Software, the Authority Software, the Authority Data and/or the Authority Background IPRs;</w:t>
      </w:r>
    </w:p>
    <w:p w14:paraId="7DA61246" w14:textId="77777777" w:rsidR="00E60EAE" w:rsidRDefault="00E60EAE" w:rsidP="00B71FC0">
      <w:pPr>
        <w:pStyle w:val="Numbered111"/>
        <w:keepNext/>
        <w:numPr>
          <w:ilvl w:val="2"/>
          <w:numId w:val="173"/>
        </w:numPr>
      </w:pPr>
      <w:r>
        <w:t>its proposed business plan, including:</w:t>
      </w:r>
    </w:p>
    <w:p w14:paraId="6717FAD1" w14:textId="77777777" w:rsidR="00E60EAE" w:rsidRDefault="00E60EAE" w:rsidP="00B71FC0">
      <w:pPr>
        <w:pStyle w:val="Numbered111a"/>
        <w:numPr>
          <w:ilvl w:val="3"/>
          <w:numId w:val="173"/>
        </w:numPr>
      </w:pPr>
      <w:r>
        <w:t>the goods, services or software to be offered by the Supplier that use or incorporate the Project Specific IPR, Specially Written Software, the Authority Software, the Authority Data and/or the Authority Background IPRs;</w:t>
      </w:r>
    </w:p>
    <w:p w14:paraId="1DFE19A4" w14:textId="77777777" w:rsidR="00E60EAE" w:rsidRDefault="00E60EAE" w:rsidP="00B71FC0">
      <w:pPr>
        <w:pStyle w:val="Numbered111a"/>
        <w:numPr>
          <w:ilvl w:val="3"/>
          <w:numId w:val="173"/>
        </w:numPr>
      </w:pPr>
      <w:r>
        <w:t>the relationship between the Project Specific IPR, Specially Written Software, the Authority Software, the Authority Data and/or the Authority Background IPRs, and any Supplier Existing IPR or Third Party IPR to be incorporated into, or used to provide, those goods, services or software;</w:t>
      </w:r>
    </w:p>
    <w:p w14:paraId="382A69C4" w14:textId="77777777" w:rsidR="00E60EAE" w:rsidRDefault="00E60EAE" w:rsidP="00B71FC0">
      <w:pPr>
        <w:pStyle w:val="Numbered111a"/>
        <w:numPr>
          <w:ilvl w:val="3"/>
          <w:numId w:val="173"/>
        </w:numPr>
      </w:pPr>
      <w:r>
        <w:t>the target markets for those goods, services or software;</w:t>
      </w:r>
    </w:p>
    <w:p w14:paraId="4E285F17" w14:textId="77777777" w:rsidR="00E60EAE" w:rsidRDefault="00E60EAE" w:rsidP="00B71FC0">
      <w:pPr>
        <w:pStyle w:val="Numbered111a"/>
        <w:numPr>
          <w:ilvl w:val="3"/>
          <w:numId w:val="173"/>
        </w:numPr>
      </w:pPr>
      <w:r>
        <w:t>the estimated level of orders;</w:t>
      </w:r>
    </w:p>
    <w:p w14:paraId="7DD4DBDB" w14:textId="77777777" w:rsidR="00E60EAE" w:rsidRDefault="00E60EAE" w:rsidP="00B71FC0">
      <w:pPr>
        <w:pStyle w:val="Numbered111a"/>
        <w:numPr>
          <w:ilvl w:val="3"/>
          <w:numId w:val="173"/>
        </w:numPr>
      </w:pPr>
      <w:r>
        <w:t>its marketing strategy;</w:t>
      </w:r>
    </w:p>
    <w:p w14:paraId="6A034CFA" w14:textId="77777777" w:rsidR="00E60EAE" w:rsidRDefault="00E60EAE" w:rsidP="00B71FC0">
      <w:pPr>
        <w:pStyle w:val="Numbered111a"/>
        <w:numPr>
          <w:ilvl w:val="3"/>
          <w:numId w:val="173"/>
        </w:numPr>
      </w:pPr>
      <w:r>
        <w:t>details of the estimated costs, prices, revenues and profits;</w:t>
      </w:r>
    </w:p>
    <w:p w14:paraId="1BAD0CBB" w14:textId="77777777" w:rsidR="00E60EAE" w:rsidRDefault="00E60EAE" w:rsidP="00B71FC0">
      <w:pPr>
        <w:pStyle w:val="Numbered111a"/>
        <w:numPr>
          <w:ilvl w:val="3"/>
          <w:numId w:val="173"/>
        </w:numPr>
      </w:pPr>
      <w:bookmarkStart w:id="2301" w:name="_Ref135239042"/>
      <w:r>
        <w:t>the proposed financial benefit to the Authority;</w:t>
      </w:r>
      <w:bookmarkEnd w:id="2301"/>
    </w:p>
    <w:p w14:paraId="58CE29B7" w14:textId="77777777" w:rsidR="00E60EAE" w:rsidRDefault="00E60EAE" w:rsidP="00B71FC0">
      <w:pPr>
        <w:pStyle w:val="Numbered111"/>
        <w:numPr>
          <w:ilvl w:val="2"/>
          <w:numId w:val="173"/>
        </w:numPr>
      </w:pPr>
      <w:r>
        <w:t>the impact of the proposal on the Services the Supplier provides under the Contract;</w:t>
      </w:r>
    </w:p>
    <w:p w14:paraId="78232BC4" w14:textId="77777777" w:rsidR="00E60EAE" w:rsidRDefault="00E60EAE" w:rsidP="00B71FC0">
      <w:pPr>
        <w:pStyle w:val="Numbered111"/>
        <w:numPr>
          <w:ilvl w:val="2"/>
          <w:numId w:val="173"/>
        </w:numPr>
      </w:pPr>
      <w:r>
        <w:t>an analysis of the likely terms, including financial terms, on which the Supplier would be able to obtain access to intellectual property equivalent to the Project Specific IPR, Specially Written Software, the Authority Software, the Authority Data and/or the Authority Background IPRs were it to enter into an arm’s length commercial relationship with a third-party;</w:t>
      </w:r>
    </w:p>
    <w:p w14:paraId="7852F9AF" w14:textId="77777777" w:rsidR="00E60EAE" w:rsidRDefault="00E60EAE" w:rsidP="00B71FC0">
      <w:pPr>
        <w:pStyle w:val="Numbered111"/>
        <w:numPr>
          <w:ilvl w:val="2"/>
          <w:numId w:val="173"/>
        </w:numPr>
      </w:pPr>
      <w:r>
        <w:t>the terms on which the Supplier proposes to licence the Authority Software, the Authority Data and/or the Authority Background IPRs from the Authority;</w:t>
      </w:r>
    </w:p>
    <w:p w14:paraId="2241959A" w14:textId="77777777" w:rsidR="00E60EAE" w:rsidRDefault="00E60EAE" w:rsidP="00B71FC0">
      <w:pPr>
        <w:pStyle w:val="Numbered111"/>
        <w:numPr>
          <w:ilvl w:val="2"/>
          <w:numId w:val="173"/>
        </w:numPr>
      </w:pPr>
      <w:r>
        <w:lastRenderedPageBreak/>
        <w:t>any proposed Contract Change; and</w:t>
      </w:r>
    </w:p>
    <w:p w14:paraId="4915057E" w14:textId="77777777" w:rsidR="00E60EAE" w:rsidRDefault="00E60EAE" w:rsidP="00B71FC0">
      <w:pPr>
        <w:pStyle w:val="Numbered111"/>
        <w:numPr>
          <w:ilvl w:val="2"/>
          <w:numId w:val="173"/>
        </w:numPr>
      </w:pPr>
      <w:r>
        <w:t>any additional agreement the Supplier proposes that it and the Authority enter into;</w:t>
      </w:r>
    </w:p>
    <w:p w14:paraId="468096BA" w14:textId="77777777" w:rsidR="00E60EAE" w:rsidRDefault="00E60EAE" w:rsidP="00B71FC0">
      <w:pPr>
        <w:pStyle w:val="Numbered111"/>
        <w:numPr>
          <w:ilvl w:val="2"/>
          <w:numId w:val="173"/>
        </w:numPr>
      </w:pPr>
      <w:r>
        <w:t>any other information the Authority requires to properly assess the Supplier’s proposed; and</w:t>
      </w:r>
    </w:p>
    <w:p w14:paraId="4E23433F" w14:textId="77777777" w:rsidR="00E60EAE" w:rsidRDefault="00E60EAE" w:rsidP="00B71FC0">
      <w:pPr>
        <w:pStyle w:val="Numbered111"/>
        <w:numPr>
          <w:ilvl w:val="2"/>
          <w:numId w:val="173"/>
        </w:numPr>
      </w:pPr>
      <w:r>
        <w:t>any other information required by the Authority.</w:t>
      </w:r>
    </w:p>
    <w:p w14:paraId="39D7B462" w14:textId="20AAE4C8" w:rsidR="00E60EAE" w:rsidRDefault="00E60EAE" w:rsidP="00B71FC0">
      <w:pPr>
        <w:pStyle w:val="Numbered11"/>
        <w:numPr>
          <w:ilvl w:val="1"/>
          <w:numId w:val="173"/>
        </w:numPr>
      </w:pPr>
      <w:r>
        <w:t>Where the proposed financial benefit to the Authority under Paragraph </w:t>
      </w:r>
      <w:r>
        <w:fldChar w:fldCharType="begin"/>
      </w:r>
      <w:r>
        <w:instrText xml:space="preserve"> REF _Ref135239042 \r \h  \* MERGEFORMAT </w:instrText>
      </w:r>
      <w:r>
        <w:fldChar w:fldCharType="separate"/>
      </w:r>
      <w:r w:rsidR="009749A0">
        <w:t>1.1.3(g)</w:t>
      </w:r>
      <w:r>
        <w:fldChar w:fldCharType="end"/>
      </w:r>
      <w:r>
        <w:t xml:space="preserve"> is, in whole or part, a reduction in the Charges under the Contract, the Supplier must set out how it proposes to apply the revenues and profits received to the Charges payable by the Authority.</w:t>
      </w:r>
    </w:p>
    <w:p w14:paraId="232FEE0B" w14:textId="77777777" w:rsidR="00E60EAE" w:rsidRDefault="00E60EAE" w:rsidP="00B71FC0">
      <w:pPr>
        <w:pStyle w:val="Numbered11"/>
        <w:keepNext/>
        <w:numPr>
          <w:ilvl w:val="1"/>
          <w:numId w:val="173"/>
        </w:numPr>
      </w:pPr>
      <w:r>
        <w:t>Where the Supplier’s proposal provides for the development of new goods, services or software and those goods, services or software are subsequently purchased by the Authority (by whatever means), the terms of that purchase must:</w:t>
      </w:r>
    </w:p>
    <w:p w14:paraId="00CBD8B1" w14:textId="05AAC482" w:rsidR="00E60EAE" w:rsidRDefault="00E60EAE" w:rsidP="00B71FC0">
      <w:pPr>
        <w:pStyle w:val="Numbered111"/>
        <w:numPr>
          <w:ilvl w:val="2"/>
          <w:numId w:val="173"/>
        </w:numPr>
      </w:pPr>
      <w:r>
        <w:t xml:space="preserve">provide for the licencing of the Project Specific IPR and/or the Specially Written Software to the </w:t>
      </w:r>
      <w:r w:rsidR="00817698">
        <w:t>Authority</w:t>
      </w:r>
      <w:r>
        <w:t xml:space="preserve"> on the same terms as in this Contract; and</w:t>
      </w:r>
    </w:p>
    <w:p w14:paraId="2744B6B9" w14:textId="77777777" w:rsidR="00E60EAE" w:rsidRDefault="00E60EAE" w:rsidP="00B71FC0">
      <w:pPr>
        <w:pStyle w:val="Numbered111"/>
        <w:numPr>
          <w:ilvl w:val="2"/>
          <w:numId w:val="173"/>
        </w:numPr>
      </w:pPr>
      <w:r>
        <w:t>include a price that reflects the Charges.</w:t>
      </w:r>
    </w:p>
    <w:p w14:paraId="1222A86F" w14:textId="77777777" w:rsidR="00E60EAE" w:rsidRDefault="00E60EAE" w:rsidP="00B71FC0">
      <w:pPr>
        <w:pStyle w:val="Numbered11"/>
        <w:keepNext/>
        <w:numPr>
          <w:ilvl w:val="1"/>
          <w:numId w:val="173"/>
        </w:numPr>
      </w:pPr>
      <w:r>
        <w:t>The Supplier acknowledges that:</w:t>
      </w:r>
    </w:p>
    <w:p w14:paraId="56A46567" w14:textId="7F463B9E" w:rsidR="00E60EAE" w:rsidRDefault="00E60EAE" w:rsidP="00B71FC0">
      <w:pPr>
        <w:pStyle w:val="Numbered111"/>
        <w:numPr>
          <w:ilvl w:val="2"/>
          <w:numId w:val="173"/>
        </w:numPr>
      </w:pPr>
      <w:r>
        <w:t xml:space="preserve">the </w:t>
      </w:r>
      <w:r w:rsidR="00817698">
        <w:t>Authority</w:t>
      </w:r>
      <w:r w:rsidR="00817698" w:rsidDel="00817698">
        <w:t xml:space="preserve"> </w:t>
      </w:r>
      <w:r>
        <w:t>may refuse, or require changes to, the Supplier’s proposal in its sole discretion and for any reason; and</w:t>
      </w:r>
    </w:p>
    <w:p w14:paraId="7BD31604" w14:textId="446A2239" w:rsidR="00E60EAE" w:rsidRDefault="00E60EAE" w:rsidP="00B71FC0">
      <w:pPr>
        <w:pStyle w:val="Numbered111"/>
        <w:keepNext/>
        <w:numPr>
          <w:ilvl w:val="2"/>
          <w:numId w:val="173"/>
        </w:numPr>
      </w:pPr>
      <w:r>
        <w:t xml:space="preserve">in considering the Supplier’s proposal, the </w:t>
      </w:r>
      <w:r w:rsidR="00817698">
        <w:t>Authority</w:t>
      </w:r>
      <w:r>
        <w:t xml:space="preserve"> must comply with Law relating to:</w:t>
      </w:r>
    </w:p>
    <w:p w14:paraId="6C0087B1" w14:textId="77777777" w:rsidR="00E60EAE" w:rsidRDefault="00E60EAE" w:rsidP="00B71FC0">
      <w:pPr>
        <w:pStyle w:val="Numbered111a"/>
        <w:numPr>
          <w:ilvl w:val="3"/>
          <w:numId w:val="173"/>
        </w:numPr>
      </w:pPr>
      <w:r>
        <w:t>public procurement; and</w:t>
      </w:r>
    </w:p>
    <w:p w14:paraId="6B629566" w14:textId="77777777" w:rsidR="00E60EAE" w:rsidRDefault="00E60EAE" w:rsidP="00B71FC0">
      <w:pPr>
        <w:pStyle w:val="Numbered111a"/>
        <w:numPr>
          <w:ilvl w:val="3"/>
          <w:numId w:val="173"/>
        </w:numPr>
      </w:pPr>
      <w:r>
        <w:t>subsidy control.</w:t>
      </w:r>
    </w:p>
    <w:p w14:paraId="400A4CE3" w14:textId="36AFBEFF" w:rsidR="00E60EAE" w:rsidRDefault="00E60EAE" w:rsidP="00B71FC0">
      <w:pPr>
        <w:pStyle w:val="Numbered11"/>
        <w:keepNext/>
        <w:numPr>
          <w:ilvl w:val="1"/>
          <w:numId w:val="173"/>
        </w:numPr>
      </w:pPr>
      <w:bookmarkStart w:id="2302" w:name="_Ref135298813"/>
      <w:r>
        <w:t xml:space="preserve">Where the </w:t>
      </w:r>
      <w:r w:rsidR="00817698">
        <w:t>Authority</w:t>
      </w:r>
      <w:r>
        <w:t xml:space="preserve"> agrees to the Supplier’s proposal, with or without changes, that proposal will not have effect until both Parties have executed:</w:t>
      </w:r>
      <w:bookmarkEnd w:id="2302"/>
    </w:p>
    <w:p w14:paraId="66346A6B" w14:textId="77777777" w:rsidR="00E60EAE" w:rsidRDefault="00E60EAE" w:rsidP="00B71FC0">
      <w:pPr>
        <w:pStyle w:val="Numbered111"/>
        <w:numPr>
          <w:ilvl w:val="2"/>
          <w:numId w:val="173"/>
        </w:numPr>
      </w:pPr>
      <w:r>
        <w:t>any additional agreement to give effect to the proposal;</w:t>
      </w:r>
    </w:p>
    <w:p w14:paraId="03E36F6E" w14:textId="77777777" w:rsidR="00E60EAE" w:rsidRPr="00452593" w:rsidRDefault="00E60EAE" w:rsidP="00B71FC0">
      <w:pPr>
        <w:pStyle w:val="Numbered111"/>
        <w:numPr>
          <w:ilvl w:val="2"/>
          <w:numId w:val="173"/>
        </w:numPr>
      </w:pPr>
      <w:r>
        <w:t>any consequential Contract Change.</w:t>
      </w:r>
    </w:p>
    <w:p w14:paraId="4736794C" w14:textId="3EA0A73C" w:rsidR="00E60EAE" w:rsidRDefault="00E60EAE" w:rsidP="00B71FC0">
      <w:pPr>
        <w:pStyle w:val="Numbered11"/>
        <w:keepNext/>
        <w:numPr>
          <w:ilvl w:val="1"/>
          <w:numId w:val="173"/>
        </w:numPr>
      </w:pPr>
      <w:bookmarkStart w:id="2303" w:name="_Ref140783883"/>
      <w:r>
        <w:t>Any agreement between the Authority and the Supplier entered into under Paragraph </w:t>
      </w:r>
      <w:r>
        <w:fldChar w:fldCharType="begin"/>
      </w:r>
      <w:r>
        <w:instrText xml:space="preserve"> REF _Ref140783883 \r \h  \* MERGEFORMAT </w:instrText>
      </w:r>
      <w:r>
        <w:fldChar w:fldCharType="separate"/>
      </w:r>
      <w:r w:rsidR="009749A0">
        <w:t>1.6</w:t>
      </w:r>
      <w:r>
        <w:fldChar w:fldCharType="end"/>
      </w:r>
      <w:r>
        <w:t xml:space="preserve"> must include provisions to the following effect:</w:t>
      </w:r>
      <w:bookmarkEnd w:id="2303"/>
    </w:p>
    <w:p w14:paraId="0FD82424" w14:textId="77777777" w:rsidR="00E60EAE" w:rsidRDefault="00E60EAE" w:rsidP="00B71FC0">
      <w:pPr>
        <w:pStyle w:val="Numbered111"/>
        <w:keepNext/>
        <w:numPr>
          <w:ilvl w:val="2"/>
          <w:numId w:val="173"/>
        </w:numPr>
      </w:pPr>
      <w:r>
        <w:t>the calculation of royalties is based on the following formula:</w:t>
      </w:r>
    </w:p>
    <w:p w14:paraId="71EF3026" w14:textId="77777777" w:rsidR="00E60EAE" w:rsidRDefault="00E60EAE" w:rsidP="00E60EAE">
      <w:pPr>
        <w:pStyle w:val="StdBodyText3"/>
      </w:pPr>
      <w:r>
        <w:t>R = NSV x RR x P</w:t>
      </w:r>
    </w:p>
    <w:p w14:paraId="00170F0E" w14:textId="77777777" w:rsidR="00E60EAE" w:rsidRDefault="00E60EAE" w:rsidP="00927CC4">
      <w:pPr>
        <w:pStyle w:val="StdBodyText3"/>
        <w:keepNext/>
      </w:pPr>
      <w:r>
        <w:t>where:</w:t>
      </w:r>
    </w:p>
    <w:p w14:paraId="0FA93945" w14:textId="77777777" w:rsidR="00E60EAE" w:rsidRDefault="00E60EAE" w:rsidP="00E60EAE">
      <w:pPr>
        <w:pStyle w:val="StdBodyText5"/>
      </w:pPr>
      <w:r>
        <w:t>R is the royalty payable on an individual item subject to the agreement;</w:t>
      </w:r>
    </w:p>
    <w:p w14:paraId="6A06D3D9" w14:textId="77777777" w:rsidR="00E60EAE" w:rsidRDefault="00E60EAE" w:rsidP="00E60EAE">
      <w:pPr>
        <w:pStyle w:val="StdBodyText5"/>
      </w:pPr>
      <w:r>
        <w:t xml:space="preserve">NSV is the net sales value of the item, that is the price for which the Supplier sold the item to a third party after the deduction of normal trade </w:t>
      </w:r>
      <w:r>
        <w:lastRenderedPageBreak/>
        <w:t>discounts and excluding Value Added Tax or any other tax or duty based directly on the price of the item and payable by the purchaser;</w:t>
      </w:r>
    </w:p>
    <w:p w14:paraId="22FA13C7" w14:textId="77777777" w:rsidR="00E60EAE" w:rsidRDefault="00E60EAE" w:rsidP="00E60EAE">
      <w:pPr>
        <w:pStyle w:val="StdBodyText5"/>
      </w:pPr>
      <w:r>
        <w:t>RR is [</w:t>
      </w:r>
      <w:r w:rsidRPr="007C0235">
        <w:rPr>
          <w:b/>
          <w:bCs/>
          <w:highlight w:val="yellow"/>
        </w:rPr>
        <w:t>insert</w:t>
      </w:r>
      <w:r w:rsidRPr="00D879B2">
        <w:rPr>
          <w:highlight w:val="yellow"/>
        </w:rPr>
        <w:t xml:space="preserve"> the royalty payable on the item, expressed as a percentage</w:t>
      </w:r>
      <w:r>
        <w:t>]; and</w:t>
      </w:r>
    </w:p>
    <w:p w14:paraId="6ED588CA" w14:textId="77777777" w:rsidR="00E60EAE" w:rsidRDefault="00E60EAE" w:rsidP="00927CC4">
      <w:pPr>
        <w:pStyle w:val="StdBodyText5"/>
        <w:keepNext/>
      </w:pPr>
      <w:r>
        <w:t>P is the proportion that the Project Specific IPR, Specially Written Software, the Authority Software, the Authority Data and/or the Authority Background IPRs bears to the whole of the item, expressed as a percentage, subject to the following:</w:t>
      </w:r>
    </w:p>
    <w:p w14:paraId="10EDA2E0" w14:textId="77777777" w:rsidR="00E60EAE" w:rsidRDefault="00E60EAE" w:rsidP="00B71FC0">
      <w:pPr>
        <w:pStyle w:val="Numbered111ai"/>
        <w:numPr>
          <w:ilvl w:val="4"/>
          <w:numId w:val="173"/>
        </w:numPr>
      </w:pPr>
      <w:r>
        <w:t>the proportion that the Project Specific IPR, Specially Written Software, the Authority Software, the Authority Data and/or the Authority Background IPRs bears to the item as a whole is an estimation of the effort required to develop the Project Specific IPR, Specially Written Software, the Authority Software, the Authority Data and/or the Authority Background IPRs</w:t>
      </w:r>
      <w:r w:rsidDel="00E41713">
        <w:t xml:space="preserve"> </w:t>
      </w:r>
      <w:r>
        <w:t>compared to the item as a whole;</w:t>
      </w:r>
    </w:p>
    <w:p w14:paraId="078E17A9" w14:textId="77777777" w:rsidR="00E60EAE" w:rsidRDefault="00E60EAE" w:rsidP="00B71FC0">
      <w:pPr>
        <w:pStyle w:val="Numbered111ai"/>
        <w:keepNext/>
        <w:numPr>
          <w:ilvl w:val="4"/>
          <w:numId w:val="173"/>
        </w:numPr>
      </w:pPr>
      <w:r>
        <w:t>P is 100% where, either:</w:t>
      </w:r>
    </w:p>
    <w:p w14:paraId="712E6F48" w14:textId="77777777" w:rsidR="00E60EAE" w:rsidRDefault="00E60EAE" w:rsidP="00B71FC0">
      <w:pPr>
        <w:pStyle w:val="Numbered111aiA"/>
        <w:numPr>
          <w:ilvl w:val="5"/>
          <w:numId w:val="173"/>
        </w:numPr>
      </w:pPr>
      <w:r>
        <w:t>where the proportion of the Project Specific IPR, Specially Written Software, the Authority Software, the Authority Data and/or the Authority Background IPRs to the item as a whole is 80% or greater; or</w:t>
      </w:r>
    </w:p>
    <w:p w14:paraId="1D700289" w14:textId="77777777" w:rsidR="00E60EAE" w:rsidRDefault="00E60EAE" w:rsidP="00B71FC0">
      <w:pPr>
        <w:pStyle w:val="Numbered111aiA"/>
        <w:numPr>
          <w:ilvl w:val="5"/>
          <w:numId w:val="173"/>
        </w:numPr>
      </w:pPr>
      <w:r>
        <w:t>it would not be practicable to create or produce the item without the Project Specific IPR, Specially Written Software, the Authority Software, the Authority Data and/or the Authority Background IPRs.</w:t>
      </w:r>
    </w:p>
    <w:p w14:paraId="6D1E1277" w14:textId="77777777" w:rsidR="00E60EAE" w:rsidRDefault="00E60EAE" w:rsidP="00B71FC0">
      <w:pPr>
        <w:pStyle w:val="Numbered111"/>
        <w:numPr>
          <w:ilvl w:val="2"/>
          <w:numId w:val="173"/>
        </w:numPr>
      </w:pPr>
      <w:r>
        <w:t>all royalties are paid quarterly on the basis of the total sales of the item in that quarter;</w:t>
      </w:r>
    </w:p>
    <w:p w14:paraId="35B7511F" w14:textId="77777777" w:rsidR="00E60EAE" w:rsidRDefault="00E60EAE" w:rsidP="00B71FC0">
      <w:pPr>
        <w:pStyle w:val="Numbered111"/>
        <w:keepNext/>
        <w:numPr>
          <w:ilvl w:val="2"/>
          <w:numId w:val="173"/>
        </w:numPr>
      </w:pPr>
      <w:r>
        <w:t>each payment of royalties must be accompanied by a detailed statement showing:</w:t>
      </w:r>
    </w:p>
    <w:p w14:paraId="54AFEFB2" w14:textId="77777777" w:rsidR="00E60EAE" w:rsidRDefault="00E60EAE" w:rsidP="00B71FC0">
      <w:pPr>
        <w:pStyle w:val="Numbered111a"/>
        <w:numPr>
          <w:ilvl w:val="3"/>
          <w:numId w:val="173"/>
        </w:numPr>
      </w:pPr>
      <w:r>
        <w:t>the number of items sold in that quarter;</w:t>
      </w:r>
    </w:p>
    <w:p w14:paraId="7C8B6CE8" w14:textId="77777777" w:rsidR="00E60EAE" w:rsidRDefault="00E60EAE" w:rsidP="00B71FC0">
      <w:pPr>
        <w:pStyle w:val="Numbered111a"/>
        <w:numPr>
          <w:ilvl w:val="3"/>
          <w:numId w:val="173"/>
        </w:numPr>
      </w:pPr>
      <w:r>
        <w:t>their net sales value; and</w:t>
      </w:r>
    </w:p>
    <w:p w14:paraId="0BDDFA0B" w14:textId="77777777" w:rsidR="00E60EAE" w:rsidRDefault="00E60EAE" w:rsidP="00B71FC0">
      <w:pPr>
        <w:pStyle w:val="Numbered111a"/>
        <w:numPr>
          <w:ilvl w:val="3"/>
          <w:numId w:val="173"/>
        </w:numPr>
      </w:pPr>
      <w:r>
        <w:t>the royalties due to the Authority;</w:t>
      </w:r>
    </w:p>
    <w:p w14:paraId="5DCE31EA" w14:textId="10F392D0" w:rsidR="00E60EAE" w:rsidRDefault="00E60EAE" w:rsidP="00B71FC0">
      <w:pPr>
        <w:pStyle w:val="Numbered111"/>
        <w:numPr>
          <w:ilvl w:val="2"/>
          <w:numId w:val="173"/>
        </w:numPr>
      </w:pPr>
      <w:r>
        <w:t>the Supplier must keep true and accurate records and books of account containing all information and data necessary for the calculation of royalties, including, for the avoidance of doubt, the calculation of the net sales value and the estimation of P in the formula in Paragraph </w:t>
      </w:r>
      <w:r>
        <w:fldChar w:fldCharType="begin"/>
      </w:r>
      <w:r>
        <w:instrText xml:space="preserve"> REF _Ref140783883 \r \h  \* MERGEFORMAT </w:instrText>
      </w:r>
      <w:r>
        <w:fldChar w:fldCharType="separate"/>
      </w:r>
      <w:r w:rsidR="009749A0">
        <w:t>1.6</w:t>
      </w:r>
      <w:r>
        <w:fldChar w:fldCharType="end"/>
      </w:r>
    </w:p>
    <w:p w14:paraId="4A5DC782" w14:textId="33E01A77" w:rsidR="00E60EAE" w:rsidRDefault="00E60EAE" w:rsidP="00B71FC0">
      <w:pPr>
        <w:pStyle w:val="Numbered111"/>
        <w:numPr>
          <w:ilvl w:val="2"/>
          <w:numId w:val="173"/>
        </w:numPr>
      </w:pPr>
      <w:r>
        <w:t>the Supplier must make such books and records available for inspection by the Authority, or the Authority’s representative, whether physically or virtually, at any reasonable time specified by the Authority.</w:t>
      </w:r>
    </w:p>
    <w:p w14:paraId="633AE3C7" w14:textId="77777777" w:rsidR="00F57741" w:rsidRPr="00F57741" w:rsidRDefault="00F57741" w:rsidP="00F57741">
      <w:pPr>
        <w:keepNext/>
        <w:pageBreakBefore/>
        <w:spacing w:before="240"/>
        <w:rPr>
          <w:b/>
          <w:i/>
          <w:highlight w:val="yellow"/>
        </w:rPr>
      </w:pPr>
      <w:bookmarkStart w:id="2304" w:name="_Hlk141436852"/>
      <w:r w:rsidRPr="00F57741">
        <w:rPr>
          <w:b/>
          <w:i/>
          <w:highlight w:val="yellow"/>
        </w:rPr>
        <w:lastRenderedPageBreak/>
        <w:t>[Guidance note: if using Option 2, please delete the following drafting, as the Supplier does not own the New IPR under that option]:</w:t>
      </w:r>
    </w:p>
    <w:p w14:paraId="56AB5141" w14:textId="77777777" w:rsidR="00817698" w:rsidRDefault="00817698" w:rsidP="00817698">
      <w:pPr>
        <w:pStyle w:val="Numbered1"/>
        <w:numPr>
          <w:ilvl w:val="0"/>
          <w:numId w:val="173"/>
        </w:numPr>
      </w:pPr>
      <w:r>
        <w:t>Clawback</w:t>
      </w:r>
    </w:p>
    <w:p w14:paraId="05591F0E" w14:textId="77777777" w:rsidR="00817698" w:rsidRDefault="00817698" w:rsidP="00817698">
      <w:pPr>
        <w:pStyle w:val="Numbered11"/>
        <w:numPr>
          <w:ilvl w:val="1"/>
          <w:numId w:val="173"/>
        </w:numPr>
      </w:pPr>
      <w:r>
        <w:t>If, within three (3) years of its creation, the Supplier:</w:t>
      </w:r>
    </w:p>
    <w:p w14:paraId="470919E7" w14:textId="77777777" w:rsidR="00817698" w:rsidRDefault="00817698" w:rsidP="00817698">
      <w:pPr>
        <w:pStyle w:val="Numbered111"/>
        <w:numPr>
          <w:ilvl w:val="2"/>
          <w:numId w:val="173"/>
        </w:numPr>
      </w:pPr>
      <w:r>
        <w:t>is not commercially exploiting any Project Specific IPR or Specially Written Software;</w:t>
      </w:r>
    </w:p>
    <w:p w14:paraId="43338723" w14:textId="77777777" w:rsidR="00817698" w:rsidRDefault="00817698" w:rsidP="00817698">
      <w:pPr>
        <w:pStyle w:val="Numbered111"/>
        <w:numPr>
          <w:ilvl w:val="2"/>
          <w:numId w:val="173"/>
        </w:numPr>
      </w:pPr>
      <w:r>
        <w:t>where the Supplier is not commercially exploiting any Project Specific IPR or Specially Written Software, is not, to the satisfaction of the Authority, using its best endeavours to do so,</w:t>
      </w:r>
    </w:p>
    <w:p w14:paraId="2AD429D9" w14:textId="77777777" w:rsidR="00817698" w:rsidRDefault="00817698" w:rsidP="00817698">
      <w:pPr>
        <w:pStyle w:val="Numbered11"/>
        <w:numPr>
          <w:ilvl w:val="0"/>
          <w:numId w:val="0"/>
        </w:numPr>
        <w:ind w:firstLine="720"/>
      </w:pPr>
      <w:r>
        <w:t>then, on written request from the Authority:</w:t>
      </w:r>
    </w:p>
    <w:p w14:paraId="28564565" w14:textId="77777777" w:rsidR="00817698" w:rsidRDefault="00817698" w:rsidP="00817698">
      <w:pPr>
        <w:pStyle w:val="Numbered111a"/>
        <w:numPr>
          <w:ilvl w:val="3"/>
          <w:numId w:val="173"/>
        </w:numPr>
      </w:pPr>
      <w:r>
        <w:t>the Supplier must promptly carry out an assignation to the Authority the Project Specific IPR or Specially Written Software or any specified items of the Project Specific IPR or Specially Written Software; and</w:t>
      </w:r>
    </w:p>
    <w:p w14:paraId="10B10C2F" w14:textId="77777777" w:rsidR="00817698" w:rsidRDefault="00817698" w:rsidP="00817698">
      <w:pPr>
        <w:pStyle w:val="Numbered111a"/>
        <w:numPr>
          <w:ilvl w:val="3"/>
          <w:numId w:val="173"/>
        </w:numPr>
      </w:pPr>
      <w:r>
        <w:t>the licence to commercially exploit Authority Software, Authority Data or Authority Background IPRs terminates either:</w:t>
      </w:r>
    </w:p>
    <w:p w14:paraId="732D2E67" w14:textId="77777777" w:rsidR="00817698" w:rsidRDefault="00817698" w:rsidP="00817698">
      <w:pPr>
        <w:pStyle w:val="Numbered111a"/>
        <w:numPr>
          <w:ilvl w:val="3"/>
          <w:numId w:val="173"/>
        </w:numPr>
      </w:pPr>
      <w:r>
        <w:t>on the date specified in the notice; or</w:t>
      </w:r>
    </w:p>
    <w:p w14:paraId="275A22A0" w14:textId="77777777" w:rsidR="00817698" w:rsidRDefault="00817698" w:rsidP="00817698">
      <w:pPr>
        <w:pStyle w:val="Numbered111a"/>
        <w:numPr>
          <w:ilvl w:val="3"/>
          <w:numId w:val="173"/>
        </w:numPr>
      </w:pPr>
      <w:r>
        <w:t>where no date is specified in the notice, on the date the notice is received by the Supplier.</w:t>
      </w:r>
    </w:p>
    <w:p w14:paraId="47EF1BAE" w14:textId="77777777" w:rsidR="00817698" w:rsidRDefault="00817698" w:rsidP="00817698">
      <w:pPr>
        <w:pStyle w:val="Numbered11"/>
        <w:numPr>
          <w:ilvl w:val="1"/>
          <w:numId w:val="173"/>
        </w:numPr>
      </w:pPr>
      <w:r>
        <w:t xml:space="preserve"> Each Party shall bear its own costs of preparing and executing any such assignation.</w:t>
      </w:r>
    </w:p>
    <w:p w14:paraId="0ABB967A" w14:textId="77777777" w:rsidR="00E60EAE" w:rsidRPr="000038E2" w:rsidRDefault="00E60EAE" w:rsidP="00E60EAE">
      <w:pPr>
        <w:pStyle w:val="Heading2"/>
        <w:pageBreakBefore/>
      </w:pPr>
      <w:bookmarkStart w:id="2305" w:name="_Ref92450772"/>
      <w:bookmarkStart w:id="2306" w:name="_Toc118293567"/>
      <w:bookmarkStart w:id="2307" w:name="_Toc141721080"/>
      <w:bookmarkEnd w:id="2304"/>
      <w:r w:rsidRPr="001B4E17">
        <w:lastRenderedPageBreak/>
        <w:t xml:space="preserve">Annex </w:t>
      </w:r>
      <w:bookmarkStart w:id="2308" w:name="ANNEX1_SCHEDULE32"/>
      <w:r w:rsidRPr="001B4E17">
        <w:t>1</w:t>
      </w:r>
      <w:bookmarkEnd w:id="2308"/>
      <w:r w:rsidRPr="001B4E17">
        <w:t>: Project Specific IPR</w:t>
      </w:r>
      <w:bookmarkEnd w:id="2305"/>
      <w:bookmarkEnd w:id="2306"/>
      <w:r>
        <w:t xml:space="preserve"> a</w:t>
      </w:r>
      <w:r w:rsidRPr="001B4E17">
        <w:t>nd Specially Written Software</w:t>
      </w:r>
      <w:bookmarkEnd w:id="2307"/>
      <w:r w:rsidRPr="001B4E17">
        <w:t xml:space="preserve"> </w:t>
      </w:r>
    </w:p>
    <w:tbl>
      <w:tblPr>
        <w:tblStyle w:val="MSATable-header"/>
        <w:tblW w:w="10204" w:type="dxa"/>
        <w:tblLook w:val="0620" w:firstRow="1" w:lastRow="0" w:firstColumn="0" w:lastColumn="0" w:noHBand="1" w:noVBand="1"/>
      </w:tblPr>
      <w:tblGrid>
        <w:gridCol w:w="4535"/>
        <w:gridCol w:w="5669"/>
      </w:tblGrid>
      <w:tr w:rsidR="00E60EAE" w:rsidRPr="002E463E" w14:paraId="34BF89FB" w14:textId="77777777" w:rsidTr="00AC4202">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59888E66" w14:textId="77777777" w:rsidR="00E60EAE" w:rsidRPr="002E463E" w:rsidRDefault="00E60EAE" w:rsidP="00AC4202">
            <w:pPr>
              <w:tabs>
                <w:tab w:val="left" w:pos="709"/>
              </w:tabs>
              <w:rPr>
                <w:bCs/>
                <w:color w:val="000000"/>
              </w:rPr>
            </w:pPr>
            <w:r w:rsidRPr="00DA566F">
              <w:rPr>
                <w:bCs/>
              </w:rPr>
              <w:t>Name of Project Specific IPR</w:t>
            </w:r>
          </w:p>
        </w:tc>
        <w:tc>
          <w:tcPr>
            <w:tcW w:w="5669" w:type="dxa"/>
            <w:vAlign w:val="bottom"/>
          </w:tcPr>
          <w:p w14:paraId="66CBD537" w14:textId="77777777" w:rsidR="00E60EAE" w:rsidRPr="002E463E" w:rsidRDefault="00E60EAE" w:rsidP="00AC4202">
            <w:pPr>
              <w:tabs>
                <w:tab w:val="left" w:pos="709"/>
              </w:tabs>
              <w:rPr>
                <w:bCs/>
                <w:color w:val="000000"/>
              </w:rPr>
            </w:pPr>
            <w:r w:rsidRPr="007C382B">
              <w:rPr>
                <w:bCs/>
              </w:rPr>
              <w:t>Details</w:t>
            </w:r>
          </w:p>
        </w:tc>
      </w:tr>
      <w:tr w:rsidR="00E60EAE" w14:paraId="54A86622" w14:textId="77777777" w:rsidTr="00AC4202">
        <w:tc>
          <w:tcPr>
            <w:tcW w:w="4535" w:type="dxa"/>
          </w:tcPr>
          <w:p w14:paraId="331D2459" w14:textId="77777777" w:rsidR="00E60EAE" w:rsidRDefault="00E60EAE" w:rsidP="00AC4202">
            <w:pPr>
              <w:tabs>
                <w:tab w:val="left" w:pos="709"/>
              </w:tabs>
              <w:rPr>
                <w:color w:val="000000"/>
              </w:rPr>
            </w:pPr>
          </w:p>
        </w:tc>
        <w:tc>
          <w:tcPr>
            <w:tcW w:w="5669" w:type="dxa"/>
          </w:tcPr>
          <w:p w14:paraId="00082CB9" w14:textId="77777777" w:rsidR="00E60EAE" w:rsidRDefault="00E60EAE" w:rsidP="00AC4202">
            <w:pPr>
              <w:tabs>
                <w:tab w:val="left" w:pos="709"/>
              </w:tabs>
              <w:rPr>
                <w:color w:val="000000"/>
              </w:rPr>
            </w:pPr>
          </w:p>
        </w:tc>
      </w:tr>
      <w:tr w:rsidR="00E60EAE" w14:paraId="1D658097" w14:textId="77777777" w:rsidTr="00AC4202">
        <w:tc>
          <w:tcPr>
            <w:tcW w:w="4535" w:type="dxa"/>
          </w:tcPr>
          <w:p w14:paraId="5B6317A5" w14:textId="77777777" w:rsidR="00E60EAE" w:rsidRDefault="00E60EAE" w:rsidP="00AC4202">
            <w:pPr>
              <w:tabs>
                <w:tab w:val="left" w:pos="709"/>
              </w:tabs>
              <w:rPr>
                <w:color w:val="000000"/>
              </w:rPr>
            </w:pPr>
          </w:p>
        </w:tc>
        <w:tc>
          <w:tcPr>
            <w:tcW w:w="5669" w:type="dxa"/>
          </w:tcPr>
          <w:p w14:paraId="038EEEA2" w14:textId="77777777" w:rsidR="00E60EAE" w:rsidRDefault="00E60EAE" w:rsidP="00AC4202">
            <w:pPr>
              <w:tabs>
                <w:tab w:val="left" w:pos="709"/>
              </w:tabs>
              <w:rPr>
                <w:color w:val="000000"/>
              </w:rPr>
            </w:pPr>
          </w:p>
        </w:tc>
      </w:tr>
    </w:tbl>
    <w:p w14:paraId="5A02DC1F" w14:textId="77777777" w:rsidR="00E60EAE" w:rsidRDefault="00E60EAE" w:rsidP="00E60EAE">
      <w:pPr>
        <w:rPr>
          <w:highlight w:val="yellow"/>
        </w:rPr>
      </w:pPr>
    </w:p>
    <w:tbl>
      <w:tblPr>
        <w:tblStyle w:val="MSATable-header"/>
        <w:tblW w:w="10204" w:type="dxa"/>
        <w:tblLook w:val="0620" w:firstRow="1" w:lastRow="0" w:firstColumn="0" w:lastColumn="0" w:noHBand="1" w:noVBand="1"/>
      </w:tblPr>
      <w:tblGrid>
        <w:gridCol w:w="4535"/>
        <w:gridCol w:w="5669"/>
      </w:tblGrid>
      <w:tr w:rsidR="00E60EAE" w:rsidRPr="002E463E" w14:paraId="232D5E5A" w14:textId="77777777" w:rsidTr="00AC4202">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3AC3851A" w14:textId="77777777" w:rsidR="00E60EAE" w:rsidRPr="002E463E" w:rsidRDefault="00E60EAE" w:rsidP="00AC4202">
            <w:pPr>
              <w:tabs>
                <w:tab w:val="left" w:pos="709"/>
              </w:tabs>
              <w:rPr>
                <w:bCs/>
                <w:color w:val="000000"/>
              </w:rPr>
            </w:pPr>
            <w:r w:rsidRPr="00DA566F">
              <w:rPr>
                <w:bCs/>
              </w:rPr>
              <w:t>Name of Specially Written Software</w:t>
            </w:r>
          </w:p>
        </w:tc>
        <w:tc>
          <w:tcPr>
            <w:tcW w:w="5669" w:type="dxa"/>
            <w:vAlign w:val="bottom"/>
          </w:tcPr>
          <w:p w14:paraId="79D6093D" w14:textId="77777777" w:rsidR="00E60EAE" w:rsidRPr="002E463E" w:rsidRDefault="00E60EAE" w:rsidP="00AC4202">
            <w:pPr>
              <w:tabs>
                <w:tab w:val="left" w:pos="709"/>
              </w:tabs>
              <w:rPr>
                <w:bCs/>
                <w:color w:val="000000"/>
              </w:rPr>
            </w:pPr>
            <w:r w:rsidRPr="007C382B">
              <w:rPr>
                <w:bCs/>
              </w:rPr>
              <w:t>Details</w:t>
            </w:r>
          </w:p>
        </w:tc>
      </w:tr>
      <w:tr w:rsidR="00E60EAE" w14:paraId="4F35E49C" w14:textId="77777777" w:rsidTr="00AC4202">
        <w:tc>
          <w:tcPr>
            <w:tcW w:w="4535" w:type="dxa"/>
          </w:tcPr>
          <w:p w14:paraId="1E895978" w14:textId="77777777" w:rsidR="00E60EAE" w:rsidRDefault="00E60EAE" w:rsidP="00AC4202">
            <w:pPr>
              <w:tabs>
                <w:tab w:val="left" w:pos="709"/>
              </w:tabs>
              <w:rPr>
                <w:color w:val="000000"/>
              </w:rPr>
            </w:pPr>
          </w:p>
        </w:tc>
        <w:tc>
          <w:tcPr>
            <w:tcW w:w="5669" w:type="dxa"/>
          </w:tcPr>
          <w:p w14:paraId="163A21F8" w14:textId="77777777" w:rsidR="00E60EAE" w:rsidRDefault="00E60EAE" w:rsidP="00AC4202">
            <w:pPr>
              <w:tabs>
                <w:tab w:val="left" w:pos="709"/>
              </w:tabs>
              <w:rPr>
                <w:color w:val="000000"/>
              </w:rPr>
            </w:pPr>
          </w:p>
        </w:tc>
      </w:tr>
      <w:tr w:rsidR="00E60EAE" w14:paraId="2D448BA0" w14:textId="77777777" w:rsidTr="00AC4202">
        <w:tc>
          <w:tcPr>
            <w:tcW w:w="4535" w:type="dxa"/>
          </w:tcPr>
          <w:p w14:paraId="61901361" w14:textId="77777777" w:rsidR="00E60EAE" w:rsidRDefault="00E60EAE" w:rsidP="00AC4202">
            <w:pPr>
              <w:tabs>
                <w:tab w:val="left" w:pos="709"/>
              </w:tabs>
              <w:rPr>
                <w:color w:val="000000"/>
              </w:rPr>
            </w:pPr>
          </w:p>
        </w:tc>
        <w:tc>
          <w:tcPr>
            <w:tcW w:w="5669" w:type="dxa"/>
          </w:tcPr>
          <w:p w14:paraId="6F4460DA" w14:textId="77777777" w:rsidR="00E60EAE" w:rsidRDefault="00E60EAE" w:rsidP="00AC4202">
            <w:pPr>
              <w:tabs>
                <w:tab w:val="left" w:pos="709"/>
              </w:tabs>
              <w:rPr>
                <w:color w:val="000000"/>
              </w:rPr>
            </w:pPr>
          </w:p>
        </w:tc>
      </w:tr>
    </w:tbl>
    <w:p w14:paraId="39AD397D" w14:textId="77777777" w:rsidR="00E60EAE" w:rsidRPr="00D44C96" w:rsidRDefault="00E60EAE" w:rsidP="00E60EAE">
      <w:pPr>
        <w:rPr>
          <w:highlight w:val="yellow"/>
        </w:rPr>
      </w:pPr>
    </w:p>
    <w:tbl>
      <w:tblPr>
        <w:tblStyle w:val="MSATable-header"/>
        <w:tblW w:w="10204" w:type="dxa"/>
        <w:tblLook w:val="0620" w:firstRow="1" w:lastRow="0" w:firstColumn="0" w:lastColumn="0" w:noHBand="1" w:noVBand="1"/>
      </w:tblPr>
      <w:tblGrid>
        <w:gridCol w:w="4535"/>
        <w:gridCol w:w="5669"/>
      </w:tblGrid>
      <w:tr w:rsidR="00E60EAE" w:rsidRPr="002E463E" w14:paraId="739B4D7B" w14:textId="77777777" w:rsidTr="00AC4202">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45834B60" w14:textId="77777777" w:rsidR="00E60EAE" w:rsidRPr="002E463E" w:rsidRDefault="00E60EAE" w:rsidP="00AC4202">
            <w:pPr>
              <w:tabs>
                <w:tab w:val="left" w:pos="709"/>
              </w:tabs>
              <w:rPr>
                <w:bCs/>
                <w:color w:val="000000"/>
              </w:rPr>
            </w:pPr>
            <w:r w:rsidRPr="00DA566F">
              <w:rPr>
                <w:bCs/>
              </w:rPr>
              <w:t>Name of adapted or embedded Supplier Software, Third Party Software, Third Party IPRs, or Supplier Background IPRs</w:t>
            </w:r>
          </w:p>
        </w:tc>
        <w:tc>
          <w:tcPr>
            <w:tcW w:w="5669" w:type="dxa"/>
            <w:vAlign w:val="bottom"/>
          </w:tcPr>
          <w:p w14:paraId="58EF68FB" w14:textId="77777777" w:rsidR="00E60EAE" w:rsidRPr="002E463E" w:rsidRDefault="00E60EAE" w:rsidP="00AC4202">
            <w:pPr>
              <w:tabs>
                <w:tab w:val="left" w:pos="709"/>
              </w:tabs>
              <w:rPr>
                <w:bCs/>
                <w:color w:val="000000"/>
              </w:rPr>
            </w:pPr>
            <w:r w:rsidRPr="007C382B">
              <w:rPr>
                <w:bCs/>
              </w:rPr>
              <w:t>Details</w:t>
            </w:r>
          </w:p>
        </w:tc>
      </w:tr>
      <w:tr w:rsidR="00E60EAE" w14:paraId="17EF7DBA" w14:textId="77777777" w:rsidTr="00AC4202">
        <w:tc>
          <w:tcPr>
            <w:tcW w:w="4535" w:type="dxa"/>
          </w:tcPr>
          <w:p w14:paraId="27F861E5" w14:textId="77777777" w:rsidR="00E60EAE" w:rsidRDefault="00E60EAE" w:rsidP="00AC4202">
            <w:pPr>
              <w:tabs>
                <w:tab w:val="left" w:pos="709"/>
              </w:tabs>
              <w:rPr>
                <w:color w:val="000000"/>
              </w:rPr>
            </w:pPr>
          </w:p>
        </w:tc>
        <w:tc>
          <w:tcPr>
            <w:tcW w:w="5669" w:type="dxa"/>
          </w:tcPr>
          <w:p w14:paraId="7ED04B8E" w14:textId="77777777" w:rsidR="00E60EAE" w:rsidRDefault="00E60EAE" w:rsidP="00AC4202">
            <w:pPr>
              <w:tabs>
                <w:tab w:val="left" w:pos="709"/>
              </w:tabs>
              <w:rPr>
                <w:color w:val="000000"/>
              </w:rPr>
            </w:pPr>
          </w:p>
        </w:tc>
      </w:tr>
      <w:tr w:rsidR="00E60EAE" w14:paraId="4D2198CB" w14:textId="77777777" w:rsidTr="00AC4202">
        <w:tc>
          <w:tcPr>
            <w:tcW w:w="4535" w:type="dxa"/>
          </w:tcPr>
          <w:p w14:paraId="59B6F4DA" w14:textId="77777777" w:rsidR="00E60EAE" w:rsidRDefault="00E60EAE" w:rsidP="00AC4202">
            <w:pPr>
              <w:tabs>
                <w:tab w:val="left" w:pos="709"/>
              </w:tabs>
              <w:rPr>
                <w:color w:val="000000"/>
              </w:rPr>
            </w:pPr>
          </w:p>
        </w:tc>
        <w:tc>
          <w:tcPr>
            <w:tcW w:w="5669" w:type="dxa"/>
          </w:tcPr>
          <w:p w14:paraId="5ADC3672" w14:textId="77777777" w:rsidR="00E60EAE" w:rsidRDefault="00E60EAE" w:rsidP="00AC4202">
            <w:pPr>
              <w:tabs>
                <w:tab w:val="left" w:pos="709"/>
              </w:tabs>
              <w:rPr>
                <w:color w:val="000000"/>
              </w:rPr>
            </w:pPr>
          </w:p>
        </w:tc>
      </w:tr>
    </w:tbl>
    <w:p w14:paraId="1CEF745F" w14:textId="77777777" w:rsidR="00E60EAE" w:rsidRPr="00D44C96" w:rsidRDefault="00E60EAE" w:rsidP="00E60EAE">
      <w:pPr>
        <w:rPr>
          <w:highlight w:val="yellow"/>
        </w:rPr>
      </w:pPr>
    </w:p>
    <w:p w14:paraId="29502513" w14:textId="77777777" w:rsidR="00E60EAE" w:rsidRPr="002223EA" w:rsidRDefault="00E60EAE" w:rsidP="00E60EAE">
      <w:pPr>
        <w:rPr>
          <w:bCs/>
          <w:iCs/>
        </w:rPr>
      </w:pPr>
      <w:r w:rsidRPr="0066203D">
        <w:rPr>
          <w:b/>
          <w:iCs/>
        </w:rPr>
        <w:t>[</w:t>
      </w:r>
      <w:r w:rsidRPr="00964392">
        <w:rPr>
          <w:b/>
          <w:i/>
          <w:highlight w:val="yellow"/>
        </w:rPr>
        <w:t>Guidance: This may need to be updated throughout the life of the Contract. The AuthorityAuthority should make clear to the Supplier that the Project Specific IPR and Specially Written Software which must be recorded in this Annex does not include all forms of IPR which may be created by the Supplier and the Supplier Staff during the completion of their obligations under the Contract. Only Project Specific IPR and Specially Written Software which is part of a Deliverable, or is necessary for the use of a Deliverable by the AuthorityAuthority Authoritywill need to be recorded here. IPR such as email communications or documents which do not form part of the Deliverables need not be recorded in this Annex</w:t>
      </w:r>
      <w:r w:rsidRPr="00973687">
        <w:rPr>
          <w:bCs/>
          <w:iCs/>
          <w:highlight w:val="yellow"/>
        </w:rPr>
        <w:t>.</w:t>
      </w:r>
      <w:r w:rsidRPr="0066203D">
        <w:rPr>
          <w:bCs/>
          <w:iCs/>
        </w:rPr>
        <w:t>]</w:t>
      </w:r>
    </w:p>
    <w:p w14:paraId="02AB051A" w14:textId="77777777" w:rsidR="00E60EAE" w:rsidRPr="007D3E82" w:rsidRDefault="00E60EAE" w:rsidP="00E60EAE"/>
    <w:p w14:paraId="3838FF22" w14:textId="77777777" w:rsidR="00FE46BD" w:rsidRPr="00BD6C5F" w:rsidRDefault="00FE46BD" w:rsidP="000447D5">
      <w:pPr>
        <w:spacing w:before="100" w:after="200"/>
        <w:rPr>
          <w:rFonts w:asciiTheme="minorHAnsi" w:hAnsiTheme="minorHAnsi" w:cstheme="minorHAnsi"/>
          <w:bCs/>
          <w:iCs/>
          <w:szCs w:val="24"/>
        </w:rPr>
      </w:pPr>
    </w:p>
    <w:sectPr w:rsidR="00FE46BD" w:rsidRPr="00BD6C5F" w:rsidSect="00EA65BF">
      <w:headerReference w:type="default" r:id="rId126"/>
      <w:footerReference w:type="default" r:id="rId127"/>
      <w:pgSz w:w="11910" w:h="16840"/>
      <w:pgMar w:top="1701" w:right="851"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1E7C" w14:textId="77777777" w:rsidR="00CE344C" w:rsidRDefault="00CE344C">
      <w:r>
        <w:separator/>
      </w:r>
    </w:p>
  </w:endnote>
  <w:endnote w:type="continuationSeparator" w:id="0">
    <w:p w14:paraId="0C6A02EC" w14:textId="77777777" w:rsidR="00CE344C" w:rsidRDefault="00CE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TZhongsong">
    <w:altName w:val="Arial Unicode MS"/>
    <w:charset w:val="00"/>
    <w:family w:val="auto"/>
    <w:pitch w:val="default"/>
  </w:font>
  <w:font w:name="SimHei">
    <w:altName w:val="黑体"/>
    <w:panose1 w:val="02010600030101010101"/>
    <w:charset w:val="86"/>
    <w:family w:val="modern"/>
    <w:pitch w:val="fixed"/>
    <w:sig w:usb0="00000001" w:usb1="080E0000" w:usb2="00000010" w:usb3="00000000" w:csb0="00040000" w:csb1="00000000"/>
  </w:font>
  <w:font w:name="Arial Bold">
    <w:panose1 w:val="020B07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4046" w14:textId="77777777" w:rsidR="008E5198" w:rsidRDefault="008E51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5070"/>
      <w:docPartObj>
        <w:docPartGallery w:val="Page Numbers (Bottom of Page)"/>
        <w:docPartUnique/>
      </w:docPartObj>
    </w:sdtPr>
    <w:sdtEndPr/>
    <w:sdtContent>
      <w:p w14:paraId="06C7C80B" w14:textId="2DF2963D" w:rsidR="00BF1AD5" w:rsidRPr="00EA65BF" w:rsidRDefault="00847406" w:rsidP="0031289A">
        <w:pPr>
          <w:pStyle w:val="Footer"/>
        </w:pPr>
        <w:r w:rsidRPr="00847406">
          <w:t xml:space="preserve">Schedule 5 </w:t>
        </w:r>
        <w:r w:rsidR="0077023F">
          <w:t>(</w:t>
        </w:r>
        <w:r w:rsidRPr="00847406">
          <w:t>Security Management</w:t>
        </w:r>
        <w:r w:rsidR="0077023F">
          <w:t>),</w:t>
        </w:r>
        <w:r w:rsidRPr="00547C96">
          <w:t xml:space="preserve"> </w:t>
        </w:r>
        <w:r w:rsidRPr="00847406">
          <w:t>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145</w:t>
        </w:r>
        <w:r w:rsidR="00BF1AD5" w:rsidRPr="00EA65BF">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83961"/>
      <w:docPartObj>
        <w:docPartGallery w:val="Page Numbers (Bottom of Page)"/>
        <w:docPartUnique/>
      </w:docPartObj>
    </w:sdtPr>
    <w:sdtEndPr/>
    <w:sdtContent>
      <w:p w14:paraId="2136A0C3" w14:textId="5EBB1B3E" w:rsidR="00BF1AD5" w:rsidRPr="00EA65BF" w:rsidRDefault="00136E05" w:rsidP="0031289A">
        <w:pPr>
          <w:pStyle w:val="Footer"/>
        </w:pPr>
        <w:r w:rsidRPr="00136E05">
          <w:t xml:space="preserve">Schedule 6 </w:t>
        </w:r>
        <w:r w:rsidR="00A70B21">
          <w:t>(</w:t>
        </w:r>
        <w:r w:rsidRPr="00136E05">
          <w:t>Insurance Requirements</w:t>
        </w:r>
        <w:r w:rsidR="00A70B21">
          <w:t xml:space="preserve">), </w:t>
        </w:r>
        <w:r w:rsidRPr="00136E05">
          <w:t>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153</w:t>
        </w:r>
        <w:r w:rsidR="00BF1AD5" w:rsidRPr="00EA65BF">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49187"/>
      <w:docPartObj>
        <w:docPartGallery w:val="Page Numbers (Bottom of Page)"/>
        <w:docPartUnique/>
      </w:docPartObj>
    </w:sdtPr>
    <w:sdtEndPr/>
    <w:sdtContent>
      <w:p w14:paraId="39695035" w14:textId="35979B2F" w:rsidR="00BF1AD5" w:rsidRPr="00EA65BF" w:rsidRDefault="00136E05" w:rsidP="0031289A">
        <w:pPr>
          <w:pStyle w:val="Footer"/>
        </w:pPr>
        <w:r w:rsidRPr="00136E05">
          <w:t xml:space="preserve">Schedule 7 </w:t>
        </w:r>
        <w:r w:rsidR="00D30D0E">
          <w:t>(</w:t>
        </w:r>
        <w:r w:rsidRPr="00136E05">
          <w:t>Authority Responsibilities</w:t>
        </w:r>
        <w:r w:rsidR="00D30D0E">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164</w:t>
        </w:r>
        <w:r w:rsidR="00BF1AD5" w:rsidRPr="00EA65BF">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18612"/>
      <w:docPartObj>
        <w:docPartGallery w:val="Page Numbers (Bottom of Page)"/>
        <w:docPartUnique/>
      </w:docPartObj>
    </w:sdtPr>
    <w:sdtEndPr/>
    <w:sdtContent>
      <w:p w14:paraId="7D545BE8" w14:textId="6FB01194" w:rsidR="00136E05" w:rsidRPr="00EA65BF" w:rsidRDefault="00136E05" w:rsidP="0031289A">
        <w:pPr>
          <w:pStyle w:val="Footer"/>
        </w:pPr>
        <w:r w:rsidRPr="00136E05">
          <w:t xml:space="preserve">Schedule 8 </w:t>
        </w:r>
        <w:r w:rsidR="00D30D0E">
          <w:t>(</w:t>
        </w:r>
        <w:r w:rsidRPr="00136E05">
          <w:t>Supplier Solution</w:t>
        </w:r>
        <w:r w:rsidR="00D30D0E">
          <w:t>),</w:t>
        </w:r>
        <w:r w:rsidRPr="00136E05">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164</w:t>
        </w:r>
        <w:r w:rsidRPr="00EA65BF">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74612"/>
      <w:docPartObj>
        <w:docPartGallery w:val="Page Numbers (Bottom of Page)"/>
        <w:docPartUnique/>
      </w:docPartObj>
    </w:sdtPr>
    <w:sdtEndPr/>
    <w:sdtContent>
      <w:p w14:paraId="40C5FCAB" w14:textId="1BA04781" w:rsidR="00136E05" w:rsidRPr="00EA65BF" w:rsidRDefault="00136E05" w:rsidP="0031289A">
        <w:pPr>
          <w:pStyle w:val="Footer"/>
        </w:pPr>
        <w:r w:rsidRPr="00136E05">
          <w:t xml:space="preserve">Schedule 9 </w:t>
        </w:r>
        <w:r w:rsidR="00A803AA">
          <w:t>(</w:t>
        </w:r>
        <w:r w:rsidRPr="00136E05">
          <w:t>Commercially Sensitive Information</w:t>
        </w:r>
        <w:r w:rsidR="00A803AA">
          <w:t>),</w:t>
        </w:r>
        <w:r w:rsidRPr="00136E05">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164</w:t>
        </w:r>
        <w:r w:rsidRPr="00EA65BF">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2315"/>
      <w:docPartObj>
        <w:docPartGallery w:val="Page Numbers (Bottom of Page)"/>
        <w:docPartUnique/>
      </w:docPartObj>
    </w:sdtPr>
    <w:sdtEndPr/>
    <w:sdtContent>
      <w:p w14:paraId="37F16CE7" w14:textId="35BFF0DC" w:rsidR="00136E05" w:rsidRPr="00EA65BF" w:rsidRDefault="00136E05" w:rsidP="0031289A">
        <w:pPr>
          <w:pStyle w:val="Footer"/>
        </w:pPr>
        <w:r w:rsidRPr="00136E05">
          <w:t xml:space="preserve">Schedule 10 </w:t>
        </w:r>
        <w:r w:rsidR="00D76C87">
          <w:t>(</w:t>
        </w:r>
        <w:r w:rsidRPr="00136E05">
          <w:t>Notified Key Sub-contractors</w:t>
        </w:r>
        <w:r w:rsidR="00D76C87">
          <w:t>)</w:t>
        </w:r>
        <w:r w:rsidRPr="00136E05">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164</w:t>
        </w:r>
        <w:r w:rsidRPr="00EA65BF">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7102"/>
      <w:docPartObj>
        <w:docPartGallery w:val="Page Numbers (Bottom of Page)"/>
        <w:docPartUnique/>
      </w:docPartObj>
    </w:sdtPr>
    <w:sdtEndPr/>
    <w:sdtContent>
      <w:p w14:paraId="001891A7" w14:textId="3254D65E" w:rsidR="00136E05" w:rsidRPr="00EA65BF" w:rsidRDefault="00136E05" w:rsidP="0031289A">
        <w:pPr>
          <w:pStyle w:val="Footer"/>
        </w:pPr>
        <w:r w:rsidRPr="00136E05">
          <w:t xml:space="preserve">Schedule 11 </w:t>
        </w:r>
        <w:r w:rsidR="00D76C87">
          <w:t>(</w:t>
        </w:r>
        <w:r w:rsidRPr="00136E05">
          <w:t>Third Party Contracts</w:t>
        </w:r>
        <w:r w:rsidR="00D76C87">
          <w:t>),</w:t>
        </w:r>
        <w:r w:rsidRPr="00136E05">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164</w:t>
        </w:r>
        <w:r w:rsidRPr="00EA65BF">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304044"/>
      <w:docPartObj>
        <w:docPartGallery w:val="Page Numbers (Bottom of Page)"/>
        <w:docPartUnique/>
      </w:docPartObj>
    </w:sdtPr>
    <w:sdtEndPr/>
    <w:sdtContent>
      <w:p w14:paraId="7210731E" w14:textId="57A037F1" w:rsidR="00BF1AD5" w:rsidRPr="00EA65BF" w:rsidRDefault="00136E05" w:rsidP="0031289A">
        <w:pPr>
          <w:pStyle w:val="Footer"/>
          <w:tabs>
            <w:tab w:val="clear" w:pos="10206"/>
            <w:tab w:val="right" w:pos="15706"/>
          </w:tabs>
        </w:pPr>
        <w:r w:rsidRPr="00136E05">
          <w:t xml:space="preserve">Schedule 12 </w:t>
        </w:r>
        <w:r w:rsidR="0038266C">
          <w:t>(</w:t>
        </w:r>
        <w:r w:rsidRPr="00136E05">
          <w:t>Software</w:t>
        </w:r>
        <w:r w:rsidR="0038266C">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167</w:t>
        </w:r>
        <w:r w:rsidR="00BF1AD5" w:rsidRPr="00EA65BF">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95188"/>
      <w:docPartObj>
        <w:docPartGallery w:val="Page Numbers (Bottom of Page)"/>
        <w:docPartUnique/>
      </w:docPartObj>
    </w:sdtPr>
    <w:sdtEndPr/>
    <w:sdtContent>
      <w:p w14:paraId="2D114BC2" w14:textId="65767C87" w:rsidR="00BF1AD5" w:rsidRPr="00EA65BF" w:rsidRDefault="00136E05" w:rsidP="0031289A">
        <w:pPr>
          <w:pStyle w:val="Footer"/>
        </w:pPr>
        <w:r w:rsidRPr="00136E05">
          <w:t>Schedule 12</w:t>
        </w:r>
        <w:r w:rsidR="0082553D">
          <w:t xml:space="preserve"> (</w:t>
        </w:r>
        <w:r w:rsidRPr="00136E05">
          <w:t>Software</w:t>
        </w:r>
        <w:r w:rsidR="0082553D">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174</w:t>
        </w:r>
        <w:r w:rsidR="00BF1AD5" w:rsidRPr="00EA65BF">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67381"/>
      <w:docPartObj>
        <w:docPartGallery w:val="Page Numbers (Bottom of Page)"/>
        <w:docPartUnique/>
      </w:docPartObj>
    </w:sdtPr>
    <w:sdtEndPr/>
    <w:sdtContent>
      <w:p w14:paraId="2DAD9DA6" w14:textId="221BCDC7" w:rsidR="00BF1AD5" w:rsidRPr="00EA65BF" w:rsidRDefault="00136E05" w:rsidP="0031289A">
        <w:pPr>
          <w:pStyle w:val="Footer"/>
        </w:pPr>
        <w:r w:rsidRPr="00136E05">
          <w:t>Schedule 13</w:t>
        </w:r>
        <w:r w:rsidR="00161BD0">
          <w:t xml:space="preserve"> (</w:t>
        </w:r>
        <w:r w:rsidRPr="00136E05">
          <w:t>Implementation Plan</w:t>
        </w:r>
        <w:r w:rsidR="00161BD0">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180</w:t>
        </w:r>
        <w:r w:rsidR="00BF1AD5" w:rsidRPr="00EA65B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452"/>
      <w:docPartObj>
        <w:docPartGallery w:val="Page Numbers (Bottom of Page)"/>
        <w:docPartUnique/>
      </w:docPartObj>
    </w:sdtPr>
    <w:sdtEndPr/>
    <w:sdtContent>
      <w:p w14:paraId="31543BD6" w14:textId="7C171787" w:rsidR="00BF1AD5" w:rsidRPr="00EA65BF" w:rsidRDefault="00C935F5" w:rsidP="0031289A">
        <w:pPr>
          <w:pStyle w:val="Footer"/>
        </w:pPr>
        <w:r>
          <w:t xml:space="preserve">Combined Schedules - </w:t>
        </w:r>
        <w:r w:rsidR="00BF1AD5" w:rsidRPr="00AB3666">
          <w:t xml:space="preserve">Model Services Contract (Scottish Law) </w:t>
        </w:r>
        <w:r w:rsidR="00394D6D">
          <w:t>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62</w:t>
        </w:r>
        <w:r w:rsidR="00BF1AD5" w:rsidRPr="00EA65BF">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65890"/>
      <w:docPartObj>
        <w:docPartGallery w:val="Page Numbers (Bottom of Page)"/>
        <w:docPartUnique/>
      </w:docPartObj>
    </w:sdtPr>
    <w:sdtEndPr/>
    <w:sdtContent>
      <w:p w14:paraId="4ED007DB" w14:textId="63EFCB84" w:rsidR="00BF1AD5" w:rsidRPr="00EA65BF" w:rsidRDefault="00B140CA" w:rsidP="0031289A">
        <w:pPr>
          <w:pStyle w:val="Footer"/>
        </w:pPr>
        <w:r w:rsidRPr="00B140CA">
          <w:t xml:space="preserve">Schedule 14 </w:t>
        </w:r>
        <w:r w:rsidR="00161BD0">
          <w:t>(</w:t>
        </w:r>
        <w:r w:rsidRPr="00B140CA">
          <w:t>Testing Procedures</w:t>
        </w:r>
        <w:r w:rsidR="00161BD0">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194</w:t>
        </w:r>
        <w:r w:rsidR="00BF1AD5" w:rsidRPr="00EA65BF">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955175"/>
      <w:docPartObj>
        <w:docPartGallery w:val="Page Numbers (Bottom of Page)"/>
        <w:docPartUnique/>
      </w:docPartObj>
    </w:sdtPr>
    <w:sdtEndPr/>
    <w:sdtContent>
      <w:p w14:paraId="4A444CBE" w14:textId="2EEB92BD" w:rsidR="00BF1AD5" w:rsidRPr="00EA65BF" w:rsidRDefault="00B140CA" w:rsidP="0031289A">
        <w:pPr>
          <w:pStyle w:val="Footer"/>
        </w:pPr>
        <w:r w:rsidRPr="00B140CA">
          <w:t xml:space="preserve">Schedule 15 </w:t>
        </w:r>
        <w:r w:rsidR="00934E2E">
          <w:t>(</w:t>
        </w:r>
        <w:r w:rsidRPr="00B140CA">
          <w:t>Charges and Invoicing</w:t>
        </w:r>
        <w:r w:rsidR="00934E2E">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222</w:t>
        </w:r>
        <w:r w:rsidR="00BF1AD5" w:rsidRPr="00EA65BF">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654852"/>
      <w:docPartObj>
        <w:docPartGallery w:val="Page Numbers (Bottom of Page)"/>
        <w:docPartUnique/>
      </w:docPartObj>
    </w:sdtPr>
    <w:sdtEndPr/>
    <w:sdtContent>
      <w:p w14:paraId="2E223509" w14:textId="0490A592" w:rsidR="00BF1AD5" w:rsidRPr="00EA65BF" w:rsidRDefault="00F65C81" w:rsidP="0031289A">
        <w:pPr>
          <w:pStyle w:val="Footer"/>
          <w:tabs>
            <w:tab w:val="clear" w:pos="10206"/>
            <w:tab w:val="right" w:pos="15706"/>
          </w:tabs>
        </w:pPr>
        <w:r w:rsidRPr="00B140CA">
          <w:t xml:space="preserve">Schedule 15 </w:t>
        </w:r>
        <w:r w:rsidR="003B6099">
          <w:t>(</w:t>
        </w:r>
        <w:r w:rsidRPr="00B140CA">
          <w:t>Charges and Invoicing</w:t>
        </w:r>
        <w:r w:rsidR="003B6099">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224</w:t>
        </w:r>
        <w:r w:rsidR="00BF1AD5" w:rsidRPr="00EA65BF">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5247"/>
      <w:docPartObj>
        <w:docPartGallery w:val="Page Numbers (Bottom of Page)"/>
        <w:docPartUnique/>
      </w:docPartObj>
    </w:sdtPr>
    <w:sdtEndPr/>
    <w:sdtContent>
      <w:p w14:paraId="14C2EF9D" w14:textId="65E00860" w:rsidR="00BF1AD5" w:rsidRPr="00EA65BF" w:rsidRDefault="00F65C81" w:rsidP="0031289A">
        <w:pPr>
          <w:pStyle w:val="Footer"/>
        </w:pPr>
        <w:r w:rsidRPr="00F65C81">
          <w:t xml:space="preserve">Schedule 16 </w:t>
        </w:r>
        <w:r w:rsidR="00F1568B">
          <w:t>(</w:t>
        </w:r>
        <w:r w:rsidRPr="00F65C81">
          <w:t>Payments on Termination</w:t>
        </w:r>
        <w:r w:rsidR="00F1568B">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233</w:t>
        </w:r>
        <w:r w:rsidR="00BF1AD5" w:rsidRPr="00EA65BF">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80534"/>
      <w:docPartObj>
        <w:docPartGallery w:val="Page Numbers (Bottom of Page)"/>
        <w:docPartUnique/>
      </w:docPartObj>
    </w:sdtPr>
    <w:sdtEndPr/>
    <w:sdtContent>
      <w:p w14:paraId="2C7136E0" w14:textId="4ECAB3BE" w:rsidR="00BF1AD5" w:rsidRPr="00EA65BF" w:rsidRDefault="00F65C81" w:rsidP="0031289A">
        <w:pPr>
          <w:pStyle w:val="Footer"/>
        </w:pPr>
        <w:r w:rsidRPr="00F65C81">
          <w:t xml:space="preserve">Schedule 17 </w:t>
        </w:r>
        <w:r w:rsidR="001C3AEE">
          <w:t>(</w:t>
        </w:r>
        <w:r w:rsidRPr="00F65C81">
          <w:t>Benchmarking</w:t>
        </w:r>
        <w:r w:rsidR="001C3AEE">
          <w:t>),</w:t>
        </w:r>
        <w:r w:rsidRPr="00136E05">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247</w:t>
        </w:r>
        <w:r w:rsidR="00BF1AD5" w:rsidRPr="00EA65BF">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97082"/>
      <w:docPartObj>
        <w:docPartGallery w:val="Page Numbers (Bottom of Page)"/>
        <w:docPartUnique/>
      </w:docPartObj>
    </w:sdtPr>
    <w:sdtEndPr/>
    <w:sdtContent>
      <w:p w14:paraId="26C2408F" w14:textId="43896DCB" w:rsidR="00BF1AD5" w:rsidRPr="00EA65BF" w:rsidRDefault="00F65C81" w:rsidP="0031289A">
        <w:pPr>
          <w:pStyle w:val="Footer"/>
        </w:pPr>
        <w:r w:rsidRPr="00F65C81">
          <w:t xml:space="preserve">Schedule 18 </w:t>
        </w:r>
        <w:r w:rsidR="00BF6549">
          <w:t>(</w:t>
        </w:r>
        <w:r w:rsidRPr="00F65C81">
          <w:t>Financial Distress</w:t>
        </w:r>
        <w:r w:rsidR="00BF6549">
          <w:t>),</w:t>
        </w:r>
        <w:r w:rsidRPr="00F65C81">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267</w:t>
        </w:r>
        <w:r w:rsidR="00BF1AD5" w:rsidRPr="00EA65BF">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0955"/>
      <w:docPartObj>
        <w:docPartGallery w:val="Page Numbers (Bottom of Page)"/>
        <w:docPartUnique/>
      </w:docPartObj>
    </w:sdtPr>
    <w:sdtEndPr/>
    <w:sdtContent>
      <w:p w14:paraId="2CE27B17" w14:textId="3D0D8252" w:rsidR="00BF1AD5" w:rsidRPr="00EA65BF" w:rsidRDefault="00F65C81" w:rsidP="0031289A">
        <w:pPr>
          <w:pStyle w:val="Footer"/>
        </w:pPr>
        <w:r w:rsidRPr="00F65C81">
          <w:t xml:space="preserve">Schedule 19 </w:t>
        </w:r>
        <w:r w:rsidR="00B62176">
          <w:t>(</w:t>
        </w:r>
        <w:r w:rsidRPr="00F65C81">
          <w:t>Financial Reports and Audit Rights</w:t>
        </w:r>
        <w:r w:rsidR="00B62176">
          <w:t>),</w:t>
        </w:r>
        <w:r w:rsidRPr="00F65C81">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282</w:t>
        </w:r>
        <w:r w:rsidR="00BF1AD5" w:rsidRPr="00EA65BF">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743576"/>
      <w:docPartObj>
        <w:docPartGallery w:val="Page Numbers (Bottom of Page)"/>
        <w:docPartUnique/>
      </w:docPartObj>
    </w:sdtPr>
    <w:sdtEndPr/>
    <w:sdtContent>
      <w:p w14:paraId="7FC072C4" w14:textId="4E39AF90" w:rsidR="00F65C81" w:rsidRPr="00EA65BF" w:rsidRDefault="00F65C81" w:rsidP="0031289A">
        <w:pPr>
          <w:pStyle w:val="Footer"/>
        </w:pPr>
        <w:r w:rsidRPr="00F65C81">
          <w:t xml:space="preserve">Schedule 20 </w:t>
        </w:r>
        <w:r w:rsidR="00B62176">
          <w:t>(</w:t>
        </w:r>
        <w:r w:rsidRPr="00F65C81">
          <w:t>Anticipated Savings</w:t>
        </w:r>
        <w:r w:rsidR="00B62176">
          <w:t>),</w:t>
        </w:r>
        <w:r w:rsidRPr="00F65C81">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282</w:t>
        </w:r>
        <w:r w:rsidRPr="00EA65BF">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84219"/>
      <w:docPartObj>
        <w:docPartGallery w:val="Page Numbers (Bottom of Page)"/>
        <w:docPartUnique/>
      </w:docPartObj>
    </w:sdtPr>
    <w:sdtEndPr/>
    <w:sdtContent>
      <w:p w14:paraId="2DB509A5" w14:textId="67406B72" w:rsidR="00BF1AD5" w:rsidRPr="00EA65BF" w:rsidRDefault="00F65C81" w:rsidP="0031289A">
        <w:pPr>
          <w:pStyle w:val="Footer"/>
        </w:pPr>
        <w:r w:rsidRPr="00F65C81">
          <w:t xml:space="preserve">Schedule 21 </w:t>
        </w:r>
        <w:r w:rsidR="00A109A3">
          <w:t>(</w:t>
        </w:r>
        <w:r w:rsidRPr="00F65C81">
          <w:t>Governance</w:t>
        </w:r>
        <w:r w:rsidR="00A109A3">
          <w:t xml:space="preserve">), </w:t>
        </w:r>
        <w:r w:rsidRPr="00F65C81">
          <w:t>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320</w:t>
        </w:r>
        <w:r w:rsidR="00BF1AD5" w:rsidRPr="00EA65BF">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87755"/>
      <w:docPartObj>
        <w:docPartGallery w:val="Page Numbers (Bottom of Page)"/>
        <w:docPartUnique/>
      </w:docPartObj>
    </w:sdtPr>
    <w:sdtEndPr/>
    <w:sdtContent>
      <w:p w14:paraId="378657BF" w14:textId="4D4C9367" w:rsidR="005D2884" w:rsidRPr="00EA65BF" w:rsidRDefault="005D2884" w:rsidP="0031289A">
        <w:pPr>
          <w:pStyle w:val="Footer"/>
        </w:pPr>
        <w:r w:rsidRPr="005D2884">
          <w:t xml:space="preserve">Schedule 22 </w:t>
        </w:r>
        <w:r w:rsidR="00A109A3">
          <w:t>(</w:t>
        </w:r>
        <w:r w:rsidRPr="005D2884">
          <w:t>Change Control Procedure</w:t>
        </w:r>
        <w:r w:rsidR="00A109A3">
          <w:t xml:space="preserve">), </w:t>
        </w:r>
        <w:r w:rsidRPr="00F65C81">
          <w:t>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320</w:t>
        </w:r>
        <w:r w:rsidRPr="00EA65B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566" w14:textId="77777777" w:rsidR="008E5198" w:rsidRDefault="008E519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172"/>
      <w:docPartObj>
        <w:docPartGallery w:val="Page Numbers (Bottom of Page)"/>
        <w:docPartUnique/>
      </w:docPartObj>
    </w:sdtPr>
    <w:sdtEndPr/>
    <w:sdtContent>
      <w:p w14:paraId="6205B670" w14:textId="407E8005" w:rsidR="005D2884" w:rsidRPr="00EA65BF" w:rsidRDefault="005D2884" w:rsidP="0031289A">
        <w:pPr>
          <w:pStyle w:val="Footer"/>
        </w:pPr>
        <w:r w:rsidRPr="005D2884">
          <w:t xml:space="preserve">Schedule 23 </w:t>
        </w:r>
        <w:r w:rsidR="001B31E7">
          <w:t>(</w:t>
        </w:r>
        <w:r w:rsidRPr="005D2884">
          <w:t>Dispute Resolution Procedure</w:t>
        </w:r>
        <w:r w:rsidR="001B31E7">
          <w:t>),</w:t>
        </w:r>
        <w:r w:rsidRPr="00F65C81">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320</w:t>
        </w:r>
        <w:r w:rsidRPr="00EA65BF">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54630"/>
      <w:docPartObj>
        <w:docPartGallery w:val="Page Numbers (Bottom of Page)"/>
        <w:docPartUnique/>
      </w:docPartObj>
    </w:sdtPr>
    <w:sdtEndPr/>
    <w:sdtContent>
      <w:p w14:paraId="7E4C59E8" w14:textId="52DB2A2A" w:rsidR="005D2884" w:rsidRPr="00EA65BF" w:rsidRDefault="005D2884" w:rsidP="0031289A">
        <w:pPr>
          <w:pStyle w:val="Footer"/>
        </w:pPr>
        <w:r w:rsidRPr="005D2884">
          <w:t xml:space="preserve">Schedule 24 </w:t>
        </w:r>
        <w:r w:rsidR="005C1A28">
          <w:t>(</w:t>
        </w:r>
        <w:r w:rsidRPr="005D2884">
          <w:t>Reports and Records Provisions</w:t>
        </w:r>
        <w:r w:rsidR="005C1A28">
          <w:t>),</w:t>
        </w:r>
        <w:r w:rsidRPr="00F65C81">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320</w:t>
        </w:r>
        <w:r w:rsidRPr="00EA65BF">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034280"/>
      <w:docPartObj>
        <w:docPartGallery w:val="Page Numbers (Bottom of Page)"/>
        <w:docPartUnique/>
      </w:docPartObj>
    </w:sdtPr>
    <w:sdtEndPr/>
    <w:sdtContent>
      <w:p w14:paraId="3C50A4E6" w14:textId="27CC89FC" w:rsidR="00BF1AD5" w:rsidRPr="00EA65BF" w:rsidRDefault="005D2884" w:rsidP="0031289A">
        <w:pPr>
          <w:pStyle w:val="Footer"/>
          <w:tabs>
            <w:tab w:val="clear" w:pos="10206"/>
            <w:tab w:val="right" w:pos="15706"/>
          </w:tabs>
        </w:pPr>
        <w:r w:rsidRPr="005D2884">
          <w:t>Schedule 24: Reports and Records Provisions</w:t>
        </w:r>
        <w:r>
          <w:t xml:space="preserve"> </w:t>
        </w:r>
        <w:r w:rsidRPr="00F65C81">
          <w:t>–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330</w:t>
        </w:r>
        <w:r w:rsidR="00BF1AD5" w:rsidRPr="00EA65BF">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52397"/>
      <w:docPartObj>
        <w:docPartGallery w:val="Page Numbers (Bottom of Page)"/>
        <w:docPartUnique/>
      </w:docPartObj>
    </w:sdtPr>
    <w:sdtEndPr/>
    <w:sdtContent>
      <w:p w14:paraId="4BA65243" w14:textId="742B44BF" w:rsidR="00BF1AD5" w:rsidRPr="00EA65BF" w:rsidRDefault="005D2884" w:rsidP="0031289A">
        <w:pPr>
          <w:pStyle w:val="Footer"/>
        </w:pPr>
        <w:r w:rsidRPr="005D2884">
          <w:t xml:space="preserve">Schedule 25 </w:t>
        </w:r>
        <w:r w:rsidR="00F577A7">
          <w:t>(</w:t>
        </w:r>
        <w:r w:rsidRPr="005D2884">
          <w:t>Exit Management</w:t>
        </w:r>
        <w:r w:rsidR="00F577A7">
          <w:t>),</w:t>
        </w:r>
        <w:r w:rsidRPr="00F65C81">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356</w:t>
        </w:r>
        <w:r w:rsidR="00BF1AD5" w:rsidRPr="00EA65BF">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60346"/>
      <w:docPartObj>
        <w:docPartGallery w:val="Page Numbers (Bottom of Page)"/>
        <w:docPartUnique/>
      </w:docPartObj>
    </w:sdtPr>
    <w:sdtEndPr/>
    <w:sdtContent>
      <w:p w14:paraId="4EDC699D" w14:textId="2FF6F14A" w:rsidR="00BF1AD5" w:rsidRPr="00EA65BF" w:rsidRDefault="00067E96" w:rsidP="0031289A">
        <w:pPr>
          <w:pStyle w:val="Footer"/>
        </w:pPr>
        <w:r w:rsidRPr="00067E96">
          <w:t>Schedule 2</w:t>
        </w:r>
        <w:r w:rsidR="006451D3">
          <w:t>6</w:t>
        </w:r>
        <w:r w:rsidRPr="00067E96">
          <w:t xml:space="preserve"> </w:t>
        </w:r>
        <w:r w:rsidR="00E43B80">
          <w:t>(</w:t>
        </w:r>
        <w:r w:rsidR="006451D3" w:rsidRPr="006451D3">
          <w:t>Service Continuity Plan and Corporate Resolution Planning</w:t>
        </w:r>
        <w:r w:rsidR="00E43B80">
          <w:t>),</w:t>
        </w:r>
        <w:r w:rsidR="005D2884" w:rsidRPr="005D2884">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380</w:t>
        </w:r>
        <w:r w:rsidR="00BF1AD5" w:rsidRPr="00EA65BF">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01889"/>
      <w:docPartObj>
        <w:docPartGallery w:val="Page Numbers (Bottom of Page)"/>
        <w:docPartUnique/>
      </w:docPartObj>
    </w:sdtPr>
    <w:sdtEndPr/>
    <w:sdtContent>
      <w:p w14:paraId="3CD40101" w14:textId="298F669F" w:rsidR="006451D3" w:rsidRPr="00EA65BF" w:rsidRDefault="006451D3" w:rsidP="0031289A">
        <w:pPr>
          <w:pStyle w:val="Footer"/>
        </w:pPr>
        <w:r w:rsidRPr="00067E96">
          <w:t xml:space="preserve">Schedule 27 </w:t>
        </w:r>
        <w:r w:rsidR="00543307">
          <w:t>(</w:t>
        </w:r>
        <w:r w:rsidRPr="00067E96">
          <w:t>Conduct of Claims</w:t>
        </w:r>
        <w:r w:rsidR="00543307">
          <w:t>),</w:t>
        </w:r>
        <w:r w:rsidRPr="005D2884">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380</w:t>
        </w:r>
        <w:r w:rsidRPr="00EA65BF">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07307"/>
      <w:docPartObj>
        <w:docPartGallery w:val="Page Numbers (Bottom of Page)"/>
        <w:docPartUnique/>
      </w:docPartObj>
    </w:sdtPr>
    <w:sdtEndPr/>
    <w:sdtContent>
      <w:p w14:paraId="08FF9ABC" w14:textId="64DE8388" w:rsidR="00BF1AD5" w:rsidRPr="00EA65BF" w:rsidRDefault="00067E96" w:rsidP="00EA65BF">
        <w:pPr>
          <w:pStyle w:val="Footer"/>
        </w:pPr>
        <w:r w:rsidRPr="00067E96">
          <w:t xml:space="preserve">Schedule 28 </w:t>
        </w:r>
        <w:r w:rsidR="00F36DD1">
          <w:t>(</w:t>
        </w:r>
        <w:r w:rsidRPr="00067E96">
          <w:t>Staff Transfer</w:t>
        </w:r>
        <w:r w:rsidR="00F36DD1">
          <w:t>),</w:t>
        </w:r>
        <w:r w:rsidRPr="005D2884">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435</w:t>
        </w:r>
        <w:r w:rsidR="00BF1AD5" w:rsidRPr="00EA65BF">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72297"/>
      <w:docPartObj>
        <w:docPartGallery w:val="Page Numbers (Bottom of Page)"/>
        <w:docPartUnique/>
      </w:docPartObj>
    </w:sdtPr>
    <w:sdtEndPr/>
    <w:sdtContent>
      <w:p w14:paraId="014B9DF5" w14:textId="1EDCAF0C" w:rsidR="00BF1AD5" w:rsidRPr="00EA65BF" w:rsidRDefault="009816D8" w:rsidP="0031289A">
        <w:pPr>
          <w:pStyle w:val="Footer"/>
          <w:tabs>
            <w:tab w:val="clear" w:pos="10206"/>
            <w:tab w:val="right" w:pos="15706"/>
          </w:tabs>
        </w:pPr>
        <w:r w:rsidRPr="00067E96">
          <w:t xml:space="preserve">Schedule 28 </w:t>
        </w:r>
        <w:r w:rsidR="00E75731">
          <w:t>(</w:t>
        </w:r>
        <w:r w:rsidRPr="00067E96">
          <w:t>Staff Transfer</w:t>
        </w:r>
        <w:r w:rsidR="00E75731">
          <w:t>),</w:t>
        </w:r>
        <w:r w:rsidRPr="005D2884">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436</w:t>
        </w:r>
        <w:r w:rsidR="00BF1AD5" w:rsidRPr="00EA65BF">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97181"/>
      <w:docPartObj>
        <w:docPartGallery w:val="Page Numbers (Bottom of Page)"/>
        <w:docPartUnique/>
      </w:docPartObj>
    </w:sdtPr>
    <w:sdtEndPr/>
    <w:sdtContent>
      <w:p w14:paraId="1E5B10A0" w14:textId="3E0A4CA7" w:rsidR="00BF1AD5" w:rsidRPr="00EA65BF" w:rsidRDefault="009816D8" w:rsidP="00EA65BF">
        <w:pPr>
          <w:pStyle w:val="Footer"/>
        </w:pPr>
        <w:r w:rsidRPr="009816D8">
          <w:t xml:space="preserve">Schedule 29 </w:t>
        </w:r>
        <w:r w:rsidR="000D5495">
          <w:t>(</w:t>
        </w:r>
        <w:r w:rsidRPr="009816D8">
          <w:t>Key Personnel</w:t>
        </w:r>
        <w:r w:rsidR="000D5495">
          <w:t>),</w:t>
        </w:r>
        <w:r w:rsidRPr="009816D8">
          <w:t xml:space="preserve"> 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508</w:t>
        </w:r>
        <w:r w:rsidR="00BF1AD5" w:rsidRPr="00EA65BF">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62994"/>
      <w:docPartObj>
        <w:docPartGallery w:val="Page Numbers (Bottom of Page)"/>
        <w:docPartUnique/>
      </w:docPartObj>
    </w:sdtPr>
    <w:sdtEndPr/>
    <w:sdtContent>
      <w:p w14:paraId="46576363" w14:textId="6B3436CA" w:rsidR="009816D8" w:rsidRPr="00EA65BF" w:rsidRDefault="009816D8" w:rsidP="00EA65BF">
        <w:pPr>
          <w:pStyle w:val="Footer"/>
        </w:pPr>
        <w:r w:rsidRPr="009816D8">
          <w:t xml:space="preserve">Schedule 30 </w:t>
        </w:r>
        <w:r w:rsidR="00727F19">
          <w:t>(</w:t>
        </w:r>
        <w:r w:rsidRPr="009816D8">
          <w:t>Guarantee</w:t>
        </w:r>
        <w:r w:rsidR="00727F19">
          <w:t>),</w:t>
        </w:r>
        <w:r w:rsidRPr="009816D8">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508</w:t>
        </w:r>
        <w:r w:rsidRPr="00EA65BF">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6497"/>
      <w:docPartObj>
        <w:docPartGallery w:val="Page Numbers (Bottom of Page)"/>
        <w:docPartUnique/>
      </w:docPartObj>
    </w:sdtPr>
    <w:sdtEndPr/>
    <w:sdtContent>
      <w:p w14:paraId="7A77A613" w14:textId="4D53F962" w:rsidR="00F63080" w:rsidRPr="00EA65BF" w:rsidRDefault="00F63080" w:rsidP="0031289A">
        <w:pPr>
          <w:pStyle w:val="Footer"/>
        </w:pPr>
        <w:r w:rsidRPr="00F63080">
          <w:t xml:space="preserve">Schedule 1 </w:t>
        </w:r>
        <w:r w:rsidR="00D54B83">
          <w:t>(</w:t>
        </w:r>
        <w:r w:rsidRPr="00F63080">
          <w:t>Definitions</w:t>
        </w:r>
        <w:r w:rsidR="00D54B83">
          <w:t>),</w:t>
        </w:r>
        <w:r>
          <w:t xml:space="preserve"> </w:t>
        </w:r>
        <w:r w:rsidRPr="00F63080">
          <w:t>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62</w:t>
        </w:r>
        <w:r w:rsidRPr="00EA65BF">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4284"/>
      <w:docPartObj>
        <w:docPartGallery w:val="Page Numbers (Bottom of Page)"/>
        <w:docPartUnique/>
      </w:docPartObj>
    </w:sdtPr>
    <w:sdtEndPr/>
    <w:sdtContent>
      <w:p w14:paraId="41197006" w14:textId="4496FD90" w:rsidR="009816D8" w:rsidRPr="00EA65BF" w:rsidRDefault="009816D8" w:rsidP="00EA65BF">
        <w:pPr>
          <w:pStyle w:val="Footer"/>
        </w:pPr>
        <w:r w:rsidRPr="009816D8">
          <w:t xml:space="preserve">Schedule 31 </w:t>
        </w:r>
        <w:r w:rsidR="00DA5B38">
          <w:t>(</w:t>
        </w:r>
        <w:r w:rsidRPr="009816D8">
          <w:t>Processing Personal Detail</w:t>
        </w:r>
        <w:r w:rsidR="00DA5B38">
          <w:t>),</w:t>
        </w:r>
        <w:r w:rsidRPr="009816D8">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508</w:t>
        </w:r>
        <w:r w:rsidRPr="00EA65BF">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3705"/>
      <w:docPartObj>
        <w:docPartGallery w:val="Page Numbers (Bottom of Page)"/>
        <w:docPartUnique/>
      </w:docPartObj>
    </w:sdtPr>
    <w:sdtEndPr/>
    <w:sdtContent>
      <w:p w14:paraId="25EFA89E" w14:textId="4FA66EC0" w:rsidR="00627ADA" w:rsidRPr="00EA65BF" w:rsidRDefault="00627ADA" w:rsidP="00EA65BF">
        <w:pPr>
          <w:pStyle w:val="Footer"/>
        </w:pPr>
        <w:r w:rsidRPr="009816D8">
          <w:t>Schedule 3</w:t>
        </w:r>
        <w:r>
          <w:t>2</w:t>
        </w:r>
        <w:r w:rsidRPr="009816D8">
          <w:t xml:space="preserve"> </w:t>
        </w:r>
        <w:r w:rsidR="00484E06">
          <w:t>(</w:t>
        </w:r>
        <w:r>
          <w:t>Intellectual Property Rights</w:t>
        </w:r>
        <w:r w:rsidR="00484E06">
          <w:t>),</w:t>
        </w:r>
        <w:r w:rsidRPr="009816D8">
          <w:t xml:space="preserve"> 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508</w:t>
        </w:r>
        <w:r w:rsidRPr="00EA65B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89498"/>
      <w:docPartObj>
        <w:docPartGallery w:val="Page Numbers (Bottom of Page)"/>
        <w:docPartUnique/>
      </w:docPartObj>
    </w:sdtPr>
    <w:sdtEndPr/>
    <w:sdtContent>
      <w:p w14:paraId="5999534F" w14:textId="0EEAA080" w:rsidR="003F58AA" w:rsidRPr="00EA65BF" w:rsidRDefault="003F58AA" w:rsidP="0031289A">
        <w:pPr>
          <w:pStyle w:val="Footer"/>
        </w:pPr>
        <w:r w:rsidRPr="003F58AA">
          <w:t>Schedule 2</w:t>
        </w:r>
        <w:r w:rsidR="00F204C4">
          <w:t xml:space="preserve"> (</w:t>
        </w:r>
        <w:r w:rsidRPr="003F58AA">
          <w:t>Services Description</w:t>
        </w:r>
        <w:r w:rsidR="00F204C4">
          <w:t>),</w:t>
        </w:r>
        <w:r w:rsidR="00547C96">
          <w:t xml:space="preserve"> </w:t>
        </w:r>
        <w:r w:rsidRPr="00F63080">
          <w:t>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62</w:t>
        </w:r>
        <w:r w:rsidRPr="00EA65BF">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1115"/>
      <w:docPartObj>
        <w:docPartGallery w:val="Page Numbers (Bottom of Page)"/>
        <w:docPartUnique/>
      </w:docPartObj>
    </w:sdtPr>
    <w:sdtEndPr/>
    <w:sdtContent>
      <w:p w14:paraId="6A300E90" w14:textId="5DA1BCBA" w:rsidR="00547C96" w:rsidRPr="00EA65BF" w:rsidRDefault="00547C96" w:rsidP="0031289A">
        <w:pPr>
          <w:pStyle w:val="Footer"/>
        </w:pPr>
        <w:r w:rsidRPr="00547C96">
          <w:t>Schedule 3</w:t>
        </w:r>
        <w:r w:rsidR="0031348F">
          <w:t xml:space="preserve"> (</w:t>
        </w:r>
        <w:r w:rsidRPr="00547C96">
          <w:t>Performance Levels</w:t>
        </w:r>
        <w:r w:rsidR="0031348F">
          <w:t>),</w:t>
        </w:r>
        <w:r>
          <w:t xml:space="preserve"> </w:t>
        </w:r>
        <w:r w:rsidRPr="00F63080">
          <w:t>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62</w:t>
        </w:r>
        <w:r w:rsidRPr="00EA65BF">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442158"/>
      <w:docPartObj>
        <w:docPartGallery w:val="Page Numbers (Bottom of Page)"/>
        <w:docPartUnique/>
      </w:docPartObj>
    </w:sdtPr>
    <w:sdtEndPr/>
    <w:sdtContent>
      <w:p w14:paraId="5C28ED65" w14:textId="338C3B05" w:rsidR="00BF1AD5" w:rsidRPr="00EA65BF" w:rsidRDefault="00547C96" w:rsidP="0031289A">
        <w:pPr>
          <w:pStyle w:val="Footer"/>
          <w:tabs>
            <w:tab w:val="clear" w:pos="10206"/>
            <w:tab w:val="right" w:pos="15706"/>
          </w:tabs>
        </w:pPr>
        <w:r w:rsidRPr="00547C96">
          <w:t>Schedule 3: Performance Levels</w:t>
        </w:r>
        <w:r>
          <w:t xml:space="preserve"> – </w:t>
        </w:r>
        <w:r w:rsidR="001A6D53" w:rsidRPr="001A6D53">
          <w:t>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69</w:t>
        </w:r>
        <w:r w:rsidR="00BF1AD5" w:rsidRPr="00EA65BF">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90777"/>
      <w:docPartObj>
        <w:docPartGallery w:val="Page Numbers (Bottom of Page)"/>
        <w:docPartUnique/>
      </w:docPartObj>
    </w:sdtPr>
    <w:sdtEndPr/>
    <w:sdtContent>
      <w:p w14:paraId="5D7A4AD1" w14:textId="06BC86EC" w:rsidR="00BF1AD5" w:rsidRPr="00EA65BF" w:rsidRDefault="00547C96" w:rsidP="0031289A">
        <w:pPr>
          <w:pStyle w:val="Footer"/>
        </w:pPr>
        <w:r w:rsidRPr="00547C96">
          <w:t xml:space="preserve">Schedule 3: Performance Levels – </w:t>
        </w:r>
        <w:r w:rsidR="001A6D53" w:rsidRPr="001A6D53">
          <w:t>Model Services Contract (Scottish Law), v2.1</w:t>
        </w:r>
        <w:r w:rsidR="00BF1AD5" w:rsidRPr="00EA65BF">
          <w:tab/>
        </w:r>
        <w:r w:rsidR="00BF1AD5" w:rsidRPr="00EA65BF">
          <w:fldChar w:fldCharType="begin"/>
        </w:r>
        <w:r w:rsidR="00BF1AD5" w:rsidRPr="00EA65BF">
          <w:instrText xml:space="preserve"> PAGE   \* MERGEFORMAT </w:instrText>
        </w:r>
        <w:r w:rsidR="00BF1AD5" w:rsidRPr="00EA65BF">
          <w:fldChar w:fldCharType="separate"/>
        </w:r>
        <w:r w:rsidR="00631B92">
          <w:rPr>
            <w:noProof/>
          </w:rPr>
          <w:t>84</w:t>
        </w:r>
        <w:r w:rsidR="00BF1AD5" w:rsidRPr="00EA65BF">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89181"/>
      <w:docPartObj>
        <w:docPartGallery w:val="Page Numbers (Bottom of Page)"/>
        <w:docPartUnique/>
      </w:docPartObj>
    </w:sdtPr>
    <w:sdtEndPr/>
    <w:sdtContent>
      <w:p w14:paraId="210F1361" w14:textId="2BFD9F97" w:rsidR="00547C96" w:rsidRPr="00EA65BF" w:rsidRDefault="00547C96" w:rsidP="0031289A">
        <w:pPr>
          <w:pStyle w:val="Footer"/>
        </w:pPr>
        <w:r w:rsidRPr="00547C96">
          <w:t xml:space="preserve">Schedule 4 </w:t>
        </w:r>
        <w:r w:rsidR="00FE19F3">
          <w:t>(</w:t>
        </w:r>
        <w:r w:rsidRPr="00547C96">
          <w:t>Standards</w:t>
        </w:r>
        <w:r w:rsidR="00FE19F3">
          <w:t>),</w:t>
        </w:r>
        <w:r w:rsidRPr="00547C96">
          <w:t xml:space="preserve"> </w:t>
        </w:r>
        <w:r w:rsidR="00847406" w:rsidRPr="00847406">
          <w:t>Model Services Contract (Scottish Law), v2.1</w:t>
        </w:r>
        <w:r w:rsidRPr="00EA65BF">
          <w:tab/>
        </w:r>
        <w:r w:rsidRPr="00EA65BF">
          <w:fldChar w:fldCharType="begin"/>
        </w:r>
        <w:r w:rsidRPr="00EA65BF">
          <w:instrText xml:space="preserve"> PAGE   \* MERGEFORMAT </w:instrText>
        </w:r>
        <w:r w:rsidRPr="00EA65BF">
          <w:fldChar w:fldCharType="separate"/>
        </w:r>
        <w:r>
          <w:rPr>
            <w:noProof/>
          </w:rPr>
          <w:t>84</w:t>
        </w:r>
        <w:r w:rsidRPr="00EA65B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0C4E" w14:textId="77777777" w:rsidR="00CE344C" w:rsidRDefault="00CE344C">
      <w:r>
        <w:separator/>
      </w:r>
    </w:p>
  </w:footnote>
  <w:footnote w:type="continuationSeparator" w:id="0">
    <w:p w14:paraId="31AF6FC1" w14:textId="77777777" w:rsidR="00CE344C" w:rsidRDefault="00CE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B56" w14:textId="77777777" w:rsidR="008E5198" w:rsidRDefault="008E51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5477" w14:textId="6E99F334" w:rsidR="00BF1AD5" w:rsidRPr="00B24C98" w:rsidRDefault="00BF1AD5" w:rsidP="00EA65BF">
    <w:pPr>
      <w:pStyle w:val="Header"/>
      <w:rPr>
        <w:b/>
        <w:bCs/>
      </w:rPr>
    </w:pPr>
    <w:r w:rsidRPr="00B24C98">
      <w:rPr>
        <w:b/>
        <w:bCs/>
      </w:rPr>
      <w:t xml:space="preserve">Schedule </w:t>
    </w:r>
    <w:r>
      <w:rPr>
        <w:b/>
        <w:bCs/>
      </w:rPr>
      <w:t xml:space="preserve">7 </w:t>
    </w:r>
    <w:r w:rsidR="00D30D0E">
      <w:rPr>
        <w:b/>
        <w:bCs/>
      </w:rPr>
      <w:t>(</w:t>
    </w:r>
    <w:r w:rsidRPr="00B30FB1">
      <w:rPr>
        <w:b/>
        <w:bCs/>
      </w:rPr>
      <w:t>Authority Responsibilities</w:t>
    </w:r>
    <w:r w:rsidR="00D30D0E">
      <w:rPr>
        <w:b/>
        <w:bCs/>
      </w:rPr>
      <w:t>)</w:t>
    </w:r>
  </w:p>
  <w:p w14:paraId="09231CE5" w14:textId="686E025D" w:rsidR="00BF1AD5" w:rsidRPr="00EA65BF" w:rsidRDefault="00BF1AD5" w:rsidP="00EA65BF">
    <w:pPr>
      <w:pStyle w:val="Header"/>
    </w:pPr>
    <w:r w:rsidRPr="00EA65BF">
      <w:t xml:space="preserve">[Subject to </w:t>
    </w:r>
    <w:r>
      <w:t>C</w:t>
    </w:r>
    <w:r w:rsidRPr="00EA65BF">
      <w:t>ontract]</w:t>
    </w:r>
  </w:p>
  <w:p w14:paraId="2318317E" w14:textId="7B697D09" w:rsidR="00BF1AD5" w:rsidRPr="00EA65BF" w:rsidRDefault="00BF1AD5" w:rsidP="00EA65BF">
    <w:pPr>
      <w:pStyle w:val="Header"/>
    </w:pPr>
    <w:r w:rsidRPr="00EA65BF">
      <w:t xml:space="preserve">Crown </w:t>
    </w:r>
    <w:r>
      <w:t>C</w:t>
    </w:r>
    <w:r w:rsidRPr="00EA65BF">
      <w:t>opyright 202</w:t>
    </w:r>
    <w:r w:rsidR="003A03C6">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3CF6" w14:textId="0AB2FF3C" w:rsidR="00BF1AD5" w:rsidRPr="00B24C98" w:rsidRDefault="00BF1AD5" w:rsidP="00EA65BF">
    <w:pPr>
      <w:pStyle w:val="Header"/>
      <w:rPr>
        <w:b/>
        <w:bCs/>
      </w:rPr>
    </w:pPr>
    <w:r w:rsidRPr="00B24C98">
      <w:rPr>
        <w:b/>
        <w:bCs/>
      </w:rPr>
      <w:t xml:space="preserve">Schedule </w:t>
    </w:r>
    <w:r>
      <w:rPr>
        <w:b/>
        <w:bCs/>
      </w:rPr>
      <w:t xml:space="preserve">8 </w:t>
    </w:r>
    <w:r w:rsidR="00D30D0E">
      <w:rPr>
        <w:b/>
        <w:bCs/>
      </w:rPr>
      <w:t>(</w:t>
    </w:r>
    <w:r w:rsidRPr="00B30FB1">
      <w:rPr>
        <w:b/>
        <w:bCs/>
      </w:rPr>
      <w:t>Supplier Solution</w:t>
    </w:r>
    <w:r w:rsidR="00D30D0E">
      <w:rPr>
        <w:b/>
        <w:bCs/>
      </w:rPr>
      <w:t>)</w:t>
    </w:r>
  </w:p>
  <w:p w14:paraId="5DE291E4" w14:textId="221C330E" w:rsidR="00BF1AD5" w:rsidRPr="00EA65BF" w:rsidRDefault="00BF1AD5" w:rsidP="00EA65BF">
    <w:pPr>
      <w:pStyle w:val="Header"/>
    </w:pPr>
    <w:r w:rsidRPr="00EA65BF">
      <w:t xml:space="preserve">[Subject to </w:t>
    </w:r>
    <w:r>
      <w:t>C</w:t>
    </w:r>
    <w:r w:rsidRPr="00EA65BF">
      <w:t>ontract]</w:t>
    </w:r>
  </w:p>
  <w:p w14:paraId="5803C094" w14:textId="19BBB850" w:rsidR="00BF1AD5" w:rsidRPr="00EA65BF" w:rsidRDefault="00BF1AD5" w:rsidP="00EA65BF">
    <w:pPr>
      <w:pStyle w:val="Header"/>
    </w:pPr>
    <w:r w:rsidRPr="00EA65BF">
      <w:t xml:space="preserve">Crown </w:t>
    </w:r>
    <w:r>
      <w:t>C</w:t>
    </w:r>
    <w:r w:rsidRPr="00EA65BF">
      <w:t>opyright 202</w:t>
    </w:r>
    <w:r w:rsidR="003A03C6">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2437" w14:textId="7B81C15B" w:rsidR="00BF1AD5" w:rsidRPr="00B24C98" w:rsidRDefault="00BF1AD5" w:rsidP="00EA65BF">
    <w:pPr>
      <w:pStyle w:val="Header"/>
      <w:rPr>
        <w:b/>
        <w:bCs/>
      </w:rPr>
    </w:pPr>
    <w:r w:rsidRPr="00B24C98">
      <w:rPr>
        <w:b/>
        <w:bCs/>
      </w:rPr>
      <w:t xml:space="preserve">Schedule </w:t>
    </w:r>
    <w:r>
      <w:rPr>
        <w:b/>
        <w:bCs/>
      </w:rPr>
      <w:t>9</w:t>
    </w:r>
    <w:r w:rsidR="00A803AA">
      <w:rPr>
        <w:b/>
        <w:bCs/>
      </w:rPr>
      <w:t xml:space="preserve"> (</w:t>
    </w:r>
    <w:r w:rsidRPr="00B30FB1">
      <w:rPr>
        <w:b/>
        <w:bCs/>
      </w:rPr>
      <w:t>Commercially Sensitive Information</w:t>
    </w:r>
    <w:r w:rsidR="00A803AA">
      <w:rPr>
        <w:b/>
        <w:bCs/>
      </w:rPr>
      <w:t>)</w:t>
    </w:r>
  </w:p>
  <w:p w14:paraId="34322334" w14:textId="1555004F" w:rsidR="00BF1AD5" w:rsidRPr="00EA65BF" w:rsidRDefault="00BF1AD5" w:rsidP="00EA65BF">
    <w:pPr>
      <w:pStyle w:val="Header"/>
    </w:pPr>
    <w:r w:rsidRPr="00EA65BF">
      <w:t xml:space="preserve">[Subject to </w:t>
    </w:r>
    <w:r>
      <w:t>C</w:t>
    </w:r>
    <w:r w:rsidRPr="00EA65BF">
      <w:t>ontract]</w:t>
    </w:r>
  </w:p>
  <w:p w14:paraId="027D57D6" w14:textId="3055493B" w:rsidR="00BF1AD5" w:rsidRPr="00EA65BF" w:rsidRDefault="00BF1AD5" w:rsidP="00EA65BF">
    <w:pPr>
      <w:pStyle w:val="Header"/>
    </w:pPr>
    <w:r w:rsidRPr="00EA65BF">
      <w:t xml:space="preserve">Crown </w:t>
    </w:r>
    <w:r>
      <w:t>C</w:t>
    </w:r>
    <w:r w:rsidRPr="00EA65BF">
      <w:t>opyright 202</w:t>
    </w:r>
    <w:r w:rsidR="003A03C6">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1D0B" w14:textId="1B36F413" w:rsidR="00BF1AD5" w:rsidRPr="00B24C98" w:rsidRDefault="00BF1AD5" w:rsidP="00EA65BF">
    <w:pPr>
      <w:pStyle w:val="Header"/>
      <w:rPr>
        <w:b/>
        <w:bCs/>
      </w:rPr>
    </w:pPr>
    <w:r w:rsidRPr="00B24C98">
      <w:rPr>
        <w:b/>
        <w:bCs/>
      </w:rPr>
      <w:t xml:space="preserve">Schedule </w:t>
    </w:r>
    <w:r>
      <w:rPr>
        <w:b/>
        <w:bCs/>
      </w:rPr>
      <w:t xml:space="preserve">10 </w:t>
    </w:r>
    <w:r w:rsidR="001B6FEA">
      <w:rPr>
        <w:b/>
        <w:bCs/>
      </w:rPr>
      <w:t>(</w:t>
    </w:r>
    <w:r w:rsidRPr="00B30FB1">
      <w:rPr>
        <w:b/>
        <w:bCs/>
      </w:rPr>
      <w:t>Notified Key Sub-</w:t>
    </w:r>
    <w:r>
      <w:rPr>
        <w:b/>
        <w:bCs/>
      </w:rPr>
      <w:t>c</w:t>
    </w:r>
    <w:r w:rsidRPr="00B30FB1">
      <w:rPr>
        <w:b/>
        <w:bCs/>
      </w:rPr>
      <w:t>ontractors</w:t>
    </w:r>
    <w:r w:rsidR="001B6FEA">
      <w:rPr>
        <w:b/>
        <w:bCs/>
      </w:rPr>
      <w:t>)</w:t>
    </w:r>
  </w:p>
  <w:p w14:paraId="7ABB1425" w14:textId="0D6CE3CB" w:rsidR="00BF1AD5" w:rsidRPr="00EA65BF" w:rsidRDefault="00BF1AD5" w:rsidP="00EA65BF">
    <w:pPr>
      <w:pStyle w:val="Header"/>
    </w:pPr>
    <w:r w:rsidRPr="00EA65BF">
      <w:t xml:space="preserve">[Subject to </w:t>
    </w:r>
    <w:r>
      <w:t>C</w:t>
    </w:r>
    <w:r w:rsidRPr="00EA65BF">
      <w:t>ontract]</w:t>
    </w:r>
  </w:p>
  <w:p w14:paraId="7600D808" w14:textId="06544412" w:rsidR="00BF1AD5" w:rsidRPr="00EA65BF" w:rsidRDefault="00BF1AD5" w:rsidP="00EA65BF">
    <w:pPr>
      <w:pStyle w:val="Header"/>
    </w:pPr>
    <w:r w:rsidRPr="00EA65BF">
      <w:t xml:space="preserve">Crown </w:t>
    </w:r>
    <w:r>
      <w:t>C</w:t>
    </w:r>
    <w:r w:rsidRPr="00EA65BF">
      <w:t>opyright 202</w:t>
    </w:r>
    <w:r w:rsidR="003A03C6">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7DF7" w14:textId="12929E02" w:rsidR="00BF1AD5" w:rsidRPr="00B24C98" w:rsidRDefault="00BF1AD5" w:rsidP="00EA65BF">
    <w:pPr>
      <w:pStyle w:val="Header"/>
      <w:rPr>
        <w:b/>
        <w:bCs/>
      </w:rPr>
    </w:pPr>
    <w:r w:rsidRPr="00B24C98">
      <w:rPr>
        <w:b/>
        <w:bCs/>
      </w:rPr>
      <w:t xml:space="preserve">Schedule </w:t>
    </w:r>
    <w:r>
      <w:rPr>
        <w:b/>
        <w:bCs/>
      </w:rPr>
      <w:t>11</w:t>
    </w:r>
    <w:r w:rsidR="00D76C87">
      <w:rPr>
        <w:b/>
        <w:bCs/>
      </w:rPr>
      <w:t xml:space="preserve"> (</w:t>
    </w:r>
    <w:r w:rsidRPr="00E22D21">
      <w:rPr>
        <w:b/>
        <w:bCs/>
      </w:rPr>
      <w:t>Third Party Contracts</w:t>
    </w:r>
    <w:r w:rsidR="00D76C87">
      <w:rPr>
        <w:b/>
        <w:bCs/>
      </w:rPr>
      <w:t>)</w:t>
    </w:r>
  </w:p>
  <w:p w14:paraId="1F366B23" w14:textId="3CE7359F" w:rsidR="00BF1AD5" w:rsidRPr="00EA65BF" w:rsidRDefault="00BF1AD5" w:rsidP="00EA65BF">
    <w:pPr>
      <w:pStyle w:val="Header"/>
    </w:pPr>
    <w:r w:rsidRPr="00EA65BF">
      <w:t xml:space="preserve">[Subject to </w:t>
    </w:r>
    <w:r>
      <w:t>C</w:t>
    </w:r>
    <w:r w:rsidRPr="00EA65BF">
      <w:t>ontract]</w:t>
    </w:r>
  </w:p>
  <w:p w14:paraId="05B8E1AE" w14:textId="2118D4CB" w:rsidR="00BF1AD5" w:rsidRPr="00EA65BF" w:rsidRDefault="00BF1AD5" w:rsidP="00EA65BF">
    <w:pPr>
      <w:pStyle w:val="Header"/>
    </w:pPr>
    <w:r w:rsidRPr="00EA65BF">
      <w:t xml:space="preserve">Crown </w:t>
    </w:r>
    <w:r>
      <w:t>C</w:t>
    </w:r>
    <w:r w:rsidRPr="00EA65BF">
      <w:t>opyright 202</w:t>
    </w:r>
    <w:r w:rsidR="003A03C6">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2A72" w14:textId="3BEB4F8A" w:rsidR="00BF1AD5" w:rsidRPr="00B24C98" w:rsidRDefault="00BF1AD5" w:rsidP="00EA65BF">
    <w:pPr>
      <w:pStyle w:val="Header"/>
      <w:rPr>
        <w:b/>
        <w:bCs/>
      </w:rPr>
    </w:pPr>
    <w:r w:rsidRPr="00B24C98">
      <w:rPr>
        <w:b/>
        <w:bCs/>
      </w:rPr>
      <w:t xml:space="preserve">Schedule </w:t>
    </w:r>
    <w:r>
      <w:rPr>
        <w:b/>
        <w:bCs/>
      </w:rPr>
      <w:t xml:space="preserve">12 </w:t>
    </w:r>
    <w:r w:rsidR="0038266C">
      <w:rPr>
        <w:b/>
        <w:bCs/>
      </w:rPr>
      <w:t>(</w:t>
    </w:r>
    <w:r w:rsidRPr="00E22D21">
      <w:rPr>
        <w:b/>
        <w:bCs/>
      </w:rPr>
      <w:t>Software</w:t>
    </w:r>
    <w:r w:rsidR="0038266C">
      <w:rPr>
        <w:b/>
        <w:bCs/>
      </w:rPr>
      <w:t>)</w:t>
    </w:r>
  </w:p>
  <w:p w14:paraId="5F5C0EC9" w14:textId="778F1E76" w:rsidR="00BF1AD5" w:rsidRPr="00EA65BF" w:rsidRDefault="00BF1AD5" w:rsidP="00EA65BF">
    <w:pPr>
      <w:pStyle w:val="Header"/>
    </w:pPr>
    <w:r w:rsidRPr="00EA65BF">
      <w:t xml:space="preserve">[Subject to </w:t>
    </w:r>
    <w:r>
      <w:t>C</w:t>
    </w:r>
    <w:r w:rsidRPr="00EA65BF">
      <w:t>ontract]</w:t>
    </w:r>
  </w:p>
  <w:p w14:paraId="69B017C6" w14:textId="61138892" w:rsidR="00BF1AD5" w:rsidRPr="00EA65BF" w:rsidRDefault="00BF1AD5" w:rsidP="00EA65BF">
    <w:pPr>
      <w:pStyle w:val="Header"/>
    </w:pPr>
    <w:r w:rsidRPr="00EA65BF">
      <w:t xml:space="preserve">Crown </w:t>
    </w:r>
    <w:r>
      <w:t>C</w:t>
    </w:r>
    <w:r w:rsidRPr="00EA65BF">
      <w:t>opyright 202</w:t>
    </w:r>
    <w:r w:rsidR="003A03C6">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AEA5" w14:textId="1FC8C2B1" w:rsidR="00BF1AD5" w:rsidRPr="00B24C98" w:rsidRDefault="00BF1AD5" w:rsidP="00EA65BF">
    <w:pPr>
      <w:pStyle w:val="Header"/>
      <w:rPr>
        <w:b/>
        <w:bCs/>
      </w:rPr>
    </w:pPr>
    <w:r w:rsidRPr="00B24C98">
      <w:rPr>
        <w:b/>
        <w:bCs/>
      </w:rPr>
      <w:t xml:space="preserve">Schedule </w:t>
    </w:r>
    <w:r>
      <w:rPr>
        <w:b/>
        <w:bCs/>
      </w:rPr>
      <w:t>1</w:t>
    </w:r>
    <w:r w:rsidR="00161BD0">
      <w:rPr>
        <w:b/>
        <w:bCs/>
      </w:rPr>
      <w:t>3 (</w:t>
    </w:r>
    <w:r w:rsidRPr="00E22D21">
      <w:rPr>
        <w:b/>
        <w:bCs/>
      </w:rPr>
      <w:t>Implementation Plan</w:t>
    </w:r>
    <w:r w:rsidR="00161BD0">
      <w:rPr>
        <w:b/>
        <w:bCs/>
      </w:rPr>
      <w:t>)</w:t>
    </w:r>
  </w:p>
  <w:p w14:paraId="1305B8ED" w14:textId="129A9B87" w:rsidR="00BF1AD5" w:rsidRPr="00EA65BF" w:rsidRDefault="00BF1AD5" w:rsidP="00EA65BF">
    <w:pPr>
      <w:pStyle w:val="Header"/>
    </w:pPr>
    <w:r w:rsidRPr="00EA65BF">
      <w:t xml:space="preserve">[Subject to </w:t>
    </w:r>
    <w:r>
      <w:t>C</w:t>
    </w:r>
    <w:r w:rsidRPr="00EA65BF">
      <w:t>ontract]</w:t>
    </w:r>
  </w:p>
  <w:p w14:paraId="5D940C6D" w14:textId="3CA126D4" w:rsidR="00BF1AD5" w:rsidRPr="00EA65BF" w:rsidRDefault="00BF1AD5" w:rsidP="00EA65BF">
    <w:pPr>
      <w:pStyle w:val="Header"/>
    </w:pPr>
    <w:r w:rsidRPr="00EA65BF">
      <w:t xml:space="preserve">Crown </w:t>
    </w:r>
    <w:r>
      <w:t>C</w:t>
    </w:r>
    <w:r w:rsidRPr="00EA65BF">
      <w:t>opyright 202</w:t>
    </w:r>
    <w:r w:rsidR="003A03C6">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4B65" w14:textId="62339C80" w:rsidR="00BF1AD5" w:rsidRPr="00B24C98" w:rsidRDefault="00BF1AD5" w:rsidP="00EA65BF">
    <w:pPr>
      <w:pStyle w:val="Header"/>
      <w:rPr>
        <w:b/>
        <w:bCs/>
      </w:rPr>
    </w:pPr>
    <w:r w:rsidRPr="00B24C98">
      <w:rPr>
        <w:b/>
        <w:bCs/>
      </w:rPr>
      <w:t xml:space="preserve">Schedule </w:t>
    </w:r>
    <w:r>
      <w:rPr>
        <w:b/>
        <w:bCs/>
      </w:rPr>
      <w:t>14</w:t>
    </w:r>
    <w:r w:rsidR="00161BD0">
      <w:rPr>
        <w:b/>
        <w:bCs/>
      </w:rPr>
      <w:t xml:space="preserve"> (</w:t>
    </w:r>
    <w:r w:rsidRPr="00B76843">
      <w:rPr>
        <w:b/>
        <w:bCs/>
      </w:rPr>
      <w:t>Testing Procedures</w:t>
    </w:r>
    <w:r w:rsidR="00161BD0">
      <w:rPr>
        <w:b/>
        <w:bCs/>
      </w:rPr>
      <w:t>)</w:t>
    </w:r>
  </w:p>
  <w:p w14:paraId="759D2C2B" w14:textId="798D7390" w:rsidR="00BF1AD5" w:rsidRPr="00EA65BF" w:rsidRDefault="00BF1AD5" w:rsidP="00EA65BF">
    <w:pPr>
      <w:pStyle w:val="Header"/>
    </w:pPr>
    <w:r w:rsidRPr="00EA65BF">
      <w:t xml:space="preserve">[Subject to </w:t>
    </w:r>
    <w:r>
      <w:t>C</w:t>
    </w:r>
    <w:r w:rsidRPr="00EA65BF">
      <w:t>ontract]</w:t>
    </w:r>
  </w:p>
  <w:p w14:paraId="29B45C97" w14:textId="08D8EECF" w:rsidR="00BF1AD5" w:rsidRPr="00EA65BF" w:rsidRDefault="00BF1AD5" w:rsidP="00EA65BF">
    <w:pPr>
      <w:pStyle w:val="Header"/>
    </w:pPr>
    <w:r w:rsidRPr="00EA65BF">
      <w:t xml:space="preserve">Crown </w:t>
    </w:r>
    <w:r>
      <w:t>C</w:t>
    </w:r>
    <w:r w:rsidRPr="00EA65BF">
      <w:t>opyright 202</w:t>
    </w:r>
    <w:r w:rsidR="003A03C6">
      <w:t>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D3C" w14:textId="1F46D88F" w:rsidR="00BF1AD5" w:rsidRPr="00B24C98" w:rsidRDefault="00BF1AD5" w:rsidP="00EA65BF">
    <w:pPr>
      <w:pStyle w:val="Header"/>
      <w:rPr>
        <w:b/>
        <w:bCs/>
      </w:rPr>
    </w:pPr>
    <w:r w:rsidRPr="00B24C98">
      <w:rPr>
        <w:b/>
        <w:bCs/>
      </w:rPr>
      <w:t xml:space="preserve">Schedule </w:t>
    </w:r>
    <w:r>
      <w:rPr>
        <w:b/>
        <w:bCs/>
      </w:rPr>
      <w:t>15</w:t>
    </w:r>
    <w:r w:rsidR="00934E2E">
      <w:rPr>
        <w:b/>
        <w:bCs/>
      </w:rPr>
      <w:t xml:space="preserve"> (</w:t>
    </w:r>
    <w:r w:rsidRPr="00B76843">
      <w:rPr>
        <w:b/>
        <w:bCs/>
      </w:rPr>
      <w:t xml:space="preserve">Charges </w:t>
    </w:r>
    <w:r>
      <w:rPr>
        <w:b/>
        <w:bCs/>
      </w:rPr>
      <w:t>a</w:t>
    </w:r>
    <w:r w:rsidRPr="00B76843">
      <w:rPr>
        <w:b/>
        <w:bCs/>
      </w:rPr>
      <w:t>nd Invoicing</w:t>
    </w:r>
    <w:r w:rsidR="00934E2E">
      <w:rPr>
        <w:b/>
        <w:bCs/>
      </w:rPr>
      <w:t>)</w:t>
    </w:r>
  </w:p>
  <w:p w14:paraId="23417CED" w14:textId="387E78A0" w:rsidR="00BF1AD5" w:rsidRPr="00EA65BF" w:rsidRDefault="00BF1AD5" w:rsidP="00EA65BF">
    <w:pPr>
      <w:pStyle w:val="Header"/>
    </w:pPr>
    <w:r w:rsidRPr="00EA65BF">
      <w:t xml:space="preserve">[Subject to </w:t>
    </w:r>
    <w:r>
      <w:t>C</w:t>
    </w:r>
    <w:r w:rsidRPr="00EA65BF">
      <w:t>ontract]</w:t>
    </w:r>
  </w:p>
  <w:p w14:paraId="226259C1" w14:textId="255E3DA1" w:rsidR="00BF1AD5" w:rsidRPr="00EA65BF" w:rsidRDefault="00BF1AD5" w:rsidP="00EA65BF">
    <w:pPr>
      <w:pStyle w:val="Header"/>
    </w:pPr>
    <w:r w:rsidRPr="00EA65BF">
      <w:t xml:space="preserve">Crown </w:t>
    </w:r>
    <w:r>
      <w:t>C</w:t>
    </w:r>
    <w:r w:rsidRPr="00EA65BF">
      <w:t>opyright 202</w:t>
    </w:r>
    <w:r w:rsidR="003A03C6">
      <w:t>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BAC7" w14:textId="219FDC7F" w:rsidR="00BF1AD5" w:rsidRPr="00B24C98" w:rsidRDefault="00BF1AD5" w:rsidP="00EA65BF">
    <w:pPr>
      <w:pStyle w:val="Header"/>
      <w:rPr>
        <w:b/>
        <w:bCs/>
      </w:rPr>
    </w:pPr>
    <w:r w:rsidRPr="00B24C98">
      <w:rPr>
        <w:b/>
        <w:bCs/>
      </w:rPr>
      <w:t xml:space="preserve">Schedule </w:t>
    </w:r>
    <w:r>
      <w:rPr>
        <w:b/>
        <w:bCs/>
      </w:rPr>
      <w:t xml:space="preserve">16 </w:t>
    </w:r>
    <w:r w:rsidR="00F1568B">
      <w:rPr>
        <w:b/>
        <w:bCs/>
      </w:rPr>
      <w:t>(</w:t>
    </w:r>
    <w:r w:rsidRPr="00B76843">
      <w:rPr>
        <w:b/>
        <w:bCs/>
      </w:rPr>
      <w:t xml:space="preserve">Payments </w:t>
    </w:r>
    <w:r>
      <w:rPr>
        <w:b/>
        <w:bCs/>
      </w:rPr>
      <w:t>o</w:t>
    </w:r>
    <w:r w:rsidRPr="00B76843">
      <w:rPr>
        <w:b/>
        <w:bCs/>
      </w:rPr>
      <w:t>n Termination</w:t>
    </w:r>
    <w:r w:rsidR="00F1568B">
      <w:rPr>
        <w:b/>
        <w:bCs/>
      </w:rPr>
      <w:t>)</w:t>
    </w:r>
  </w:p>
  <w:p w14:paraId="168D5E5B" w14:textId="67A2E6ED" w:rsidR="00BF1AD5" w:rsidRPr="00EA65BF" w:rsidRDefault="00BF1AD5" w:rsidP="00EA65BF">
    <w:pPr>
      <w:pStyle w:val="Header"/>
    </w:pPr>
    <w:r w:rsidRPr="00EA65BF">
      <w:t xml:space="preserve">[Subject to </w:t>
    </w:r>
    <w:r>
      <w:t>C</w:t>
    </w:r>
    <w:r w:rsidRPr="00EA65BF">
      <w:t>ontract]</w:t>
    </w:r>
  </w:p>
  <w:p w14:paraId="4869787D" w14:textId="6185C0DE" w:rsidR="00BF1AD5" w:rsidRPr="00EA65BF" w:rsidRDefault="00BF1AD5" w:rsidP="00EA65BF">
    <w:pPr>
      <w:pStyle w:val="Header"/>
    </w:pPr>
    <w:r w:rsidRPr="00EA65BF">
      <w:t xml:space="preserve">Crown </w:t>
    </w:r>
    <w:r>
      <w:t>C</w:t>
    </w:r>
    <w:r w:rsidRPr="00EA65BF">
      <w:t>opyright 202</w:t>
    </w:r>
    <w:r w:rsidR="003A03C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88E7" w14:textId="2247EE4D" w:rsidR="00BF1AD5" w:rsidRPr="00AB5AD0" w:rsidRDefault="00BF1AD5" w:rsidP="00394D6D">
    <w:pPr>
      <w:pStyle w:val="Header"/>
      <w:tabs>
        <w:tab w:val="left" w:pos="3870"/>
      </w:tabs>
      <w:rPr>
        <w:b/>
        <w:bCs/>
      </w:rPr>
    </w:pPr>
    <w:r w:rsidRPr="00AB5AD0">
      <w:rPr>
        <w:b/>
        <w:bCs/>
      </w:rPr>
      <w:t>Schedules</w:t>
    </w:r>
    <w:r w:rsidR="00394D6D">
      <w:rPr>
        <w:b/>
        <w:bCs/>
      </w:rPr>
      <w:tab/>
    </w:r>
  </w:p>
  <w:p w14:paraId="2F0283EF" w14:textId="048EC155" w:rsidR="00BF1AD5" w:rsidRPr="00EA65BF" w:rsidRDefault="00BF1AD5" w:rsidP="00EA65BF">
    <w:pPr>
      <w:pStyle w:val="Header"/>
    </w:pPr>
    <w:r>
      <w:t>[Subject to Contract]</w:t>
    </w:r>
  </w:p>
  <w:p w14:paraId="0E8C4231" w14:textId="7875D57B" w:rsidR="00BF1AD5" w:rsidRPr="00EA65BF" w:rsidRDefault="00BF1AD5" w:rsidP="00EA65BF">
    <w:pPr>
      <w:pStyle w:val="Header"/>
    </w:pPr>
    <w:r w:rsidRPr="00EA65BF">
      <w:t xml:space="preserve">Crown </w:t>
    </w:r>
    <w:r>
      <w:t>C</w:t>
    </w:r>
    <w:r w:rsidRPr="00EA65BF">
      <w:t>opyright 202</w:t>
    </w:r>
    <w:r w:rsidR="00C935F5">
      <w:t>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8E1C" w14:textId="77BBC8A9" w:rsidR="00BF1AD5" w:rsidRPr="00B24C98" w:rsidRDefault="00BF1AD5" w:rsidP="00EA65BF">
    <w:pPr>
      <w:pStyle w:val="Header"/>
      <w:rPr>
        <w:b/>
        <w:bCs/>
      </w:rPr>
    </w:pPr>
    <w:r w:rsidRPr="00B24C98">
      <w:rPr>
        <w:b/>
        <w:bCs/>
      </w:rPr>
      <w:t xml:space="preserve">Schedule </w:t>
    </w:r>
    <w:r>
      <w:rPr>
        <w:b/>
        <w:bCs/>
      </w:rPr>
      <w:t xml:space="preserve">17 </w:t>
    </w:r>
    <w:r w:rsidR="001C3AEE">
      <w:rPr>
        <w:b/>
        <w:bCs/>
      </w:rPr>
      <w:t>(</w:t>
    </w:r>
    <w:r w:rsidRPr="00B76843">
      <w:rPr>
        <w:b/>
        <w:bCs/>
      </w:rPr>
      <w:t>Benchmarking</w:t>
    </w:r>
    <w:r w:rsidR="001C3AEE">
      <w:rPr>
        <w:b/>
        <w:bCs/>
      </w:rPr>
      <w:t>)</w:t>
    </w:r>
  </w:p>
  <w:p w14:paraId="76E7B590" w14:textId="49EF1FB1" w:rsidR="00BF1AD5" w:rsidRPr="00EA65BF" w:rsidRDefault="00BF1AD5" w:rsidP="00EA65BF">
    <w:pPr>
      <w:pStyle w:val="Header"/>
    </w:pPr>
    <w:r w:rsidRPr="00EA65BF">
      <w:t xml:space="preserve">[Subject to </w:t>
    </w:r>
    <w:r>
      <w:t>C</w:t>
    </w:r>
    <w:r w:rsidRPr="00EA65BF">
      <w:t>ontract]</w:t>
    </w:r>
  </w:p>
  <w:p w14:paraId="322D5D02" w14:textId="664E799A" w:rsidR="00BF1AD5" w:rsidRPr="00EA65BF" w:rsidRDefault="00BF1AD5" w:rsidP="00EA65BF">
    <w:pPr>
      <w:pStyle w:val="Header"/>
    </w:pPr>
    <w:r w:rsidRPr="00EA65BF">
      <w:t xml:space="preserve">Crown </w:t>
    </w:r>
    <w:r>
      <w:t>C</w:t>
    </w:r>
    <w:r w:rsidRPr="00EA65BF">
      <w:t>opyright 202</w:t>
    </w:r>
    <w:r w:rsidR="003A03C6">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6DF6" w14:textId="53BB3AA9" w:rsidR="00BF1AD5" w:rsidRPr="00B24C98" w:rsidRDefault="00BF1AD5" w:rsidP="00EA65BF">
    <w:pPr>
      <w:pStyle w:val="Header"/>
      <w:rPr>
        <w:b/>
        <w:bCs/>
      </w:rPr>
    </w:pPr>
    <w:r w:rsidRPr="00B24C98">
      <w:rPr>
        <w:b/>
        <w:bCs/>
      </w:rPr>
      <w:t xml:space="preserve">Schedule </w:t>
    </w:r>
    <w:r>
      <w:rPr>
        <w:b/>
        <w:bCs/>
      </w:rPr>
      <w:t>18</w:t>
    </w:r>
    <w:r w:rsidR="00BF6549">
      <w:rPr>
        <w:b/>
        <w:bCs/>
      </w:rPr>
      <w:t xml:space="preserve"> (</w:t>
    </w:r>
    <w:r w:rsidRPr="00B76843">
      <w:rPr>
        <w:b/>
        <w:bCs/>
      </w:rPr>
      <w:t>Financial Distress</w:t>
    </w:r>
    <w:r w:rsidR="00BF6549">
      <w:rPr>
        <w:b/>
        <w:bCs/>
      </w:rPr>
      <w:t>)</w:t>
    </w:r>
  </w:p>
  <w:p w14:paraId="42486DA7" w14:textId="423696B2" w:rsidR="00BF1AD5" w:rsidRPr="00EA65BF" w:rsidRDefault="00BF1AD5" w:rsidP="00EA65BF">
    <w:pPr>
      <w:pStyle w:val="Header"/>
    </w:pPr>
    <w:r w:rsidRPr="00EA65BF">
      <w:t xml:space="preserve">[Subject to </w:t>
    </w:r>
    <w:r>
      <w:t>C</w:t>
    </w:r>
    <w:r w:rsidRPr="00EA65BF">
      <w:t>ontract]</w:t>
    </w:r>
  </w:p>
  <w:p w14:paraId="6FA38019" w14:textId="5B17F3FC" w:rsidR="00BF1AD5" w:rsidRPr="00EA65BF" w:rsidRDefault="00BF1AD5" w:rsidP="00EA65BF">
    <w:pPr>
      <w:pStyle w:val="Header"/>
    </w:pPr>
    <w:r w:rsidRPr="00EA65BF">
      <w:t xml:space="preserve">Crown </w:t>
    </w:r>
    <w:r>
      <w:t>C</w:t>
    </w:r>
    <w:r w:rsidRPr="00EA65BF">
      <w:t>opyright 202</w:t>
    </w:r>
    <w:r w:rsidR="003A03C6">
      <w:t>3</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EF0" w14:textId="118E9D3E" w:rsidR="00BF1AD5" w:rsidRPr="00B24C98" w:rsidRDefault="00BF1AD5" w:rsidP="00EA65BF">
    <w:pPr>
      <w:pStyle w:val="Header"/>
      <w:rPr>
        <w:b/>
        <w:bCs/>
      </w:rPr>
    </w:pPr>
    <w:r w:rsidRPr="00B24C98">
      <w:rPr>
        <w:b/>
        <w:bCs/>
      </w:rPr>
      <w:t xml:space="preserve">Schedule </w:t>
    </w:r>
    <w:r>
      <w:rPr>
        <w:b/>
        <w:bCs/>
      </w:rPr>
      <w:t>19</w:t>
    </w:r>
    <w:r w:rsidR="00B62176">
      <w:rPr>
        <w:b/>
        <w:bCs/>
      </w:rPr>
      <w:t xml:space="preserve"> (</w:t>
    </w:r>
    <w:r w:rsidRPr="00F751C6">
      <w:rPr>
        <w:b/>
        <w:bCs/>
      </w:rPr>
      <w:t xml:space="preserve">Financial Reports </w:t>
    </w:r>
    <w:r>
      <w:rPr>
        <w:b/>
        <w:bCs/>
      </w:rPr>
      <w:t>a</w:t>
    </w:r>
    <w:r w:rsidRPr="00F751C6">
      <w:rPr>
        <w:b/>
        <w:bCs/>
      </w:rPr>
      <w:t>nd Audit Rights</w:t>
    </w:r>
    <w:r w:rsidR="00B62176">
      <w:rPr>
        <w:b/>
        <w:bCs/>
      </w:rPr>
      <w:t>)</w:t>
    </w:r>
  </w:p>
  <w:p w14:paraId="679B71BF" w14:textId="587B38E7" w:rsidR="00BF1AD5" w:rsidRPr="00EA65BF" w:rsidRDefault="00BF1AD5" w:rsidP="00EA65BF">
    <w:pPr>
      <w:pStyle w:val="Header"/>
    </w:pPr>
    <w:r w:rsidRPr="00EA65BF">
      <w:t xml:space="preserve">[Subject to </w:t>
    </w:r>
    <w:r>
      <w:t>C</w:t>
    </w:r>
    <w:r w:rsidRPr="00EA65BF">
      <w:t>ontract]</w:t>
    </w:r>
  </w:p>
  <w:p w14:paraId="51678DF1" w14:textId="042C172C" w:rsidR="00BF1AD5" w:rsidRPr="00EA65BF" w:rsidRDefault="00BF1AD5" w:rsidP="00EA65BF">
    <w:pPr>
      <w:pStyle w:val="Header"/>
    </w:pPr>
    <w:r w:rsidRPr="00EA65BF">
      <w:t xml:space="preserve">Crown </w:t>
    </w:r>
    <w:r>
      <w:t>C</w:t>
    </w:r>
    <w:r w:rsidRPr="00EA65BF">
      <w:t>opyright 202</w:t>
    </w:r>
    <w:r w:rsidR="003A03C6">
      <w:t>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FA2A" w14:textId="1349E00A" w:rsidR="00BF1AD5" w:rsidRPr="00B24C98" w:rsidRDefault="00BF1AD5" w:rsidP="00EA65BF">
    <w:pPr>
      <w:pStyle w:val="Header"/>
      <w:rPr>
        <w:b/>
        <w:bCs/>
      </w:rPr>
    </w:pPr>
    <w:r w:rsidRPr="00B24C98">
      <w:rPr>
        <w:b/>
        <w:bCs/>
      </w:rPr>
      <w:t xml:space="preserve">Schedule </w:t>
    </w:r>
    <w:r>
      <w:rPr>
        <w:b/>
        <w:bCs/>
      </w:rPr>
      <w:t xml:space="preserve">20 </w:t>
    </w:r>
    <w:r w:rsidR="00B62176">
      <w:rPr>
        <w:b/>
        <w:bCs/>
      </w:rPr>
      <w:t>(</w:t>
    </w:r>
    <w:r w:rsidRPr="00F751C6">
      <w:rPr>
        <w:b/>
        <w:bCs/>
      </w:rPr>
      <w:t>Anticipated Savings</w:t>
    </w:r>
    <w:r w:rsidR="00B62176">
      <w:rPr>
        <w:b/>
        <w:bCs/>
      </w:rPr>
      <w:t>)</w:t>
    </w:r>
  </w:p>
  <w:p w14:paraId="2147D3F5" w14:textId="46B64D73" w:rsidR="00BF1AD5" w:rsidRPr="00EA65BF" w:rsidRDefault="00BF1AD5" w:rsidP="00EA65BF">
    <w:pPr>
      <w:pStyle w:val="Header"/>
    </w:pPr>
    <w:r w:rsidRPr="00EA65BF">
      <w:t xml:space="preserve">[Subject to </w:t>
    </w:r>
    <w:r>
      <w:t>C</w:t>
    </w:r>
    <w:r w:rsidRPr="00EA65BF">
      <w:t>ontract]</w:t>
    </w:r>
  </w:p>
  <w:p w14:paraId="5B9B2868" w14:textId="491B62B7" w:rsidR="00BF1AD5" w:rsidRPr="00EA65BF" w:rsidRDefault="00BF1AD5" w:rsidP="00EA65BF">
    <w:pPr>
      <w:pStyle w:val="Header"/>
    </w:pPr>
    <w:r w:rsidRPr="00EA65BF">
      <w:t xml:space="preserve">Crown </w:t>
    </w:r>
    <w:r>
      <w:t>C</w:t>
    </w:r>
    <w:r w:rsidRPr="00EA65BF">
      <w:t>opyright 202</w:t>
    </w:r>
    <w:r w:rsidR="003A03C6">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F4A" w14:textId="429ED85A" w:rsidR="00BF1AD5" w:rsidRPr="00B24C98" w:rsidRDefault="00BF1AD5" w:rsidP="00EA65BF">
    <w:pPr>
      <w:pStyle w:val="Header"/>
      <w:rPr>
        <w:b/>
        <w:bCs/>
      </w:rPr>
    </w:pPr>
    <w:r w:rsidRPr="00B24C98">
      <w:rPr>
        <w:b/>
        <w:bCs/>
      </w:rPr>
      <w:t xml:space="preserve">Schedule </w:t>
    </w:r>
    <w:r>
      <w:rPr>
        <w:b/>
        <w:bCs/>
      </w:rPr>
      <w:t xml:space="preserve">21 </w:t>
    </w:r>
    <w:r w:rsidR="00F7568D">
      <w:rPr>
        <w:b/>
        <w:bCs/>
      </w:rPr>
      <w:t>(</w:t>
    </w:r>
    <w:r w:rsidRPr="00F751C6">
      <w:rPr>
        <w:b/>
        <w:bCs/>
      </w:rPr>
      <w:t>Governance</w:t>
    </w:r>
    <w:r w:rsidR="00F7568D">
      <w:rPr>
        <w:b/>
        <w:bCs/>
      </w:rPr>
      <w:t>)</w:t>
    </w:r>
  </w:p>
  <w:p w14:paraId="6577F57D" w14:textId="3A5EDE5D" w:rsidR="00BF1AD5" w:rsidRPr="00EA65BF" w:rsidRDefault="00BF1AD5" w:rsidP="00EA65BF">
    <w:pPr>
      <w:pStyle w:val="Header"/>
    </w:pPr>
    <w:r w:rsidRPr="00EA65BF">
      <w:t xml:space="preserve">[Subject to </w:t>
    </w:r>
    <w:r>
      <w:t>C</w:t>
    </w:r>
    <w:r w:rsidRPr="00EA65BF">
      <w:t>ontract]</w:t>
    </w:r>
  </w:p>
  <w:p w14:paraId="4611B1AC" w14:textId="2D82CC46" w:rsidR="00BF1AD5" w:rsidRPr="00EA65BF" w:rsidRDefault="00BF1AD5" w:rsidP="00EA65BF">
    <w:pPr>
      <w:pStyle w:val="Header"/>
    </w:pPr>
    <w:r w:rsidRPr="00EA65BF">
      <w:t xml:space="preserve">Crown </w:t>
    </w:r>
    <w:r>
      <w:t>C</w:t>
    </w:r>
    <w:r w:rsidRPr="00EA65BF">
      <w:t>opyright 202</w:t>
    </w:r>
    <w:r w:rsidR="003A03C6">
      <w:t>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DE01" w14:textId="6F315486" w:rsidR="00BF1AD5" w:rsidRPr="00B24C98" w:rsidRDefault="00BF1AD5" w:rsidP="00EA65BF">
    <w:pPr>
      <w:pStyle w:val="Header"/>
      <w:rPr>
        <w:b/>
        <w:bCs/>
      </w:rPr>
    </w:pPr>
    <w:r w:rsidRPr="00B24C98">
      <w:rPr>
        <w:b/>
        <w:bCs/>
      </w:rPr>
      <w:t xml:space="preserve">Schedule </w:t>
    </w:r>
    <w:r>
      <w:rPr>
        <w:b/>
        <w:bCs/>
      </w:rPr>
      <w:t xml:space="preserve">22 </w:t>
    </w:r>
    <w:r w:rsidR="00A109A3">
      <w:rPr>
        <w:b/>
        <w:bCs/>
      </w:rPr>
      <w:t>(</w:t>
    </w:r>
    <w:r w:rsidRPr="00F751C6">
      <w:rPr>
        <w:b/>
        <w:bCs/>
      </w:rPr>
      <w:t>Change Control Procedure</w:t>
    </w:r>
    <w:r w:rsidR="00A109A3">
      <w:rPr>
        <w:b/>
        <w:bCs/>
      </w:rPr>
      <w:t>)</w:t>
    </w:r>
  </w:p>
  <w:p w14:paraId="40D28AA1" w14:textId="2D3853D9" w:rsidR="00BF1AD5" w:rsidRPr="00EA65BF" w:rsidRDefault="00BF1AD5" w:rsidP="00EA65BF">
    <w:pPr>
      <w:pStyle w:val="Header"/>
    </w:pPr>
    <w:r w:rsidRPr="00EA65BF">
      <w:t xml:space="preserve">[Subject to </w:t>
    </w:r>
    <w:r>
      <w:t>C</w:t>
    </w:r>
    <w:r w:rsidRPr="00EA65BF">
      <w:t>ontract]</w:t>
    </w:r>
  </w:p>
  <w:p w14:paraId="681D1A27" w14:textId="6984F2D7" w:rsidR="00BF1AD5" w:rsidRPr="00EA65BF" w:rsidRDefault="00BF1AD5" w:rsidP="00EA65BF">
    <w:pPr>
      <w:pStyle w:val="Header"/>
    </w:pPr>
    <w:r w:rsidRPr="00EA65BF">
      <w:t xml:space="preserve">Crown </w:t>
    </w:r>
    <w:r>
      <w:t>C</w:t>
    </w:r>
    <w:r w:rsidRPr="00EA65BF">
      <w:t>opyright 202</w:t>
    </w:r>
    <w:r w:rsidR="003A03C6">
      <w:t>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71F3" w14:textId="5361629F" w:rsidR="00BF1AD5" w:rsidRPr="00B24C98" w:rsidRDefault="00BF1AD5" w:rsidP="00EA65BF">
    <w:pPr>
      <w:pStyle w:val="Header"/>
      <w:rPr>
        <w:b/>
        <w:bCs/>
      </w:rPr>
    </w:pPr>
    <w:r w:rsidRPr="00B24C98">
      <w:rPr>
        <w:b/>
        <w:bCs/>
      </w:rPr>
      <w:t xml:space="preserve">Schedule </w:t>
    </w:r>
    <w:r>
      <w:rPr>
        <w:b/>
        <w:bCs/>
      </w:rPr>
      <w:t>23</w:t>
    </w:r>
    <w:r w:rsidR="001B31E7">
      <w:rPr>
        <w:b/>
        <w:bCs/>
      </w:rPr>
      <w:t xml:space="preserve"> (</w:t>
    </w:r>
    <w:r w:rsidRPr="00F751C6">
      <w:rPr>
        <w:b/>
        <w:bCs/>
      </w:rPr>
      <w:t>Dispute Resolution Procedure</w:t>
    </w:r>
    <w:r w:rsidR="001B31E7">
      <w:rPr>
        <w:b/>
        <w:bCs/>
      </w:rPr>
      <w:t>)</w:t>
    </w:r>
  </w:p>
  <w:p w14:paraId="7F30621F" w14:textId="358E1EC3" w:rsidR="00BF1AD5" w:rsidRPr="00EA65BF" w:rsidRDefault="00BF1AD5" w:rsidP="00EA65BF">
    <w:pPr>
      <w:pStyle w:val="Header"/>
    </w:pPr>
    <w:r w:rsidRPr="00EA65BF">
      <w:t xml:space="preserve">[Subject to </w:t>
    </w:r>
    <w:r>
      <w:t>C</w:t>
    </w:r>
    <w:r w:rsidRPr="00EA65BF">
      <w:t>ontract]</w:t>
    </w:r>
  </w:p>
  <w:p w14:paraId="7E314036" w14:textId="3C63DF15" w:rsidR="00BF1AD5" w:rsidRPr="00EA65BF" w:rsidRDefault="00BF1AD5" w:rsidP="00EA65BF">
    <w:pPr>
      <w:pStyle w:val="Header"/>
    </w:pPr>
    <w:r w:rsidRPr="00EA65BF">
      <w:t xml:space="preserve">Crown </w:t>
    </w:r>
    <w:r>
      <w:t>C</w:t>
    </w:r>
    <w:r w:rsidRPr="00EA65BF">
      <w:t>opyright 202</w:t>
    </w:r>
    <w:r w:rsidR="003A03C6">
      <w:t>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8E57" w14:textId="6DA688CF" w:rsidR="00BF1AD5" w:rsidRPr="00B24C98" w:rsidRDefault="00BF1AD5" w:rsidP="00EA65BF">
    <w:pPr>
      <w:pStyle w:val="Header"/>
      <w:rPr>
        <w:b/>
        <w:bCs/>
      </w:rPr>
    </w:pPr>
    <w:r w:rsidRPr="00B24C98">
      <w:rPr>
        <w:b/>
        <w:bCs/>
      </w:rPr>
      <w:t xml:space="preserve">Schedule </w:t>
    </w:r>
    <w:r>
      <w:rPr>
        <w:b/>
        <w:bCs/>
      </w:rPr>
      <w:t xml:space="preserve">24 </w:t>
    </w:r>
    <w:r w:rsidR="005C1A28">
      <w:rPr>
        <w:b/>
        <w:bCs/>
      </w:rPr>
      <w:t>(</w:t>
    </w:r>
    <w:r w:rsidRPr="00E238E6">
      <w:rPr>
        <w:b/>
        <w:bCs/>
      </w:rPr>
      <w:t xml:space="preserve">Reports </w:t>
    </w:r>
    <w:r>
      <w:rPr>
        <w:b/>
        <w:bCs/>
      </w:rPr>
      <w:t>a</w:t>
    </w:r>
    <w:r w:rsidRPr="00E238E6">
      <w:rPr>
        <w:b/>
        <w:bCs/>
      </w:rPr>
      <w:t>nd Records Provisions</w:t>
    </w:r>
    <w:r w:rsidR="005C1A28">
      <w:rPr>
        <w:b/>
        <w:bCs/>
      </w:rPr>
      <w:t>)</w:t>
    </w:r>
  </w:p>
  <w:p w14:paraId="4D394FA2" w14:textId="7285AF7A" w:rsidR="00BF1AD5" w:rsidRPr="00EA65BF" w:rsidRDefault="00BF1AD5" w:rsidP="00EA65BF">
    <w:pPr>
      <w:pStyle w:val="Header"/>
    </w:pPr>
    <w:r w:rsidRPr="00EA65BF">
      <w:t xml:space="preserve">[Subject to </w:t>
    </w:r>
    <w:r>
      <w:t>C</w:t>
    </w:r>
    <w:r w:rsidRPr="00EA65BF">
      <w:t>ontract]</w:t>
    </w:r>
  </w:p>
  <w:p w14:paraId="2AB0E440" w14:textId="55E41221" w:rsidR="00BF1AD5" w:rsidRPr="00EA65BF" w:rsidRDefault="00BF1AD5" w:rsidP="00EA65BF">
    <w:pPr>
      <w:pStyle w:val="Header"/>
    </w:pPr>
    <w:r w:rsidRPr="00EA65BF">
      <w:t xml:space="preserve">Crown </w:t>
    </w:r>
    <w:r>
      <w:t>C</w:t>
    </w:r>
    <w:r w:rsidRPr="00EA65BF">
      <w:t>opyright 202</w:t>
    </w:r>
    <w:r w:rsidR="003A03C6">
      <w:t>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45A6" w14:textId="66D4E5BA" w:rsidR="00BF1AD5" w:rsidRPr="00B24C98" w:rsidRDefault="00BF1AD5" w:rsidP="00EA65BF">
    <w:pPr>
      <w:pStyle w:val="Header"/>
      <w:rPr>
        <w:b/>
        <w:bCs/>
      </w:rPr>
    </w:pPr>
    <w:r w:rsidRPr="00B24C98">
      <w:rPr>
        <w:b/>
        <w:bCs/>
      </w:rPr>
      <w:t xml:space="preserve">Schedule </w:t>
    </w:r>
    <w:r>
      <w:rPr>
        <w:b/>
        <w:bCs/>
      </w:rPr>
      <w:t xml:space="preserve">25 </w:t>
    </w:r>
    <w:r w:rsidR="00F577A7">
      <w:rPr>
        <w:b/>
        <w:bCs/>
      </w:rPr>
      <w:t>(</w:t>
    </w:r>
    <w:r w:rsidRPr="00E238E6">
      <w:rPr>
        <w:b/>
        <w:bCs/>
      </w:rPr>
      <w:t>Exit Management</w:t>
    </w:r>
    <w:r w:rsidR="00F577A7">
      <w:rPr>
        <w:b/>
        <w:bCs/>
      </w:rPr>
      <w:t>)</w:t>
    </w:r>
  </w:p>
  <w:p w14:paraId="4A40DBB4" w14:textId="3604547E" w:rsidR="00BF1AD5" w:rsidRPr="00EA65BF" w:rsidRDefault="00BF1AD5" w:rsidP="00EA65BF">
    <w:pPr>
      <w:pStyle w:val="Header"/>
    </w:pPr>
    <w:r w:rsidRPr="00EA65BF">
      <w:t xml:space="preserve">[Subject to </w:t>
    </w:r>
    <w:r>
      <w:t>C</w:t>
    </w:r>
    <w:r w:rsidRPr="00EA65BF">
      <w:t>ontract]</w:t>
    </w:r>
  </w:p>
  <w:p w14:paraId="35395F89" w14:textId="5432B6E9" w:rsidR="00BF1AD5" w:rsidRPr="00EA65BF" w:rsidRDefault="00BF1AD5" w:rsidP="00EA65BF">
    <w:pPr>
      <w:pStyle w:val="Header"/>
    </w:pPr>
    <w:r w:rsidRPr="00EA65BF">
      <w:t xml:space="preserve">Crown </w:t>
    </w:r>
    <w:r>
      <w:t>C</w:t>
    </w:r>
    <w:r w:rsidRPr="00EA65BF">
      <w:t>opyright 202</w:t>
    </w:r>
    <w:r w:rsidR="003A03C6">
      <w:t>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D81" w14:textId="0E03BF96" w:rsidR="00BF1AD5" w:rsidRPr="00B24C98" w:rsidRDefault="00BF1AD5" w:rsidP="00EA65BF">
    <w:pPr>
      <w:pStyle w:val="Header"/>
      <w:rPr>
        <w:b/>
        <w:bCs/>
      </w:rPr>
    </w:pPr>
    <w:r w:rsidRPr="00B24C98">
      <w:rPr>
        <w:b/>
        <w:bCs/>
      </w:rPr>
      <w:t xml:space="preserve">Schedule </w:t>
    </w:r>
    <w:r>
      <w:rPr>
        <w:b/>
        <w:bCs/>
      </w:rPr>
      <w:t xml:space="preserve">26 </w:t>
    </w:r>
    <w:r w:rsidR="00E43B80">
      <w:rPr>
        <w:b/>
        <w:bCs/>
      </w:rPr>
      <w:t>(</w:t>
    </w:r>
    <w:r w:rsidRPr="00E238E6">
      <w:rPr>
        <w:b/>
        <w:bCs/>
      </w:rPr>
      <w:t xml:space="preserve">Service Continuity Plan </w:t>
    </w:r>
    <w:r>
      <w:rPr>
        <w:b/>
        <w:bCs/>
      </w:rPr>
      <w:t>a</w:t>
    </w:r>
    <w:r w:rsidRPr="00E238E6">
      <w:rPr>
        <w:b/>
        <w:bCs/>
      </w:rPr>
      <w:t>nd Corporate Resolution Planning</w:t>
    </w:r>
    <w:r w:rsidR="00E43B80">
      <w:rPr>
        <w:b/>
        <w:bCs/>
      </w:rPr>
      <w:t>)</w:t>
    </w:r>
  </w:p>
  <w:p w14:paraId="618E70B0" w14:textId="3129B600" w:rsidR="00BF1AD5" w:rsidRPr="00EA65BF" w:rsidRDefault="00BF1AD5" w:rsidP="00EA65BF">
    <w:pPr>
      <w:pStyle w:val="Header"/>
    </w:pPr>
    <w:r w:rsidRPr="00EA65BF">
      <w:t xml:space="preserve">[Subject to </w:t>
    </w:r>
    <w:r>
      <w:t>C</w:t>
    </w:r>
    <w:r w:rsidRPr="00EA65BF">
      <w:t>ontract]</w:t>
    </w:r>
  </w:p>
  <w:p w14:paraId="3085EF79" w14:textId="6ABA69F5" w:rsidR="00BF1AD5" w:rsidRPr="00EA65BF" w:rsidRDefault="00BF1AD5" w:rsidP="00EA65BF">
    <w:pPr>
      <w:pStyle w:val="Header"/>
    </w:pPr>
    <w:r w:rsidRPr="00EA65BF">
      <w:t xml:space="preserve">Crown </w:t>
    </w:r>
    <w:r>
      <w:t>C</w:t>
    </w:r>
    <w:r w:rsidRPr="00EA65BF">
      <w:t>opyright 202</w:t>
    </w:r>
    <w:r w:rsidR="003A03C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0298" w14:textId="77777777" w:rsidR="008E5198" w:rsidRDefault="008E519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D8D3" w14:textId="17D4C2B0" w:rsidR="00BF1AD5" w:rsidRPr="00B24C98" w:rsidRDefault="00BF1AD5" w:rsidP="00EA65BF">
    <w:pPr>
      <w:pStyle w:val="Header"/>
      <w:rPr>
        <w:b/>
        <w:bCs/>
      </w:rPr>
    </w:pPr>
    <w:r w:rsidRPr="00B24C98">
      <w:rPr>
        <w:b/>
        <w:bCs/>
      </w:rPr>
      <w:t xml:space="preserve">Schedule </w:t>
    </w:r>
    <w:r>
      <w:rPr>
        <w:b/>
        <w:bCs/>
      </w:rPr>
      <w:t xml:space="preserve">27 </w:t>
    </w:r>
    <w:r w:rsidR="00543307">
      <w:rPr>
        <w:b/>
        <w:bCs/>
      </w:rPr>
      <w:t>(</w:t>
    </w:r>
    <w:r w:rsidRPr="00E238E6">
      <w:rPr>
        <w:b/>
        <w:bCs/>
      </w:rPr>
      <w:t xml:space="preserve">Conduct </w:t>
    </w:r>
    <w:r>
      <w:rPr>
        <w:b/>
        <w:bCs/>
      </w:rPr>
      <w:t>o</w:t>
    </w:r>
    <w:r w:rsidRPr="00E238E6">
      <w:rPr>
        <w:b/>
        <w:bCs/>
      </w:rPr>
      <w:t>f Claims</w:t>
    </w:r>
    <w:r w:rsidR="00543307">
      <w:rPr>
        <w:b/>
        <w:bCs/>
      </w:rPr>
      <w:t>)</w:t>
    </w:r>
  </w:p>
  <w:p w14:paraId="536BD7FD" w14:textId="33BA42B5" w:rsidR="00BF1AD5" w:rsidRPr="00EA65BF" w:rsidRDefault="00BF1AD5" w:rsidP="00EA65BF">
    <w:pPr>
      <w:pStyle w:val="Header"/>
    </w:pPr>
    <w:r w:rsidRPr="00EA65BF">
      <w:t xml:space="preserve">[Subject to </w:t>
    </w:r>
    <w:r>
      <w:t>C</w:t>
    </w:r>
    <w:r w:rsidRPr="00EA65BF">
      <w:t>ontract]</w:t>
    </w:r>
  </w:p>
  <w:p w14:paraId="6B49EDBC" w14:textId="1AE8ABB6" w:rsidR="00BF1AD5" w:rsidRPr="00EA65BF" w:rsidRDefault="00BF1AD5" w:rsidP="00EA65BF">
    <w:pPr>
      <w:pStyle w:val="Header"/>
    </w:pPr>
    <w:r w:rsidRPr="00EA65BF">
      <w:t xml:space="preserve">Crown </w:t>
    </w:r>
    <w:r>
      <w:t>C</w:t>
    </w:r>
    <w:r w:rsidRPr="00EA65BF">
      <w:t>opyright 202</w:t>
    </w:r>
    <w:r w:rsidR="003A03C6">
      <w:t>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074A" w14:textId="1AD1781C" w:rsidR="00BF1AD5" w:rsidRPr="00B24C98" w:rsidRDefault="00BF1AD5" w:rsidP="00EA65BF">
    <w:pPr>
      <w:pStyle w:val="Header"/>
      <w:rPr>
        <w:b/>
        <w:bCs/>
      </w:rPr>
    </w:pPr>
    <w:r w:rsidRPr="00B24C98">
      <w:rPr>
        <w:b/>
        <w:bCs/>
      </w:rPr>
      <w:t xml:space="preserve">Schedule </w:t>
    </w:r>
    <w:r>
      <w:rPr>
        <w:b/>
        <w:bCs/>
      </w:rPr>
      <w:t xml:space="preserve">28 </w:t>
    </w:r>
    <w:r w:rsidR="00F36DD1">
      <w:rPr>
        <w:b/>
        <w:bCs/>
      </w:rPr>
      <w:t>(</w:t>
    </w:r>
    <w:r w:rsidRPr="00E238E6">
      <w:rPr>
        <w:b/>
        <w:bCs/>
      </w:rPr>
      <w:t>Staff Transfer</w:t>
    </w:r>
    <w:r w:rsidR="00F36DD1">
      <w:rPr>
        <w:b/>
        <w:bCs/>
      </w:rPr>
      <w:t>)</w:t>
    </w:r>
  </w:p>
  <w:p w14:paraId="4E2B9054" w14:textId="35E6330B" w:rsidR="00BF1AD5" w:rsidRPr="00EA65BF" w:rsidRDefault="00BF1AD5" w:rsidP="00EA65BF">
    <w:pPr>
      <w:pStyle w:val="Header"/>
    </w:pPr>
    <w:r w:rsidRPr="00EA65BF">
      <w:t xml:space="preserve">[Subject to </w:t>
    </w:r>
    <w:r>
      <w:t>C</w:t>
    </w:r>
    <w:r w:rsidRPr="00EA65BF">
      <w:t>ontract]</w:t>
    </w:r>
  </w:p>
  <w:p w14:paraId="784CB676" w14:textId="6649B155" w:rsidR="00BF1AD5" w:rsidRPr="00EA65BF" w:rsidRDefault="00BF1AD5" w:rsidP="00EA65BF">
    <w:pPr>
      <w:pStyle w:val="Header"/>
    </w:pPr>
    <w:r w:rsidRPr="00EA65BF">
      <w:t xml:space="preserve">Crown </w:t>
    </w:r>
    <w:r>
      <w:t>C</w:t>
    </w:r>
    <w:r w:rsidRPr="00EA65BF">
      <w:t>opyright 202</w:t>
    </w:r>
    <w:r w:rsidR="003A03C6">
      <w:t>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3D3" w14:textId="31A06FC3" w:rsidR="00BF1AD5" w:rsidRPr="00B24C98" w:rsidRDefault="00BF1AD5" w:rsidP="00EA65BF">
    <w:pPr>
      <w:pStyle w:val="Header"/>
      <w:rPr>
        <w:b/>
        <w:bCs/>
      </w:rPr>
    </w:pPr>
    <w:r w:rsidRPr="00B24C98">
      <w:rPr>
        <w:b/>
        <w:bCs/>
      </w:rPr>
      <w:t xml:space="preserve">Schedule </w:t>
    </w:r>
    <w:r>
      <w:rPr>
        <w:b/>
        <w:bCs/>
      </w:rPr>
      <w:t xml:space="preserve">29 </w:t>
    </w:r>
    <w:r w:rsidR="000D5495">
      <w:rPr>
        <w:b/>
        <w:bCs/>
      </w:rPr>
      <w:t>(</w:t>
    </w:r>
    <w:r w:rsidRPr="00E238E6">
      <w:rPr>
        <w:b/>
        <w:bCs/>
      </w:rPr>
      <w:t>Key Personnel</w:t>
    </w:r>
    <w:r w:rsidR="000D5495">
      <w:rPr>
        <w:b/>
        <w:bCs/>
      </w:rPr>
      <w:t>)</w:t>
    </w:r>
  </w:p>
  <w:p w14:paraId="33C62D5B" w14:textId="1D8AC43C" w:rsidR="00BF1AD5" w:rsidRPr="00EA65BF" w:rsidRDefault="00BF1AD5" w:rsidP="00EA65BF">
    <w:pPr>
      <w:pStyle w:val="Header"/>
    </w:pPr>
    <w:r w:rsidRPr="00EA65BF">
      <w:t xml:space="preserve">[Subject to </w:t>
    </w:r>
    <w:r>
      <w:t>C</w:t>
    </w:r>
    <w:r w:rsidRPr="00EA65BF">
      <w:t>ontract]</w:t>
    </w:r>
  </w:p>
  <w:p w14:paraId="54C6BE85" w14:textId="0ABEA7CA" w:rsidR="00BF1AD5" w:rsidRPr="00EA65BF" w:rsidRDefault="00BF1AD5" w:rsidP="00EA65BF">
    <w:pPr>
      <w:pStyle w:val="Header"/>
    </w:pPr>
    <w:r w:rsidRPr="00EA65BF">
      <w:t xml:space="preserve">Crown </w:t>
    </w:r>
    <w:r>
      <w:t>C</w:t>
    </w:r>
    <w:r w:rsidRPr="00EA65BF">
      <w:t>opyright 202</w:t>
    </w:r>
    <w:r w:rsidR="003A03C6">
      <w:t>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548" w14:textId="6ED63FD7" w:rsidR="00BF1AD5" w:rsidRPr="00B24C98" w:rsidRDefault="00BF1AD5" w:rsidP="00EA65BF">
    <w:pPr>
      <w:pStyle w:val="Header"/>
      <w:rPr>
        <w:b/>
        <w:bCs/>
      </w:rPr>
    </w:pPr>
    <w:r w:rsidRPr="00B24C98">
      <w:rPr>
        <w:b/>
        <w:bCs/>
      </w:rPr>
      <w:t xml:space="preserve">Schedule </w:t>
    </w:r>
    <w:r>
      <w:rPr>
        <w:b/>
        <w:bCs/>
      </w:rPr>
      <w:t xml:space="preserve">30 </w:t>
    </w:r>
    <w:r w:rsidR="00727F19">
      <w:rPr>
        <w:b/>
        <w:bCs/>
      </w:rPr>
      <w:t>(</w:t>
    </w:r>
    <w:r w:rsidRPr="00E238E6">
      <w:rPr>
        <w:b/>
        <w:bCs/>
      </w:rPr>
      <w:t>Guarantee</w:t>
    </w:r>
    <w:r w:rsidR="00727F19">
      <w:rPr>
        <w:b/>
        <w:bCs/>
      </w:rPr>
      <w:t>)</w:t>
    </w:r>
  </w:p>
  <w:p w14:paraId="0B94F963" w14:textId="4A31B78D" w:rsidR="00BF1AD5" w:rsidRPr="00EA65BF" w:rsidRDefault="00BF1AD5" w:rsidP="00EA65BF">
    <w:pPr>
      <w:pStyle w:val="Header"/>
    </w:pPr>
    <w:r w:rsidRPr="00EA65BF">
      <w:t xml:space="preserve">[Subject to </w:t>
    </w:r>
    <w:r>
      <w:t>C</w:t>
    </w:r>
    <w:r w:rsidRPr="00EA65BF">
      <w:t>ontract]</w:t>
    </w:r>
  </w:p>
  <w:p w14:paraId="6D2FF05A" w14:textId="24B2BF4D" w:rsidR="00BF1AD5" w:rsidRPr="00EA65BF" w:rsidRDefault="00BF1AD5" w:rsidP="00EA65BF">
    <w:pPr>
      <w:pStyle w:val="Header"/>
    </w:pPr>
    <w:r w:rsidRPr="00EA65BF">
      <w:t xml:space="preserve">Crown </w:t>
    </w:r>
    <w:r>
      <w:t>C</w:t>
    </w:r>
    <w:r w:rsidRPr="00EA65BF">
      <w:t>opyright 202</w:t>
    </w:r>
    <w:r w:rsidR="003A03C6">
      <w:t>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789F" w14:textId="08C2042D" w:rsidR="00BF1AD5" w:rsidRPr="00B24C98" w:rsidRDefault="00BF1AD5" w:rsidP="00EA65BF">
    <w:pPr>
      <w:pStyle w:val="Header"/>
      <w:rPr>
        <w:b/>
        <w:bCs/>
      </w:rPr>
    </w:pPr>
    <w:r w:rsidRPr="00B24C98">
      <w:rPr>
        <w:b/>
        <w:bCs/>
      </w:rPr>
      <w:t xml:space="preserve">Schedule </w:t>
    </w:r>
    <w:r>
      <w:rPr>
        <w:b/>
        <w:bCs/>
      </w:rPr>
      <w:t>3</w:t>
    </w:r>
    <w:r w:rsidR="009816D8">
      <w:rPr>
        <w:b/>
        <w:bCs/>
      </w:rPr>
      <w:t>1</w:t>
    </w:r>
    <w:r>
      <w:rPr>
        <w:b/>
        <w:bCs/>
      </w:rPr>
      <w:t xml:space="preserve"> </w:t>
    </w:r>
    <w:r w:rsidR="008F4022">
      <w:rPr>
        <w:b/>
        <w:bCs/>
      </w:rPr>
      <w:t>(</w:t>
    </w:r>
    <w:r w:rsidR="009816D8">
      <w:rPr>
        <w:b/>
        <w:bCs/>
      </w:rPr>
      <w:t>Processing Personal Detail</w:t>
    </w:r>
    <w:r w:rsidR="008F4022">
      <w:rPr>
        <w:b/>
        <w:bCs/>
      </w:rPr>
      <w:t>)</w:t>
    </w:r>
  </w:p>
  <w:p w14:paraId="3C342B87" w14:textId="01FDF466" w:rsidR="00BF1AD5" w:rsidRPr="00EA65BF" w:rsidRDefault="00BF1AD5" w:rsidP="00EA65BF">
    <w:pPr>
      <w:pStyle w:val="Header"/>
    </w:pPr>
    <w:r w:rsidRPr="00EA65BF">
      <w:t xml:space="preserve">[Subject to </w:t>
    </w:r>
    <w:r>
      <w:t>C</w:t>
    </w:r>
    <w:r w:rsidRPr="00EA65BF">
      <w:t>ontract]</w:t>
    </w:r>
  </w:p>
  <w:p w14:paraId="3876A3A0" w14:textId="1FC0947C" w:rsidR="00BF1AD5" w:rsidRPr="00EA65BF" w:rsidRDefault="00BF1AD5" w:rsidP="00EA65BF">
    <w:pPr>
      <w:pStyle w:val="Header"/>
    </w:pPr>
    <w:r w:rsidRPr="00EA65BF">
      <w:t xml:space="preserve">Crown </w:t>
    </w:r>
    <w:r>
      <w:t>C</w:t>
    </w:r>
    <w:r w:rsidRPr="00EA65BF">
      <w:t>opyright 202</w:t>
    </w:r>
    <w:r w:rsidR="003A03C6">
      <w:t>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53E2" w14:textId="5C556F94" w:rsidR="00627ADA" w:rsidRPr="00B24C98" w:rsidRDefault="00627ADA" w:rsidP="00EA65BF">
    <w:pPr>
      <w:pStyle w:val="Header"/>
      <w:rPr>
        <w:b/>
        <w:bCs/>
      </w:rPr>
    </w:pPr>
    <w:r w:rsidRPr="00B24C98">
      <w:rPr>
        <w:b/>
        <w:bCs/>
      </w:rPr>
      <w:t xml:space="preserve">Schedule </w:t>
    </w:r>
    <w:r>
      <w:rPr>
        <w:b/>
        <w:bCs/>
      </w:rPr>
      <w:t xml:space="preserve">32 </w:t>
    </w:r>
    <w:r w:rsidR="00484E06">
      <w:rPr>
        <w:b/>
        <w:bCs/>
      </w:rPr>
      <w:t>(</w:t>
    </w:r>
    <w:r>
      <w:rPr>
        <w:b/>
        <w:bCs/>
      </w:rPr>
      <w:t>Intellectual Property Rights</w:t>
    </w:r>
    <w:r w:rsidR="00484E06">
      <w:rPr>
        <w:b/>
        <w:bCs/>
      </w:rPr>
      <w:t>)</w:t>
    </w:r>
  </w:p>
  <w:p w14:paraId="7F46FDA8" w14:textId="77777777" w:rsidR="00627ADA" w:rsidRPr="00EA65BF" w:rsidRDefault="00627ADA" w:rsidP="00EA65BF">
    <w:pPr>
      <w:pStyle w:val="Header"/>
    </w:pPr>
    <w:r w:rsidRPr="00EA65BF">
      <w:t xml:space="preserve">[Subject to </w:t>
    </w:r>
    <w:r>
      <w:t>C</w:t>
    </w:r>
    <w:r w:rsidRPr="00EA65BF">
      <w:t>ontract]</w:t>
    </w:r>
  </w:p>
  <w:p w14:paraId="617E2046" w14:textId="77777777" w:rsidR="00627ADA" w:rsidRPr="00EA65BF" w:rsidRDefault="00627ADA" w:rsidP="00EA65BF">
    <w:pPr>
      <w:pStyle w:val="Header"/>
    </w:pPr>
    <w:r w:rsidRPr="00EA65BF">
      <w:t xml:space="preserve">Crown </w:t>
    </w:r>
    <w:r>
      <w:t>C</w:t>
    </w:r>
    <w:r w:rsidRPr="00EA65BF">
      <w:t>opyright 202</w:t>
    </w:r>
    <w: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A6E" w14:textId="244C8EC1" w:rsidR="00BF1AD5" w:rsidRPr="00B24C98" w:rsidRDefault="00BF1AD5" w:rsidP="00EA65BF">
    <w:pPr>
      <w:pStyle w:val="Header"/>
      <w:rPr>
        <w:b/>
        <w:bCs/>
      </w:rPr>
    </w:pPr>
    <w:r w:rsidRPr="00B24C98">
      <w:rPr>
        <w:b/>
        <w:bCs/>
      </w:rPr>
      <w:t>Schedule 1</w:t>
    </w:r>
    <w:r w:rsidR="00A83D1A">
      <w:rPr>
        <w:b/>
        <w:bCs/>
      </w:rPr>
      <w:t xml:space="preserve"> (</w:t>
    </w:r>
    <w:r w:rsidRPr="00B24C98">
      <w:rPr>
        <w:b/>
        <w:bCs/>
      </w:rPr>
      <w:t>Definitions</w:t>
    </w:r>
    <w:r w:rsidR="00A83D1A">
      <w:rPr>
        <w:b/>
        <w:bCs/>
      </w:rPr>
      <w:t>)</w:t>
    </w:r>
  </w:p>
  <w:p w14:paraId="03D7EC09" w14:textId="34538DA9" w:rsidR="00BF1AD5" w:rsidRPr="00EA65BF" w:rsidRDefault="00BF1AD5" w:rsidP="00EA65BF">
    <w:pPr>
      <w:pStyle w:val="Header"/>
    </w:pPr>
    <w:r>
      <w:t>[Subject to Contract]</w:t>
    </w:r>
  </w:p>
  <w:p w14:paraId="0D86C24E" w14:textId="01C9DE73" w:rsidR="00BF1AD5" w:rsidRPr="00EA65BF" w:rsidRDefault="00BF1AD5" w:rsidP="00EA65BF">
    <w:pPr>
      <w:pStyle w:val="Header"/>
    </w:pPr>
    <w:r w:rsidRPr="00EA65BF">
      <w:t xml:space="preserve">Crown </w:t>
    </w:r>
    <w:r>
      <w:t>C</w:t>
    </w:r>
    <w:r w:rsidRPr="00EA65BF">
      <w:t>opyright 202</w:t>
    </w:r>
    <w:r w:rsidR="003A03C6">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46F" w14:textId="22697CFE" w:rsidR="00BF1AD5" w:rsidRPr="00B24C98" w:rsidRDefault="00BF1AD5" w:rsidP="00EA65BF">
    <w:pPr>
      <w:pStyle w:val="Header"/>
      <w:rPr>
        <w:b/>
        <w:bCs/>
      </w:rPr>
    </w:pPr>
    <w:r w:rsidRPr="00B24C98">
      <w:rPr>
        <w:b/>
        <w:bCs/>
      </w:rPr>
      <w:t xml:space="preserve">Schedule </w:t>
    </w:r>
    <w:r>
      <w:rPr>
        <w:b/>
        <w:bCs/>
      </w:rPr>
      <w:t>2</w:t>
    </w:r>
    <w:r w:rsidR="00F204C4">
      <w:rPr>
        <w:b/>
        <w:bCs/>
      </w:rPr>
      <w:t xml:space="preserve"> (</w:t>
    </w:r>
    <w:r w:rsidRPr="00B24C98">
      <w:rPr>
        <w:b/>
        <w:bCs/>
      </w:rPr>
      <w:t>Services Description</w:t>
    </w:r>
    <w:r w:rsidR="00F204C4">
      <w:rPr>
        <w:b/>
        <w:bCs/>
      </w:rPr>
      <w:t>)</w:t>
    </w:r>
  </w:p>
  <w:p w14:paraId="20D405AB" w14:textId="169A8868" w:rsidR="00BF1AD5" w:rsidRPr="00EA65BF" w:rsidRDefault="00BF1AD5" w:rsidP="00EA65BF">
    <w:pPr>
      <w:pStyle w:val="Header"/>
    </w:pPr>
    <w:r w:rsidRPr="00EA65BF">
      <w:t xml:space="preserve">[Subject to </w:t>
    </w:r>
    <w:r>
      <w:t>C</w:t>
    </w:r>
    <w:r w:rsidRPr="00EA65BF">
      <w:t>ontract]</w:t>
    </w:r>
  </w:p>
  <w:p w14:paraId="00EA47F8" w14:textId="7829380B" w:rsidR="00BF1AD5" w:rsidRPr="00EA65BF" w:rsidRDefault="00BF1AD5" w:rsidP="00EA65BF">
    <w:pPr>
      <w:pStyle w:val="Header"/>
    </w:pPr>
    <w:r w:rsidRPr="00EA65BF">
      <w:t xml:space="preserve">Crown </w:t>
    </w:r>
    <w:r>
      <w:t>C</w:t>
    </w:r>
    <w:r w:rsidRPr="00EA65BF">
      <w:t>opyright 202</w:t>
    </w:r>
    <w:r w:rsidR="003A03C6">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1A16" w14:textId="4A81A5B8" w:rsidR="00BF1AD5" w:rsidRPr="00B24C98" w:rsidRDefault="00BF1AD5" w:rsidP="00EA65BF">
    <w:pPr>
      <w:pStyle w:val="Header"/>
      <w:rPr>
        <w:b/>
        <w:bCs/>
      </w:rPr>
    </w:pPr>
    <w:r w:rsidRPr="00B24C98">
      <w:rPr>
        <w:b/>
        <w:bCs/>
      </w:rPr>
      <w:t xml:space="preserve">Schedule </w:t>
    </w:r>
    <w:r>
      <w:rPr>
        <w:b/>
        <w:bCs/>
      </w:rPr>
      <w:t xml:space="preserve">3 </w:t>
    </w:r>
    <w:r w:rsidR="0031348F">
      <w:rPr>
        <w:b/>
        <w:bCs/>
      </w:rPr>
      <w:t>(</w:t>
    </w:r>
    <w:r>
      <w:rPr>
        <w:b/>
        <w:bCs/>
      </w:rPr>
      <w:t>Performance Levels</w:t>
    </w:r>
    <w:r w:rsidR="0031348F">
      <w:rPr>
        <w:b/>
        <w:bCs/>
      </w:rPr>
      <w:t>)</w:t>
    </w:r>
  </w:p>
  <w:p w14:paraId="17D6B43B" w14:textId="78B01773" w:rsidR="00BF1AD5" w:rsidRPr="00EA65BF" w:rsidRDefault="00BF1AD5" w:rsidP="00EA65BF">
    <w:pPr>
      <w:pStyle w:val="Header"/>
    </w:pPr>
    <w:r w:rsidRPr="00EA65BF">
      <w:t xml:space="preserve">[Subject to </w:t>
    </w:r>
    <w:r>
      <w:t>C</w:t>
    </w:r>
    <w:r w:rsidRPr="00EA65BF">
      <w:t>ontract]</w:t>
    </w:r>
  </w:p>
  <w:p w14:paraId="22CD0730" w14:textId="2AF09A01" w:rsidR="00BF1AD5" w:rsidRPr="00EA65BF" w:rsidRDefault="00BF1AD5" w:rsidP="00EA65BF">
    <w:pPr>
      <w:pStyle w:val="Header"/>
    </w:pPr>
    <w:r w:rsidRPr="00EA65BF">
      <w:t xml:space="preserve">Crown </w:t>
    </w:r>
    <w:r>
      <w:t>C</w:t>
    </w:r>
    <w:r w:rsidRPr="00EA65BF">
      <w:t>opyright 202</w:t>
    </w:r>
    <w:r w:rsidR="003A03C6">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1034" w14:textId="1B00B5EC" w:rsidR="00BF1AD5" w:rsidRPr="00B24C98" w:rsidRDefault="00BF1AD5" w:rsidP="00EA65BF">
    <w:pPr>
      <w:pStyle w:val="Header"/>
      <w:rPr>
        <w:b/>
        <w:bCs/>
      </w:rPr>
    </w:pPr>
    <w:r w:rsidRPr="00B24C98">
      <w:rPr>
        <w:b/>
        <w:bCs/>
      </w:rPr>
      <w:t xml:space="preserve">Schedule </w:t>
    </w:r>
    <w:r>
      <w:rPr>
        <w:b/>
        <w:bCs/>
      </w:rPr>
      <w:t>4</w:t>
    </w:r>
    <w:r w:rsidR="00201BC3">
      <w:rPr>
        <w:b/>
        <w:bCs/>
      </w:rPr>
      <w:t xml:space="preserve"> (</w:t>
    </w:r>
    <w:r w:rsidRPr="00B24C98">
      <w:rPr>
        <w:b/>
        <w:bCs/>
      </w:rPr>
      <w:t>S</w:t>
    </w:r>
    <w:r>
      <w:rPr>
        <w:b/>
        <w:bCs/>
      </w:rPr>
      <w:t>tandards</w:t>
    </w:r>
    <w:r w:rsidR="00201BC3">
      <w:rPr>
        <w:b/>
        <w:bCs/>
      </w:rPr>
      <w:t>)</w:t>
    </w:r>
  </w:p>
  <w:p w14:paraId="077F6FCA" w14:textId="3BD8CB8C" w:rsidR="00BF1AD5" w:rsidRPr="00EA65BF" w:rsidRDefault="00BF1AD5" w:rsidP="00EA65BF">
    <w:pPr>
      <w:pStyle w:val="Header"/>
    </w:pPr>
    <w:r w:rsidRPr="00EA65BF">
      <w:t xml:space="preserve">[Subject to </w:t>
    </w:r>
    <w:r>
      <w:t>C</w:t>
    </w:r>
    <w:r w:rsidRPr="00EA65BF">
      <w:t>ontract]</w:t>
    </w:r>
  </w:p>
  <w:p w14:paraId="3EF04424" w14:textId="35F70F80" w:rsidR="00BF1AD5" w:rsidRPr="00EA65BF" w:rsidRDefault="00BF1AD5" w:rsidP="00EA65BF">
    <w:pPr>
      <w:pStyle w:val="Header"/>
    </w:pPr>
    <w:r w:rsidRPr="00EA65BF">
      <w:t xml:space="preserve">Crown </w:t>
    </w:r>
    <w:r>
      <w:t>C</w:t>
    </w:r>
    <w:r w:rsidRPr="00EA65BF">
      <w:t>opyright 202</w:t>
    </w:r>
    <w:r w:rsidR="003A03C6">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A5C" w14:textId="79CC2225" w:rsidR="00BF1AD5" w:rsidRPr="00B24C98" w:rsidRDefault="00BF1AD5" w:rsidP="00EA65BF">
    <w:pPr>
      <w:pStyle w:val="Header"/>
      <w:rPr>
        <w:b/>
        <w:bCs/>
      </w:rPr>
    </w:pPr>
    <w:r w:rsidRPr="00B24C98">
      <w:rPr>
        <w:b/>
        <w:bCs/>
      </w:rPr>
      <w:t xml:space="preserve">Schedule </w:t>
    </w:r>
    <w:r>
      <w:rPr>
        <w:b/>
        <w:bCs/>
      </w:rPr>
      <w:t xml:space="preserve">5 </w:t>
    </w:r>
    <w:r w:rsidR="0077023F">
      <w:rPr>
        <w:b/>
        <w:bCs/>
      </w:rPr>
      <w:t>(</w:t>
    </w:r>
    <w:r w:rsidRPr="00B30FB1">
      <w:rPr>
        <w:b/>
        <w:bCs/>
      </w:rPr>
      <w:t>Security Management</w:t>
    </w:r>
    <w:r w:rsidR="0077023F">
      <w:rPr>
        <w:b/>
        <w:bCs/>
      </w:rPr>
      <w:t>)</w:t>
    </w:r>
  </w:p>
  <w:p w14:paraId="725C0BF6" w14:textId="7C5367F2" w:rsidR="00BF1AD5" w:rsidRPr="00EA65BF" w:rsidRDefault="00BF1AD5" w:rsidP="00EA65BF">
    <w:pPr>
      <w:pStyle w:val="Header"/>
    </w:pPr>
    <w:r w:rsidRPr="00EA65BF">
      <w:t xml:space="preserve">[Subject to </w:t>
    </w:r>
    <w:r>
      <w:t>C</w:t>
    </w:r>
    <w:r w:rsidRPr="00EA65BF">
      <w:t>ontract]</w:t>
    </w:r>
  </w:p>
  <w:p w14:paraId="5043D5FA" w14:textId="2C70907D" w:rsidR="00BF1AD5" w:rsidRPr="00EA65BF" w:rsidRDefault="00BF1AD5" w:rsidP="00EA65BF">
    <w:pPr>
      <w:pStyle w:val="Header"/>
    </w:pPr>
    <w:r w:rsidRPr="00EA65BF">
      <w:t xml:space="preserve">Crown </w:t>
    </w:r>
    <w:r>
      <w:t>C</w:t>
    </w:r>
    <w:r w:rsidRPr="00EA65BF">
      <w:t>opyright 202</w:t>
    </w:r>
    <w:r w:rsidR="003A03C6">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E428" w14:textId="50A48CDD" w:rsidR="00BF1AD5" w:rsidRPr="00B24C98" w:rsidRDefault="00BF1AD5" w:rsidP="00EA65BF">
    <w:pPr>
      <w:pStyle w:val="Header"/>
      <w:rPr>
        <w:b/>
        <w:bCs/>
      </w:rPr>
    </w:pPr>
    <w:r w:rsidRPr="00B24C98">
      <w:rPr>
        <w:b/>
        <w:bCs/>
      </w:rPr>
      <w:t xml:space="preserve">Schedule </w:t>
    </w:r>
    <w:r>
      <w:rPr>
        <w:b/>
        <w:bCs/>
      </w:rPr>
      <w:t xml:space="preserve">6 </w:t>
    </w:r>
    <w:r w:rsidR="00A02E73">
      <w:rPr>
        <w:b/>
        <w:bCs/>
      </w:rPr>
      <w:t>(</w:t>
    </w:r>
    <w:r w:rsidRPr="00B30FB1">
      <w:rPr>
        <w:b/>
        <w:bCs/>
      </w:rPr>
      <w:t>Insurance Requirements</w:t>
    </w:r>
    <w:r w:rsidR="00A02E73">
      <w:rPr>
        <w:b/>
        <w:bCs/>
      </w:rPr>
      <w:t>)</w:t>
    </w:r>
  </w:p>
  <w:p w14:paraId="418FC64C" w14:textId="54DB0C20" w:rsidR="00BF1AD5" w:rsidRPr="00EA65BF" w:rsidRDefault="00BF1AD5" w:rsidP="00EA65BF">
    <w:pPr>
      <w:pStyle w:val="Header"/>
    </w:pPr>
    <w:r w:rsidRPr="00EA65BF">
      <w:t xml:space="preserve">[Subject to </w:t>
    </w:r>
    <w:r>
      <w:t>C</w:t>
    </w:r>
    <w:r w:rsidRPr="00EA65BF">
      <w:t>ontract]</w:t>
    </w:r>
  </w:p>
  <w:p w14:paraId="43B71D83" w14:textId="0F739292" w:rsidR="00BF1AD5" w:rsidRPr="00EA65BF" w:rsidRDefault="00BF1AD5" w:rsidP="00EA65BF">
    <w:pPr>
      <w:pStyle w:val="Header"/>
    </w:pPr>
    <w:r w:rsidRPr="00EA65BF">
      <w:t xml:space="preserve">Crown </w:t>
    </w:r>
    <w:r>
      <w:t>C</w:t>
    </w:r>
    <w:r w:rsidRPr="00EA65BF">
      <w:t>opyright 202</w:t>
    </w:r>
    <w:r w:rsidR="003A03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057389D"/>
    <w:multiLevelType w:val="multilevel"/>
    <w:tmpl w:val="A8D0AD70"/>
    <w:name w:val="Plato Schedule Number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 w15:restartNumberingAfterBreak="0">
    <w:nsid w:val="00707CCA"/>
    <w:multiLevelType w:val="multilevel"/>
    <w:tmpl w:val="294C9B2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 w15:restartNumberingAfterBreak="0">
    <w:nsid w:val="01136EA3"/>
    <w:multiLevelType w:val="multilevel"/>
    <w:tmpl w:val="5AFE3D60"/>
    <w:lvl w:ilvl="0">
      <w:start w:val="1"/>
      <w:numFmt w:val="decimal"/>
      <w:pStyle w:val="Recitals"/>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 w15:restartNumberingAfterBreak="0">
    <w:nsid w:val="015E31F1"/>
    <w:multiLevelType w:val="multilevel"/>
    <w:tmpl w:val="1682DEBC"/>
    <w:styleLink w:val="CurrentList19"/>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 w15:restartNumberingAfterBreak="0">
    <w:nsid w:val="027E44EF"/>
    <w:multiLevelType w:val="multilevel"/>
    <w:tmpl w:val="E07EBFD4"/>
    <w:styleLink w:val="CurrentList4"/>
    <w:lvl w:ilvl="0">
      <w:start w:val="1"/>
      <w:numFmt w:val="decimal"/>
      <w:suff w:val="space"/>
      <w:lvlText w:val="SCHEDULE %1"/>
      <w:lvlJc w:val="left"/>
      <w:pPr>
        <w:ind w:left="0" w:firstLine="0"/>
      </w:pPr>
      <w:rPr>
        <w:rFonts w:hint="default"/>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04502A12"/>
    <w:multiLevelType w:val="multilevel"/>
    <w:tmpl w:val="40A68C3E"/>
    <w:lvl w:ilvl="0">
      <w:start w:val="1"/>
      <w:numFmt w:val="decimal"/>
      <w:pStyle w:val="Level1"/>
      <w:lvlText w:val="%1."/>
      <w:lvlJc w:val="left"/>
      <w:pPr>
        <w:ind w:left="0" w:firstLine="720"/>
      </w:pPr>
      <w:rPr>
        <w:color w:val="000000"/>
      </w:rPr>
    </w:lvl>
    <w:lvl w:ilvl="1">
      <w:start w:val="1"/>
      <w:numFmt w:val="lowerLetter"/>
      <w:pStyle w:val="Level2"/>
      <w:lvlText w:val="(%2)"/>
      <w:lvlJc w:val="left"/>
      <w:pPr>
        <w:ind w:left="720" w:firstLine="720"/>
      </w:pPr>
      <w:rPr>
        <w:color w:val="000000"/>
      </w:rPr>
    </w:lvl>
    <w:lvl w:ilvl="2">
      <w:start w:val="1"/>
      <w:numFmt w:val="lowerRoman"/>
      <w:pStyle w:val="Level3"/>
      <w:lvlText w:val="(%3)"/>
      <w:lvlJc w:val="left"/>
      <w:pPr>
        <w:ind w:left="1440" w:firstLine="720"/>
      </w:pPr>
      <w:rPr>
        <w:color w:val="000000"/>
      </w:rPr>
    </w:lvl>
    <w:lvl w:ilvl="3">
      <w:start w:val="1"/>
      <w:numFmt w:val="upperLetter"/>
      <w:pStyle w:val="Level4"/>
      <w:lvlText w:val="(%4)"/>
      <w:lvlJc w:val="left"/>
      <w:pPr>
        <w:ind w:left="2160" w:firstLine="720"/>
      </w:pPr>
    </w:lvl>
    <w:lvl w:ilvl="4">
      <w:start w:val="1"/>
      <w:numFmt w:val="decimal"/>
      <w:pStyle w:val="Level5"/>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0" w15:restartNumberingAfterBreak="0">
    <w:nsid w:val="045D224B"/>
    <w:multiLevelType w:val="multilevel"/>
    <w:tmpl w:val="EDE29E1A"/>
    <w:styleLink w:val="CurrentList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05A37B27"/>
    <w:multiLevelType w:val="multilevel"/>
    <w:tmpl w:val="156AE914"/>
    <w:styleLink w:val="CurrentList2"/>
    <w:lvl w:ilvl="0">
      <w:start w:val="1"/>
      <w:numFmt w:val="decimal"/>
      <w:suff w:val="space"/>
      <w:lvlText w:val="SCHEDULE %1"/>
      <w:lvlJc w:val="left"/>
      <w:pPr>
        <w:ind w:left="0"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decimal"/>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63F54A1"/>
    <w:multiLevelType w:val="multilevel"/>
    <w:tmpl w:val="DE7A839A"/>
    <w:lvl w:ilvl="0">
      <w:start w:val="1"/>
      <w:numFmt w:val="decimal"/>
      <w:pStyle w:val="RestartNumbering"/>
      <w:lvlText w:val="%1."/>
      <w:lvlJc w:val="left"/>
      <w:pPr>
        <w:ind w:left="0" w:firstLine="720"/>
      </w:pPr>
      <w:rPr>
        <w:color w:val="000000"/>
      </w:rPr>
    </w:lvl>
    <w:lvl w:ilvl="1">
      <w:start w:val="1"/>
      <w:numFmt w:val="lowerLetter"/>
      <w:pStyle w:val="Level1Heading"/>
      <w:lvlText w:val="(%2)"/>
      <w:lvlJc w:val="left"/>
      <w:pPr>
        <w:ind w:left="720" w:firstLine="720"/>
      </w:pPr>
      <w:rPr>
        <w:color w:val="000000"/>
      </w:rPr>
    </w:lvl>
    <w:lvl w:ilvl="2">
      <w:start w:val="1"/>
      <w:numFmt w:val="lowerRoman"/>
      <w:pStyle w:val="Level2Number"/>
      <w:lvlText w:val="(%3)"/>
      <w:lvlJc w:val="left"/>
      <w:pPr>
        <w:ind w:left="1440" w:firstLine="720"/>
      </w:pPr>
      <w:rPr>
        <w:color w:val="000000"/>
      </w:rPr>
    </w:lvl>
    <w:lvl w:ilvl="3">
      <w:start w:val="1"/>
      <w:numFmt w:val="upperLetter"/>
      <w:pStyle w:val="Level3Number"/>
      <w:lvlText w:val="(%4)"/>
      <w:lvlJc w:val="left"/>
      <w:pPr>
        <w:ind w:left="2160" w:firstLine="720"/>
      </w:pPr>
    </w:lvl>
    <w:lvl w:ilvl="4">
      <w:start w:val="1"/>
      <w:numFmt w:val="decimal"/>
      <w:pStyle w:val="Level4Number"/>
      <w:lvlText w:val=""/>
      <w:lvlJc w:val="left"/>
      <w:pPr>
        <w:ind w:left="4320" w:hanging="720"/>
      </w:pPr>
      <w:rPr>
        <w:color w:val="000000"/>
      </w:rPr>
    </w:lvl>
    <w:lvl w:ilvl="5">
      <w:start w:val="1"/>
      <w:numFmt w:val="decimal"/>
      <w:pStyle w:val="Level5Number"/>
      <w:lvlText w:val=""/>
      <w:lvlJc w:val="left"/>
      <w:pPr>
        <w:ind w:left="5040" w:hanging="720"/>
      </w:pPr>
    </w:lvl>
    <w:lvl w:ilvl="6">
      <w:start w:val="1"/>
      <w:numFmt w:val="decimal"/>
      <w:pStyle w:val="Level6Number"/>
      <w:lvlText w:val=""/>
      <w:lvlJc w:val="left"/>
      <w:pPr>
        <w:ind w:left="5760" w:hanging="720"/>
      </w:pPr>
    </w:lvl>
    <w:lvl w:ilvl="7">
      <w:start w:val="1"/>
      <w:numFmt w:val="decimal"/>
      <w:pStyle w:val="Level7Number"/>
      <w:lvlText w:val=""/>
      <w:lvlJc w:val="left"/>
      <w:pPr>
        <w:ind w:left="6480" w:hanging="720"/>
      </w:pPr>
    </w:lvl>
    <w:lvl w:ilvl="8">
      <w:start w:val="1"/>
      <w:numFmt w:val="decimal"/>
      <w:pStyle w:val="Level8Number"/>
      <w:lvlText w:val=""/>
      <w:lvlJc w:val="left"/>
      <w:pPr>
        <w:ind w:left="7200" w:hanging="720"/>
      </w:pPr>
    </w:lvl>
  </w:abstractNum>
  <w:abstractNum w:abstractNumId="13" w15:restartNumberingAfterBreak="0">
    <w:nsid w:val="070BAAE5"/>
    <w:multiLevelType w:val="multilevel"/>
    <w:tmpl w:val="736C6BB8"/>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4" w15:restartNumberingAfterBreak="0">
    <w:nsid w:val="07271675"/>
    <w:multiLevelType w:val="multilevel"/>
    <w:tmpl w:val="3120F118"/>
    <w:styleLink w:val="CurrentList20"/>
    <w:lvl w:ilvl="0">
      <w:start w:val="1"/>
      <w:numFmt w:val="lowerLetter"/>
      <w:lvlText w:val="(%1)"/>
      <w:lvlJc w:val="left"/>
      <w:pPr>
        <w:tabs>
          <w:tab w:val="num" w:pos="720"/>
        </w:tabs>
        <w:ind w:left="720" w:hanging="720"/>
      </w:pPr>
      <w:rPr>
        <w:rFonts w:hint="default"/>
        <w:color w:val="000000"/>
      </w:rPr>
    </w:lvl>
    <w:lvl w:ilvl="1">
      <w:start w:val="1"/>
      <w:numFmt w:val="lowerLetter"/>
      <w:lvlText w:val="(%2)"/>
      <w:lvlJc w:val="left"/>
      <w:pPr>
        <w:ind w:left="720" w:firstLine="720"/>
      </w:pPr>
      <w:rPr>
        <w:rFonts w:hint="default"/>
        <w:color w:val="000000"/>
      </w:rPr>
    </w:lvl>
    <w:lvl w:ilvl="2">
      <w:start w:val="1"/>
      <w:numFmt w:val="lowerRoman"/>
      <w:lvlText w:val="(%3)"/>
      <w:lvlJc w:val="left"/>
      <w:pPr>
        <w:ind w:left="1440" w:firstLine="720"/>
      </w:pPr>
      <w:rPr>
        <w:rFonts w:hint="default"/>
        <w:color w:val="000000"/>
      </w:rPr>
    </w:lvl>
    <w:lvl w:ilvl="3">
      <w:start w:val="1"/>
      <w:numFmt w:val="upperLetter"/>
      <w:lvlText w:val="(%4)"/>
      <w:lvlJc w:val="left"/>
      <w:pPr>
        <w:ind w:left="2160" w:firstLine="720"/>
      </w:pPr>
      <w:rPr>
        <w:rFonts w:hint="default"/>
      </w:rPr>
    </w:lvl>
    <w:lvl w:ilvl="4">
      <w:start w:val="1"/>
      <w:numFmt w:val="decimal"/>
      <w:lvlText w:val=""/>
      <w:lvlJc w:val="left"/>
      <w:pPr>
        <w:ind w:left="4320" w:hanging="720"/>
      </w:pPr>
      <w:rPr>
        <w:rFonts w:hint="default"/>
        <w:color w:val="000000"/>
      </w:rPr>
    </w:lvl>
    <w:lvl w:ilvl="5">
      <w:start w:val="1"/>
      <w:numFmt w:val="decimal"/>
      <w:lvlText w:val=""/>
      <w:lvlJc w:val="left"/>
      <w:pPr>
        <w:ind w:left="5040" w:hanging="720"/>
      </w:pPr>
      <w:rPr>
        <w:rFonts w:hint="default"/>
      </w:rPr>
    </w:lvl>
    <w:lvl w:ilvl="6">
      <w:start w:val="1"/>
      <w:numFmt w:val="decimal"/>
      <w:lvlText w:val=""/>
      <w:lvlJc w:val="left"/>
      <w:pPr>
        <w:ind w:left="5760" w:hanging="720"/>
      </w:pPr>
      <w:rPr>
        <w:rFonts w:hint="default"/>
      </w:rPr>
    </w:lvl>
    <w:lvl w:ilvl="7">
      <w:start w:val="1"/>
      <w:numFmt w:val="decimal"/>
      <w:lvlText w:val=""/>
      <w:lvlJc w:val="left"/>
      <w:pPr>
        <w:ind w:left="6480" w:hanging="720"/>
      </w:pPr>
      <w:rPr>
        <w:rFonts w:hint="default"/>
      </w:rPr>
    </w:lvl>
    <w:lvl w:ilvl="8">
      <w:start w:val="1"/>
      <w:numFmt w:val="decimal"/>
      <w:lvlText w:val=""/>
      <w:lvlJc w:val="left"/>
      <w:pPr>
        <w:ind w:left="7200" w:hanging="720"/>
      </w:pPr>
      <w:rPr>
        <w:rFonts w:hint="default"/>
      </w:rPr>
    </w:lvl>
  </w:abstractNum>
  <w:abstractNum w:abstractNumId="15" w15:restartNumberingAfterBreak="0">
    <w:nsid w:val="0CD04419"/>
    <w:multiLevelType w:val="multilevel"/>
    <w:tmpl w:val="697AE80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6" w15:restartNumberingAfterBreak="0">
    <w:nsid w:val="0DE37B86"/>
    <w:multiLevelType w:val="multilevel"/>
    <w:tmpl w:val="662C21CE"/>
    <w:styleLink w:val="CurrentList5"/>
    <w:lvl w:ilvl="0">
      <w:start w:val="1"/>
      <w:numFmt w:val="decimal"/>
      <w:lvlText w:val="%1"/>
      <w:lvlJc w:val="left"/>
      <w:pPr>
        <w:ind w:left="861" w:hanging="721"/>
      </w:pPr>
      <w:rPr>
        <w:rFonts w:hint="default"/>
        <w:lang w:val="en-US" w:eastAsia="en-US" w:bidi="en-US"/>
      </w:rPr>
    </w:lvl>
    <w:lvl w:ilvl="1">
      <w:start w:val="1"/>
      <w:numFmt w:val="decimal"/>
      <w:lvlText w:val="%1.%2"/>
      <w:lvlJc w:val="left"/>
      <w:pPr>
        <w:ind w:left="861" w:hanging="721"/>
      </w:pPr>
      <w:rPr>
        <w:rFonts w:ascii="Arial" w:eastAsia="Arial" w:hAnsi="Arial" w:cs="Arial" w:hint="default"/>
        <w:spacing w:val="-2"/>
        <w:w w:val="99"/>
        <w:sz w:val="24"/>
        <w:szCs w:val="24"/>
        <w:lang w:val="en-US" w:eastAsia="en-US" w:bidi="en-US"/>
      </w:rPr>
    </w:lvl>
    <w:lvl w:ilvl="2">
      <w:start w:val="1"/>
      <w:numFmt w:val="lowerLetter"/>
      <w:lvlText w:val="(%3)"/>
      <w:lvlJc w:val="left"/>
      <w:pPr>
        <w:ind w:left="5072" w:hanging="720"/>
      </w:pPr>
      <w:rPr>
        <w:rFonts w:ascii="Arial" w:eastAsia="Times New Roman" w:hAnsi="Arial" w:cs="Arial"/>
        <w:spacing w:val="-6"/>
        <w:w w:val="99"/>
        <w:sz w:val="24"/>
        <w:szCs w:val="24"/>
        <w:lang w:val="en-US" w:eastAsia="en-US" w:bidi="en-US"/>
      </w:rPr>
    </w:lvl>
    <w:lvl w:ilvl="3">
      <w:start w:val="1"/>
      <w:numFmt w:val="lowerRoman"/>
      <w:lvlText w:val="(%4)"/>
      <w:lvlJc w:val="left"/>
      <w:pPr>
        <w:ind w:left="5793" w:hanging="721"/>
      </w:pPr>
      <w:rPr>
        <w:rFonts w:ascii="Arial" w:eastAsia="Arial" w:hAnsi="Arial" w:cs="Arial" w:hint="default"/>
        <w:spacing w:val="-6"/>
        <w:w w:val="99"/>
        <w:sz w:val="24"/>
        <w:szCs w:val="24"/>
        <w:lang w:val="en-US" w:eastAsia="en-US" w:bidi="en-US"/>
      </w:rPr>
    </w:lvl>
    <w:lvl w:ilvl="4">
      <w:start w:val="1"/>
      <w:numFmt w:val="decimal"/>
      <w:lvlText w:val="(%5)"/>
      <w:lvlJc w:val="left"/>
      <w:pPr>
        <w:ind w:left="6513" w:hanging="721"/>
      </w:pPr>
      <w:rPr>
        <w:rFonts w:ascii="Arial" w:eastAsia="Arial" w:hAnsi="Arial" w:cs="Arial" w:hint="default"/>
        <w:spacing w:val="-6"/>
        <w:w w:val="99"/>
        <w:sz w:val="24"/>
        <w:szCs w:val="24"/>
        <w:lang w:val="en-US" w:eastAsia="en-US" w:bidi="en-US"/>
      </w:rPr>
    </w:lvl>
    <w:lvl w:ilvl="5">
      <w:numFmt w:val="bullet"/>
      <w:lvlText w:val="•"/>
      <w:lvlJc w:val="left"/>
      <w:pPr>
        <w:ind w:left="7425" w:hanging="721"/>
      </w:pPr>
      <w:rPr>
        <w:rFonts w:hint="default"/>
        <w:lang w:val="en-US" w:eastAsia="en-US" w:bidi="en-US"/>
      </w:rPr>
    </w:lvl>
    <w:lvl w:ilvl="6">
      <w:numFmt w:val="bullet"/>
      <w:lvlText w:val="•"/>
      <w:lvlJc w:val="left"/>
      <w:pPr>
        <w:ind w:left="7878" w:hanging="721"/>
      </w:pPr>
      <w:rPr>
        <w:rFonts w:hint="default"/>
        <w:lang w:val="en-US" w:eastAsia="en-US" w:bidi="en-US"/>
      </w:rPr>
    </w:lvl>
    <w:lvl w:ilvl="7">
      <w:numFmt w:val="bullet"/>
      <w:lvlText w:val="•"/>
      <w:lvlJc w:val="left"/>
      <w:pPr>
        <w:ind w:left="8331" w:hanging="721"/>
      </w:pPr>
      <w:rPr>
        <w:rFonts w:hint="default"/>
        <w:lang w:val="en-US" w:eastAsia="en-US" w:bidi="en-US"/>
      </w:rPr>
    </w:lvl>
    <w:lvl w:ilvl="8">
      <w:numFmt w:val="bullet"/>
      <w:lvlText w:val="•"/>
      <w:lvlJc w:val="left"/>
      <w:pPr>
        <w:ind w:left="8784" w:hanging="721"/>
      </w:pPr>
      <w:rPr>
        <w:rFonts w:hint="default"/>
        <w:lang w:val="en-US" w:eastAsia="en-US" w:bidi="en-US"/>
      </w:rPr>
    </w:lvl>
  </w:abstractNum>
  <w:abstractNum w:abstractNumId="17" w15:restartNumberingAfterBreak="0">
    <w:nsid w:val="108857AB"/>
    <w:multiLevelType w:val="multilevel"/>
    <w:tmpl w:val="6032E398"/>
    <w:lvl w:ilvl="0">
      <w:start w:val="1"/>
      <w:numFmt w:val="none"/>
      <w:pStyle w:val="Tabletext"/>
      <w:lvlText w:val=""/>
      <w:lvlJc w:val="left"/>
      <w:pPr>
        <w:tabs>
          <w:tab w:val="num" w:pos="0"/>
        </w:tabs>
        <w:ind w:left="0" w:firstLine="0"/>
      </w:pPr>
      <w:rPr>
        <w:rFonts w:hint="default"/>
        <w:color w:val="000000"/>
      </w:rPr>
    </w:lvl>
    <w:lvl w:ilvl="1">
      <w:start w:val="1"/>
      <w:numFmt w:val="lowerLetter"/>
      <w:pStyle w:val="Tablea"/>
      <w:lvlText w:val="(%2)"/>
      <w:lvlJc w:val="left"/>
      <w:pPr>
        <w:tabs>
          <w:tab w:val="num" w:pos="720"/>
        </w:tabs>
        <w:ind w:left="720" w:hanging="720"/>
      </w:pPr>
      <w:rPr>
        <w:rFonts w:hint="default"/>
        <w:color w:val="000000"/>
      </w:rPr>
    </w:lvl>
    <w:lvl w:ilvl="2">
      <w:start w:val="1"/>
      <w:numFmt w:val="lowerRoman"/>
      <w:pStyle w:val="Tableai"/>
      <w:lvlText w:val="(%3)"/>
      <w:lvlJc w:val="left"/>
      <w:pPr>
        <w:tabs>
          <w:tab w:val="num" w:pos="1440"/>
        </w:tabs>
        <w:ind w:left="1440" w:hanging="720"/>
      </w:pPr>
      <w:rPr>
        <w:rFonts w:hint="default"/>
        <w:color w:val="000000"/>
      </w:rPr>
    </w:lvl>
    <w:lvl w:ilvl="3">
      <w:start w:val="1"/>
      <w:numFmt w:val="decimal"/>
      <w:pStyle w:val="Tableai1"/>
      <w:lvlText w:val="(%4)"/>
      <w:lvlJc w:val="left"/>
      <w:pPr>
        <w:tabs>
          <w:tab w:val="num" w:pos="2160"/>
        </w:tabs>
        <w:ind w:left="2160" w:hanging="720"/>
      </w:pPr>
      <w:rPr>
        <w:rFonts w:hint="default"/>
      </w:rPr>
    </w:lvl>
    <w:lvl w:ilvl="4">
      <w:start w:val="1"/>
      <w:numFmt w:val="decimal"/>
      <w:lvlText w:val=""/>
      <w:lvlJc w:val="left"/>
      <w:pPr>
        <w:ind w:left="4320" w:hanging="720"/>
      </w:pPr>
      <w:rPr>
        <w:rFonts w:hint="default"/>
        <w:color w:val="000000"/>
      </w:rPr>
    </w:lvl>
    <w:lvl w:ilvl="5">
      <w:start w:val="1"/>
      <w:numFmt w:val="decimal"/>
      <w:lvlText w:val=""/>
      <w:lvlJc w:val="left"/>
      <w:pPr>
        <w:ind w:left="5040" w:hanging="720"/>
      </w:pPr>
      <w:rPr>
        <w:rFonts w:hint="default"/>
      </w:rPr>
    </w:lvl>
    <w:lvl w:ilvl="6">
      <w:start w:val="1"/>
      <w:numFmt w:val="decimal"/>
      <w:lvlText w:val=""/>
      <w:lvlJc w:val="left"/>
      <w:pPr>
        <w:ind w:left="5760" w:hanging="720"/>
      </w:pPr>
      <w:rPr>
        <w:rFonts w:hint="default"/>
      </w:rPr>
    </w:lvl>
    <w:lvl w:ilvl="7">
      <w:start w:val="1"/>
      <w:numFmt w:val="decimal"/>
      <w:lvlText w:val=""/>
      <w:lvlJc w:val="left"/>
      <w:pPr>
        <w:ind w:left="6480" w:hanging="720"/>
      </w:pPr>
      <w:rPr>
        <w:rFonts w:hint="default"/>
      </w:rPr>
    </w:lvl>
    <w:lvl w:ilvl="8">
      <w:start w:val="1"/>
      <w:numFmt w:val="decimal"/>
      <w:lvlText w:val=""/>
      <w:lvlJc w:val="left"/>
      <w:pPr>
        <w:ind w:left="7200" w:hanging="720"/>
      </w:pPr>
      <w:rPr>
        <w:rFonts w:hint="default"/>
      </w:rPr>
    </w:lvl>
  </w:abstractNum>
  <w:abstractNum w:abstractNumId="18" w15:restartNumberingAfterBreak="0">
    <w:nsid w:val="12BB3707"/>
    <w:multiLevelType w:val="multilevel"/>
    <w:tmpl w:val="8CD6678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9" w15:restartNumberingAfterBreak="0">
    <w:nsid w:val="171B25D4"/>
    <w:multiLevelType w:val="multilevel"/>
    <w:tmpl w:val="6B563A06"/>
    <w:styleLink w:val="CurrentList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A380133"/>
    <w:multiLevelType w:val="multilevel"/>
    <w:tmpl w:val="7714B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1"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2" w15:restartNumberingAfterBreak="0">
    <w:nsid w:val="1DC423B3"/>
    <w:multiLevelType w:val="multilevel"/>
    <w:tmpl w:val="9A983724"/>
    <w:lvl w:ilvl="0">
      <w:start w:val="1"/>
      <w:numFmt w:val="decimal"/>
      <w:pStyle w:val="SchHead"/>
      <w:lvlText w:val="%1."/>
      <w:lvlJc w:val="left"/>
      <w:pPr>
        <w:ind w:left="0" w:firstLine="720"/>
      </w:pPr>
      <w:rPr>
        <w:color w:val="000000"/>
      </w:rPr>
    </w:lvl>
    <w:lvl w:ilvl="1">
      <w:start w:val="1"/>
      <w:numFmt w:val="lowerLetter"/>
      <w:pStyle w:val="SchPart"/>
      <w:lvlText w:val="(%2)"/>
      <w:lvlJc w:val="left"/>
      <w:pPr>
        <w:ind w:left="720" w:firstLine="720"/>
      </w:pPr>
      <w:rPr>
        <w:color w:val="000000"/>
      </w:rPr>
    </w:lvl>
    <w:lvl w:ilvl="2">
      <w:start w:val="1"/>
      <w:numFmt w:val="lowerRoman"/>
      <w:pStyle w:val="SchSectio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3" w15:restartNumberingAfterBreak="0">
    <w:nsid w:val="1EB3649B"/>
    <w:multiLevelType w:val="multilevel"/>
    <w:tmpl w:val="05EC6F58"/>
    <w:styleLink w:val="CurrentList13"/>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21365ABE"/>
    <w:multiLevelType w:val="multilevel"/>
    <w:tmpl w:val="D3805EA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5" w15:restartNumberingAfterBreak="0">
    <w:nsid w:val="21BE33DF"/>
    <w:multiLevelType w:val="multilevel"/>
    <w:tmpl w:val="77E4F8EC"/>
    <w:lvl w:ilvl="0">
      <w:start w:val="1"/>
      <w:numFmt w:val="decimal"/>
      <w:pStyle w:val="Parties"/>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6"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7" w15:restartNumberingAfterBreak="0">
    <w:nsid w:val="25FA1479"/>
    <w:multiLevelType w:val="multilevel"/>
    <w:tmpl w:val="510CA900"/>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8" w15:restartNumberingAfterBreak="0">
    <w:nsid w:val="265B34FB"/>
    <w:multiLevelType w:val="multilevel"/>
    <w:tmpl w:val="FFCE1B8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9" w15:restartNumberingAfterBreak="0">
    <w:nsid w:val="27063A99"/>
    <w:multiLevelType w:val="multilevel"/>
    <w:tmpl w:val="78CCC0B4"/>
    <w:lvl w:ilvl="0">
      <w:start w:val="1"/>
      <w:numFmt w:val="decimal"/>
      <w:pStyle w:val="ListNumber2"/>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0" w15:restartNumberingAfterBreak="0">
    <w:nsid w:val="27E11DE2"/>
    <w:multiLevelType w:val="multilevel"/>
    <w:tmpl w:val="8F72ABFC"/>
    <w:styleLink w:val="CurrentList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28113D05"/>
    <w:multiLevelType w:val="multilevel"/>
    <w:tmpl w:val="5F32699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2" w15:restartNumberingAfterBreak="0">
    <w:nsid w:val="286147E2"/>
    <w:multiLevelType w:val="multilevel"/>
    <w:tmpl w:val="C818B9B4"/>
    <w:lvl w:ilvl="0">
      <w:start w:val="1"/>
      <w:numFmt w:val="decimal"/>
      <w:pStyle w:val="RecitalNumbering"/>
      <w:lvlText w:val="%1."/>
      <w:lvlJc w:val="left"/>
      <w:pPr>
        <w:ind w:left="0" w:firstLine="720"/>
      </w:pPr>
      <w:rPr>
        <w:color w:val="000000"/>
      </w:rPr>
    </w:lvl>
    <w:lvl w:ilvl="1">
      <w:start w:val="1"/>
      <w:numFmt w:val="lowerLetter"/>
      <w:pStyle w:val="RecitalNumbering2"/>
      <w:lvlText w:val="(%2)"/>
      <w:lvlJc w:val="left"/>
      <w:pPr>
        <w:ind w:left="720" w:firstLine="720"/>
      </w:pPr>
      <w:rPr>
        <w:color w:val="000000"/>
      </w:rPr>
    </w:lvl>
    <w:lvl w:ilvl="2">
      <w:start w:val="1"/>
      <w:numFmt w:val="lowerRoman"/>
      <w:pStyle w:val="RecitalNumbering3"/>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3" w15:restartNumberingAfterBreak="0">
    <w:nsid w:val="289346E7"/>
    <w:multiLevelType w:val="multilevel"/>
    <w:tmpl w:val="B5C24176"/>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4" w15:restartNumberingAfterBreak="0">
    <w:nsid w:val="28D47C5A"/>
    <w:multiLevelType w:val="multilevel"/>
    <w:tmpl w:val="DD5CBD56"/>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5" w15:restartNumberingAfterBreak="0">
    <w:nsid w:val="29E87658"/>
    <w:multiLevelType w:val="multilevel"/>
    <w:tmpl w:val="9DFE87D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6" w15:restartNumberingAfterBreak="0">
    <w:nsid w:val="2A664158"/>
    <w:multiLevelType w:val="multilevel"/>
    <w:tmpl w:val="FFCE1B8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7" w15:restartNumberingAfterBreak="0">
    <w:nsid w:val="2B3841C3"/>
    <w:multiLevelType w:val="hybridMultilevel"/>
    <w:tmpl w:val="26BEC228"/>
    <w:name w:val="Appendicies Heading List23"/>
    <w:lvl w:ilvl="0" w:tplc="935A7488">
      <w:start w:val="1"/>
      <w:numFmt w:val="lowerRoman"/>
      <w:lvlText w:val="(%1)"/>
      <w:lvlJc w:val="left"/>
      <w:pPr>
        <w:ind w:left="1828" w:hanging="721"/>
      </w:pPr>
      <w:rPr>
        <w:rFonts w:ascii="Arial" w:eastAsia="Arial" w:hAnsi="Arial" w:cs="Arial" w:hint="default"/>
        <w:spacing w:val="-4"/>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C101B10"/>
    <w:multiLevelType w:val="multilevel"/>
    <w:tmpl w:val="C060D27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9" w15:restartNumberingAfterBreak="0">
    <w:nsid w:val="2EEE0E30"/>
    <w:multiLevelType w:val="multilevel"/>
    <w:tmpl w:val="0900C5D0"/>
    <w:lvl w:ilvl="0">
      <w:start w:val="1"/>
      <w:numFmt w:val="decimal"/>
      <w:pStyle w:val="ListNumber3"/>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0" w15:restartNumberingAfterBreak="0">
    <w:nsid w:val="303051C3"/>
    <w:multiLevelType w:val="multilevel"/>
    <w:tmpl w:val="125242DA"/>
    <w:name w:val="Appendicies Heading List"/>
    <w:lvl w:ilvl="0">
      <w:start w:val="1"/>
      <w:numFmt w:val="decimal"/>
      <w:suff w:val="space"/>
      <w:lvlText w:val="ANNEX %1: "/>
      <w:lvlJc w:val="left"/>
      <w:pPr>
        <w:ind w:left="0"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1" w15:restartNumberingAfterBreak="0">
    <w:nsid w:val="313F69D0"/>
    <w:multiLevelType w:val="multilevel"/>
    <w:tmpl w:val="42788670"/>
    <w:styleLink w:val="CurrentList1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080" w:hanging="36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329E2557"/>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3" w15:restartNumberingAfterBreak="0">
    <w:nsid w:val="32B44DFB"/>
    <w:multiLevelType w:val="multilevel"/>
    <w:tmpl w:val="D6DE7AB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4"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5" w15:restartNumberingAfterBreak="0">
    <w:nsid w:val="34846B70"/>
    <w:multiLevelType w:val="multilevel"/>
    <w:tmpl w:val="07247006"/>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6" w15:restartNumberingAfterBreak="0">
    <w:nsid w:val="3620312B"/>
    <w:multiLevelType w:val="multilevel"/>
    <w:tmpl w:val="0EA4279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7" w15:restartNumberingAfterBreak="0">
    <w:nsid w:val="380421E4"/>
    <w:multiLevelType w:val="multilevel"/>
    <w:tmpl w:val="EEBC25EA"/>
    <w:lvl w:ilvl="0">
      <w:start w:val="1"/>
      <w:numFmt w:val="decimal"/>
      <w:lvlText w:val="%1"/>
      <w:lvlJc w:val="left"/>
      <w:pPr>
        <w:ind w:left="720" w:hanging="72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tabs>
          <w:tab w:val="num" w:pos="2523"/>
        </w:tabs>
        <w:ind w:left="2523" w:hanging="720"/>
      </w:pPr>
      <w:rPr>
        <w:rFonts w:hint="default"/>
      </w:rPr>
    </w:lvl>
    <w:lvl w:ilvl="4">
      <w:start w:val="1"/>
      <w:numFmt w:val="lowerRoman"/>
      <w:lvlText w:val="(%5)"/>
      <w:lvlJc w:val="left"/>
      <w:pPr>
        <w:tabs>
          <w:tab w:val="num" w:pos="3243"/>
        </w:tabs>
        <w:ind w:left="3243" w:hanging="720"/>
      </w:pPr>
      <w:rPr>
        <w:rFonts w:hint="default"/>
      </w:rPr>
    </w:lvl>
    <w:lvl w:ilvl="5">
      <w:start w:val="1"/>
      <w:numFmt w:val="upperLetter"/>
      <w:lvlText w:val="(%6)"/>
      <w:lvlJc w:val="left"/>
      <w:pPr>
        <w:tabs>
          <w:tab w:val="num" w:pos="3963"/>
        </w:tabs>
        <w:ind w:left="3963" w:hanging="720"/>
      </w:pPr>
      <w:rPr>
        <w:rFonts w:hint="default"/>
      </w:rPr>
    </w:lvl>
    <w:lvl w:ilvl="6">
      <w:start w:val="1"/>
      <w:numFmt w:val="decimal"/>
      <w:lvlText w:val="(%7)"/>
      <w:lvlJc w:val="left"/>
      <w:pPr>
        <w:tabs>
          <w:tab w:val="num" w:pos="4683"/>
        </w:tabs>
        <w:ind w:left="468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8" w15:restartNumberingAfterBreak="0">
    <w:nsid w:val="3825271A"/>
    <w:multiLevelType w:val="multilevel"/>
    <w:tmpl w:val="6B563A06"/>
    <w:styleLink w:val="CurrentList2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93F63CF"/>
    <w:multiLevelType w:val="multilevel"/>
    <w:tmpl w:val="2A4036A4"/>
    <w:styleLink w:val="CurrentList21"/>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3A311CE2"/>
    <w:multiLevelType w:val="multilevel"/>
    <w:tmpl w:val="827C4660"/>
    <w:lvl w:ilvl="0">
      <w:start w:val="1"/>
      <w:numFmt w:val="decimal"/>
      <w:pStyle w:val="ListNumber4"/>
      <w:lvlText w:val="%1."/>
      <w:lvlJc w:val="left"/>
      <w:pPr>
        <w:ind w:left="0" w:firstLine="720"/>
      </w:pPr>
      <w:rPr>
        <w:rFonts w:hint="default"/>
        <w:color w:val="000000"/>
      </w:rPr>
    </w:lvl>
    <w:lvl w:ilvl="1">
      <w:start w:val="1"/>
      <w:numFmt w:val="lowerLetter"/>
      <w:pStyle w:val="BodyTextIndent2"/>
      <w:lvlText w:val="(%2)"/>
      <w:lvlJc w:val="left"/>
      <w:pPr>
        <w:ind w:left="720" w:firstLine="720"/>
      </w:pPr>
      <w:rPr>
        <w:rFonts w:hint="default"/>
        <w:color w:val="000000"/>
      </w:rPr>
    </w:lvl>
    <w:lvl w:ilvl="2">
      <w:start w:val="1"/>
      <w:numFmt w:val="lowerLetter"/>
      <w:pStyle w:val="DefinitionNumbering1"/>
      <w:lvlText w:val="(%3)"/>
      <w:lvlJc w:val="left"/>
      <w:pPr>
        <w:ind w:left="1440" w:firstLine="720"/>
      </w:pPr>
      <w:rPr>
        <w:rFonts w:hint="default"/>
        <w:color w:val="000000"/>
      </w:rPr>
    </w:lvl>
    <w:lvl w:ilvl="3">
      <w:start w:val="1"/>
      <w:numFmt w:val="upperLetter"/>
      <w:pStyle w:val="DefinitionNumbering2"/>
      <w:lvlText w:val="(%4)"/>
      <w:lvlJc w:val="left"/>
      <w:pPr>
        <w:ind w:left="2160" w:firstLine="720"/>
      </w:pPr>
      <w:rPr>
        <w:rFonts w:hint="default"/>
      </w:rPr>
    </w:lvl>
    <w:lvl w:ilvl="4">
      <w:start w:val="1"/>
      <w:numFmt w:val="decimal"/>
      <w:pStyle w:val="DefinitionNumbering3"/>
      <w:lvlText w:val=""/>
      <w:lvlJc w:val="left"/>
      <w:pPr>
        <w:ind w:left="4320" w:hanging="720"/>
      </w:pPr>
      <w:rPr>
        <w:rFonts w:hint="default"/>
        <w:color w:val="000000"/>
      </w:rPr>
    </w:lvl>
    <w:lvl w:ilvl="5">
      <w:start w:val="1"/>
      <w:numFmt w:val="decimal"/>
      <w:pStyle w:val="DefinitionNumbering4"/>
      <w:lvlText w:val=""/>
      <w:lvlJc w:val="left"/>
      <w:pPr>
        <w:ind w:left="5040" w:hanging="720"/>
      </w:pPr>
      <w:rPr>
        <w:rFonts w:hint="default"/>
      </w:rPr>
    </w:lvl>
    <w:lvl w:ilvl="6">
      <w:start w:val="1"/>
      <w:numFmt w:val="decimal"/>
      <w:pStyle w:val="DefinitionNumbering5"/>
      <w:lvlText w:val=""/>
      <w:lvlJc w:val="left"/>
      <w:pPr>
        <w:ind w:left="5760" w:hanging="720"/>
      </w:pPr>
      <w:rPr>
        <w:rFonts w:hint="default"/>
      </w:rPr>
    </w:lvl>
    <w:lvl w:ilvl="7">
      <w:start w:val="1"/>
      <w:numFmt w:val="decimal"/>
      <w:pStyle w:val="DefinitionNumbering6"/>
      <w:lvlText w:val=""/>
      <w:lvlJc w:val="left"/>
      <w:pPr>
        <w:ind w:left="6480" w:hanging="720"/>
      </w:pPr>
      <w:rPr>
        <w:rFonts w:hint="default"/>
      </w:rPr>
    </w:lvl>
    <w:lvl w:ilvl="8">
      <w:start w:val="1"/>
      <w:numFmt w:val="decimal"/>
      <w:pStyle w:val="DefinitionNumbering7"/>
      <w:lvlText w:val=""/>
      <w:lvlJc w:val="left"/>
      <w:pPr>
        <w:ind w:left="7200" w:hanging="720"/>
      </w:pPr>
      <w:rPr>
        <w:rFonts w:hint="default"/>
      </w:rPr>
    </w:lvl>
  </w:abstractNum>
  <w:abstractNum w:abstractNumId="51" w15:restartNumberingAfterBreak="0">
    <w:nsid w:val="3B0D14EF"/>
    <w:multiLevelType w:val="multilevel"/>
    <w:tmpl w:val="B7221F1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2" w15:restartNumberingAfterBreak="0">
    <w:nsid w:val="3B195AFC"/>
    <w:multiLevelType w:val="hybridMultilevel"/>
    <w:tmpl w:val="698EEA60"/>
    <w:lvl w:ilvl="0" w:tplc="C82A73BE">
      <w:start w:val="1"/>
      <w:numFmt w:val="lowerLetter"/>
      <w:lvlText w:val="(%1)"/>
      <w:lvlJc w:val="left"/>
      <w:pPr>
        <w:tabs>
          <w:tab w:val="num" w:pos="2523"/>
        </w:tabs>
        <w:ind w:left="720" w:firstLine="1083"/>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BDD5B1D"/>
    <w:multiLevelType w:val="multilevel"/>
    <w:tmpl w:val="95A080A4"/>
    <w:styleLink w:val="CurrentList9"/>
    <w:lvl w:ilvl="0">
      <w:start w:val="1"/>
      <w:numFmt w:val="decimal"/>
      <w:suff w:val="space"/>
      <w:lvlText w:val="ANNEX %1: "/>
      <w:lvlJc w:val="left"/>
      <w:pPr>
        <w:ind w:left="0"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4" w15:restartNumberingAfterBreak="0">
    <w:nsid w:val="3E226B8E"/>
    <w:multiLevelType w:val="multilevel"/>
    <w:tmpl w:val="CFA81786"/>
    <w:styleLink w:val="MainNumbering"/>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b w:val="0"/>
        <w:bCs w:val="0"/>
        <w:i w:val="0"/>
        <w:iCs w:val="0"/>
      </w:rPr>
    </w:lvl>
    <w:lvl w:ilvl="4">
      <w:start w:val="1"/>
      <w:numFmt w:val="lowerLetter"/>
      <w:lvlText w:val="(%5)"/>
      <w:lvlJc w:val="left"/>
      <w:pPr>
        <w:ind w:left="1440" w:hanging="720"/>
      </w:pPr>
      <w:rPr>
        <w:rFonts w:hint="default"/>
        <w:b w:val="0"/>
        <w:bCs w:val="0"/>
        <w:i w:val="0"/>
        <w:iCs w:val="0"/>
      </w:rPr>
    </w:lvl>
    <w:lvl w:ilvl="5">
      <w:start w:val="1"/>
      <w:numFmt w:val="lowerRoman"/>
      <w:lvlText w:val="(%6)"/>
      <w:lvlJc w:val="left"/>
      <w:pPr>
        <w:ind w:left="2160" w:hanging="720"/>
      </w:pPr>
      <w:rPr>
        <w:rFonts w:hint="default"/>
      </w:rPr>
    </w:lvl>
    <w:lvl w:ilvl="6">
      <w:start w:val="1"/>
      <w:numFmt w:val="upperLetter"/>
      <w:lvlText w:val="(%7)"/>
      <w:lvlJc w:val="left"/>
      <w:pPr>
        <w:ind w:left="288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55" w15:restartNumberingAfterBreak="0">
    <w:nsid w:val="3E4E09B1"/>
    <w:multiLevelType w:val="multilevel"/>
    <w:tmpl w:val="BB2E627A"/>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56" w15:restartNumberingAfterBreak="0">
    <w:nsid w:val="40F40D0C"/>
    <w:multiLevelType w:val="multilevel"/>
    <w:tmpl w:val="6054E688"/>
    <w:lvl w:ilvl="0">
      <w:start w:val="1"/>
      <w:numFmt w:val="decimal"/>
      <w:pStyle w:val="PartHeading"/>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7" w15:restartNumberingAfterBreak="0">
    <w:nsid w:val="41D419C4"/>
    <w:multiLevelType w:val="multilevel"/>
    <w:tmpl w:val="4E7E95D4"/>
    <w:lvl w:ilvl="0">
      <w:start w:val="1"/>
      <w:numFmt w:val="decimal"/>
      <w:pStyle w:val="ListNumber"/>
      <w:lvlText w:val="%1."/>
      <w:lvlJc w:val="left"/>
      <w:pPr>
        <w:ind w:left="0" w:firstLine="720"/>
      </w:pPr>
      <w:rPr>
        <w:color w:val="000000"/>
      </w:rPr>
    </w:lvl>
    <w:lvl w:ilvl="1">
      <w:start w:val="1"/>
      <w:numFmt w:val="lowerLetter"/>
      <w:pStyle w:val="BulletsLevel1"/>
      <w:lvlText w:val="(%2)"/>
      <w:lvlJc w:val="left"/>
      <w:pPr>
        <w:ind w:left="720" w:firstLine="720"/>
      </w:pPr>
      <w:rPr>
        <w:color w:val="000000"/>
      </w:rPr>
    </w:lvl>
    <w:lvl w:ilvl="2">
      <w:start w:val="1"/>
      <w:numFmt w:val="lowerRoman"/>
      <w:pStyle w:val="BulletsLevel2"/>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8" w15:restartNumberingAfterBreak="0">
    <w:nsid w:val="426026F2"/>
    <w:multiLevelType w:val="multilevel"/>
    <w:tmpl w:val="B65C7BB8"/>
    <w:lvl w:ilvl="0">
      <w:start w:val="1"/>
      <w:numFmt w:val="decimal"/>
      <w:pStyle w:val="ScheduleHeading0"/>
      <w:lvlText w:val="%1."/>
      <w:lvlJc w:val="left"/>
      <w:pPr>
        <w:ind w:left="0" w:firstLine="720"/>
      </w:pPr>
      <w:rPr>
        <w:color w:val="000000"/>
      </w:rPr>
    </w:lvl>
    <w:lvl w:ilvl="1">
      <w:start w:val="1"/>
      <w:numFmt w:val="lowerLetter"/>
      <w:pStyle w:val="ScheduleHeading2"/>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9" w15:restartNumberingAfterBreak="0">
    <w:nsid w:val="42B73578"/>
    <w:multiLevelType w:val="hybridMultilevel"/>
    <w:tmpl w:val="EF0A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3F41B57"/>
    <w:multiLevelType w:val="multilevel"/>
    <w:tmpl w:val="150E29A0"/>
    <w:styleLink w:val="CurrentList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1" w15:restartNumberingAfterBreak="0">
    <w:nsid w:val="46C10EF5"/>
    <w:multiLevelType w:val="multilevel"/>
    <w:tmpl w:val="3BE4F710"/>
    <w:styleLink w:val="CurrentList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3" w15:restartNumberingAfterBreak="0">
    <w:nsid w:val="47F3024F"/>
    <w:multiLevelType w:val="multilevel"/>
    <w:tmpl w:val="8E4A4E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4" w15:restartNumberingAfterBreak="0">
    <w:nsid w:val="4986601A"/>
    <w:multiLevelType w:val="multilevel"/>
    <w:tmpl w:val="4684A636"/>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5" w15:restartNumberingAfterBreak="0">
    <w:nsid w:val="4BA13652"/>
    <w:multiLevelType w:val="multilevel"/>
    <w:tmpl w:val="5F3017F4"/>
    <w:lvl w:ilvl="0">
      <w:start w:val="1"/>
      <w:numFmt w:val="decimal"/>
      <w:pStyle w:val="ListBullet1"/>
      <w:lvlText w:val="%1."/>
      <w:lvlJc w:val="left"/>
      <w:pPr>
        <w:ind w:left="0" w:firstLine="720"/>
      </w:pPr>
      <w:rPr>
        <w:color w:val="000000"/>
      </w:rPr>
    </w:lvl>
    <w:lvl w:ilvl="1">
      <w:start w:val="1"/>
      <w:numFmt w:val="lowerLetter"/>
      <w:pStyle w:val="ListBullet2"/>
      <w:lvlText w:val="(%2)"/>
      <w:lvlJc w:val="left"/>
      <w:pPr>
        <w:ind w:left="720" w:firstLine="720"/>
      </w:pPr>
      <w:rPr>
        <w:color w:val="000000"/>
      </w:rPr>
    </w:lvl>
    <w:lvl w:ilvl="2">
      <w:start w:val="1"/>
      <w:numFmt w:val="lowerRoman"/>
      <w:pStyle w:val="ListBullet3"/>
      <w:lvlText w:val="(%3)"/>
      <w:lvlJc w:val="left"/>
      <w:pPr>
        <w:ind w:left="1440" w:firstLine="720"/>
      </w:pPr>
      <w:rPr>
        <w:color w:val="000000"/>
      </w:rPr>
    </w:lvl>
    <w:lvl w:ilvl="3">
      <w:start w:val="1"/>
      <w:numFmt w:val="upperLetter"/>
      <w:pStyle w:val="ListBullet4"/>
      <w:lvlText w:val="(%4)"/>
      <w:lvlJc w:val="left"/>
      <w:pPr>
        <w:ind w:left="2160" w:firstLine="720"/>
      </w:pPr>
    </w:lvl>
    <w:lvl w:ilvl="4">
      <w:start w:val="1"/>
      <w:numFmt w:val="decimal"/>
      <w:pStyle w:val="ListBullet5"/>
      <w:lvlText w:val=""/>
      <w:lvlJc w:val="left"/>
      <w:pPr>
        <w:ind w:left="4320" w:hanging="720"/>
      </w:pPr>
      <w:rPr>
        <w:color w:val="000000"/>
      </w:rPr>
    </w:lvl>
    <w:lvl w:ilvl="5">
      <w:start w:val="1"/>
      <w:numFmt w:val="decimal"/>
      <w:pStyle w:val="ListBullet6"/>
      <w:lvlText w:val=""/>
      <w:lvlJc w:val="left"/>
      <w:pPr>
        <w:ind w:left="5040" w:hanging="720"/>
      </w:pPr>
    </w:lvl>
    <w:lvl w:ilvl="6">
      <w:start w:val="1"/>
      <w:numFmt w:val="decimal"/>
      <w:pStyle w:val="ListBullet7"/>
      <w:lvlText w:val=""/>
      <w:lvlJc w:val="left"/>
      <w:pPr>
        <w:ind w:left="5760" w:hanging="720"/>
      </w:pPr>
    </w:lvl>
    <w:lvl w:ilvl="7">
      <w:start w:val="1"/>
      <w:numFmt w:val="decimal"/>
      <w:pStyle w:val="ListBullet8"/>
      <w:lvlText w:val=""/>
      <w:lvlJc w:val="left"/>
      <w:pPr>
        <w:ind w:left="6480" w:hanging="720"/>
      </w:pPr>
    </w:lvl>
    <w:lvl w:ilvl="8">
      <w:start w:val="1"/>
      <w:numFmt w:val="decimal"/>
      <w:pStyle w:val="ListBullet9"/>
      <w:lvlText w:val=""/>
      <w:lvlJc w:val="left"/>
      <w:pPr>
        <w:ind w:left="7200" w:hanging="720"/>
      </w:pPr>
    </w:lvl>
  </w:abstractNum>
  <w:abstractNum w:abstractNumId="66" w15:restartNumberingAfterBreak="0">
    <w:nsid w:val="4BCA56B4"/>
    <w:multiLevelType w:val="multilevel"/>
    <w:tmpl w:val="F30EEC38"/>
    <w:lvl w:ilvl="0">
      <w:start w:val="1"/>
      <w:numFmt w:val="decimal"/>
      <w:pStyle w:val="bulletsrightcolumn"/>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15:restartNumberingAfterBreak="0">
    <w:nsid w:val="4E1F4B45"/>
    <w:multiLevelType w:val="multilevel"/>
    <w:tmpl w:val="BEAC7C8C"/>
    <w:lvl w:ilvl="0">
      <w:start w:val="1"/>
      <w:numFmt w:val="decimal"/>
      <w:pStyle w:val="Bullet1"/>
      <w:lvlText w:val="%1."/>
      <w:lvlJc w:val="left"/>
      <w:pPr>
        <w:ind w:left="0" w:firstLine="720"/>
      </w:pPr>
      <w:rPr>
        <w:color w:val="000000"/>
      </w:rPr>
    </w:lvl>
    <w:lvl w:ilvl="1">
      <w:start w:val="1"/>
      <w:numFmt w:val="lowerLetter"/>
      <w:pStyle w:val="Bullet2"/>
      <w:lvlText w:val="(%2)"/>
      <w:lvlJc w:val="left"/>
      <w:pPr>
        <w:ind w:left="720" w:firstLine="720"/>
      </w:pPr>
      <w:rPr>
        <w:color w:val="000000"/>
      </w:rPr>
    </w:lvl>
    <w:lvl w:ilvl="2">
      <w:start w:val="1"/>
      <w:numFmt w:val="lowerRoman"/>
      <w:pStyle w:val="Bullet3"/>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8" w15:restartNumberingAfterBreak="0">
    <w:nsid w:val="4F9E1355"/>
    <w:multiLevelType w:val="multilevel"/>
    <w:tmpl w:val="D124D9F0"/>
    <w:styleLink w:val="CurrentList2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50ED512F"/>
    <w:multiLevelType w:val="multilevel"/>
    <w:tmpl w:val="7DBCF568"/>
    <w:lvl w:ilvl="0">
      <w:start w:val="1"/>
      <w:numFmt w:val="decimal"/>
      <w:pStyle w:val="PartiesBodyText"/>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0" w15:restartNumberingAfterBreak="0">
    <w:nsid w:val="53E6591E"/>
    <w:multiLevelType w:val="multilevel"/>
    <w:tmpl w:val="4DD65CE2"/>
    <w:lvl w:ilvl="0">
      <w:start w:val="1"/>
      <w:numFmt w:val="decimal"/>
      <w:pStyle w:val="MFPara-Clause"/>
      <w:lvlText w:val="%1."/>
      <w:lvlJc w:val="left"/>
      <w:pPr>
        <w:ind w:left="851" w:hanging="851"/>
      </w:pPr>
      <w:rPr>
        <w:b/>
        <w:color w:val="54534A"/>
      </w:rPr>
    </w:lvl>
    <w:lvl w:ilvl="1">
      <w:start w:val="1"/>
      <w:numFmt w:val="decimal"/>
      <w:pStyle w:val="MFParasubclause1"/>
      <w:lvlText w:val="%1.%2"/>
      <w:lvlJc w:val="left"/>
      <w:pPr>
        <w:ind w:left="851" w:hanging="851"/>
      </w:pPr>
      <w:rPr>
        <w:b w:val="0"/>
        <w:i w:val="0"/>
        <w:u w:val="none"/>
      </w:rPr>
    </w:lvl>
    <w:lvl w:ilvl="2">
      <w:start w:val="1"/>
      <w:numFmt w:val="decimal"/>
      <w:pStyle w:val="MFParasubclause2"/>
      <w:lvlText w:val="%1.%2.%3"/>
      <w:lvlJc w:val="left"/>
      <w:pPr>
        <w:ind w:left="1843" w:hanging="991"/>
      </w:pPr>
      <w:rPr>
        <w:b w:val="0"/>
        <w:i w:val="0"/>
        <w:u w:val="none"/>
      </w:rPr>
    </w:lvl>
    <w:lvl w:ilvl="3">
      <w:start w:val="1"/>
      <w:numFmt w:val="decimal"/>
      <w:pStyle w:val="MFParasubclause3"/>
      <w:lvlText w:val="%1.%2.%3.%4"/>
      <w:lvlJc w:val="left"/>
      <w:pPr>
        <w:ind w:left="3119" w:hanging="1276"/>
      </w:pPr>
      <w:rPr>
        <w:b w:val="0"/>
        <w:i w:val="0"/>
        <w:u w:val="none"/>
      </w:rPr>
    </w:lvl>
    <w:lvl w:ilvl="4">
      <w:start w:val="1"/>
      <w:numFmt w:val="lowerLetter"/>
      <w:pStyle w:val="MFParasubclause4"/>
      <w:lvlText w:val="(%5)"/>
      <w:lvlJc w:val="left"/>
      <w:pPr>
        <w:ind w:left="3119" w:hanging="1276"/>
      </w:pPr>
      <w:rPr>
        <w:b w:val="0"/>
        <w:i w:val="0"/>
        <w:u w:val="none"/>
      </w:rPr>
    </w:lvl>
    <w:lvl w:ilvl="5">
      <w:start w:val="1"/>
      <w:numFmt w:val="decimal"/>
      <w:lvlText w:val="(%6)"/>
      <w:lvlJc w:val="left"/>
      <w:pPr>
        <w:ind w:left="3686" w:hanging="566"/>
      </w:pPr>
    </w:lvl>
    <w:lvl w:ilvl="6">
      <w:start w:val="1"/>
      <w:numFmt w:val="upperLetter"/>
      <w:lvlText w:val="(%7)"/>
      <w:lvlJc w:val="left"/>
      <w:pPr>
        <w:ind w:left="4253" w:hanging="567"/>
      </w:pPr>
    </w:lvl>
    <w:lvl w:ilvl="7">
      <w:start w:val="1"/>
      <w:numFmt w:val="decimal"/>
      <w:lvlText w:val="(Not Defined)"/>
      <w:lvlJc w:val="left"/>
      <w:pPr>
        <w:ind w:left="3744" w:hanging="1224"/>
      </w:pPr>
    </w:lvl>
    <w:lvl w:ilvl="8">
      <w:start w:val="1"/>
      <w:numFmt w:val="decimal"/>
      <w:lvlText w:val="(Not Defined)"/>
      <w:lvlJc w:val="left"/>
      <w:pPr>
        <w:ind w:left="4320" w:hanging="1440"/>
      </w:pPr>
    </w:lvl>
  </w:abstractNum>
  <w:abstractNum w:abstractNumId="71" w15:restartNumberingAfterBreak="0">
    <w:nsid w:val="55986E84"/>
    <w:multiLevelType w:val="multilevel"/>
    <w:tmpl w:val="696E0CE2"/>
    <w:name w:val="SchHead Numbering List"/>
    <w:lvl w:ilvl="0">
      <w:start w:val="2"/>
      <w:numFmt w:val="decimal"/>
      <w:lvlText w:val="%1"/>
      <w:lvlJc w:val="left"/>
      <w:pPr>
        <w:ind w:left="1021" w:hanging="721"/>
      </w:pPr>
      <w:rPr>
        <w:rFonts w:hint="default"/>
        <w:lang w:val="en-US" w:eastAsia="en-US" w:bidi="en-US"/>
      </w:rPr>
    </w:lvl>
    <w:lvl w:ilvl="1">
      <w:start w:val="3"/>
      <w:numFmt w:val="decimal"/>
      <w:lvlText w:val="%1.%2"/>
      <w:lvlJc w:val="left"/>
      <w:pPr>
        <w:ind w:left="1021" w:hanging="721"/>
      </w:pPr>
      <w:rPr>
        <w:rFonts w:ascii="Arial" w:eastAsia="Arial" w:hAnsi="Arial" w:cs="Arial" w:hint="default"/>
        <w:spacing w:val="-2"/>
        <w:w w:val="99"/>
        <w:sz w:val="24"/>
        <w:szCs w:val="24"/>
        <w:lang w:val="en-US" w:eastAsia="en-US" w:bidi="en-US"/>
      </w:rPr>
    </w:lvl>
    <w:lvl w:ilvl="2">
      <w:start w:val="1"/>
      <w:numFmt w:val="lowerLetter"/>
      <w:lvlText w:val="(%3)"/>
      <w:lvlJc w:val="left"/>
      <w:pPr>
        <w:ind w:left="2106" w:hanging="1086"/>
      </w:pPr>
      <w:rPr>
        <w:rFonts w:ascii="Arial" w:eastAsia="Arial" w:hAnsi="Arial" w:cs="Arial" w:hint="default"/>
        <w:spacing w:val="-6"/>
        <w:w w:val="99"/>
        <w:sz w:val="24"/>
        <w:szCs w:val="24"/>
        <w:lang w:val="en-US" w:eastAsia="en-US" w:bidi="en-US"/>
      </w:rPr>
    </w:lvl>
    <w:lvl w:ilvl="3">
      <w:numFmt w:val="bullet"/>
      <w:lvlText w:val="•"/>
      <w:lvlJc w:val="left"/>
      <w:pPr>
        <w:ind w:left="3760" w:hanging="1086"/>
      </w:pPr>
      <w:rPr>
        <w:rFonts w:hint="default"/>
        <w:lang w:val="en-US" w:eastAsia="en-US" w:bidi="en-US"/>
      </w:rPr>
    </w:lvl>
    <w:lvl w:ilvl="4">
      <w:numFmt w:val="bullet"/>
      <w:lvlText w:val="•"/>
      <w:lvlJc w:val="left"/>
      <w:pPr>
        <w:ind w:left="4590" w:hanging="1086"/>
      </w:pPr>
      <w:rPr>
        <w:rFonts w:hint="default"/>
        <w:lang w:val="en-US" w:eastAsia="en-US" w:bidi="en-US"/>
      </w:rPr>
    </w:lvl>
    <w:lvl w:ilvl="5">
      <w:numFmt w:val="bullet"/>
      <w:lvlText w:val="•"/>
      <w:lvlJc w:val="left"/>
      <w:pPr>
        <w:ind w:left="5420" w:hanging="1086"/>
      </w:pPr>
      <w:rPr>
        <w:rFonts w:hint="default"/>
        <w:lang w:val="en-US" w:eastAsia="en-US" w:bidi="en-US"/>
      </w:rPr>
    </w:lvl>
    <w:lvl w:ilvl="6">
      <w:numFmt w:val="bullet"/>
      <w:lvlText w:val="•"/>
      <w:lvlJc w:val="left"/>
      <w:pPr>
        <w:ind w:left="6250" w:hanging="1086"/>
      </w:pPr>
      <w:rPr>
        <w:rFonts w:hint="default"/>
        <w:lang w:val="en-US" w:eastAsia="en-US" w:bidi="en-US"/>
      </w:rPr>
    </w:lvl>
    <w:lvl w:ilvl="7">
      <w:numFmt w:val="bullet"/>
      <w:lvlText w:val="•"/>
      <w:lvlJc w:val="left"/>
      <w:pPr>
        <w:ind w:left="7080" w:hanging="1086"/>
      </w:pPr>
      <w:rPr>
        <w:rFonts w:hint="default"/>
        <w:lang w:val="en-US" w:eastAsia="en-US" w:bidi="en-US"/>
      </w:rPr>
    </w:lvl>
    <w:lvl w:ilvl="8">
      <w:numFmt w:val="bullet"/>
      <w:lvlText w:val="•"/>
      <w:lvlJc w:val="left"/>
      <w:pPr>
        <w:ind w:left="7910" w:hanging="1086"/>
      </w:pPr>
      <w:rPr>
        <w:rFonts w:hint="default"/>
        <w:lang w:val="en-US" w:eastAsia="en-US" w:bidi="en-US"/>
      </w:rPr>
    </w:lvl>
  </w:abstractNum>
  <w:abstractNum w:abstractNumId="72" w15:restartNumberingAfterBreak="0">
    <w:nsid w:val="56293D48"/>
    <w:multiLevelType w:val="multilevel"/>
    <w:tmpl w:val="8BEC6E02"/>
    <w:styleLink w:val="CurrentList30"/>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3" w15:restartNumberingAfterBreak="0">
    <w:nsid w:val="570F3306"/>
    <w:multiLevelType w:val="multilevel"/>
    <w:tmpl w:val="40EC0B2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4" w15:restartNumberingAfterBreak="0">
    <w:nsid w:val="57E35B15"/>
    <w:multiLevelType w:val="multilevel"/>
    <w:tmpl w:val="961C3DB8"/>
    <w:styleLink w:val="CurrentList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1080" w:hanging="36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15:restartNumberingAfterBreak="0">
    <w:nsid w:val="58267102"/>
    <w:multiLevelType w:val="multilevel"/>
    <w:tmpl w:val="4776F8D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6" w15:restartNumberingAfterBreak="0">
    <w:nsid w:val="593A521D"/>
    <w:multiLevelType w:val="multilevel"/>
    <w:tmpl w:val="16D66F82"/>
    <w:styleLink w:val="CurrentList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989341D"/>
    <w:multiLevelType w:val="multilevel"/>
    <w:tmpl w:val="99503580"/>
    <w:lvl w:ilvl="0">
      <w:start w:val="1"/>
      <w:numFmt w:val="decimal"/>
      <w:pStyle w:val="Numbered1"/>
      <w:lvlText w:val="%1."/>
      <w:lvlJc w:val="left"/>
      <w:pPr>
        <w:tabs>
          <w:tab w:val="num" w:pos="720"/>
        </w:tabs>
        <w:ind w:left="720" w:hanging="720"/>
      </w:pPr>
      <w:rPr>
        <w:rFonts w:hint="default"/>
      </w:rPr>
    </w:lvl>
    <w:lvl w:ilvl="1">
      <w:start w:val="1"/>
      <w:numFmt w:val="decimal"/>
      <w:pStyle w:val="Numbered11"/>
      <w:lvlText w:val="%1.%2"/>
      <w:lvlJc w:val="left"/>
      <w:pPr>
        <w:tabs>
          <w:tab w:val="num" w:pos="720"/>
        </w:tabs>
        <w:ind w:left="720" w:hanging="720"/>
      </w:pPr>
      <w:rPr>
        <w:rFonts w:hint="default"/>
      </w:rPr>
    </w:lvl>
    <w:lvl w:ilvl="2">
      <w:start w:val="1"/>
      <w:numFmt w:val="decimal"/>
      <w:pStyle w:val="Numbered111"/>
      <w:lvlText w:val="%1.%2.%3"/>
      <w:lvlJc w:val="left"/>
      <w:pPr>
        <w:tabs>
          <w:tab w:val="num" w:pos="1800"/>
        </w:tabs>
        <w:ind w:left="1800" w:hanging="1080"/>
      </w:pPr>
      <w:rPr>
        <w:rFonts w:hint="default"/>
      </w:rPr>
    </w:lvl>
    <w:lvl w:ilvl="3">
      <w:start w:val="1"/>
      <w:numFmt w:val="lowerLetter"/>
      <w:pStyle w:val="Numbered111a"/>
      <w:lvlText w:val="(%4)"/>
      <w:lvlJc w:val="left"/>
      <w:pPr>
        <w:tabs>
          <w:tab w:val="num" w:pos="2520"/>
        </w:tabs>
        <w:ind w:left="2520" w:hanging="720"/>
      </w:pPr>
      <w:rPr>
        <w:rFonts w:hint="default"/>
      </w:rPr>
    </w:lvl>
    <w:lvl w:ilvl="4">
      <w:start w:val="1"/>
      <w:numFmt w:val="lowerRoman"/>
      <w:pStyle w:val="Numbered111ai"/>
      <w:lvlText w:val="(%5)"/>
      <w:lvlJc w:val="left"/>
      <w:pPr>
        <w:tabs>
          <w:tab w:val="num" w:pos="3240"/>
        </w:tabs>
        <w:ind w:left="3240" w:hanging="720"/>
      </w:pPr>
      <w:rPr>
        <w:rFonts w:hint="default"/>
      </w:rPr>
    </w:lvl>
    <w:lvl w:ilvl="5">
      <w:start w:val="1"/>
      <w:numFmt w:val="upperLetter"/>
      <w:pStyle w:val="Numbered111aiA"/>
      <w:lvlText w:val="(%6)"/>
      <w:lvlJc w:val="left"/>
      <w:pPr>
        <w:tabs>
          <w:tab w:val="num" w:pos="3960"/>
        </w:tabs>
        <w:ind w:left="396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8" w15:restartNumberingAfterBreak="0">
    <w:nsid w:val="59CD6177"/>
    <w:multiLevelType w:val="multilevel"/>
    <w:tmpl w:val="FD2E5FEA"/>
    <w:name w:val="Appendicies Heading List2"/>
    <w:lvl w:ilvl="0">
      <w:start w:val="1"/>
      <w:numFmt w:val="decimal"/>
      <w:suff w:val="space"/>
      <w:lvlText w:val="ANNEX %1"/>
      <w:lvlJc w:val="left"/>
      <w:pPr>
        <w:ind w:left="0" w:firstLine="0"/>
      </w:pPr>
      <w:rPr>
        <w:rFonts w:hint="default"/>
        <w:caps w:val="0"/>
        <w:effect w:val="none"/>
      </w:rPr>
    </w:lvl>
    <w:lvl w:ilvl="1">
      <w:start w:val="1"/>
      <w:numFmt w:val="upperLetter"/>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79" w15:restartNumberingAfterBreak="0">
    <w:nsid w:val="5B1B6F72"/>
    <w:multiLevelType w:val="multilevel"/>
    <w:tmpl w:val="5F0A7A9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0" w15:restartNumberingAfterBreak="0">
    <w:nsid w:val="5B7431F0"/>
    <w:multiLevelType w:val="multilevel"/>
    <w:tmpl w:val="73A4DED2"/>
    <w:name w:val="SchHead Numbering List"/>
    <w:lvl w:ilvl="0">
      <w:start w:val="1"/>
      <w:numFmt w:val="decimal"/>
      <w:suff w:val="space"/>
      <w:lvlText w:val="SCHEDULE %1"/>
      <w:lvlJc w:val="left"/>
      <w:pPr>
        <w:ind w:left="0" w:firstLine="0"/>
      </w:pPr>
      <w:rPr>
        <w:rFonts w:hint="default"/>
        <w:caps w:val="0"/>
        <w:effect w:val="none"/>
      </w:rPr>
    </w:lvl>
    <w:lvl w:ilvl="1">
      <w:start w:val="1"/>
      <w:numFmt w:val="upperLetter"/>
      <w:suff w:val="space"/>
      <w:lvlText w:val="Part %2"/>
      <w:lvlJc w:val="left"/>
      <w:pPr>
        <w:ind w:left="0" w:firstLine="0"/>
      </w:pPr>
      <w:rPr>
        <w:rFonts w:hint="default"/>
        <w:b/>
        <w:bCs/>
        <w:caps w:val="0"/>
        <w:effect w:val="none"/>
      </w:rPr>
    </w:lvl>
    <w:lvl w:ilvl="2">
      <w:start w:val="1"/>
      <w:numFmt w:val="decimal"/>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BF500BC"/>
    <w:multiLevelType w:val="multilevel"/>
    <w:tmpl w:val="03E2477A"/>
    <w:styleLink w:val="CurrentList15"/>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2" w15:restartNumberingAfterBreak="0">
    <w:nsid w:val="5CB67CDE"/>
    <w:multiLevelType w:val="multilevel"/>
    <w:tmpl w:val="150E29A0"/>
    <w:styleLink w:val="CurrentList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3" w15:restartNumberingAfterBreak="0">
    <w:nsid w:val="605C7446"/>
    <w:multiLevelType w:val="multilevel"/>
    <w:tmpl w:val="EAEE6AF4"/>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84" w15:restartNumberingAfterBreak="0">
    <w:nsid w:val="62355241"/>
    <w:multiLevelType w:val="multilevel"/>
    <w:tmpl w:val="BF04985C"/>
    <w:lvl w:ilvl="0">
      <w:start w:val="1"/>
      <w:numFmt w:val="decimal"/>
      <w:pStyle w:val="AnnexHeading"/>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5" w15:restartNumberingAfterBreak="0">
    <w:nsid w:val="62954985"/>
    <w:multiLevelType w:val="multilevel"/>
    <w:tmpl w:val="6D44475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6" w15:restartNumberingAfterBreak="0">
    <w:nsid w:val="636F5CB0"/>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7" w15:restartNumberingAfterBreak="0">
    <w:nsid w:val="659A1E80"/>
    <w:multiLevelType w:val="multilevel"/>
    <w:tmpl w:val="0E66D46C"/>
    <w:styleLink w:val="CurrentList10"/>
    <w:lvl w:ilvl="0">
      <w:start w:val="1"/>
      <w:numFmt w:val="decimal"/>
      <w:suff w:val="space"/>
      <w:lvlText w:val="ANNEX %1: "/>
      <w:lvlJc w:val="left"/>
      <w:pPr>
        <w:ind w:left="0" w:firstLine="0"/>
      </w:pPr>
      <w:rPr>
        <w:rFonts w:hint="default"/>
        <w:caps w:val="0"/>
        <w:effect w:val="none"/>
      </w:rPr>
    </w:lvl>
    <w:lvl w:ilvl="1">
      <w:start w:val="1"/>
      <w:numFmt w:val="upperLetter"/>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88" w15:restartNumberingAfterBreak="0">
    <w:nsid w:val="683A39AC"/>
    <w:multiLevelType w:val="multilevel"/>
    <w:tmpl w:val="8886E29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9" w15:restartNumberingAfterBreak="0">
    <w:nsid w:val="6A5C26DB"/>
    <w:multiLevelType w:val="multilevel"/>
    <w:tmpl w:val="B010F05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0" w15:restartNumberingAfterBreak="0">
    <w:nsid w:val="6D952FD6"/>
    <w:multiLevelType w:val="multilevel"/>
    <w:tmpl w:val="8688B3EC"/>
    <w:styleLink w:val="CurrentList1"/>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6E2E322A"/>
    <w:multiLevelType w:val="multilevel"/>
    <w:tmpl w:val="71CE5942"/>
    <w:lvl w:ilvl="0">
      <w:start w:val="1"/>
      <w:numFmt w:val="decimal"/>
      <w:pStyle w:val="AppHead"/>
      <w:lvlText w:val="%1."/>
      <w:lvlJc w:val="left"/>
      <w:pPr>
        <w:ind w:left="0" w:firstLine="720"/>
      </w:pPr>
      <w:rPr>
        <w:color w:val="000000"/>
      </w:rPr>
    </w:lvl>
    <w:lvl w:ilvl="1">
      <w:start w:val="1"/>
      <w:numFmt w:val="lowerLetter"/>
      <w:pStyle w:val="AppPart"/>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2" w15:restartNumberingAfterBreak="0">
    <w:nsid w:val="6EBE4918"/>
    <w:multiLevelType w:val="multilevel"/>
    <w:tmpl w:val="1130A340"/>
    <w:lvl w:ilvl="0">
      <w:start w:val="1"/>
      <w:numFmt w:val="decimal"/>
      <w:pStyle w:val="AppendixText1"/>
      <w:lvlText w:val="%1."/>
      <w:lvlJc w:val="left"/>
      <w:pPr>
        <w:tabs>
          <w:tab w:val="num" w:pos="720"/>
        </w:tabs>
        <w:ind w:left="720" w:hanging="720"/>
      </w:pPr>
      <w:rPr>
        <w:rFonts w:hint="default"/>
      </w:rPr>
    </w:lvl>
    <w:lvl w:ilvl="1">
      <w:start w:val="1"/>
      <w:numFmt w:val="decimal"/>
      <w:pStyle w:val="AppendixText2"/>
      <w:lvlText w:val="%1.%2"/>
      <w:lvlJc w:val="left"/>
      <w:pPr>
        <w:tabs>
          <w:tab w:val="num" w:pos="720"/>
        </w:tabs>
        <w:ind w:left="720" w:hanging="720"/>
      </w:pPr>
      <w:rPr>
        <w:rFonts w:hint="default"/>
      </w:rPr>
    </w:lvl>
    <w:lvl w:ilvl="2">
      <w:start w:val="1"/>
      <w:numFmt w:val="decimal"/>
      <w:pStyle w:val="AppendixText3"/>
      <w:lvlText w:val="%1.%2.%3"/>
      <w:lvlJc w:val="left"/>
      <w:pPr>
        <w:tabs>
          <w:tab w:val="num" w:pos="1800"/>
        </w:tabs>
        <w:ind w:left="1800" w:hanging="1080"/>
      </w:pPr>
      <w:rPr>
        <w:rFonts w:hint="default"/>
      </w:rPr>
    </w:lvl>
    <w:lvl w:ilvl="3">
      <w:start w:val="1"/>
      <w:numFmt w:val="lowerLetter"/>
      <w:pStyle w:val="AppendixText4"/>
      <w:lvlText w:val="(%4)"/>
      <w:lvlJc w:val="left"/>
      <w:pPr>
        <w:tabs>
          <w:tab w:val="num" w:pos="2520"/>
        </w:tabs>
        <w:ind w:left="252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3" w15:restartNumberingAfterBreak="0">
    <w:nsid w:val="6FDD44B5"/>
    <w:multiLevelType w:val="multilevel"/>
    <w:tmpl w:val="3BB4B43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4" w15:restartNumberingAfterBreak="0">
    <w:nsid w:val="70745A4E"/>
    <w:multiLevelType w:val="multilevel"/>
    <w:tmpl w:val="31528F56"/>
    <w:lvl w:ilvl="0">
      <w:start w:val="1"/>
      <w:numFmt w:val="decimal"/>
      <w:pStyle w:val="DefinitionList"/>
      <w:lvlText w:val="%1."/>
      <w:lvlJc w:val="left"/>
      <w:pPr>
        <w:ind w:left="0" w:firstLine="720"/>
      </w:pPr>
      <w:rPr>
        <w:color w:val="000000"/>
      </w:rPr>
    </w:lvl>
    <w:lvl w:ilvl="1">
      <w:start w:val="1"/>
      <w:numFmt w:val="lowerLetter"/>
      <w:pStyle w:val="DefinitionListLevel1"/>
      <w:lvlText w:val="(%2)"/>
      <w:lvlJc w:val="left"/>
      <w:pPr>
        <w:ind w:left="720" w:firstLine="720"/>
      </w:pPr>
      <w:rPr>
        <w:color w:val="000000"/>
      </w:rPr>
    </w:lvl>
    <w:lvl w:ilvl="2">
      <w:start w:val="1"/>
      <w:numFmt w:val="lowerRoman"/>
      <w:pStyle w:val="DefinitionListLevel2"/>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5" w15:restartNumberingAfterBreak="0">
    <w:nsid w:val="72615230"/>
    <w:multiLevelType w:val="multilevel"/>
    <w:tmpl w:val="830E406A"/>
    <w:lvl w:ilvl="0">
      <w:start w:val="1"/>
      <w:numFmt w:val="decimal"/>
      <w:pStyle w:val="ScheduleL1"/>
      <w:lvlText w:val="%1."/>
      <w:lvlJc w:val="left"/>
      <w:pPr>
        <w:ind w:left="0" w:firstLine="720"/>
      </w:pPr>
      <w:rPr>
        <w:color w:val="000000"/>
      </w:rPr>
    </w:lvl>
    <w:lvl w:ilvl="1">
      <w:start w:val="1"/>
      <w:numFmt w:val="lowerLetter"/>
      <w:pStyle w:val="ScheduleL2"/>
      <w:lvlText w:val="(%2)"/>
      <w:lvlJc w:val="left"/>
      <w:pPr>
        <w:ind w:left="720" w:firstLine="720"/>
      </w:pPr>
      <w:rPr>
        <w:color w:val="000000"/>
      </w:rPr>
    </w:lvl>
    <w:lvl w:ilvl="2">
      <w:start w:val="1"/>
      <w:numFmt w:val="lowerRoman"/>
      <w:pStyle w:val="ScheduleL3"/>
      <w:lvlText w:val="(%3)"/>
      <w:lvlJc w:val="left"/>
      <w:pPr>
        <w:ind w:left="1440" w:firstLine="720"/>
      </w:pPr>
      <w:rPr>
        <w:color w:val="000000"/>
      </w:rPr>
    </w:lvl>
    <w:lvl w:ilvl="3">
      <w:start w:val="1"/>
      <w:numFmt w:val="upperLetter"/>
      <w:pStyle w:val="ScheduleL4"/>
      <w:lvlText w:val="(%4)"/>
      <w:lvlJc w:val="left"/>
      <w:pPr>
        <w:ind w:left="2160" w:firstLine="720"/>
      </w:pPr>
    </w:lvl>
    <w:lvl w:ilvl="4">
      <w:start w:val="1"/>
      <w:numFmt w:val="decimal"/>
      <w:pStyle w:val="ScheduleL5"/>
      <w:lvlText w:val=""/>
      <w:lvlJc w:val="left"/>
      <w:pPr>
        <w:ind w:left="4320" w:hanging="720"/>
      </w:pPr>
      <w:rPr>
        <w:color w:val="000000"/>
      </w:rPr>
    </w:lvl>
    <w:lvl w:ilvl="5">
      <w:start w:val="1"/>
      <w:numFmt w:val="decimal"/>
      <w:pStyle w:val="ScheduleL6"/>
      <w:lvlText w:val=""/>
      <w:lvlJc w:val="left"/>
      <w:pPr>
        <w:ind w:left="5040" w:hanging="720"/>
      </w:pPr>
    </w:lvl>
    <w:lvl w:ilvl="6">
      <w:start w:val="1"/>
      <w:numFmt w:val="decimal"/>
      <w:pStyle w:val="ScheduleL7"/>
      <w:lvlText w:val=""/>
      <w:lvlJc w:val="left"/>
      <w:pPr>
        <w:ind w:left="5760" w:hanging="720"/>
      </w:pPr>
    </w:lvl>
    <w:lvl w:ilvl="7">
      <w:start w:val="1"/>
      <w:numFmt w:val="decimal"/>
      <w:pStyle w:val="ScheduleL8"/>
      <w:lvlText w:val=""/>
      <w:lvlJc w:val="left"/>
      <w:pPr>
        <w:ind w:left="6480" w:hanging="720"/>
      </w:pPr>
    </w:lvl>
    <w:lvl w:ilvl="8">
      <w:start w:val="1"/>
      <w:numFmt w:val="decimal"/>
      <w:pStyle w:val="ScheduleL9"/>
      <w:lvlText w:val=""/>
      <w:lvlJc w:val="left"/>
      <w:pPr>
        <w:ind w:left="7200" w:hanging="720"/>
      </w:pPr>
    </w:lvl>
  </w:abstractNum>
  <w:abstractNum w:abstractNumId="96" w15:restartNumberingAfterBreak="0">
    <w:nsid w:val="72E22A43"/>
    <w:multiLevelType w:val="multilevel"/>
    <w:tmpl w:val="1DC8D016"/>
    <w:lvl w:ilvl="0">
      <w:start w:val="1"/>
      <w:numFmt w:val="decimal"/>
      <w:pStyle w:val="tickbulletrightcolumn"/>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rPr>
        <w:b w:val="0"/>
      </w:r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97" w15:restartNumberingAfterBreak="0">
    <w:nsid w:val="73206998"/>
    <w:multiLevelType w:val="multilevel"/>
    <w:tmpl w:val="84400828"/>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8" w15:restartNumberingAfterBreak="0">
    <w:nsid w:val="73280379"/>
    <w:multiLevelType w:val="multilevel"/>
    <w:tmpl w:val="B6F20FD4"/>
    <w:lvl w:ilvl="0">
      <w:start w:val="1"/>
      <w:numFmt w:val="decimal"/>
      <w:pStyle w:val="ListNumber5"/>
      <w:lvlText w:val="%1."/>
      <w:lvlJc w:val="left"/>
      <w:pPr>
        <w:ind w:left="360" w:hanging="360"/>
      </w:pPr>
      <w:rPr>
        <w:rFonts w:ascii="Verdana" w:eastAsia="Verdana" w:hAnsi="Verdana" w:cs="Verdan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22"/>
        <w:szCs w:val="22"/>
        <w:u w:val="none"/>
        <w:shd w:val="clear" w:color="auto" w:fill="auto"/>
        <w:vertAlign w:val="baseline"/>
      </w:rPr>
    </w:lvl>
    <w:lvl w:ilvl="7">
      <w:start w:val="1"/>
      <w:numFmt w:val="lowerLetter"/>
      <w:pStyle w:val="DefinitionNumbering8"/>
      <w:lvlText w:val="%8"/>
      <w:lvlJc w:val="left"/>
      <w:pPr>
        <w:ind w:left="5400" w:hanging="5400"/>
      </w:pPr>
      <w:rPr>
        <w:rFonts w:ascii="Verdana" w:eastAsia="Verdana" w:hAnsi="Verdana" w:cs="Verdana"/>
        <w:b w:val="0"/>
        <w:i w:val="0"/>
        <w:strike w:val="0"/>
        <w:color w:val="000000"/>
        <w:sz w:val="22"/>
        <w:szCs w:val="22"/>
        <w:u w:val="none"/>
        <w:shd w:val="clear" w:color="auto" w:fill="auto"/>
        <w:vertAlign w:val="baseline"/>
      </w:rPr>
    </w:lvl>
    <w:lvl w:ilvl="8">
      <w:start w:val="1"/>
      <w:numFmt w:val="lowerRoman"/>
      <w:pStyle w:val="DefinitionNumbering9"/>
      <w:lvlText w:val="%9"/>
      <w:lvlJc w:val="left"/>
      <w:pPr>
        <w:ind w:left="6120" w:hanging="6120"/>
      </w:pPr>
      <w:rPr>
        <w:rFonts w:ascii="Verdana" w:eastAsia="Verdana" w:hAnsi="Verdana" w:cs="Verdana"/>
        <w:b w:val="0"/>
        <w:i w:val="0"/>
        <w:strike w:val="0"/>
        <w:color w:val="000000"/>
        <w:sz w:val="22"/>
        <w:szCs w:val="22"/>
        <w:u w:val="none"/>
        <w:shd w:val="clear" w:color="auto" w:fill="auto"/>
        <w:vertAlign w:val="baseline"/>
      </w:rPr>
    </w:lvl>
  </w:abstractNum>
  <w:abstractNum w:abstractNumId="99" w15:restartNumberingAfterBreak="0">
    <w:nsid w:val="74D13883"/>
    <w:multiLevelType w:val="multilevel"/>
    <w:tmpl w:val="5FC46BD6"/>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00" w15:restartNumberingAfterBreak="0">
    <w:nsid w:val="74D321D5"/>
    <w:multiLevelType w:val="multilevel"/>
    <w:tmpl w:val="B67AE066"/>
    <w:styleLink w:val="CurrentList7"/>
    <w:lvl w:ilvl="0">
      <w:start w:val="1"/>
      <w:numFmt w:val="decimal"/>
      <w:suff w:val="space"/>
      <w:lvlText w:val="SCHEDULE %1"/>
      <w:lvlJc w:val="left"/>
      <w:pPr>
        <w:ind w:left="0" w:firstLine="0"/>
      </w:pPr>
      <w:rPr>
        <w:rFonts w:hint="default"/>
        <w:caps w:val="0"/>
        <w:effect w:val="none"/>
      </w:rPr>
    </w:lvl>
    <w:lvl w:ilvl="1">
      <w:start w:val="1"/>
      <w:numFmt w:val="upperLetter"/>
      <w:suff w:val="space"/>
      <w:lvlText w:val="PART %2:"/>
      <w:lvlJc w:val="left"/>
      <w:pPr>
        <w:ind w:left="0" w:firstLine="0"/>
      </w:pPr>
      <w:rPr>
        <w:rFonts w:hint="default"/>
        <w:b/>
        <w:bCs/>
        <w:caps w:val="0"/>
        <w:effect w:val="none"/>
      </w:rPr>
    </w:lvl>
    <w:lvl w:ilvl="2">
      <w:start w:val="1"/>
      <w:numFmt w:val="decimal"/>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4DB5910"/>
    <w:multiLevelType w:val="multilevel"/>
    <w:tmpl w:val="F9724EB8"/>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02" w15:restartNumberingAfterBreak="0">
    <w:nsid w:val="759A6DFE"/>
    <w:multiLevelType w:val="multilevel"/>
    <w:tmpl w:val="E834C12C"/>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03" w15:restartNumberingAfterBreak="0">
    <w:nsid w:val="770E2590"/>
    <w:multiLevelType w:val="multilevel"/>
    <w:tmpl w:val="6DEC9A74"/>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bullet"/>
      <w:lvlText w:val="●"/>
      <w:lvlJc w:val="left"/>
      <w:pPr>
        <w:ind w:left="1803" w:hanging="1083"/>
      </w:pPr>
      <w:rPr>
        <w:rFonts w:ascii="Noto Sans Symbols" w:eastAsia="Noto Sans Symbols" w:hAnsi="Noto Sans Symbols" w:cs="Noto Sans Symbols"/>
        <w:color w:val="000000"/>
      </w:rPr>
    </w:lvl>
    <w:lvl w:ilvl="2">
      <w:start w:val="1"/>
      <w:numFmt w:val="bullet"/>
      <w:lvlText w:val="o"/>
      <w:lvlJc w:val="left"/>
      <w:pPr>
        <w:ind w:left="2523" w:hanging="720"/>
      </w:pPr>
      <w:rPr>
        <w:rFonts w:ascii="Courier New" w:eastAsia="Courier New" w:hAnsi="Courier New" w:cs="Courier New"/>
      </w:rPr>
    </w:lvl>
    <w:lvl w:ilvl="3">
      <w:start w:val="1"/>
      <w:numFmt w:val="decimal"/>
      <w:lvlText w:val=""/>
      <w:lvlJc w:val="left"/>
      <w:pPr>
        <w:ind w:left="1803" w:hanging="1083"/>
      </w:pPr>
    </w:lvl>
    <w:lvl w:ilvl="4">
      <w:start w:val="1"/>
      <w:numFmt w:val="decimal"/>
      <w:lvlText w:val=""/>
      <w:lvlJc w:val="left"/>
      <w:pPr>
        <w:ind w:left="1803" w:hanging="1083"/>
      </w:pPr>
    </w:lvl>
    <w:lvl w:ilvl="5">
      <w:start w:val="1"/>
      <w:numFmt w:val="decimal"/>
      <w:lvlText w:val=""/>
      <w:lvlJc w:val="left"/>
      <w:pPr>
        <w:ind w:left="1803" w:hanging="1083"/>
      </w:pPr>
    </w:lvl>
    <w:lvl w:ilvl="6">
      <w:start w:val="1"/>
      <w:numFmt w:val="decimal"/>
      <w:lvlText w:val=""/>
      <w:lvlJc w:val="left"/>
      <w:pPr>
        <w:ind w:left="1803" w:hanging="1083"/>
      </w:pPr>
    </w:lvl>
    <w:lvl w:ilvl="7">
      <w:start w:val="1"/>
      <w:numFmt w:val="decimal"/>
      <w:lvlText w:val=""/>
      <w:lvlJc w:val="left"/>
      <w:pPr>
        <w:ind w:left="1803" w:hanging="1083"/>
      </w:pPr>
    </w:lvl>
    <w:lvl w:ilvl="8">
      <w:start w:val="1"/>
      <w:numFmt w:val="decimal"/>
      <w:lvlText w:val=""/>
      <w:lvlJc w:val="left"/>
      <w:pPr>
        <w:ind w:left="1803" w:hanging="1083"/>
      </w:pPr>
    </w:lvl>
  </w:abstractNum>
  <w:abstractNum w:abstractNumId="104" w15:restartNumberingAfterBreak="0">
    <w:nsid w:val="781A5AA5"/>
    <w:multiLevelType w:val="multilevel"/>
    <w:tmpl w:val="E7380612"/>
    <w:styleLink w:val="CurrentList8"/>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05" w15:restartNumberingAfterBreak="0">
    <w:nsid w:val="782272A6"/>
    <w:multiLevelType w:val="multilevel"/>
    <w:tmpl w:val="7E88CCBE"/>
    <w:styleLink w:val="CurrentList3"/>
    <w:lvl w:ilvl="0">
      <w:start w:val="1"/>
      <w:numFmt w:val="decimal"/>
      <w:suff w:val="space"/>
      <w:lvlText w:val="SCHEDULE %1"/>
      <w:lvlJc w:val="left"/>
      <w:pPr>
        <w:ind w:left="0" w:firstLine="0"/>
      </w:pPr>
      <w:rPr>
        <w:rFonts w:hint="default"/>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8DE316B"/>
    <w:multiLevelType w:val="hybridMultilevel"/>
    <w:tmpl w:val="0FBE3A96"/>
    <w:name w:val="Appendicies Heading List22"/>
    <w:lvl w:ilvl="0" w:tplc="F8BE1AC0">
      <w:start w:val="1"/>
      <w:numFmt w:val="lowerRoman"/>
      <w:lvlText w:val="(%1)"/>
      <w:lvlJc w:val="left"/>
      <w:pPr>
        <w:ind w:left="1681" w:hanging="721"/>
      </w:pPr>
      <w:rPr>
        <w:rFonts w:ascii="Arial" w:eastAsia="Arial" w:hAnsi="Arial" w:cs="Arial" w:hint="default"/>
        <w:spacing w:val="-6"/>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A810A5E"/>
    <w:multiLevelType w:val="multilevel"/>
    <w:tmpl w:val="E486AC82"/>
    <w:styleLink w:val="CurrentList6"/>
    <w:lvl w:ilvl="0">
      <w:start w:val="1"/>
      <w:numFmt w:val="upperLetter"/>
      <w:suff w:val="nothing"/>
      <w:lvlText w:val="Part %1"/>
      <w:lvlJc w:val="left"/>
      <w:pPr>
        <w:ind w:left="0" w:firstLine="0"/>
      </w:pPr>
      <w:rPr>
        <w:rFonts w:hint="default"/>
        <w:caps/>
      </w:rPr>
    </w:lvl>
    <w:lvl w:ilvl="1">
      <w:start w:val="1"/>
      <w:numFmt w:val="decimal"/>
      <w:suff w:val="nothing"/>
      <w:lvlText w:val="PART %1"/>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64069"/>
    <w:multiLevelType w:val="multilevel"/>
    <w:tmpl w:val="05EC6F58"/>
    <w:styleLink w:val="CurrentList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9" w15:restartNumberingAfterBreak="0">
    <w:nsid w:val="7E33486E"/>
    <w:multiLevelType w:val="multilevel"/>
    <w:tmpl w:val="6B563A06"/>
    <w:styleLink w:val="CurrentList2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FD02AAC"/>
    <w:multiLevelType w:val="multilevel"/>
    <w:tmpl w:val="8F72ABFC"/>
    <w:styleLink w:val="CurrentList25"/>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322582791">
    <w:abstractNumId w:val="27"/>
  </w:num>
  <w:num w:numId="2" w16cid:durableId="1082798967">
    <w:abstractNumId w:val="101"/>
  </w:num>
  <w:num w:numId="3" w16cid:durableId="1451361845">
    <w:abstractNumId w:val="24"/>
  </w:num>
  <w:num w:numId="4" w16cid:durableId="983702166">
    <w:abstractNumId w:val="103"/>
  </w:num>
  <w:num w:numId="5" w16cid:durableId="1823159032">
    <w:abstractNumId w:val="102"/>
  </w:num>
  <w:num w:numId="6" w16cid:durableId="1080565452">
    <w:abstractNumId w:val="18"/>
  </w:num>
  <w:num w:numId="7" w16cid:durableId="987592485">
    <w:abstractNumId w:val="73"/>
  </w:num>
  <w:num w:numId="8" w16cid:durableId="1669941712">
    <w:abstractNumId w:val="36"/>
  </w:num>
  <w:num w:numId="9" w16cid:durableId="313149769">
    <w:abstractNumId w:val="84"/>
  </w:num>
  <w:num w:numId="10" w16cid:durableId="602034704">
    <w:abstractNumId w:val="56"/>
  </w:num>
  <w:num w:numId="11" w16cid:durableId="375398186">
    <w:abstractNumId w:val="69"/>
  </w:num>
  <w:num w:numId="12" w16cid:durableId="1355114084">
    <w:abstractNumId w:val="17"/>
  </w:num>
  <w:num w:numId="13" w16cid:durableId="1400398778">
    <w:abstractNumId w:val="58"/>
  </w:num>
  <w:num w:numId="14" w16cid:durableId="27071253">
    <w:abstractNumId w:val="94"/>
  </w:num>
  <w:num w:numId="15" w16cid:durableId="212936024">
    <w:abstractNumId w:val="25"/>
  </w:num>
  <w:num w:numId="16" w16cid:durableId="2107191496">
    <w:abstractNumId w:val="5"/>
  </w:num>
  <w:num w:numId="17" w16cid:durableId="722026379">
    <w:abstractNumId w:val="12"/>
  </w:num>
  <w:num w:numId="18" w16cid:durableId="699669461">
    <w:abstractNumId w:val="34"/>
  </w:num>
  <w:num w:numId="19" w16cid:durableId="1133711480">
    <w:abstractNumId w:val="31"/>
  </w:num>
  <w:num w:numId="20" w16cid:durableId="399719638">
    <w:abstractNumId w:val="91"/>
  </w:num>
  <w:num w:numId="21" w16cid:durableId="591352480">
    <w:abstractNumId w:val="89"/>
  </w:num>
  <w:num w:numId="22" w16cid:durableId="572355810">
    <w:abstractNumId w:val="22"/>
  </w:num>
  <w:num w:numId="23" w16cid:durableId="793912328">
    <w:abstractNumId w:val="95"/>
  </w:num>
  <w:num w:numId="24" w16cid:durableId="239869162">
    <w:abstractNumId w:val="65"/>
  </w:num>
  <w:num w:numId="25" w16cid:durableId="1171946600">
    <w:abstractNumId w:val="32"/>
  </w:num>
  <w:num w:numId="26" w16cid:durableId="567419897">
    <w:abstractNumId w:val="93"/>
  </w:num>
  <w:num w:numId="27" w16cid:durableId="1381127638">
    <w:abstractNumId w:val="57"/>
  </w:num>
  <w:num w:numId="28" w16cid:durableId="187187619">
    <w:abstractNumId w:val="29"/>
  </w:num>
  <w:num w:numId="29" w16cid:durableId="585186002">
    <w:abstractNumId w:val="39"/>
  </w:num>
  <w:num w:numId="30" w16cid:durableId="1962688878">
    <w:abstractNumId w:val="50"/>
  </w:num>
  <w:num w:numId="31" w16cid:durableId="312032320">
    <w:abstractNumId w:val="98"/>
  </w:num>
  <w:num w:numId="32" w16cid:durableId="1287739253">
    <w:abstractNumId w:val="66"/>
  </w:num>
  <w:num w:numId="33" w16cid:durableId="1256089271">
    <w:abstractNumId w:val="96"/>
  </w:num>
  <w:num w:numId="34" w16cid:durableId="1874416285">
    <w:abstractNumId w:val="67"/>
  </w:num>
  <w:num w:numId="35" w16cid:durableId="1878082592">
    <w:abstractNumId w:val="70"/>
  </w:num>
  <w:num w:numId="36" w16cid:durableId="551967706">
    <w:abstractNumId w:val="86"/>
  </w:num>
  <w:num w:numId="37" w16cid:durableId="811483066">
    <w:abstractNumId w:val="46"/>
  </w:num>
  <w:num w:numId="38" w16cid:durableId="1043408951">
    <w:abstractNumId w:val="97"/>
  </w:num>
  <w:num w:numId="39" w16cid:durableId="1278635129">
    <w:abstractNumId w:val="43"/>
  </w:num>
  <w:num w:numId="40" w16cid:durableId="1150287976">
    <w:abstractNumId w:val="63"/>
  </w:num>
  <w:num w:numId="41" w16cid:durableId="371537289">
    <w:abstractNumId w:val="51"/>
  </w:num>
  <w:num w:numId="42" w16cid:durableId="1957056655">
    <w:abstractNumId w:val="35"/>
  </w:num>
  <w:num w:numId="43" w16cid:durableId="685013637">
    <w:abstractNumId w:val="15"/>
  </w:num>
  <w:num w:numId="44" w16cid:durableId="1240872961">
    <w:abstractNumId w:val="42"/>
  </w:num>
  <w:num w:numId="45" w16cid:durableId="1762985574">
    <w:abstractNumId w:val="45"/>
  </w:num>
  <w:num w:numId="46" w16cid:durableId="2008632196">
    <w:abstractNumId w:val="20"/>
  </w:num>
  <w:num w:numId="47" w16cid:durableId="1701279793">
    <w:abstractNumId w:val="64"/>
  </w:num>
  <w:num w:numId="48" w16cid:durableId="206718471">
    <w:abstractNumId w:val="4"/>
  </w:num>
  <w:num w:numId="49" w16cid:durableId="970129972">
    <w:abstractNumId w:val="9"/>
  </w:num>
  <w:num w:numId="50" w16cid:durableId="1371539583">
    <w:abstractNumId w:val="85"/>
  </w:num>
  <w:num w:numId="51" w16cid:durableId="1405714218">
    <w:abstractNumId w:val="99"/>
  </w:num>
  <w:num w:numId="52" w16cid:durableId="1220750539">
    <w:abstractNumId w:val="38"/>
  </w:num>
  <w:num w:numId="53" w16cid:durableId="49572516">
    <w:abstractNumId w:val="33"/>
  </w:num>
  <w:num w:numId="54" w16cid:durableId="547030882">
    <w:abstractNumId w:val="75"/>
  </w:num>
  <w:num w:numId="55" w16cid:durableId="287013961">
    <w:abstractNumId w:val="0"/>
  </w:num>
  <w:num w:numId="56" w16cid:durableId="1979531617">
    <w:abstractNumId w:val="1"/>
  </w:num>
  <w:num w:numId="57" w16cid:durableId="1024939727">
    <w:abstractNumId w:val="2"/>
  </w:num>
  <w:num w:numId="58" w16cid:durableId="567302856">
    <w:abstractNumId w:val="8"/>
  </w:num>
  <w:num w:numId="59" w16cid:durableId="283387197">
    <w:abstractNumId w:val="13"/>
  </w:num>
  <w:num w:numId="60" w16cid:durableId="1949504414">
    <w:abstractNumId w:val="26"/>
  </w:num>
  <w:num w:numId="61" w16cid:durableId="1199468458">
    <w:abstractNumId w:val="44"/>
  </w:num>
  <w:num w:numId="62" w16cid:durableId="1153376099">
    <w:abstractNumId w:val="54"/>
  </w:num>
  <w:num w:numId="63" w16cid:durableId="609244466">
    <w:abstractNumId w:val="62"/>
  </w:num>
  <w:num w:numId="64" w16cid:durableId="1616401391">
    <w:abstractNumId w:val="79"/>
  </w:num>
  <w:num w:numId="65" w16cid:durableId="14175094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62698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39564915">
    <w:abstractNumId w:val="77"/>
  </w:num>
  <w:num w:numId="68" w16cid:durableId="858008627">
    <w:abstractNumId w:val="7"/>
  </w:num>
  <w:num w:numId="69" w16cid:durableId="2082868167">
    <w:abstractNumId w:val="11"/>
  </w:num>
  <w:num w:numId="70" w16cid:durableId="275645999">
    <w:abstractNumId w:val="16"/>
  </w:num>
  <w:num w:numId="71" w16cid:durableId="167990120">
    <w:abstractNumId w:val="53"/>
  </w:num>
  <w:num w:numId="72" w16cid:durableId="2019771693">
    <w:abstractNumId w:val="87"/>
  </w:num>
  <w:num w:numId="73" w16cid:durableId="545145674">
    <w:abstractNumId w:val="90"/>
  </w:num>
  <w:num w:numId="74" w16cid:durableId="1636180334">
    <w:abstractNumId w:val="100"/>
  </w:num>
  <w:num w:numId="75" w16cid:durableId="69545093">
    <w:abstractNumId w:val="104"/>
  </w:num>
  <w:num w:numId="76" w16cid:durableId="1107578828">
    <w:abstractNumId w:val="105"/>
  </w:num>
  <w:num w:numId="77" w16cid:durableId="1207180677">
    <w:abstractNumId w:val="107"/>
  </w:num>
  <w:num w:numId="78" w16cid:durableId="13053503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403430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77584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193860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422798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749021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12149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466924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125434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41936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325526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35840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21897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10308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969442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812152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805286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592352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009359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060628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98076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587495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070637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70497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17432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921761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230898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97242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806652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150582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29880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294443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207446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14929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64103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535885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635945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451284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681458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1254176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641362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460860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362035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68509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063094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91103100">
    <w:abstractNumId w:val="76"/>
  </w:num>
  <w:num w:numId="124" w16cid:durableId="297420839">
    <w:abstractNumId w:val="61"/>
  </w:num>
  <w:num w:numId="125" w16cid:durableId="414788559">
    <w:abstractNumId w:val="23"/>
  </w:num>
  <w:num w:numId="126" w16cid:durableId="444083318">
    <w:abstractNumId w:val="108"/>
  </w:num>
  <w:num w:numId="127" w16cid:durableId="534274802">
    <w:abstractNumId w:val="81"/>
  </w:num>
  <w:num w:numId="128" w16cid:durableId="1372028004">
    <w:abstractNumId w:val="74"/>
  </w:num>
  <w:num w:numId="129" w16cid:durableId="1345478406">
    <w:abstractNumId w:val="41"/>
  </w:num>
  <w:num w:numId="130" w16cid:durableId="1991591000">
    <w:abstractNumId w:val="10"/>
  </w:num>
  <w:num w:numId="131" w16cid:durableId="757485030">
    <w:abstractNumId w:val="6"/>
  </w:num>
  <w:num w:numId="132" w16cid:durableId="755978518">
    <w:abstractNumId w:val="14"/>
  </w:num>
  <w:num w:numId="133" w16cid:durableId="1845317058">
    <w:abstractNumId w:val="92"/>
  </w:num>
  <w:num w:numId="134" w16cid:durableId="1528132612">
    <w:abstractNumId w:val="49"/>
  </w:num>
  <w:num w:numId="135" w16cid:durableId="490878352">
    <w:abstractNumId w:val="60"/>
  </w:num>
  <w:num w:numId="136" w16cid:durableId="737829704">
    <w:abstractNumId w:val="109"/>
  </w:num>
  <w:num w:numId="137" w16cid:durableId="530187602">
    <w:abstractNumId w:val="30"/>
  </w:num>
  <w:num w:numId="138" w16cid:durableId="592587713">
    <w:abstractNumId w:val="110"/>
  </w:num>
  <w:num w:numId="139" w16cid:durableId="348989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478102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59061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572155661">
    <w:abstractNumId w:val="19"/>
  </w:num>
  <w:num w:numId="143" w16cid:durableId="1423187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145823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955527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601276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3088521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680208615">
    <w:abstractNumId w:val="68"/>
  </w:num>
  <w:num w:numId="149" w16cid:durableId="1272831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738744527">
    <w:abstractNumId w:val="82"/>
  </w:num>
  <w:num w:numId="151" w16cid:durableId="238693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4395702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3337276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910705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032453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127196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0172733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5266739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928389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53125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764462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345420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4534010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7067082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129371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736630176">
    <w:abstractNumId w:val="88"/>
  </w:num>
  <w:num w:numId="167" w16cid:durableId="5009006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1948060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467165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325266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94011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95134498">
    <w:abstractNumId w:val="59"/>
  </w:num>
  <w:num w:numId="173" w16cid:durableId="1987589430">
    <w:abstractNumId w:val="47"/>
  </w:num>
  <w:num w:numId="174" w16cid:durableId="721099516">
    <w:abstractNumId w:val="52"/>
    <w:lvlOverride w:ilvl="0">
      <w:startOverride w:val="1"/>
    </w:lvlOverride>
  </w:num>
  <w:num w:numId="175" w16cid:durableId="18287454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424184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0703484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73873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652569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158218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331955112">
    <w:abstractNumId w:val="28"/>
  </w:num>
  <w:num w:numId="182" w16cid:durableId="769010923">
    <w:abstractNumId w:val="48"/>
  </w:num>
  <w:num w:numId="183" w16cid:durableId="6032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684749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0355463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77882715">
    <w:abstractNumId w:val="72"/>
  </w:num>
  <w:num w:numId="187" w16cid:durableId="5955968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45226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638650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45274009">
    <w:abstractNumId w:val="77"/>
  </w:num>
  <w:num w:numId="191" w16cid:durableId="1263950569">
    <w:abstractNumId w:val="77"/>
  </w:num>
  <w:num w:numId="192" w16cid:durableId="452217537">
    <w:abstractNumId w:val="77"/>
  </w:num>
  <w:num w:numId="193" w16cid:durableId="802238932">
    <w:abstractNumId w:val="77"/>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1|KITCHINE|25 July 2023 09:16:15" w:val="V2 - New verison 2 created - accept existing trk"/>
    <w:docVar w:name="gemDN2|PURDIEJ|25 July 2023 17:34:07" w:val="continued from Eleanor"/>
    <w:docVar w:name="gemDN3|Sue.Masland|Thursday, 27 July 2023 08:03:57" w:val="v3 - Sonia Seale created NV4,amend TRK"/>
    <w:docVar w:name="gemDN4|Sue.Masland|Thursday, 27 July 2023 08:05:05" w:val="continue from Sonia"/>
    <w:docVar w:name="gemDocNotesCount" w:val="4"/>
  </w:docVars>
  <w:rsids>
    <w:rsidRoot w:val="00BC7DDA"/>
    <w:rsid w:val="000009E5"/>
    <w:rsid w:val="000021B5"/>
    <w:rsid w:val="000029CE"/>
    <w:rsid w:val="00002EBB"/>
    <w:rsid w:val="00002FA5"/>
    <w:rsid w:val="0000332A"/>
    <w:rsid w:val="00005A7A"/>
    <w:rsid w:val="000100EF"/>
    <w:rsid w:val="000110CF"/>
    <w:rsid w:val="00012391"/>
    <w:rsid w:val="00012747"/>
    <w:rsid w:val="00012E2F"/>
    <w:rsid w:val="00012F06"/>
    <w:rsid w:val="00014CA3"/>
    <w:rsid w:val="00015417"/>
    <w:rsid w:val="00017B5C"/>
    <w:rsid w:val="0002112B"/>
    <w:rsid w:val="00022B54"/>
    <w:rsid w:val="00023B58"/>
    <w:rsid w:val="00024903"/>
    <w:rsid w:val="000258C6"/>
    <w:rsid w:val="00025F91"/>
    <w:rsid w:val="00030632"/>
    <w:rsid w:val="00030DC6"/>
    <w:rsid w:val="000315DA"/>
    <w:rsid w:val="000317B9"/>
    <w:rsid w:val="000333A4"/>
    <w:rsid w:val="00035E84"/>
    <w:rsid w:val="000378D2"/>
    <w:rsid w:val="0004024F"/>
    <w:rsid w:val="00040722"/>
    <w:rsid w:val="00041E0A"/>
    <w:rsid w:val="00042DE0"/>
    <w:rsid w:val="00042EA6"/>
    <w:rsid w:val="00043887"/>
    <w:rsid w:val="0004427C"/>
    <w:rsid w:val="000447D5"/>
    <w:rsid w:val="0004489F"/>
    <w:rsid w:val="00046AE7"/>
    <w:rsid w:val="00046EAD"/>
    <w:rsid w:val="00050394"/>
    <w:rsid w:val="00051DF5"/>
    <w:rsid w:val="00053151"/>
    <w:rsid w:val="00053DB1"/>
    <w:rsid w:val="0005456C"/>
    <w:rsid w:val="00056065"/>
    <w:rsid w:val="000563B0"/>
    <w:rsid w:val="00056976"/>
    <w:rsid w:val="00056CCD"/>
    <w:rsid w:val="00057472"/>
    <w:rsid w:val="00057BC0"/>
    <w:rsid w:val="00057CB7"/>
    <w:rsid w:val="000601F6"/>
    <w:rsid w:val="00061D4C"/>
    <w:rsid w:val="0006351B"/>
    <w:rsid w:val="00063B22"/>
    <w:rsid w:val="00065213"/>
    <w:rsid w:val="00065A7B"/>
    <w:rsid w:val="00066526"/>
    <w:rsid w:val="00067C76"/>
    <w:rsid w:val="00067E96"/>
    <w:rsid w:val="000700BE"/>
    <w:rsid w:val="00070643"/>
    <w:rsid w:val="000708BC"/>
    <w:rsid w:val="00071CC3"/>
    <w:rsid w:val="00072582"/>
    <w:rsid w:val="00074CEE"/>
    <w:rsid w:val="000758D8"/>
    <w:rsid w:val="000758E2"/>
    <w:rsid w:val="00076506"/>
    <w:rsid w:val="000774DB"/>
    <w:rsid w:val="00077512"/>
    <w:rsid w:val="000803D1"/>
    <w:rsid w:val="000804CB"/>
    <w:rsid w:val="000813AE"/>
    <w:rsid w:val="000818DE"/>
    <w:rsid w:val="00082254"/>
    <w:rsid w:val="000822D3"/>
    <w:rsid w:val="00082FD4"/>
    <w:rsid w:val="00083532"/>
    <w:rsid w:val="00084853"/>
    <w:rsid w:val="0009034A"/>
    <w:rsid w:val="0009149F"/>
    <w:rsid w:val="00091719"/>
    <w:rsid w:val="00091EDE"/>
    <w:rsid w:val="0009207B"/>
    <w:rsid w:val="00095356"/>
    <w:rsid w:val="000957F7"/>
    <w:rsid w:val="00095858"/>
    <w:rsid w:val="000959CC"/>
    <w:rsid w:val="00096028"/>
    <w:rsid w:val="00096744"/>
    <w:rsid w:val="000A1B0C"/>
    <w:rsid w:val="000A2A18"/>
    <w:rsid w:val="000B0FA3"/>
    <w:rsid w:val="000B1845"/>
    <w:rsid w:val="000B275D"/>
    <w:rsid w:val="000B320F"/>
    <w:rsid w:val="000B589F"/>
    <w:rsid w:val="000B737F"/>
    <w:rsid w:val="000B7F9E"/>
    <w:rsid w:val="000C0560"/>
    <w:rsid w:val="000C18F6"/>
    <w:rsid w:val="000C31EE"/>
    <w:rsid w:val="000D10B1"/>
    <w:rsid w:val="000D1270"/>
    <w:rsid w:val="000D48A0"/>
    <w:rsid w:val="000D48A4"/>
    <w:rsid w:val="000D5495"/>
    <w:rsid w:val="000D56A2"/>
    <w:rsid w:val="000D6EE3"/>
    <w:rsid w:val="000D7652"/>
    <w:rsid w:val="000D7C05"/>
    <w:rsid w:val="000E0FF4"/>
    <w:rsid w:val="000E1EDB"/>
    <w:rsid w:val="000E25CB"/>
    <w:rsid w:val="000E2C77"/>
    <w:rsid w:val="000E3023"/>
    <w:rsid w:val="000E3172"/>
    <w:rsid w:val="000E3532"/>
    <w:rsid w:val="000E4124"/>
    <w:rsid w:val="000E4E28"/>
    <w:rsid w:val="000E55A8"/>
    <w:rsid w:val="000E5E39"/>
    <w:rsid w:val="000E712C"/>
    <w:rsid w:val="000F2159"/>
    <w:rsid w:val="000F3344"/>
    <w:rsid w:val="000F3B67"/>
    <w:rsid w:val="000F58DA"/>
    <w:rsid w:val="000F6394"/>
    <w:rsid w:val="000F6EAC"/>
    <w:rsid w:val="000F7288"/>
    <w:rsid w:val="000F7689"/>
    <w:rsid w:val="00100949"/>
    <w:rsid w:val="0010391A"/>
    <w:rsid w:val="00103DED"/>
    <w:rsid w:val="0010425E"/>
    <w:rsid w:val="0010455D"/>
    <w:rsid w:val="00104A98"/>
    <w:rsid w:val="0010544E"/>
    <w:rsid w:val="001068C3"/>
    <w:rsid w:val="00110A1C"/>
    <w:rsid w:val="001115C3"/>
    <w:rsid w:val="00111CB9"/>
    <w:rsid w:val="00113AF8"/>
    <w:rsid w:val="00113D69"/>
    <w:rsid w:val="001141DE"/>
    <w:rsid w:val="001142AA"/>
    <w:rsid w:val="001160F6"/>
    <w:rsid w:val="0011700A"/>
    <w:rsid w:val="001222E6"/>
    <w:rsid w:val="00122745"/>
    <w:rsid w:val="00124917"/>
    <w:rsid w:val="00124981"/>
    <w:rsid w:val="0012498D"/>
    <w:rsid w:val="001249BC"/>
    <w:rsid w:val="0012518B"/>
    <w:rsid w:val="001254F7"/>
    <w:rsid w:val="001312D6"/>
    <w:rsid w:val="00136088"/>
    <w:rsid w:val="00136CDD"/>
    <w:rsid w:val="00136E05"/>
    <w:rsid w:val="001376F2"/>
    <w:rsid w:val="00142168"/>
    <w:rsid w:val="00143150"/>
    <w:rsid w:val="00143263"/>
    <w:rsid w:val="00143C2B"/>
    <w:rsid w:val="001451BE"/>
    <w:rsid w:val="001458C5"/>
    <w:rsid w:val="00145C8B"/>
    <w:rsid w:val="00145D15"/>
    <w:rsid w:val="00145D16"/>
    <w:rsid w:val="001475FD"/>
    <w:rsid w:val="00147ABC"/>
    <w:rsid w:val="001513EB"/>
    <w:rsid w:val="0015182B"/>
    <w:rsid w:val="001528B2"/>
    <w:rsid w:val="00152B66"/>
    <w:rsid w:val="00154389"/>
    <w:rsid w:val="00154601"/>
    <w:rsid w:val="001547E7"/>
    <w:rsid w:val="001556E9"/>
    <w:rsid w:val="00156AEA"/>
    <w:rsid w:val="00156F12"/>
    <w:rsid w:val="00157633"/>
    <w:rsid w:val="001610B2"/>
    <w:rsid w:val="001613A4"/>
    <w:rsid w:val="001619C1"/>
    <w:rsid w:val="00161BD0"/>
    <w:rsid w:val="00162BFF"/>
    <w:rsid w:val="00162C61"/>
    <w:rsid w:val="00163594"/>
    <w:rsid w:val="00163F02"/>
    <w:rsid w:val="001644B1"/>
    <w:rsid w:val="00170219"/>
    <w:rsid w:val="00171398"/>
    <w:rsid w:val="0017421F"/>
    <w:rsid w:val="00175B22"/>
    <w:rsid w:val="00180A75"/>
    <w:rsid w:val="00180DA4"/>
    <w:rsid w:val="00180FB1"/>
    <w:rsid w:val="0018141E"/>
    <w:rsid w:val="00182CA8"/>
    <w:rsid w:val="00183162"/>
    <w:rsid w:val="00183636"/>
    <w:rsid w:val="00183F6E"/>
    <w:rsid w:val="001859B8"/>
    <w:rsid w:val="00185D6A"/>
    <w:rsid w:val="00187547"/>
    <w:rsid w:val="00187651"/>
    <w:rsid w:val="00187839"/>
    <w:rsid w:val="00187E5E"/>
    <w:rsid w:val="00191ED6"/>
    <w:rsid w:val="0019439D"/>
    <w:rsid w:val="00194876"/>
    <w:rsid w:val="00194CDB"/>
    <w:rsid w:val="00194F2B"/>
    <w:rsid w:val="001958C0"/>
    <w:rsid w:val="001969A6"/>
    <w:rsid w:val="00197DCC"/>
    <w:rsid w:val="001A08CA"/>
    <w:rsid w:val="001A2B2A"/>
    <w:rsid w:val="001A42EC"/>
    <w:rsid w:val="001A45F3"/>
    <w:rsid w:val="001A45F8"/>
    <w:rsid w:val="001A4631"/>
    <w:rsid w:val="001A5A96"/>
    <w:rsid w:val="001A5C4A"/>
    <w:rsid w:val="001A6008"/>
    <w:rsid w:val="001A6D53"/>
    <w:rsid w:val="001A7706"/>
    <w:rsid w:val="001B31E7"/>
    <w:rsid w:val="001B41EB"/>
    <w:rsid w:val="001B4F2A"/>
    <w:rsid w:val="001B6FEA"/>
    <w:rsid w:val="001B7408"/>
    <w:rsid w:val="001B7BA9"/>
    <w:rsid w:val="001C0629"/>
    <w:rsid w:val="001C0FDA"/>
    <w:rsid w:val="001C3118"/>
    <w:rsid w:val="001C3AEE"/>
    <w:rsid w:val="001C44DD"/>
    <w:rsid w:val="001C56BF"/>
    <w:rsid w:val="001C57ED"/>
    <w:rsid w:val="001C6BB7"/>
    <w:rsid w:val="001C7C36"/>
    <w:rsid w:val="001C7EC2"/>
    <w:rsid w:val="001D0150"/>
    <w:rsid w:val="001D046C"/>
    <w:rsid w:val="001D17F2"/>
    <w:rsid w:val="001D1A25"/>
    <w:rsid w:val="001D1CE9"/>
    <w:rsid w:val="001D5017"/>
    <w:rsid w:val="001D5284"/>
    <w:rsid w:val="001D58A3"/>
    <w:rsid w:val="001D7B5A"/>
    <w:rsid w:val="001E07C8"/>
    <w:rsid w:val="001E21FB"/>
    <w:rsid w:val="001E2720"/>
    <w:rsid w:val="001E27B1"/>
    <w:rsid w:val="001E2AE0"/>
    <w:rsid w:val="001E3DD6"/>
    <w:rsid w:val="001E4C18"/>
    <w:rsid w:val="001E6D0D"/>
    <w:rsid w:val="001E6FE0"/>
    <w:rsid w:val="001E716E"/>
    <w:rsid w:val="001F06F8"/>
    <w:rsid w:val="001F1E0C"/>
    <w:rsid w:val="001F2587"/>
    <w:rsid w:val="001F2A3B"/>
    <w:rsid w:val="001F3579"/>
    <w:rsid w:val="001F3D29"/>
    <w:rsid w:val="001F55C1"/>
    <w:rsid w:val="001F60F0"/>
    <w:rsid w:val="001F6AFB"/>
    <w:rsid w:val="001F7A6E"/>
    <w:rsid w:val="001F7CA7"/>
    <w:rsid w:val="00200FB5"/>
    <w:rsid w:val="002011FB"/>
    <w:rsid w:val="00201BC3"/>
    <w:rsid w:val="00201DA6"/>
    <w:rsid w:val="00201E37"/>
    <w:rsid w:val="002023EF"/>
    <w:rsid w:val="00202AAA"/>
    <w:rsid w:val="0020458D"/>
    <w:rsid w:val="00204B05"/>
    <w:rsid w:val="0020504F"/>
    <w:rsid w:val="00210976"/>
    <w:rsid w:val="002123C0"/>
    <w:rsid w:val="002128D2"/>
    <w:rsid w:val="0021359F"/>
    <w:rsid w:val="00213652"/>
    <w:rsid w:val="002168AD"/>
    <w:rsid w:val="00220864"/>
    <w:rsid w:val="0022568A"/>
    <w:rsid w:val="002304AE"/>
    <w:rsid w:val="00234BE4"/>
    <w:rsid w:val="00236AB1"/>
    <w:rsid w:val="00241391"/>
    <w:rsid w:val="0024145B"/>
    <w:rsid w:val="0024154E"/>
    <w:rsid w:val="00242E2D"/>
    <w:rsid w:val="00246236"/>
    <w:rsid w:val="00247692"/>
    <w:rsid w:val="002476A5"/>
    <w:rsid w:val="0025066D"/>
    <w:rsid w:val="002509BE"/>
    <w:rsid w:val="00251819"/>
    <w:rsid w:val="002524B2"/>
    <w:rsid w:val="0025475C"/>
    <w:rsid w:val="002559D0"/>
    <w:rsid w:val="00257580"/>
    <w:rsid w:val="002613D6"/>
    <w:rsid w:val="00266182"/>
    <w:rsid w:val="00266D2C"/>
    <w:rsid w:val="00267131"/>
    <w:rsid w:val="0027038C"/>
    <w:rsid w:val="00272784"/>
    <w:rsid w:val="00272B0A"/>
    <w:rsid w:val="00272BFB"/>
    <w:rsid w:val="00272F4C"/>
    <w:rsid w:val="002731EE"/>
    <w:rsid w:val="002734DC"/>
    <w:rsid w:val="002741FA"/>
    <w:rsid w:val="00274508"/>
    <w:rsid w:val="00275C47"/>
    <w:rsid w:val="00276991"/>
    <w:rsid w:val="00280692"/>
    <w:rsid w:val="00281DA8"/>
    <w:rsid w:val="002843EE"/>
    <w:rsid w:val="0028457E"/>
    <w:rsid w:val="00285A88"/>
    <w:rsid w:val="00287379"/>
    <w:rsid w:val="002908BD"/>
    <w:rsid w:val="00290DF1"/>
    <w:rsid w:val="00291950"/>
    <w:rsid w:val="00292300"/>
    <w:rsid w:val="002941B1"/>
    <w:rsid w:val="00294832"/>
    <w:rsid w:val="0029486A"/>
    <w:rsid w:val="00295198"/>
    <w:rsid w:val="00295699"/>
    <w:rsid w:val="00296DBB"/>
    <w:rsid w:val="002A02EF"/>
    <w:rsid w:val="002A0359"/>
    <w:rsid w:val="002A069A"/>
    <w:rsid w:val="002A0A53"/>
    <w:rsid w:val="002A7943"/>
    <w:rsid w:val="002B3242"/>
    <w:rsid w:val="002B4203"/>
    <w:rsid w:val="002B4767"/>
    <w:rsid w:val="002B5535"/>
    <w:rsid w:val="002B62BB"/>
    <w:rsid w:val="002B670C"/>
    <w:rsid w:val="002B6790"/>
    <w:rsid w:val="002B6968"/>
    <w:rsid w:val="002B77C3"/>
    <w:rsid w:val="002B796D"/>
    <w:rsid w:val="002C26B6"/>
    <w:rsid w:val="002C3238"/>
    <w:rsid w:val="002C3E35"/>
    <w:rsid w:val="002C4742"/>
    <w:rsid w:val="002C6C2B"/>
    <w:rsid w:val="002C71DC"/>
    <w:rsid w:val="002D1243"/>
    <w:rsid w:val="002D1427"/>
    <w:rsid w:val="002D2F6C"/>
    <w:rsid w:val="002D3344"/>
    <w:rsid w:val="002D3DCF"/>
    <w:rsid w:val="002D4026"/>
    <w:rsid w:val="002D4507"/>
    <w:rsid w:val="002D4995"/>
    <w:rsid w:val="002D584A"/>
    <w:rsid w:val="002D59DE"/>
    <w:rsid w:val="002D6C4E"/>
    <w:rsid w:val="002D73E7"/>
    <w:rsid w:val="002D767C"/>
    <w:rsid w:val="002E04A2"/>
    <w:rsid w:val="002E2F2A"/>
    <w:rsid w:val="002E33A0"/>
    <w:rsid w:val="002E4058"/>
    <w:rsid w:val="002E4898"/>
    <w:rsid w:val="002E553F"/>
    <w:rsid w:val="002E7B17"/>
    <w:rsid w:val="002E7BFF"/>
    <w:rsid w:val="002F5806"/>
    <w:rsid w:val="003016CC"/>
    <w:rsid w:val="00303F34"/>
    <w:rsid w:val="0030487F"/>
    <w:rsid w:val="00305C4B"/>
    <w:rsid w:val="00306EB1"/>
    <w:rsid w:val="00307A0D"/>
    <w:rsid w:val="00307EB4"/>
    <w:rsid w:val="0031030B"/>
    <w:rsid w:val="003120A2"/>
    <w:rsid w:val="003123F6"/>
    <w:rsid w:val="00312782"/>
    <w:rsid w:val="0031289A"/>
    <w:rsid w:val="0031348F"/>
    <w:rsid w:val="0031509D"/>
    <w:rsid w:val="003151A9"/>
    <w:rsid w:val="003200C4"/>
    <w:rsid w:val="00321521"/>
    <w:rsid w:val="00322D43"/>
    <w:rsid w:val="00323905"/>
    <w:rsid w:val="00325019"/>
    <w:rsid w:val="00325CBB"/>
    <w:rsid w:val="00326EFC"/>
    <w:rsid w:val="00327608"/>
    <w:rsid w:val="00327E90"/>
    <w:rsid w:val="00330861"/>
    <w:rsid w:val="00332546"/>
    <w:rsid w:val="003335A1"/>
    <w:rsid w:val="00334BB6"/>
    <w:rsid w:val="0033711B"/>
    <w:rsid w:val="003426E6"/>
    <w:rsid w:val="003436DE"/>
    <w:rsid w:val="00344390"/>
    <w:rsid w:val="00346653"/>
    <w:rsid w:val="0035018C"/>
    <w:rsid w:val="00354219"/>
    <w:rsid w:val="00355625"/>
    <w:rsid w:val="003560EB"/>
    <w:rsid w:val="00357E0F"/>
    <w:rsid w:val="00360C81"/>
    <w:rsid w:val="003619AE"/>
    <w:rsid w:val="00372251"/>
    <w:rsid w:val="00372821"/>
    <w:rsid w:val="003729DD"/>
    <w:rsid w:val="00374DA7"/>
    <w:rsid w:val="00375981"/>
    <w:rsid w:val="0038073A"/>
    <w:rsid w:val="00381D62"/>
    <w:rsid w:val="003824EC"/>
    <w:rsid w:val="0038266C"/>
    <w:rsid w:val="00386C05"/>
    <w:rsid w:val="003876A0"/>
    <w:rsid w:val="00387EEA"/>
    <w:rsid w:val="003900DB"/>
    <w:rsid w:val="0039247F"/>
    <w:rsid w:val="00393956"/>
    <w:rsid w:val="00394582"/>
    <w:rsid w:val="00394D6D"/>
    <w:rsid w:val="0039724A"/>
    <w:rsid w:val="003A03C6"/>
    <w:rsid w:val="003A1D79"/>
    <w:rsid w:val="003A2786"/>
    <w:rsid w:val="003A29E6"/>
    <w:rsid w:val="003A31AD"/>
    <w:rsid w:val="003A36E0"/>
    <w:rsid w:val="003A4831"/>
    <w:rsid w:val="003A4E88"/>
    <w:rsid w:val="003A5D4B"/>
    <w:rsid w:val="003A72AA"/>
    <w:rsid w:val="003A768C"/>
    <w:rsid w:val="003A7E67"/>
    <w:rsid w:val="003B045B"/>
    <w:rsid w:val="003B0AA8"/>
    <w:rsid w:val="003B0B0B"/>
    <w:rsid w:val="003B26DD"/>
    <w:rsid w:val="003B4191"/>
    <w:rsid w:val="003B4494"/>
    <w:rsid w:val="003B6099"/>
    <w:rsid w:val="003B6E4B"/>
    <w:rsid w:val="003B6FC7"/>
    <w:rsid w:val="003C1B60"/>
    <w:rsid w:val="003C25EE"/>
    <w:rsid w:val="003C2C21"/>
    <w:rsid w:val="003C2ED8"/>
    <w:rsid w:val="003C2FF7"/>
    <w:rsid w:val="003C3280"/>
    <w:rsid w:val="003C4E66"/>
    <w:rsid w:val="003C5C90"/>
    <w:rsid w:val="003C6E29"/>
    <w:rsid w:val="003D12AB"/>
    <w:rsid w:val="003D14DB"/>
    <w:rsid w:val="003D3F83"/>
    <w:rsid w:val="003D4D92"/>
    <w:rsid w:val="003D4F45"/>
    <w:rsid w:val="003D5772"/>
    <w:rsid w:val="003D57F6"/>
    <w:rsid w:val="003D5A36"/>
    <w:rsid w:val="003D74DA"/>
    <w:rsid w:val="003D761D"/>
    <w:rsid w:val="003E4B89"/>
    <w:rsid w:val="003E56E4"/>
    <w:rsid w:val="003E5BFE"/>
    <w:rsid w:val="003E65E3"/>
    <w:rsid w:val="003E785F"/>
    <w:rsid w:val="003F002A"/>
    <w:rsid w:val="003F0463"/>
    <w:rsid w:val="003F287D"/>
    <w:rsid w:val="003F334A"/>
    <w:rsid w:val="003F58AA"/>
    <w:rsid w:val="003F5FD4"/>
    <w:rsid w:val="003F634A"/>
    <w:rsid w:val="003F64DB"/>
    <w:rsid w:val="003F70F9"/>
    <w:rsid w:val="003F7F82"/>
    <w:rsid w:val="00403B1C"/>
    <w:rsid w:val="004044E8"/>
    <w:rsid w:val="00405236"/>
    <w:rsid w:val="0040545B"/>
    <w:rsid w:val="00405543"/>
    <w:rsid w:val="00410013"/>
    <w:rsid w:val="0041215F"/>
    <w:rsid w:val="0041418C"/>
    <w:rsid w:val="00414CBA"/>
    <w:rsid w:val="00417647"/>
    <w:rsid w:val="00417FC0"/>
    <w:rsid w:val="004233D6"/>
    <w:rsid w:val="0042465A"/>
    <w:rsid w:val="004248A9"/>
    <w:rsid w:val="0042568F"/>
    <w:rsid w:val="0042707A"/>
    <w:rsid w:val="00437127"/>
    <w:rsid w:val="00443C5E"/>
    <w:rsid w:val="00444E5F"/>
    <w:rsid w:val="00447077"/>
    <w:rsid w:val="004479D5"/>
    <w:rsid w:val="00450501"/>
    <w:rsid w:val="00450E5C"/>
    <w:rsid w:val="00460EA9"/>
    <w:rsid w:val="004618D3"/>
    <w:rsid w:val="004632C7"/>
    <w:rsid w:val="00464636"/>
    <w:rsid w:val="004668E7"/>
    <w:rsid w:val="0047129D"/>
    <w:rsid w:val="00472374"/>
    <w:rsid w:val="0047452E"/>
    <w:rsid w:val="00475171"/>
    <w:rsid w:val="00480A2D"/>
    <w:rsid w:val="00483480"/>
    <w:rsid w:val="00483862"/>
    <w:rsid w:val="00484523"/>
    <w:rsid w:val="00484B7A"/>
    <w:rsid w:val="00484E06"/>
    <w:rsid w:val="0048513A"/>
    <w:rsid w:val="00487EB5"/>
    <w:rsid w:val="00490B84"/>
    <w:rsid w:val="004914AC"/>
    <w:rsid w:val="00491EC3"/>
    <w:rsid w:val="00491F55"/>
    <w:rsid w:val="00492569"/>
    <w:rsid w:val="00493933"/>
    <w:rsid w:val="00494085"/>
    <w:rsid w:val="00494479"/>
    <w:rsid w:val="00494C99"/>
    <w:rsid w:val="00495647"/>
    <w:rsid w:val="004957B3"/>
    <w:rsid w:val="00497152"/>
    <w:rsid w:val="004A0075"/>
    <w:rsid w:val="004A65A8"/>
    <w:rsid w:val="004A6721"/>
    <w:rsid w:val="004A6CBB"/>
    <w:rsid w:val="004B0AEB"/>
    <w:rsid w:val="004B41A4"/>
    <w:rsid w:val="004C0DF5"/>
    <w:rsid w:val="004C221F"/>
    <w:rsid w:val="004C3F13"/>
    <w:rsid w:val="004C4713"/>
    <w:rsid w:val="004C50F4"/>
    <w:rsid w:val="004C60F6"/>
    <w:rsid w:val="004D184D"/>
    <w:rsid w:val="004D1ABA"/>
    <w:rsid w:val="004D2AA0"/>
    <w:rsid w:val="004D3C0E"/>
    <w:rsid w:val="004D5810"/>
    <w:rsid w:val="004E0D6C"/>
    <w:rsid w:val="004E0FE2"/>
    <w:rsid w:val="004E1CFE"/>
    <w:rsid w:val="004E4766"/>
    <w:rsid w:val="004E4866"/>
    <w:rsid w:val="004E7151"/>
    <w:rsid w:val="004E7DCD"/>
    <w:rsid w:val="004F080B"/>
    <w:rsid w:val="004F0B78"/>
    <w:rsid w:val="004F0D5C"/>
    <w:rsid w:val="004F122B"/>
    <w:rsid w:val="004F1A76"/>
    <w:rsid w:val="004F58E4"/>
    <w:rsid w:val="00500126"/>
    <w:rsid w:val="00501366"/>
    <w:rsid w:val="00501A09"/>
    <w:rsid w:val="00501DE1"/>
    <w:rsid w:val="0050246D"/>
    <w:rsid w:val="00502FED"/>
    <w:rsid w:val="00503E3B"/>
    <w:rsid w:val="00506304"/>
    <w:rsid w:val="0051146C"/>
    <w:rsid w:val="00511927"/>
    <w:rsid w:val="00511E01"/>
    <w:rsid w:val="00512B4B"/>
    <w:rsid w:val="00513D67"/>
    <w:rsid w:val="0051485B"/>
    <w:rsid w:val="00514876"/>
    <w:rsid w:val="00514C84"/>
    <w:rsid w:val="00515CA4"/>
    <w:rsid w:val="00515DA7"/>
    <w:rsid w:val="00515F81"/>
    <w:rsid w:val="005166CE"/>
    <w:rsid w:val="00516E51"/>
    <w:rsid w:val="005206FF"/>
    <w:rsid w:val="00522E39"/>
    <w:rsid w:val="00523327"/>
    <w:rsid w:val="0052439D"/>
    <w:rsid w:val="00524FB9"/>
    <w:rsid w:val="005250BD"/>
    <w:rsid w:val="00525BA0"/>
    <w:rsid w:val="005260B9"/>
    <w:rsid w:val="005262BB"/>
    <w:rsid w:val="00527577"/>
    <w:rsid w:val="00527A48"/>
    <w:rsid w:val="00530DCF"/>
    <w:rsid w:val="00532857"/>
    <w:rsid w:val="00532946"/>
    <w:rsid w:val="00533D81"/>
    <w:rsid w:val="00534526"/>
    <w:rsid w:val="00535246"/>
    <w:rsid w:val="005359AD"/>
    <w:rsid w:val="00535C72"/>
    <w:rsid w:val="005368AA"/>
    <w:rsid w:val="00540619"/>
    <w:rsid w:val="00541A86"/>
    <w:rsid w:val="00541CA2"/>
    <w:rsid w:val="005423E9"/>
    <w:rsid w:val="00542AE7"/>
    <w:rsid w:val="00543307"/>
    <w:rsid w:val="00543C9C"/>
    <w:rsid w:val="00544085"/>
    <w:rsid w:val="00544A20"/>
    <w:rsid w:val="005455FC"/>
    <w:rsid w:val="005462EB"/>
    <w:rsid w:val="00546D1F"/>
    <w:rsid w:val="00546FFE"/>
    <w:rsid w:val="00547270"/>
    <w:rsid w:val="00547C96"/>
    <w:rsid w:val="005509BF"/>
    <w:rsid w:val="00550EBB"/>
    <w:rsid w:val="0055123C"/>
    <w:rsid w:val="00562895"/>
    <w:rsid w:val="00562C67"/>
    <w:rsid w:val="00562FEE"/>
    <w:rsid w:val="00564618"/>
    <w:rsid w:val="00565174"/>
    <w:rsid w:val="005654B6"/>
    <w:rsid w:val="00566661"/>
    <w:rsid w:val="005669DC"/>
    <w:rsid w:val="00570BE9"/>
    <w:rsid w:val="00570E4E"/>
    <w:rsid w:val="00571964"/>
    <w:rsid w:val="00571C98"/>
    <w:rsid w:val="005721ED"/>
    <w:rsid w:val="00573756"/>
    <w:rsid w:val="00574273"/>
    <w:rsid w:val="0057584F"/>
    <w:rsid w:val="00576538"/>
    <w:rsid w:val="005769E8"/>
    <w:rsid w:val="005802A8"/>
    <w:rsid w:val="0058158C"/>
    <w:rsid w:val="005815DD"/>
    <w:rsid w:val="00583A8A"/>
    <w:rsid w:val="00585CC2"/>
    <w:rsid w:val="005873D4"/>
    <w:rsid w:val="005879D7"/>
    <w:rsid w:val="0059593C"/>
    <w:rsid w:val="00596BA3"/>
    <w:rsid w:val="005A29A4"/>
    <w:rsid w:val="005A3654"/>
    <w:rsid w:val="005A433B"/>
    <w:rsid w:val="005A4824"/>
    <w:rsid w:val="005A63BD"/>
    <w:rsid w:val="005A78EA"/>
    <w:rsid w:val="005B03AE"/>
    <w:rsid w:val="005B088B"/>
    <w:rsid w:val="005B32A8"/>
    <w:rsid w:val="005B3F81"/>
    <w:rsid w:val="005B63D4"/>
    <w:rsid w:val="005B6DFC"/>
    <w:rsid w:val="005B76C8"/>
    <w:rsid w:val="005C08B5"/>
    <w:rsid w:val="005C1A28"/>
    <w:rsid w:val="005C6584"/>
    <w:rsid w:val="005D0C39"/>
    <w:rsid w:val="005D2884"/>
    <w:rsid w:val="005D34D2"/>
    <w:rsid w:val="005D6018"/>
    <w:rsid w:val="005D6694"/>
    <w:rsid w:val="005E0D3B"/>
    <w:rsid w:val="005E1E05"/>
    <w:rsid w:val="005E259D"/>
    <w:rsid w:val="005E263E"/>
    <w:rsid w:val="005E396B"/>
    <w:rsid w:val="005E3AE6"/>
    <w:rsid w:val="005E3F62"/>
    <w:rsid w:val="005E4060"/>
    <w:rsid w:val="005E456C"/>
    <w:rsid w:val="005E661F"/>
    <w:rsid w:val="005E736B"/>
    <w:rsid w:val="005F000B"/>
    <w:rsid w:val="005F02D6"/>
    <w:rsid w:val="005F07FD"/>
    <w:rsid w:val="005F082F"/>
    <w:rsid w:val="005F15BF"/>
    <w:rsid w:val="005F2CAB"/>
    <w:rsid w:val="005F593E"/>
    <w:rsid w:val="005F5E01"/>
    <w:rsid w:val="005F70A1"/>
    <w:rsid w:val="006005DF"/>
    <w:rsid w:val="00603B26"/>
    <w:rsid w:val="00605547"/>
    <w:rsid w:val="006058EE"/>
    <w:rsid w:val="006062BD"/>
    <w:rsid w:val="006065F7"/>
    <w:rsid w:val="00610090"/>
    <w:rsid w:val="00611F39"/>
    <w:rsid w:val="0061305B"/>
    <w:rsid w:val="00616367"/>
    <w:rsid w:val="006169C7"/>
    <w:rsid w:val="00616ACD"/>
    <w:rsid w:val="00616CBD"/>
    <w:rsid w:val="00617DB7"/>
    <w:rsid w:val="00621939"/>
    <w:rsid w:val="006220B3"/>
    <w:rsid w:val="00622589"/>
    <w:rsid w:val="00623739"/>
    <w:rsid w:val="00623F63"/>
    <w:rsid w:val="00627ADA"/>
    <w:rsid w:val="006307D4"/>
    <w:rsid w:val="00631B92"/>
    <w:rsid w:val="00632416"/>
    <w:rsid w:val="006335B8"/>
    <w:rsid w:val="006336AE"/>
    <w:rsid w:val="006337F0"/>
    <w:rsid w:val="00633887"/>
    <w:rsid w:val="0063557C"/>
    <w:rsid w:val="00635D91"/>
    <w:rsid w:val="00636542"/>
    <w:rsid w:val="00637662"/>
    <w:rsid w:val="00640081"/>
    <w:rsid w:val="00642347"/>
    <w:rsid w:val="00643F4C"/>
    <w:rsid w:val="006450B7"/>
    <w:rsid w:val="006451D3"/>
    <w:rsid w:val="006460E9"/>
    <w:rsid w:val="006474DD"/>
    <w:rsid w:val="00647B16"/>
    <w:rsid w:val="006509FE"/>
    <w:rsid w:val="00651108"/>
    <w:rsid w:val="00651B19"/>
    <w:rsid w:val="00651C9F"/>
    <w:rsid w:val="0065300D"/>
    <w:rsid w:val="00655026"/>
    <w:rsid w:val="00656ED9"/>
    <w:rsid w:val="00657C8E"/>
    <w:rsid w:val="006609CD"/>
    <w:rsid w:val="00663488"/>
    <w:rsid w:val="00663943"/>
    <w:rsid w:val="006647C3"/>
    <w:rsid w:val="00664FB4"/>
    <w:rsid w:val="0066617E"/>
    <w:rsid w:val="00666E78"/>
    <w:rsid w:val="00670203"/>
    <w:rsid w:val="00671797"/>
    <w:rsid w:val="0067240A"/>
    <w:rsid w:val="006728D5"/>
    <w:rsid w:val="00672A91"/>
    <w:rsid w:val="00675677"/>
    <w:rsid w:val="006757C7"/>
    <w:rsid w:val="00676108"/>
    <w:rsid w:val="00676144"/>
    <w:rsid w:val="0067724F"/>
    <w:rsid w:val="006811ED"/>
    <w:rsid w:val="00683853"/>
    <w:rsid w:val="00683EC3"/>
    <w:rsid w:val="00684CD0"/>
    <w:rsid w:val="00684DEE"/>
    <w:rsid w:val="006854CB"/>
    <w:rsid w:val="00690397"/>
    <w:rsid w:val="0069052B"/>
    <w:rsid w:val="00691A1A"/>
    <w:rsid w:val="00692114"/>
    <w:rsid w:val="006925BB"/>
    <w:rsid w:val="0069266B"/>
    <w:rsid w:val="00693716"/>
    <w:rsid w:val="00693D11"/>
    <w:rsid w:val="00694254"/>
    <w:rsid w:val="00694490"/>
    <w:rsid w:val="00694A27"/>
    <w:rsid w:val="00694B02"/>
    <w:rsid w:val="00695BE5"/>
    <w:rsid w:val="00696658"/>
    <w:rsid w:val="00697D25"/>
    <w:rsid w:val="006A06C4"/>
    <w:rsid w:val="006A0CD9"/>
    <w:rsid w:val="006A102B"/>
    <w:rsid w:val="006A12CE"/>
    <w:rsid w:val="006A2A71"/>
    <w:rsid w:val="006A363E"/>
    <w:rsid w:val="006A4781"/>
    <w:rsid w:val="006A6529"/>
    <w:rsid w:val="006A7F15"/>
    <w:rsid w:val="006B06F0"/>
    <w:rsid w:val="006B0B18"/>
    <w:rsid w:val="006B14D2"/>
    <w:rsid w:val="006B3860"/>
    <w:rsid w:val="006B4600"/>
    <w:rsid w:val="006B6689"/>
    <w:rsid w:val="006B7F8C"/>
    <w:rsid w:val="006C1FFC"/>
    <w:rsid w:val="006C45F3"/>
    <w:rsid w:val="006C5E8C"/>
    <w:rsid w:val="006C6FE3"/>
    <w:rsid w:val="006C751A"/>
    <w:rsid w:val="006D0E00"/>
    <w:rsid w:val="006D1202"/>
    <w:rsid w:val="006D19D8"/>
    <w:rsid w:val="006D2C7B"/>
    <w:rsid w:val="006D40A4"/>
    <w:rsid w:val="006D411A"/>
    <w:rsid w:val="006D4CF6"/>
    <w:rsid w:val="006D7435"/>
    <w:rsid w:val="006D7C8F"/>
    <w:rsid w:val="006D7EC8"/>
    <w:rsid w:val="006E11DF"/>
    <w:rsid w:val="006E42D8"/>
    <w:rsid w:val="006E4DF6"/>
    <w:rsid w:val="006E5002"/>
    <w:rsid w:val="006E5627"/>
    <w:rsid w:val="006E5B03"/>
    <w:rsid w:val="006E5B76"/>
    <w:rsid w:val="006F0230"/>
    <w:rsid w:val="006F07C8"/>
    <w:rsid w:val="006F101F"/>
    <w:rsid w:val="006F252A"/>
    <w:rsid w:val="006F4549"/>
    <w:rsid w:val="006F5515"/>
    <w:rsid w:val="006F589B"/>
    <w:rsid w:val="006F71A8"/>
    <w:rsid w:val="006F71CC"/>
    <w:rsid w:val="007001A5"/>
    <w:rsid w:val="00701A00"/>
    <w:rsid w:val="007026CA"/>
    <w:rsid w:val="00702A68"/>
    <w:rsid w:val="0070397C"/>
    <w:rsid w:val="00704037"/>
    <w:rsid w:val="00704F02"/>
    <w:rsid w:val="00705788"/>
    <w:rsid w:val="0070582A"/>
    <w:rsid w:val="00711A60"/>
    <w:rsid w:val="00712129"/>
    <w:rsid w:val="00712F19"/>
    <w:rsid w:val="00713DAF"/>
    <w:rsid w:val="00713E2F"/>
    <w:rsid w:val="00714F56"/>
    <w:rsid w:val="007162A8"/>
    <w:rsid w:val="00717A0A"/>
    <w:rsid w:val="007206D4"/>
    <w:rsid w:val="00721102"/>
    <w:rsid w:val="007226EC"/>
    <w:rsid w:val="007235E1"/>
    <w:rsid w:val="00724DE9"/>
    <w:rsid w:val="00726E6D"/>
    <w:rsid w:val="00727F19"/>
    <w:rsid w:val="00730F71"/>
    <w:rsid w:val="00731045"/>
    <w:rsid w:val="007323D5"/>
    <w:rsid w:val="0073425F"/>
    <w:rsid w:val="00734B7D"/>
    <w:rsid w:val="00734E77"/>
    <w:rsid w:val="007365E1"/>
    <w:rsid w:val="007370CF"/>
    <w:rsid w:val="007407B2"/>
    <w:rsid w:val="00741DDB"/>
    <w:rsid w:val="007422DD"/>
    <w:rsid w:val="00743742"/>
    <w:rsid w:val="007502CC"/>
    <w:rsid w:val="007508EF"/>
    <w:rsid w:val="00750D18"/>
    <w:rsid w:val="007515D8"/>
    <w:rsid w:val="0075200C"/>
    <w:rsid w:val="007529E5"/>
    <w:rsid w:val="00752FFE"/>
    <w:rsid w:val="00754E9B"/>
    <w:rsid w:val="007561EA"/>
    <w:rsid w:val="0076045C"/>
    <w:rsid w:val="00761F19"/>
    <w:rsid w:val="00762C94"/>
    <w:rsid w:val="00764566"/>
    <w:rsid w:val="0077023F"/>
    <w:rsid w:val="00770434"/>
    <w:rsid w:val="00771E5A"/>
    <w:rsid w:val="0077211A"/>
    <w:rsid w:val="00772854"/>
    <w:rsid w:val="00772F0B"/>
    <w:rsid w:val="00773F7E"/>
    <w:rsid w:val="007743AC"/>
    <w:rsid w:val="007802ED"/>
    <w:rsid w:val="007813CD"/>
    <w:rsid w:val="00781C8C"/>
    <w:rsid w:val="0078244A"/>
    <w:rsid w:val="00782503"/>
    <w:rsid w:val="0078303D"/>
    <w:rsid w:val="007832FA"/>
    <w:rsid w:val="00783BFC"/>
    <w:rsid w:val="007847A3"/>
    <w:rsid w:val="00784A5D"/>
    <w:rsid w:val="00784C76"/>
    <w:rsid w:val="00785003"/>
    <w:rsid w:val="00785C5B"/>
    <w:rsid w:val="007860AF"/>
    <w:rsid w:val="0078632D"/>
    <w:rsid w:val="00790050"/>
    <w:rsid w:val="007928E2"/>
    <w:rsid w:val="00794CB6"/>
    <w:rsid w:val="00796814"/>
    <w:rsid w:val="00796E68"/>
    <w:rsid w:val="007A0FA2"/>
    <w:rsid w:val="007A12DA"/>
    <w:rsid w:val="007A2ACA"/>
    <w:rsid w:val="007A513E"/>
    <w:rsid w:val="007A5171"/>
    <w:rsid w:val="007B09DA"/>
    <w:rsid w:val="007B217F"/>
    <w:rsid w:val="007B2CEC"/>
    <w:rsid w:val="007B39C3"/>
    <w:rsid w:val="007B5A7E"/>
    <w:rsid w:val="007B626E"/>
    <w:rsid w:val="007B7076"/>
    <w:rsid w:val="007B75C0"/>
    <w:rsid w:val="007B7833"/>
    <w:rsid w:val="007C0235"/>
    <w:rsid w:val="007C17B1"/>
    <w:rsid w:val="007C2DA2"/>
    <w:rsid w:val="007C3D23"/>
    <w:rsid w:val="007C62CA"/>
    <w:rsid w:val="007C7F06"/>
    <w:rsid w:val="007D0905"/>
    <w:rsid w:val="007D120D"/>
    <w:rsid w:val="007D3D9D"/>
    <w:rsid w:val="007D3DC7"/>
    <w:rsid w:val="007D4AA9"/>
    <w:rsid w:val="007D4CC9"/>
    <w:rsid w:val="007D4F28"/>
    <w:rsid w:val="007D549D"/>
    <w:rsid w:val="007D6BCD"/>
    <w:rsid w:val="007D72EC"/>
    <w:rsid w:val="007E0320"/>
    <w:rsid w:val="007E0426"/>
    <w:rsid w:val="007E0568"/>
    <w:rsid w:val="007E0F1F"/>
    <w:rsid w:val="007E3412"/>
    <w:rsid w:val="007F0151"/>
    <w:rsid w:val="007F1EAC"/>
    <w:rsid w:val="007F2D7F"/>
    <w:rsid w:val="007F3BCB"/>
    <w:rsid w:val="007F3BFB"/>
    <w:rsid w:val="007F4C8A"/>
    <w:rsid w:val="007F5C05"/>
    <w:rsid w:val="007F7721"/>
    <w:rsid w:val="007F77B6"/>
    <w:rsid w:val="007F7F2B"/>
    <w:rsid w:val="0080027B"/>
    <w:rsid w:val="0080120B"/>
    <w:rsid w:val="008014B0"/>
    <w:rsid w:val="00802A8F"/>
    <w:rsid w:val="00806F30"/>
    <w:rsid w:val="0081027D"/>
    <w:rsid w:val="008116DB"/>
    <w:rsid w:val="00812095"/>
    <w:rsid w:val="00812321"/>
    <w:rsid w:val="00814758"/>
    <w:rsid w:val="00814DCB"/>
    <w:rsid w:val="00815DED"/>
    <w:rsid w:val="00816D2D"/>
    <w:rsid w:val="00817698"/>
    <w:rsid w:val="00821CF0"/>
    <w:rsid w:val="00821FA3"/>
    <w:rsid w:val="0082553D"/>
    <w:rsid w:val="00826C3C"/>
    <w:rsid w:val="00827B9B"/>
    <w:rsid w:val="00831D61"/>
    <w:rsid w:val="00837E9D"/>
    <w:rsid w:val="00841D58"/>
    <w:rsid w:val="008420B7"/>
    <w:rsid w:val="00842AED"/>
    <w:rsid w:val="00843FC2"/>
    <w:rsid w:val="0084499B"/>
    <w:rsid w:val="0084529F"/>
    <w:rsid w:val="00845F35"/>
    <w:rsid w:val="00847406"/>
    <w:rsid w:val="0085067F"/>
    <w:rsid w:val="00850E13"/>
    <w:rsid w:val="00851044"/>
    <w:rsid w:val="0085120E"/>
    <w:rsid w:val="008519DC"/>
    <w:rsid w:val="008541A7"/>
    <w:rsid w:val="00854571"/>
    <w:rsid w:val="0086305B"/>
    <w:rsid w:val="00864E8B"/>
    <w:rsid w:val="008652B8"/>
    <w:rsid w:val="008652D1"/>
    <w:rsid w:val="00866843"/>
    <w:rsid w:val="0087028F"/>
    <w:rsid w:val="0087119F"/>
    <w:rsid w:val="00873BB8"/>
    <w:rsid w:val="00877A09"/>
    <w:rsid w:val="00877E26"/>
    <w:rsid w:val="00882AD1"/>
    <w:rsid w:val="00882B39"/>
    <w:rsid w:val="008847D1"/>
    <w:rsid w:val="00884B2C"/>
    <w:rsid w:val="008855FA"/>
    <w:rsid w:val="00885C0F"/>
    <w:rsid w:val="00885F52"/>
    <w:rsid w:val="00886FC4"/>
    <w:rsid w:val="00890387"/>
    <w:rsid w:val="00890AB8"/>
    <w:rsid w:val="00892BED"/>
    <w:rsid w:val="00893CE3"/>
    <w:rsid w:val="008964F6"/>
    <w:rsid w:val="008972B9"/>
    <w:rsid w:val="00897A38"/>
    <w:rsid w:val="008A1009"/>
    <w:rsid w:val="008A3E8F"/>
    <w:rsid w:val="008A4299"/>
    <w:rsid w:val="008A5036"/>
    <w:rsid w:val="008A53A5"/>
    <w:rsid w:val="008A6787"/>
    <w:rsid w:val="008B08AD"/>
    <w:rsid w:val="008B09BD"/>
    <w:rsid w:val="008B0A5C"/>
    <w:rsid w:val="008B0A92"/>
    <w:rsid w:val="008B12F4"/>
    <w:rsid w:val="008B19D8"/>
    <w:rsid w:val="008B1A44"/>
    <w:rsid w:val="008B2F9D"/>
    <w:rsid w:val="008B39A1"/>
    <w:rsid w:val="008B45C3"/>
    <w:rsid w:val="008B479F"/>
    <w:rsid w:val="008B51E7"/>
    <w:rsid w:val="008B545B"/>
    <w:rsid w:val="008B5E0B"/>
    <w:rsid w:val="008B62D0"/>
    <w:rsid w:val="008B7A29"/>
    <w:rsid w:val="008B7EE4"/>
    <w:rsid w:val="008C106E"/>
    <w:rsid w:val="008C439E"/>
    <w:rsid w:val="008C4B42"/>
    <w:rsid w:val="008C50E5"/>
    <w:rsid w:val="008C5490"/>
    <w:rsid w:val="008C7F6F"/>
    <w:rsid w:val="008D096E"/>
    <w:rsid w:val="008D2790"/>
    <w:rsid w:val="008D42A0"/>
    <w:rsid w:val="008D4C2C"/>
    <w:rsid w:val="008D5E53"/>
    <w:rsid w:val="008D6020"/>
    <w:rsid w:val="008E0842"/>
    <w:rsid w:val="008E093E"/>
    <w:rsid w:val="008E2FFE"/>
    <w:rsid w:val="008E3303"/>
    <w:rsid w:val="008E3777"/>
    <w:rsid w:val="008E3D79"/>
    <w:rsid w:val="008E3DF4"/>
    <w:rsid w:val="008E4A56"/>
    <w:rsid w:val="008E4C58"/>
    <w:rsid w:val="008E5198"/>
    <w:rsid w:val="008E7DC9"/>
    <w:rsid w:val="008F1818"/>
    <w:rsid w:val="008F2462"/>
    <w:rsid w:val="008F2BBD"/>
    <w:rsid w:val="008F4022"/>
    <w:rsid w:val="008F4E6E"/>
    <w:rsid w:val="008F547F"/>
    <w:rsid w:val="008F5636"/>
    <w:rsid w:val="008F62CA"/>
    <w:rsid w:val="008F728E"/>
    <w:rsid w:val="00901268"/>
    <w:rsid w:val="00901AE4"/>
    <w:rsid w:val="00902F7D"/>
    <w:rsid w:val="00903384"/>
    <w:rsid w:val="00903411"/>
    <w:rsid w:val="00904D8D"/>
    <w:rsid w:val="009103CA"/>
    <w:rsid w:val="009128AD"/>
    <w:rsid w:val="0091418C"/>
    <w:rsid w:val="00914D6B"/>
    <w:rsid w:val="00915497"/>
    <w:rsid w:val="00915DFC"/>
    <w:rsid w:val="00916FD5"/>
    <w:rsid w:val="00920899"/>
    <w:rsid w:val="00920B0A"/>
    <w:rsid w:val="00922004"/>
    <w:rsid w:val="00922D0F"/>
    <w:rsid w:val="009234A9"/>
    <w:rsid w:val="00923571"/>
    <w:rsid w:val="0092397B"/>
    <w:rsid w:val="0092456C"/>
    <w:rsid w:val="00925140"/>
    <w:rsid w:val="00925189"/>
    <w:rsid w:val="0092630C"/>
    <w:rsid w:val="0092731E"/>
    <w:rsid w:val="00927BBF"/>
    <w:rsid w:val="00927CC4"/>
    <w:rsid w:val="00933267"/>
    <w:rsid w:val="009338DC"/>
    <w:rsid w:val="00934722"/>
    <w:rsid w:val="00934BCD"/>
    <w:rsid w:val="00934E2E"/>
    <w:rsid w:val="009374DE"/>
    <w:rsid w:val="0094049B"/>
    <w:rsid w:val="00940771"/>
    <w:rsid w:val="00940D87"/>
    <w:rsid w:val="00941C45"/>
    <w:rsid w:val="009422D1"/>
    <w:rsid w:val="009430EA"/>
    <w:rsid w:val="00943ED0"/>
    <w:rsid w:val="009451E5"/>
    <w:rsid w:val="009452B5"/>
    <w:rsid w:val="00945511"/>
    <w:rsid w:val="00947CB1"/>
    <w:rsid w:val="00947D9E"/>
    <w:rsid w:val="00952DBF"/>
    <w:rsid w:val="00953E45"/>
    <w:rsid w:val="0095465B"/>
    <w:rsid w:val="00954D30"/>
    <w:rsid w:val="00955040"/>
    <w:rsid w:val="0095651E"/>
    <w:rsid w:val="00956ECA"/>
    <w:rsid w:val="00957D51"/>
    <w:rsid w:val="009615D1"/>
    <w:rsid w:val="0096418E"/>
    <w:rsid w:val="009641F2"/>
    <w:rsid w:val="00964392"/>
    <w:rsid w:val="00964D4F"/>
    <w:rsid w:val="00965887"/>
    <w:rsid w:val="00967311"/>
    <w:rsid w:val="00970226"/>
    <w:rsid w:val="00971138"/>
    <w:rsid w:val="00971518"/>
    <w:rsid w:val="009722E3"/>
    <w:rsid w:val="00973349"/>
    <w:rsid w:val="009749A0"/>
    <w:rsid w:val="009774DF"/>
    <w:rsid w:val="00977853"/>
    <w:rsid w:val="009807E9"/>
    <w:rsid w:val="00980F9C"/>
    <w:rsid w:val="00981033"/>
    <w:rsid w:val="009816D8"/>
    <w:rsid w:val="00982393"/>
    <w:rsid w:val="009826FD"/>
    <w:rsid w:val="00982C9A"/>
    <w:rsid w:val="00982EE7"/>
    <w:rsid w:val="009833EA"/>
    <w:rsid w:val="00985737"/>
    <w:rsid w:val="009858A7"/>
    <w:rsid w:val="009908F1"/>
    <w:rsid w:val="00993D14"/>
    <w:rsid w:val="0099549E"/>
    <w:rsid w:val="00997A0B"/>
    <w:rsid w:val="009A02DF"/>
    <w:rsid w:val="009A0E6E"/>
    <w:rsid w:val="009A3079"/>
    <w:rsid w:val="009A3B49"/>
    <w:rsid w:val="009A4F87"/>
    <w:rsid w:val="009A5421"/>
    <w:rsid w:val="009A56D9"/>
    <w:rsid w:val="009A5C20"/>
    <w:rsid w:val="009B03E9"/>
    <w:rsid w:val="009B3FB9"/>
    <w:rsid w:val="009B40F6"/>
    <w:rsid w:val="009B484F"/>
    <w:rsid w:val="009B4DA2"/>
    <w:rsid w:val="009B53A2"/>
    <w:rsid w:val="009B7250"/>
    <w:rsid w:val="009B7291"/>
    <w:rsid w:val="009C1A58"/>
    <w:rsid w:val="009C1CCA"/>
    <w:rsid w:val="009C3279"/>
    <w:rsid w:val="009C3A5D"/>
    <w:rsid w:val="009C3C0C"/>
    <w:rsid w:val="009C7617"/>
    <w:rsid w:val="009D08ED"/>
    <w:rsid w:val="009D1A67"/>
    <w:rsid w:val="009D1BB4"/>
    <w:rsid w:val="009D3D1E"/>
    <w:rsid w:val="009D437E"/>
    <w:rsid w:val="009D6352"/>
    <w:rsid w:val="009D6B58"/>
    <w:rsid w:val="009D7132"/>
    <w:rsid w:val="009D799E"/>
    <w:rsid w:val="009E10EF"/>
    <w:rsid w:val="009E1EB5"/>
    <w:rsid w:val="009E4F5B"/>
    <w:rsid w:val="009E5816"/>
    <w:rsid w:val="009E7AED"/>
    <w:rsid w:val="009E7F4F"/>
    <w:rsid w:val="009F0057"/>
    <w:rsid w:val="009F4133"/>
    <w:rsid w:val="009F42C1"/>
    <w:rsid w:val="009F4A63"/>
    <w:rsid w:val="009F7C6F"/>
    <w:rsid w:val="00A0109B"/>
    <w:rsid w:val="00A02AC3"/>
    <w:rsid w:val="00A02E73"/>
    <w:rsid w:val="00A0315D"/>
    <w:rsid w:val="00A03BB3"/>
    <w:rsid w:val="00A04D19"/>
    <w:rsid w:val="00A05098"/>
    <w:rsid w:val="00A0720E"/>
    <w:rsid w:val="00A07F04"/>
    <w:rsid w:val="00A109A3"/>
    <w:rsid w:val="00A136F9"/>
    <w:rsid w:val="00A13F71"/>
    <w:rsid w:val="00A14462"/>
    <w:rsid w:val="00A15486"/>
    <w:rsid w:val="00A1641C"/>
    <w:rsid w:val="00A16EA0"/>
    <w:rsid w:val="00A21F25"/>
    <w:rsid w:val="00A22CA1"/>
    <w:rsid w:val="00A230FD"/>
    <w:rsid w:val="00A24461"/>
    <w:rsid w:val="00A248FA"/>
    <w:rsid w:val="00A261C1"/>
    <w:rsid w:val="00A2700F"/>
    <w:rsid w:val="00A27574"/>
    <w:rsid w:val="00A30D54"/>
    <w:rsid w:val="00A30EFE"/>
    <w:rsid w:val="00A31BDB"/>
    <w:rsid w:val="00A32D14"/>
    <w:rsid w:val="00A33B9E"/>
    <w:rsid w:val="00A33C7F"/>
    <w:rsid w:val="00A34B0B"/>
    <w:rsid w:val="00A375E5"/>
    <w:rsid w:val="00A37CF2"/>
    <w:rsid w:val="00A40E14"/>
    <w:rsid w:val="00A41C48"/>
    <w:rsid w:val="00A43460"/>
    <w:rsid w:val="00A4555C"/>
    <w:rsid w:val="00A455B2"/>
    <w:rsid w:val="00A46DE3"/>
    <w:rsid w:val="00A47A7E"/>
    <w:rsid w:val="00A51087"/>
    <w:rsid w:val="00A516D3"/>
    <w:rsid w:val="00A556E8"/>
    <w:rsid w:val="00A56083"/>
    <w:rsid w:val="00A57C83"/>
    <w:rsid w:val="00A60173"/>
    <w:rsid w:val="00A6109F"/>
    <w:rsid w:val="00A61E0D"/>
    <w:rsid w:val="00A64142"/>
    <w:rsid w:val="00A655B3"/>
    <w:rsid w:val="00A66697"/>
    <w:rsid w:val="00A66CDD"/>
    <w:rsid w:val="00A70B21"/>
    <w:rsid w:val="00A70F09"/>
    <w:rsid w:val="00A71939"/>
    <w:rsid w:val="00A7417B"/>
    <w:rsid w:val="00A7428A"/>
    <w:rsid w:val="00A7558A"/>
    <w:rsid w:val="00A75BDC"/>
    <w:rsid w:val="00A76096"/>
    <w:rsid w:val="00A803AA"/>
    <w:rsid w:val="00A80BD7"/>
    <w:rsid w:val="00A8176B"/>
    <w:rsid w:val="00A81FC1"/>
    <w:rsid w:val="00A82039"/>
    <w:rsid w:val="00A82521"/>
    <w:rsid w:val="00A82B5F"/>
    <w:rsid w:val="00A83D1A"/>
    <w:rsid w:val="00A91F73"/>
    <w:rsid w:val="00A92D81"/>
    <w:rsid w:val="00A93D47"/>
    <w:rsid w:val="00A93FA8"/>
    <w:rsid w:val="00A94870"/>
    <w:rsid w:val="00A95CC8"/>
    <w:rsid w:val="00A9662E"/>
    <w:rsid w:val="00AA3677"/>
    <w:rsid w:val="00AA48C6"/>
    <w:rsid w:val="00AA60D5"/>
    <w:rsid w:val="00AA675C"/>
    <w:rsid w:val="00AA742A"/>
    <w:rsid w:val="00AB0AE1"/>
    <w:rsid w:val="00AB0D97"/>
    <w:rsid w:val="00AB1F84"/>
    <w:rsid w:val="00AB3666"/>
    <w:rsid w:val="00AB5AD0"/>
    <w:rsid w:val="00AB5FF5"/>
    <w:rsid w:val="00AC1ECE"/>
    <w:rsid w:val="00AC3A15"/>
    <w:rsid w:val="00AC400D"/>
    <w:rsid w:val="00AC4857"/>
    <w:rsid w:val="00AC4EFA"/>
    <w:rsid w:val="00AC571C"/>
    <w:rsid w:val="00AC5B85"/>
    <w:rsid w:val="00AC5BF1"/>
    <w:rsid w:val="00AC7207"/>
    <w:rsid w:val="00AC7582"/>
    <w:rsid w:val="00AD2370"/>
    <w:rsid w:val="00AD2381"/>
    <w:rsid w:val="00AD467D"/>
    <w:rsid w:val="00AD490E"/>
    <w:rsid w:val="00AD529F"/>
    <w:rsid w:val="00AD5D28"/>
    <w:rsid w:val="00AD5D53"/>
    <w:rsid w:val="00AD6FB4"/>
    <w:rsid w:val="00AD73F7"/>
    <w:rsid w:val="00AD742C"/>
    <w:rsid w:val="00AD7DD0"/>
    <w:rsid w:val="00AD7EC3"/>
    <w:rsid w:val="00AE0133"/>
    <w:rsid w:val="00AE015B"/>
    <w:rsid w:val="00AE04CE"/>
    <w:rsid w:val="00AE0ADB"/>
    <w:rsid w:val="00AE0DC2"/>
    <w:rsid w:val="00AE13B8"/>
    <w:rsid w:val="00AE1EBB"/>
    <w:rsid w:val="00AE23F0"/>
    <w:rsid w:val="00AE388A"/>
    <w:rsid w:val="00AE67AA"/>
    <w:rsid w:val="00AE6C1C"/>
    <w:rsid w:val="00AF0511"/>
    <w:rsid w:val="00AF051A"/>
    <w:rsid w:val="00AF11CE"/>
    <w:rsid w:val="00AF1D52"/>
    <w:rsid w:val="00AF4D33"/>
    <w:rsid w:val="00AF637B"/>
    <w:rsid w:val="00AF69A5"/>
    <w:rsid w:val="00AF6FF4"/>
    <w:rsid w:val="00AF7321"/>
    <w:rsid w:val="00AF7327"/>
    <w:rsid w:val="00AF7C47"/>
    <w:rsid w:val="00B01BB9"/>
    <w:rsid w:val="00B04A4D"/>
    <w:rsid w:val="00B05517"/>
    <w:rsid w:val="00B059A5"/>
    <w:rsid w:val="00B05B36"/>
    <w:rsid w:val="00B064A8"/>
    <w:rsid w:val="00B06BD8"/>
    <w:rsid w:val="00B06EC3"/>
    <w:rsid w:val="00B11037"/>
    <w:rsid w:val="00B1297B"/>
    <w:rsid w:val="00B13499"/>
    <w:rsid w:val="00B13C04"/>
    <w:rsid w:val="00B140CA"/>
    <w:rsid w:val="00B16C59"/>
    <w:rsid w:val="00B17D96"/>
    <w:rsid w:val="00B2215B"/>
    <w:rsid w:val="00B223B1"/>
    <w:rsid w:val="00B225A5"/>
    <w:rsid w:val="00B249B0"/>
    <w:rsid w:val="00B24C98"/>
    <w:rsid w:val="00B25A17"/>
    <w:rsid w:val="00B2627D"/>
    <w:rsid w:val="00B27A56"/>
    <w:rsid w:val="00B30700"/>
    <w:rsid w:val="00B3078B"/>
    <w:rsid w:val="00B30FB1"/>
    <w:rsid w:val="00B31D45"/>
    <w:rsid w:val="00B34CE2"/>
    <w:rsid w:val="00B3628F"/>
    <w:rsid w:val="00B36F57"/>
    <w:rsid w:val="00B370D8"/>
    <w:rsid w:val="00B37220"/>
    <w:rsid w:val="00B42B91"/>
    <w:rsid w:val="00B43808"/>
    <w:rsid w:val="00B46A3D"/>
    <w:rsid w:val="00B470E8"/>
    <w:rsid w:val="00B50A8F"/>
    <w:rsid w:val="00B50E54"/>
    <w:rsid w:val="00B51F7E"/>
    <w:rsid w:val="00B52E1A"/>
    <w:rsid w:val="00B572D5"/>
    <w:rsid w:val="00B60148"/>
    <w:rsid w:val="00B60527"/>
    <w:rsid w:val="00B61475"/>
    <w:rsid w:val="00B614A2"/>
    <w:rsid w:val="00B62176"/>
    <w:rsid w:val="00B62618"/>
    <w:rsid w:val="00B626FB"/>
    <w:rsid w:val="00B62ADA"/>
    <w:rsid w:val="00B64DB2"/>
    <w:rsid w:val="00B664D1"/>
    <w:rsid w:val="00B667A1"/>
    <w:rsid w:val="00B66867"/>
    <w:rsid w:val="00B677C5"/>
    <w:rsid w:val="00B7047D"/>
    <w:rsid w:val="00B710F1"/>
    <w:rsid w:val="00B71B5B"/>
    <w:rsid w:val="00B71FC0"/>
    <w:rsid w:val="00B72DCC"/>
    <w:rsid w:val="00B750B0"/>
    <w:rsid w:val="00B756DB"/>
    <w:rsid w:val="00B76843"/>
    <w:rsid w:val="00B76944"/>
    <w:rsid w:val="00B76C7C"/>
    <w:rsid w:val="00B76CDF"/>
    <w:rsid w:val="00B77418"/>
    <w:rsid w:val="00B8001B"/>
    <w:rsid w:val="00B800B0"/>
    <w:rsid w:val="00B80BD8"/>
    <w:rsid w:val="00B82EA8"/>
    <w:rsid w:val="00B83C61"/>
    <w:rsid w:val="00B84785"/>
    <w:rsid w:val="00B854E7"/>
    <w:rsid w:val="00B856E6"/>
    <w:rsid w:val="00B86911"/>
    <w:rsid w:val="00B87106"/>
    <w:rsid w:val="00B87FD7"/>
    <w:rsid w:val="00B91348"/>
    <w:rsid w:val="00B91960"/>
    <w:rsid w:val="00B9352D"/>
    <w:rsid w:val="00B93D73"/>
    <w:rsid w:val="00B94AB9"/>
    <w:rsid w:val="00B94CF9"/>
    <w:rsid w:val="00B951DF"/>
    <w:rsid w:val="00B95A1A"/>
    <w:rsid w:val="00B961D3"/>
    <w:rsid w:val="00BA185F"/>
    <w:rsid w:val="00BA2133"/>
    <w:rsid w:val="00BA276C"/>
    <w:rsid w:val="00BA2B53"/>
    <w:rsid w:val="00BA3C57"/>
    <w:rsid w:val="00BA4383"/>
    <w:rsid w:val="00BA5150"/>
    <w:rsid w:val="00BA6A3B"/>
    <w:rsid w:val="00BA6BCF"/>
    <w:rsid w:val="00BA6D57"/>
    <w:rsid w:val="00BB03A9"/>
    <w:rsid w:val="00BB0DF6"/>
    <w:rsid w:val="00BB3C70"/>
    <w:rsid w:val="00BB3E3B"/>
    <w:rsid w:val="00BB5595"/>
    <w:rsid w:val="00BB62D9"/>
    <w:rsid w:val="00BB6376"/>
    <w:rsid w:val="00BB65E6"/>
    <w:rsid w:val="00BB71AA"/>
    <w:rsid w:val="00BC15A8"/>
    <w:rsid w:val="00BC3901"/>
    <w:rsid w:val="00BC409D"/>
    <w:rsid w:val="00BC40FF"/>
    <w:rsid w:val="00BC4528"/>
    <w:rsid w:val="00BC51C4"/>
    <w:rsid w:val="00BC6198"/>
    <w:rsid w:val="00BC6222"/>
    <w:rsid w:val="00BC6A00"/>
    <w:rsid w:val="00BC6AF7"/>
    <w:rsid w:val="00BC7DDA"/>
    <w:rsid w:val="00BD1259"/>
    <w:rsid w:val="00BD1446"/>
    <w:rsid w:val="00BD4C38"/>
    <w:rsid w:val="00BD4FBD"/>
    <w:rsid w:val="00BD5010"/>
    <w:rsid w:val="00BD6C5F"/>
    <w:rsid w:val="00BD7040"/>
    <w:rsid w:val="00BD7D1D"/>
    <w:rsid w:val="00BE0DEE"/>
    <w:rsid w:val="00BE1360"/>
    <w:rsid w:val="00BE143D"/>
    <w:rsid w:val="00BE195B"/>
    <w:rsid w:val="00BE548A"/>
    <w:rsid w:val="00BE6C18"/>
    <w:rsid w:val="00BE6EF8"/>
    <w:rsid w:val="00BE70A5"/>
    <w:rsid w:val="00BF0C39"/>
    <w:rsid w:val="00BF10E9"/>
    <w:rsid w:val="00BF1AD5"/>
    <w:rsid w:val="00BF3B37"/>
    <w:rsid w:val="00BF4352"/>
    <w:rsid w:val="00BF4CE5"/>
    <w:rsid w:val="00BF505C"/>
    <w:rsid w:val="00BF5344"/>
    <w:rsid w:val="00BF60E5"/>
    <w:rsid w:val="00BF6549"/>
    <w:rsid w:val="00BF7B96"/>
    <w:rsid w:val="00C00317"/>
    <w:rsid w:val="00C05200"/>
    <w:rsid w:val="00C05246"/>
    <w:rsid w:val="00C0740A"/>
    <w:rsid w:val="00C101F7"/>
    <w:rsid w:val="00C10951"/>
    <w:rsid w:val="00C113A7"/>
    <w:rsid w:val="00C1150B"/>
    <w:rsid w:val="00C11E24"/>
    <w:rsid w:val="00C1245F"/>
    <w:rsid w:val="00C12E48"/>
    <w:rsid w:val="00C14F31"/>
    <w:rsid w:val="00C1520C"/>
    <w:rsid w:val="00C16B52"/>
    <w:rsid w:val="00C2068A"/>
    <w:rsid w:val="00C20E34"/>
    <w:rsid w:val="00C20F85"/>
    <w:rsid w:val="00C21B08"/>
    <w:rsid w:val="00C22958"/>
    <w:rsid w:val="00C24032"/>
    <w:rsid w:val="00C25CA4"/>
    <w:rsid w:val="00C25F8D"/>
    <w:rsid w:val="00C30117"/>
    <w:rsid w:val="00C30D9E"/>
    <w:rsid w:val="00C31371"/>
    <w:rsid w:val="00C342C2"/>
    <w:rsid w:val="00C34CB1"/>
    <w:rsid w:val="00C35B66"/>
    <w:rsid w:val="00C369DF"/>
    <w:rsid w:val="00C36BB5"/>
    <w:rsid w:val="00C3724B"/>
    <w:rsid w:val="00C376BE"/>
    <w:rsid w:val="00C37FED"/>
    <w:rsid w:val="00C42541"/>
    <w:rsid w:val="00C43F63"/>
    <w:rsid w:val="00C470C7"/>
    <w:rsid w:val="00C5041D"/>
    <w:rsid w:val="00C5057A"/>
    <w:rsid w:val="00C50592"/>
    <w:rsid w:val="00C519B3"/>
    <w:rsid w:val="00C51F8E"/>
    <w:rsid w:val="00C527AC"/>
    <w:rsid w:val="00C52A08"/>
    <w:rsid w:val="00C53813"/>
    <w:rsid w:val="00C60D4E"/>
    <w:rsid w:val="00C61BA0"/>
    <w:rsid w:val="00C61D53"/>
    <w:rsid w:val="00C6246A"/>
    <w:rsid w:val="00C6254B"/>
    <w:rsid w:val="00C64197"/>
    <w:rsid w:val="00C6511D"/>
    <w:rsid w:val="00C65E65"/>
    <w:rsid w:val="00C67955"/>
    <w:rsid w:val="00C70070"/>
    <w:rsid w:val="00C70900"/>
    <w:rsid w:val="00C70ADA"/>
    <w:rsid w:val="00C7322C"/>
    <w:rsid w:val="00C73AC9"/>
    <w:rsid w:val="00C73D39"/>
    <w:rsid w:val="00C73D5E"/>
    <w:rsid w:val="00C75C79"/>
    <w:rsid w:val="00C76C8A"/>
    <w:rsid w:val="00C77214"/>
    <w:rsid w:val="00C800F7"/>
    <w:rsid w:val="00C80B2C"/>
    <w:rsid w:val="00C80EE5"/>
    <w:rsid w:val="00C81F9D"/>
    <w:rsid w:val="00C844BD"/>
    <w:rsid w:val="00C84629"/>
    <w:rsid w:val="00C84D9D"/>
    <w:rsid w:val="00C86BE7"/>
    <w:rsid w:val="00C90B15"/>
    <w:rsid w:val="00C92F71"/>
    <w:rsid w:val="00C935F5"/>
    <w:rsid w:val="00CA00B9"/>
    <w:rsid w:val="00CA0C47"/>
    <w:rsid w:val="00CA0D8C"/>
    <w:rsid w:val="00CA1F76"/>
    <w:rsid w:val="00CA2211"/>
    <w:rsid w:val="00CA2DDD"/>
    <w:rsid w:val="00CA416F"/>
    <w:rsid w:val="00CA505B"/>
    <w:rsid w:val="00CA57D7"/>
    <w:rsid w:val="00CA5C33"/>
    <w:rsid w:val="00CA5D27"/>
    <w:rsid w:val="00CA6E6F"/>
    <w:rsid w:val="00CA7B81"/>
    <w:rsid w:val="00CA7D8A"/>
    <w:rsid w:val="00CB5D21"/>
    <w:rsid w:val="00CB5FDE"/>
    <w:rsid w:val="00CB62F6"/>
    <w:rsid w:val="00CB6B23"/>
    <w:rsid w:val="00CB71CE"/>
    <w:rsid w:val="00CB75A3"/>
    <w:rsid w:val="00CB7E32"/>
    <w:rsid w:val="00CC352A"/>
    <w:rsid w:val="00CC3724"/>
    <w:rsid w:val="00CC3CE3"/>
    <w:rsid w:val="00CC5D55"/>
    <w:rsid w:val="00CC6B83"/>
    <w:rsid w:val="00CC72CD"/>
    <w:rsid w:val="00CC72E1"/>
    <w:rsid w:val="00CD362C"/>
    <w:rsid w:val="00CD424D"/>
    <w:rsid w:val="00CD4FE0"/>
    <w:rsid w:val="00CE0635"/>
    <w:rsid w:val="00CE0A8B"/>
    <w:rsid w:val="00CE0D5A"/>
    <w:rsid w:val="00CE1CED"/>
    <w:rsid w:val="00CE2879"/>
    <w:rsid w:val="00CE344C"/>
    <w:rsid w:val="00CE51D0"/>
    <w:rsid w:val="00CF008E"/>
    <w:rsid w:val="00CF0C96"/>
    <w:rsid w:val="00CF1B9A"/>
    <w:rsid w:val="00CF39EF"/>
    <w:rsid w:val="00CF457A"/>
    <w:rsid w:val="00CF53AA"/>
    <w:rsid w:val="00CF53F3"/>
    <w:rsid w:val="00CF5FF6"/>
    <w:rsid w:val="00CF6695"/>
    <w:rsid w:val="00D017AD"/>
    <w:rsid w:val="00D02CA4"/>
    <w:rsid w:val="00D02F86"/>
    <w:rsid w:val="00D04BC6"/>
    <w:rsid w:val="00D04EE9"/>
    <w:rsid w:val="00D05A3F"/>
    <w:rsid w:val="00D06338"/>
    <w:rsid w:val="00D071C3"/>
    <w:rsid w:val="00D07531"/>
    <w:rsid w:val="00D07954"/>
    <w:rsid w:val="00D1045D"/>
    <w:rsid w:val="00D11E3C"/>
    <w:rsid w:val="00D12BB9"/>
    <w:rsid w:val="00D13B23"/>
    <w:rsid w:val="00D14F52"/>
    <w:rsid w:val="00D171E0"/>
    <w:rsid w:val="00D17258"/>
    <w:rsid w:val="00D1729D"/>
    <w:rsid w:val="00D173FA"/>
    <w:rsid w:val="00D1741F"/>
    <w:rsid w:val="00D21B46"/>
    <w:rsid w:val="00D24B35"/>
    <w:rsid w:val="00D2575F"/>
    <w:rsid w:val="00D264DB"/>
    <w:rsid w:val="00D2769D"/>
    <w:rsid w:val="00D27CFD"/>
    <w:rsid w:val="00D27E4D"/>
    <w:rsid w:val="00D3014E"/>
    <w:rsid w:val="00D30D0E"/>
    <w:rsid w:val="00D31EE7"/>
    <w:rsid w:val="00D33D5D"/>
    <w:rsid w:val="00D345AE"/>
    <w:rsid w:val="00D3511B"/>
    <w:rsid w:val="00D35456"/>
    <w:rsid w:val="00D40444"/>
    <w:rsid w:val="00D41A29"/>
    <w:rsid w:val="00D42AF4"/>
    <w:rsid w:val="00D42BFF"/>
    <w:rsid w:val="00D43452"/>
    <w:rsid w:val="00D4497D"/>
    <w:rsid w:val="00D452D9"/>
    <w:rsid w:val="00D45FE6"/>
    <w:rsid w:val="00D46221"/>
    <w:rsid w:val="00D4647F"/>
    <w:rsid w:val="00D47DA7"/>
    <w:rsid w:val="00D51340"/>
    <w:rsid w:val="00D51E92"/>
    <w:rsid w:val="00D53BB7"/>
    <w:rsid w:val="00D54691"/>
    <w:rsid w:val="00D54B83"/>
    <w:rsid w:val="00D54BA8"/>
    <w:rsid w:val="00D5651E"/>
    <w:rsid w:val="00D56DBC"/>
    <w:rsid w:val="00D56F90"/>
    <w:rsid w:val="00D578A7"/>
    <w:rsid w:val="00D578DC"/>
    <w:rsid w:val="00D57EE0"/>
    <w:rsid w:val="00D60C81"/>
    <w:rsid w:val="00D61E2C"/>
    <w:rsid w:val="00D62401"/>
    <w:rsid w:val="00D63CFF"/>
    <w:rsid w:val="00D63ECA"/>
    <w:rsid w:val="00D65E29"/>
    <w:rsid w:val="00D67018"/>
    <w:rsid w:val="00D70C1D"/>
    <w:rsid w:val="00D712AB"/>
    <w:rsid w:val="00D719A5"/>
    <w:rsid w:val="00D71DF5"/>
    <w:rsid w:val="00D71E85"/>
    <w:rsid w:val="00D72152"/>
    <w:rsid w:val="00D728AB"/>
    <w:rsid w:val="00D72CD8"/>
    <w:rsid w:val="00D73554"/>
    <w:rsid w:val="00D7372C"/>
    <w:rsid w:val="00D73AFF"/>
    <w:rsid w:val="00D7558D"/>
    <w:rsid w:val="00D76C87"/>
    <w:rsid w:val="00D77DF8"/>
    <w:rsid w:val="00D802E1"/>
    <w:rsid w:val="00D8253C"/>
    <w:rsid w:val="00D825F4"/>
    <w:rsid w:val="00D852B2"/>
    <w:rsid w:val="00D85DC1"/>
    <w:rsid w:val="00D85F43"/>
    <w:rsid w:val="00D8638D"/>
    <w:rsid w:val="00D86D15"/>
    <w:rsid w:val="00D90FA5"/>
    <w:rsid w:val="00D914B2"/>
    <w:rsid w:val="00D91830"/>
    <w:rsid w:val="00D9194D"/>
    <w:rsid w:val="00D91D35"/>
    <w:rsid w:val="00D93E63"/>
    <w:rsid w:val="00D93F67"/>
    <w:rsid w:val="00D9412B"/>
    <w:rsid w:val="00D9472A"/>
    <w:rsid w:val="00D94FCB"/>
    <w:rsid w:val="00D96715"/>
    <w:rsid w:val="00D96A12"/>
    <w:rsid w:val="00D96CB1"/>
    <w:rsid w:val="00DA04BE"/>
    <w:rsid w:val="00DA1FAA"/>
    <w:rsid w:val="00DA39C2"/>
    <w:rsid w:val="00DA4E7A"/>
    <w:rsid w:val="00DA52C9"/>
    <w:rsid w:val="00DA5B38"/>
    <w:rsid w:val="00DA5BCD"/>
    <w:rsid w:val="00DB008C"/>
    <w:rsid w:val="00DB0BDE"/>
    <w:rsid w:val="00DB2386"/>
    <w:rsid w:val="00DB2677"/>
    <w:rsid w:val="00DB2BCD"/>
    <w:rsid w:val="00DB5DB6"/>
    <w:rsid w:val="00DB6280"/>
    <w:rsid w:val="00DC2DA2"/>
    <w:rsid w:val="00DC3577"/>
    <w:rsid w:val="00DC40CC"/>
    <w:rsid w:val="00DC4C6D"/>
    <w:rsid w:val="00DC56F0"/>
    <w:rsid w:val="00DC638C"/>
    <w:rsid w:val="00DC770C"/>
    <w:rsid w:val="00DC7728"/>
    <w:rsid w:val="00DC7C3A"/>
    <w:rsid w:val="00DD05A6"/>
    <w:rsid w:val="00DD08C9"/>
    <w:rsid w:val="00DD09B4"/>
    <w:rsid w:val="00DD0C33"/>
    <w:rsid w:val="00DD0D11"/>
    <w:rsid w:val="00DD14E4"/>
    <w:rsid w:val="00DD4B89"/>
    <w:rsid w:val="00DD4F10"/>
    <w:rsid w:val="00DD5457"/>
    <w:rsid w:val="00DE03A4"/>
    <w:rsid w:val="00DE0488"/>
    <w:rsid w:val="00DE0A98"/>
    <w:rsid w:val="00DE1CA8"/>
    <w:rsid w:val="00DE21F7"/>
    <w:rsid w:val="00DE54CD"/>
    <w:rsid w:val="00DE5FE7"/>
    <w:rsid w:val="00DE6D9B"/>
    <w:rsid w:val="00DE7345"/>
    <w:rsid w:val="00DE7B56"/>
    <w:rsid w:val="00DF0E4F"/>
    <w:rsid w:val="00DF3BE6"/>
    <w:rsid w:val="00DF44FE"/>
    <w:rsid w:val="00DF67F3"/>
    <w:rsid w:val="00DF6C88"/>
    <w:rsid w:val="00DF7441"/>
    <w:rsid w:val="00DF7C39"/>
    <w:rsid w:val="00E00806"/>
    <w:rsid w:val="00E01637"/>
    <w:rsid w:val="00E0211D"/>
    <w:rsid w:val="00E0327F"/>
    <w:rsid w:val="00E052DA"/>
    <w:rsid w:val="00E05724"/>
    <w:rsid w:val="00E069EA"/>
    <w:rsid w:val="00E0728B"/>
    <w:rsid w:val="00E07C0D"/>
    <w:rsid w:val="00E1027F"/>
    <w:rsid w:val="00E10488"/>
    <w:rsid w:val="00E117CB"/>
    <w:rsid w:val="00E1195E"/>
    <w:rsid w:val="00E12ABD"/>
    <w:rsid w:val="00E13C2D"/>
    <w:rsid w:val="00E14B05"/>
    <w:rsid w:val="00E14FB8"/>
    <w:rsid w:val="00E15746"/>
    <w:rsid w:val="00E16A38"/>
    <w:rsid w:val="00E16B17"/>
    <w:rsid w:val="00E2003E"/>
    <w:rsid w:val="00E20275"/>
    <w:rsid w:val="00E20ACD"/>
    <w:rsid w:val="00E2131D"/>
    <w:rsid w:val="00E21E85"/>
    <w:rsid w:val="00E22D21"/>
    <w:rsid w:val="00E2313A"/>
    <w:rsid w:val="00E238E6"/>
    <w:rsid w:val="00E23D22"/>
    <w:rsid w:val="00E24FE3"/>
    <w:rsid w:val="00E27901"/>
    <w:rsid w:val="00E27B0A"/>
    <w:rsid w:val="00E31437"/>
    <w:rsid w:val="00E31764"/>
    <w:rsid w:val="00E31E79"/>
    <w:rsid w:val="00E33ACD"/>
    <w:rsid w:val="00E35E0A"/>
    <w:rsid w:val="00E37128"/>
    <w:rsid w:val="00E37757"/>
    <w:rsid w:val="00E428FF"/>
    <w:rsid w:val="00E42ACD"/>
    <w:rsid w:val="00E43546"/>
    <w:rsid w:val="00E43B80"/>
    <w:rsid w:val="00E46A3D"/>
    <w:rsid w:val="00E51834"/>
    <w:rsid w:val="00E52DF5"/>
    <w:rsid w:val="00E530FB"/>
    <w:rsid w:val="00E54777"/>
    <w:rsid w:val="00E54E00"/>
    <w:rsid w:val="00E54ED4"/>
    <w:rsid w:val="00E55950"/>
    <w:rsid w:val="00E55A5D"/>
    <w:rsid w:val="00E55F0B"/>
    <w:rsid w:val="00E5643A"/>
    <w:rsid w:val="00E5717A"/>
    <w:rsid w:val="00E57B35"/>
    <w:rsid w:val="00E60EAE"/>
    <w:rsid w:val="00E62F6F"/>
    <w:rsid w:val="00E63CDC"/>
    <w:rsid w:val="00E63D19"/>
    <w:rsid w:val="00E64819"/>
    <w:rsid w:val="00E6623F"/>
    <w:rsid w:val="00E7102D"/>
    <w:rsid w:val="00E7176E"/>
    <w:rsid w:val="00E71A93"/>
    <w:rsid w:val="00E73BA8"/>
    <w:rsid w:val="00E75731"/>
    <w:rsid w:val="00E7633C"/>
    <w:rsid w:val="00E779C1"/>
    <w:rsid w:val="00E800E2"/>
    <w:rsid w:val="00E800F6"/>
    <w:rsid w:val="00E81101"/>
    <w:rsid w:val="00E84F7C"/>
    <w:rsid w:val="00E85D73"/>
    <w:rsid w:val="00E869F6"/>
    <w:rsid w:val="00E87E0D"/>
    <w:rsid w:val="00E92A5F"/>
    <w:rsid w:val="00E9348F"/>
    <w:rsid w:val="00E9413C"/>
    <w:rsid w:val="00E948D1"/>
    <w:rsid w:val="00E956E8"/>
    <w:rsid w:val="00E95E72"/>
    <w:rsid w:val="00E9690F"/>
    <w:rsid w:val="00E96E1A"/>
    <w:rsid w:val="00E97C8D"/>
    <w:rsid w:val="00EA14DA"/>
    <w:rsid w:val="00EA459B"/>
    <w:rsid w:val="00EA4C23"/>
    <w:rsid w:val="00EA528A"/>
    <w:rsid w:val="00EA626B"/>
    <w:rsid w:val="00EA65BF"/>
    <w:rsid w:val="00EA6989"/>
    <w:rsid w:val="00EA6B7C"/>
    <w:rsid w:val="00EA7ECC"/>
    <w:rsid w:val="00EB1DFE"/>
    <w:rsid w:val="00EB449B"/>
    <w:rsid w:val="00EB4C73"/>
    <w:rsid w:val="00EB5C99"/>
    <w:rsid w:val="00EB610D"/>
    <w:rsid w:val="00EB6119"/>
    <w:rsid w:val="00EB6196"/>
    <w:rsid w:val="00EC0D9B"/>
    <w:rsid w:val="00EC13C9"/>
    <w:rsid w:val="00EC25EC"/>
    <w:rsid w:val="00EC5B80"/>
    <w:rsid w:val="00ED126B"/>
    <w:rsid w:val="00ED2DD0"/>
    <w:rsid w:val="00ED2F9A"/>
    <w:rsid w:val="00ED346E"/>
    <w:rsid w:val="00ED5F73"/>
    <w:rsid w:val="00ED6434"/>
    <w:rsid w:val="00ED742F"/>
    <w:rsid w:val="00EE06F9"/>
    <w:rsid w:val="00EE1069"/>
    <w:rsid w:val="00EE24DC"/>
    <w:rsid w:val="00EE282E"/>
    <w:rsid w:val="00EE2BBB"/>
    <w:rsid w:val="00EE3404"/>
    <w:rsid w:val="00EE48BF"/>
    <w:rsid w:val="00EE7519"/>
    <w:rsid w:val="00EE7F3F"/>
    <w:rsid w:val="00EF1750"/>
    <w:rsid w:val="00EF1BFD"/>
    <w:rsid w:val="00EF29A2"/>
    <w:rsid w:val="00EF34C4"/>
    <w:rsid w:val="00EF366F"/>
    <w:rsid w:val="00EF4F7A"/>
    <w:rsid w:val="00EF685F"/>
    <w:rsid w:val="00EF7DE7"/>
    <w:rsid w:val="00F0265D"/>
    <w:rsid w:val="00F02AB1"/>
    <w:rsid w:val="00F03CB1"/>
    <w:rsid w:val="00F054D2"/>
    <w:rsid w:val="00F05BAA"/>
    <w:rsid w:val="00F0763B"/>
    <w:rsid w:val="00F07953"/>
    <w:rsid w:val="00F1062F"/>
    <w:rsid w:val="00F10C83"/>
    <w:rsid w:val="00F10EE0"/>
    <w:rsid w:val="00F12697"/>
    <w:rsid w:val="00F12700"/>
    <w:rsid w:val="00F140EA"/>
    <w:rsid w:val="00F15361"/>
    <w:rsid w:val="00F1568B"/>
    <w:rsid w:val="00F15BD9"/>
    <w:rsid w:val="00F15ECF"/>
    <w:rsid w:val="00F16A67"/>
    <w:rsid w:val="00F17309"/>
    <w:rsid w:val="00F17FC7"/>
    <w:rsid w:val="00F204C4"/>
    <w:rsid w:val="00F20BB2"/>
    <w:rsid w:val="00F20DB4"/>
    <w:rsid w:val="00F21094"/>
    <w:rsid w:val="00F220D5"/>
    <w:rsid w:val="00F22DBD"/>
    <w:rsid w:val="00F23965"/>
    <w:rsid w:val="00F242F2"/>
    <w:rsid w:val="00F2496C"/>
    <w:rsid w:val="00F26A8D"/>
    <w:rsid w:val="00F274FB"/>
    <w:rsid w:val="00F2762A"/>
    <w:rsid w:val="00F2770C"/>
    <w:rsid w:val="00F30118"/>
    <w:rsid w:val="00F307AF"/>
    <w:rsid w:val="00F30870"/>
    <w:rsid w:val="00F31633"/>
    <w:rsid w:val="00F31904"/>
    <w:rsid w:val="00F326E9"/>
    <w:rsid w:val="00F3329F"/>
    <w:rsid w:val="00F3416D"/>
    <w:rsid w:val="00F36DD1"/>
    <w:rsid w:val="00F37B4B"/>
    <w:rsid w:val="00F43AD9"/>
    <w:rsid w:val="00F45AA2"/>
    <w:rsid w:val="00F50B75"/>
    <w:rsid w:val="00F50FAA"/>
    <w:rsid w:val="00F52A06"/>
    <w:rsid w:val="00F52ED3"/>
    <w:rsid w:val="00F53A14"/>
    <w:rsid w:val="00F54354"/>
    <w:rsid w:val="00F54827"/>
    <w:rsid w:val="00F55A18"/>
    <w:rsid w:val="00F56251"/>
    <w:rsid w:val="00F566C6"/>
    <w:rsid w:val="00F5677F"/>
    <w:rsid w:val="00F57741"/>
    <w:rsid w:val="00F577A7"/>
    <w:rsid w:val="00F57DA7"/>
    <w:rsid w:val="00F63080"/>
    <w:rsid w:val="00F64727"/>
    <w:rsid w:val="00F65131"/>
    <w:rsid w:val="00F65834"/>
    <w:rsid w:val="00F65C81"/>
    <w:rsid w:val="00F675FF"/>
    <w:rsid w:val="00F67A63"/>
    <w:rsid w:val="00F73F4E"/>
    <w:rsid w:val="00F7402E"/>
    <w:rsid w:val="00F74738"/>
    <w:rsid w:val="00F749DE"/>
    <w:rsid w:val="00F751C6"/>
    <w:rsid w:val="00F7568D"/>
    <w:rsid w:val="00F75BB5"/>
    <w:rsid w:val="00F762C3"/>
    <w:rsid w:val="00F77379"/>
    <w:rsid w:val="00F77705"/>
    <w:rsid w:val="00F81B03"/>
    <w:rsid w:val="00F829AD"/>
    <w:rsid w:val="00F84328"/>
    <w:rsid w:val="00F84ADE"/>
    <w:rsid w:val="00F84BF5"/>
    <w:rsid w:val="00F85031"/>
    <w:rsid w:val="00F86D3D"/>
    <w:rsid w:val="00F870AE"/>
    <w:rsid w:val="00F901E7"/>
    <w:rsid w:val="00F90A8A"/>
    <w:rsid w:val="00F91B16"/>
    <w:rsid w:val="00F92113"/>
    <w:rsid w:val="00F92BEE"/>
    <w:rsid w:val="00F92DBE"/>
    <w:rsid w:val="00F92E76"/>
    <w:rsid w:val="00F93226"/>
    <w:rsid w:val="00F93939"/>
    <w:rsid w:val="00F94DB2"/>
    <w:rsid w:val="00F95915"/>
    <w:rsid w:val="00F95CF1"/>
    <w:rsid w:val="00FA1722"/>
    <w:rsid w:val="00FA2714"/>
    <w:rsid w:val="00FA50A0"/>
    <w:rsid w:val="00FA6ECE"/>
    <w:rsid w:val="00FB0F44"/>
    <w:rsid w:val="00FB2382"/>
    <w:rsid w:val="00FB245C"/>
    <w:rsid w:val="00FB4461"/>
    <w:rsid w:val="00FB6C75"/>
    <w:rsid w:val="00FB702D"/>
    <w:rsid w:val="00FC0060"/>
    <w:rsid w:val="00FC0078"/>
    <w:rsid w:val="00FC06EE"/>
    <w:rsid w:val="00FC1A11"/>
    <w:rsid w:val="00FC1FAF"/>
    <w:rsid w:val="00FC27CB"/>
    <w:rsid w:val="00FC42BC"/>
    <w:rsid w:val="00FC77B4"/>
    <w:rsid w:val="00FD26E2"/>
    <w:rsid w:val="00FD42A1"/>
    <w:rsid w:val="00FD4D72"/>
    <w:rsid w:val="00FD4E48"/>
    <w:rsid w:val="00FD6BAA"/>
    <w:rsid w:val="00FE19F3"/>
    <w:rsid w:val="00FE3269"/>
    <w:rsid w:val="00FE4286"/>
    <w:rsid w:val="00FE46BD"/>
    <w:rsid w:val="00FE55FF"/>
    <w:rsid w:val="00FF2715"/>
    <w:rsid w:val="00FF2A19"/>
    <w:rsid w:val="00FF4C0C"/>
    <w:rsid w:val="00FF64C1"/>
    <w:rsid w:val="00FF797B"/>
    <w:rsid w:val="00FF7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75F967"/>
  <w15:docId w15:val="{4C33B4A0-33FE-4EF8-93B7-97AD597F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lsdException w:name="page number" w:semiHidden="1"/>
    <w:lsdException w:name="endnote reference" w:semiHidden="1" w:uiPriority="99" w:unhideWhenUsed="1"/>
    <w:lsdException w:name="endnote text" w:semiHidden="1" w:uiPriority="99" w:unhideWhenUsed="1"/>
    <w:lsdException w:name="table of authorities" w:semiHidden="1" w:uiPriority="99"/>
    <w:lsdException w:name="macro" w:semiHidden="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unhideWhenUsed="1"/>
    <w:lsdException w:name="Signature" w:semiHidden="1" w:uiPriority="99"/>
    <w:lsdException w:name="Default Paragraph Font" w:semiHidden="1" w:uiPriority="1"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9"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unhideWhenUsed="1"/>
    <w:lsdException w:name="HTML Preformatted" w:semiHidden="1" w:uiPriority="99"/>
    <w:lsdException w:name="HTML Sample" w:semiHidden="1" w:uiPriority="99"/>
    <w:lsdException w:name="HTML Typewriter" w:semiHidden="1" w:uiPriority="99"/>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qFormat/>
    <w:rsid w:val="003D74DA"/>
    <w:rPr>
      <w:rFonts w:ascii="Arial" w:eastAsia="Arial" w:hAnsi="Arial" w:cs="Arial"/>
      <w:sz w:val="24"/>
      <w:lang w:val="en-GB" w:bidi="en-US"/>
    </w:rPr>
  </w:style>
  <w:style w:type="paragraph" w:styleId="Heading1">
    <w:name w:val="heading 1"/>
    <w:link w:val="Heading1Char"/>
    <w:qFormat/>
    <w:rsid w:val="00FC77B4"/>
    <w:pPr>
      <w:spacing w:after="480"/>
      <w:outlineLvl w:val="0"/>
    </w:pPr>
    <w:rPr>
      <w:rFonts w:ascii="Arial" w:eastAsia="Arial" w:hAnsi="Arial" w:cs="Arial"/>
      <w:b/>
      <w:bCs/>
      <w:color w:val="1F497D" w:themeColor="text2"/>
      <w:sz w:val="36"/>
      <w:szCs w:val="24"/>
      <w:lang w:val="en-GB" w:bidi="en-US"/>
    </w:rPr>
  </w:style>
  <w:style w:type="paragraph" w:styleId="Heading2">
    <w:name w:val="heading 2"/>
    <w:link w:val="Heading2Char"/>
    <w:qFormat/>
    <w:rsid w:val="00E57B35"/>
    <w:pPr>
      <w:keepNext/>
      <w:keepLines/>
      <w:spacing w:before="200" w:after="300"/>
      <w:outlineLvl w:val="1"/>
    </w:pPr>
    <w:rPr>
      <w:rFonts w:eastAsia="STZhongsong" w:cstheme="minorHAnsi"/>
      <w:b/>
      <w:color w:val="1F497D" w:themeColor="text2"/>
      <w:sz w:val="32"/>
      <w:szCs w:val="26"/>
      <w:lang w:val="en-GB" w:eastAsia="zh-CN"/>
    </w:rPr>
  </w:style>
  <w:style w:type="paragraph" w:styleId="Heading3">
    <w:name w:val="heading 3"/>
    <w:next w:val="Normal"/>
    <w:link w:val="Heading3Char"/>
    <w:qFormat/>
    <w:rsid w:val="00CF008E"/>
    <w:pPr>
      <w:keepNext/>
      <w:keepLines/>
      <w:widowControl/>
      <w:autoSpaceDE/>
      <w:autoSpaceDN/>
      <w:spacing w:before="200" w:after="100"/>
      <w:outlineLvl w:val="2"/>
    </w:pPr>
    <w:rPr>
      <w:rFonts w:asciiTheme="majorHAnsi" w:eastAsiaTheme="majorEastAsia" w:hAnsiTheme="majorHAnsi" w:cstheme="majorBidi"/>
      <w:b/>
      <w:bCs/>
      <w:sz w:val="24"/>
      <w:szCs w:val="20"/>
      <w:lang w:val="en-GB"/>
    </w:rPr>
  </w:style>
  <w:style w:type="paragraph" w:styleId="Heading4">
    <w:name w:val="heading 4"/>
    <w:basedOn w:val="Normal"/>
    <w:next w:val="Normal"/>
    <w:link w:val="Heading4Char"/>
    <w:qFormat/>
    <w:rsid w:val="00AC7207"/>
    <w:pPr>
      <w:keepNext/>
      <w:keepLines/>
      <w:widowControl/>
      <w:autoSpaceDE/>
      <w:autoSpaceDN/>
      <w:spacing w:before="200"/>
      <w:outlineLvl w:val="3"/>
    </w:pPr>
    <w:rPr>
      <w:rFonts w:asciiTheme="majorHAnsi" w:eastAsiaTheme="majorEastAsia" w:hAnsiTheme="majorHAnsi" w:cstheme="majorBidi"/>
      <w:b/>
      <w:bCs/>
      <w:iCs/>
      <w:szCs w:val="20"/>
      <w:lang w:bidi="ar-SA"/>
    </w:rPr>
  </w:style>
  <w:style w:type="paragraph" w:styleId="Heading5">
    <w:name w:val="heading 5"/>
    <w:basedOn w:val="Normal"/>
    <w:next w:val="Normal"/>
    <w:link w:val="Heading5Char"/>
    <w:qFormat/>
    <w:rsid w:val="00A95CC8"/>
    <w:pPr>
      <w:keepNext/>
      <w:keepLines/>
      <w:widowControl/>
      <w:autoSpaceDE/>
      <w:autoSpaceDN/>
      <w:spacing w:before="200"/>
      <w:outlineLvl w:val="4"/>
    </w:pPr>
    <w:rPr>
      <w:rFonts w:asciiTheme="majorHAnsi" w:eastAsiaTheme="majorEastAsia" w:hAnsiTheme="majorHAnsi" w:cstheme="majorBidi"/>
      <w:color w:val="243F60" w:themeColor="accent1" w:themeShade="7F"/>
      <w:szCs w:val="20"/>
      <w:lang w:bidi="ar-SA"/>
    </w:rPr>
  </w:style>
  <w:style w:type="paragraph" w:styleId="Heading6">
    <w:name w:val="heading 6"/>
    <w:basedOn w:val="Normal"/>
    <w:next w:val="Normal"/>
    <w:link w:val="Heading6Char"/>
    <w:uiPriority w:val="99"/>
    <w:qFormat/>
    <w:rsid w:val="00A95CC8"/>
    <w:pPr>
      <w:keepNext/>
      <w:keepLines/>
      <w:widowControl/>
      <w:autoSpaceDE/>
      <w:autoSpaceDN/>
      <w:spacing w:before="200"/>
      <w:outlineLvl w:val="5"/>
    </w:pPr>
    <w:rPr>
      <w:rFonts w:asciiTheme="majorHAnsi" w:eastAsiaTheme="majorEastAsia" w:hAnsiTheme="majorHAnsi" w:cstheme="majorBidi"/>
      <w:i/>
      <w:iCs/>
      <w:color w:val="243F60" w:themeColor="accent1" w:themeShade="7F"/>
      <w:szCs w:val="20"/>
      <w:lang w:bidi="ar-SA"/>
    </w:rPr>
  </w:style>
  <w:style w:type="paragraph" w:styleId="Heading7">
    <w:name w:val="heading 7"/>
    <w:basedOn w:val="Normal"/>
    <w:next w:val="Normal"/>
    <w:link w:val="Heading7Char"/>
    <w:uiPriority w:val="99"/>
    <w:qFormat/>
    <w:rsid w:val="00A95CC8"/>
    <w:pPr>
      <w:keepNext/>
      <w:keepLines/>
      <w:widowControl/>
      <w:autoSpaceDE/>
      <w:autoSpaceDN/>
      <w:spacing w:before="200"/>
      <w:outlineLvl w:val="6"/>
    </w:pPr>
    <w:rPr>
      <w:rFonts w:asciiTheme="majorHAnsi" w:eastAsiaTheme="majorEastAsia" w:hAnsiTheme="majorHAnsi" w:cstheme="majorBidi"/>
      <w:i/>
      <w:iCs/>
      <w:color w:val="404040" w:themeColor="text1" w:themeTint="BF"/>
      <w:szCs w:val="20"/>
      <w:lang w:bidi="ar-SA"/>
    </w:rPr>
  </w:style>
  <w:style w:type="paragraph" w:styleId="Heading8">
    <w:name w:val="heading 8"/>
    <w:basedOn w:val="Normal"/>
    <w:next w:val="Normal"/>
    <w:link w:val="Heading8Char"/>
    <w:uiPriority w:val="99"/>
    <w:qFormat/>
    <w:rsid w:val="00A95CC8"/>
    <w:pPr>
      <w:keepNext/>
      <w:keepLines/>
      <w:widowControl/>
      <w:autoSpaceDE/>
      <w:autoSpaceDN/>
      <w:spacing w:before="200"/>
      <w:outlineLvl w:val="7"/>
    </w:pPr>
    <w:rPr>
      <w:rFonts w:asciiTheme="majorHAnsi" w:eastAsiaTheme="majorEastAsia" w:hAnsiTheme="majorHAnsi" w:cstheme="majorBidi"/>
      <w:color w:val="404040" w:themeColor="text1" w:themeTint="BF"/>
      <w:szCs w:val="20"/>
      <w:lang w:bidi="ar-SA"/>
    </w:rPr>
  </w:style>
  <w:style w:type="paragraph" w:styleId="Heading9">
    <w:name w:val="heading 9"/>
    <w:basedOn w:val="Normal"/>
    <w:next w:val="Normal"/>
    <w:link w:val="Heading9Char"/>
    <w:uiPriority w:val="99"/>
    <w:qFormat/>
    <w:rsid w:val="00A95CC8"/>
    <w:pPr>
      <w:keepNext/>
      <w:keepLines/>
      <w:widowControl/>
      <w:autoSpaceDE/>
      <w:autoSpaceDN/>
      <w:spacing w:before="200"/>
      <w:outlineLvl w:val="8"/>
    </w:pPr>
    <w:rPr>
      <w:rFonts w:asciiTheme="majorHAnsi" w:eastAsiaTheme="majorEastAsia" w:hAnsiTheme="majorHAnsi" w:cstheme="majorBidi"/>
      <w:i/>
      <w:iCs/>
      <w:color w:val="404040" w:themeColor="text1" w:themeTint="BF"/>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Cs w:val="24"/>
    </w:rPr>
  </w:style>
  <w:style w:type="paragraph" w:styleId="ListParagraph">
    <w:name w:val="List Paragraph"/>
    <w:basedOn w:val="Normal"/>
    <w:link w:val="ListParagraphChar"/>
    <w:uiPriority w:val="99"/>
    <w:qFormat/>
    <w:pPr>
      <w:spacing w:before="199"/>
      <w:ind w:left="2106" w:hanging="721"/>
    </w:pPr>
  </w:style>
  <w:style w:type="paragraph" w:customStyle="1" w:styleId="TableParagraph">
    <w:name w:val="Table Paragraph"/>
    <w:basedOn w:val="Normal"/>
    <w:uiPriority w:val="99"/>
    <w:semiHidden/>
    <w:qFormat/>
    <w:rsid w:val="00516E51"/>
  </w:style>
  <w:style w:type="character" w:styleId="Hyperlink">
    <w:name w:val="Hyperlink"/>
    <w:basedOn w:val="DefaultParagraphFont"/>
    <w:uiPriority w:val="99"/>
    <w:qFormat/>
    <w:rsid w:val="00DF0E4F"/>
    <w:rPr>
      <w:color w:val="1F497D" w:themeColor="text2"/>
      <w:u w:val="dotted" w:color="1F497D" w:themeColor="text2"/>
    </w:rPr>
  </w:style>
  <w:style w:type="paragraph" w:styleId="Header">
    <w:name w:val="header"/>
    <w:basedOn w:val="Normal"/>
    <w:link w:val="HeaderChar"/>
    <w:uiPriority w:val="99"/>
    <w:rsid w:val="00EA65BF"/>
    <w:rPr>
      <w:sz w:val="22"/>
    </w:rPr>
  </w:style>
  <w:style w:type="character" w:customStyle="1" w:styleId="HeaderChar">
    <w:name w:val="Header Char"/>
    <w:basedOn w:val="DefaultParagraphFont"/>
    <w:link w:val="Header"/>
    <w:uiPriority w:val="99"/>
    <w:rsid w:val="000D48A4"/>
    <w:rPr>
      <w:rFonts w:ascii="Arial" w:eastAsia="Arial" w:hAnsi="Arial" w:cs="Arial"/>
      <w:lang w:val="en-GB" w:bidi="en-US"/>
    </w:rPr>
  </w:style>
  <w:style w:type="paragraph" w:styleId="Footer">
    <w:name w:val="footer"/>
    <w:basedOn w:val="Normal"/>
    <w:link w:val="FooterChar"/>
    <w:uiPriority w:val="99"/>
    <w:rsid w:val="00EA65BF"/>
    <w:pPr>
      <w:widowControl/>
      <w:pBdr>
        <w:top w:val="single" w:sz="4" w:space="4" w:color="auto"/>
      </w:pBdr>
      <w:tabs>
        <w:tab w:val="right" w:pos="10206"/>
      </w:tabs>
      <w:autoSpaceDE/>
      <w:autoSpaceDN/>
    </w:pPr>
    <w:rPr>
      <w:rFonts w:eastAsiaTheme="minorHAnsi" w:cstheme="minorBidi"/>
      <w:sz w:val="22"/>
      <w:szCs w:val="20"/>
      <w:lang w:bidi="ar-SA"/>
    </w:rPr>
  </w:style>
  <w:style w:type="character" w:customStyle="1" w:styleId="FooterChar">
    <w:name w:val="Footer Char"/>
    <w:basedOn w:val="DefaultParagraphFont"/>
    <w:link w:val="Footer"/>
    <w:uiPriority w:val="99"/>
    <w:rsid w:val="000D48A4"/>
    <w:rPr>
      <w:rFonts w:ascii="Arial" w:hAnsi="Arial"/>
      <w:szCs w:val="20"/>
      <w:lang w:val="en-GB"/>
    </w:rPr>
  </w:style>
  <w:style w:type="character" w:styleId="CommentReference">
    <w:name w:val="annotation reference"/>
    <w:basedOn w:val="DefaultParagraphFont"/>
    <w:uiPriority w:val="99"/>
    <w:rsid w:val="009B03E9"/>
    <w:rPr>
      <w:sz w:val="16"/>
      <w:szCs w:val="16"/>
    </w:rPr>
  </w:style>
  <w:style w:type="paragraph" w:styleId="CommentText">
    <w:name w:val="annotation text"/>
    <w:basedOn w:val="Normal"/>
    <w:link w:val="CommentTextChar"/>
    <w:uiPriority w:val="99"/>
    <w:rsid w:val="009B03E9"/>
    <w:rPr>
      <w:sz w:val="20"/>
      <w:szCs w:val="20"/>
    </w:rPr>
  </w:style>
  <w:style w:type="character" w:customStyle="1" w:styleId="CommentTextChar">
    <w:name w:val="Comment Text Char"/>
    <w:basedOn w:val="DefaultParagraphFont"/>
    <w:link w:val="CommentText"/>
    <w:uiPriority w:val="99"/>
    <w:rsid w:val="000D48A4"/>
    <w:rPr>
      <w:rFonts w:ascii="Arial" w:eastAsia="Arial" w:hAnsi="Arial" w:cs="Arial"/>
      <w:sz w:val="20"/>
      <w:szCs w:val="20"/>
      <w:lang w:val="en-GB" w:bidi="en-US"/>
    </w:rPr>
  </w:style>
  <w:style w:type="paragraph" w:styleId="CommentSubject">
    <w:name w:val="annotation subject"/>
    <w:basedOn w:val="CommentText"/>
    <w:next w:val="CommentText"/>
    <w:link w:val="CommentSubjectChar"/>
    <w:uiPriority w:val="99"/>
    <w:rsid w:val="009B03E9"/>
    <w:rPr>
      <w:b/>
      <w:bCs/>
    </w:rPr>
  </w:style>
  <w:style w:type="character" w:customStyle="1" w:styleId="CommentSubjectChar">
    <w:name w:val="Comment Subject Char"/>
    <w:basedOn w:val="CommentTextChar"/>
    <w:link w:val="CommentSubject"/>
    <w:uiPriority w:val="99"/>
    <w:rsid w:val="000D48A4"/>
    <w:rPr>
      <w:rFonts w:ascii="Arial" w:eastAsia="Arial" w:hAnsi="Arial" w:cs="Arial"/>
      <w:b/>
      <w:bCs/>
      <w:sz w:val="20"/>
      <w:szCs w:val="20"/>
      <w:lang w:val="en-GB" w:bidi="en-US"/>
    </w:rPr>
  </w:style>
  <w:style w:type="paragraph" w:customStyle="1" w:styleId="GPSL1CLAUSEHEADING">
    <w:name w:val="GPS L1 CLAUSE HEADING"/>
    <w:basedOn w:val="Normal"/>
    <w:next w:val="Normal"/>
    <w:link w:val="GPSL1CLAUSEHEADINGChar"/>
    <w:qFormat/>
    <w:rsid w:val="006D7C8F"/>
    <w:pPr>
      <w:widowControl/>
      <w:tabs>
        <w:tab w:val="left" w:pos="0"/>
      </w:tabs>
      <w:autoSpaceDE/>
      <w:autoSpaceDN/>
      <w:adjustRightInd w:val="0"/>
      <w:spacing w:before="240" w:after="240"/>
      <w:ind w:firstLine="720"/>
      <w:jc w:val="both"/>
      <w:outlineLvl w:val="1"/>
    </w:pPr>
    <w:rPr>
      <w:rFonts w:ascii="Arial Bold" w:eastAsia="STZhongsong" w:hAnsi="Arial Bold"/>
      <w:b/>
      <w:caps/>
      <w:lang w:eastAsia="zh-CN" w:bidi="ar-SA"/>
    </w:rPr>
  </w:style>
  <w:style w:type="paragraph" w:customStyle="1" w:styleId="GPSL2numberedclause">
    <w:name w:val="GPS L2 numbered clause"/>
    <w:basedOn w:val="Normal"/>
    <w:link w:val="GPSL2numberedclauseChar1"/>
    <w:qFormat/>
    <w:rsid w:val="006D7C8F"/>
    <w:pPr>
      <w:widowControl/>
      <w:tabs>
        <w:tab w:val="left" w:pos="1134"/>
      </w:tabs>
      <w:autoSpaceDE/>
      <w:autoSpaceDN/>
      <w:adjustRightInd w:val="0"/>
      <w:spacing w:before="120" w:after="120"/>
      <w:ind w:left="1134" w:hanging="567"/>
      <w:jc w:val="both"/>
    </w:pPr>
    <w:rPr>
      <w:rFonts w:ascii="Calibri" w:eastAsia="Times New Roman" w:hAnsi="Calibri"/>
      <w:lang w:eastAsia="zh-CN" w:bidi="ar-SA"/>
    </w:rPr>
  </w:style>
  <w:style w:type="paragraph" w:customStyle="1" w:styleId="GPSL3numberedclause">
    <w:name w:val="GPS L3 numbered clause"/>
    <w:basedOn w:val="GPSL2numberedclause"/>
    <w:link w:val="GPSL3numberedclauseChar"/>
    <w:qFormat/>
    <w:rsid w:val="006D7C8F"/>
    <w:pPr>
      <w:numPr>
        <w:ilvl w:val="2"/>
      </w:numPr>
      <w:tabs>
        <w:tab w:val="clear" w:pos="1134"/>
        <w:tab w:val="left" w:pos="1985"/>
        <w:tab w:val="left" w:pos="2127"/>
      </w:tabs>
      <w:ind w:left="1134" w:hanging="567"/>
    </w:pPr>
  </w:style>
  <w:style w:type="paragraph" w:customStyle="1" w:styleId="GPSL4numberedclause">
    <w:name w:val="GPS L4 numbered clause"/>
    <w:basedOn w:val="GPSL3numberedclause"/>
    <w:qFormat/>
    <w:rsid w:val="006D7C8F"/>
    <w:pPr>
      <w:numPr>
        <w:ilvl w:val="3"/>
      </w:numPr>
      <w:tabs>
        <w:tab w:val="clear" w:pos="2127"/>
      </w:tabs>
      <w:ind w:left="2117" w:hanging="721"/>
    </w:pPr>
    <w:rPr>
      <w:szCs w:val="20"/>
    </w:rPr>
  </w:style>
  <w:style w:type="paragraph" w:customStyle="1" w:styleId="GPSL5numberedclause">
    <w:name w:val="GPS L5 numbered clause"/>
    <w:basedOn w:val="GPSL4numberedclause"/>
    <w:qFormat/>
    <w:rsid w:val="006D7C8F"/>
    <w:pPr>
      <w:numPr>
        <w:ilvl w:val="4"/>
      </w:numPr>
      <w:tabs>
        <w:tab w:val="num" w:pos="360"/>
        <w:tab w:val="left" w:pos="3402"/>
      </w:tabs>
      <w:ind w:left="2523" w:hanging="721"/>
    </w:pPr>
  </w:style>
  <w:style w:type="paragraph" w:customStyle="1" w:styleId="GPSL6numbered">
    <w:name w:val="GPS L6 numbered"/>
    <w:basedOn w:val="GPSL5numberedclause"/>
    <w:qFormat/>
    <w:rsid w:val="006D7C8F"/>
    <w:pPr>
      <w:numPr>
        <w:ilvl w:val="5"/>
      </w:numPr>
      <w:tabs>
        <w:tab w:val="num" w:pos="360"/>
        <w:tab w:val="left" w:pos="4253"/>
      </w:tabs>
      <w:ind w:left="4253" w:hanging="709"/>
    </w:pPr>
  </w:style>
  <w:style w:type="character" w:customStyle="1" w:styleId="GPSL3numberedclauseChar">
    <w:name w:val="GPS L3 numbered clause Char"/>
    <w:link w:val="GPSL3numberedclause"/>
    <w:rsid w:val="000D48A4"/>
    <w:rPr>
      <w:rFonts w:ascii="Calibri" w:eastAsia="Times New Roman" w:hAnsi="Calibri" w:cs="Arial"/>
      <w:sz w:val="24"/>
      <w:lang w:val="en-GB" w:eastAsia="zh-CN"/>
    </w:rPr>
  </w:style>
  <w:style w:type="character" w:customStyle="1" w:styleId="GPSL2numberedclauseChar1">
    <w:name w:val="GPS L2 numbered clause Char1"/>
    <w:link w:val="GPSL2numberedclause"/>
    <w:rsid w:val="000D48A4"/>
    <w:rPr>
      <w:rFonts w:ascii="Calibri" w:eastAsia="Times New Roman" w:hAnsi="Calibri" w:cs="Arial"/>
      <w:sz w:val="24"/>
      <w:lang w:val="en-GB" w:eastAsia="zh-CN"/>
    </w:rPr>
  </w:style>
  <w:style w:type="paragraph" w:customStyle="1" w:styleId="StdBodyTextBold">
    <w:name w:val="Std Body Text Bold"/>
    <w:basedOn w:val="Normal"/>
    <w:next w:val="Normal"/>
    <w:link w:val="StdBodyTextBoldChar"/>
    <w:uiPriority w:val="99"/>
    <w:qFormat/>
    <w:rsid w:val="004B41A4"/>
    <w:pPr>
      <w:widowControl/>
      <w:autoSpaceDE/>
      <w:autoSpaceDN/>
      <w:spacing w:before="100" w:after="200"/>
    </w:pPr>
    <w:rPr>
      <w:rFonts w:eastAsia="Times New Roman" w:cs="Times New Roman"/>
      <w:b/>
      <w:szCs w:val="24"/>
      <w:lang w:eastAsia="en-GB" w:bidi="ar-SA"/>
    </w:rPr>
  </w:style>
  <w:style w:type="character" w:customStyle="1" w:styleId="StdBodyTextBoldChar">
    <w:name w:val="Std Body Text Bold Char"/>
    <w:basedOn w:val="DefaultParagraphFont"/>
    <w:link w:val="StdBodyTextBold"/>
    <w:uiPriority w:val="99"/>
    <w:rsid w:val="000D48A4"/>
    <w:rPr>
      <w:rFonts w:ascii="Arial" w:eastAsia="Times New Roman" w:hAnsi="Arial" w:cs="Times New Roman"/>
      <w:b/>
      <w:sz w:val="24"/>
      <w:szCs w:val="24"/>
      <w:lang w:val="en-GB" w:eastAsia="en-GB"/>
    </w:rPr>
  </w:style>
  <w:style w:type="character" w:customStyle="1" w:styleId="Heading3Char">
    <w:name w:val="Heading 3 Char"/>
    <w:basedOn w:val="DefaultParagraphFont"/>
    <w:link w:val="Heading3"/>
    <w:rsid w:val="00CF008E"/>
    <w:rPr>
      <w:rFonts w:asciiTheme="majorHAnsi" w:eastAsiaTheme="majorEastAsia" w:hAnsiTheme="majorHAnsi" w:cstheme="majorBidi"/>
      <w:b/>
      <w:bCs/>
      <w:sz w:val="24"/>
      <w:szCs w:val="20"/>
      <w:lang w:val="en-GB"/>
    </w:rPr>
  </w:style>
  <w:style w:type="paragraph" w:customStyle="1" w:styleId="StdBodyText">
    <w:name w:val="Std Body Text"/>
    <w:basedOn w:val="Normal"/>
    <w:uiPriority w:val="99"/>
    <w:qFormat/>
    <w:rsid w:val="0020458D"/>
    <w:pPr>
      <w:widowControl/>
      <w:autoSpaceDE/>
      <w:autoSpaceDN/>
      <w:spacing w:before="100" w:after="200"/>
    </w:pPr>
    <w:rPr>
      <w:rFonts w:eastAsia="Times New Roman" w:cs="Times New Roman"/>
      <w:szCs w:val="24"/>
      <w:lang w:eastAsia="en-GB" w:bidi="ar-SA"/>
    </w:rPr>
  </w:style>
  <w:style w:type="table" w:styleId="TableGrid">
    <w:name w:val="Table Grid"/>
    <w:basedOn w:val="TableNormal"/>
    <w:uiPriority w:val="39"/>
    <w:rsid w:val="0020458D"/>
    <w:pPr>
      <w:widowControl/>
      <w:autoSpaceDE/>
      <w:autoSpaceDN/>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uiPriority w:val="99"/>
    <w:rsid w:val="00ED2F9A"/>
    <w:pPr>
      <w:widowControl/>
      <w:numPr>
        <w:numId w:val="14"/>
      </w:numPr>
      <w:autoSpaceDE/>
      <w:autoSpaceDN/>
      <w:spacing w:before="100" w:after="200"/>
    </w:pPr>
    <w:rPr>
      <w:rFonts w:eastAsia="Times New Roman" w:cs="Times New Roman"/>
      <w:szCs w:val="24"/>
      <w:lang w:eastAsia="en-GB" w:bidi="ar-SA"/>
    </w:rPr>
  </w:style>
  <w:style w:type="paragraph" w:customStyle="1" w:styleId="DefinitionListLevel1">
    <w:name w:val="Definition List Level 1"/>
    <w:basedOn w:val="DefinitionList"/>
    <w:uiPriority w:val="99"/>
    <w:rsid w:val="00ED2F9A"/>
    <w:pPr>
      <w:numPr>
        <w:ilvl w:val="1"/>
      </w:numPr>
    </w:pPr>
  </w:style>
  <w:style w:type="paragraph" w:customStyle="1" w:styleId="DefinitionListLevel2">
    <w:name w:val="Definition List Level 2"/>
    <w:basedOn w:val="DefinitionListLevel1"/>
    <w:uiPriority w:val="99"/>
    <w:rsid w:val="00ED2F9A"/>
    <w:pPr>
      <w:numPr>
        <w:ilvl w:val="2"/>
      </w:numPr>
    </w:pPr>
  </w:style>
  <w:style w:type="paragraph" w:styleId="BalloonText">
    <w:name w:val="Balloon Text"/>
    <w:basedOn w:val="Normal"/>
    <w:link w:val="BalloonTextChar"/>
    <w:uiPriority w:val="99"/>
    <w:rsid w:val="001F7A6E"/>
    <w:rPr>
      <w:rFonts w:ascii="Segoe UI" w:hAnsi="Segoe UI" w:cs="Segoe UI"/>
      <w:sz w:val="18"/>
      <w:szCs w:val="18"/>
    </w:rPr>
  </w:style>
  <w:style w:type="character" w:customStyle="1" w:styleId="BalloonTextChar">
    <w:name w:val="Balloon Text Char"/>
    <w:basedOn w:val="DefaultParagraphFont"/>
    <w:link w:val="BalloonText"/>
    <w:uiPriority w:val="99"/>
    <w:rsid w:val="000D48A4"/>
    <w:rPr>
      <w:rFonts w:ascii="Segoe UI" w:eastAsia="Arial" w:hAnsi="Segoe UI" w:cs="Segoe UI"/>
      <w:sz w:val="18"/>
      <w:szCs w:val="18"/>
      <w:lang w:val="en-GB" w:bidi="en-US"/>
    </w:rPr>
  </w:style>
  <w:style w:type="character" w:customStyle="1" w:styleId="Heading2Char">
    <w:name w:val="Heading 2 Char"/>
    <w:basedOn w:val="DefaultParagraphFont"/>
    <w:link w:val="Heading2"/>
    <w:rsid w:val="00E57B35"/>
    <w:rPr>
      <w:rFonts w:eastAsia="STZhongsong" w:cstheme="minorHAnsi"/>
      <w:b/>
      <w:color w:val="1F497D" w:themeColor="text2"/>
      <w:sz w:val="32"/>
      <w:szCs w:val="26"/>
      <w:lang w:val="en-GB" w:eastAsia="zh-CN"/>
    </w:rPr>
  </w:style>
  <w:style w:type="paragraph" w:customStyle="1" w:styleId="Parties">
    <w:name w:val="Parties"/>
    <w:basedOn w:val="BodyText"/>
    <w:qFormat/>
    <w:rsid w:val="005260B9"/>
    <w:pPr>
      <w:widowControl/>
      <w:numPr>
        <w:numId w:val="15"/>
      </w:numPr>
      <w:autoSpaceDE/>
      <w:autoSpaceDN/>
      <w:spacing w:after="240" w:line="276" w:lineRule="auto"/>
    </w:pPr>
    <w:rPr>
      <w:rFonts w:cs="Times New Roman"/>
      <w:sz w:val="20"/>
      <w:szCs w:val="22"/>
      <w:lang w:bidi="ar-SA"/>
    </w:rPr>
  </w:style>
  <w:style w:type="character" w:customStyle="1" w:styleId="ListParagraphChar">
    <w:name w:val="List Paragraph Char"/>
    <w:basedOn w:val="DefaultParagraphFont"/>
    <w:link w:val="ListParagraph"/>
    <w:uiPriority w:val="99"/>
    <w:rsid w:val="006B7F8C"/>
    <w:rPr>
      <w:rFonts w:ascii="Arial" w:eastAsia="Arial" w:hAnsi="Arial" w:cs="Arial"/>
      <w:sz w:val="24"/>
      <w:lang w:bidi="en-US"/>
    </w:rPr>
  </w:style>
  <w:style w:type="paragraph" w:customStyle="1" w:styleId="RestartNumbering">
    <w:name w:val="Restart Numbering"/>
    <w:basedOn w:val="Normal"/>
    <w:uiPriority w:val="19"/>
    <w:rsid w:val="005260B9"/>
    <w:pPr>
      <w:widowControl/>
      <w:numPr>
        <w:numId w:val="17"/>
      </w:numPr>
      <w:autoSpaceDE/>
      <w:autoSpaceDN/>
      <w:spacing w:line="276" w:lineRule="auto"/>
    </w:pPr>
    <w:rPr>
      <w:sz w:val="20"/>
      <w:lang w:bidi="ar-SA"/>
    </w:rPr>
  </w:style>
  <w:style w:type="paragraph" w:customStyle="1" w:styleId="Level1Heading">
    <w:name w:val="Level 1 Heading"/>
    <w:basedOn w:val="BodyText"/>
    <w:next w:val="Normal"/>
    <w:uiPriority w:val="99"/>
    <w:qFormat/>
    <w:rsid w:val="005260B9"/>
    <w:pPr>
      <w:keepNext/>
      <w:widowControl/>
      <w:numPr>
        <w:ilvl w:val="1"/>
        <w:numId w:val="17"/>
      </w:numPr>
      <w:autoSpaceDE/>
      <w:autoSpaceDN/>
      <w:spacing w:after="240" w:line="276" w:lineRule="auto"/>
      <w:outlineLvl w:val="0"/>
    </w:pPr>
    <w:rPr>
      <w:rFonts w:cs="Times New Roman"/>
      <w:b/>
      <w:bCs/>
      <w:sz w:val="22"/>
      <w:lang w:bidi="ar-SA"/>
    </w:rPr>
  </w:style>
  <w:style w:type="paragraph" w:customStyle="1" w:styleId="Level2Number">
    <w:name w:val="Level 2 Number"/>
    <w:basedOn w:val="BodyText"/>
    <w:uiPriority w:val="99"/>
    <w:qFormat/>
    <w:rsid w:val="005260B9"/>
    <w:pPr>
      <w:widowControl/>
      <w:numPr>
        <w:ilvl w:val="2"/>
        <w:numId w:val="17"/>
      </w:numPr>
      <w:autoSpaceDE/>
      <w:autoSpaceDN/>
      <w:spacing w:after="240" w:line="276" w:lineRule="auto"/>
    </w:pPr>
    <w:rPr>
      <w:rFonts w:cs="Times New Roman"/>
      <w:sz w:val="20"/>
      <w:szCs w:val="22"/>
      <w:lang w:bidi="ar-SA"/>
    </w:rPr>
  </w:style>
  <w:style w:type="paragraph" w:customStyle="1" w:styleId="Level3Number">
    <w:name w:val="Level 3 Number"/>
    <w:basedOn w:val="BodyText"/>
    <w:uiPriority w:val="99"/>
    <w:qFormat/>
    <w:rsid w:val="005260B9"/>
    <w:pPr>
      <w:widowControl/>
      <w:numPr>
        <w:ilvl w:val="3"/>
        <w:numId w:val="17"/>
      </w:numPr>
      <w:autoSpaceDE/>
      <w:autoSpaceDN/>
      <w:spacing w:after="240" w:line="276" w:lineRule="auto"/>
    </w:pPr>
    <w:rPr>
      <w:rFonts w:cs="Times New Roman"/>
      <w:sz w:val="20"/>
      <w:szCs w:val="22"/>
      <w:lang w:bidi="ar-SA"/>
    </w:rPr>
  </w:style>
  <w:style w:type="paragraph" w:customStyle="1" w:styleId="Level4Number">
    <w:name w:val="Level 4 Number"/>
    <w:basedOn w:val="BodyText"/>
    <w:uiPriority w:val="19"/>
    <w:qFormat/>
    <w:rsid w:val="005260B9"/>
    <w:pPr>
      <w:widowControl/>
      <w:numPr>
        <w:ilvl w:val="4"/>
        <w:numId w:val="17"/>
      </w:numPr>
      <w:autoSpaceDE/>
      <w:autoSpaceDN/>
      <w:spacing w:after="240" w:line="276" w:lineRule="auto"/>
    </w:pPr>
    <w:rPr>
      <w:rFonts w:cs="Times New Roman"/>
      <w:sz w:val="20"/>
      <w:szCs w:val="22"/>
      <w:lang w:bidi="ar-SA"/>
    </w:rPr>
  </w:style>
  <w:style w:type="paragraph" w:customStyle="1" w:styleId="Level5Number">
    <w:name w:val="Level 5 Number"/>
    <w:basedOn w:val="BodyText"/>
    <w:uiPriority w:val="19"/>
    <w:rsid w:val="005260B9"/>
    <w:pPr>
      <w:widowControl/>
      <w:numPr>
        <w:ilvl w:val="5"/>
        <w:numId w:val="17"/>
      </w:numPr>
      <w:autoSpaceDE/>
      <w:autoSpaceDN/>
      <w:spacing w:after="240" w:line="276" w:lineRule="auto"/>
    </w:pPr>
    <w:rPr>
      <w:rFonts w:cs="Times New Roman"/>
      <w:sz w:val="20"/>
      <w:szCs w:val="22"/>
      <w:lang w:bidi="ar-SA"/>
    </w:rPr>
  </w:style>
  <w:style w:type="paragraph" w:customStyle="1" w:styleId="Level6Number">
    <w:name w:val="Level 6 Number"/>
    <w:basedOn w:val="BodyText"/>
    <w:uiPriority w:val="19"/>
    <w:rsid w:val="005260B9"/>
    <w:pPr>
      <w:widowControl/>
      <w:numPr>
        <w:ilvl w:val="6"/>
        <w:numId w:val="17"/>
      </w:numPr>
      <w:autoSpaceDE/>
      <w:autoSpaceDN/>
      <w:spacing w:after="240" w:line="276" w:lineRule="auto"/>
    </w:pPr>
    <w:rPr>
      <w:rFonts w:cs="Times New Roman"/>
      <w:sz w:val="20"/>
      <w:szCs w:val="22"/>
      <w:lang w:bidi="ar-SA"/>
    </w:rPr>
  </w:style>
  <w:style w:type="paragraph" w:customStyle="1" w:styleId="Level7Number">
    <w:name w:val="Level 7 Number"/>
    <w:basedOn w:val="BodyText"/>
    <w:uiPriority w:val="19"/>
    <w:rsid w:val="005260B9"/>
    <w:pPr>
      <w:widowControl/>
      <w:numPr>
        <w:ilvl w:val="7"/>
        <w:numId w:val="17"/>
      </w:numPr>
      <w:autoSpaceDE/>
      <w:autoSpaceDN/>
      <w:spacing w:after="240" w:line="276" w:lineRule="auto"/>
    </w:pPr>
    <w:rPr>
      <w:rFonts w:cs="Times New Roman"/>
      <w:sz w:val="20"/>
      <w:szCs w:val="22"/>
      <w:lang w:bidi="ar-SA"/>
    </w:rPr>
  </w:style>
  <w:style w:type="paragraph" w:customStyle="1" w:styleId="Level8Number">
    <w:name w:val="Level 8 Number"/>
    <w:basedOn w:val="BodyText"/>
    <w:uiPriority w:val="19"/>
    <w:rsid w:val="005260B9"/>
    <w:pPr>
      <w:widowControl/>
      <w:numPr>
        <w:ilvl w:val="8"/>
        <w:numId w:val="17"/>
      </w:numPr>
      <w:autoSpaceDE/>
      <w:autoSpaceDN/>
      <w:spacing w:after="240" w:line="276" w:lineRule="auto"/>
    </w:pPr>
    <w:rPr>
      <w:rFonts w:cs="Times New Roman"/>
      <w:sz w:val="20"/>
      <w:szCs w:val="22"/>
      <w:lang w:bidi="ar-SA"/>
    </w:rPr>
  </w:style>
  <w:style w:type="numbering" w:customStyle="1" w:styleId="MainNumbering">
    <w:name w:val="Main Numbering"/>
    <w:uiPriority w:val="99"/>
    <w:rsid w:val="005260B9"/>
    <w:pPr>
      <w:numPr>
        <w:numId w:val="62"/>
      </w:numPr>
    </w:pPr>
  </w:style>
  <w:style w:type="paragraph" w:customStyle="1" w:styleId="XExecution">
    <w:name w:val="X Execution"/>
    <w:basedOn w:val="Normal"/>
    <w:rsid w:val="00D47DA7"/>
    <w:pPr>
      <w:widowControl/>
      <w:tabs>
        <w:tab w:val="left" w:pos="0"/>
        <w:tab w:val="left" w:pos="3544"/>
      </w:tabs>
      <w:autoSpaceDE/>
      <w:autoSpaceDN/>
      <w:spacing w:line="300" w:lineRule="atLeast"/>
      <w:ind w:right="459"/>
    </w:pPr>
    <w:rPr>
      <w:rFonts w:ascii="Times New Roman" w:eastAsia="Times New Roman" w:hAnsi="Times New Roman" w:cs="Times New Roman"/>
      <w:color w:val="000000"/>
      <w:szCs w:val="20"/>
      <w:lang w:bidi="ar-SA"/>
    </w:rPr>
  </w:style>
  <w:style w:type="paragraph" w:customStyle="1" w:styleId="SLPara-Clause">
    <w:name w:val="SL Para - Clause"/>
    <w:uiPriority w:val="99"/>
    <w:semiHidden/>
    <w:qFormat/>
    <w:rsid w:val="00964D4F"/>
    <w:pPr>
      <w:widowControl/>
      <w:autoSpaceDE/>
      <w:autoSpaceDN/>
      <w:spacing w:before="120" w:after="240"/>
      <w:ind w:firstLine="720"/>
      <w:outlineLvl w:val="0"/>
    </w:pPr>
    <w:rPr>
      <w:rFonts w:ascii="Times New Roman" w:eastAsia="Times New Roman" w:hAnsi="Times New Roman" w:cs="Times New Roman"/>
      <w:color w:val="000000"/>
      <w:sz w:val="24"/>
      <w:szCs w:val="24"/>
      <w:lang w:val="en-GB" w:eastAsia="en-GB"/>
    </w:rPr>
  </w:style>
  <w:style w:type="character" w:customStyle="1" w:styleId="Heading4Char">
    <w:name w:val="Heading 4 Char"/>
    <w:basedOn w:val="DefaultParagraphFont"/>
    <w:link w:val="Heading4"/>
    <w:rsid w:val="00AC7207"/>
    <w:rPr>
      <w:rFonts w:asciiTheme="majorHAnsi" w:eastAsiaTheme="majorEastAsia" w:hAnsiTheme="majorHAnsi" w:cstheme="majorBidi"/>
      <w:b/>
      <w:bCs/>
      <w:iCs/>
      <w:sz w:val="24"/>
      <w:szCs w:val="20"/>
      <w:lang w:val="en-GB"/>
    </w:rPr>
  </w:style>
  <w:style w:type="character" w:customStyle="1" w:styleId="Heading5Char">
    <w:name w:val="Heading 5 Char"/>
    <w:basedOn w:val="DefaultParagraphFont"/>
    <w:link w:val="Heading5"/>
    <w:rsid w:val="000D48A4"/>
    <w:rPr>
      <w:rFonts w:asciiTheme="majorHAnsi" w:eastAsiaTheme="majorEastAsia" w:hAnsiTheme="majorHAnsi" w:cstheme="majorBidi"/>
      <w:color w:val="243F60" w:themeColor="accent1" w:themeShade="7F"/>
      <w:sz w:val="24"/>
      <w:szCs w:val="20"/>
      <w:lang w:val="en-GB"/>
    </w:rPr>
  </w:style>
  <w:style w:type="character" w:customStyle="1" w:styleId="Heading6Char">
    <w:name w:val="Heading 6 Char"/>
    <w:basedOn w:val="DefaultParagraphFont"/>
    <w:link w:val="Heading6"/>
    <w:uiPriority w:val="99"/>
    <w:rsid w:val="000D48A4"/>
    <w:rPr>
      <w:rFonts w:asciiTheme="majorHAnsi" w:eastAsiaTheme="majorEastAsia" w:hAnsiTheme="majorHAnsi" w:cstheme="majorBidi"/>
      <w:i/>
      <w:iCs/>
      <w:color w:val="243F60" w:themeColor="accent1" w:themeShade="7F"/>
      <w:sz w:val="24"/>
      <w:szCs w:val="20"/>
      <w:lang w:val="en-GB"/>
    </w:rPr>
  </w:style>
  <w:style w:type="character" w:customStyle="1" w:styleId="Heading7Char">
    <w:name w:val="Heading 7 Char"/>
    <w:basedOn w:val="DefaultParagraphFont"/>
    <w:link w:val="Heading7"/>
    <w:uiPriority w:val="99"/>
    <w:rsid w:val="000D48A4"/>
    <w:rPr>
      <w:rFonts w:asciiTheme="majorHAnsi" w:eastAsiaTheme="majorEastAsia" w:hAnsiTheme="majorHAnsi" w:cstheme="majorBidi"/>
      <w:i/>
      <w:iCs/>
      <w:color w:val="404040" w:themeColor="text1" w:themeTint="BF"/>
      <w:sz w:val="24"/>
      <w:szCs w:val="20"/>
      <w:lang w:val="en-GB"/>
    </w:rPr>
  </w:style>
  <w:style w:type="character" w:customStyle="1" w:styleId="Heading8Char">
    <w:name w:val="Heading 8 Char"/>
    <w:basedOn w:val="DefaultParagraphFont"/>
    <w:link w:val="Heading8"/>
    <w:uiPriority w:val="99"/>
    <w:rsid w:val="000D48A4"/>
    <w:rPr>
      <w:rFonts w:asciiTheme="majorHAnsi" w:eastAsiaTheme="majorEastAsia" w:hAnsiTheme="majorHAnsi" w:cstheme="majorBidi"/>
      <w:color w:val="404040" w:themeColor="text1" w:themeTint="BF"/>
      <w:sz w:val="24"/>
      <w:szCs w:val="20"/>
      <w:lang w:val="en-GB"/>
    </w:rPr>
  </w:style>
  <w:style w:type="character" w:customStyle="1" w:styleId="Heading9Char">
    <w:name w:val="Heading 9 Char"/>
    <w:basedOn w:val="DefaultParagraphFont"/>
    <w:link w:val="Heading9"/>
    <w:uiPriority w:val="99"/>
    <w:rsid w:val="000D48A4"/>
    <w:rPr>
      <w:rFonts w:asciiTheme="majorHAnsi" w:eastAsiaTheme="majorEastAsia" w:hAnsiTheme="majorHAnsi" w:cstheme="majorBidi"/>
      <w:i/>
      <w:iCs/>
      <w:color w:val="404040" w:themeColor="text1" w:themeTint="BF"/>
      <w:sz w:val="24"/>
      <w:szCs w:val="20"/>
      <w:lang w:val="en-GB"/>
    </w:rPr>
  </w:style>
  <w:style w:type="character" w:customStyle="1" w:styleId="Heading1Char">
    <w:name w:val="Heading 1 Char"/>
    <w:basedOn w:val="DefaultParagraphFont"/>
    <w:link w:val="Heading1"/>
    <w:rsid w:val="00F92113"/>
    <w:rPr>
      <w:rFonts w:ascii="Arial" w:eastAsia="Arial" w:hAnsi="Arial" w:cs="Arial"/>
      <w:b/>
      <w:bCs/>
      <w:color w:val="1F497D" w:themeColor="text2"/>
      <w:sz w:val="36"/>
      <w:szCs w:val="24"/>
      <w:lang w:val="en-GB" w:bidi="en-US"/>
    </w:rPr>
  </w:style>
  <w:style w:type="paragraph" w:styleId="Revision">
    <w:name w:val="Revision"/>
    <w:hidden/>
    <w:uiPriority w:val="99"/>
    <w:semiHidden/>
    <w:rsid w:val="00A95CC8"/>
    <w:pPr>
      <w:widowControl/>
      <w:autoSpaceDE/>
      <w:autoSpaceDN/>
    </w:pPr>
    <w:rPr>
      <w:rFonts w:ascii="Arial" w:hAnsi="Arial"/>
      <w:sz w:val="20"/>
      <w:szCs w:val="24"/>
      <w:lang w:val="en-GB" w:eastAsia="en-GB"/>
    </w:rPr>
  </w:style>
  <w:style w:type="numbering" w:customStyle="1" w:styleId="Level">
    <w:name w:val="Level"/>
    <w:uiPriority w:val="99"/>
    <w:rsid w:val="00A95CC8"/>
    <w:pPr>
      <w:numPr>
        <w:numId w:val="56"/>
      </w:numPr>
    </w:pPr>
  </w:style>
  <w:style w:type="numbering" w:customStyle="1" w:styleId="Scheduletext">
    <w:name w:val="Schedule text"/>
    <w:uiPriority w:val="99"/>
    <w:rsid w:val="00A95CC8"/>
    <w:pPr>
      <w:numPr>
        <w:numId w:val="55"/>
      </w:numPr>
    </w:pPr>
  </w:style>
  <w:style w:type="numbering" w:customStyle="1" w:styleId="Appendix">
    <w:name w:val="Appendix"/>
    <w:uiPriority w:val="99"/>
    <w:rsid w:val="00A95CC8"/>
    <w:pPr>
      <w:numPr>
        <w:numId w:val="58"/>
      </w:numPr>
    </w:pPr>
  </w:style>
  <w:style w:type="numbering" w:customStyle="1" w:styleId="Scheduleheading">
    <w:name w:val="Schedule heading"/>
    <w:uiPriority w:val="99"/>
    <w:rsid w:val="00A95CC8"/>
    <w:pPr>
      <w:numPr>
        <w:numId w:val="57"/>
      </w:numPr>
    </w:pPr>
  </w:style>
  <w:style w:type="numbering" w:customStyle="1" w:styleId="Bullets">
    <w:name w:val="Bullets"/>
    <w:uiPriority w:val="99"/>
    <w:rsid w:val="00A95CC8"/>
    <w:pPr>
      <w:numPr>
        <w:numId w:val="59"/>
      </w:numPr>
    </w:pPr>
  </w:style>
  <w:style w:type="numbering" w:customStyle="1" w:styleId="Definitions">
    <w:name w:val="Definitions"/>
    <w:uiPriority w:val="99"/>
    <w:rsid w:val="00A95CC8"/>
    <w:pPr>
      <w:numPr>
        <w:numId w:val="63"/>
      </w:numPr>
    </w:pPr>
  </w:style>
  <w:style w:type="paragraph" w:customStyle="1" w:styleId="BlankDocumentTitle">
    <w:name w:val="Blank Document Title"/>
    <w:basedOn w:val="Normal"/>
    <w:next w:val="StdBodyText"/>
    <w:uiPriority w:val="99"/>
    <w:rsid w:val="00A95CC8"/>
    <w:pPr>
      <w:widowControl/>
      <w:autoSpaceDE/>
      <w:autoSpaceDN/>
      <w:spacing w:after="200"/>
      <w:jc w:val="center"/>
    </w:pPr>
    <w:rPr>
      <w:rFonts w:eastAsia="Times New Roman" w:cs="Times New Roman"/>
      <w:b/>
      <w:szCs w:val="24"/>
      <w:lang w:eastAsia="en-GB" w:bidi="ar-SA"/>
    </w:rPr>
  </w:style>
  <w:style w:type="paragraph" w:customStyle="1" w:styleId="BulletsBody">
    <w:name w:val="Bullets Body"/>
    <w:basedOn w:val="StdBodyText"/>
    <w:rsid w:val="00A95CC8"/>
    <w:pPr>
      <w:ind w:firstLine="720"/>
    </w:pPr>
  </w:style>
  <w:style w:type="paragraph" w:customStyle="1" w:styleId="BulletsLevel1">
    <w:name w:val="Bullets Level 1"/>
    <w:basedOn w:val="Normal"/>
    <w:rsid w:val="008D096E"/>
    <w:pPr>
      <w:widowControl/>
      <w:numPr>
        <w:ilvl w:val="1"/>
        <w:numId w:val="27"/>
      </w:numPr>
      <w:tabs>
        <w:tab w:val="left" w:pos="1797"/>
      </w:tabs>
      <w:autoSpaceDE/>
      <w:autoSpaceDN/>
      <w:spacing w:before="100" w:after="200"/>
    </w:pPr>
    <w:rPr>
      <w:rFonts w:eastAsia="Times New Roman" w:cs="Times New Roman"/>
      <w:szCs w:val="24"/>
      <w:lang w:eastAsia="en-GB" w:bidi="ar-SA"/>
    </w:rPr>
  </w:style>
  <w:style w:type="paragraph" w:customStyle="1" w:styleId="Centered">
    <w:name w:val="Centered"/>
    <w:basedOn w:val="Normal"/>
    <w:next w:val="StdBodyText"/>
    <w:rsid w:val="00A95CC8"/>
    <w:pPr>
      <w:widowControl/>
      <w:autoSpaceDE/>
      <w:autoSpaceDN/>
      <w:spacing w:before="100" w:after="200"/>
      <w:jc w:val="center"/>
    </w:pPr>
    <w:rPr>
      <w:rFonts w:eastAsia="Times New Roman" w:cs="Times New Roman"/>
      <w:szCs w:val="24"/>
      <w:lang w:eastAsia="en-GB" w:bidi="ar-SA"/>
    </w:rPr>
  </w:style>
  <w:style w:type="paragraph" w:customStyle="1" w:styleId="Centre">
    <w:name w:val="Centre"/>
    <w:basedOn w:val="Normal"/>
    <w:next w:val="Normal"/>
    <w:rsid w:val="00A95CC8"/>
    <w:pPr>
      <w:widowControl/>
      <w:autoSpaceDE/>
      <w:autoSpaceDN/>
      <w:spacing w:before="100" w:after="600"/>
      <w:jc w:val="center"/>
    </w:pPr>
    <w:rPr>
      <w:rFonts w:eastAsia="Times New Roman" w:cs="Times New Roman"/>
      <w:szCs w:val="24"/>
      <w:lang w:eastAsia="en-GB" w:bidi="ar-SA"/>
    </w:rPr>
  </w:style>
  <w:style w:type="table" w:styleId="DarkList-Accent1">
    <w:name w:val="Dark List Accent 1"/>
    <w:basedOn w:val="TableNormal"/>
    <w:uiPriority w:val="70"/>
    <w:rsid w:val="00A95CC8"/>
    <w:pPr>
      <w:widowControl/>
      <w:autoSpaceDE/>
      <w:autoSpaceDN/>
    </w:pPr>
    <w:rPr>
      <w:rFonts w:ascii="Arial" w:hAnsi="Arial"/>
      <w:color w:val="FFFFFF" w:themeColor="background1"/>
      <w:sz w:val="20"/>
      <w:szCs w:val="20"/>
      <w:lang w:val="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A95CC8"/>
    <w:pPr>
      <w:widowControl/>
      <w:autoSpaceDE/>
      <w:autoSpaceDN/>
    </w:pPr>
    <w:rPr>
      <w:rFonts w:ascii="Arial" w:hAnsi="Arial"/>
      <w:sz w:val="20"/>
      <w:szCs w:val="20"/>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urfulShading">
    <w:name w:val="Colorful Shading"/>
    <w:basedOn w:val="TableNormal"/>
    <w:uiPriority w:val="71"/>
    <w:rsid w:val="00A95CC8"/>
    <w:pPr>
      <w:widowControl/>
      <w:autoSpaceDE/>
      <w:autoSpaceDN/>
    </w:pPr>
    <w:rPr>
      <w:rFonts w:ascii="Arial" w:hAnsi="Arial"/>
      <w:color w:val="000000" w:themeColor="text1"/>
      <w:sz w:val="20"/>
      <w:szCs w:val="20"/>
      <w:lang w:val="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A95CC8"/>
    <w:pPr>
      <w:widowControl/>
      <w:autoSpaceDE/>
      <w:autoSpaceDN/>
    </w:pPr>
    <w:rPr>
      <w:rFonts w:asciiTheme="majorHAnsi" w:eastAsiaTheme="majorEastAsia" w:hAnsiTheme="majorHAnsi" w:cstheme="majorBidi"/>
      <w:color w:val="000000" w:themeColor="text1"/>
      <w:sz w:val="20"/>
      <w:szCs w:val="20"/>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95CC8"/>
    <w:pPr>
      <w:widowControl/>
      <w:autoSpaceDE/>
      <w:autoSpaceDN/>
    </w:pPr>
    <w:rPr>
      <w:rFonts w:asciiTheme="majorHAnsi" w:eastAsiaTheme="majorEastAsia" w:hAnsiTheme="majorHAnsi" w:cstheme="majorBidi"/>
      <w:color w:val="000000" w:themeColor="text1"/>
      <w:sz w:val="20"/>
      <w:szCs w:val="20"/>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A95CC8"/>
    <w:pPr>
      <w:widowControl/>
      <w:autoSpaceDE/>
      <w:autoSpaceDN/>
    </w:pPr>
    <w:rPr>
      <w:rFonts w:ascii="Arial" w:hAnsi="Arial"/>
      <w:color w:val="000000" w:themeColor="text1" w:themeShade="BF"/>
      <w:sz w:val="20"/>
      <w:szCs w:val="20"/>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urfulGridAccent6">
    <w:name w:val="Colorful Grid Accent 6"/>
    <w:basedOn w:val="TableNormal"/>
    <w:uiPriority w:val="73"/>
    <w:rsid w:val="00A95CC8"/>
    <w:pPr>
      <w:widowControl/>
      <w:autoSpaceDE/>
      <w:autoSpaceDN/>
    </w:pPr>
    <w:rPr>
      <w:rFonts w:ascii="Arial" w:hAnsi="Arial"/>
      <w:color w:val="000000" w:themeColor="text1"/>
      <w:sz w:val="20"/>
      <w:szCs w:val="20"/>
      <w:lang w:val="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A95CC8"/>
    <w:pPr>
      <w:widowControl/>
      <w:autoSpaceDE/>
      <w:autoSpaceDN/>
    </w:pPr>
    <w:rPr>
      <w:rFonts w:ascii="Arial" w:hAnsi="Arial"/>
      <w:sz w:val="20"/>
      <w:szCs w:val="20"/>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A95CC8"/>
    <w:pPr>
      <w:widowControl/>
      <w:autoSpaceDE/>
      <w:autoSpaceDN/>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A95CC8"/>
    <w:pPr>
      <w:widowControl/>
      <w:autoSpaceDE/>
      <w:autoSpaceDN/>
    </w:pPr>
    <w:rPr>
      <w:rFonts w:ascii="Arial" w:hAnsi="Arial"/>
      <w:sz w:val="20"/>
      <w:szCs w:val="20"/>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Appendixheading">
    <w:name w:val="Appendix heading"/>
    <w:uiPriority w:val="99"/>
    <w:rsid w:val="00A95CC8"/>
    <w:pPr>
      <w:numPr>
        <w:numId w:val="61"/>
      </w:numPr>
    </w:pPr>
  </w:style>
  <w:style w:type="paragraph" w:customStyle="1" w:styleId="BulletsLevel2">
    <w:name w:val="Bullets Level 2"/>
    <w:basedOn w:val="BulletsLevel1"/>
    <w:rsid w:val="00A95CC8"/>
    <w:pPr>
      <w:numPr>
        <w:ilvl w:val="2"/>
      </w:numPr>
      <w:tabs>
        <w:tab w:val="clear" w:pos="1797"/>
      </w:tabs>
    </w:pPr>
  </w:style>
  <w:style w:type="paragraph" w:styleId="FootnoteText">
    <w:name w:val="footnote text"/>
    <w:basedOn w:val="Normal"/>
    <w:link w:val="FootnoteTextChar"/>
    <w:uiPriority w:val="99"/>
    <w:rsid w:val="00A95CC8"/>
    <w:pPr>
      <w:widowControl/>
      <w:autoSpaceDE/>
      <w:autoSpaceDN/>
    </w:pPr>
    <w:rPr>
      <w:rFonts w:eastAsiaTheme="minorHAnsi" w:cstheme="minorBidi"/>
      <w:sz w:val="20"/>
      <w:szCs w:val="20"/>
      <w:lang w:bidi="ar-SA"/>
    </w:rPr>
  </w:style>
  <w:style w:type="character" w:customStyle="1" w:styleId="FootnoteTextChar">
    <w:name w:val="Footnote Text Char"/>
    <w:basedOn w:val="DefaultParagraphFont"/>
    <w:link w:val="FootnoteText"/>
    <w:uiPriority w:val="99"/>
    <w:rsid w:val="000D48A4"/>
    <w:rPr>
      <w:rFonts w:ascii="Arial" w:hAnsi="Arial"/>
      <w:sz w:val="20"/>
      <w:szCs w:val="20"/>
      <w:lang w:val="en-GB"/>
    </w:rPr>
  </w:style>
  <w:style w:type="character" w:styleId="FootnoteReference">
    <w:name w:val="footnote reference"/>
    <w:basedOn w:val="DefaultParagraphFont"/>
    <w:uiPriority w:val="99"/>
    <w:rsid w:val="00A95CC8"/>
    <w:rPr>
      <w:vertAlign w:val="superscript"/>
    </w:rPr>
  </w:style>
  <w:style w:type="paragraph" w:customStyle="1" w:styleId="ContentsHeading">
    <w:name w:val="Contents Heading"/>
    <w:basedOn w:val="Normal"/>
    <w:next w:val="ContentsSubHeading"/>
    <w:rsid w:val="00A95CC8"/>
    <w:pPr>
      <w:widowControl/>
      <w:autoSpaceDE/>
      <w:autoSpaceDN/>
      <w:spacing w:before="100" w:after="200"/>
      <w:jc w:val="center"/>
    </w:pPr>
    <w:rPr>
      <w:rFonts w:eastAsia="Times New Roman" w:cs="Times New Roman"/>
      <w:b/>
      <w:szCs w:val="24"/>
      <w:lang w:eastAsia="en-GB" w:bidi="ar-SA"/>
    </w:rPr>
  </w:style>
  <w:style w:type="paragraph" w:customStyle="1" w:styleId="ContentsSubHeading">
    <w:name w:val="Contents Sub Heading"/>
    <w:basedOn w:val="Normal"/>
    <w:next w:val="StdBodyText"/>
    <w:rsid w:val="00A95CC8"/>
    <w:pPr>
      <w:widowControl/>
      <w:autoSpaceDE/>
      <w:autoSpaceDN/>
      <w:spacing w:before="400" w:after="200"/>
    </w:pPr>
    <w:rPr>
      <w:rFonts w:eastAsia="Times New Roman" w:cs="Times New Roman"/>
      <w:b/>
      <w:szCs w:val="24"/>
      <w:lang w:eastAsia="en-GB" w:bidi="ar-SA"/>
    </w:rPr>
  </w:style>
  <w:style w:type="character" w:customStyle="1" w:styleId="UnresolvedMention1">
    <w:name w:val="Unresolved Mention1"/>
    <w:basedOn w:val="DefaultParagraphFont"/>
    <w:uiPriority w:val="99"/>
    <w:semiHidden/>
    <w:unhideWhenUsed/>
    <w:rsid w:val="00A95CC8"/>
    <w:rPr>
      <w:color w:val="605E5C"/>
      <w:shd w:val="clear" w:color="auto" w:fill="E1DFDD"/>
    </w:rPr>
  </w:style>
  <w:style w:type="paragraph" w:styleId="Title">
    <w:name w:val="Title"/>
    <w:basedOn w:val="Normal"/>
    <w:next w:val="Normal"/>
    <w:link w:val="TitleChar"/>
    <w:uiPriority w:val="99"/>
    <w:qFormat/>
    <w:rsid w:val="00A95CC8"/>
    <w:pPr>
      <w:keepNext/>
      <w:keepLines/>
      <w:widowControl/>
      <w:autoSpaceDE/>
      <w:autoSpaceDN/>
      <w:spacing w:before="480" w:after="120"/>
    </w:pPr>
    <w:rPr>
      <w:b/>
      <w:sz w:val="72"/>
      <w:szCs w:val="72"/>
      <w:lang w:eastAsia="en-GB" w:bidi="ar-SA"/>
    </w:rPr>
  </w:style>
  <w:style w:type="character" w:customStyle="1" w:styleId="TitleChar">
    <w:name w:val="Title Char"/>
    <w:basedOn w:val="DefaultParagraphFont"/>
    <w:link w:val="Title"/>
    <w:uiPriority w:val="99"/>
    <w:rsid w:val="000D48A4"/>
    <w:rPr>
      <w:rFonts w:ascii="Arial" w:eastAsia="Arial" w:hAnsi="Arial" w:cs="Arial"/>
      <w:b/>
      <w:sz w:val="72"/>
      <w:szCs w:val="72"/>
      <w:lang w:val="en-GB" w:eastAsia="en-GB"/>
    </w:rPr>
  </w:style>
  <w:style w:type="paragraph" w:customStyle="1" w:styleId="GPSL4numbered">
    <w:name w:val="GPS L4 numbered"/>
    <w:basedOn w:val="Normal"/>
    <w:rsid w:val="00A95CC8"/>
    <w:pPr>
      <w:widowControl/>
      <w:pBdr>
        <w:top w:val="nil"/>
        <w:left w:val="nil"/>
        <w:bottom w:val="nil"/>
        <w:right w:val="nil"/>
        <w:between w:val="nil"/>
      </w:pBdr>
      <w:autoSpaceDE/>
      <w:autoSpaceDN/>
      <w:spacing w:after="200" w:line="276" w:lineRule="auto"/>
    </w:pPr>
    <w:rPr>
      <w:rFonts w:asciiTheme="minorBidi" w:eastAsia="Calibri" w:hAnsiTheme="minorBidi" w:cs="Calibri"/>
      <w:color w:val="000000"/>
      <w:lang w:eastAsia="en-GB" w:bidi="ar-SA"/>
    </w:rPr>
  </w:style>
  <w:style w:type="paragraph" w:customStyle="1" w:styleId="GPSL1Numbered">
    <w:name w:val="GPS L1 Numbered"/>
    <w:basedOn w:val="Normal"/>
    <w:rsid w:val="00A95CC8"/>
    <w:pPr>
      <w:keepNext/>
      <w:widowControl/>
      <w:pBdr>
        <w:top w:val="nil"/>
        <w:left w:val="nil"/>
        <w:bottom w:val="nil"/>
        <w:right w:val="nil"/>
        <w:between w:val="nil"/>
      </w:pBdr>
      <w:autoSpaceDE/>
      <w:autoSpaceDN/>
      <w:spacing w:before="120" w:after="240"/>
    </w:pPr>
    <w:rPr>
      <w:rFonts w:asciiTheme="minorBidi" w:eastAsia="Calibri" w:hAnsiTheme="minorBidi" w:cs="Calibri"/>
      <w:b/>
      <w:color w:val="000000"/>
      <w:lang w:eastAsia="en-GB" w:bidi="ar-SA"/>
    </w:rPr>
  </w:style>
  <w:style w:type="character" w:customStyle="1" w:styleId="UnresolvedMention2">
    <w:name w:val="Unresolved Mention2"/>
    <w:basedOn w:val="DefaultParagraphFont"/>
    <w:uiPriority w:val="99"/>
    <w:semiHidden/>
    <w:unhideWhenUsed/>
    <w:rsid w:val="00A95CC8"/>
    <w:rPr>
      <w:color w:val="605E5C"/>
      <w:shd w:val="clear" w:color="auto" w:fill="E1DFDD"/>
    </w:rPr>
  </w:style>
  <w:style w:type="paragraph" w:customStyle="1" w:styleId="GPSL2NumberedBoldHeading">
    <w:name w:val="GPS L2 Numbered Bold Heading"/>
    <w:basedOn w:val="Normal"/>
    <w:qFormat/>
    <w:rsid w:val="00A95CC8"/>
    <w:pPr>
      <w:widowControl/>
      <w:tabs>
        <w:tab w:val="left" w:pos="1134"/>
      </w:tabs>
      <w:autoSpaceDE/>
      <w:autoSpaceDN/>
      <w:adjustRightInd w:val="0"/>
      <w:spacing w:before="120" w:after="120"/>
      <w:ind w:left="644" w:hanging="218"/>
      <w:jc w:val="both"/>
    </w:pPr>
    <w:rPr>
      <w:rFonts w:ascii="Calibri" w:eastAsia="Times New Roman" w:hAnsi="Calibri"/>
      <w:b/>
      <w:lang w:eastAsia="zh-CN" w:bidi="ar-SA"/>
    </w:rPr>
  </w:style>
  <w:style w:type="paragraph" w:customStyle="1" w:styleId="GPSL2Numbered">
    <w:name w:val="GPS L2 Numbered"/>
    <w:basedOn w:val="GPSL2NumberedBoldHeading"/>
    <w:link w:val="GPSL2NumberedChar"/>
    <w:qFormat/>
    <w:rsid w:val="00A95CC8"/>
    <w:pPr>
      <w:tabs>
        <w:tab w:val="clear" w:pos="1134"/>
      </w:tabs>
      <w:ind w:left="936" w:hanging="576"/>
    </w:pPr>
    <w:rPr>
      <w:b w:val="0"/>
    </w:rPr>
  </w:style>
  <w:style w:type="character" w:customStyle="1" w:styleId="GPSL2NumberedChar">
    <w:name w:val="GPS L2 Numbered Char"/>
    <w:link w:val="GPSL2Numbered"/>
    <w:locked/>
    <w:rsid w:val="000D48A4"/>
    <w:rPr>
      <w:rFonts w:ascii="Calibri" w:eastAsia="Times New Roman" w:hAnsi="Calibri" w:cs="Arial"/>
      <w:sz w:val="24"/>
      <w:lang w:val="en-GB" w:eastAsia="zh-CN"/>
    </w:rPr>
  </w:style>
  <w:style w:type="character" w:customStyle="1" w:styleId="GPSL1CLAUSEHEADINGChar">
    <w:name w:val="GPS L1 CLAUSE HEADING Char"/>
    <w:link w:val="GPSL1CLAUSEHEADING"/>
    <w:rsid w:val="000D48A4"/>
    <w:rPr>
      <w:rFonts w:ascii="Arial Bold" w:eastAsia="STZhongsong" w:hAnsi="Arial Bold" w:cs="Arial"/>
      <w:b/>
      <w:caps/>
      <w:sz w:val="24"/>
      <w:lang w:val="en-GB" w:eastAsia="zh-CN"/>
    </w:rPr>
  </w:style>
  <w:style w:type="paragraph" w:styleId="BodyTextIndent">
    <w:name w:val="Body Text Indent"/>
    <w:basedOn w:val="Normal"/>
    <w:link w:val="BodyTextIndentChar"/>
    <w:rsid w:val="00B614A2"/>
    <w:pPr>
      <w:widowControl/>
      <w:autoSpaceDE/>
      <w:autoSpaceDN/>
      <w:adjustRightInd w:val="0"/>
      <w:spacing w:after="240"/>
      <w:ind w:left="916" w:hanging="720"/>
      <w:jc w:val="both"/>
    </w:pPr>
    <w:rPr>
      <w:rFonts w:ascii="Times New Roman" w:eastAsia="STZhongsong" w:hAnsi="Times New Roman" w:cs="Times New Roman"/>
      <w:sz w:val="22"/>
      <w:szCs w:val="20"/>
      <w:lang w:eastAsia="zh-CN" w:bidi="ar-SA"/>
    </w:rPr>
  </w:style>
  <w:style w:type="character" w:customStyle="1" w:styleId="BodyTextIndentChar">
    <w:name w:val="Body Text Indent Char"/>
    <w:basedOn w:val="DefaultParagraphFont"/>
    <w:link w:val="BodyTextIndent"/>
    <w:rsid w:val="000D48A4"/>
    <w:rPr>
      <w:rFonts w:ascii="Times New Roman" w:eastAsia="STZhongsong" w:hAnsi="Times New Roman" w:cs="Times New Roman"/>
      <w:szCs w:val="20"/>
      <w:lang w:val="en-GB" w:eastAsia="zh-CN"/>
    </w:rPr>
  </w:style>
  <w:style w:type="paragraph" w:styleId="BodyTextIndent2">
    <w:name w:val="Body Text Indent 2"/>
    <w:basedOn w:val="Normal"/>
    <w:link w:val="BodyTextIndent2Char"/>
    <w:rsid w:val="00B614A2"/>
    <w:pPr>
      <w:widowControl/>
      <w:numPr>
        <w:ilvl w:val="1"/>
        <w:numId w:val="30"/>
      </w:numPr>
      <w:autoSpaceDE/>
      <w:autoSpaceDN/>
      <w:adjustRightInd w:val="0"/>
      <w:spacing w:after="240"/>
      <w:jc w:val="both"/>
    </w:pPr>
    <w:rPr>
      <w:rFonts w:ascii="Times New Roman" w:eastAsia="STZhongsong" w:hAnsi="Times New Roman" w:cs="Times New Roman"/>
      <w:sz w:val="22"/>
      <w:szCs w:val="20"/>
      <w:lang w:eastAsia="zh-CN" w:bidi="ar-SA"/>
    </w:rPr>
  </w:style>
  <w:style w:type="character" w:customStyle="1" w:styleId="BodyTextIndent2Char">
    <w:name w:val="Body Text Indent 2 Char"/>
    <w:basedOn w:val="DefaultParagraphFont"/>
    <w:link w:val="BodyTextIndent2"/>
    <w:rsid w:val="000D48A4"/>
    <w:rPr>
      <w:rFonts w:ascii="Times New Roman" w:eastAsia="STZhongsong" w:hAnsi="Times New Roman" w:cs="Times New Roman"/>
      <w:szCs w:val="20"/>
      <w:lang w:val="en-GB" w:eastAsia="zh-CN"/>
    </w:rPr>
  </w:style>
  <w:style w:type="paragraph" w:styleId="BodyTextIndent3">
    <w:name w:val="Body Text Indent 3"/>
    <w:basedOn w:val="Normal"/>
    <w:link w:val="BodyTextIndent3Char"/>
    <w:rsid w:val="00B614A2"/>
    <w:pPr>
      <w:widowControl/>
      <w:autoSpaceDE/>
      <w:autoSpaceDN/>
      <w:adjustRightInd w:val="0"/>
      <w:spacing w:after="240"/>
      <w:ind w:left="1800"/>
      <w:jc w:val="both"/>
    </w:pPr>
    <w:rPr>
      <w:rFonts w:ascii="Times New Roman" w:eastAsia="STZhongsong" w:hAnsi="Times New Roman" w:cs="Times New Roman"/>
      <w:sz w:val="22"/>
      <w:szCs w:val="20"/>
      <w:lang w:eastAsia="zh-CN" w:bidi="ar-SA"/>
    </w:rPr>
  </w:style>
  <w:style w:type="character" w:customStyle="1" w:styleId="BodyTextIndent3Char">
    <w:name w:val="Body Text Indent 3 Char"/>
    <w:basedOn w:val="DefaultParagraphFont"/>
    <w:link w:val="BodyTextIndent3"/>
    <w:rsid w:val="000D48A4"/>
    <w:rPr>
      <w:rFonts w:ascii="Times New Roman" w:eastAsia="STZhongsong" w:hAnsi="Times New Roman" w:cs="Times New Roman"/>
      <w:szCs w:val="20"/>
      <w:lang w:val="en-GB" w:eastAsia="zh-CN"/>
    </w:rPr>
  </w:style>
  <w:style w:type="paragraph" w:customStyle="1" w:styleId="BodyTextIndent4">
    <w:name w:val="Body Text Indent 4"/>
    <w:basedOn w:val="Normal"/>
    <w:rsid w:val="00B614A2"/>
    <w:pPr>
      <w:widowControl/>
      <w:autoSpaceDE/>
      <w:autoSpaceDN/>
      <w:adjustRightInd w:val="0"/>
      <w:spacing w:after="240"/>
      <w:ind w:left="2880"/>
      <w:jc w:val="both"/>
    </w:pPr>
    <w:rPr>
      <w:rFonts w:ascii="Times New Roman" w:eastAsia="STZhongsong" w:hAnsi="Times New Roman" w:cs="Times New Roman"/>
      <w:sz w:val="22"/>
      <w:szCs w:val="20"/>
      <w:lang w:eastAsia="zh-CN" w:bidi="ar-SA"/>
    </w:rPr>
  </w:style>
  <w:style w:type="paragraph" w:customStyle="1" w:styleId="BodyTextIndent5">
    <w:name w:val="Body Text Indent 5"/>
    <w:basedOn w:val="Normal"/>
    <w:rsid w:val="00B614A2"/>
    <w:pPr>
      <w:widowControl/>
      <w:autoSpaceDE/>
      <w:autoSpaceDN/>
      <w:adjustRightInd w:val="0"/>
      <w:spacing w:after="240"/>
      <w:ind w:left="3600"/>
      <w:jc w:val="both"/>
    </w:pPr>
    <w:rPr>
      <w:rFonts w:ascii="Times New Roman" w:eastAsia="STZhongsong" w:hAnsi="Times New Roman" w:cs="Times New Roman"/>
      <w:sz w:val="22"/>
      <w:szCs w:val="20"/>
      <w:lang w:eastAsia="zh-CN" w:bidi="ar-SA"/>
    </w:rPr>
  </w:style>
  <w:style w:type="paragraph" w:customStyle="1" w:styleId="MarginText">
    <w:name w:val="Margin Text"/>
    <w:basedOn w:val="Normal"/>
    <w:rsid w:val="00B614A2"/>
    <w:pPr>
      <w:widowControl/>
      <w:autoSpaceDE/>
      <w:autoSpaceDN/>
      <w:adjustRightInd w:val="0"/>
      <w:spacing w:after="240"/>
      <w:jc w:val="both"/>
    </w:pPr>
    <w:rPr>
      <w:rFonts w:ascii="Times New Roman" w:eastAsia="STZhongsong" w:hAnsi="Times New Roman" w:cs="Times New Roman"/>
      <w:sz w:val="22"/>
      <w:szCs w:val="20"/>
      <w:lang w:eastAsia="zh-CN" w:bidi="ar-SA"/>
    </w:rPr>
  </w:style>
  <w:style w:type="paragraph" w:customStyle="1" w:styleId="BodyTextIndent6">
    <w:name w:val="Body Text Indent 6"/>
    <w:basedOn w:val="Normal"/>
    <w:rsid w:val="00B614A2"/>
    <w:pPr>
      <w:widowControl/>
      <w:autoSpaceDE/>
      <w:autoSpaceDN/>
      <w:adjustRightInd w:val="0"/>
      <w:spacing w:after="240"/>
      <w:ind w:left="4320"/>
      <w:jc w:val="both"/>
    </w:pPr>
    <w:rPr>
      <w:rFonts w:ascii="Times New Roman" w:eastAsia="STZhongsong" w:hAnsi="Times New Roman" w:cs="Times New Roman"/>
      <w:sz w:val="22"/>
      <w:szCs w:val="20"/>
      <w:lang w:eastAsia="zh-CN" w:bidi="ar-SA"/>
    </w:rPr>
  </w:style>
  <w:style w:type="paragraph" w:customStyle="1" w:styleId="BodyTextIndent7">
    <w:name w:val="Body Text Indent 7"/>
    <w:basedOn w:val="Normal"/>
    <w:rsid w:val="00B614A2"/>
    <w:pPr>
      <w:widowControl/>
      <w:autoSpaceDE/>
      <w:autoSpaceDN/>
      <w:adjustRightInd w:val="0"/>
      <w:spacing w:after="240"/>
      <w:ind w:left="5040"/>
      <w:jc w:val="both"/>
    </w:pPr>
    <w:rPr>
      <w:rFonts w:ascii="Times New Roman" w:eastAsia="STZhongsong" w:hAnsi="Times New Roman" w:cs="Times New Roman"/>
      <w:sz w:val="22"/>
      <w:szCs w:val="20"/>
      <w:lang w:eastAsia="zh-CN" w:bidi="ar-SA"/>
    </w:rPr>
  </w:style>
  <w:style w:type="paragraph" w:styleId="TOAHeading">
    <w:name w:val="toa heading"/>
    <w:basedOn w:val="Normal"/>
    <w:next w:val="Normal"/>
    <w:uiPriority w:val="99"/>
    <w:semiHidden/>
    <w:rsid w:val="00A95CC8"/>
    <w:pPr>
      <w:widowControl/>
      <w:overflowPunct w:val="0"/>
      <w:adjustRightInd w:val="0"/>
      <w:spacing w:before="120" w:after="240" w:line="360" w:lineRule="auto"/>
      <w:jc w:val="both"/>
      <w:textAlignment w:val="baseline"/>
    </w:pPr>
    <w:rPr>
      <w:rFonts w:ascii="Times New Roman" w:eastAsia="Times New Roman" w:hAnsi="Times New Roman" w:cs="Times New Roman"/>
      <w:b/>
      <w:szCs w:val="20"/>
      <w:lang w:bidi="ar-SA"/>
    </w:rPr>
  </w:style>
  <w:style w:type="numbering" w:styleId="111111">
    <w:name w:val="Outline List 2"/>
    <w:basedOn w:val="NoList"/>
    <w:rsid w:val="00A95CC8"/>
    <w:pPr>
      <w:numPr>
        <w:numId w:val="60"/>
      </w:numPr>
    </w:pPr>
  </w:style>
  <w:style w:type="paragraph" w:styleId="TOC1">
    <w:name w:val="toc 1"/>
    <w:uiPriority w:val="39"/>
    <w:rsid w:val="00F92113"/>
    <w:pPr>
      <w:keepNext/>
      <w:keepLines/>
      <w:widowControl/>
      <w:tabs>
        <w:tab w:val="right" w:leader="dot" w:pos="10206"/>
      </w:tabs>
      <w:autoSpaceDE/>
      <w:autoSpaceDN/>
      <w:adjustRightInd w:val="0"/>
      <w:spacing w:before="240" w:after="60"/>
    </w:pPr>
    <w:rPr>
      <w:rFonts w:ascii="Arial Bold" w:eastAsia="STZhongsong" w:hAnsi="Arial Bold" w:cs="Times New Roman"/>
      <w:b/>
      <w:color w:val="1F497D" w:themeColor="text2"/>
      <w:sz w:val="24"/>
      <w:szCs w:val="20"/>
      <w:lang w:val="en-GB" w:eastAsia="zh-CN"/>
    </w:rPr>
  </w:style>
  <w:style w:type="paragraph" w:styleId="TOC2">
    <w:name w:val="toc 2"/>
    <w:uiPriority w:val="39"/>
    <w:rsid w:val="00292300"/>
    <w:pPr>
      <w:widowControl/>
      <w:tabs>
        <w:tab w:val="right" w:leader="dot" w:pos="10206"/>
      </w:tabs>
      <w:autoSpaceDE/>
      <w:autoSpaceDN/>
      <w:adjustRightInd w:val="0"/>
      <w:spacing w:after="60"/>
      <w:ind w:left="851" w:hanging="851"/>
    </w:pPr>
    <w:rPr>
      <w:rFonts w:ascii="Arial" w:eastAsia="STZhongsong" w:hAnsi="Arial" w:cs="Times New Roman"/>
      <w:sz w:val="24"/>
      <w:szCs w:val="20"/>
      <w:lang w:val="en-GB" w:eastAsia="zh-CN"/>
    </w:rPr>
  </w:style>
  <w:style w:type="paragraph" w:styleId="TOC3">
    <w:name w:val="toc 3"/>
    <w:uiPriority w:val="39"/>
    <w:rsid w:val="00A95CC8"/>
    <w:pPr>
      <w:widowControl/>
      <w:tabs>
        <w:tab w:val="left" w:pos="2160"/>
        <w:tab w:val="right" w:leader="dot" w:pos="9029"/>
      </w:tabs>
      <w:autoSpaceDE/>
      <w:autoSpaceDN/>
      <w:adjustRightInd w:val="0"/>
      <w:spacing w:after="120"/>
      <w:ind w:left="2160" w:hanging="720"/>
    </w:pPr>
    <w:rPr>
      <w:rFonts w:ascii="Times New Roman" w:eastAsia="STZhongsong" w:hAnsi="Times New Roman" w:cs="Times New Roman"/>
      <w:szCs w:val="20"/>
      <w:lang w:val="en-GB" w:eastAsia="zh-CN"/>
    </w:rPr>
  </w:style>
  <w:style w:type="paragraph" w:styleId="TOC4">
    <w:name w:val="toc 4"/>
    <w:uiPriority w:val="39"/>
    <w:rsid w:val="00A95CC8"/>
    <w:pPr>
      <w:widowControl/>
      <w:tabs>
        <w:tab w:val="left" w:pos="2880"/>
        <w:tab w:val="right" w:leader="dot" w:pos="9029"/>
      </w:tabs>
      <w:autoSpaceDE/>
      <w:autoSpaceDN/>
      <w:adjustRightInd w:val="0"/>
      <w:spacing w:after="120"/>
      <w:ind w:left="2880" w:hanging="720"/>
    </w:pPr>
    <w:rPr>
      <w:rFonts w:ascii="Times New Roman" w:eastAsia="STZhongsong" w:hAnsi="Times New Roman" w:cs="Times New Roman"/>
      <w:szCs w:val="20"/>
      <w:lang w:val="en-GB" w:eastAsia="zh-CN"/>
    </w:rPr>
  </w:style>
  <w:style w:type="paragraph" w:styleId="TOC5">
    <w:name w:val="toc 5"/>
    <w:uiPriority w:val="39"/>
    <w:rsid w:val="00A95CC8"/>
    <w:pPr>
      <w:widowControl/>
      <w:tabs>
        <w:tab w:val="left" w:pos="3600"/>
        <w:tab w:val="right" w:leader="dot" w:pos="9029"/>
      </w:tabs>
      <w:autoSpaceDE/>
      <w:autoSpaceDN/>
      <w:adjustRightInd w:val="0"/>
      <w:spacing w:after="120"/>
      <w:ind w:left="3600" w:hanging="720"/>
    </w:pPr>
    <w:rPr>
      <w:rFonts w:ascii="Times New Roman" w:eastAsia="STZhongsong" w:hAnsi="Times New Roman" w:cs="Times New Roman"/>
      <w:szCs w:val="20"/>
      <w:lang w:val="en-GB" w:eastAsia="zh-CN"/>
    </w:rPr>
  </w:style>
  <w:style w:type="paragraph" w:styleId="TOC6">
    <w:name w:val="toc 6"/>
    <w:uiPriority w:val="39"/>
    <w:rsid w:val="00A95CC8"/>
    <w:pPr>
      <w:widowControl/>
      <w:tabs>
        <w:tab w:val="left" w:pos="4320"/>
        <w:tab w:val="right" w:leader="dot" w:pos="9029"/>
      </w:tabs>
      <w:autoSpaceDE/>
      <w:autoSpaceDN/>
      <w:adjustRightInd w:val="0"/>
      <w:spacing w:after="120"/>
      <w:ind w:left="4320" w:hanging="720"/>
    </w:pPr>
    <w:rPr>
      <w:rFonts w:ascii="Times New Roman" w:eastAsia="STZhongsong" w:hAnsi="Times New Roman" w:cs="Times New Roman"/>
      <w:szCs w:val="20"/>
      <w:lang w:val="en-GB" w:eastAsia="zh-CN"/>
    </w:rPr>
  </w:style>
  <w:style w:type="paragraph" w:styleId="TOC7">
    <w:name w:val="toc 7"/>
    <w:uiPriority w:val="39"/>
    <w:rsid w:val="00A95CC8"/>
    <w:pPr>
      <w:widowControl/>
      <w:tabs>
        <w:tab w:val="left" w:pos="5040"/>
        <w:tab w:val="right" w:leader="dot" w:pos="9029"/>
      </w:tabs>
      <w:autoSpaceDE/>
      <w:autoSpaceDN/>
      <w:adjustRightInd w:val="0"/>
      <w:spacing w:after="120"/>
      <w:ind w:left="5040" w:hanging="720"/>
    </w:pPr>
    <w:rPr>
      <w:rFonts w:ascii="Times New Roman" w:eastAsia="STZhongsong" w:hAnsi="Times New Roman" w:cs="Times New Roman"/>
      <w:szCs w:val="20"/>
      <w:lang w:val="en-GB" w:eastAsia="zh-CN"/>
    </w:rPr>
  </w:style>
  <w:style w:type="paragraph" w:styleId="TOC8">
    <w:name w:val="toc 8"/>
    <w:uiPriority w:val="39"/>
    <w:rsid w:val="00A95CC8"/>
    <w:pPr>
      <w:widowControl/>
      <w:tabs>
        <w:tab w:val="right" w:leader="dot" w:pos="9029"/>
      </w:tabs>
      <w:autoSpaceDE/>
      <w:autoSpaceDN/>
      <w:adjustRightInd w:val="0"/>
      <w:spacing w:after="120"/>
    </w:pPr>
    <w:rPr>
      <w:rFonts w:ascii="Times New Roman" w:eastAsia="STZhongsong" w:hAnsi="Times New Roman" w:cs="Times New Roman"/>
      <w:caps/>
      <w:szCs w:val="20"/>
      <w:lang w:val="en-GB" w:eastAsia="zh-CN"/>
    </w:rPr>
  </w:style>
  <w:style w:type="paragraph" w:styleId="TOC9">
    <w:name w:val="toc 9"/>
    <w:uiPriority w:val="39"/>
    <w:rsid w:val="00A95CC8"/>
    <w:pPr>
      <w:widowControl/>
      <w:tabs>
        <w:tab w:val="right" w:leader="dot" w:pos="9029"/>
      </w:tabs>
      <w:autoSpaceDE/>
      <w:autoSpaceDN/>
      <w:adjustRightInd w:val="0"/>
      <w:spacing w:after="120"/>
      <w:ind w:left="720"/>
    </w:pPr>
    <w:rPr>
      <w:rFonts w:ascii="Times New Roman" w:eastAsia="STZhongsong" w:hAnsi="Times New Roman" w:cs="Times New Roman"/>
      <w:szCs w:val="20"/>
      <w:lang w:val="en-GB" w:eastAsia="zh-CN"/>
    </w:rPr>
  </w:style>
  <w:style w:type="paragraph" w:styleId="EndnoteText">
    <w:name w:val="endnote text"/>
    <w:basedOn w:val="Normal"/>
    <w:link w:val="EndnoteTextChar"/>
    <w:uiPriority w:val="99"/>
    <w:semiHidden/>
    <w:rsid w:val="00B614A2"/>
    <w:pPr>
      <w:widowControl/>
      <w:autoSpaceDE/>
      <w:autoSpaceDN/>
      <w:adjustRightInd w:val="0"/>
      <w:spacing w:after="120"/>
      <w:ind w:left="720" w:hanging="720"/>
      <w:jc w:val="both"/>
    </w:pPr>
    <w:rPr>
      <w:rFonts w:ascii="Times New Roman" w:eastAsia="STZhongsong" w:hAnsi="Times New Roman" w:cs="Times New Roman"/>
      <w:sz w:val="18"/>
      <w:szCs w:val="20"/>
      <w:lang w:eastAsia="zh-CN" w:bidi="ar-SA"/>
    </w:rPr>
  </w:style>
  <w:style w:type="character" w:customStyle="1" w:styleId="EndnoteTextChar">
    <w:name w:val="Endnote Text Char"/>
    <w:basedOn w:val="DefaultParagraphFont"/>
    <w:link w:val="EndnoteText"/>
    <w:uiPriority w:val="99"/>
    <w:semiHidden/>
    <w:rsid w:val="000D48A4"/>
    <w:rPr>
      <w:rFonts w:ascii="Times New Roman" w:eastAsia="STZhongsong" w:hAnsi="Times New Roman" w:cs="Times New Roman"/>
      <w:sz w:val="18"/>
      <w:szCs w:val="20"/>
      <w:lang w:val="en-GB" w:eastAsia="zh-CN"/>
    </w:rPr>
  </w:style>
  <w:style w:type="character" w:styleId="EndnoteReference">
    <w:name w:val="endnote reference"/>
    <w:uiPriority w:val="99"/>
    <w:semiHidden/>
    <w:rsid w:val="00A95CC8"/>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Heading">
    <w:name w:val="Heading"/>
    <w:basedOn w:val="Normal"/>
    <w:next w:val="MarginText"/>
    <w:rsid w:val="00B614A2"/>
    <w:pPr>
      <w:keepNext/>
      <w:widowControl/>
      <w:autoSpaceDE/>
      <w:autoSpaceDN/>
      <w:adjustRightInd w:val="0"/>
      <w:spacing w:after="240"/>
      <w:jc w:val="center"/>
    </w:pPr>
    <w:rPr>
      <w:rFonts w:ascii="Times New Roman" w:eastAsia="STZhongsong" w:hAnsi="Times New Roman" w:cs="Times New Roman"/>
      <w:b/>
      <w:caps/>
      <w:sz w:val="22"/>
      <w:szCs w:val="20"/>
      <w:lang w:eastAsia="zh-CN" w:bidi="ar-SA"/>
    </w:rPr>
  </w:style>
  <w:style w:type="paragraph" w:customStyle="1" w:styleId="DefinitionNumbering1">
    <w:name w:val="Definition Numbering 1"/>
    <w:basedOn w:val="Normal"/>
    <w:rsid w:val="009A3079"/>
    <w:pPr>
      <w:widowControl/>
      <w:numPr>
        <w:ilvl w:val="2"/>
        <w:numId w:val="30"/>
      </w:numPr>
      <w:autoSpaceDE/>
      <w:autoSpaceDN/>
      <w:adjustRightInd w:val="0"/>
      <w:spacing w:after="240"/>
      <w:ind w:left="0"/>
      <w:outlineLvl w:val="0"/>
    </w:pPr>
    <w:rPr>
      <w:rFonts w:eastAsia="STZhongsong" w:cs="Times New Roman"/>
      <w:szCs w:val="20"/>
      <w:lang w:eastAsia="zh-CN" w:bidi="ar-SA"/>
    </w:rPr>
  </w:style>
  <w:style w:type="paragraph" w:customStyle="1" w:styleId="DefinitionNumbering2">
    <w:name w:val="Definition Numbering 2"/>
    <w:basedOn w:val="Normal"/>
    <w:rsid w:val="00B614A2"/>
    <w:pPr>
      <w:widowControl/>
      <w:numPr>
        <w:ilvl w:val="3"/>
        <w:numId w:val="30"/>
      </w:numPr>
      <w:autoSpaceDE/>
      <w:autoSpaceDN/>
      <w:adjustRightInd w:val="0"/>
      <w:spacing w:after="240"/>
      <w:jc w:val="both"/>
      <w:outlineLvl w:val="1"/>
    </w:pPr>
    <w:rPr>
      <w:rFonts w:ascii="Times New Roman" w:eastAsia="STZhongsong" w:hAnsi="Times New Roman" w:cs="Times New Roman"/>
      <w:sz w:val="22"/>
      <w:szCs w:val="20"/>
      <w:lang w:eastAsia="zh-CN" w:bidi="ar-SA"/>
    </w:rPr>
  </w:style>
  <w:style w:type="paragraph" w:customStyle="1" w:styleId="DefinitionNumbering3">
    <w:name w:val="Definition Numbering 3"/>
    <w:basedOn w:val="Normal"/>
    <w:rsid w:val="00B614A2"/>
    <w:pPr>
      <w:widowControl/>
      <w:numPr>
        <w:ilvl w:val="4"/>
        <w:numId w:val="30"/>
      </w:numPr>
      <w:autoSpaceDE/>
      <w:autoSpaceDN/>
      <w:adjustRightInd w:val="0"/>
      <w:spacing w:after="240"/>
      <w:jc w:val="both"/>
      <w:outlineLvl w:val="2"/>
    </w:pPr>
    <w:rPr>
      <w:rFonts w:ascii="Times New Roman" w:eastAsia="STZhongsong" w:hAnsi="Times New Roman" w:cs="Times New Roman"/>
      <w:sz w:val="22"/>
      <w:szCs w:val="20"/>
      <w:lang w:eastAsia="zh-CN" w:bidi="ar-SA"/>
    </w:rPr>
  </w:style>
  <w:style w:type="paragraph" w:customStyle="1" w:styleId="DefinitionNumbering4">
    <w:name w:val="Definition Numbering 4"/>
    <w:basedOn w:val="Normal"/>
    <w:rsid w:val="00B614A2"/>
    <w:pPr>
      <w:widowControl/>
      <w:numPr>
        <w:ilvl w:val="5"/>
        <w:numId w:val="30"/>
      </w:numPr>
      <w:autoSpaceDE/>
      <w:autoSpaceDN/>
      <w:adjustRightInd w:val="0"/>
      <w:spacing w:after="240"/>
      <w:jc w:val="both"/>
      <w:outlineLvl w:val="3"/>
    </w:pPr>
    <w:rPr>
      <w:rFonts w:ascii="Times New Roman" w:eastAsia="STZhongsong" w:hAnsi="Times New Roman" w:cs="Times New Roman"/>
      <w:sz w:val="22"/>
      <w:szCs w:val="20"/>
      <w:lang w:eastAsia="zh-CN" w:bidi="ar-SA"/>
    </w:rPr>
  </w:style>
  <w:style w:type="paragraph" w:customStyle="1" w:styleId="DefinitionNumbering5">
    <w:name w:val="Definition Numbering 5"/>
    <w:basedOn w:val="Normal"/>
    <w:rsid w:val="00B614A2"/>
    <w:pPr>
      <w:widowControl/>
      <w:numPr>
        <w:ilvl w:val="6"/>
        <w:numId w:val="30"/>
      </w:numPr>
      <w:autoSpaceDE/>
      <w:autoSpaceDN/>
      <w:adjustRightInd w:val="0"/>
      <w:spacing w:after="240"/>
      <w:jc w:val="both"/>
      <w:outlineLvl w:val="4"/>
    </w:pPr>
    <w:rPr>
      <w:rFonts w:ascii="Times New Roman" w:eastAsia="STZhongsong" w:hAnsi="Times New Roman" w:cs="Times New Roman"/>
      <w:sz w:val="22"/>
      <w:szCs w:val="20"/>
      <w:lang w:eastAsia="zh-CN" w:bidi="ar-SA"/>
    </w:rPr>
  </w:style>
  <w:style w:type="paragraph" w:customStyle="1" w:styleId="DefinitionNumbering6">
    <w:name w:val="Definition Numbering 6"/>
    <w:basedOn w:val="Normal"/>
    <w:rsid w:val="00B614A2"/>
    <w:pPr>
      <w:widowControl/>
      <w:numPr>
        <w:ilvl w:val="7"/>
        <w:numId w:val="30"/>
      </w:numPr>
      <w:autoSpaceDE/>
      <w:autoSpaceDN/>
      <w:adjustRightInd w:val="0"/>
      <w:spacing w:after="240"/>
      <w:jc w:val="both"/>
      <w:outlineLvl w:val="5"/>
    </w:pPr>
    <w:rPr>
      <w:rFonts w:ascii="Times New Roman" w:eastAsia="STZhongsong" w:hAnsi="Times New Roman" w:cs="Times New Roman"/>
      <w:sz w:val="22"/>
      <w:szCs w:val="20"/>
      <w:lang w:eastAsia="zh-CN" w:bidi="ar-SA"/>
    </w:rPr>
  </w:style>
  <w:style w:type="paragraph" w:customStyle="1" w:styleId="DefinitionNumbering7">
    <w:name w:val="Definition Numbering 7"/>
    <w:basedOn w:val="Normal"/>
    <w:rsid w:val="00B614A2"/>
    <w:pPr>
      <w:widowControl/>
      <w:numPr>
        <w:ilvl w:val="8"/>
        <w:numId w:val="30"/>
      </w:numPr>
      <w:autoSpaceDE/>
      <w:autoSpaceDN/>
      <w:adjustRightInd w:val="0"/>
      <w:spacing w:after="240"/>
      <w:jc w:val="both"/>
      <w:outlineLvl w:val="6"/>
    </w:pPr>
    <w:rPr>
      <w:rFonts w:ascii="Times New Roman" w:eastAsia="STZhongsong" w:hAnsi="Times New Roman" w:cs="Times New Roman"/>
      <w:sz w:val="22"/>
      <w:szCs w:val="20"/>
      <w:lang w:eastAsia="zh-CN" w:bidi="ar-SA"/>
    </w:rPr>
  </w:style>
  <w:style w:type="paragraph" w:customStyle="1" w:styleId="DefinitionNumbering8">
    <w:name w:val="Definition Numbering 8"/>
    <w:basedOn w:val="Normal"/>
    <w:rsid w:val="00B614A2"/>
    <w:pPr>
      <w:widowControl/>
      <w:numPr>
        <w:ilvl w:val="7"/>
        <w:numId w:val="31"/>
      </w:numPr>
      <w:autoSpaceDE/>
      <w:autoSpaceDN/>
      <w:adjustRightInd w:val="0"/>
      <w:spacing w:after="240"/>
      <w:ind w:left="2523" w:hanging="720"/>
      <w:jc w:val="both"/>
      <w:outlineLvl w:val="7"/>
    </w:pPr>
    <w:rPr>
      <w:rFonts w:ascii="Times New Roman" w:eastAsia="STZhongsong" w:hAnsi="Times New Roman" w:cs="Times New Roman"/>
      <w:sz w:val="22"/>
      <w:szCs w:val="20"/>
      <w:lang w:eastAsia="zh-CN" w:bidi="ar-SA"/>
    </w:rPr>
  </w:style>
  <w:style w:type="paragraph" w:customStyle="1" w:styleId="DefinitionNumbering9">
    <w:name w:val="Definition Numbering 9"/>
    <w:basedOn w:val="Normal"/>
    <w:rsid w:val="00B614A2"/>
    <w:pPr>
      <w:widowControl/>
      <w:numPr>
        <w:ilvl w:val="8"/>
        <w:numId w:val="31"/>
      </w:numPr>
      <w:autoSpaceDE/>
      <w:autoSpaceDN/>
      <w:adjustRightInd w:val="0"/>
      <w:spacing w:after="240"/>
      <w:ind w:left="2523" w:hanging="720"/>
      <w:jc w:val="both"/>
      <w:outlineLvl w:val="8"/>
    </w:pPr>
    <w:rPr>
      <w:rFonts w:ascii="Times New Roman" w:eastAsia="STZhongsong" w:hAnsi="Times New Roman" w:cs="Times New Roman"/>
      <w:sz w:val="22"/>
      <w:szCs w:val="20"/>
      <w:lang w:eastAsia="zh-CN" w:bidi="ar-SA"/>
    </w:rPr>
  </w:style>
  <w:style w:type="paragraph" w:customStyle="1" w:styleId="Table-Text">
    <w:name w:val="Table - Text"/>
    <w:basedOn w:val="Normal"/>
    <w:uiPriority w:val="99"/>
    <w:rsid w:val="00B614A2"/>
    <w:pPr>
      <w:widowControl/>
      <w:autoSpaceDE/>
      <w:autoSpaceDN/>
      <w:adjustRightInd w:val="0"/>
    </w:pPr>
    <w:rPr>
      <w:rFonts w:asciiTheme="minorHAnsi" w:eastAsia="STZhongsong" w:hAnsiTheme="minorHAnsi" w:cs="Times New Roman"/>
      <w:szCs w:val="20"/>
      <w:lang w:eastAsia="zh-CN" w:bidi="ar-SA"/>
    </w:rPr>
  </w:style>
  <w:style w:type="paragraph" w:styleId="Bibliography">
    <w:name w:val="Bibliography"/>
    <w:basedOn w:val="Normal"/>
    <w:next w:val="Normal"/>
    <w:uiPriority w:val="99"/>
    <w:semiHidden/>
    <w:rsid w:val="00A95CC8"/>
    <w:pPr>
      <w:widowControl/>
      <w:overflowPunct w:val="0"/>
      <w:adjustRightInd w:val="0"/>
      <w:spacing w:after="240" w:line="360" w:lineRule="auto"/>
      <w:jc w:val="both"/>
      <w:textAlignment w:val="baseline"/>
    </w:pPr>
    <w:rPr>
      <w:rFonts w:ascii="Times New Roman" w:eastAsia="Times New Roman" w:hAnsi="Times New Roman" w:cs="Times New Roman"/>
      <w:szCs w:val="20"/>
      <w:lang w:bidi="ar-SA"/>
    </w:rPr>
  </w:style>
  <w:style w:type="paragraph" w:styleId="BodyText2">
    <w:name w:val="Body Text 2"/>
    <w:basedOn w:val="Normal"/>
    <w:link w:val="BodyText2Char"/>
    <w:rsid w:val="00A95CC8"/>
    <w:pPr>
      <w:widowControl/>
      <w:overflowPunct w:val="0"/>
      <w:adjustRightInd w:val="0"/>
      <w:spacing w:after="120" w:line="480" w:lineRule="auto"/>
      <w:jc w:val="both"/>
      <w:textAlignment w:val="baseline"/>
    </w:pPr>
    <w:rPr>
      <w:rFonts w:ascii="Times New Roman" w:eastAsia="Times New Roman" w:hAnsi="Times New Roman" w:cs="Times New Roman"/>
      <w:szCs w:val="20"/>
      <w:lang w:bidi="ar-SA"/>
    </w:rPr>
  </w:style>
  <w:style w:type="character" w:customStyle="1" w:styleId="BodyText2Char">
    <w:name w:val="Body Text 2 Char"/>
    <w:basedOn w:val="DefaultParagraphFont"/>
    <w:link w:val="BodyText2"/>
    <w:rsid w:val="000D48A4"/>
    <w:rPr>
      <w:rFonts w:ascii="Times New Roman" w:eastAsia="Times New Roman" w:hAnsi="Times New Roman" w:cs="Times New Roman"/>
      <w:sz w:val="24"/>
      <w:szCs w:val="20"/>
      <w:lang w:val="en-GB"/>
    </w:rPr>
  </w:style>
  <w:style w:type="paragraph" w:styleId="BodyText3">
    <w:name w:val="Body Text 3"/>
    <w:basedOn w:val="Normal"/>
    <w:link w:val="BodyText3Char"/>
    <w:rsid w:val="00A95CC8"/>
    <w:pPr>
      <w:widowControl/>
      <w:overflowPunct w:val="0"/>
      <w:adjustRightInd w:val="0"/>
      <w:spacing w:after="120" w:line="360" w:lineRule="auto"/>
      <w:jc w:val="both"/>
      <w:textAlignment w:val="baseline"/>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0D48A4"/>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A95CC8"/>
    <w:pPr>
      <w:widowControl/>
      <w:overflowPunct w:val="0"/>
      <w:adjustRightInd w:val="0"/>
      <w:spacing w:after="120" w:line="360" w:lineRule="auto"/>
      <w:ind w:firstLine="210"/>
      <w:jc w:val="both"/>
      <w:textAlignment w:val="baseline"/>
    </w:pPr>
    <w:rPr>
      <w:rFonts w:ascii="Times New Roman" w:eastAsia="Times New Roman" w:hAnsi="Times New Roman" w:cs="Times New Roman"/>
      <w:sz w:val="22"/>
      <w:szCs w:val="20"/>
      <w:lang w:bidi="ar-SA"/>
    </w:rPr>
  </w:style>
  <w:style w:type="character" w:customStyle="1" w:styleId="BodyTextChar">
    <w:name w:val="Body Text Char"/>
    <w:basedOn w:val="DefaultParagraphFont"/>
    <w:link w:val="BodyText"/>
    <w:rsid w:val="000D48A4"/>
    <w:rPr>
      <w:rFonts w:ascii="Arial" w:eastAsia="Arial" w:hAnsi="Arial" w:cs="Arial"/>
      <w:sz w:val="24"/>
      <w:szCs w:val="24"/>
      <w:lang w:val="en-GB" w:bidi="en-US"/>
    </w:rPr>
  </w:style>
  <w:style w:type="character" w:customStyle="1" w:styleId="BodyTextFirstIndentChar">
    <w:name w:val="Body Text First Indent Char"/>
    <w:basedOn w:val="BodyTextChar"/>
    <w:link w:val="BodyTextFirstIndent"/>
    <w:rsid w:val="000D48A4"/>
    <w:rPr>
      <w:rFonts w:ascii="Times New Roman" w:eastAsia="Times New Roman" w:hAnsi="Times New Roman" w:cs="Times New Roman"/>
      <w:sz w:val="24"/>
      <w:szCs w:val="20"/>
      <w:lang w:val="en-GB" w:bidi="en-US"/>
    </w:rPr>
  </w:style>
  <w:style w:type="paragraph" w:styleId="BodyTextFirstIndent2">
    <w:name w:val="Body Text First Indent 2"/>
    <w:basedOn w:val="BodyTextIndent"/>
    <w:link w:val="BodyTextFirstIndent2Char"/>
    <w:rsid w:val="00A95CC8"/>
    <w:p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0D48A4"/>
    <w:rPr>
      <w:rFonts w:ascii="Times New Roman" w:eastAsia="Times New Roman" w:hAnsi="Times New Roman" w:cs="Times New Roman"/>
      <w:szCs w:val="20"/>
      <w:lang w:val="en-GB" w:eastAsia="zh-CN"/>
    </w:rPr>
  </w:style>
  <w:style w:type="character" w:styleId="BookTitle">
    <w:name w:val="Book Title"/>
    <w:uiPriority w:val="99"/>
    <w:qFormat/>
    <w:rsid w:val="00A95CC8"/>
    <w:rPr>
      <w:b/>
      <w:bCs/>
      <w:smallCaps/>
      <w:spacing w:val="5"/>
    </w:rPr>
  </w:style>
  <w:style w:type="paragraph" w:styleId="Caption">
    <w:name w:val="caption"/>
    <w:basedOn w:val="Normal"/>
    <w:next w:val="Normal"/>
    <w:qFormat/>
    <w:rsid w:val="00A95CC8"/>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bidi="ar-SA"/>
    </w:rPr>
  </w:style>
  <w:style w:type="paragraph" w:styleId="Closing">
    <w:name w:val="Closing"/>
    <w:basedOn w:val="Normal"/>
    <w:link w:val="ClosingChar"/>
    <w:rsid w:val="00A95CC8"/>
    <w:pPr>
      <w:widowControl/>
      <w:overflowPunct w:val="0"/>
      <w:adjustRightInd w:val="0"/>
      <w:spacing w:after="240" w:line="360" w:lineRule="auto"/>
      <w:ind w:left="4252"/>
      <w:jc w:val="both"/>
      <w:textAlignment w:val="baseline"/>
    </w:pPr>
    <w:rPr>
      <w:rFonts w:ascii="Times New Roman" w:eastAsia="Times New Roman" w:hAnsi="Times New Roman" w:cs="Times New Roman"/>
      <w:szCs w:val="20"/>
      <w:lang w:bidi="ar-SA"/>
    </w:rPr>
  </w:style>
  <w:style w:type="character" w:customStyle="1" w:styleId="ClosingChar">
    <w:name w:val="Closing Char"/>
    <w:basedOn w:val="DefaultParagraphFont"/>
    <w:link w:val="Closing"/>
    <w:rsid w:val="000D48A4"/>
    <w:rPr>
      <w:rFonts w:ascii="Times New Roman" w:eastAsia="Times New Roman" w:hAnsi="Times New Roman" w:cs="Times New Roman"/>
      <w:sz w:val="24"/>
      <w:szCs w:val="20"/>
      <w:lang w:val="en-GB"/>
    </w:rPr>
  </w:style>
  <w:style w:type="table" w:styleId="ColourfulGrid">
    <w:name w:val="Colorful Grid"/>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List">
    <w:name w:val="Colorful List"/>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Accent1">
    <w:name w:val="Colorful Shading Accent 1"/>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2">
    <w:name w:val="Dark List Accent 2"/>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95CC8"/>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A95CC8"/>
    <w:pPr>
      <w:widowControl/>
      <w:overflowPunct w:val="0"/>
      <w:adjustRightInd w:val="0"/>
      <w:spacing w:after="240" w:line="360" w:lineRule="auto"/>
      <w:jc w:val="both"/>
      <w:textAlignment w:val="baseline"/>
    </w:pPr>
    <w:rPr>
      <w:rFonts w:ascii="Times New Roman" w:eastAsia="Times New Roman" w:hAnsi="Times New Roman" w:cs="Times New Roman"/>
      <w:szCs w:val="20"/>
      <w:lang w:bidi="ar-SA"/>
    </w:rPr>
  </w:style>
  <w:style w:type="character" w:customStyle="1" w:styleId="DateChar">
    <w:name w:val="Date Char"/>
    <w:basedOn w:val="DefaultParagraphFont"/>
    <w:link w:val="Date"/>
    <w:rsid w:val="000D48A4"/>
    <w:rPr>
      <w:rFonts w:ascii="Times New Roman" w:eastAsia="Times New Roman" w:hAnsi="Times New Roman" w:cs="Times New Roman"/>
      <w:sz w:val="24"/>
      <w:szCs w:val="20"/>
      <w:lang w:val="en-GB"/>
    </w:rPr>
  </w:style>
  <w:style w:type="paragraph" w:styleId="DocumentMap">
    <w:name w:val="Document Map"/>
    <w:basedOn w:val="Normal"/>
    <w:link w:val="DocumentMapChar"/>
    <w:rsid w:val="00A95CC8"/>
    <w:pPr>
      <w:widowControl/>
      <w:overflowPunct w:val="0"/>
      <w:adjustRightInd w:val="0"/>
      <w:spacing w:after="240" w:line="360" w:lineRule="auto"/>
      <w:jc w:val="both"/>
      <w:textAlignment w:val="baseline"/>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0D48A4"/>
    <w:rPr>
      <w:rFonts w:ascii="Tahoma" w:eastAsia="Times New Roman" w:hAnsi="Tahoma" w:cs="Tahoma"/>
      <w:sz w:val="16"/>
      <w:szCs w:val="16"/>
      <w:lang w:val="en-GB"/>
    </w:rPr>
  </w:style>
  <w:style w:type="paragraph" w:styleId="EmailSignature">
    <w:name w:val="E-mail Signature"/>
    <w:basedOn w:val="Normal"/>
    <w:link w:val="EmailSignatureChar"/>
    <w:rsid w:val="00A95CC8"/>
    <w:pPr>
      <w:widowControl/>
      <w:overflowPunct w:val="0"/>
      <w:adjustRightInd w:val="0"/>
      <w:spacing w:after="240" w:line="360" w:lineRule="auto"/>
      <w:jc w:val="both"/>
      <w:textAlignment w:val="baseline"/>
    </w:pPr>
    <w:rPr>
      <w:rFonts w:ascii="Times New Roman" w:eastAsia="Times New Roman" w:hAnsi="Times New Roman" w:cs="Times New Roman"/>
      <w:szCs w:val="20"/>
      <w:lang w:bidi="ar-SA"/>
    </w:rPr>
  </w:style>
  <w:style w:type="character" w:customStyle="1" w:styleId="EmailSignatureChar">
    <w:name w:val="Email Signature Char"/>
    <w:basedOn w:val="DefaultParagraphFont"/>
    <w:link w:val="EmailSignature"/>
    <w:rsid w:val="000D48A4"/>
    <w:rPr>
      <w:rFonts w:ascii="Times New Roman" w:eastAsia="Times New Roman" w:hAnsi="Times New Roman" w:cs="Times New Roman"/>
      <w:sz w:val="24"/>
      <w:szCs w:val="20"/>
      <w:lang w:val="en-GB"/>
    </w:rPr>
  </w:style>
  <w:style w:type="character" w:styleId="Emphasis">
    <w:name w:val="Emphasis"/>
    <w:uiPriority w:val="99"/>
    <w:qFormat/>
    <w:rsid w:val="00A95CC8"/>
    <w:rPr>
      <w:i/>
      <w:iCs/>
    </w:rPr>
  </w:style>
  <w:style w:type="paragraph" w:styleId="EnvelopeAddress">
    <w:name w:val="envelope address"/>
    <w:basedOn w:val="Normal"/>
    <w:rsid w:val="00A95CC8"/>
    <w:pPr>
      <w:framePr w:w="7920" w:h="1980" w:hRule="exact" w:hSpace="180" w:wrap="auto" w:hAnchor="page" w:xAlign="center" w:yAlign="bottom"/>
      <w:widowControl/>
      <w:overflowPunct w:val="0"/>
      <w:adjustRightInd w:val="0"/>
      <w:spacing w:after="240" w:line="360" w:lineRule="auto"/>
      <w:ind w:left="2880"/>
      <w:jc w:val="both"/>
      <w:textAlignment w:val="baseline"/>
    </w:pPr>
    <w:rPr>
      <w:rFonts w:ascii="Cambria" w:eastAsia="Times New Roman" w:hAnsi="Cambria" w:cs="Times New Roman"/>
      <w:szCs w:val="24"/>
      <w:lang w:bidi="ar-SA"/>
    </w:rPr>
  </w:style>
  <w:style w:type="paragraph" w:styleId="EnvelopeReturn">
    <w:name w:val="envelope return"/>
    <w:basedOn w:val="Normal"/>
    <w:rsid w:val="00A95CC8"/>
    <w:pPr>
      <w:widowControl/>
      <w:overflowPunct w:val="0"/>
      <w:adjustRightInd w:val="0"/>
      <w:spacing w:after="240" w:line="360" w:lineRule="auto"/>
      <w:jc w:val="both"/>
      <w:textAlignment w:val="baseline"/>
    </w:pPr>
    <w:rPr>
      <w:rFonts w:ascii="Cambria" w:eastAsia="Times New Roman" w:hAnsi="Cambria" w:cs="Times New Roman"/>
      <w:sz w:val="20"/>
      <w:szCs w:val="20"/>
      <w:lang w:bidi="ar-SA"/>
    </w:rPr>
  </w:style>
  <w:style w:type="character" w:styleId="FollowedHyperlink">
    <w:name w:val="FollowedHyperlink"/>
    <w:uiPriority w:val="99"/>
    <w:rsid w:val="00A95CC8"/>
    <w:rPr>
      <w:color w:val="800080"/>
      <w:u w:val="single"/>
    </w:rPr>
  </w:style>
  <w:style w:type="character" w:styleId="IntenseEmphasis">
    <w:name w:val="Intense Emphasis"/>
    <w:uiPriority w:val="99"/>
    <w:qFormat/>
    <w:rsid w:val="00A95CC8"/>
    <w:rPr>
      <w:b/>
      <w:bCs/>
      <w:i/>
      <w:iCs/>
      <w:color w:val="4F81BD"/>
    </w:rPr>
  </w:style>
  <w:style w:type="paragraph" w:styleId="IntenseQuote">
    <w:name w:val="Intense Quote"/>
    <w:basedOn w:val="Normal"/>
    <w:next w:val="Normal"/>
    <w:link w:val="IntenseQuoteChar"/>
    <w:uiPriority w:val="99"/>
    <w:qFormat/>
    <w:rsid w:val="00A95CC8"/>
    <w:pPr>
      <w:widowControl/>
      <w:pBdr>
        <w:bottom w:val="single" w:sz="4" w:space="4" w:color="4F81BD"/>
      </w:pBdr>
      <w:overflowPunct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Cs w:val="20"/>
      <w:lang w:bidi="ar-SA"/>
    </w:rPr>
  </w:style>
  <w:style w:type="character" w:customStyle="1" w:styleId="IntenseQuoteChar">
    <w:name w:val="Intense Quote Char"/>
    <w:basedOn w:val="DefaultParagraphFont"/>
    <w:link w:val="IntenseQuote"/>
    <w:uiPriority w:val="99"/>
    <w:rsid w:val="006B7F8C"/>
    <w:rPr>
      <w:rFonts w:ascii="Times New Roman" w:eastAsia="Times New Roman" w:hAnsi="Times New Roman" w:cs="Times New Roman"/>
      <w:b/>
      <w:bCs/>
      <w:i/>
      <w:iCs/>
      <w:color w:val="4F81BD"/>
      <w:sz w:val="24"/>
      <w:szCs w:val="20"/>
      <w:lang w:val="en-GB"/>
    </w:rPr>
  </w:style>
  <w:style w:type="character" w:styleId="IntenseReference">
    <w:name w:val="Intense Reference"/>
    <w:uiPriority w:val="99"/>
    <w:qFormat/>
    <w:rsid w:val="00A95CC8"/>
    <w:rPr>
      <w:b/>
      <w:bCs/>
      <w:smallCaps/>
      <w:color w:val="C0504D"/>
      <w:spacing w:val="5"/>
      <w:u w:val="single"/>
    </w:rPr>
  </w:style>
  <w:style w:type="table" w:styleId="LightGrid">
    <w:name w:val="Light Grid"/>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
    <w:name w:val="Light List"/>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60"/>
    <w:rsid w:val="00A95CC8"/>
    <w:pPr>
      <w:widowControl/>
      <w:autoSpaceDE/>
      <w:autoSpaceDN/>
    </w:pPr>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95CC8"/>
    <w:pPr>
      <w:widowControl/>
      <w:autoSpaceDE/>
      <w:autoSpaceDN/>
    </w:pPr>
    <w:rPr>
      <w:rFonts w:ascii="Times New Roman" w:eastAsia="Times New Roman" w:hAnsi="Times New Roman"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95CC8"/>
    <w:pPr>
      <w:widowControl/>
      <w:autoSpaceDE/>
      <w:autoSpaceDN/>
    </w:pPr>
    <w:rPr>
      <w:rFonts w:ascii="Times New Roman" w:eastAsia="Times New Roman" w:hAnsi="Times New Roman"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95CC8"/>
    <w:pPr>
      <w:widowControl/>
      <w:autoSpaceDE/>
      <w:autoSpaceDN/>
    </w:pPr>
    <w:rPr>
      <w:rFonts w:ascii="Times New Roman" w:eastAsia="Times New Roman" w:hAnsi="Times New Roman" w:cs="Times New Roman"/>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95CC8"/>
    <w:pPr>
      <w:widowControl/>
      <w:autoSpaceDE/>
      <w:autoSpaceDN/>
    </w:pPr>
    <w:rPr>
      <w:rFonts w:ascii="Times New Roman" w:eastAsia="Times New Roman" w:hAnsi="Times New Roman" w:cs="Times New Roman"/>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95CC8"/>
    <w:pPr>
      <w:widowControl/>
      <w:autoSpaceDE/>
      <w:autoSpaceDN/>
    </w:pPr>
    <w:rPr>
      <w:rFonts w:ascii="Times New Roman" w:eastAsia="Times New Roman" w:hAnsi="Times New Roman" w:cs="Times New Roman"/>
      <w:color w:val="E36C0A"/>
      <w:sz w:val="20"/>
      <w:szCs w:val="20"/>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4">
    <w:name w:val="Medium Grid 2 Accent 4"/>
    <w:basedOn w:val="TableNormal"/>
    <w:uiPriority w:val="68"/>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
    <w:name w:val="Medium Grid 3"/>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95CC8"/>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95CC8"/>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95CC8"/>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A95CC8"/>
    <w:pPr>
      <w:widowControl/>
      <w:overflowPunct w:val="0"/>
      <w:adjustRightInd w:val="0"/>
      <w:spacing w:after="240" w:line="360" w:lineRule="auto"/>
      <w:jc w:val="both"/>
      <w:textAlignment w:val="baseline"/>
    </w:pPr>
    <w:rPr>
      <w:rFonts w:ascii="Times New Roman" w:eastAsia="Times New Roman" w:hAnsi="Times New Roman" w:cs="Times New Roman"/>
      <w:szCs w:val="24"/>
      <w:lang w:bidi="ar-SA"/>
    </w:rPr>
  </w:style>
  <w:style w:type="character" w:styleId="PlaceholderText">
    <w:name w:val="Placeholder Text"/>
    <w:uiPriority w:val="99"/>
    <w:semiHidden/>
    <w:rsid w:val="00A95CC8"/>
    <w:rPr>
      <w:color w:val="808080"/>
    </w:rPr>
  </w:style>
  <w:style w:type="paragraph" w:styleId="Quote">
    <w:name w:val="Quote"/>
    <w:basedOn w:val="Normal"/>
    <w:next w:val="Normal"/>
    <w:link w:val="QuoteChar"/>
    <w:uiPriority w:val="99"/>
    <w:qFormat/>
    <w:rsid w:val="00A95CC8"/>
    <w:pPr>
      <w:widowControl/>
      <w:overflowPunct w:val="0"/>
      <w:adjustRightInd w:val="0"/>
      <w:spacing w:after="240" w:line="360" w:lineRule="auto"/>
      <w:jc w:val="both"/>
      <w:textAlignment w:val="baseline"/>
    </w:pPr>
    <w:rPr>
      <w:rFonts w:ascii="Times New Roman" w:eastAsia="Times New Roman" w:hAnsi="Times New Roman" w:cs="Times New Roman"/>
      <w:i/>
      <w:iCs/>
      <w:color w:val="000000"/>
      <w:szCs w:val="20"/>
      <w:lang w:bidi="ar-SA"/>
    </w:rPr>
  </w:style>
  <w:style w:type="character" w:customStyle="1" w:styleId="QuoteChar">
    <w:name w:val="Quote Char"/>
    <w:basedOn w:val="DefaultParagraphFont"/>
    <w:link w:val="Quote"/>
    <w:uiPriority w:val="99"/>
    <w:rsid w:val="006B7F8C"/>
    <w:rPr>
      <w:rFonts w:ascii="Times New Roman" w:eastAsia="Times New Roman" w:hAnsi="Times New Roman" w:cs="Times New Roman"/>
      <w:i/>
      <w:iCs/>
      <w:color w:val="000000"/>
      <w:sz w:val="24"/>
      <w:szCs w:val="20"/>
      <w:lang w:val="en-GB"/>
    </w:rPr>
  </w:style>
  <w:style w:type="character" w:styleId="Strong">
    <w:name w:val="Strong"/>
    <w:uiPriority w:val="99"/>
    <w:qFormat/>
    <w:rsid w:val="00A95CC8"/>
    <w:rPr>
      <w:b/>
      <w:bCs/>
    </w:rPr>
  </w:style>
  <w:style w:type="character" w:styleId="SubtleEmphasis">
    <w:name w:val="Subtle Emphasis"/>
    <w:uiPriority w:val="99"/>
    <w:qFormat/>
    <w:rsid w:val="00A95CC8"/>
    <w:rPr>
      <w:i/>
      <w:iCs/>
      <w:color w:val="808080"/>
    </w:rPr>
  </w:style>
  <w:style w:type="character" w:styleId="SubtleReference">
    <w:name w:val="Subtle Reference"/>
    <w:uiPriority w:val="99"/>
    <w:qFormat/>
    <w:rsid w:val="00A95CC8"/>
    <w:rPr>
      <w:smallCaps/>
      <w:color w:val="C0504D"/>
      <w:u w:val="single"/>
    </w:rPr>
  </w:style>
  <w:style w:type="table" w:styleId="Table3Deffects1">
    <w:name w:val="Table 3D effects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5CC8"/>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0D48A4"/>
    <w:pPr>
      <w:keepNext/>
      <w:keepLines/>
      <w:pageBreakBefore/>
      <w:widowControl/>
      <w:overflowPunct w:val="0"/>
      <w:adjustRightInd w:val="0"/>
      <w:jc w:val="center"/>
      <w:textAlignment w:val="baseline"/>
      <w:outlineLvl w:val="9"/>
    </w:pPr>
    <w:rPr>
      <w:rFonts w:asciiTheme="majorHAnsi" w:eastAsia="Times New Roman" w:hAnsiTheme="majorHAnsi" w:cs="Times New Roman"/>
      <w:kern w:val="32"/>
      <w:sz w:val="32"/>
      <w:szCs w:val="32"/>
      <w:lang w:bidi="ar-SA"/>
    </w:rPr>
  </w:style>
  <w:style w:type="character" w:customStyle="1" w:styleId="cohidesearchterm">
    <w:name w:val="co_hidesearchterm"/>
    <w:rsid w:val="00A95CC8"/>
  </w:style>
  <w:style w:type="paragraph" w:customStyle="1" w:styleId="bulletsrightcolumn">
    <w:name w:val="bullets right column"/>
    <w:basedOn w:val="CommentText"/>
    <w:qFormat/>
    <w:rsid w:val="00A95CC8"/>
    <w:pPr>
      <w:widowControl/>
      <w:numPr>
        <w:numId w:val="32"/>
      </w:numPr>
      <w:autoSpaceDE/>
      <w:autoSpaceDN/>
      <w:spacing w:after="60" w:line="276" w:lineRule="auto"/>
    </w:pPr>
    <w:rPr>
      <w:rFonts w:ascii="Verdana" w:eastAsia="STZhongsong" w:hAnsi="Verdana" w:cstheme="minorHAnsi"/>
      <w:sz w:val="18"/>
      <w:szCs w:val="18"/>
      <w:lang w:eastAsia="zh-CN" w:bidi="ar-SA"/>
    </w:rPr>
  </w:style>
  <w:style w:type="paragraph" w:customStyle="1" w:styleId="guidancebullets">
    <w:name w:val="guidance bullets"/>
    <w:basedOn w:val="Heading2"/>
    <w:link w:val="guidancebulletsChar"/>
    <w:qFormat/>
    <w:rsid w:val="00A95CC8"/>
    <w:pPr>
      <w:widowControl/>
      <w:tabs>
        <w:tab w:val="num" w:pos="720"/>
      </w:tabs>
      <w:autoSpaceDE/>
      <w:autoSpaceDN/>
      <w:spacing w:after="120" w:line="276" w:lineRule="auto"/>
      <w:ind w:left="311" w:hanging="215"/>
    </w:pPr>
    <w:rPr>
      <w:rFonts w:ascii="Verdana" w:hAnsi="Verdana" w:cs="Calibri"/>
      <w:b w:val="0"/>
      <w:bCs/>
      <w:i/>
      <w:color w:val="4F81BD" w:themeColor="accent1"/>
      <w:sz w:val="18"/>
      <w:szCs w:val="18"/>
    </w:rPr>
  </w:style>
  <w:style w:type="character" w:customStyle="1" w:styleId="guidancebulletsChar">
    <w:name w:val="guidance bullets Char"/>
    <w:basedOn w:val="Heading2Char"/>
    <w:link w:val="guidancebullets"/>
    <w:rsid w:val="000D48A4"/>
    <w:rPr>
      <w:rFonts w:ascii="Verdana" w:eastAsia="STZhongsong" w:hAnsi="Verdana" w:cs="Calibri"/>
      <w:b w:val="0"/>
      <w:bCs/>
      <w:i/>
      <w:color w:val="4F81BD" w:themeColor="accent1"/>
      <w:sz w:val="18"/>
      <w:szCs w:val="18"/>
      <w:lang w:val="en-GB" w:eastAsia="zh-CN"/>
    </w:rPr>
  </w:style>
  <w:style w:type="character" w:customStyle="1" w:styleId="DocumentTitleChar">
    <w:name w:val="Document Title Char"/>
    <w:basedOn w:val="DefaultParagraphFont"/>
    <w:link w:val="DocumentTitle"/>
    <w:rsid w:val="000D48A4"/>
    <w:rPr>
      <w:rFonts w:ascii="Times New Roman" w:hAnsi="Times New Roman"/>
      <w:b/>
      <w:color w:val="000000"/>
      <w:sz w:val="32"/>
    </w:rPr>
  </w:style>
  <w:style w:type="paragraph" w:customStyle="1" w:styleId="CustomizableHeading">
    <w:name w:val="Customizable Heading"/>
    <w:link w:val="CustomizableHeadingChar"/>
    <w:qFormat/>
    <w:rsid w:val="00A95CC8"/>
    <w:pPr>
      <w:widowControl/>
      <w:autoSpaceDE/>
      <w:autoSpaceDN/>
      <w:spacing w:before="120"/>
      <w:jc w:val="center"/>
      <w:outlineLvl w:val="0"/>
    </w:pPr>
    <w:rPr>
      <w:rFonts w:ascii="Times New Roman" w:eastAsia="Times New Roman" w:hAnsi="Times New Roman" w:cs="Times New Roman"/>
      <w:b/>
      <w:color w:val="000000"/>
      <w:sz w:val="24"/>
      <w:lang w:val="en-GB" w:eastAsia="en-GB"/>
    </w:rPr>
  </w:style>
  <w:style w:type="character" w:customStyle="1" w:styleId="CustomizableHeadingChar">
    <w:name w:val="Customizable Heading Char"/>
    <w:basedOn w:val="DefaultParagraphFont"/>
    <w:link w:val="CustomizableHeading"/>
    <w:rsid w:val="000D48A4"/>
    <w:rPr>
      <w:rFonts w:ascii="Times New Roman" w:eastAsia="Times New Roman" w:hAnsi="Times New Roman" w:cs="Times New Roman"/>
      <w:b/>
      <w:color w:val="000000"/>
      <w:sz w:val="24"/>
      <w:lang w:val="en-GB" w:eastAsia="en-GB"/>
    </w:rPr>
  </w:style>
  <w:style w:type="paragraph" w:customStyle="1" w:styleId="DocumentTitle">
    <w:name w:val="Document Title"/>
    <w:link w:val="DocumentTitleChar"/>
    <w:qFormat/>
    <w:rsid w:val="00A95CC8"/>
    <w:pPr>
      <w:widowControl/>
      <w:autoSpaceDE/>
      <w:autoSpaceDN/>
      <w:spacing w:before="120" w:after="240"/>
      <w:jc w:val="center"/>
      <w:outlineLvl w:val="0"/>
    </w:pPr>
    <w:rPr>
      <w:rFonts w:ascii="Times New Roman" w:hAnsi="Times New Roman"/>
      <w:b/>
      <w:color w:val="000000"/>
      <w:sz w:val="32"/>
    </w:rPr>
  </w:style>
  <w:style w:type="paragraph" w:customStyle="1" w:styleId="Body">
    <w:name w:val="Body"/>
    <w:basedOn w:val="Normal"/>
    <w:link w:val="BodyChar"/>
    <w:qFormat/>
    <w:rsid w:val="00A95CC8"/>
    <w:pPr>
      <w:widowControl/>
      <w:tabs>
        <w:tab w:val="left" w:pos="1843"/>
        <w:tab w:val="left" w:pos="3119"/>
        <w:tab w:val="left" w:pos="4253"/>
      </w:tabs>
      <w:autoSpaceDE/>
      <w:autoSpaceDN/>
      <w:spacing w:before="120" w:after="120" w:line="276" w:lineRule="auto"/>
    </w:pPr>
    <w:rPr>
      <w:rFonts w:ascii="Verdana" w:eastAsia="Times New Roman" w:hAnsi="Verdana" w:cs="Times New Roman"/>
      <w:szCs w:val="18"/>
      <w:lang w:eastAsia="zh-CN" w:bidi="ar-SA"/>
    </w:rPr>
  </w:style>
  <w:style w:type="paragraph" w:customStyle="1" w:styleId="Bullet1">
    <w:name w:val="Bullet 1"/>
    <w:basedOn w:val="Normal"/>
    <w:qFormat/>
    <w:rsid w:val="00A375E5"/>
    <w:pPr>
      <w:widowControl/>
      <w:numPr>
        <w:numId w:val="34"/>
      </w:numPr>
      <w:autoSpaceDE/>
      <w:autoSpaceDN/>
      <w:spacing w:before="120" w:after="120" w:line="276" w:lineRule="auto"/>
    </w:pPr>
    <w:rPr>
      <w:rFonts w:ascii="Verdana" w:eastAsia="Times New Roman" w:hAnsi="Verdana" w:cs="Times New Roman"/>
      <w:szCs w:val="18"/>
      <w:lang w:eastAsia="zh-CN" w:bidi="ar-SA"/>
    </w:rPr>
  </w:style>
  <w:style w:type="paragraph" w:customStyle="1" w:styleId="Bullet2">
    <w:name w:val="Bullet 2"/>
    <w:basedOn w:val="Normal"/>
    <w:qFormat/>
    <w:rsid w:val="00A375E5"/>
    <w:pPr>
      <w:widowControl/>
      <w:numPr>
        <w:ilvl w:val="1"/>
        <w:numId w:val="34"/>
      </w:numPr>
      <w:autoSpaceDE/>
      <w:autoSpaceDN/>
      <w:spacing w:before="120" w:after="120" w:line="276" w:lineRule="auto"/>
    </w:pPr>
    <w:rPr>
      <w:rFonts w:ascii="Verdana" w:eastAsia="Times New Roman" w:hAnsi="Verdana" w:cs="Times New Roman"/>
      <w:szCs w:val="18"/>
      <w:lang w:eastAsia="zh-CN" w:bidi="ar-SA"/>
    </w:rPr>
  </w:style>
  <w:style w:type="paragraph" w:customStyle="1" w:styleId="Bullet3">
    <w:name w:val="Bullet 3"/>
    <w:basedOn w:val="Normal"/>
    <w:rsid w:val="00A375E5"/>
    <w:pPr>
      <w:widowControl/>
      <w:numPr>
        <w:ilvl w:val="2"/>
        <w:numId w:val="34"/>
      </w:numPr>
      <w:autoSpaceDE/>
      <w:autoSpaceDN/>
      <w:spacing w:before="120" w:after="120" w:line="276" w:lineRule="auto"/>
    </w:pPr>
    <w:rPr>
      <w:rFonts w:ascii="Verdana" w:eastAsia="Times New Roman" w:hAnsi="Verdana" w:cs="Times New Roman"/>
      <w:szCs w:val="18"/>
      <w:lang w:eastAsia="zh-CN" w:bidi="ar-SA"/>
    </w:rPr>
  </w:style>
  <w:style w:type="character" w:customStyle="1" w:styleId="CrossReference">
    <w:name w:val="Cross Reference"/>
    <w:basedOn w:val="DefaultParagraphFont"/>
    <w:qFormat/>
    <w:rsid w:val="00A95CC8"/>
    <w:rPr>
      <w:b w:val="0"/>
    </w:rPr>
  </w:style>
  <w:style w:type="paragraph" w:customStyle="1" w:styleId="Schedule">
    <w:name w:val="Schedule"/>
    <w:basedOn w:val="Normal"/>
    <w:uiPriority w:val="99"/>
    <w:semiHidden/>
    <w:rsid w:val="00A95CC8"/>
    <w:pPr>
      <w:keepNext/>
      <w:widowControl/>
      <w:autoSpaceDE/>
      <w:autoSpaceDN/>
      <w:spacing w:after="240" w:line="276" w:lineRule="auto"/>
      <w:ind w:left="720" w:hanging="720"/>
      <w:jc w:val="center"/>
    </w:pPr>
    <w:rPr>
      <w:rFonts w:ascii="Verdana" w:eastAsia="Times New Roman" w:hAnsi="Verdana" w:cs="Times New Roman"/>
      <w:b/>
      <w:caps/>
      <w:szCs w:val="18"/>
      <w:lang w:eastAsia="zh-CN" w:bidi="ar-SA"/>
    </w:rPr>
  </w:style>
  <w:style w:type="paragraph" w:customStyle="1" w:styleId="FootnoteTextContinuation">
    <w:name w:val="Footnote Text Continuation"/>
    <w:basedOn w:val="FootnoteText"/>
    <w:rsid w:val="00A95CC8"/>
    <w:pPr>
      <w:tabs>
        <w:tab w:val="left" w:pos="851"/>
      </w:tabs>
      <w:spacing w:after="60" w:line="276" w:lineRule="auto"/>
      <w:ind w:left="851"/>
    </w:pPr>
    <w:rPr>
      <w:rFonts w:ascii="Tahoma" w:eastAsia="Times New Roman" w:hAnsi="Tahoma" w:cs="Times New Roman"/>
      <w:sz w:val="16"/>
      <w:szCs w:val="18"/>
      <w:lang w:eastAsia="zh-CN"/>
    </w:rPr>
  </w:style>
  <w:style w:type="paragraph" w:customStyle="1" w:styleId="Contentheading">
    <w:name w:val="Content heading"/>
    <w:basedOn w:val="Normal"/>
    <w:next w:val="Body"/>
    <w:rsid w:val="00A95CC8"/>
    <w:pPr>
      <w:pageBreakBefore/>
      <w:framePr w:w="9072" w:vSpace="142" w:wrap="notBeside" w:vAnchor="text" w:hAnchor="text" w:y="7"/>
      <w:widowControl/>
      <w:pBdr>
        <w:bottom w:val="single" w:sz="4" w:space="1" w:color="auto"/>
      </w:pBdr>
      <w:autoSpaceDE/>
      <w:autoSpaceDN/>
      <w:spacing w:after="2200" w:line="276" w:lineRule="auto"/>
    </w:pPr>
    <w:rPr>
      <w:rFonts w:ascii="Verdana" w:eastAsia="Times New Roman" w:hAnsi="Verdana" w:cs="Times New Roman"/>
      <w:sz w:val="40"/>
      <w:szCs w:val="40"/>
      <w:lang w:eastAsia="zh-CN" w:bidi="ar-SA"/>
    </w:rPr>
  </w:style>
  <w:style w:type="paragraph" w:customStyle="1" w:styleId="Contentpage">
    <w:name w:val="Content page"/>
    <w:basedOn w:val="Body"/>
    <w:rsid w:val="00A95CC8"/>
    <w:pPr>
      <w:tabs>
        <w:tab w:val="clear" w:pos="1843"/>
        <w:tab w:val="clear" w:pos="3119"/>
        <w:tab w:val="clear" w:pos="4253"/>
        <w:tab w:val="right" w:pos="9072"/>
      </w:tabs>
    </w:pPr>
    <w:rPr>
      <w:b/>
    </w:rPr>
  </w:style>
  <w:style w:type="paragraph" w:customStyle="1" w:styleId="ExtraInfo">
    <w:name w:val="ExtraInfo"/>
    <w:basedOn w:val="Normal"/>
    <w:rsid w:val="00A95CC8"/>
    <w:pPr>
      <w:framePr w:w="2206" w:h="919" w:hSpace="181" w:wrap="around" w:vAnchor="page" w:hAnchor="page" w:x="9385" w:y="211"/>
      <w:widowControl/>
      <w:shd w:val="clear" w:color="auto" w:fill="FFFFFF"/>
      <w:autoSpaceDE/>
      <w:autoSpaceDN/>
      <w:spacing w:after="200" w:line="276" w:lineRule="auto"/>
    </w:pPr>
    <w:rPr>
      <w:rFonts w:ascii="Verdana" w:eastAsia="Times New Roman" w:hAnsi="Verdana" w:cs="Times New Roman"/>
      <w:sz w:val="14"/>
      <w:szCs w:val="14"/>
      <w:lang w:eastAsia="zh-CN" w:bidi="ar-SA"/>
    </w:rPr>
  </w:style>
  <w:style w:type="character" w:customStyle="1" w:styleId="BodyChar">
    <w:name w:val="Body Char"/>
    <w:link w:val="Body"/>
    <w:rsid w:val="000D48A4"/>
    <w:rPr>
      <w:rFonts w:ascii="Verdana" w:eastAsia="Times New Roman" w:hAnsi="Verdana" w:cs="Times New Roman"/>
      <w:sz w:val="24"/>
      <w:szCs w:val="18"/>
      <w:lang w:val="en-GB" w:eastAsia="zh-CN"/>
    </w:rPr>
  </w:style>
  <w:style w:type="character" w:customStyle="1" w:styleId="CommentSubjectChar1">
    <w:name w:val="Comment Subject Char1"/>
    <w:basedOn w:val="CommentTextChar"/>
    <w:uiPriority w:val="99"/>
    <w:semiHidden/>
    <w:rsid w:val="00A95CC8"/>
    <w:rPr>
      <w:rFonts w:ascii="Arial" w:eastAsia="Arial" w:hAnsi="Arial" w:cs="Arial"/>
      <w:b/>
      <w:bCs/>
      <w:sz w:val="20"/>
      <w:szCs w:val="20"/>
      <w:lang w:val="en-GB" w:bidi="en-US"/>
    </w:rPr>
  </w:style>
  <w:style w:type="character" w:customStyle="1" w:styleId="UnresolvedMention3">
    <w:name w:val="Unresolved Mention3"/>
    <w:basedOn w:val="DefaultParagraphFont"/>
    <w:uiPriority w:val="99"/>
    <w:semiHidden/>
    <w:unhideWhenUsed/>
    <w:rsid w:val="00A95CC8"/>
    <w:rPr>
      <w:color w:val="605E5C"/>
      <w:shd w:val="clear" w:color="auto" w:fill="E1DFDD"/>
    </w:rPr>
  </w:style>
  <w:style w:type="paragraph" w:customStyle="1" w:styleId="Tablebullets">
    <w:name w:val="Table bullets"/>
    <w:basedOn w:val="ListParagraph"/>
    <w:link w:val="TablebulletsChar"/>
    <w:uiPriority w:val="99"/>
    <w:qFormat/>
    <w:rsid w:val="00A95CC8"/>
    <w:pPr>
      <w:widowControl/>
      <w:tabs>
        <w:tab w:val="num" w:pos="360"/>
      </w:tabs>
      <w:autoSpaceDE/>
      <w:autoSpaceDN/>
      <w:spacing w:before="120" w:after="120" w:line="276" w:lineRule="auto"/>
      <w:ind w:left="227" w:hanging="227"/>
      <w:contextualSpacing/>
    </w:pPr>
    <w:rPr>
      <w:rFonts w:ascii="Verdana" w:eastAsiaTheme="minorHAnsi" w:hAnsi="Verdana" w:cstheme="minorBidi"/>
      <w:color w:val="000000"/>
      <w:szCs w:val="18"/>
      <w:shd w:val="clear" w:color="auto" w:fill="FFFFFF"/>
      <w:lang w:bidi="ar-SA"/>
    </w:rPr>
  </w:style>
  <w:style w:type="character" w:customStyle="1" w:styleId="TablebulletsChar">
    <w:name w:val="Table bullets Char"/>
    <w:basedOn w:val="DefaultParagraphFont"/>
    <w:link w:val="Tablebullets"/>
    <w:uiPriority w:val="99"/>
    <w:rsid w:val="006B7F8C"/>
    <w:rPr>
      <w:rFonts w:ascii="Verdana" w:hAnsi="Verdana"/>
      <w:color w:val="000000"/>
      <w:sz w:val="24"/>
      <w:szCs w:val="18"/>
      <w:lang w:val="en-GB"/>
    </w:rPr>
  </w:style>
  <w:style w:type="paragraph" w:customStyle="1" w:styleId="Bodyindent">
    <w:name w:val="Body indent"/>
    <w:basedOn w:val="Body"/>
    <w:link w:val="BodyindentChar"/>
    <w:qFormat/>
    <w:rsid w:val="00A95CC8"/>
    <w:pPr>
      <w:ind w:left="261" w:hanging="261"/>
    </w:pPr>
  </w:style>
  <w:style w:type="character" w:customStyle="1" w:styleId="BulletsChar">
    <w:name w:val="Bullets Char"/>
    <w:basedOn w:val="ListParagraphChar"/>
    <w:rsid w:val="00A95CC8"/>
    <w:rPr>
      <w:rFonts w:ascii="Arial" w:eastAsia="Arial" w:hAnsi="Arial" w:cs="Arial"/>
      <w:sz w:val="24"/>
      <w:szCs w:val="20"/>
      <w:lang w:bidi="en-US"/>
    </w:rPr>
  </w:style>
  <w:style w:type="character" w:customStyle="1" w:styleId="BodyindentChar">
    <w:name w:val="Body indent Char"/>
    <w:basedOn w:val="BodyChar"/>
    <w:link w:val="Bodyindent"/>
    <w:rsid w:val="000D48A4"/>
    <w:rPr>
      <w:rFonts w:ascii="Verdana" w:eastAsia="Times New Roman" w:hAnsi="Verdana" w:cs="Times New Roman"/>
      <w:sz w:val="24"/>
      <w:szCs w:val="18"/>
      <w:lang w:val="en-GB" w:eastAsia="zh-CN"/>
    </w:rPr>
  </w:style>
  <w:style w:type="numbering" w:customStyle="1" w:styleId="CurrentList1">
    <w:name w:val="Current List1"/>
    <w:uiPriority w:val="99"/>
    <w:rsid w:val="00E64819"/>
    <w:pPr>
      <w:numPr>
        <w:numId w:val="73"/>
      </w:numPr>
    </w:pPr>
  </w:style>
  <w:style w:type="numbering" w:customStyle="1" w:styleId="CurrentList2">
    <w:name w:val="Current List2"/>
    <w:uiPriority w:val="99"/>
    <w:rsid w:val="008D6020"/>
    <w:pPr>
      <w:numPr>
        <w:numId w:val="69"/>
      </w:numPr>
    </w:pPr>
  </w:style>
  <w:style w:type="numbering" w:customStyle="1" w:styleId="CurrentList3">
    <w:name w:val="Current List3"/>
    <w:uiPriority w:val="99"/>
    <w:rsid w:val="00701A00"/>
    <w:pPr>
      <w:numPr>
        <w:numId w:val="76"/>
      </w:numPr>
    </w:pPr>
  </w:style>
  <w:style w:type="numbering" w:customStyle="1" w:styleId="CurrentList4">
    <w:name w:val="Current List4"/>
    <w:uiPriority w:val="99"/>
    <w:rsid w:val="00701A00"/>
    <w:pPr>
      <w:numPr>
        <w:numId w:val="68"/>
      </w:numPr>
    </w:pPr>
  </w:style>
  <w:style w:type="character" w:customStyle="1" w:styleId="UnresolvedMention4">
    <w:name w:val="Unresolved Mention4"/>
    <w:basedOn w:val="DefaultParagraphFont"/>
    <w:uiPriority w:val="99"/>
    <w:semiHidden/>
    <w:unhideWhenUsed/>
    <w:rsid w:val="007F7F2B"/>
    <w:rPr>
      <w:color w:val="605E5C"/>
      <w:shd w:val="clear" w:color="auto" w:fill="E1DFDD"/>
    </w:rPr>
  </w:style>
  <w:style w:type="numbering" w:customStyle="1" w:styleId="CurrentList5">
    <w:name w:val="Current List5"/>
    <w:uiPriority w:val="99"/>
    <w:rsid w:val="001A42EC"/>
    <w:pPr>
      <w:numPr>
        <w:numId w:val="70"/>
      </w:numPr>
    </w:pPr>
  </w:style>
  <w:style w:type="numbering" w:customStyle="1" w:styleId="CurrentList6">
    <w:name w:val="Current List6"/>
    <w:uiPriority w:val="99"/>
    <w:rsid w:val="002E7BFF"/>
    <w:pPr>
      <w:numPr>
        <w:numId w:val="77"/>
      </w:numPr>
    </w:pPr>
  </w:style>
  <w:style w:type="numbering" w:customStyle="1" w:styleId="CurrentList7">
    <w:name w:val="Current List7"/>
    <w:uiPriority w:val="99"/>
    <w:rsid w:val="008652B8"/>
    <w:pPr>
      <w:numPr>
        <w:numId w:val="74"/>
      </w:numPr>
    </w:pPr>
  </w:style>
  <w:style w:type="numbering" w:customStyle="1" w:styleId="CurrentList8">
    <w:name w:val="Current List8"/>
    <w:uiPriority w:val="99"/>
    <w:rsid w:val="005E396B"/>
    <w:pPr>
      <w:numPr>
        <w:numId w:val="75"/>
      </w:numPr>
    </w:pPr>
  </w:style>
  <w:style w:type="numbering" w:customStyle="1" w:styleId="CurrentList9">
    <w:name w:val="Current List9"/>
    <w:uiPriority w:val="99"/>
    <w:rsid w:val="00CB71CE"/>
    <w:pPr>
      <w:numPr>
        <w:numId w:val="71"/>
      </w:numPr>
    </w:pPr>
  </w:style>
  <w:style w:type="numbering" w:customStyle="1" w:styleId="CurrentList10">
    <w:name w:val="Current List10"/>
    <w:uiPriority w:val="99"/>
    <w:rsid w:val="00DC3577"/>
    <w:pPr>
      <w:numPr>
        <w:numId w:val="72"/>
      </w:numPr>
    </w:pPr>
  </w:style>
  <w:style w:type="table" w:customStyle="1" w:styleId="TableGrid10">
    <w:name w:val="Table Grid1"/>
    <w:basedOn w:val="TableNormal"/>
    <w:next w:val="TableGrid"/>
    <w:uiPriority w:val="39"/>
    <w:rsid w:val="006C751A"/>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6D7435"/>
    <w:rPr>
      <w:color w:val="605E5C"/>
      <w:shd w:val="clear" w:color="auto" w:fill="E1DFDD"/>
    </w:rPr>
  </w:style>
  <w:style w:type="table" w:customStyle="1" w:styleId="MSATable-header">
    <w:name w:val="MSA Table - header"/>
    <w:basedOn w:val="TableNormal"/>
    <w:uiPriority w:val="99"/>
    <w:rsid w:val="003E65E3"/>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style>
  <w:style w:type="paragraph" w:customStyle="1" w:styleId="Dividername">
    <w:name w:val="Divider name"/>
    <w:uiPriority w:val="2"/>
    <w:rsid w:val="00175B22"/>
    <w:pPr>
      <w:widowControl/>
      <w:autoSpaceDE/>
      <w:autoSpaceDN/>
      <w:spacing w:after="360"/>
      <w:jc w:val="center"/>
    </w:pPr>
    <w:rPr>
      <w:rFonts w:ascii="Arial" w:hAnsi="Arial"/>
      <w:b/>
      <w:color w:val="1F497D" w:themeColor="text2"/>
      <w:sz w:val="36"/>
      <w:szCs w:val="36"/>
      <w:lang w:val="en-GB"/>
    </w:rPr>
  </w:style>
  <w:style w:type="paragraph" w:customStyle="1" w:styleId="Tabletext">
    <w:name w:val="Table text"/>
    <w:uiPriority w:val="1"/>
    <w:qFormat/>
    <w:rsid w:val="004C50F4"/>
    <w:pPr>
      <w:numPr>
        <w:numId w:val="12"/>
      </w:numPr>
      <w:spacing w:after="120"/>
    </w:pPr>
    <w:rPr>
      <w:rFonts w:ascii="Arial" w:eastAsia="Times New Roman" w:hAnsi="Arial" w:cs="Times New Roman"/>
      <w:sz w:val="24"/>
      <w:szCs w:val="24"/>
      <w:lang w:val="en-GB" w:eastAsia="en-GB"/>
    </w:rPr>
  </w:style>
  <w:style w:type="paragraph" w:customStyle="1" w:styleId="Numbered1">
    <w:name w:val="Numbered 1"/>
    <w:qFormat/>
    <w:rsid w:val="00C5057A"/>
    <w:pPr>
      <w:keepNext/>
      <w:keepLines/>
      <w:widowControl/>
      <w:numPr>
        <w:numId w:val="67"/>
      </w:numPr>
      <w:spacing w:before="100" w:after="200"/>
      <w:outlineLvl w:val="1"/>
    </w:pPr>
    <w:rPr>
      <w:rFonts w:ascii="Arial" w:eastAsia="Arial" w:hAnsi="Arial" w:cs="Arial"/>
      <w:b/>
      <w:bCs/>
      <w:color w:val="1F497D" w:themeColor="text2"/>
      <w:sz w:val="24"/>
      <w:lang w:val="en-GB" w:bidi="en-US"/>
    </w:rPr>
  </w:style>
  <w:style w:type="paragraph" w:customStyle="1" w:styleId="Numbered11">
    <w:name w:val="Numbered 1.1"/>
    <w:qFormat/>
    <w:rsid w:val="00C5057A"/>
    <w:pPr>
      <w:numPr>
        <w:ilvl w:val="1"/>
        <w:numId w:val="67"/>
      </w:numPr>
      <w:spacing w:before="100" w:after="200"/>
      <w:outlineLvl w:val="2"/>
    </w:pPr>
    <w:rPr>
      <w:rFonts w:eastAsia="Arial" w:cstheme="minorHAnsi"/>
      <w:sz w:val="24"/>
      <w:szCs w:val="24"/>
      <w:lang w:val="en-GB" w:bidi="en-US"/>
    </w:rPr>
  </w:style>
  <w:style w:type="paragraph" w:customStyle="1" w:styleId="Numbered111">
    <w:name w:val="Numbered 1.1.1"/>
    <w:qFormat/>
    <w:rsid w:val="00C5057A"/>
    <w:pPr>
      <w:numPr>
        <w:ilvl w:val="2"/>
        <w:numId w:val="67"/>
      </w:numPr>
      <w:spacing w:before="100" w:after="200"/>
    </w:pPr>
    <w:rPr>
      <w:rFonts w:ascii="Arial" w:eastAsia="Arial" w:hAnsi="Arial" w:cs="Arial"/>
      <w:sz w:val="24"/>
      <w:lang w:val="en-GB" w:bidi="en-US"/>
    </w:rPr>
  </w:style>
  <w:style w:type="paragraph" w:customStyle="1" w:styleId="Tablea">
    <w:name w:val="Table (a)"/>
    <w:uiPriority w:val="1"/>
    <w:qFormat/>
    <w:rsid w:val="001F3D29"/>
    <w:pPr>
      <w:widowControl/>
      <w:numPr>
        <w:ilvl w:val="1"/>
        <w:numId w:val="12"/>
      </w:numPr>
      <w:tabs>
        <w:tab w:val="left" w:pos="879"/>
        <w:tab w:val="left" w:pos="880"/>
      </w:tabs>
      <w:autoSpaceDE/>
      <w:autoSpaceDN/>
      <w:spacing w:after="120"/>
    </w:pPr>
    <w:rPr>
      <w:rFonts w:eastAsia="Arial" w:cstheme="minorHAnsi"/>
      <w:sz w:val="24"/>
      <w:szCs w:val="24"/>
      <w:lang w:val="en-GB" w:bidi="en-US"/>
    </w:rPr>
  </w:style>
  <w:style w:type="character" w:customStyle="1" w:styleId="UnresolvedMention6">
    <w:name w:val="Unresolved Mention6"/>
    <w:basedOn w:val="DefaultParagraphFont"/>
    <w:uiPriority w:val="99"/>
    <w:semiHidden/>
    <w:unhideWhenUsed/>
    <w:rsid w:val="0042707A"/>
    <w:rPr>
      <w:color w:val="605E5C"/>
      <w:shd w:val="clear" w:color="auto" w:fill="E1DFDD"/>
    </w:rPr>
  </w:style>
  <w:style w:type="paragraph" w:customStyle="1" w:styleId="Numbered111a">
    <w:name w:val="Numbered 1.1.1(a)"/>
    <w:qFormat/>
    <w:rsid w:val="00CE51D0"/>
    <w:pPr>
      <w:numPr>
        <w:ilvl w:val="3"/>
        <w:numId w:val="67"/>
      </w:numPr>
      <w:spacing w:before="100" w:after="200"/>
    </w:pPr>
    <w:rPr>
      <w:rFonts w:ascii="Arial" w:eastAsia="Arial" w:hAnsi="Arial" w:cs="Arial"/>
      <w:sz w:val="24"/>
      <w:szCs w:val="24"/>
      <w:lang w:bidi="en-US"/>
    </w:rPr>
  </w:style>
  <w:style w:type="paragraph" w:customStyle="1" w:styleId="Numbered111ai">
    <w:name w:val="Numbered 1.1.1(a)(i)"/>
    <w:basedOn w:val="ListParagraph"/>
    <w:qFormat/>
    <w:rsid w:val="00CE51D0"/>
    <w:pPr>
      <w:numPr>
        <w:ilvl w:val="4"/>
        <w:numId w:val="67"/>
      </w:numPr>
      <w:spacing w:before="100" w:after="200"/>
    </w:pPr>
    <w:rPr>
      <w:rFonts w:asciiTheme="minorHAnsi" w:hAnsiTheme="minorHAnsi" w:cstheme="minorHAnsi"/>
      <w:szCs w:val="24"/>
    </w:rPr>
  </w:style>
  <w:style w:type="paragraph" w:customStyle="1" w:styleId="Heading1-ICO">
    <w:name w:val="Heading 1 - ICO"/>
    <w:basedOn w:val="Heading1"/>
    <w:uiPriority w:val="99"/>
    <w:semiHidden/>
    <w:rsid w:val="005B63D4"/>
    <w:pPr>
      <w:keepNext/>
      <w:keepLines/>
      <w:pageBreakBefore/>
      <w:widowControl/>
      <w:autoSpaceDE/>
      <w:autoSpaceDN/>
      <w:outlineLvl w:val="9"/>
    </w:pPr>
    <w:rPr>
      <w:rFonts w:asciiTheme="majorHAnsi" w:eastAsiaTheme="majorEastAsia" w:hAnsiTheme="majorHAnsi" w:cstheme="majorBidi"/>
      <w:szCs w:val="28"/>
      <w:lang w:bidi="ar-SA"/>
    </w:rPr>
  </w:style>
  <w:style w:type="paragraph" w:customStyle="1" w:styleId="Heading2-ICO">
    <w:name w:val="Heading 2 - ICO"/>
    <w:basedOn w:val="Heading2"/>
    <w:uiPriority w:val="99"/>
    <w:semiHidden/>
    <w:rsid w:val="005B63D4"/>
    <w:pPr>
      <w:widowControl/>
      <w:autoSpaceDE/>
      <w:autoSpaceDN/>
      <w:spacing w:after="0"/>
      <w:outlineLvl w:val="9"/>
    </w:pPr>
    <w:rPr>
      <w:rFonts w:asciiTheme="majorHAnsi" w:eastAsiaTheme="majorEastAsia" w:hAnsiTheme="majorHAnsi" w:cstheme="majorBidi"/>
      <w:bCs/>
      <w:lang w:eastAsia="en-US"/>
    </w:rPr>
  </w:style>
  <w:style w:type="paragraph" w:customStyle="1" w:styleId="AppendixText1">
    <w:name w:val="Appendix Text 1"/>
    <w:basedOn w:val="Normal"/>
    <w:next w:val="Normal"/>
    <w:uiPriority w:val="1"/>
    <w:rsid w:val="008D42A0"/>
    <w:pPr>
      <w:keepNext/>
      <w:widowControl/>
      <w:numPr>
        <w:numId w:val="133"/>
      </w:numPr>
      <w:tabs>
        <w:tab w:val="clear" w:pos="720"/>
        <w:tab w:val="num" w:pos="360"/>
      </w:tabs>
      <w:autoSpaceDE/>
      <w:autoSpaceDN/>
      <w:spacing w:before="100" w:after="200"/>
      <w:ind w:left="0" w:firstLine="0"/>
    </w:pPr>
    <w:rPr>
      <w:rFonts w:eastAsia="Verdana" w:cs="Times New Roman"/>
      <w:b/>
      <w:szCs w:val="24"/>
      <w:lang w:eastAsia="en-GB" w:bidi="ar-SA"/>
    </w:rPr>
  </w:style>
  <w:style w:type="paragraph" w:customStyle="1" w:styleId="AppendixText2">
    <w:name w:val="Appendix Text 2"/>
    <w:basedOn w:val="AppendixText1"/>
    <w:next w:val="Normal"/>
    <w:uiPriority w:val="1"/>
    <w:rsid w:val="00585CC2"/>
    <w:pPr>
      <w:keepNext w:val="0"/>
      <w:numPr>
        <w:ilvl w:val="1"/>
      </w:numPr>
      <w:tabs>
        <w:tab w:val="clear" w:pos="720"/>
        <w:tab w:val="num" w:pos="360"/>
      </w:tabs>
      <w:ind w:left="0" w:firstLine="0"/>
    </w:pPr>
    <w:rPr>
      <w:b w:val="0"/>
    </w:rPr>
  </w:style>
  <w:style w:type="paragraph" w:customStyle="1" w:styleId="Numbered111aiA">
    <w:name w:val="Numbered 1.1.1(a)(i)(A)"/>
    <w:qFormat/>
    <w:rsid w:val="00B225A5"/>
    <w:pPr>
      <w:numPr>
        <w:ilvl w:val="5"/>
        <w:numId w:val="67"/>
      </w:numPr>
      <w:spacing w:before="100" w:after="200"/>
    </w:pPr>
    <w:rPr>
      <w:rFonts w:eastAsia="Arial" w:cstheme="minorHAnsi"/>
      <w:sz w:val="24"/>
      <w:szCs w:val="24"/>
      <w:lang w:val="en-GB" w:bidi="en-US"/>
    </w:rPr>
  </w:style>
  <w:style w:type="paragraph" w:customStyle="1" w:styleId="Tableai">
    <w:name w:val="Table (a)(i)"/>
    <w:basedOn w:val="TableParagraph"/>
    <w:uiPriority w:val="1"/>
    <w:qFormat/>
    <w:rsid w:val="001F3D29"/>
    <w:pPr>
      <w:numPr>
        <w:ilvl w:val="2"/>
        <w:numId w:val="12"/>
      </w:numPr>
      <w:tabs>
        <w:tab w:val="left" w:pos="1636"/>
        <w:tab w:val="left" w:pos="1637"/>
      </w:tabs>
      <w:spacing w:after="120"/>
    </w:pPr>
    <w:rPr>
      <w:rFonts w:asciiTheme="minorHAnsi" w:hAnsiTheme="minorHAnsi" w:cstheme="minorHAnsi"/>
      <w:szCs w:val="24"/>
    </w:rPr>
  </w:style>
  <w:style w:type="paragraph" w:customStyle="1" w:styleId="Tableai1">
    <w:name w:val="Table (a)(i)(1)"/>
    <w:uiPriority w:val="1"/>
    <w:qFormat/>
    <w:rsid w:val="003D761D"/>
    <w:pPr>
      <w:numPr>
        <w:ilvl w:val="3"/>
        <w:numId w:val="12"/>
      </w:numPr>
      <w:tabs>
        <w:tab w:val="left" w:pos="2160"/>
      </w:tabs>
    </w:pPr>
    <w:rPr>
      <w:rFonts w:eastAsia="Arial" w:cstheme="minorHAnsi"/>
      <w:sz w:val="24"/>
      <w:szCs w:val="24"/>
      <w:lang w:val="en-GB" w:bidi="en-US"/>
    </w:rPr>
  </w:style>
  <w:style w:type="paragraph" w:customStyle="1" w:styleId="AppendixText3">
    <w:name w:val="Appendix Text 3"/>
    <w:basedOn w:val="ListParagraph"/>
    <w:uiPriority w:val="1"/>
    <w:qFormat/>
    <w:rsid w:val="00934722"/>
    <w:pPr>
      <w:numPr>
        <w:ilvl w:val="2"/>
        <w:numId w:val="133"/>
      </w:numPr>
      <w:tabs>
        <w:tab w:val="clear" w:pos="1800"/>
        <w:tab w:val="num" w:pos="360"/>
        <w:tab w:val="num" w:pos="2160"/>
      </w:tabs>
      <w:spacing w:before="100" w:after="200"/>
      <w:ind w:left="2106" w:hanging="721"/>
    </w:pPr>
  </w:style>
  <w:style w:type="paragraph" w:customStyle="1" w:styleId="AppendixText4manuallynumbered">
    <w:name w:val="Appendix Text 4 manually numbered"/>
    <w:basedOn w:val="Level4"/>
    <w:uiPriority w:val="1"/>
    <w:rsid w:val="00FE46BD"/>
    <w:pPr>
      <w:numPr>
        <w:ilvl w:val="0"/>
        <w:numId w:val="0"/>
      </w:numPr>
      <w:tabs>
        <w:tab w:val="clear" w:pos="720"/>
        <w:tab w:val="clear" w:pos="1803"/>
      </w:tabs>
      <w:ind w:left="2835" w:hanging="1077"/>
    </w:pPr>
  </w:style>
  <w:style w:type="paragraph" w:customStyle="1" w:styleId="AppendixText4continued">
    <w:name w:val="Appendix Text 4 continued"/>
    <w:basedOn w:val="AppendixText4"/>
    <w:uiPriority w:val="1"/>
    <w:semiHidden/>
    <w:rsid w:val="00FE46BD"/>
    <w:pPr>
      <w:tabs>
        <w:tab w:val="clear" w:pos="2880"/>
      </w:tabs>
      <w:ind w:left="1803"/>
    </w:pPr>
  </w:style>
  <w:style w:type="paragraph" w:customStyle="1" w:styleId="AppendixText4">
    <w:name w:val="Appendix Text 4"/>
    <w:basedOn w:val="Normal"/>
    <w:next w:val="StdBodyText4"/>
    <w:uiPriority w:val="1"/>
    <w:rsid w:val="00FE46BD"/>
    <w:pPr>
      <w:widowControl/>
      <w:numPr>
        <w:ilvl w:val="3"/>
        <w:numId w:val="133"/>
      </w:numPr>
      <w:tabs>
        <w:tab w:val="clear" w:pos="2520"/>
        <w:tab w:val="num" w:pos="360"/>
        <w:tab w:val="left" w:pos="720"/>
        <w:tab w:val="left" w:pos="1803"/>
        <w:tab w:val="num" w:pos="2880"/>
      </w:tabs>
      <w:autoSpaceDE/>
      <w:autoSpaceDN/>
      <w:spacing w:before="100" w:after="200"/>
      <w:ind w:left="0" w:firstLine="0"/>
    </w:pPr>
    <w:rPr>
      <w:rFonts w:eastAsia="Times New Roman" w:cs="Times New Roman"/>
      <w:szCs w:val="24"/>
      <w:lang w:eastAsia="en-GB" w:bidi="ar-SA"/>
    </w:rPr>
  </w:style>
  <w:style w:type="paragraph" w:customStyle="1" w:styleId="AppendixText5">
    <w:name w:val="Appendix Text 5"/>
    <w:basedOn w:val="Normal"/>
    <w:next w:val="StdBodyText5"/>
    <w:uiPriority w:val="1"/>
    <w:rsid w:val="00FE46BD"/>
    <w:pPr>
      <w:widowControl/>
      <w:tabs>
        <w:tab w:val="left" w:pos="720"/>
        <w:tab w:val="left" w:pos="2523"/>
        <w:tab w:val="num" w:pos="3600"/>
      </w:tabs>
      <w:autoSpaceDE/>
      <w:autoSpaceDN/>
      <w:spacing w:before="100" w:after="200"/>
      <w:ind w:left="3600" w:hanging="720"/>
    </w:pPr>
    <w:rPr>
      <w:rFonts w:eastAsia="Times New Roman" w:cs="Times New Roman"/>
      <w:szCs w:val="24"/>
      <w:lang w:eastAsia="en-GB" w:bidi="ar-SA"/>
    </w:rPr>
  </w:style>
  <w:style w:type="paragraph" w:customStyle="1" w:styleId="StdBodyText1">
    <w:name w:val="Std Body Text 1"/>
    <w:basedOn w:val="StdBodyText"/>
    <w:uiPriority w:val="99"/>
    <w:rsid w:val="00FE46BD"/>
    <w:pPr>
      <w:ind w:left="720"/>
    </w:pPr>
  </w:style>
  <w:style w:type="paragraph" w:customStyle="1" w:styleId="StdBodyText2">
    <w:name w:val="Std Body Text 2"/>
    <w:basedOn w:val="StdBodyText1"/>
    <w:uiPriority w:val="99"/>
    <w:rsid w:val="00FE46BD"/>
  </w:style>
  <w:style w:type="paragraph" w:customStyle="1" w:styleId="StdBodyText3">
    <w:name w:val="Std Body Text 3"/>
    <w:basedOn w:val="StdBodyText2"/>
    <w:uiPriority w:val="99"/>
    <w:rsid w:val="00FE46BD"/>
    <w:pPr>
      <w:ind w:left="1803"/>
    </w:pPr>
  </w:style>
  <w:style w:type="paragraph" w:customStyle="1" w:styleId="StdBodyText4">
    <w:name w:val="Std Body Text 4"/>
    <w:basedOn w:val="StdBodyText3"/>
    <w:uiPriority w:val="99"/>
    <w:rsid w:val="00FE46BD"/>
  </w:style>
  <w:style w:type="paragraph" w:customStyle="1" w:styleId="StdBodyText5">
    <w:name w:val="Std Body Text 5"/>
    <w:basedOn w:val="StdBodyText4"/>
    <w:uiPriority w:val="99"/>
    <w:rsid w:val="00FE46BD"/>
    <w:pPr>
      <w:ind w:left="2523"/>
    </w:pPr>
  </w:style>
  <w:style w:type="paragraph" w:customStyle="1" w:styleId="PartHeading">
    <w:name w:val="Part Heading"/>
    <w:basedOn w:val="Normal"/>
    <w:next w:val="StdBodyText"/>
    <w:uiPriority w:val="99"/>
    <w:rsid w:val="00FE46BD"/>
    <w:pPr>
      <w:widowControl/>
      <w:numPr>
        <w:numId w:val="10"/>
      </w:numPr>
      <w:autoSpaceDE/>
      <w:autoSpaceDN/>
      <w:spacing w:before="100" w:after="200"/>
      <w:jc w:val="center"/>
    </w:pPr>
    <w:rPr>
      <w:rFonts w:ascii="Arial Bold" w:eastAsia="Times New Roman" w:hAnsi="Arial Bold" w:cs="Times New Roman"/>
      <w:b/>
      <w:caps/>
      <w:szCs w:val="24"/>
      <w:lang w:eastAsia="en-GB" w:bidi="ar-SA"/>
    </w:rPr>
  </w:style>
  <w:style w:type="paragraph" w:customStyle="1" w:styleId="PartiesBodyText">
    <w:name w:val="Parties Body Text"/>
    <w:basedOn w:val="Normal"/>
    <w:uiPriority w:val="99"/>
    <w:rsid w:val="00FE46BD"/>
    <w:pPr>
      <w:widowControl/>
      <w:numPr>
        <w:numId w:val="11"/>
      </w:numPr>
      <w:autoSpaceDE/>
      <w:autoSpaceDN/>
      <w:spacing w:before="100" w:after="200"/>
    </w:pPr>
    <w:rPr>
      <w:rFonts w:eastAsia="Times New Roman" w:cs="Times New Roman"/>
      <w:szCs w:val="24"/>
      <w:lang w:eastAsia="en-GB" w:bidi="ar-SA"/>
    </w:rPr>
  </w:style>
  <w:style w:type="paragraph" w:customStyle="1" w:styleId="ScheduleText1">
    <w:name w:val="Schedule Text 1"/>
    <w:basedOn w:val="Normal"/>
    <w:next w:val="StdBodyText1"/>
    <w:qFormat/>
    <w:rsid w:val="00FE46BD"/>
    <w:pPr>
      <w:keepNext/>
      <w:keepLines/>
      <w:widowControl/>
      <w:autoSpaceDE/>
      <w:autoSpaceDN/>
      <w:spacing w:before="100" w:after="200"/>
      <w:ind w:left="720" w:hanging="720"/>
      <w:outlineLvl w:val="1"/>
    </w:pPr>
    <w:rPr>
      <w:rFonts w:eastAsia="Times New Roman" w:cs="Times New Roman"/>
      <w:b/>
      <w:szCs w:val="24"/>
      <w:lang w:eastAsia="en-GB" w:bidi="ar-SA"/>
    </w:rPr>
  </w:style>
  <w:style w:type="paragraph" w:customStyle="1" w:styleId="ScheduleText2">
    <w:name w:val="Schedule Text 2"/>
    <w:basedOn w:val="ScheduleText1"/>
    <w:next w:val="StdBodyText2"/>
    <w:qFormat/>
    <w:rsid w:val="00FE46BD"/>
    <w:pPr>
      <w:keepNext w:val="0"/>
      <w:keepLines w:val="0"/>
      <w:numPr>
        <w:ilvl w:val="1"/>
      </w:numPr>
      <w:ind w:left="720" w:hanging="720"/>
      <w:outlineLvl w:val="2"/>
    </w:pPr>
    <w:rPr>
      <w:b w:val="0"/>
    </w:rPr>
  </w:style>
  <w:style w:type="paragraph" w:customStyle="1" w:styleId="ScheduleText3">
    <w:name w:val="Schedule Text 3"/>
    <w:basedOn w:val="Normal"/>
    <w:next w:val="StdBodyText3"/>
    <w:qFormat/>
    <w:rsid w:val="00FE46BD"/>
    <w:pPr>
      <w:widowControl/>
      <w:tabs>
        <w:tab w:val="left" w:pos="720"/>
        <w:tab w:val="left" w:pos="1803"/>
      </w:tabs>
      <w:autoSpaceDE/>
      <w:autoSpaceDN/>
      <w:spacing w:before="100" w:after="200"/>
      <w:ind w:left="1803" w:hanging="1083"/>
    </w:pPr>
    <w:rPr>
      <w:rFonts w:eastAsia="Times New Roman" w:cs="Times New Roman"/>
      <w:szCs w:val="24"/>
      <w:lang w:eastAsia="en-GB" w:bidi="ar-SA"/>
    </w:rPr>
  </w:style>
  <w:style w:type="paragraph" w:customStyle="1" w:styleId="ScheduleText4">
    <w:name w:val="Schedule Text 4"/>
    <w:basedOn w:val="Normal"/>
    <w:next w:val="StdBodyText4"/>
    <w:qFormat/>
    <w:rsid w:val="00FE46BD"/>
    <w:pPr>
      <w:widowControl/>
      <w:tabs>
        <w:tab w:val="left" w:pos="720"/>
        <w:tab w:val="left" w:pos="1803"/>
      </w:tabs>
      <w:autoSpaceDE/>
      <w:autoSpaceDN/>
      <w:spacing w:before="100" w:after="200"/>
      <w:ind w:left="2160" w:firstLine="720"/>
    </w:pPr>
    <w:rPr>
      <w:rFonts w:eastAsia="Times New Roman" w:cs="Times New Roman"/>
      <w:szCs w:val="24"/>
      <w:lang w:eastAsia="en-GB" w:bidi="ar-SA"/>
    </w:rPr>
  </w:style>
  <w:style w:type="paragraph" w:customStyle="1" w:styleId="StdSignature">
    <w:name w:val="Std Signature"/>
    <w:basedOn w:val="Normal"/>
    <w:uiPriority w:val="99"/>
    <w:rsid w:val="00FE46BD"/>
    <w:pPr>
      <w:widowControl/>
      <w:autoSpaceDE/>
      <w:autoSpaceDN/>
    </w:pPr>
    <w:rPr>
      <w:rFonts w:eastAsia="Times New Roman" w:cs="Times New Roman"/>
      <w:b/>
      <w:szCs w:val="24"/>
      <w:lang w:eastAsia="en-GB" w:bidi="ar-SA"/>
    </w:rPr>
  </w:style>
  <w:style w:type="paragraph" w:customStyle="1" w:styleId="AppendixText6">
    <w:name w:val="Appendix Text 6"/>
    <w:basedOn w:val="AppendixText5"/>
    <w:uiPriority w:val="1"/>
    <w:rsid w:val="00FE46BD"/>
    <w:pPr>
      <w:tabs>
        <w:tab w:val="clear" w:pos="3600"/>
        <w:tab w:val="num" w:pos="4320"/>
      </w:tabs>
      <w:ind w:left="4320"/>
    </w:pPr>
  </w:style>
  <w:style w:type="paragraph" w:customStyle="1" w:styleId="StdHeading1">
    <w:name w:val="Std Heading 1"/>
    <w:basedOn w:val="Normal"/>
    <w:next w:val="StdBodyText"/>
    <w:uiPriority w:val="99"/>
    <w:rsid w:val="00FE46BD"/>
    <w:pPr>
      <w:keepNext/>
      <w:widowControl/>
      <w:autoSpaceDE/>
      <w:autoSpaceDN/>
      <w:spacing w:before="300" w:after="100"/>
    </w:pPr>
    <w:rPr>
      <w:rFonts w:eastAsia="Times New Roman" w:cs="Times New Roman"/>
      <w:b/>
      <w:szCs w:val="24"/>
      <w:lang w:eastAsia="en-GB" w:bidi="ar-SA"/>
    </w:rPr>
  </w:style>
  <w:style w:type="paragraph" w:customStyle="1" w:styleId="Level1">
    <w:name w:val="Level 1"/>
    <w:basedOn w:val="StdBodyText"/>
    <w:next w:val="StdBodyText1"/>
    <w:uiPriority w:val="99"/>
    <w:qFormat/>
    <w:rsid w:val="00FE46BD"/>
    <w:pPr>
      <w:numPr>
        <w:numId w:val="49"/>
      </w:numPr>
      <w:tabs>
        <w:tab w:val="left" w:pos="720"/>
      </w:tabs>
    </w:pPr>
    <w:rPr>
      <w:b/>
      <w:u w:val="single"/>
    </w:rPr>
  </w:style>
  <w:style w:type="paragraph" w:customStyle="1" w:styleId="Level2">
    <w:name w:val="Level 2"/>
    <w:basedOn w:val="Level1"/>
    <w:next w:val="StdBodyText2"/>
    <w:link w:val="Level2Char"/>
    <w:uiPriority w:val="99"/>
    <w:qFormat/>
    <w:rsid w:val="00FE46BD"/>
    <w:pPr>
      <w:numPr>
        <w:ilvl w:val="1"/>
      </w:numPr>
    </w:pPr>
    <w:rPr>
      <w:b w:val="0"/>
      <w:u w:val="none"/>
    </w:rPr>
  </w:style>
  <w:style w:type="paragraph" w:customStyle="1" w:styleId="Level3">
    <w:name w:val="Level 3"/>
    <w:basedOn w:val="Level2"/>
    <w:next w:val="StdBodyText3"/>
    <w:link w:val="Level3Char"/>
    <w:uiPriority w:val="99"/>
    <w:qFormat/>
    <w:rsid w:val="00FE46BD"/>
    <w:pPr>
      <w:numPr>
        <w:ilvl w:val="2"/>
      </w:numPr>
      <w:tabs>
        <w:tab w:val="left" w:pos="1803"/>
      </w:tabs>
    </w:pPr>
  </w:style>
  <w:style w:type="paragraph" w:customStyle="1" w:styleId="Level4">
    <w:name w:val="Level 4"/>
    <w:basedOn w:val="Level3"/>
    <w:next w:val="StdBodyText4"/>
    <w:uiPriority w:val="99"/>
    <w:qFormat/>
    <w:rsid w:val="00FE46BD"/>
    <w:pPr>
      <w:numPr>
        <w:ilvl w:val="3"/>
      </w:numPr>
    </w:pPr>
  </w:style>
  <w:style w:type="paragraph" w:customStyle="1" w:styleId="Level5">
    <w:name w:val="Level 5"/>
    <w:basedOn w:val="Level4"/>
    <w:next w:val="StdBodyText5"/>
    <w:uiPriority w:val="99"/>
    <w:qFormat/>
    <w:rsid w:val="00FE46BD"/>
    <w:pPr>
      <w:numPr>
        <w:ilvl w:val="4"/>
      </w:numPr>
      <w:tabs>
        <w:tab w:val="left" w:pos="2523"/>
      </w:tabs>
    </w:pPr>
  </w:style>
  <w:style w:type="paragraph" w:styleId="Subtitle">
    <w:name w:val="Subtitle"/>
    <w:basedOn w:val="Normal"/>
    <w:next w:val="Normal"/>
    <w:link w:val="SubtitleChar"/>
    <w:uiPriority w:val="99"/>
    <w:rsid w:val="00FE46BD"/>
    <w:pPr>
      <w:keepNext/>
      <w:keepLines/>
      <w:widowControl/>
      <w:autoSpaceDE/>
      <w:autoSpaceDN/>
      <w:spacing w:before="360" w:after="80"/>
    </w:pPr>
    <w:rPr>
      <w:rFonts w:ascii="Georgia" w:eastAsia="Georgia" w:hAnsi="Georgia" w:cs="Georgia"/>
      <w:i/>
      <w:color w:val="666666"/>
      <w:sz w:val="48"/>
      <w:szCs w:val="48"/>
      <w:lang w:eastAsia="en-GB" w:bidi="ar-SA"/>
    </w:rPr>
  </w:style>
  <w:style w:type="character" w:customStyle="1" w:styleId="SubtitleChar">
    <w:name w:val="Subtitle Char"/>
    <w:basedOn w:val="DefaultParagraphFont"/>
    <w:link w:val="Subtitle"/>
    <w:uiPriority w:val="99"/>
    <w:rsid w:val="00FE46BD"/>
    <w:rPr>
      <w:rFonts w:ascii="Georgia" w:eastAsia="Georgia" w:hAnsi="Georgia" w:cs="Georgia"/>
      <w:i/>
      <w:color w:val="666666"/>
      <w:sz w:val="48"/>
      <w:szCs w:val="48"/>
      <w:lang w:val="en-GB" w:eastAsia="en-GB"/>
    </w:rPr>
  </w:style>
  <w:style w:type="paragraph" w:customStyle="1" w:styleId="Table-followingparagraph">
    <w:name w:val="Table - following paragraph"/>
    <w:basedOn w:val="Normal"/>
    <w:next w:val="Normal"/>
    <w:uiPriority w:val="99"/>
    <w:rsid w:val="00FE46BD"/>
    <w:pPr>
      <w:widowControl/>
      <w:autoSpaceDE/>
      <w:autoSpaceDN/>
      <w:adjustRightInd w:val="0"/>
      <w:jc w:val="both"/>
    </w:pPr>
    <w:rPr>
      <w:rFonts w:ascii="Times New Roman" w:eastAsia="STZhongsong" w:hAnsi="Times New Roman" w:cs="Times New Roman"/>
      <w:sz w:val="22"/>
      <w:szCs w:val="20"/>
      <w:lang w:eastAsia="zh-CN" w:bidi="ar-SA"/>
    </w:rPr>
  </w:style>
  <w:style w:type="character" w:styleId="HTMLAcronym">
    <w:name w:val="HTML Acronym"/>
    <w:basedOn w:val="DefaultParagraphFont"/>
    <w:uiPriority w:val="99"/>
    <w:rsid w:val="00FE46BD"/>
  </w:style>
  <w:style w:type="paragraph" w:styleId="HTMLAddress">
    <w:name w:val="HTML Address"/>
    <w:basedOn w:val="Normal"/>
    <w:link w:val="HTMLAddressChar"/>
    <w:uiPriority w:val="99"/>
    <w:rsid w:val="00FE46BD"/>
    <w:pPr>
      <w:widowControl/>
      <w:overflowPunct w:val="0"/>
      <w:adjustRightInd w:val="0"/>
      <w:spacing w:after="240" w:line="360" w:lineRule="auto"/>
      <w:jc w:val="both"/>
      <w:textAlignment w:val="baseline"/>
    </w:pPr>
    <w:rPr>
      <w:rFonts w:ascii="Times New Roman" w:eastAsia="Times New Roman" w:hAnsi="Times New Roman" w:cs="Times New Roman"/>
      <w:i/>
      <w:iCs/>
      <w:sz w:val="22"/>
      <w:szCs w:val="20"/>
      <w:lang w:bidi="ar-SA"/>
    </w:rPr>
  </w:style>
  <w:style w:type="character" w:customStyle="1" w:styleId="HTMLAddressChar">
    <w:name w:val="HTML Address Char"/>
    <w:basedOn w:val="DefaultParagraphFont"/>
    <w:link w:val="HTMLAddress"/>
    <w:uiPriority w:val="99"/>
    <w:rsid w:val="00FE46BD"/>
    <w:rPr>
      <w:rFonts w:ascii="Times New Roman" w:eastAsia="Times New Roman" w:hAnsi="Times New Roman" w:cs="Times New Roman"/>
      <w:i/>
      <w:iCs/>
      <w:szCs w:val="20"/>
      <w:lang w:val="en-GB"/>
    </w:rPr>
  </w:style>
  <w:style w:type="character" w:styleId="HTMLCite">
    <w:name w:val="HTML Cite"/>
    <w:uiPriority w:val="99"/>
    <w:rsid w:val="00FE46BD"/>
    <w:rPr>
      <w:i/>
      <w:iCs/>
    </w:rPr>
  </w:style>
  <w:style w:type="character" w:styleId="HTMLCode">
    <w:name w:val="HTML Code"/>
    <w:uiPriority w:val="99"/>
    <w:rsid w:val="00FE46BD"/>
    <w:rPr>
      <w:rFonts w:ascii="Courier New" w:hAnsi="Courier New" w:cs="Courier New"/>
      <w:sz w:val="20"/>
      <w:szCs w:val="20"/>
    </w:rPr>
  </w:style>
  <w:style w:type="character" w:styleId="HTMLDefinition">
    <w:name w:val="HTML Definition"/>
    <w:uiPriority w:val="99"/>
    <w:rsid w:val="00FE46BD"/>
    <w:rPr>
      <w:i/>
      <w:iCs/>
    </w:rPr>
  </w:style>
  <w:style w:type="character" w:styleId="HTMLKeyboard">
    <w:name w:val="HTML Keyboard"/>
    <w:uiPriority w:val="99"/>
    <w:rsid w:val="00FE46BD"/>
    <w:rPr>
      <w:rFonts w:ascii="Courier New" w:hAnsi="Courier New" w:cs="Courier New"/>
      <w:sz w:val="20"/>
      <w:szCs w:val="20"/>
    </w:rPr>
  </w:style>
  <w:style w:type="paragraph" w:styleId="HTMLPreformatted">
    <w:name w:val="HTML Preformatted"/>
    <w:basedOn w:val="Normal"/>
    <w:link w:val="HTMLPreformattedChar"/>
    <w:uiPriority w:val="99"/>
    <w:rsid w:val="00FE46BD"/>
    <w:pPr>
      <w:widowControl/>
      <w:overflowPunct w:val="0"/>
      <w:adjustRightInd w:val="0"/>
      <w:spacing w:after="240" w:line="360" w:lineRule="auto"/>
      <w:jc w:val="both"/>
      <w:textAlignment w:val="baseline"/>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FE46BD"/>
    <w:rPr>
      <w:rFonts w:ascii="Courier New" w:eastAsia="Times New Roman" w:hAnsi="Courier New" w:cs="Courier New"/>
      <w:sz w:val="20"/>
      <w:szCs w:val="20"/>
      <w:lang w:val="en-GB"/>
    </w:rPr>
  </w:style>
  <w:style w:type="character" w:styleId="HTMLSample">
    <w:name w:val="HTML Sample"/>
    <w:uiPriority w:val="99"/>
    <w:rsid w:val="00FE46BD"/>
    <w:rPr>
      <w:rFonts w:ascii="Courier New" w:hAnsi="Courier New" w:cs="Courier New"/>
    </w:rPr>
  </w:style>
  <w:style w:type="character" w:styleId="HTMLTypewriter">
    <w:name w:val="HTML Typewriter"/>
    <w:uiPriority w:val="99"/>
    <w:rsid w:val="00FE46BD"/>
    <w:rPr>
      <w:rFonts w:ascii="Courier New" w:hAnsi="Courier New" w:cs="Courier New"/>
      <w:sz w:val="20"/>
      <w:szCs w:val="20"/>
    </w:rPr>
  </w:style>
  <w:style w:type="character" w:styleId="HTMLVariable">
    <w:name w:val="HTML Variable"/>
    <w:uiPriority w:val="99"/>
    <w:rsid w:val="00FE46BD"/>
    <w:rPr>
      <w:i/>
      <w:iCs/>
    </w:rPr>
  </w:style>
  <w:style w:type="paragraph" w:styleId="Index1">
    <w:name w:val="index 1"/>
    <w:basedOn w:val="Normal"/>
    <w:next w:val="Normal"/>
    <w:autoRedefine/>
    <w:uiPriority w:val="99"/>
    <w:rsid w:val="00FE46BD"/>
    <w:pPr>
      <w:widowControl/>
      <w:overflowPunct w:val="0"/>
      <w:adjustRightInd w:val="0"/>
      <w:spacing w:after="240" w:line="360" w:lineRule="auto"/>
      <w:ind w:left="220" w:hanging="220"/>
      <w:jc w:val="both"/>
      <w:textAlignment w:val="baseline"/>
    </w:pPr>
    <w:rPr>
      <w:rFonts w:ascii="Times New Roman" w:eastAsia="Times New Roman" w:hAnsi="Times New Roman" w:cs="Times New Roman"/>
      <w:sz w:val="22"/>
      <w:szCs w:val="20"/>
      <w:lang w:bidi="ar-SA"/>
    </w:rPr>
  </w:style>
  <w:style w:type="paragraph" w:styleId="Index2">
    <w:name w:val="index 2"/>
    <w:basedOn w:val="Normal"/>
    <w:next w:val="Normal"/>
    <w:autoRedefine/>
    <w:uiPriority w:val="99"/>
    <w:rsid w:val="00FE46BD"/>
    <w:pPr>
      <w:widowControl/>
      <w:overflowPunct w:val="0"/>
      <w:adjustRightInd w:val="0"/>
      <w:spacing w:after="240" w:line="360" w:lineRule="auto"/>
      <w:ind w:left="440" w:hanging="220"/>
      <w:jc w:val="both"/>
      <w:textAlignment w:val="baseline"/>
    </w:pPr>
    <w:rPr>
      <w:rFonts w:ascii="Times New Roman" w:eastAsia="Times New Roman" w:hAnsi="Times New Roman" w:cs="Times New Roman"/>
      <w:sz w:val="22"/>
      <w:szCs w:val="20"/>
      <w:lang w:bidi="ar-SA"/>
    </w:rPr>
  </w:style>
  <w:style w:type="paragraph" w:styleId="Index3">
    <w:name w:val="index 3"/>
    <w:basedOn w:val="Normal"/>
    <w:next w:val="Normal"/>
    <w:autoRedefine/>
    <w:uiPriority w:val="99"/>
    <w:rsid w:val="00FE46BD"/>
    <w:pPr>
      <w:widowControl/>
      <w:overflowPunct w:val="0"/>
      <w:adjustRightInd w:val="0"/>
      <w:spacing w:after="240" w:line="360" w:lineRule="auto"/>
      <w:ind w:left="660" w:hanging="220"/>
      <w:jc w:val="both"/>
      <w:textAlignment w:val="baseline"/>
    </w:pPr>
    <w:rPr>
      <w:rFonts w:ascii="Times New Roman" w:eastAsia="Times New Roman" w:hAnsi="Times New Roman" w:cs="Times New Roman"/>
      <w:sz w:val="22"/>
      <w:szCs w:val="20"/>
      <w:lang w:bidi="ar-SA"/>
    </w:rPr>
  </w:style>
  <w:style w:type="paragraph" w:styleId="Index4">
    <w:name w:val="index 4"/>
    <w:basedOn w:val="Normal"/>
    <w:next w:val="Normal"/>
    <w:autoRedefine/>
    <w:uiPriority w:val="99"/>
    <w:rsid w:val="00FE46BD"/>
    <w:pPr>
      <w:widowControl/>
      <w:overflowPunct w:val="0"/>
      <w:adjustRightInd w:val="0"/>
      <w:spacing w:after="240" w:line="360" w:lineRule="auto"/>
      <w:ind w:left="880" w:hanging="220"/>
      <w:jc w:val="both"/>
      <w:textAlignment w:val="baseline"/>
    </w:pPr>
    <w:rPr>
      <w:rFonts w:ascii="Times New Roman" w:eastAsia="Times New Roman" w:hAnsi="Times New Roman" w:cs="Times New Roman"/>
      <w:sz w:val="22"/>
      <w:szCs w:val="20"/>
      <w:lang w:bidi="ar-SA"/>
    </w:rPr>
  </w:style>
  <w:style w:type="paragraph" w:styleId="Index5">
    <w:name w:val="index 5"/>
    <w:basedOn w:val="Normal"/>
    <w:next w:val="Normal"/>
    <w:autoRedefine/>
    <w:uiPriority w:val="99"/>
    <w:rsid w:val="00FE46BD"/>
    <w:pPr>
      <w:widowControl/>
      <w:overflowPunct w:val="0"/>
      <w:adjustRightInd w:val="0"/>
      <w:spacing w:after="240" w:line="360" w:lineRule="auto"/>
      <w:ind w:left="1100" w:hanging="220"/>
      <w:jc w:val="both"/>
      <w:textAlignment w:val="baseline"/>
    </w:pPr>
    <w:rPr>
      <w:rFonts w:ascii="Times New Roman" w:eastAsia="Times New Roman" w:hAnsi="Times New Roman" w:cs="Times New Roman"/>
      <w:sz w:val="22"/>
      <w:szCs w:val="20"/>
      <w:lang w:bidi="ar-SA"/>
    </w:rPr>
  </w:style>
  <w:style w:type="paragraph" w:styleId="Index6">
    <w:name w:val="index 6"/>
    <w:basedOn w:val="Normal"/>
    <w:next w:val="Normal"/>
    <w:autoRedefine/>
    <w:uiPriority w:val="99"/>
    <w:rsid w:val="00FE46BD"/>
    <w:pPr>
      <w:widowControl/>
      <w:overflowPunct w:val="0"/>
      <w:adjustRightInd w:val="0"/>
      <w:spacing w:after="240" w:line="360" w:lineRule="auto"/>
      <w:ind w:left="1320" w:hanging="220"/>
      <w:jc w:val="both"/>
      <w:textAlignment w:val="baseline"/>
    </w:pPr>
    <w:rPr>
      <w:rFonts w:ascii="Times New Roman" w:eastAsia="Times New Roman" w:hAnsi="Times New Roman" w:cs="Times New Roman"/>
      <w:sz w:val="22"/>
      <w:szCs w:val="20"/>
      <w:lang w:bidi="ar-SA"/>
    </w:rPr>
  </w:style>
  <w:style w:type="paragraph" w:styleId="Index7">
    <w:name w:val="index 7"/>
    <w:basedOn w:val="Normal"/>
    <w:next w:val="Normal"/>
    <w:autoRedefine/>
    <w:uiPriority w:val="99"/>
    <w:rsid w:val="00FE46BD"/>
    <w:pPr>
      <w:widowControl/>
      <w:overflowPunct w:val="0"/>
      <w:adjustRightInd w:val="0"/>
      <w:spacing w:after="240" w:line="360" w:lineRule="auto"/>
      <w:ind w:left="1540" w:hanging="220"/>
      <w:jc w:val="both"/>
      <w:textAlignment w:val="baseline"/>
    </w:pPr>
    <w:rPr>
      <w:rFonts w:ascii="Times New Roman" w:eastAsia="Times New Roman" w:hAnsi="Times New Roman" w:cs="Times New Roman"/>
      <w:sz w:val="22"/>
      <w:szCs w:val="20"/>
      <w:lang w:bidi="ar-SA"/>
    </w:rPr>
  </w:style>
  <w:style w:type="paragraph" w:styleId="Index8">
    <w:name w:val="index 8"/>
    <w:basedOn w:val="Normal"/>
    <w:next w:val="Normal"/>
    <w:autoRedefine/>
    <w:uiPriority w:val="99"/>
    <w:rsid w:val="00FE46BD"/>
    <w:pPr>
      <w:widowControl/>
      <w:overflowPunct w:val="0"/>
      <w:adjustRightInd w:val="0"/>
      <w:spacing w:after="240" w:line="360" w:lineRule="auto"/>
      <w:ind w:left="1760" w:hanging="220"/>
      <w:jc w:val="both"/>
      <w:textAlignment w:val="baseline"/>
    </w:pPr>
    <w:rPr>
      <w:rFonts w:ascii="Times New Roman" w:eastAsia="Times New Roman" w:hAnsi="Times New Roman" w:cs="Times New Roman"/>
      <w:sz w:val="22"/>
      <w:szCs w:val="20"/>
      <w:lang w:bidi="ar-SA"/>
    </w:rPr>
  </w:style>
  <w:style w:type="paragraph" w:styleId="Index9">
    <w:name w:val="index 9"/>
    <w:basedOn w:val="Normal"/>
    <w:next w:val="Normal"/>
    <w:autoRedefine/>
    <w:uiPriority w:val="99"/>
    <w:rsid w:val="00FE46BD"/>
    <w:pPr>
      <w:widowControl/>
      <w:overflowPunct w:val="0"/>
      <w:adjustRightInd w:val="0"/>
      <w:spacing w:after="240" w:line="360" w:lineRule="auto"/>
      <w:ind w:left="1980" w:hanging="220"/>
      <w:jc w:val="both"/>
      <w:textAlignment w:val="baseline"/>
    </w:pPr>
    <w:rPr>
      <w:rFonts w:ascii="Times New Roman" w:eastAsia="Times New Roman" w:hAnsi="Times New Roman" w:cs="Times New Roman"/>
      <w:sz w:val="22"/>
      <w:szCs w:val="20"/>
      <w:lang w:bidi="ar-SA"/>
    </w:rPr>
  </w:style>
  <w:style w:type="paragraph" w:styleId="IndexHeading">
    <w:name w:val="index heading"/>
    <w:basedOn w:val="Normal"/>
    <w:next w:val="Index1"/>
    <w:uiPriority w:val="99"/>
    <w:rsid w:val="00FE46BD"/>
    <w:pPr>
      <w:widowControl/>
      <w:overflowPunct w:val="0"/>
      <w:adjustRightInd w:val="0"/>
      <w:spacing w:after="240" w:line="360" w:lineRule="auto"/>
      <w:jc w:val="both"/>
      <w:textAlignment w:val="baseline"/>
    </w:pPr>
    <w:rPr>
      <w:rFonts w:ascii="Cambria" w:eastAsia="Times New Roman" w:hAnsi="Cambria" w:cs="Times New Roman"/>
      <w:b/>
      <w:bCs/>
      <w:sz w:val="22"/>
      <w:szCs w:val="20"/>
      <w:lang w:bidi="ar-SA"/>
    </w:rPr>
  </w:style>
  <w:style w:type="paragraph" w:styleId="Signature">
    <w:name w:val="Signature"/>
    <w:basedOn w:val="Normal"/>
    <w:link w:val="SignatureChar"/>
    <w:uiPriority w:val="99"/>
    <w:rsid w:val="00FE46BD"/>
    <w:pPr>
      <w:widowControl/>
      <w:overflowPunct w:val="0"/>
      <w:adjustRightInd w:val="0"/>
      <w:spacing w:after="240" w:line="360" w:lineRule="auto"/>
      <w:ind w:left="4252"/>
      <w:jc w:val="both"/>
      <w:textAlignment w:val="baseline"/>
    </w:pPr>
    <w:rPr>
      <w:rFonts w:ascii="Times New Roman" w:eastAsia="Times New Roman" w:hAnsi="Times New Roman" w:cs="Times New Roman"/>
      <w:sz w:val="22"/>
      <w:szCs w:val="20"/>
      <w:lang w:bidi="ar-SA"/>
    </w:rPr>
  </w:style>
  <w:style w:type="character" w:customStyle="1" w:styleId="SignatureChar">
    <w:name w:val="Signature Char"/>
    <w:basedOn w:val="DefaultParagraphFont"/>
    <w:link w:val="Signature"/>
    <w:uiPriority w:val="99"/>
    <w:rsid w:val="00FE46BD"/>
    <w:rPr>
      <w:rFonts w:ascii="Times New Roman" w:eastAsia="Times New Roman" w:hAnsi="Times New Roman" w:cs="Times New Roman"/>
      <w:szCs w:val="20"/>
      <w:lang w:val="en-GB"/>
    </w:rPr>
  </w:style>
  <w:style w:type="paragraph" w:styleId="TableofAuthorities">
    <w:name w:val="table of authorities"/>
    <w:basedOn w:val="Normal"/>
    <w:next w:val="Normal"/>
    <w:uiPriority w:val="99"/>
    <w:rsid w:val="00FE46BD"/>
    <w:pPr>
      <w:widowControl/>
      <w:overflowPunct w:val="0"/>
      <w:adjustRightInd w:val="0"/>
      <w:spacing w:after="240" w:line="360" w:lineRule="auto"/>
      <w:ind w:left="220" w:hanging="220"/>
      <w:jc w:val="both"/>
      <w:textAlignment w:val="baseline"/>
    </w:pPr>
    <w:rPr>
      <w:rFonts w:ascii="Times New Roman" w:eastAsia="Times New Roman" w:hAnsi="Times New Roman" w:cs="Times New Roman"/>
      <w:sz w:val="22"/>
      <w:szCs w:val="20"/>
      <w:lang w:bidi="ar-SA"/>
    </w:rPr>
  </w:style>
  <w:style w:type="paragraph" w:styleId="TableofFigures">
    <w:name w:val="table of figures"/>
    <w:basedOn w:val="Normal"/>
    <w:next w:val="Normal"/>
    <w:uiPriority w:val="99"/>
    <w:rsid w:val="00FE46BD"/>
    <w:pPr>
      <w:widowControl/>
      <w:overflowPunct w:val="0"/>
      <w:adjustRightInd w:val="0"/>
      <w:spacing w:after="240" w:line="360" w:lineRule="auto"/>
      <w:jc w:val="both"/>
      <w:textAlignment w:val="baseline"/>
    </w:pPr>
    <w:rPr>
      <w:rFonts w:ascii="Times New Roman" w:eastAsia="Times New Roman" w:hAnsi="Times New Roman" w:cs="Times New Roman"/>
      <w:sz w:val="22"/>
      <w:szCs w:val="20"/>
      <w:lang w:bidi="ar-SA"/>
    </w:rPr>
  </w:style>
  <w:style w:type="paragraph" w:customStyle="1" w:styleId="SFParasubclause1">
    <w:name w:val="SF Para subclause 1"/>
    <w:link w:val="SFParasubclause1Char"/>
    <w:uiPriority w:val="99"/>
    <w:qFormat/>
    <w:rsid w:val="00FE46BD"/>
    <w:pPr>
      <w:widowControl/>
      <w:tabs>
        <w:tab w:val="num" w:pos="1440"/>
      </w:tabs>
      <w:autoSpaceDE/>
      <w:autoSpaceDN/>
      <w:spacing w:before="120" w:after="240"/>
      <w:ind w:left="1440" w:hanging="720"/>
      <w:outlineLvl w:val="1"/>
    </w:pPr>
    <w:rPr>
      <w:rFonts w:ascii="Times New Roman" w:eastAsia="Times New Roman" w:hAnsi="Times New Roman" w:cs="Times New Roman"/>
      <w:color w:val="000000"/>
      <w:sz w:val="24"/>
      <w:szCs w:val="24"/>
      <w:lang w:val="en-GB" w:eastAsia="en-GB"/>
    </w:rPr>
  </w:style>
  <w:style w:type="paragraph" w:customStyle="1" w:styleId="SFParasubclause2">
    <w:name w:val="SF Para subclause 2"/>
    <w:link w:val="SFParasubclause2Char"/>
    <w:uiPriority w:val="99"/>
    <w:qFormat/>
    <w:rsid w:val="00FE46BD"/>
    <w:pPr>
      <w:widowControl/>
      <w:tabs>
        <w:tab w:val="num" w:pos="2160"/>
      </w:tabs>
      <w:autoSpaceDE/>
      <w:autoSpaceDN/>
      <w:spacing w:before="120" w:after="240"/>
      <w:ind w:left="2160" w:hanging="720"/>
      <w:outlineLvl w:val="2"/>
    </w:pPr>
    <w:rPr>
      <w:rFonts w:ascii="Times New Roman" w:eastAsia="Times New Roman" w:hAnsi="Times New Roman" w:cs="Times New Roman"/>
      <w:color w:val="000000"/>
      <w:sz w:val="24"/>
      <w:szCs w:val="24"/>
      <w:lang w:val="en-GB" w:eastAsia="en-GB"/>
    </w:rPr>
  </w:style>
  <w:style w:type="character" w:customStyle="1" w:styleId="SFParasubclause1Char">
    <w:name w:val="SF Para subclause 1 Char"/>
    <w:basedOn w:val="DefaultParagraphFont"/>
    <w:link w:val="SFParasubclause1"/>
    <w:uiPriority w:val="99"/>
    <w:locked/>
    <w:rsid w:val="00FE46BD"/>
    <w:rPr>
      <w:rFonts w:ascii="Times New Roman" w:eastAsia="Times New Roman" w:hAnsi="Times New Roman" w:cs="Times New Roman"/>
      <w:color w:val="000000"/>
      <w:sz w:val="24"/>
      <w:szCs w:val="24"/>
      <w:lang w:val="en-GB" w:eastAsia="en-GB"/>
    </w:rPr>
  </w:style>
  <w:style w:type="character" w:customStyle="1" w:styleId="SFParasubclause2Char">
    <w:name w:val="SF Para subclause 2 Char"/>
    <w:basedOn w:val="DefaultParagraphFont"/>
    <w:link w:val="SFParasubclause2"/>
    <w:uiPriority w:val="99"/>
    <w:locked/>
    <w:rsid w:val="00FE46BD"/>
    <w:rPr>
      <w:rFonts w:ascii="Times New Roman" w:eastAsia="Times New Roman" w:hAnsi="Times New Roman" w:cs="Times New Roman"/>
      <w:color w:val="000000"/>
      <w:sz w:val="24"/>
      <w:szCs w:val="24"/>
      <w:lang w:val="en-GB" w:eastAsia="en-GB"/>
    </w:rPr>
  </w:style>
  <w:style w:type="paragraph" w:customStyle="1" w:styleId="SFParasubclause1-nonum">
    <w:name w:val="SF Para subclause 1 - no num"/>
    <w:uiPriority w:val="99"/>
    <w:qFormat/>
    <w:rsid w:val="00FE46BD"/>
    <w:pPr>
      <w:widowControl/>
      <w:autoSpaceDE/>
      <w:autoSpaceDN/>
      <w:spacing w:before="120" w:after="240"/>
      <w:ind w:left="720" w:firstLine="1440"/>
      <w:outlineLvl w:val="1"/>
    </w:pPr>
    <w:rPr>
      <w:rFonts w:ascii="Times New Roman" w:eastAsia="Times New Roman" w:hAnsi="Times New Roman" w:cs="Times New Roman"/>
      <w:color w:val="000000"/>
      <w:sz w:val="24"/>
      <w:szCs w:val="24"/>
      <w:lang w:val="en-GB" w:eastAsia="en-GB"/>
    </w:rPr>
  </w:style>
  <w:style w:type="paragraph" w:customStyle="1" w:styleId="Leader">
    <w:name w:val="Leader"/>
    <w:basedOn w:val="Normal"/>
    <w:next w:val="Normal"/>
    <w:uiPriority w:val="99"/>
    <w:rsid w:val="00FE46BD"/>
    <w:pPr>
      <w:widowControl/>
      <w:autoSpaceDE/>
      <w:autoSpaceDN/>
      <w:spacing w:before="120" w:after="240" w:line="276" w:lineRule="auto"/>
    </w:pPr>
    <w:rPr>
      <w:rFonts w:cs="Times New Roman"/>
      <w:b/>
      <w:sz w:val="22"/>
      <w:lang w:bidi="ar-SA"/>
    </w:rPr>
  </w:style>
  <w:style w:type="character" w:customStyle="1" w:styleId="Level2Char">
    <w:name w:val="Level 2 Char"/>
    <w:link w:val="Level2"/>
    <w:uiPriority w:val="99"/>
    <w:rsid w:val="00FE46BD"/>
    <w:rPr>
      <w:rFonts w:ascii="Arial" w:eastAsia="Times New Roman" w:hAnsi="Arial" w:cs="Times New Roman"/>
      <w:sz w:val="24"/>
      <w:szCs w:val="24"/>
      <w:lang w:val="en-GB" w:eastAsia="en-GB"/>
    </w:rPr>
  </w:style>
  <w:style w:type="character" w:customStyle="1" w:styleId="Level3Char">
    <w:name w:val="Level 3 Char"/>
    <w:link w:val="Level3"/>
    <w:uiPriority w:val="99"/>
    <w:rsid w:val="00FE46BD"/>
    <w:rPr>
      <w:rFonts w:ascii="Arial" w:eastAsia="Times New Roman" w:hAnsi="Arial" w:cs="Times New Roman"/>
      <w:sz w:val="24"/>
      <w:szCs w:val="24"/>
      <w:lang w:val="en-GB" w:eastAsia="en-GB"/>
    </w:rPr>
  </w:style>
  <w:style w:type="table" w:customStyle="1" w:styleId="MSAdefinitions">
    <w:name w:val="MSA definitions"/>
    <w:basedOn w:val="TableNormal"/>
    <w:uiPriority w:val="99"/>
    <w:rsid w:val="00FE46BD"/>
    <w:pPr>
      <w:widowControl/>
      <w:autoSpaceDE/>
      <w:autoSpaceDN/>
    </w:pPr>
    <w:rPr>
      <w:sz w:val="24"/>
      <w:szCs w:val="24"/>
      <w:lang w:val="en-GB"/>
    </w:rPr>
    <w:tblPr>
      <w:tblInd w:w="624" w:type="dxa"/>
      <w:tblCellMar>
        <w:right w:w="0" w:type="dxa"/>
      </w:tblCellMar>
    </w:tblPr>
  </w:style>
  <w:style w:type="paragraph" w:customStyle="1" w:styleId="AppendixText2continued">
    <w:name w:val="Appendix Text 2 continued"/>
    <w:next w:val="AppendixText2"/>
    <w:uiPriority w:val="1"/>
    <w:semiHidden/>
    <w:rsid w:val="00FE46BD"/>
    <w:pPr>
      <w:widowControl/>
      <w:autoSpaceDE/>
      <w:autoSpaceDN/>
      <w:spacing w:before="100" w:after="200"/>
      <w:ind w:left="709"/>
    </w:pPr>
    <w:rPr>
      <w:rFonts w:ascii="Arial" w:hAnsi="Arial"/>
      <w:sz w:val="24"/>
      <w:szCs w:val="20"/>
      <w:lang w:val="en-GB"/>
    </w:rPr>
  </w:style>
  <w:style w:type="paragraph" w:customStyle="1" w:styleId="TableText0">
    <w:name w:val="Table Text"/>
    <w:basedOn w:val="StdBodyText"/>
    <w:uiPriority w:val="99"/>
    <w:semiHidden/>
    <w:rsid w:val="00FE46BD"/>
    <w:pPr>
      <w:spacing w:before="120" w:after="120"/>
    </w:pPr>
    <w:rPr>
      <w:rFonts w:cs="Arial"/>
    </w:rPr>
  </w:style>
  <w:style w:type="paragraph" w:customStyle="1" w:styleId="TableTextNumbered">
    <w:name w:val="Table Text Numbered"/>
    <w:basedOn w:val="TableText0"/>
    <w:uiPriority w:val="99"/>
    <w:semiHidden/>
    <w:rsid w:val="00FE46BD"/>
    <w:pPr>
      <w:tabs>
        <w:tab w:val="num" w:pos="720"/>
      </w:tabs>
      <w:ind w:left="720" w:hanging="720"/>
    </w:pPr>
    <w:rPr>
      <w:b/>
      <w:bCs/>
    </w:rPr>
  </w:style>
  <w:style w:type="paragraph" w:customStyle="1" w:styleId="AppendixText3continued">
    <w:name w:val="Appendix Text 3 continued"/>
    <w:basedOn w:val="AppendixText3"/>
    <w:uiPriority w:val="1"/>
    <w:semiHidden/>
    <w:rsid w:val="00FE46BD"/>
    <w:pPr>
      <w:tabs>
        <w:tab w:val="clear" w:pos="2160"/>
      </w:tabs>
      <w:ind w:left="1803" w:firstLine="0"/>
    </w:pPr>
    <w:rPr>
      <w:rFonts w:eastAsia="Times New Roman" w:cs="Times New Roman"/>
      <w:szCs w:val="24"/>
      <w:lang w:eastAsia="en-GB" w:bidi="ar-SA"/>
    </w:rPr>
  </w:style>
  <w:style w:type="paragraph" w:customStyle="1" w:styleId="ScheduleText5">
    <w:name w:val="Schedule Text 5"/>
    <w:basedOn w:val="Normal"/>
    <w:next w:val="StdBodyText5"/>
    <w:qFormat/>
    <w:rsid w:val="00FE46BD"/>
    <w:pPr>
      <w:widowControl/>
      <w:tabs>
        <w:tab w:val="left" w:pos="720"/>
        <w:tab w:val="left" w:pos="2523"/>
      </w:tabs>
      <w:autoSpaceDE/>
      <w:autoSpaceDN/>
      <w:spacing w:before="100" w:after="200"/>
      <w:ind w:left="4320" w:hanging="720"/>
    </w:pPr>
    <w:rPr>
      <w:rFonts w:eastAsia="Times New Roman"/>
      <w:szCs w:val="24"/>
      <w:lang w:eastAsia="en-GB" w:bidi="ar-SA"/>
    </w:rPr>
  </w:style>
  <w:style w:type="paragraph" w:customStyle="1" w:styleId="ScheduleText6">
    <w:name w:val="Schedule Text 6"/>
    <w:basedOn w:val="ScheduleText5"/>
    <w:rsid w:val="00FE46BD"/>
    <w:pPr>
      <w:tabs>
        <w:tab w:val="num" w:pos="3243"/>
        <w:tab w:val="num" w:pos="3600"/>
      </w:tabs>
      <w:ind w:left="3243"/>
    </w:pPr>
  </w:style>
  <w:style w:type="paragraph" w:customStyle="1" w:styleId="ScheduleText7">
    <w:name w:val="Schedule Text 7"/>
    <w:basedOn w:val="ScheduleText6"/>
    <w:rsid w:val="00FE46BD"/>
    <w:pPr>
      <w:tabs>
        <w:tab w:val="clear" w:pos="3243"/>
        <w:tab w:val="num" w:pos="3963"/>
      </w:tabs>
      <w:ind w:left="3963"/>
    </w:pPr>
  </w:style>
  <w:style w:type="paragraph" w:customStyle="1" w:styleId="Guidancenumbered">
    <w:name w:val="Guidance numbered"/>
    <w:uiPriority w:val="4"/>
    <w:rsid w:val="00FE46BD"/>
    <w:pPr>
      <w:widowControl/>
      <w:tabs>
        <w:tab w:val="num" w:pos="720"/>
      </w:tabs>
      <w:autoSpaceDE/>
      <w:autoSpaceDN/>
      <w:spacing w:before="100" w:after="200"/>
      <w:ind w:left="720" w:hanging="720"/>
    </w:pPr>
    <w:rPr>
      <w:rFonts w:ascii="Arial" w:eastAsia="Times New Roman" w:hAnsi="Arial" w:cs="Arial"/>
      <w:b/>
      <w:i/>
      <w:sz w:val="24"/>
      <w:szCs w:val="24"/>
      <w:lang w:val="en-GB" w:eastAsia="en-GB"/>
    </w:rPr>
  </w:style>
  <w:style w:type="character" w:customStyle="1" w:styleId="UnresolvedMention7">
    <w:name w:val="Unresolved Mention7"/>
    <w:basedOn w:val="DefaultParagraphFont"/>
    <w:uiPriority w:val="99"/>
    <w:semiHidden/>
    <w:unhideWhenUsed/>
    <w:rsid w:val="00FE46BD"/>
    <w:rPr>
      <w:color w:val="605E5C"/>
      <w:shd w:val="clear" w:color="auto" w:fill="E1DFDD"/>
    </w:rPr>
  </w:style>
  <w:style w:type="paragraph" w:customStyle="1" w:styleId="Address">
    <w:name w:val="Address"/>
    <w:basedOn w:val="Normal"/>
    <w:rsid w:val="00FE46BD"/>
    <w:pPr>
      <w:widowControl/>
      <w:autoSpaceDE/>
      <w:autoSpaceDN/>
    </w:pPr>
    <w:rPr>
      <w:rFonts w:eastAsia="Times New Roman" w:cs="Times New Roman"/>
      <w:szCs w:val="24"/>
      <w:lang w:eastAsia="en-GB" w:bidi="ar-SA"/>
    </w:rPr>
  </w:style>
  <w:style w:type="paragraph" w:customStyle="1" w:styleId="AnnexHeading">
    <w:name w:val="Annex Heading"/>
    <w:basedOn w:val="Normal"/>
    <w:next w:val="Normal"/>
    <w:rsid w:val="00FE46BD"/>
    <w:pPr>
      <w:widowControl/>
      <w:numPr>
        <w:numId w:val="9"/>
      </w:numPr>
      <w:autoSpaceDE/>
      <w:autoSpaceDN/>
      <w:spacing w:before="100" w:after="300"/>
      <w:jc w:val="center"/>
    </w:pPr>
    <w:rPr>
      <w:rFonts w:ascii="Arial Bold" w:eastAsia="Times New Roman" w:hAnsi="Arial Bold" w:cs="Times New Roman"/>
      <w:b/>
      <w:caps/>
      <w:szCs w:val="24"/>
      <w:lang w:eastAsia="en-GB" w:bidi="ar-SA"/>
    </w:rPr>
  </w:style>
  <w:style w:type="paragraph" w:customStyle="1" w:styleId="LetterTitle">
    <w:name w:val="Letter Title"/>
    <w:basedOn w:val="Normal"/>
    <w:next w:val="StdBodyText"/>
    <w:rsid w:val="00FE46BD"/>
    <w:pPr>
      <w:widowControl/>
      <w:autoSpaceDE/>
      <w:autoSpaceDN/>
      <w:spacing w:before="100" w:after="200"/>
    </w:pPr>
    <w:rPr>
      <w:rFonts w:eastAsia="Times New Roman" w:cs="Times New Roman"/>
      <w:b/>
      <w:szCs w:val="24"/>
      <w:lang w:eastAsia="en-GB" w:bidi="ar-SA"/>
    </w:rPr>
  </w:style>
  <w:style w:type="paragraph" w:customStyle="1" w:styleId="Recitals">
    <w:name w:val="Recitals"/>
    <w:basedOn w:val="Normal"/>
    <w:rsid w:val="00FE46BD"/>
    <w:pPr>
      <w:widowControl/>
      <w:numPr>
        <w:numId w:val="16"/>
      </w:numPr>
      <w:autoSpaceDE/>
      <w:autoSpaceDN/>
      <w:spacing w:before="100" w:after="200"/>
    </w:pPr>
    <w:rPr>
      <w:rFonts w:eastAsia="Times New Roman" w:cs="Times New Roman"/>
      <w:szCs w:val="24"/>
      <w:lang w:eastAsia="en-GB" w:bidi="ar-SA"/>
    </w:rPr>
  </w:style>
  <w:style w:type="paragraph" w:customStyle="1" w:styleId="ScheduleHeading2">
    <w:name w:val="Schedule Heading 2"/>
    <w:basedOn w:val="Normal"/>
    <w:next w:val="ScheduleSubHeading"/>
    <w:rsid w:val="00FE46BD"/>
    <w:pPr>
      <w:widowControl/>
      <w:numPr>
        <w:ilvl w:val="1"/>
        <w:numId w:val="13"/>
      </w:numPr>
      <w:autoSpaceDE/>
      <w:autoSpaceDN/>
      <w:spacing w:before="100" w:after="300"/>
      <w:jc w:val="center"/>
    </w:pPr>
    <w:rPr>
      <w:rFonts w:eastAsia="Times New Roman" w:cs="Times New Roman"/>
      <w:b/>
      <w:szCs w:val="24"/>
      <w:lang w:eastAsia="en-GB" w:bidi="ar-SA"/>
    </w:rPr>
  </w:style>
  <w:style w:type="paragraph" w:customStyle="1" w:styleId="ScheduleSubHeading">
    <w:name w:val="Schedule Sub Heading"/>
    <w:basedOn w:val="Normal"/>
    <w:next w:val="PartHeading"/>
    <w:rsid w:val="00FE46BD"/>
    <w:pPr>
      <w:widowControl/>
      <w:autoSpaceDE/>
      <w:autoSpaceDN/>
      <w:spacing w:before="100" w:after="300"/>
      <w:jc w:val="center"/>
    </w:pPr>
    <w:rPr>
      <w:rFonts w:eastAsia="Times New Roman" w:cs="Times New Roman"/>
      <w:b/>
      <w:szCs w:val="24"/>
      <w:lang w:eastAsia="en-GB" w:bidi="ar-SA"/>
    </w:rPr>
  </w:style>
  <w:style w:type="paragraph" w:customStyle="1" w:styleId="ScheduleHeading0">
    <w:name w:val="Schedule Heading"/>
    <w:basedOn w:val="ScheduleHeading2"/>
    <w:rsid w:val="00FE46BD"/>
    <w:pPr>
      <w:numPr>
        <w:ilvl w:val="0"/>
      </w:numPr>
    </w:pPr>
  </w:style>
  <w:style w:type="paragraph" w:customStyle="1" w:styleId="AnnextoPart">
    <w:name w:val="Annex to Part"/>
    <w:basedOn w:val="PartHeading"/>
    <w:rsid w:val="00FE46BD"/>
    <w:pPr>
      <w:numPr>
        <w:numId w:val="0"/>
      </w:numPr>
      <w:ind w:left="720" w:firstLine="720"/>
    </w:pPr>
    <w:rPr>
      <w:caps w:val="0"/>
    </w:rPr>
  </w:style>
  <w:style w:type="paragraph" w:customStyle="1" w:styleId="PartiesFrontSheet">
    <w:name w:val="Parties Front Sheet"/>
    <w:basedOn w:val="Normal"/>
    <w:rsid w:val="00FE46BD"/>
    <w:pPr>
      <w:widowControl/>
      <w:tabs>
        <w:tab w:val="num" w:pos="720"/>
      </w:tabs>
      <w:autoSpaceDE/>
      <w:autoSpaceDN/>
      <w:ind w:left="720" w:hanging="720"/>
    </w:pPr>
    <w:rPr>
      <w:rFonts w:eastAsia="Times New Roman" w:cs="Times New Roman"/>
      <w:szCs w:val="24"/>
      <w:lang w:eastAsia="en-GB" w:bidi="ar-SA"/>
    </w:rPr>
  </w:style>
  <w:style w:type="paragraph" w:customStyle="1" w:styleId="Level6">
    <w:name w:val="Level 6"/>
    <w:basedOn w:val="Level5"/>
    <w:rsid w:val="00FE46BD"/>
    <w:pPr>
      <w:numPr>
        <w:ilvl w:val="0"/>
        <w:numId w:val="0"/>
      </w:numPr>
      <w:tabs>
        <w:tab w:val="clear" w:pos="2523"/>
      </w:tabs>
      <w:ind w:left="5040" w:hanging="720"/>
    </w:pPr>
  </w:style>
  <w:style w:type="character" w:styleId="PageNumber">
    <w:name w:val="page number"/>
    <w:rsid w:val="00FE46BD"/>
    <w:rPr>
      <w:sz w:val="22"/>
    </w:rPr>
  </w:style>
  <w:style w:type="paragraph" w:customStyle="1" w:styleId="SchHead">
    <w:name w:val="SchHead"/>
    <w:basedOn w:val="HouseStyleBaseCentred"/>
    <w:next w:val="SchPart"/>
    <w:rsid w:val="00FE46BD"/>
    <w:pPr>
      <w:keepNext/>
      <w:numPr>
        <w:numId w:val="22"/>
      </w:numPr>
      <w:jc w:val="center"/>
      <w:outlineLvl w:val="0"/>
    </w:pPr>
    <w:rPr>
      <w:b/>
      <w:caps/>
    </w:rPr>
  </w:style>
  <w:style w:type="paragraph" w:customStyle="1" w:styleId="ScheduleL1">
    <w:name w:val="Schedule L1"/>
    <w:basedOn w:val="HouseStyleBase"/>
    <w:rsid w:val="00FE46BD"/>
    <w:pPr>
      <w:numPr>
        <w:numId w:val="23"/>
      </w:numPr>
      <w:tabs>
        <w:tab w:val="num" w:pos="360"/>
      </w:tabs>
      <w:ind w:firstLine="0"/>
      <w:outlineLvl w:val="0"/>
    </w:pPr>
  </w:style>
  <w:style w:type="paragraph" w:styleId="ListBullet">
    <w:name w:val="List Bullet"/>
    <w:basedOn w:val="Normal"/>
    <w:rsid w:val="00FE46BD"/>
    <w:pPr>
      <w:widowControl/>
      <w:numPr>
        <w:ilvl w:val="10"/>
      </w:numPr>
      <w:overflowPunct w:val="0"/>
      <w:adjustRightInd w:val="0"/>
      <w:spacing w:after="240" w:line="360" w:lineRule="auto"/>
      <w:ind w:left="720" w:hanging="720"/>
      <w:jc w:val="both"/>
      <w:textAlignment w:val="baseline"/>
    </w:pPr>
    <w:rPr>
      <w:rFonts w:ascii="Times New Roman" w:eastAsia="Times New Roman" w:hAnsi="Times New Roman" w:cs="Times New Roman"/>
      <w:sz w:val="22"/>
      <w:szCs w:val="20"/>
      <w:lang w:eastAsia="en-GB" w:bidi="ar-SA"/>
    </w:rPr>
  </w:style>
  <w:style w:type="paragraph" w:styleId="ListBullet2">
    <w:name w:val="List Bullet 2"/>
    <w:basedOn w:val="HouseStyleBase"/>
    <w:rsid w:val="00FE46BD"/>
    <w:pPr>
      <w:numPr>
        <w:ilvl w:val="1"/>
        <w:numId w:val="24"/>
      </w:numPr>
      <w:tabs>
        <w:tab w:val="num" w:pos="360"/>
      </w:tabs>
      <w:ind w:left="1440" w:firstLine="0"/>
    </w:pPr>
  </w:style>
  <w:style w:type="paragraph" w:customStyle="1" w:styleId="HouseStyleBase">
    <w:name w:val="House Style Base"/>
    <w:link w:val="HouseStyleBaseChar"/>
    <w:rsid w:val="00FE46BD"/>
    <w:pPr>
      <w:widowControl/>
      <w:autoSpaceDE/>
      <w:autoSpaceDN/>
      <w:adjustRightInd w:val="0"/>
      <w:spacing w:after="240"/>
      <w:jc w:val="both"/>
    </w:pPr>
    <w:rPr>
      <w:rFonts w:ascii="Times New Roman" w:eastAsia="STZhongsong" w:hAnsi="Times New Roman" w:cs="Times New Roman"/>
      <w:szCs w:val="20"/>
      <w:lang w:val="en-GB" w:eastAsia="zh-CN"/>
    </w:rPr>
  </w:style>
  <w:style w:type="paragraph" w:customStyle="1" w:styleId="HouseStyleBaseCentred">
    <w:name w:val="House Style Base Centred"/>
    <w:rsid w:val="00FE46BD"/>
    <w:pPr>
      <w:widowControl/>
      <w:autoSpaceDE/>
      <w:autoSpaceDN/>
      <w:adjustRightInd w:val="0"/>
      <w:spacing w:after="240"/>
    </w:pPr>
    <w:rPr>
      <w:rFonts w:ascii="Times New Roman" w:eastAsia="STZhongsong" w:hAnsi="Times New Roman" w:cs="Times New Roman"/>
      <w:szCs w:val="20"/>
      <w:lang w:val="en-GB" w:eastAsia="zh-CN"/>
    </w:rPr>
  </w:style>
  <w:style w:type="paragraph" w:customStyle="1" w:styleId="AppHead">
    <w:name w:val="AppHead"/>
    <w:basedOn w:val="HouseStyleBaseCentred"/>
    <w:rsid w:val="00FE46BD"/>
    <w:pPr>
      <w:numPr>
        <w:numId w:val="20"/>
      </w:numPr>
      <w:jc w:val="center"/>
      <w:outlineLvl w:val="0"/>
    </w:pPr>
    <w:rPr>
      <w:b/>
      <w:caps/>
    </w:rPr>
  </w:style>
  <w:style w:type="paragraph" w:customStyle="1" w:styleId="RecitalNumbering">
    <w:name w:val="Recital Numbering"/>
    <w:basedOn w:val="HouseStyleBase"/>
    <w:rsid w:val="00FE46BD"/>
    <w:pPr>
      <w:numPr>
        <w:numId w:val="25"/>
      </w:numPr>
      <w:tabs>
        <w:tab w:val="num" w:pos="360"/>
      </w:tabs>
      <w:ind w:firstLine="0"/>
      <w:outlineLvl w:val="0"/>
    </w:pPr>
  </w:style>
  <w:style w:type="paragraph" w:customStyle="1" w:styleId="ListBullet1">
    <w:name w:val="List Bullet 1"/>
    <w:basedOn w:val="HouseStyleBase"/>
    <w:rsid w:val="00FE46BD"/>
    <w:pPr>
      <w:numPr>
        <w:numId w:val="24"/>
      </w:numPr>
      <w:tabs>
        <w:tab w:val="num" w:pos="360"/>
      </w:tabs>
      <w:ind w:firstLine="0"/>
    </w:pPr>
  </w:style>
  <w:style w:type="paragraph" w:styleId="ListBullet3">
    <w:name w:val="List Bullet 3"/>
    <w:basedOn w:val="HouseStyleBase"/>
    <w:rsid w:val="00FE46BD"/>
    <w:pPr>
      <w:numPr>
        <w:ilvl w:val="2"/>
        <w:numId w:val="24"/>
      </w:numPr>
      <w:tabs>
        <w:tab w:val="num" w:pos="360"/>
        <w:tab w:val="num" w:pos="1440"/>
      </w:tabs>
      <w:ind w:left="1803" w:hanging="1083"/>
    </w:pPr>
  </w:style>
  <w:style w:type="paragraph" w:styleId="ListBullet4">
    <w:name w:val="List Bullet 4"/>
    <w:basedOn w:val="HouseStyleBase"/>
    <w:rsid w:val="00FE46BD"/>
    <w:pPr>
      <w:numPr>
        <w:ilvl w:val="3"/>
        <w:numId w:val="24"/>
      </w:numPr>
      <w:tabs>
        <w:tab w:val="num" w:pos="360"/>
      </w:tabs>
      <w:ind w:left="1803" w:hanging="1083"/>
    </w:pPr>
  </w:style>
  <w:style w:type="paragraph" w:styleId="ListBullet5">
    <w:name w:val="List Bullet 5"/>
    <w:basedOn w:val="HouseStyleBase"/>
    <w:rsid w:val="00FE46BD"/>
    <w:pPr>
      <w:numPr>
        <w:ilvl w:val="4"/>
        <w:numId w:val="24"/>
      </w:numPr>
      <w:tabs>
        <w:tab w:val="num" w:pos="360"/>
        <w:tab w:val="num" w:pos="1803"/>
      </w:tabs>
      <w:ind w:left="2523" w:firstLine="0"/>
    </w:pPr>
  </w:style>
  <w:style w:type="paragraph" w:customStyle="1" w:styleId="ListBullet6">
    <w:name w:val="List Bullet 6"/>
    <w:basedOn w:val="HouseStyleBase"/>
    <w:rsid w:val="00FE46BD"/>
    <w:pPr>
      <w:numPr>
        <w:ilvl w:val="5"/>
        <w:numId w:val="24"/>
      </w:numPr>
      <w:tabs>
        <w:tab w:val="num" w:pos="360"/>
        <w:tab w:val="num" w:pos="3243"/>
      </w:tabs>
      <w:ind w:left="3243" w:firstLine="0"/>
    </w:pPr>
  </w:style>
  <w:style w:type="paragraph" w:customStyle="1" w:styleId="ListBullet7">
    <w:name w:val="List Bullet 7"/>
    <w:basedOn w:val="HouseStyleBase"/>
    <w:rsid w:val="00FE46BD"/>
    <w:pPr>
      <w:numPr>
        <w:ilvl w:val="6"/>
        <w:numId w:val="24"/>
      </w:numPr>
      <w:tabs>
        <w:tab w:val="num" w:pos="360"/>
      </w:tabs>
      <w:ind w:left="2523" w:firstLine="0"/>
    </w:pPr>
  </w:style>
  <w:style w:type="paragraph" w:customStyle="1" w:styleId="ListBullet8">
    <w:name w:val="List Bullet 8"/>
    <w:basedOn w:val="HouseStyleBase"/>
    <w:rsid w:val="00FE46BD"/>
    <w:pPr>
      <w:numPr>
        <w:ilvl w:val="7"/>
        <w:numId w:val="24"/>
      </w:numPr>
      <w:tabs>
        <w:tab w:val="num" w:pos="360"/>
      </w:tabs>
      <w:ind w:left="2523" w:firstLine="0"/>
    </w:pPr>
  </w:style>
  <w:style w:type="paragraph" w:customStyle="1" w:styleId="ListBullet9">
    <w:name w:val="List Bullet 9"/>
    <w:basedOn w:val="HouseStyleBase"/>
    <w:rsid w:val="00FE46BD"/>
    <w:pPr>
      <w:numPr>
        <w:ilvl w:val="8"/>
        <w:numId w:val="24"/>
      </w:numPr>
      <w:tabs>
        <w:tab w:val="num" w:pos="360"/>
      </w:tabs>
      <w:ind w:left="2523" w:firstLine="0"/>
    </w:pPr>
  </w:style>
  <w:style w:type="paragraph" w:customStyle="1" w:styleId="SchPart">
    <w:name w:val="SchPart"/>
    <w:basedOn w:val="HouseStyleBaseCentred"/>
    <w:next w:val="MarginText"/>
    <w:rsid w:val="00FE46BD"/>
    <w:pPr>
      <w:keepNext/>
      <w:numPr>
        <w:ilvl w:val="1"/>
        <w:numId w:val="22"/>
      </w:numPr>
      <w:jc w:val="center"/>
      <w:outlineLvl w:val="1"/>
    </w:pPr>
    <w:rPr>
      <w:b/>
    </w:rPr>
  </w:style>
  <w:style w:type="paragraph" w:customStyle="1" w:styleId="ScheduleL2">
    <w:name w:val="Schedule L2"/>
    <w:basedOn w:val="HouseStyleBase"/>
    <w:rsid w:val="00FE46BD"/>
    <w:pPr>
      <w:numPr>
        <w:ilvl w:val="1"/>
        <w:numId w:val="23"/>
      </w:numPr>
      <w:tabs>
        <w:tab w:val="num" w:pos="360"/>
        <w:tab w:val="num" w:pos="567"/>
      </w:tabs>
      <w:ind w:left="0" w:firstLine="0"/>
      <w:outlineLvl w:val="1"/>
    </w:pPr>
  </w:style>
  <w:style w:type="paragraph" w:customStyle="1" w:styleId="ScheduleL3">
    <w:name w:val="Schedule L3"/>
    <w:basedOn w:val="HouseStyleBase"/>
    <w:rsid w:val="00FE46BD"/>
    <w:pPr>
      <w:numPr>
        <w:ilvl w:val="2"/>
        <w:numId w:val="23"/>
      </w:numPr>
      <w:tabs>
        <w:tab w:val="num" w:pos="360"/>
        <w:tab w:val="num" w:pos="567"/>
        <w:tab w:val="num" w:pos="1440"/>
      </w:tabs>
      <w:ind w:left="0" w:firstLine="0"/>
      <w:outlineLvl w:val="2"/>
    </w:pPr>
  </w:style>
  <w:style w:type="paragraph" w:customStyle="1" w:styleId="ScheduleL4">
    <w:name w:val="Schedule L4"/>
    <w:basedOn w:val="HouseStyleBase"/>
    <w:rsid w:val="00FE46BD"/>
    <w:pPr>
      <w:numPr>
        <w:ilvl w:val="3"/>
        <w:numId w:val="23"/>
      </w:numPr>
      <w:tabs>
        <w:tab w:val="num" w:pos="360"/>
        <w:tab w:val="num" w:pos="567"/>
      </w:tabs>
      <w:ind w:left="0" w:firstLine="0"/>
      <w:outlineLvl w:val="3"/>
    </w:pPr>
  </w:style>
  <w:style w:type="paragraph" w:customStyle="1" w:styleId="ScheduleL5">
    <w:name w:val="Schedule L5"/>
    <w:basedOn w:val="HouseStyleBase"/>
    <w:rsid w:val="00FE46BD"/>
    <w:pPr>
      <w:numPr>
        <w:ilvl w:val="4"/>
        <w:numId w:val="23"/>
      </w:numPr>
      <w:tabs>
        <w:tab w:val="num" w:pos="360"/>
        <w:tab w:val="num" w:pos="567"/>
      </w:tabs>
      <w:ind w:left="0" w:firstLine="0"/>
      <w:outlineLvl w:val="4"/>
    </w:pPr>
  </w:style>
  <w:style w:type="paragraph" w:customStyle="1" w:styleId="ScheduleL6">
    <w:name w:val="Schedule L6"/>
    <w:basedOn w:val="HouseStyleBase"/>
    <w:rsid w:val="00FE46BD"/>
    <w:pPr>
      <w:numPr>
        <w:ilvl w:val="5"/>
        <w:numId w:val="23"/>
      </w:numPr>
      <w:tabs>
        <w:tab w:val="num" w:pos="360"/>
        <w:tab w:val="num" w:pos="567"/>
      </w:tabs>
      <w:ind w:left="0" w:firstLine="0"/>
      <w:outlineLvl w:val="5"/>
    </w:pPr>
  </w:style>
  <w:style w:type="paragraph" w:customStyle="1" w:styleId="ScheduleL7">
    <w:name w:val="Schedule L7"/>
    <w:basedOn w:val="HouseStyleBase"/>
    <w:rsid w:val="00FE46BD"/>
    <w:pPr>
      <w:numPr>
        <w:ilvl w:val="6"/>
        <w:numId w:val="23"/>
      </w:numPr>
      <w:tabs>
        <w:tab w:val="num" w:pos="360"/>
        <w:tab w:val="num" w:pos="567"/>
      </w:tabs>
      <w:ind w:left="0" w:firstLine="0"/>
      <w:outlineLvl w:val="6"/>
    </w:pPr>
  </w:style>
  <w:style w:type="paragraph" w:customStyle="1" w:styleId="ScheduleL8">
    <w:name w:val="Schedule L8"/>
    <w:basedOn w:val="HouseStyleBase"/>
    <w:rsid w:val="00FE46BD"/>
    <w:pPr>
      <w:numPr>
        <w:ilvl w:val="7"/>
        <w:numId w:val="23"/>
      </w:numPr>
      <w:tabs>
        <w:tab w:val="num" w:pos="360"/>
        <w:tab w:val="num" w:pos="567"/>
      </w:tabs>
      <w:ind w:left="0" w:firstLine="0"/>
      <w:outlineLvl w:val="7"/>
    </w:pPr>
  </w:style>
  <w:style w:type="paragraph" w:customStyle="1" w:styleId="ScheduleL9">
    <w:name w:val="Schedule L9"/>
    <w:basedOn w:val="HouseStyleBase"/>
    <w:rsid w:val="00FE46BD"/>
    <w:pPr>
      <w:numPr>
        <w:ilvl w:val="8"/>
        <w:numId w:val="23"/>
      </w:numPr>
      <w:tabs>
        <w:tab w:val="num" w:pos="360"/>
        <w:tab w:val="num" w:pos="567"/>
      </w:tabs>
      <w:ind w:left="0" w:firstLine="0"/>
      <w:outlineLvl w:val="8"/>
    </w:pPr>
  </w:style>
  <w:style w:type="paragraph" w:customStyle="1" w:styleId="SchSection">
    <w:name w:val="SchSection"/>
    <w:basedOn w:val="HouseStyleBaseCentred"/>
    <w:next w:val="MarginText"/>
    <w:rsid w:val="00FE46BD"/>
    <w:pPr>
      <w:keepNext/>
      <w:numPr>
        <w:ilvl w:val="2"/>
        <w:numId w:val="22"/>
      </w:numPr>
      <w:jc w:val="center"/>
      <w:outlineLvl w:val="2"/>
    </w:pPr>
    <w:rPr>
      <w:b/>
    </w:rPr>
  </w:style>
  <w:style w:type="paragraph" w:customStyle="1" w:styleId="AppPart">
    <w:name w:val="AppPart"/>
    <w:basedOn w:val="HouseStyleBaseCentred"/>
    <w:rsid w:val="00FE46BD"/>
    <w:pPr>
      <w:numPr>
        <w:ilvl w:val="1"/>
        <w:numId w:val="20"/>
      </w:numPr>
      <w:jc w:val="center"/>
      <w:outlineLvl w:val="1"/>
    </w:pPr>
    <w:rPr>
      <w:b/>
    </w:rPr>
  </w:style>
  <w:style w:type="paragraph" w:customStyle="1" w:styleId="RecitalNumbering2">
    <w:name w:val="Recital Numbering 2"/>
    <w:basedOn w:val="HouseStyleBase"/>
    <w:rsid w:val="00FE46BD"/>
    <w:pPr>
      <w:numPr>
        <w:ilvl w:val="1"/>
        <w:numId w:val="25"/>
      </w:numPr>
      <w:tabs>
        <w:tab w:val="num" w:pos="360"/>
      </w:tabs>
      <w:overflowPunct w:val="0"/>
      <w:autoSpaceDE w:val="0"/>
      <w:autoSpaceDN w:val="0"/>
      <w:ind w:hanging="720"/>
      <w:textAlignment w:val="baseline"/>
    </w:pPr>
  </w:style>
  <w:style w:type="paragraph" w:customStyle="1" w:styleId="RecitalNumbering3">
    <w:name w:val="Recital Numbering 3"/>
    <w:basedOn w:val="HouseStyleBase"/>
    <w:rsid w:val="00FE46BD"/>
    <w:pPr>
      <w:numPr>
        <w:ilvl w:val="2"/>
        <w:numId w:val="25"/>
      </w:numPr>
      <w:tabs>
        <w:tab w:val="num" w:pos="360"/>
        <w:tab w:val="num" w:pos="1440"/>
      </w:tabs>
      <w:overflowPunct w:val="0"/>
      <w:autoSpaceDE w:val="0"/>
      <w:autoSpaceDN w:val="0"/>
      <w:ind w:left="1803" w:hanging="1083"/>
      <w:textAlignment w:val="baseline"/>
    </w:pPr>
  </w:style>
  <w:style w:type="paragraph" w:styleId="BlockText">
    <w:name w:val="Block Text"/>
    <w:basedOn w:val="Normal"/>
    <w:rsid w:val="00FE46BD"/>
    <w:pPr>
      <w:widowControl/>
      <w:overflowPunct w:val="0"/>
      <w:adjustRightInd w:val="0"/>
      <w:spacing w:after="120" w:line="360" w:lineRule="auto"/>
      <w:ind w:left="1440" w:right="1440"/>
      <w:jc w:val="both"/>
      <w:textAlignment w:val="baseline"/>
    </w:pPr>
    <w:rPr>
      <w:rFonts w:ascii="Times New Roman" w:eastAsia="Times New Roman" w:hAnsi="Times New Roman" w:cs="Times New Roman"/>
      <w:sz w:val="22"/>
      <w:szCs w:val="20"/>
      <w:lang w:eastAsia="en-GB" w:bidi="ar-SA"/>
    </w:rPr>
  </w:style>
  <w:style w:type="character" w:customStyle="1" w:styleId="HouseStyleBaseChar">
    <w:name w:val="House Style Base Char"/>
    <w:link w:val="HouseStyleBase"/>
    <w:rsid w:val="00FE46BD"/>
    <w:rPr>
      <w:rFonts w:ascii="Times New Roman" w:eastAsia="STZhongsong" w:hAnsi="Times New Roman" w:cs="Times New Roman"/>
      <w:szCs w:val="20"/>
      <w:lang w:val="en-GB" w:eastAsia="zh-CN"/>
    </w:rPr>
  </w:style>
  <w:style w:type="character" w:styleId="LineNumber">
    <w:name w:val="line number"/>
    <w:basedOn w:val="DefaultParagraphFont"/>
    <w:rsid w:val="00FE46BD"/>
  </w:style>
  <w:style w:type="paragraph" w:styleId="List">
    <w:name w:val="List"/>
    <w:basedOn w:val="Normal"/>
    <w:rsid w:val="00FE46BD"/>
    <w:pPr>
      <w:widowControl/>
      <w:overflowPunct w:val="0"/>
      <w:adjustRightInd w:val="0"/>
      <w:spacing w:after="240" w:line="360" w:lineRule="auto"/>
      <w:ind w:left="283" w:hanging="283"/>
      <w:contextualSpacing/>
      <w:jc w:val="both"/>
      <w:textAlignment w:val="baseline"/>
    </w:pPr>
    <w:rPr>
      <w:rFonts w:ascii="Times New Roman" w:eastAsia="Times New Roman" w:hAnsi="Times New Roman" w:cs="Times New Roman"/>
      <w:sz w:val="22"/>
      <w:szCs w:val="20"/>
      <w:lang w:eastAsia="en-GB" w:bidi="ar-SA"/>
    </w:rPr>
  </w:style>
  <w:style w:type="paragraph" w:styleId="List2">
    <w:name w:val="List 2"/>
    <w:basedOn w:val="Normal"/>
    <w:rsid w:val="00FE46BD"/>
    <w:pPr>
      <w:widowControl/>
      <w:overflowPunct w:val="0"/>
      <w:adjustRightInd w:val="0"/>
      <w:spacing w:after="240" w:line="360" w:lineRule="auto"/>
      <w:ind w:left="566" w:hanging="283"/>
      <w:contextualSpacing/>
      <w:jc w:val="both"/>
      <w:textAlignment w:val="baseline"/>
    </w:pPr>
    <w:rPr>
      <w:rFonts w:ascii="Times New Roman" w:eastAsia="Times New Roman" w:hAnsi="Times New Roman" w:cs="Times New Roman"/>
      <w:sz w:val="22"/>
      <w:szCs w:val="20"/>
      <w:lang w:eastAsia="en-GB" w:bidi="ar-SA"/>
    </w:rPr>
  </w:style>
  <w:style w:type="paragraph" w:styleId="List3">
    <w:name w:val="List 3"/>
    <w:basedOn w:val="Normal"/>
    <w:rsid w:val="00FE46BD"/>
    <w:pPr>
      <w:widowControl/>
      <w:overflowPunct w:val="0"/>
      <w:adjustRightInd w:val="0"/>
      <w:spacing w:after="240" w:line="360" w:lineRule="auto"/>
      <w:ind w:left="849" w:hanging="283"/>
      <w:contextualSpacing/>
      <w:jc w:val="both"/>
      <w:textAlignment w:val="baseline"/>
    </w:pPr>
    <w:rPr>
      <w:rFonts w:ascii="Times New Roman" w:eastAsia="Times New Roman" w:hAnsi="Times New Roman" w:cs="Times New Roman"/>
      <w:sz w:val="22"/>
      <w:szCs w:val="20"/>
      <w:lang w:eastAsia="en-GB" w:bidi="ar-SA"/>
    </w:rPr>
  </w:style>
  <w:style w:type="paragraph" w:styleId="List4">
    <w:name w:val="List 4"/>
    <w:basedOn w:val="Normal"/>
    <w:rsid w:val="00FE46BD"/>
    <w:pPr>
      <w:widowControl/>
      <w:overflowPunct w:val="0"/>
      <w:adjustRightInd w:val="0"/>
      <w:spacing w:after="240" w:line="360" w:lineRule="auto"/>
      <w:ind w:left="1132" w:hanging="283"/>
      <w:contextualSpacing/>
      <w:jc w:val="both"/>
      <w:textAlignment w:val="baseline"/>
    </w:pPr>
    <w:rPr>
      <w:rFonts w:ascii="Times New Roman" w:eastAsia="Times New Roman" w:hAnsi="Times New Roman" w:cs="Times New Roman"/>
      <w:sz w:val="22"/>
      <w:szCs w:val="20"/>
      <w:lang w:eastAsia="en-GB" w:bidi="ar-SA"/>
    </w:rPr>
  </w:style>
  <w:style w:type="paragraph" w:styleId="List5">
    <w:name w:val="List 5"/>
    <w:basedOn w:val="Normal"/>
    <w:rsid w:val="00FE46BD"/>
    <w:pPr>
      <w:widowControl/>
      <w:overflowPunct w:val="0"/>
      <w:adjustRightInd w:val="0"/>
      <w:spacing w:after="240" w:line="360" w:lineRule="auto"/>
      <w:ind w:left="1415" w:hanging="283"/>
      <w:contextualSpacing/>
      <w:jc w:val="both"/>
      <w:textAlignment w:val="baseline"/>
    </w:pPr>
    <w:rPr>
      <w:rFonts w:ascii="Times New Roman" w:eastAsia="Times New Roman" w:hAnsi="Times New Roman" w:cs="Times New Roman"/>
      <w:sz w:val="22"/>
      <w:szCs w:val="20"/>
      <w:lang w:eastAsia="en-GB" w:bidi="ar-SA"/>
    </w:rPr>
  </w:style>
  <w:style w:type="paragraph" w:styleId="ListContinue">
    <w:name w:val="List Continue"/>
    <w:basedOn w:val="Normal"/>
    <w:rsid w:val="00FE46BD"/>
    <w:pPr>
      <w:widowControl/>
      <w:overflowPunct w:val="0"/>
      <w:adjustRightInd w:val="0"/>
      <w:spacing w:after="120" w:line="360" w:lineRule="auto"/>
      <w:ind w:left="283"/>
      <w:contextualSpacing/>
      <w:jc w:val="both"/>
      <w:textAlignment w:val="baseline"/>
    </w:pPr>
    <w:rPr>
      <w:rFonts w:ascii="Times New Roman" w:eastAsia="Times New Roman" w:hAnsi="Times New Roman" w:cs="Times New Roman"/>
      <w:sz w:val="22"/>
      <w:szCs w:val="20"/>
      <w:lang w:eastAsia="en-GB" w:bidi="ar-SA"/>
    </w:rPr>
  </w:style>
  <w:style w:type="paragraph" w:styleId="ListContinue2">
    <w:name w:val="List Continue 2"/>
    <w:basedOn w:val="Normal"/>
    <w:rsid w:val="00FE46BD"/>
    <w:pPr>
      <w:widowControl/>
      <w:overflowPunct w:val="0"/>
      <w:adjustRightInd w:val="0"/>
      <w:spacing w:after="120" w:line="360" w:lineRule="auto"/>
      <w:ind w:left="566"/>
      <w:contextualSpacing/>
      <w:jc w:val="both"/>
      <w:textAlignment w:val="baseline"/>
    </w:pPr>
    <w:rPr>
      <w:rFonts w:ascii="Times New Roman" w:eastAsia="Times New Roman" w:hAnsi="Times New Roman" w:cs="Times New Roman"/>
      <w:sz w:val="22"/>
      <w:szCs w:val="20"/>
      <w:lang w:eastAsia="en-GB" w:bidi="ar-SA"/>
    </w:rPr>
  </w:style>
  <w:style w:type="paragraph" w:styleId="ListContinue3">
    <w:name w:val="List Continue 3"/>
    <w:basedOn w:val="Normal"/>
    <w:rsid w:val="00FE46BD"/>
    <w:pPr>
      <w:widowControl/>
      <w:overflowPunct w:val="0"/>
      <w:adjustRightInd w:val="0"/>
      <w:spacing w:after="120" w:line="360" w:lineRule="auto"/>
      <w:ind w:left="849"/>
      <w:contextualSpacing/>
      <w:jc w:val="both"/>
      <w:textAlignment w:val="baseline"/>
    </w:pPr>
    <w:rPr>
      <w:rFonts w:ascii="Times New Roman" w:eastAsia="Times New Roman" w:hAnsi="Times New Roman" w:cs="Times New Roman"/>
      <w:sz w:val="22"/>
      <w:szCs w:val="20"/>
      <w:lang w:eastAsia="en-GB" w:bidi="ar-SA"/>
    </w:rPr>
  </w:style>
  <w:style w:type="paragraph" w:styleId="ListContinue4">
    <w:name w:val="List Continue 4"/>
    <w:basedOn w:val="Normal"/>
    <w:rsid w:val="00FE46BD"/>
    <w:pPr>
      <w:widowControl/>
      <w:overflowPunct w:val="0"/>
      <w:adjustRightInd w:val="0"/>
      <w:spacing w:after="120" w:line="360" w:lineRule="auto"/>
      <w:ind w:left="1132"/>
      <w:contextualSpacing/>
      <w:jc w:val="both"/>
      <w:textAlignment w:val="baseline"/>
    </w:pPr>
    <w:rPr>
      <w:rFonts w:ascii="Times New Roman" w:eastAsia="Times New Roman" w:hAnsi="Times New Roman" w:cs="Times New Roman"/>
      <w:sz w:val="22"/>
      <w:szCs w:val="20"/>
      <w:lang w:eastAsia="en-GB" w:bidi="ar-SA"/>
    </w:rPr>
  </w:style>
  <w:style w:type="paragraph" w:styleId="ListContinue5">
    <w:name w:val="List Continue 5"/>
    <w:basedOn w:val="Normal"/>
    <w:rsid w:val="00FE46BD"/>
    <w:pPr>
      <w:widowControl/>
      <w:overflowPunct w:val="0"/>
      <w:adjustRightInd w:val="0"/>
      <w:spacing w:after="120" w:line="360" w:lineRule="auto"/>
      <w:ind w:left="1415"/>
      <w:contextualSpacing/>
      <w:jc w:val="both"/>
      <w:textAlignment w:val="baseline"/>
    </w:pPr>
    <w:rPr>
      <w:rFonts w:ascii="Times New Roman" w:eastAsia="Times New Roman" w:hAnsi="Times New Roman" w:cs="Times New Roman"/>
      <w:sz w:val="22"/>
      <w:szCs w:val="20"/>
      <w:lang w:eastAsia="en-GB" w:bidi="ar-SA"/>
    </w:rPr>
  </w:style>
  <w:style w:type="paragraph" w:styleId="ListNumber">
    <w:name w:val="List Number"/>
    <w:basedOn w:val="Normal"/>
    <w:rsid w:val="00FE46BD"/>
    <w:pPr>
      <w:widowControl/>
      <w:numPr>
        <w:numId w:val="27"/>
      </w:numPr>
      <w:overflowPunct w:val="0"/>
      <w:adjustRightInd w:val="0"/>
      <w:spacing w:after="240" w:line="360" w:lineRule="auto"/>
      <w:contextualSpacing/>
      <w:jc w:val="both"/>
      <w:textAlignment w:val="baseline"/>
    </w:pPr>
    <w:rPr>
      <w:rFonts w:ascii="Times New Roman" w:eastAsia="Times New Roman" w:hAnsi="Times New Roman" w:cs="Times New Roman"/>
      <w:sz w:val="22"/>
      <w:szCs w:val="20"/>
      <w:lang w:eastAsia="en-GB" w:bidi="ar-SA"/>
    </w:rPr>
  </w:style>
  <w:style w:type="paragraph" w:styleId="ListNumber2">
    <w:name w:val="List Number 2"/>
    <w:basedOn w:val="Normal"/>
    <w:rsid w:val="00FE46BD"/>
    <w:pPr>
      <w:widowControl/>
      <w:numPr>
        <w:numId w:val="28"/>
      </w:numPr>
      <w:overflowPunct w:val="0"/>
      <w:adjustRightInd w:val="0"/>
      <w:spacing w:after="240" w:line="360" w:lineRule="auto"/>
      <w:contextualSpacing/>
      <w:jc w:val="both"/>
      <w:textAlignment w:val="baseline"/>
    </w:pPr>
    <w:rPr>
      <w:rFonts w:ascii="Times New Roman" w:eastAsia="Times New Roman" w:hAnsi="Times New Roman" w:cs="Times New Roman"/>
      <w:sz w:val="22"/>
      <w:szCs w:val="20"/>
      <w:lang w:eastAsia="en-GB" w:bidi="ar-SA"/>
    </w:rPr>
  </w:style>
  <w:style w:type="paragraph" w:styleId="ListNumber3">
    <w:name w:val="List Number 3"/>
    <w:basedOn w:val="Normal"/>
    <w:rsid w:val="00FE46BD"/>
    <w:pPr>
      <w:widowControl/>
      <w:numPr>
        <w:numId w:val="29"/>
      </w:numPr>
      <w:overflowPunct w:val="0"/>
      <w:adjustRightInd w:val="0"/>
      <w:spacing w:after="240" w:line="360" w:lineRule="auto"/>
      <w:contextualSpacing/>
      <w:jc w:val="both"/>
      <w:textAlignment w:val="baseline"/>
    </w:pPr>
    <w:rPr>
      <w:rFonts w:ascii="Times New Roman" w:eastAsia="Times New Roman" w:hAnsi="Times New Roman" w:cs="Times New Roman"/>
      <w:sz w:val="22"/>
      <w:szCs w:val="20"/>
      <w:lang w:eastAsia="en-GB" w:bidi="ar-SA"/>
    </w:rPr>
  </w:style>
  <w:style w:type="paragraph" w:styleId="ListNumber4">
    <w:name w:val="List Number 4"/>
    <w:basedOn w:val="Normal"/>
    <w:rsid w:val="00FE46BD"/>
    <w:pPr>
      <w:widowControl/>
      <w:numPr>
        <w:numId w:val="30"/>
      </w:numPr>
      <w:overflowPunct w:val="0"/>
      <w:adjustRightInd w:val="0"/>
      <w:spacing w:after="240" w:line="360" w:lineRule="auto"/>
      <w:contextualSpacing/>
      <w:jc w:val="both"/>
      <w:textAlignment w:val="baseline"/>
    </w:pPr>
    <w:rPr>
      <w:rFonts w:ascii="Times New Roman" w:eastAsia="Times New Roman" w:hAnsi="Times New Roman" w:cs="Times New Roman"/>
      <w:sz w:val="22"/>
      <w:szCs w:val="20"/>
      <w:lang w:eastAsia="en-GB" w:bidi="ar-SA"/>
    </w:rPr>
  </w:style>
  <w:style w:type="paragraph" w:styleId="ListNumber5">
    <w:name w:val="List Number 5"/>
    <w:basedOn w:val="Normal"/>
    <w:rsid w:val="00FE46BD"/>
    <w:pPr>
      <w:widowControl/>
      <w:numPr>
        <w:numId w:val="31"/>
      </w:numPr>
      <w:overflowPunct w:val="0"/>
      <w:adjustRightInd w:val="0"/>
      <w:spacing w:after="240" w:line="360" w:lineRule="auto"/>
      <w:contextualSpacing/>
      <w:jc w:val="both"/>
      <w:textAlignment w:val="baseline"/>
    </w:pPr>
    <w:rPr>
      <w:rFonts w:ascii="Times New Roman" w:eastAsia="Times New Roman" w:hAnsi="Times New Roman" w:cs="Times New Roman"/>
      <w:sz w:val="22"/>
      <w:szCs w:val="20"/>
      <w:lang w:eastAsia="en-GB" w:bidi="ar-SA"/>
    </w:rPr>
  </w:style>
  <w:style w:type="paragraph" w:styleId="MacroText">
    <w:name w:val="macro"/>
    <w:link w:val="MacroTextChar"/>
    <w:rsid w:val="00FE46BD"/>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spacing w:after="240" w:line="360" w:lineRule="auto"/>
      <w:jc w:val="both"/>
      <w:textAlignment w:val="baseline"/>
    </w:pPr>
    <w:rPr>
      <w:rFonts w:ascii="Courier New" w:eastAsia="Times New Roman" w:hAnsi="Courier New" w:cs="Courier New"/>
      <w:sz w:val="20"/>
      <w:szCs w:val="20"/>
      <w:lang w:val="en-GB" w:eastAsia="en-GB"/>
    </w:rPr>
  </w:style>
  <w:style w:type="character" w:customStyle="1" w:styleId="MacroTextChar">
    <w:name w:val="Macro Text Char"/>
    <w:basedOn w:val="DefaultParagraphFont"/>
    <w:link w:val="MacroText"/>
    <w:rsid w:val="00FE46BD"/>
    <w:rPr>
      <w:rFonts w:ascii="Courier New" w:eastAsia="Times New Roman" w:hAnsi="Courier New" w:cs="Courier New"/>
      <w:sz w:val="20"/>
      <w:szCs w:val="20"/>
      <w:lang w:val="en-GB" w:eastAsia="en-GB"/>
    </w:rPr>
  </w:style>
  <w:style w:type="paragraph" w:styleId="MessageHeader">
    <w:name w:val="Message Header"/>
    <w:basedOn w:val="Normal"/>
    <w:link w:val="MessageHeaderChar"/>
    <w:rsid w:val="00FE46BD"/>
    <w:pPr>
      <w:widowControl/>
      <w:pBdr>
        <w:top w:val="single" w:sz="6" w:space="1" w:color="auto"/>
        <w:left w:val="single" w:sz="6" w:space="1" w:color="auto"/>
        <w:bottom w:val="single" w:sz="6" w:space="1" w:color="auto"/>
        <w:right w:val="single" w:sz="6" w:space="1" w:color="auto"/>
      </w:pBdr>
      <w:shd w:val="pct20" w:color="auto" w:fill="auto"/>
      <w:overflowPunct w:val="0"/>
      <w:adjustRightInd w:val="0"/>
      <w:spacing w:after="240" w:line="360" w:lineRule="auto"/>
      <w:ind w:left="1134" w:hanging="1134"/>
      <w:jc w:val="both"/>
      <w:textAlignment w:val="baseline"/>
    </w:pPr>
    <w:rPr>
      <w:rFonts w:ascii="Cambria" w:eastAsia="Times New Roman" w:hAnsi="Cambria" w:cs="Times New Roman"/>
      <w:szCs w:val="24"/>
      <w:lang w:eastAsia="en-GB" w:bidi="ar-SA"/>
    </w:rPr>
  </w:style>
  <w:style w:type="character" w:customStyle="1" w:styleId="MessageHeaderChar">
    <w:name w:val="Message Header Char"/>
    <w:basedOn w:val="DefaultParagraphFont"/>
    <w:link w:val="MessageHeader"/>
    <w:rsid w:val="00FE46BD"/>
    <w:rPr>
      <w:rFonts w:ascii="Cambria" w:eastAsia="Times New Roman" w:hAnsi="Cambria" w:cs="Times New Roman"/>
      <w:sz w:val="24"/>
      <w:szCs w:val="24"/>
      <w:shd w:val="pct20" w:color="auto" w:fill="auto"/>
      <w:lang w:val="en-GB" w:eastAsia="en-GB"/>
    </w:rPr>
  </w:style>
  <w:style w:type="paragraph" w:styleId="NoSpacing">
    <w:name w:val="No Spacing"/>
    <w:uiPriority w:val="1"/>
    <w:qFormat/>
    <w:rsid w:val="00FE46BD"/>
    <w:pPr>
      <w:widowControl/>
      <w:overflowPunct w:val="0"/>
      <w:adjustRightInd w:val="0"/>
      <w:jc w:val="both"/>
      <w:textAlignment w:val="baseline"/>
    </w:pPr>
    <w:rPr>
      <w:rFonts w:ascii="Times New Roman" w:eastAsia="Times New Roman" w:hAnsi="Times New Roman" w:cs="Times New Roman"/>
      <w:szCs w:val="20"/>
      <w:lang w:val="en-GB" w:eastAsia="en-GB"/>
    </w:rPr>
  </w:style>
  <w:style w:type="paragraph" w:styleId="NormalIndent">
    <w:name w:val="Normal Indent"/>
    <w:basedOn w:val="Normal"/>
    <w:rsid w:val="00FE46BD"/>
    <w:pPr>
      <w:widowControl/>
      <w:overflowPunct w:val="0"/>
      <w:adjustRightInd w:val="0"/>
      <w:spacing w:after="240" w:line="360" w:lineRule="auto"/>
      <w:ind w:left="720"/>
      <w:jc w:val="both"/>
      <w:textAlignment w:val="baseline"/>
    </w:pPr>
    <w:rPr>
      <w:rFonts w:ascii="Times New Roman" w:eastAsia="Times New Roman" w:hAnsi="Times New Roman" w:cs="Times New Roman"/>
      <w:sz w:val="22"/>
      <w:szCs w:val="20"/>
      <w:lang w:eastAsia="en-GB" w:bidi="ar-SA"/>
    </w:rPr>
  </w:style>
  <w:style w:type="paragraph" w:styleId="NoteHeading">
    <w:name w:val="Note Heading"/>
    <w:basedOn w:val="Normal"/>
    <w:next w:val="Normal"/>
    <w:link w:val="NoteHeadingChar"/>
    <w:rsid w:val="00FE46BD"/>
    <w:pPr>
      <w:widowControl/>
      <w:overflowPunct w:val="0"/>
      <w:adjustRightInd w:val="0"/>
      <w:spacing w:after="240" w:line="360" w:lineRule="auto"/>
      <w:jc w:val="both"/>
      <w:textAlignment w:val="baseline"/>
    </w:pPr>
    <w:rPr>
      <w:rFonts w:ascii="Times New Roman" w:eastAsia="Times New Roman" w:hAnsi="Times New Roman" w:cs="Times New Roman"/>
      <w:sz w:val="22"/>
      <w:szCs w:val="20"/>
      <w:lang w:eastAsia="en-GB" w:bidi="ar-SA"/>
    </w:rPr>
  </w:style>
  <w:style w:type="character" w:customStyle="1" w:styleId="NoteHeadingChar">
    <w:name w:val="Note Heading Char"/>
    <w:basedOn w:val="DefaultParagraphFont"/>
    <w:link w:val="NoteHeading"/>
    <w:rsid w:val="00FE46BD"/>
    <w:rPr>
      <w:rFonts w:ascii="Times New Roman" w:eastAsia="Times New Roman" w:hAnsi="Times New Roman" w:cs="Times New Roman"/>
      <w:szCs w:val="20"/>
      <w:lang w:val="en-GB" w:eastAsia="en-GB"/>
    </w:rPr>
  </w:style>
  <w:style w:type="paragraph" w:styleId="PlainText">
    <w:name w:val="Plain Text"/>
    <w:basedOn w:val="Normal"/>
    <w:link w:val="PlainTextChar"/>
    <w:rsid w:val="00FE46BD"/>
    <w:pPr>
      <w:widowControl/>
      <w:overflowPunct w:val="0"/>
      <w:adjustRightInd w:val="0"/>
      <w:spacing w:after="240" w:line="360" w:lineRule="auto"/>
      <w:jc w:val="both"/>
      <w:textAlignment w:val="baseline"/>
    </w:pPr>
    <w:rPr>
      <w:rFonts w:ascii="Courier New" w:eastAsia="Times New Roman" w:hAnsi="Courier New" w:cs="Courier New"/>
      <w:sz w:val="20"/>
      <w:szCs w:val="20"/>
      <w:lang w:eastAsia="en-GB" w:bidi="ar-SA"/>
    </w:rPr>
  </w:style>
  <w:style w:type="character" w:customStyle="1" w:styleId="PlainTextChar">
    <w:name w:val="Plain Text Char"/>
    <w:basedOn w:val="DefaultParagraphFont"/>
    <w:link w:val="PlainText"/>
    <w:rsid w:val="00FE46BD"/>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FE46BD"/>
    <w:pPr>
      <w:widowControl/>
      <w:overflowPunct w:val="0"/>
      <w:adjustRightInd w:val="0"/>
      <w:spacing w:after="240" w:line="360" w:lineRule="auto"/>
      <w:jc w:val="both"/>
      <w:textAlignment w:val="baseline"/>
    </w:pPr>
    <w:rPr>
      <w:rFonts w:ascii="Times New Roman" w:eastAsia="Times New Roman" w:hAnsi="Times New Roman" w:cs="Times New Roman"/>
      <w:sz w:val="22"/>
      <w:szCs w:val="20"/>
      <w:lang w:eastAsia="en-GB" w:bidi="ar-SA"/>
    </w:rPr>
  </w:style>
  <w:style w:type="character" w:customStyle="1" w:styleId="SalutationChar">
    <w:name w:val="Salutation Char"/>
    <w:basedOn w:val="DefaultParagraphFont"/>
    <w:link w:val="Salutation"/>
    <w:rsid w:val="00FE46BD"/>
    <w:rPr>
      <w:rFonts w:ascii="Times New Roman" w:eastAsia="Times New Roman" w:hAnsi="Times New Roman" w:cs="Times New Roman"/>
      <w:szCs w:val="20"/>
      <w:lang w:val="en-GB" w:eastAsia="en-GB"/>
    </w:rPr>
  </w:style>
  <w:style w:type="paragraph" w:customStyle="1" w:styleId="Normal1">
    <w:name w:val="Normal1"/>
    <w:basedOn w:val="Normal"/>
    <w:rsid w:val="00FE46BD"/>
    <w:pPr>
      <w:widowControl/>
      <w:autoSpaceDE/>
      <w:autoSpaceDN/>
      <w:spacing w:before="100" w:beforeAutospacing="1" w:after="100" w:afterAutospacing="1"/>
    </w:pPr>
    <w:rPr>
      <w:rFonts w:ascii="Times New Roman" w:eastAsia="Times New Roman" w:hAnsi="Times New Roman" w:cs="Times New Roman"/>
      <w:szCs w:val="24"/>
      <w:lang w:eastAsia="en-GB" w:bidi="ar-SA"/>
    </w:rPr>
  </w:style>
  <w:style w:type="character" w:customStyle="1" w:styleId="italic">
    <w:name w:val="italic"/>
    <w:rsid w:val="00FE46BD"/>
  </w:style>
  <w:style w:type="character" w:customStyle="1" w:styleId="bold">
    <w:name w:val="bold"/>
    <w:rsid w:val="00FE46BD"/>
  </w:style>
  <w:style w:type="character" w:customStyle="1" w:styleId="super">
    <w:name w:val="super"/>
    <w:rsid w:val="00FE46BD"/>
  </w:style>
  <w:style w:type="paragraph" w:customStyle="1" w:styleId="letteredbullets">
    <w:name w:val="lettered bullets"/>
    <w:basedOn w:val="Heading2"/>
    <w:qFormat/>
    <w:rsid w:val="00FE46BD"/>
    <w:pPr>
      <w:keepNext w:val="0"/>
      <w:keepLines w:val="0"/>
      <w:widowControl/>
      <w:autoSpaceDE/>
      <w:autoSpaceDN/>
      <w:adjustRightInd w:val="0"/>
      <w:spacing w:before="0" w:after="0" w:line="276" w:lineRule="auto"/>
      <w:ind w:left="401" w:hanging="295"/>
    </w:pPr>
    <w:rPr>
      <w:rFonts w:ascii="Verdana" w:hAnsi="Verdana"/>
      <w:b w:val="0"/>
      <w:color w:val="auto"/>
      <w:sz w:val="18"/>
      <w:szCs w:val="18"/>
    </w:rPr>
  </w:style>
  <w:style w:type="paragraph" w:customStyle="1" w:styleId="tickbulletrightcolumn">
    <w:name w:val="tick bullet right column"/>
    <w:basedOn w:val="Heading2"/>
    <w:qFormat/>
    <w:rsid w:val="00FE46BD"/>
    <w:pPr>
      <w:keepNext w:val="0"/>
      <w:keepLines w:val="0"/>
      <w:widowControl/>
      <w:numPr>
        <w:numId w:val="33"/>
      </w:numPr>
      <w:tabs>
        <w:tab w:val="num" w:pos="360"/>
      </w:tabs>
      <w:overflowPunct w:val="0"/>
      <w:adjustRightInd w:val="0"/>
      <w:spacing w:before="0" w:after="0" w:line="276" w:lineRule="auto"/>
      <w:ind w:left="360" w:hanging="360"/>
      <w:textAlignment w:val="baseline"/>
    </w:pPr>
    <w:rPr>
      <w:rFonts w:ascii="Verdana" w:hAnsi="Verdana"/>
      <w:b w:val="0"/>
      <w:color w:val="auto"/>
      <w:sz w:val="18"/>
      <w:szCs w:val="18"/>
    </w:rPr>
  </w:style>
  <w:style w:type="paragraph" w:customStyle="1" w:styleId="SFPara-Clause">
    <w:name w:val="SF Para - Clause"/>
    <w:qFormat/>
    <w:rsid w:val="00FE46BD"/>
    <w:pPr>
      <w:widowControl/>
      <w:autoSpaceDE/>
      <w:autoSpaceDN/>
      <w:spacing w:before="240" w:after="240"/>
      <w:ind w:firstLine="720"/>
      <w:outlineLvl w:val="0"/>
    </w:pPr>
    <w:rPr>
      <w:rFonts w:ascii="Times New Roman" w:eastAsia="Times New Roman" w:hAnsi="Times New Roman" w:cs="Times New Roman"/>
      <w:color w:val="000000"/>
      <w:sz w:val="24"/>
      <w:szCs w:val="24"/>
      <w:lang w:val="en-GB" w:eastAsia="en-GB"/>
    </w:rPr>
  </w:style>
  <w:style w:type="paragraph" w:customStyle="1" w:styleId="SFParasubclause3">
    <w:name w:val="SF Para subclause 3"/>
    <w:qFormat/>
    <w:rsid w:val="00FE46BD"/>
    <w:pPr>
      <w:widowControl/>
      <w:autoSpaceDE/>
      <w:autoSpaceDN/>
      <w:spacing w:before="120" w:after="240"/>
      <w:ind w:left="2160" w:firstLine="720"/>
      <w:outlineLvl w:val="3"/>
    </w:pPr>
    <w:rPr>
      <w:rFonts w:ascii="Times New Roman" w:eastAsia="Times New Roman" w:hAnsi="Times New Roman" w:cs="Times New Roman"/>
      <w:color w:val="000000"/>
      <w:sz w:val="24"/>
      <w:szCs w:val="24"/>
      <w:lang w:val="en-GB" w:eastAsia="en-GB"/>
    </w:rPr>
  </w:style>
  <w:style w:type="paragraph" w:customStyle="1" w:styleId="MFPara-Clause">
    <w:name w:val="MF Para - Clause"/>
    <w:qFormat/>
    <w:rsid w:val="00FE46BD"/>
    <w:pPr>
      <w:widowControl/>
      <w:numPr>
        <w:numId w:val="35"/>
      </w:numPr>
      <w:autoSpaceDE/>
      <w:autoSpaceDN/>
      <w:spacing w:before="240" w:after="240"/>
      <w:ind w:firstLine="431"/>
      <w:outlineLvl w:val="0"/>
    </w:pPr>
    <w:rPr>
      <w:rFonts w:ascii="Times New Roman" w:eastAsia="Times New Roman" w:hAnsi="Times New Roman" w:cs="Times New Roman"/>
      <w:color w:val="000000"/>
      <w:sz w:val="24"/>
      <w:szCs w:val="24"/>
      <w:lang w:val="en-GB" w:eastAsia="en-GB"/>
    </w:rPr>
  </w:style>
  <w:style w:type="paragraph" w:customStyle="1" w:styleId="MFParasubclause1">
    <w:name w:val="MF Para subclause 1"/>
    <w:rsid w:val="00FE46BD"/>
    <w:pPr>
      <w:widowControl/>
      <w:numPr>
        <w:ilvl w:val="1"/>
        <w:numId w:val="35"/>
      </w:numPr>
      <w:autoSpaceDE/>
      <w:autoSpaceDN/>
      <w:spacing w:before="120" w:after="240"/>
      <w:outlineLvl w:val="1"/>
    </w:pPr>
    <w:rPr>
      <w:rFonts w:ascii="Times New Roman" w:eastAsia="Times New Roman" w:hAnsi="Times New Roman" w:cs="Times New Roman"/>
      <w:color w:val="000000"/>
      <w:sz w:val="24"/>
      <w:szCs w:val="24"/>
      <w:lang w:val="en-GB" w:eastAsia="en-GB"/>
    </w:rPr>
  </w:style>
  <w:style w:type="paragraph" w:customStyle="1" w:styleId="MFParasubclause2">
    <w:name w:val="MF Para subclause 2"/>
    <w:rsid w:val="00FE46BD"/>
    <w:pPr>
      <w:widowControl/>
      <w:numPr>
        <w:ilvl w:val="2"/>
        <w:numId w:val="35"/>
      </w:numPr>
      <w:autoSpaceDE/>
      <w:autoSpaceDN/>
      <w:spacing w:before="120" w:after="240"/>
      <w:outlineLvl w:val="2"/>
    </w:pPr>
    <w:rPr>
      <w:rFonts w:ascii="Times New Roman" w:eastAsia="Times New Roman" w:hAnsi="Times New Roman" w:cs="Times New Roman"/>
      <w:color w:val="000000"/>
      <w:sz w:val="24"/>
      <w:szCs w:val="24"/>
      <w:lang w:val="en-GB" w:eastAsia="en-GB"/>
    </w:rPr>
  </w:style>
  <w:style w:type="paragraph" w:customStyle="1" w:styleId="MFParasubclause3">
    <w:name w:val="MF Para subclause 3"/>
    <w:rsid w:val="00FE46BD"/>
    <w:pPr>
      <w:widowControl/>
      <w:numPr>
        <w:ilvl w:val="3"/>
        <w:numId w:val="35"/>
      </w:numPr>
      <w:autoSpaceDE/>
      <w:autoSpaceDN/>
      <w:spacing w:before="120" w:after="240"/>
      <w:outlineLvl w:val="3"/>
    </w:pPr>
    <w:rPr>
      <w:rFonts w:ascii="Times New Roman" w:eastAsia="Times New Roman" w:hAnsi="Times New Roman" w:cs="Times New Roman"/>
      <w:color w:val="000000"/>
      <w:sz w:val="24"/>
      <w:szCs w:val="24"/>
      <w:lang w:val="en-GB" w:eastAsia="en-GB"/>
    </w:rPr>
  </w:style>
  <w:style w:type="paragraph" w:customStyle="1" w:styleId="MFParasubclause4">
    <w:name w:val="MF Para subclause 4"/>
    <w:rsid w:val="00FE46BD"/>
    <w:pPr>
      <w:widowControl/>
      <w:numPr>
        <w:ilvl w:val="4"/>
        <w:numId w:val="35"/>
      </w:numPr>
      <w:autoSpaceDE/>
      <w:autoSpaceDN/>
      <w:spacing w:before="120" w:after="240"/>
      <w:outlineLvl w:val="4"/>
    </w:pPr>
    <w:rPr>
      <w:rFonts w:ascii="Times New Roman" w:eastAsia="Times New Roman" w:hAnsi="Times New Roman" w:cs="Times New Roman"/>
      <w:color w:val="000000"/>
      <w:sz w:val="24"/>
      <w:szCs w:val="24"/>
      <w:lang w:val="en-GB" w:eastAsia="en-GB"/>
    </w:rPr>
  </w:style>
  <w:style w:type="paragraph" w:customStyle="1" w:styleId="SFPara-Clause-nonum">
    <w:name w:val="SF Para - Clause - no num"/>
    <w:link w:val="SFPara-Clause-nonumChar"/>
    <w:qFormat/>
    <w:rsid w:val="00FE46BD"/>
    <w:pPr>
      <w:widowControl/>
      <w:autoSpaceDE/>
      <w:autoSpaceDN/>
      <w:spacing w:before="240" w:after="240"/>
      <w:ind w:firstLine="1440"/>
      <w:outlineLvl w:val="0"/>
    </w:pPr>
    <w:rPr>
      <w:rFonts w:ascii="Times New Roman" w:eastAsia="Times New Roman" w:hAnsi="Times New Roman" w:cs="Times New Roman"/>
      <w:color w:val="000000"/>
      <w:sz w:val="24"/>
      <w:szCs w:val="24"/>
      <w:lang w:val="en-GB" w:eastAsia="en-GB"/>
    </w:rPr>
  </w:style>
  <w:style w:type="character" w:customStyle="1" w:styleId="SFPara-Clause-nonumChar">
    <w:name w:val="SF Para - Clause - no num Char"/>
    <w:basedOn w:val="DefaultParagraphFont"/>
    <w:link w:val="SFPara-Clause-nonum"/>
    <w:rsid w:val="00FE46BD"/>
    <w:rPr>
      <w:rFonts w:ascii="Times New Roman" w:eastAsia="Times New Roman" w:hAnsi="Times New Roman" w:cs="Times New Roman"/>
      <w:color w:val="000000"/>
      <w:sz w:val="24"/>
      <w:szCs w:val="24"/>
      <w:lang w:val="en-GB" w:eastAsia="en-GB"/>
    </w:rPr>
  </w:style>
  <w:style w:type="paragraph" w:customStyle="1" w:styleId="Paragraph">
    <w:name w:val="Paragraph"/>
    <w:link w:val="ParagraphChar1"/>
    <w:qFormat/>
    <w:rsid w:val="00FE46BD"/>
    <w:pPr>
      <w:widowControl/>
      <w:autoSpaceDE/>
      <w:autoSpaceDN/>
      <w:spacing w:before="120"/>
    </w:pPr>
    <w:rPr>
      <w:rFonts w:ascii="Times New Roman" w:eastAsia="Times New Roman" w:hAnsi="Times New Roman" w:cs="Times New Roman"/>
      <w:color w:val="000000"/>
      <w:sz w:val="24"/>
      <w:szCs w:val="24"/>
      <w:lang w:val="en-GB" w:eastAsia="en-GB"/>
    </w:rPr>
  </w:style>
  <w:style w:type="character" w:customStyle="1" w:styleId="ParagraphChar1">
    <w:name w:val="Paragraph Char1"/>
    <w:basedOn w:val="DefaultParagraphFont"/>
    <w:link w:val="Paragraph"/>
    <w:rsid w:val="00FE46BD"/>
    <w:rPr>
      <w:rFonts w:ascii="Times New Roman" w:eastAsia="Times New Roman" w:hAnsi="Times New Roman" w:cs="Times New Roman"/>
      <w:color w:val="000000"/>
      <w:sz w:val="24"/>
      <w:szCs w:val="24"/>
      <w:lang w:val="en-GB" w:eastAsia="en-GB"/>
    </w:rPr>
  </w:style>
  <w:style w:type="character" w:customStyle="1" w:styleId="oj-bold">
    <w:name w:val="oj-bold"/>
    <w:basedOn w:val="DefaultParagraphFont"/>
    <w:rsid w:val="00FE46BD"/>
    <w:rPr>
      <w:color w:val="000000"/>
    </w:rPr>
  </w:style>
  <w:style w:type="paragraph" w:customStyle="1" w:styleId="11table">
    <w:name w:val="1.1 table"/>
    <w:basedOn w:val="Normal"/>
    <w:qFormat/>
    <w:rsid w:val="00FE46BD"/>
    <w:pPr>
      <w:widowControl/>
      <w:tabs>
        <w:tab w:val="num" w:pos="720"/>
      </w:tabs>
      <w:autoSpaceDE/>
      <w:autoSpaceDN/>
      <w:ind w:left="720" w:hanging="720"/>
    </w:pPr>
    <w:rPr>
      <w:rFonts w:ascii="Calibri" w:eastAsia="STZhongsong" w:hAnsi="Calibri" w:cs="Calibri"/>
      <w:b/>
      <w:sz w:val="22"/>
      <w:lang w:eastAsia="zh-CN" w:bidi="ar-SA"/>
    </w:rPr>
  </w:style>
  <w:style w:type="paragraph" w:customStyle="1" w:styleId="Body1">
    <w:name w:val="Body1"/>
    <w:basedOn w:val="BodyText"/>
    <w:uiPriority w:val="99"/>
    <w:rsid w:val="00FE46BD"/>
    <w:pPr>
      <w:widowControl/>
      <w:autoSpaceDE/>
      <w:autoSpaceDN/>
      <w:spacing w:after="220"/>
      <w:ind w:left="709"/>
      <w:jc w:val="both"/>
    </w:pPr>
    <w:rPr>
      <w:rFonts w:ascii="Trebuchet MS" w:eastAsia="Times New Roman" w:hAnsi="Trebuchet MS" w:cs="Times New Roman"/>
      <w:sz w:val="20"/>
      <w:szCs w:val="20"/>
      <w:lang w:eastAsia="en-GB" w:bidi="ar-SA"/>
    </w:rPr>
  </w:style>
  <w:style w:type="paragraph" w:customStyle="1" w:styleId="Body4">
    <w:name w:val="Body4"/>
    <w:basedOn w:val="Body1"/>
    <w:uiPriority w:val="99"/>
    <w:rsid w:val="00FE46BD"/>
    <w:pPr>
      <w:ind w:left="2132"/>
    </w:pPr>
  </w:style>
  <w:style w:type="character" w:customStyle="1" w:styleId="bodypartyheadchar">
    <w:name w:val="body party head char"/>
    <w:qFormat/>
    <w:rsid w:val="00FE46BD"/>
    <w:rPr>
      <w:rFonts w:ascii="SimSun" w:eastAsia="SimSun" w:hAnsi="SimSun" w:hint="eastAsia"/>
      <w:b/>
      <w:bCs w:val="0"/>
      <w:caps/>
      <w:sz w:val="22"/>
      <w:szCs w:val="22"/>
      <w:lang w:val="en-GB" w:eastAsia="en-GB" w:bidi="ar-SA"/>
    </w:rPr>
  </w:style>
  <w:style w:type="paragraph" w:customStyle="1" w:styleId="aDefinition">
    <w:name w:val="(a) Definition"/>
    <w:basedOn w:val="Body"/>
    <w:qFormat/>
    <w:rsid w:val="00FE46BD"/>
    <w:pPr>
      <w:numPr>
        <w:ilvl w:val="1"/>
      </w:numPr>
      <w:tabs>
        <w:tab w:val="clear" w:pos="1843"/>
        <w:tab w:val="clear" w:pos="3119"/>
        <w:tab w:val="clear" w:pos="4253"/>
      </w:tabs>
    </w:pPr>
    <w:rPr>
      <w:sz w:val="22"/>
    </w:rPr>
  </w:style>
  <w:style w:type="paragraph" w:customStyle="1" w:styleId="iDefinition">
    <w:name w:val="(i) Definition"/>
    <w:basedOn w:val="Body"/>
    <w:qFormat/>
    <w:rsid w:val="00FE46BD"/>
    <w:pPr>
      <w:numPr>
        <w:ilvl w:val="2"/>
      </w:numPr>
      <w:tabs>
        <w:tab w:val="clear" w:pos="1843"/>
        <w:tab w:val="clear" w:pos="3119"/>
        <w:tab w:val="clear" w:pos="4253"/>
      </w:tabs>
    </w:pPr>
    <w:rPr>
      <w:sz w:val="22"/>
    </w:rPr>
  </w:style>
  <w:style w:type="paragraph" w:customStyle="1" w:styleId="Body10">
    <w:name w:val="Body 1"/>
    <w:basedOn w:val="Body"/>
    <w:qFormat/>
    <w:rsid w:val="00FE46BD"/>
    <w:pPr>
      <w:tabs>
        <w:tab w:val="clear" w:pos="1843"/>
        <w:tab w:val="clear" w:pos="3119"/>
        <w:tab w:val="clear" w:pos="4253"/>
      </w:tabs>
    </w:pPr>
    <w:rPr>
      <w:sz w:val="22"/>
    </w:rPr>
  </w:style>
  <w:style w:type="paragraph" w:customStyle="1" w:styleId="Background">
    <w:name w:val="Background"/>
    <w:basedOn w:val="Body10"/>
    <w:rsid w:val="00FE46BD"/>
    <w:pPr>
      <w:tabs>
        <w:tab w:val="num" w:pos="360"/>
        <w:tab w:val="num" w:pos="720"/>
      </w:tabs>
      <w:ind w:left="720" w:hanging="720"/>
    </w:pPr>
  </w:style>
  <w:style w:type="paragraph" w:customStyle="1" w:styleId="Body2">
    <w:name w:val="Body 2"/>
    <w:basedOn w:val="Body10"/>
    <w:qFormat/>
    <w:rsid w:val="00FE46BD"/>
  </w:style>
  <w:style w:type="paragraph" w:customStyle="1" w:styleId="Body3">
    <w:name w:val="Body 3"/>
    <w:basedOn w:val="Body2"/>
    <w:qFormat/>
    <w:rsid w:val="00FE46BD"/>
    <w:pPr>
      <w:ind w:left="1843"/>
    </w:pPr>
  </w:style>
  <w:style w:type="paragraph" w:customStyle="1" w:styleId="Body40">
    <w:name w:val="Body 4"/>
    <w:basedOn w:val="Body3"/>
    <w:qFormat/>
    <w:rsid w:val="00FE46BD"/>
    <w:pPr>
      <w:ind w:left="3119"/>
    </w:pPr>
  </w:style>
  <w:style w:type="paragraph" w:customStyle="1" w:styleId="Body5">
    <w:name w:val="Body 5"/>
    <w:basedOn w:val="Body3"/>
    <w:qFormat/>
    <w:rsid w:val="00FE46BD"/>
    <w:pPr>
      <w:ind w:left="3119"/>
    </w:pPr>
  </w:style>
  <w:style w:type="character" w:customStyle="1" w:styleId="Level1asHeadingtext">
    <w:name w:val="Level 1 as Heading (text)"/>
    <w:basedOn w:val="DefaultParagraphFont"/>
    <w:rsid w:val="00FE46BD"/>
    <w:rPr>
      <w:b/>
    </w:rPr>
  </w:style>
  <w:style w:type="character" w:customStyle="1" w:styleId="Level2asHeadingtext">
    <w:name w:val="Level 2 as Heading (text)"/>
    <w:basedOn w:val="DefaultParagraphFont"/>
    <w:rsid w:val="00FE46BD"/>
    <w:rPr>
      <w:b/>
    </w:rPr>
  </w:style>
  <w:style w:type="character" w:customStyle="1" w:styleId="Level3asHeadingtext">
    <w:name w:val="Level 3 as Heading (text)"/>
    <w:basedOn w:val="DefaultParagraphFont"/>
    <w:rsid w:val="00FE46BD"/>
    <w:rPr>
      <w:b/>
    </w:rPr>
  </w:style>
  <w:style w:type="paragraph" w:customStyle="1" w:styleId="ScheduleTitle">
    <w:name w:val="Schedule Title"/>
    <w:basedOn w:val="Body"/>
    <w:qFormat/>
    <w:rsid w:val="00FE46BD"/>
    <w:pPr>
      <w:keepNext/>
      <w:tabs>
        <w:tab w:val="clear" w:pos="1843"/>
        <w:tab w:val="clear" w:pos="3119"/>
        <w:tab w:val="clear" w:pos="4253"/>
      </w:tabs>
      <w:spacing w:after="480"/>
      <w:jc w:val="center"/>
    </w:pPr>
    <w:rPr>
      <w:b/>
      <w:sz w:val="22"/>
    </w:rPr>
  </w:style>
  <w:style w:type="paragraph" w:customStyle="1" w:styleId="aBankingDefinition">
    <w:name w:val="(a) Banking Definition"/>
    <w:basedOn w:val="Body"/>
    <w:rsid w:val="00FE46BD"/>
    <w:pPr>
      <w:tabs>
        <w:tab w:val="clear" w:pos="1843"/>
        <w:tab w:val="clear" w:pos="3119"/>
        <w:tab w:val="clear" w:pos="4253"/>
        <w:tab w:val="num" w:pos="360"/>
        <w:tab w:val="num" w:pos="720"/>
      </w:tabs>
      <w:ind w:left="720" w:hanging="720"/>
    </w:pPr>
    <w:rPr>
      <w:sz w:val="22"/>
    </w:rPr>
  </w:style>
  <w:style w:type="paragraph" w:customStyle="1" w:styleId="Sideheading">
    <w:name w:val="Sideheading"/>
    <w:basedOn w:val="Body"/>
    <w:qFormat/>
    <w:rsid w:val="00FE46BD"/>
    <w:pPr>
      <w:tabs>
        <w:tab w:val="clear" w:pos="1843"/>
        <w:tab w:val="clear" w:pos="3119"/>
        <w:tab w:val="clear" w:pos="4253"/>
      </w:tabs>
    </w:pPr>
    <w:rPr>
      <w:b/>
      <w:caps/>
      <w:sz w:val="22"/>
    </w:rPr>
  </w:style>
  <w:style w:type="paragraph" w:customStyle="1" w:styleId="iBankingDefinition">
    <w:name w:val="(i) Banking Definition"/>
    <w:basedOn w:val="aBankingDefinition"/>
    <w:rsid w:val="00FE46BD"/>
    <w:pPr>
      <w:numPr>
        <w:ilvl w:val="1"/>
      </w:numPr>
      <w:tabs>
        <w:tab w:val="num" w:pos="360"/>
      </w:tabs>
      <w:ind w:left="720" w:hanging="720"/>
    </w:pPr>
  </w:style>
  <w:style w:type="paragraph" w:customStyle="1" w:styleId="Part">
    <w:name w:val="Part"/>
    <w:basedOn w:val="Normal"/>
    <w:qFormat/>
    <w:rsid w:val="00FE46BD"/>
    <w:pPr>
      <w:widowControl/>
      <w:tabs>
        <w:tab w:val="num" w:pos="720"/>
      </w:tabs>
      <w:autoSpaceDE/>
      <w:autoSpaceDN/>
      <w:spacing w:before="360" w:after="200" w:line="276" w:lineRule="auto"/>
      <w:ind w:left="720" w:hanging="720"/>
    </w:pPr>
    <w:rPr>
      <w:rFonts w:ascii="Georgia" w:eastAsia="Times New Roman" w:hAnsi="Georgia" w:cs="Times New Roman"/>
      <w:color w:val="003768"/>
      <w:sz w:val="32"/>
      <w:szCs w:val="18"/>
      <w:lang w:eastAsia="zh-CN" w:bidi="ar-SA"/>
    </w:rPr>
  </w:style>
  <w:style w:type="paragraph" w:customStyle="1" w:styleId="abcdDefinition">
    <w:name w:val="(a) (b) (c) (d) Definition"/>
    <w:basedOn w:val="aDefinition"/>
    <w:rsid w:val="00FE46BD"/>
    <w:pPr>
      <w:numPr>
        <w:ilvl w:val="0"/>
      </w:numPr>
      <w:tabs>
        <w:tab w:val="num" w:pos="360"/>
        <w:tab w:val="num" w:pos="720"/>
        <w:tab w:val="left" w:pos="851"/>
      </w:tabs>
      <w:ind w:left="720" w:hanging="720"/>
    </w:pPr>
  </w:style>
  <w:style w:type="paragraph" w:customStyle="1" w:styleId="Body6">
    <w:name w:val="Body 6"/>
    <w:basedOn w:val="Body5"/>
    <w:rsid w:val="00FE46BD"/>
    <w:pPr>
      <w:ind w:left="3686"/>
    </w:pPr>
  </w:style>
  <w:style w:type="paragraph" w:customStyle="1" w:styleId="Level7">
    <w:name w:val="Level 7"/>
    <w:basedOn w:val="Body7"/>
    <w:rsid w:val="00FE46BD"/>
    <w:pPr>
      <w:ind w:left="1803" w:hanging="1083"/>
    </w:pPr>
  </w:style>
  <w:style w:type="paragraph" w:customStyle="1" w:styleId="Body7">
    <w:name w:val="Body 7"/>
    <w:basedOn w:val="Body6"/>
    <w:rsid w:val="00FE46BD"/>
    <w:pPr>
      <w:ind w:left="4253"/>
    </w:pPr>
  </w:style>
  <w:style w:type="paragraph" w:customStyle="1" w:styleId="PartBanking">
    <w:name w:val="Part (Banking)"/>
    <w:basedOn w:val="Body"/>
    <w:rsid w:val="00FE46BD"/>
    <w:pPr>
      <w:tabs>
        <w:tab w:val="num" w:pos="360"/>
        <w:tab w:val="num" w:pos="720"/>
      </w:tabs>
      <w:ind w:firstLine="567"/>
      <w:jc w:val="center"/>
    </w:pPr>
    <w:rPr>
      <w:b/>
      <w:sz w:val="22"/>
    </w:rPr>
  </w:style>
  <w:style w:type="paragraph" w:customStyle="1" w:styleId="Section">
    <w:name w:val="Section"/>
    <w:basedOn w:val="Normal"/>
    <w:next w:val="Body"/>
    <w:rsid w:val="00FE46BD"/>
    <w:pPr>
      <w:widowControl/>
      <w:tabs>
        <w:tab w:val="num" w:pos="720"/>
      </w:tabs>
      <w:autoSpaceDE/>
      <w:autoSpaceDN/>
      <w:spacing w:after="200" w:line="480" w:lineRule="auto"/>
      <w:ind w:left="720" w:hanging="720"/>
      <w:jc w:val="center"/>
    </w:pPr>
    <w:rPr>
      <w:rFonts w:ascii="Verdana" w:eastAsia="Times New Roman" w:hAnsi="Verdana" w:cs="Times New Roman"/>
      <w:b/>
      <w:sz w:val="22"/>
      <w:szCs w:val="18"/>
      <w:lang w:eastAsia="zh-CN" w:bidi="ar-SA"/>
    </w:rPr>
  </w:style>
  <w:style w:type="paragraph" w:customStyle="1" w:styleId="Rule5">
    <w:name w:val="Rule 5"/>
    <w:basedOn w:val="Normal"/>
    <w:rsid w:val="00FE46BD"/>
    <w:pPr>
      <w:widowControl/>
      <w:tabs>
        <w:tab w:val="num" w:pos="3600"/>
      </w:tabs>
      <w:autoSpaceDE/>
      <w:autoSpaceDN/>
      <w:spacing w:after="200" w:line="276" w:lineRule="auto"/>
      <w:ind w:left="3600" w:hanging="720"/>
    </w:pPr>
    <w:rPr>
      <w:rFonts w:ascii="Verdana" w:eastAsia="Times New Roman" w:hAnsi="Verdana" w:cs="Times New Roman"/>
      <w:sz w:val="22"/>
      <w:szCs w:val="18"/>
      <w:lang w:eastAsia="zh-CN" w:bidi="ar-SA"/>
    </w:rPr>
  </w:style>
  <w:style w:type="character" w:customStyle="1" w:styleId="hit">
    <w:name w:val="hit"/>
    <w:basedOn w:val="DefaultParagraphFont"/>
    <w:rsid w:val="00FE46BD"/>
  </w:style>
  <w:style w:type="paragraph" w:customStyle="1" w:styleId="NormalNumbered">
    <w:name w:val="Normal Numbered"/>
    <w:basedOn w:val="Normal"/>
    <w:link w:val="NormalNumberedChar"/>
    <w:qFormat/>
    <w:rsid w:val="00FE46BD"/>
    <w:pPr>
      <w:widowControl/>
      <w:tabs>
        <w:tab w:val="num" w:pos="720"/>
      </w:tabs>
      <w:autoSpaceDE/>
      <w:autoSpaceDN/>
      <w:spacing w:after="200" w:line="276" w:lineRule="auto"/>
      <w:ind w:left="454" w:hanging="454"/>
    </w:pPr>
    <w:rPr>
      <w:rFonts w:ascii="Verdana" w:eastAsia="Verdana" w:hAnsi="Verdana" w:cs="Verdana"/>
      <w:color w:val="000000"/>
      <w:sz w:val="22"/>
      <w:lang w:eastAsia="en-GB" w:bidi="ar-SA"/>
    </w:rPr>
  </w:style>
  <w:style w:type="character" w:customStyle="1" w:styleId="NormalNumberedChar">
    <w:name w:val="Normal Numbered Char"/>
    <w:basedOn w:val="DefaultParagraphFont"/>
    <w:link w:val="NormalNumbered"/>
    <w:rsid w:val="00FE46BD"/>
    <w:rPr>
      <w:rFonts w:ascii="Verdana" w:eastAsia="Verdana" w:hAnsi="Verdana" w:cs="Verdana"/>
      <w:color w:val="000000"/>
      <w:lang w:val="en-GB" w:eastAsia="en-GB"/>
    </w:rPr>
  </w:style>
  <w:style w:type="character" w:customStyle="1" w:styleId="gmail-apple-tab-span">
    <w:name w:val="gmail-apple-tab-span"/>
    <w:basedOn w:val="DefaultParagraphFont"/>
    <w:rsid w:val="00FE46BD"/>
  </w:style>
  <w:style w:type="numbering" w:customStyle="1" w:styleId="NoList1">
    <w:name w:val="No List1"/>
    <w:next w:val="NoList"/>
    <w:uiPriority w:val="99"/>
    <w:semiHidden/>
    <w:unhideWhenUsed/>
    <w:rsid w:val="0035018C"/>
  </w:style>
  <w:style w:type="numbering" w:customStyle="1" w:styleId="Level10">
    <w:name w:val="Level1"/>
    <w:uiPriority w:val="99"/>
    <w:rsid w:val="0035018C"/>
  </w:style>
  <w:style w:type="numbering" w:customStyle="1" w:styleId="Scheduletext10">
    <w:name w:val="Schedule text1"/>
    <w:uiPriority w:val="99"/>
    <w:rsid w:val="0035018C"/>
  </w:style>
  <w:style w:type="numbering" w:customStyle="1" w:styleId="Appendix1">
    <w:name w:val="Appendix1"/>
    <w:uiPriority w:val="99"/>
    <w:rsid w:val="0035018C"/>
  </w:style>
  <w:style w:type="numbering" w:customStyle="1" w:styleId="Scheduleheading1">
    <w:name w:val="Schedule heading1"/>
    <w:uiPriority w:val="99"/>
    <w:rsid w:val="0035018C"/>
  </w:style>
  <w:style w:type="numbering" w:customStyle="1" w:styleId="Bullets1">
    <w:name w:val="Bullets1"/>
    <w:uiPriority w:val="99"/>
    <w:rsid w:val="0035018C"/>
  </w:style>
  <w:style w:type="numbering" w:customStyle="1" w:styleId="Definitions1">
    <w:name w:val="Definitions1"/>
    <w:uiPriority w:val="99"/>
    <w:rsid w:val="0035018C"/>
  </w:style>
  <w:style w:type="table" w:customStyle="1" w:styleId="TableGrid20">
    <w:name w:val="Table Grid2"/>
    <w:basedOn w:val="TableNormal"/>
    <w:next w:val="TableGrid"/>
    <w:uiPriority w:val="39"/>
    <w:rsid w:val="0035018C"/>
    <w:pPr>
      <w:widowControl/>
      <w:autoSpaceDE/>
      <w:autoSpaceDN/>
    </w:pPr>
    <w:rPr>
      <w:rFonts w:ascii="Arial" w:eastAsia="Calibri" w:hAnsi="Arial"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
    <w:name w:val="Dark List - Accent 11"/>
    <w:basedOn w:val="TableNormal"/>
    <w:next w:val="DarkList-Accent1"/>
    <w:uiPriority w:val="70"/>
    <w:rsid w:val="0035018C"/>
    <w:pPr>
      <w:widowControl/>
      <w:autoSpaceDE/>
      <w:autoSpaceDN/>
    </w:pPr>
    <w:rPr>
      <w:rFonts w:ascii="Arial" w:eastAsia="Calibri" w:hAnsi="Arial" w:cs="Calibri"/>
      <w:color w:val="FFFFFF"/>
      <w:sz w:val="20"/>
      <w:szCs w:val="20"/>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ghtList-Accent11">
    <w:name w:val="Light List - Accent 11"/>
    <w:basedOn w:val="TableNormal"/>
    <w:next w:val="LightList-Accent1"/>
    <w:uiPriority w:val="61"/>
    <w:rsid w:val="0035018C"/>
    <w:pPr>
      <w:widowControl/>
      <w:autoSpaceDE/>
      <w:autoSpaceDN/>
    </w:pPr>
    <w:rPr>
      <w:rFonts w:ascii="Arial" w:eastAsia="Calibri" w:hAnsi="Arial" w:cs="Calibri"/>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urfulShading1">
    <w:name w:val="Colourful Shading1"/>
    <w:basedOn w:val="TableNormal"/>
    <w:next w:val="ColourfulShading"/>
    <w:uiPriority w:val="71"/>
    <w:rsid w:val="0035018C"/>
    <w:pPr>
      <w:widowControl/>
      <w:autoSpaceDE/>
      <w:autoSpaceDN/>
    </w:pPr>
    <w:rPr>
      <w:rFonts w:ascii="Arial" w:eastAsia="Calibri" w:hAnsi="Arial" w:cs="Calibri"/>
      <w:color w:val="000000"/>
      <w:sz w:val="20"/>
      <w:szCs w:val="2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MediumGrid2-Accent31">
    <w:name w:val="Medium Grid 2 - Accent 31"/>
    <w:basedOn w:val="TableNormal"/>
    <w:next w:val="MediumGrid2-Accent3"/>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1">
    <w:name w:val="Light Shading1"/>
    <w:basedOn w:val="TableNormal"/>
    <w:next w:val="LightShading"/>
    <w:uiPriority w:val="60"/>
    <w:rsid w:val="0035018C"/>
    <w:pPr>
      <w:widowControl/>
      <w:autoSpaceDE/>
      <w:autoSpaceDN/>
    </w:pPr>
    <w:rPr>
      <w:rFonts w:ascii="Arial" w:eastAsia="Calibri" w:hAnsi="Arial" w:cs="Calibri"/>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urfulGridAccent61">
    <w:name w:val="Colourful Grid – Accent 61"/>
    <w:basedOn w:val="TableNormal"/>
    <w:next w:val="ColourfulGridAccent6"/>
    <w:uiPriority w:val="73"/>
    <w:rsid w:val="0035018C"/>
    <w:pPr>
      <w:widowControl/>
      <w:autoSpaceDE/>
      <w:autoSpaceDN/>
    </w:pPr>
    <w:rPr>
      <w:rFonts w:ascii="Arial" w:eastAsia="Calibri" w:hAnsi="Arial" w:cs="Calibri"/>
      <w:color w:val="000000"/>
      <w:sz w:val="20"/>
      <w:szCs w:val="2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21">
    <w:name w:val="Medium Shading 1 - Accent 21"/>
    <w:basedOn w:val="TableNormal"/>
    <w:next w:val="MediumShading1-Accent2"/>
    <w:uiPriority w:val="63"/>
    <w:rsid w:val="0035018C"/>
    <w:pPr>
      <w:widowControl/>
      <w:autoSpaceDE/>
      <w:autoSpaceDN/>
    </w:pPr>
    <w:rPr>
      <w:rFonts w:ascii="Arial" w:eastAsia="Calibri" w:hAnsi="Arial" w:cs="Calibri"/>
      <w:sz w:val="20"/>
      <w:szCs w:val="20"/>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35018C"/>
    <w:pPr>
      <w:widowControl/>
      <w:autoSpaceDE/>
      <w:autoSpaceDN/>
    </w:pPr>
    <w:rPr>
      <w:rFonts w:ascii="Arial" w:eastAsia="Calibri" w:hAnsi="Arial" w:cs="Calibri"/>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35018C"/>
    <w:pPr>
      <w:widowControl/>
      <w:autoSpaceDE/>
      <w:autoSpaceDN/>
    </w:pPr>
    <w:rPr>
      <w:rFonts w:ascii="Arial" w:eastAsia="Calibri" w:hAnsi="Arial" w:cs="Calibri"/>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Appendixheading1">
    <w:name w:val="Appendix heading1"/>
    <w:uiPriority w:val="99"/>
    <w:rsid w:val="0035018C"/>
  </w:style>
  <w:style w:type="numbering" w:customStyle="1" w:styleId="1111111">
    <w:name w:val="1 / 1.1 / 1.1.11"/>
    <w:basedOn w:val="NoList"/>
    <w:next w:val="111111"/>
    <w:rsid w:val="0035018C"/>
  </w:style>
  <w:style w:type="table" w:customStyle="1" w:styleId="ColourfulGrid1">
    <w:name w:val="Colourful Grid1"/>
    <w:basedOn w:val="TableNormal"/>
    <w:next w:val="ColourfulGrid"/>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urfulGridAccent11">
    <w:name w:val="Colourful Grid – Accent 11"/>
    <w:basedOn w:val="TableNormal"/>
    <w:next w:val="ColourfulGridAccent1"/>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urfulGridAccent21">
    <w:name w:val="Colourful Grid – Accent 21"/>
    <w:basedOn w:val="TableNormal"/>
    <w:next w:val="ColourfulGridAccent2"/>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urfulGridAccent31">
    <w:name w:val="Colourful Grid – Accent 31"/>
    <w:basedOn w:val="TableNormal"/>
    <w:next w:val="ColourfulGridAccent3"/>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urfulGridAccent41">
    <w:name w:val="Colourful Grid – Accent 41"/>
    <w:basedOn w:val="TableNormal"/>
    <w:next w:val="ColourfulGridAccent4"/>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urfulGridAccent51">
    <w:name w:val="Colourful Grid – Accent 51"/>
    <w:basedOn w:val="TableNormal"/>
    <w:next w:val="ColourfulGridAccent5"/>
    <w:uiPriority w:val="73"/>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urfulList1">
    <w:name w:val="Colourful List1"/>
    <w:basedOn w:val="TableNormal"/>
    <w:next w:val="ColourfulList"/>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urfulListAccent11">
    <w:name w:val="Colourful List – Accent 11"/>
    <w:basedOn w:val="TableNormal"/>
    <w:next w:val="ColourfulListAccent1"/>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urfulListAccent21">
    <w:name w:val="Colourful List – Accent 21"/>
    <w:basedOn w:val="TableNormal"/>
    <w:next w:val="ColourfulListAccent2"/>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urfulListAccent31">
    <w:name w:val="Colourful List – Accent 31"/>
    <w:basedOn w:val="TableNormal"/>
    <w:next w:val="ColourfulListAccent3"/>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urfulListAccent41">
    <w:name w:val="Colourful List – Accent 41"/>
    <w:basedOn w:val="TableNormal"/>
    <w:next w:val="ColourfulListAccent4"/>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urfulListAccent51">
    <w:name w:val="Colourful List – Accent 51"/>
    <w:basedOn w:val="TableNormal"/>
    <w:next w:val="ColourfulListAccent5"/>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urfulListAccent61">
    <w:name w:val="Colourful List – Accent 61"/>
    <w:basedOn w:val="TableNormal"/>
    <w:next w:val="ColourfulListAccent6"/>
    <w:uiPriority w:val="72"/>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urfulShadingAccent11">
    <w:name w:val="Colourful Shading – Accent 11"/>
    <w:basedOn w:val="TableNormal"/>
    <w:next w:val="ColourfulShadingAccent1"/>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urfulShadingAccent21">
    <w:name w:val="Colourful Shading – Accent 21"/>
    <w:basedOn w:val="TableNormal"/>
    <w:next w:val="ColourfulShadingAccent2"/>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urfulShadingAccent31">
    <w:name w:val="Colourful Shading – Accent 31"/>
    <w:basedOn w:val="TableNormal"/>
    <w:next w:val="ColourfulShadingAccent3"/>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urfulShadingAccent41">
    <w:name w:val="Colourful Shading – Accent 41"/>
    <w:basedOn w:val="TableNormal"/>
    <w:next w:val="ColourfulShadingAccent4"/>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urfulShadingAccent51">
    <w:name w:val="Colourful Shading – Accent 51"/>
    <w:basedOn w:val="TableNormal"/>
    <w:next w:val="ColourfulShadingAccent5"/>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urfulShadingAccent61">
    <w:name w:val="Colourful Shading – Accent 61"/>
    <w:basedOn w:val="TableNormal"/>
    <w:next w:val="ColourfulShadingAccent6"/>
    <w:uiPriority w:val="71"/>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21">
    <w:name w:val="Dark List - Accent 21"/>
    <w:basedOn w:val="TableNormal"/>
    <w:next w:val="DarkList-Accent2"/>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35018C"/>
    <w:pPr>
      <w:widowControl/>
      <w:autoSpaceDE/>
      <w:autoSpaceDN/>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1">
    <w:name w:val="Light List1"/>
    <w:basedOn w:val="TableNormal"/>
    <w:next w:val="LightList"/>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
    <w:name w:val="Light Shading - Accent 11"/>
    <w:basedOn w:val="TableNormal"/>
    <w:next w:val="LightShading-Accent1"/>
    <w:uiPriority w:val="60"/>
    <w:rsid w:val="0035018C"/>
    <w:pPr>
      <w:widowControl/>
      <w:autoSpaceDE/>
      <w:autoSpaceDN/>
    </w:pPr>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5018C"/>
    <w:pPr>
      <w:widowControl/>
      <w:autoSpaceDE/>
      <w:autoSpaceDN/>
    </w:pPr>
    <w:rPr>
      <w:rFonts w:ascii="Times New Roman" w:eastAsia="Times New Roman" w:hAnsi="Times New Roman"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5018C"/>
    <w:pPr>
      <w:widowControl/>
      <w:autoSpaceDE/>
      <w:autoSpaceDN/>
    </w:pPr>
    <w:rPr>
      <w:rFonts w:ascii="Times New Roman" w:eastAsia="Times New Roman" w:hAnsi="Times New Roman"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5018C"/>
    <w:pPr>
      <w:widowControl/>
      <w:autoSpaceDE/>
      <w:autoSpaceDN/>
    </w:pPr>
    <w:rPr>
      <w:rFonts w:ascii="Times New Roman" w:eastAsia="Times New Roman" w:hAnsi="Times New Roman" w:cs="Times New Roman"/>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5018C"/>
    <w:pPr>
      <w:widowControl/>
      <w:autoSpaceDE/>
      <w:autoSpaceDN/>
    </w:pPr>
    <w:rPr>
      <w:rFonts w:ascii="Times New Roman" w:eastAsia="Times New Roman" w:hAnsi="Times New Roman" w:cs="Times New Roman"/>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5018C"/>
    <w:pPr>
      <w:widowControl/>
      <w:autoSpaceDE/>
      <w:autoSpaceDN/>
    </w:pPr>
    <w:rPr>
      <w:rFonts w:ascii="Times New Roman" w:eastAsia="Times New Roman" w:hAnsi="Times New Roman" w:cs="Times New Roman"/>
      <w:color w:val="E36C0A"/>
      <w:sz w:val="20"/>
      <w:szCs w:val="20"/>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31">
    <w:name w:val="Medium Grid 31"/>
    <w:basedOn w:val="TableNormal"/>
    <w:next w:val="MediumGrid3"/>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35018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35018C"/>
    <w:pPr>
      <w:widowControl/>
      <w:autoSpaceDE/>
      <w:autoSpaceDN/>
    </w:pPr>
    <w:rPr>
      <w:rFonts w:ascii="Cambria" w:eastAsia="Times New Roman" w:hAnsi="Cambria" w:cs="Times New Roman"/>
      <w:color w:val="000000"/>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5018C"/>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5018C"/>
    <w:pPr>
      <w:widowControl/>
      <w:overflowPunct w:val="0"/>
      <w:adjustRightInd w:val="0"/>
      <w:spacing w:after="240" w:line="360" w:lineRule="auto"/>
      <w:jc w:val="both"/>
      <w:textAlignment w:val="baseline"/>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urful11">
    <w:name w:val="Table Colourful 11"/>
    <w:basedOn w:val="TableNormal"/>
    <w:next w:val="TableColourful1"/>
    <w:rsid w:val="0035018C"/>
    <w:pPr>
      <w:widowControl/>
      <w:overflowPunct w:val="0"/>
      <w:adjustRightInd w:val="0"/>
      <w:spacing w:after="240" w:line="360" w:lineRule="auto"/>
      <w:jc w:val="both"/>
      <w:textAlignment w:val="baseline"/>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urful21">
    <w:name w:val="Table Colourful 21"/>
    <w:basedOn w:val="TableNormal"/>
    <w:next w:val="TableColourful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urful31">
    <w:name w:val="Table Colourful 31"/>
    <w:basedOn w:val="TableNormal"/>
    <w:next w:val="TableColourful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5018C"/>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5018C"/>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5018C"/>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61">
    <w:name w:val="Table Grid 61"/>
    <w:basedOn w:val="TableNormal"/>
    <w:next w:val="TableGrid6"/>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71">
    <w:name w:val="Table Grid 71"/>
    <w:basedOn w:val="TableNormal"/>
    <w:next w:val="TableGrid7"/>
    <w:rsid w:val="0035018C"/>
    <w:pPr>
      <w:widowControl/>
      <w:overflowPunct w:val="0"/>
      <w:adjustRightInd w:val="0"/>
      <w:spacing w:after="240" w:line="360" w:lineRule="auto"/>
      <w:jc w:val="both"/>
      <w:textAlignment w:val="baseline"/>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81">
    <w:name w:val="Table Grid 81"/>
    <w:basedOn w:val="TableNormal"/>
    <w:next w:val="TableGrid8"/>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5018C"/>
    <w:pPr>
      <w:widowControl/>
      <w:overflowPunct w:val="0"/>
      <w:adjustRightInd w:val="0"/>
      <w:spacing w:after="240" w:line="360" w:lineRule="auto"/>
      <w:jc w:val="both"/>
      <w:textAlignment w:val="baseline"/>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MainNumbering1">
    <w:name w:val="Main Numbering1"/>
    <w:uiPriority w:val="99"/>
    <w:rsid w:val="0035018C"/>
  </w:style>
  <w:style w:type="character" w:styleId="UnresolvedMention">
    <w:name w:val="Unresolved Mention"/>
    <w:basedOn w:val="DefaultParagraphFont"/>
    <w:uiPriority w:val="99"/>
    <w:semiHidden/>
    <w:unhideWhenUsed/>
    <w:rsid w:val="00FC77B4"/>
    <w:rPr>
      <w:color w:val="605E5C"/>
      <w:shd w:val="clear" w:color="auto" w:fill="E1DFDD"/>
    </w:rPr>
  </w:style>
  <w:style w:type="numbering" w:customStyle="1" w:styleId="CurrentList11">
    <w:name w:val="Current List11"/>
    <w:uiPriority w:val="99"/>
    <w:rsid w:val="007B75C0"/>
    <w:pPr>
      <w:numPr>
        <w:numId w:val="123"/>
      </w:numPr>
    </w:pPr>
  </w:style>
  <w:style w:type="numbering" w:customStyle="1" w:styleId="CurrentList12">
    <w:name w:val="Current List12"/>
    <w:uiPriority w:val="99"/>
    <w:rsid w:val="007B75C0"/>
    <w:pPr>
      <w:numPr>
        <w:numId w:val="124"/>
      </w:numPr>
    </w:pPr>
  </w:style>
  <w:style w:type="numbering" w:customStyle="1" w:styleId="CurrentList13">
    <w:name w:val="Current List13"/>
    <w:uiPriority w:val="99"/>
    <w:rsid w:val="00A64142"/>
    <w:pPr>
      <w:numPr>
        <w:numId w:val="125"/>
      </w:numPr>
    </w:pPr>
  </w:style>
  <w:style w:type="numbering" w:customStyle="1" w:styleId="CurrentList14">
    <w:name w:val="Current List14"/>
    <w:uiPriority w:val="99"/>
    <w:rsid w:val="00A64142"/>
    <w:pPr>
      <w:numPr>
        <w:numId w:val="126"/>
      </w:numPr>
    </w:pPr>
  </w:style>
  <w:style w:type="numbering" w:customStyle="1" w:styleId="CurrentList15">
    <w:name w:val="Current List15"/>
    <w:uiPriority w:val="99"/>
    <w:rsid w:val="00A64142"/>
    <w:pPr>
      <w:numPr>
        <w:numId w:val="127"/>
      </w:numPr>
    </w:pPr>
  </w:style>
  <w:style w:type="numbering" w:customStyle="1" w:styleId="CurrentList16">
    <w:name w:val="Current List16"/>
    <w:uiPriority w:val="99"/>
    <w:rsid w:val="00A64142"/>
    <w:pPr>
      <w:numPr>
        <w:numId w:val="128"/>
      </w:numPr>
    </w:pPr>
  </w:style>
  <w:style w:type="numbering" w:customStyle="1" w:styleId="CurrentList17">
    <w:name w:val="Current List17"/>
    <w:uiPriority w:val="99"/>
    <w:rsid w:val="00A64142"/>
    <w:pPr>
      <w:numPr>
        <w:numId w:val="129"/>
      </w:numPr>
    </w:pPr>
  </w:style>
  <w:style w:type="numbering" w:customStyle="1" w:styleId="CurrentList18">
    <w:name w:val="Current List18"/>
    <w:uiPriority w:val="99"/>
    <w:rsid w:val="00A64142"/>
    <w:pPr>
      <w:numPr>
        <w:numId w:val="130"/>
      </w:numPr>
    </w:pPr>
  </w:style>
  <w:style w:type="numbering" w:customStyle="1" w:styleId="CurrentList19">
    <w:name w:val="Current List19"/>
    <w:uiPriority w:val="99"/>
    <w:rsid w:val="00A64142"/>
    <w:pPr>
      <w:numPr>
        <w:numId w:val="131"/>
      </w:numPr>
    </w:pPr>
  </w:style>
  <w:style w:type="numbering" w:customStyle="1" w:styleId="CurrentList20">
    <w:name w:val="Current List20"/>
    <w:uiPriority w:val="99"/>
    <w:rsid w:val="00A64142"/>
    <w:pPr>
      <w:numPr>
        <w:numId w:val="132"/>
      </w:numPr>
    </w:pPr>
  </w:style>
  <w:style w:type="numbering" w:customStyle="1" w:styleId="CurrentList21">
    <w:name w:val="Current List21"/>
    <w:uiPriority w:val="99"/>
    <w:rsid w:val="003A5D4B"/>
    <w:pPr>
      <w:numPr>
        <w:numId w:val="134"/>
      </w:numPr>
    </w:pPr>
  </w:style>
  <w:style w:type="numbering" w:customStyle="1" w:styleId="CurrentList22">
    <w:name w:val="Current List22"/>
    <w:uiPriority w:val="99"/>
    <w:rsid w:val="003A5D4B"/>
    <w:pPr>
      <w:numPr>
        <w:numId w:val="135"/>
      </w:numPr>
    </w:pPr>
  </w:style>
  <w:style w:type="numbering" w:customStyle="1" w:styleId="CurrentList23">
    <w:name w:val="Current List23"/>
    <w:uiPriority w:val="99"/>
    <w:rsid w:val="003A5D4B"/>
    <w:pPr>
      <w:numPr>
        <w:numId w:val="136"/>
      </w:numPr>
    </w:pPr>
  </w:style>
  <w:style w:type="numbering" w:customStyle="1" w:styleId="CurrentList24">
    <w:name w:val="Current List24"/>
    <w:uiPriority w:val="99"/>
    <w:rsid w:val="003A5D4B"/>
    <w:pPr>
      <w:numPr>
        <w:numId w:val="137"/>
      </w:numPr>
    </w:pPr>
  </w:style>
  <w:style w:type="numbering" w:customStyle="1" w:styleId="CurrentList25">
    <w:name w:val="Current List25"/>
    <w:uiPriority w:val="99"/>
    <w:rsid w:val="003A5D4B"/>
    <w:pPr>
      <w:numPr>
        <w:numId w:val="138"/>
      </w:numPr>
    </w:pPr>
  </w:style>
  <w:style w:type="numbering" w:customStyle="1" w:styleId="CurrentList26">
    <w:name w:val="Current List26"/>
    <w:uiPriority w:val="99"/>
    <w:rsid w:val="00845F35"/>
    <w:pPr>
      <w:numPr>
        <w:numId w:val="142"/>
      </w:numPr>
    </w:pPr>
  </w:style>
  <w:style w:type="numbering" w:customStyle="1" w:styleId="CurrentList27">
    <w:name w:val="Current List27"/>
    <w:uiPriority w:val="99"/>
    <w:rsid w:val="00381D62"/>
    <w:pPr>
      <w:numPr>
        <w:numId w:val="148"/>
      </w:numPr>
    </w:pPr>
  </w:style>
  <w:style w:type="numbering" w:customStyle="1" w:styleId="CurrentList28">
    <w:name w:val="Current List28"/>
    <w:uiPriority w:val="99"/>
    <w:rsid w:val="001F3D29"/>
    <w:pPr>
      <w:numPr>
        <w:numId w:val="150"/>
      </w:numPr>
    </w:pPr>
  </w:style>
  <w:style w:type="paragraph" w:customStyle="1" w:styleId="Numbered111aiA1">
    <w:name w:val="Numbered 1.1.1(a)(i)(A)(1)"/>
    <w:uiPriority w:val="99"/>
    <w:rsid w:val="00E60EAE"/>
    <w:pPr>
      <w:widowControl/>
      <w:tabs>
        <w:tab w:val="num" w:pos="4683"/>
      </w:tabs>
      <w:autoSpaceDE/>
      <w:autoSpaceDN/>
      <w:ind w:left="4683" w:hanging="720"/>
    </w:pPr>
    <w:rPr>
      <w:rFonts w:eastAsia="Arial" w:cstheme="minorHAnsi"/>
      <w:sz w:val="24"/>
      <w:szCs w:val="24"/>
      <w:lang w:val="en-GB" w:bidi="en-US"/>
    </w:rPr>
  </w:style>
  <w:style w:type="numbering" w:customStyle="1" w:styleId="CurrentList29">
    <w:name w:val="Current List29"/>
    <w:uiPriority w:val="99"/>
    <w:rsid w:val="00C70900"/>
    <w:pPr>
      <w:numPr>
        <w:numId w:val="182"/>
      </w:numPr>
    </w:pPr>
  </w:style>
  <w:style w:type="numbering" w:customStyle="1" w:styleId="CurrentList30">
    <w:name w:val="Current List30"/>
    <w:uiPriority w:val="99"/>
    <w:rsid w:val="009A3079"/>
    <w:pPr>
      <w:numPr>
        <w:numId w:val="186"/>
      </w:numPr>
    </w:pPr>
  </w:style>
  <w:style w:type="paragraph" w:customStyle="1" w:styleId="Executionclause">
    <w:name w:val="Execution clause"/>
    <w:basedOn w:val="BodyText"/>
    <w:qFormat/>
    <w:rsid w:val="003C25EE"/>
    <w:pPr>
      <w:widowControl/>
      <w:overflowPunct w:val="0"/>
      <w:adjustRightInd w:val="0"/>
      <w:textAlignment w:val="baseline"/>
    </w:pPr>
    <w:rPr>
      <w:rFonts w:ascii="Times New Roman" w:eastAsia="Times New Roman" w:hAnsi="Times New Roman" w:cs="Times New Roman"/>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9132">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
    <w:div w:id="345601183">
      <w:bodyDiv w:val="1"/>
      <w:marLeft w:val="0"/>
      <w:marRight w:val="0"/>
      <w:marTop w:val="0"/>
      <w:marBottom w:val="0"/>
      <w:divBdr>
        <w:top w:val="none" w:sz="0" w:space="0" w:color="auto"/>
        <w:left w:val="none" w:sz="0" w:space="0" w:color="auto"/>
        <w:bottom w:val="none" w:sz="0" w:space="0" w:color="auto"/>
        <w:right w:val="none" w:sz="0" w:space="0" w:color="auto"/>
      </w:divBdr>
    </w:div>
    <w:div w:id="444353290">
      <w:bodyDiv w:val="1"/>
      <w:marLeft w:val="0"/>
      <w:marRight w:val="0"/>
      <w:marTop w:val="0"/>
      <w:marBottom w:val="0"/>
      <w:divBdr>
        <w:top w:val="none" w:sz="0" w:space="0" w:color="auto"/>
        <w:left w:val="none" w:sz="0" w:space="0" w:color="auto"/>
        <w:bottom w:val="none" w:sz="0" w:space="0" w:color="auto"/>
        <w:right w:val="none" w:sz="0" w:space="0" w:color="auto"/>
      </w:divBdr>
    </w:div>
    <w:div w:id="506136640">
      <w:bodyDiv w:val="1"/>
      <w:marLeft w:val="0"/>
      <w:marRight w:val="0"/>
      <w:marTop w:val="0"/>
      <w:marBottom w:val="0"/>
      <w:divBdr>
        <w:top w:val="none" w:sz="0" w:space="0" w:color="auto"/>
        <w:left w:val="none" w:sz="0" w:space="0" w:color="auto"/>
        <w:bottom w:val="none" w:sz="0" w:space="0" w:color="auto"/>
        <w:right w:val="none" w:sz="0" w:space="0" w:color="auto"/>
      </w:divBdr>
    </w:div>
    <w:div w:id="577253178">
      <w:bodyDiv w:val="1"/>
      <w:marLeft w:val="0"/>
      <w:marRight w:val="0"/>
      <w:marTop w:val="0"/>
      <w:marBottom w:val="0"/>
      <w:divBdr>
        <w:top w:val="none" w:sz="0" w:space="0" w:color="auto"/>
        <w:left w:val="none" w:sz="0" w:space="0" w:color="auto"/>
        <w:bottom w:val="none" w:sz="0" w:space="0" w:color="auto"/>
        <w:right w:val="none" w:sz="0" w:space="0" w:color="auto"/>
      </w:divBdr>
    </w:div>
    <w:div w:id="589198687">
      <w:bodyDiv w:val="1"/>
      <w:marLeft w:val="0"/>
      <w:marRight w:val="0"/>
      <w:marTop w:val="0"/>
      <w:marBottom w:val="0"/>
      <w:divBdr>
        <w:top w:val="none" w:sz="0" w:space="0" w:color="auto"/>
        <w:left w:val="none" w:sz="0" w:space="0" w:color="auto"/>
        <w:bottom w:val="none" w:sz="0" w:space="0" w:color="auto"/>
        <w:right w:val="none" w:sz="0" w:space="0" w:color="auto"/>
      </w:divBdr>
    </w:div>
    <w:div w:id="592277925">
      <w:bodyDiv w:val="1"/>
      <w:marLeft w:val="0"/>
      <w:marRight w:val="0"/>
      <w:marTop w:val="0"/>
      <w:marBottom w:val="0"/>
      <w:divBdr>
        <w:top w:val="none" w:sz="0" w:space="0" w:color="auto"/>
        <w:left w:val="none" w:sz="0" w:space="0" w:color="auto"/>
        <w:bottom w:val="none" w:sz="0" w:space="0" w:color="auto"/>
        <w:right w:val="none" w:sz="0" w:space="0" w:color="auto"/>
      </w:divBdr>
    </w:div>
    <w:div w:id="625507078">
      <w:bodyDiv w:val="1"/>
      <w:marLeft w:val="0"/>
      <w:marRight w:val="0"/>
      <w:marTop w:val="0"/>
      <w:marBottom w:val="0"/>
      <w:divBdr>
        <w:top w:val="none" w:sz="0" w:space="0" w:color="auto"/>
        <w:left w:val="none" w:sz="0" w:space="0" w:color="auto"/>
        <w:bottom w:val="none" w:sz="0" w:space="0" w:color="auto"/>
        <w:right w:val="none" w:sz="0" w:space="0" w:color="auto"/>
      </w:divBdr>
    </w:div>
    <w:div w:id="664430470">
      <w:bodyDiv w:val="1"/>
      <w:marLeft w:val="0"/>
      <w:marRight w:val="0"/>
      <w:marTop w:val="0"/>
      <w:marBottom w:val="0"/>
      <w:divBdr>
        <w:top w:val="none" w:sz="0" w:space="0" w:color="auto"/>
        <w:left w:val="none" w:sz="0" w:space="0" w:color="auto"/>
        <w:bottom w:val="none" w:sz="0" w:space="0" w:color="auto"/>
        <w:right w:val="none" w:sz="0" w:space="0" w:color="auto"/>
      </w:divBdr>
    </w:div>
    <w:div w:id="718021175">
      <w:bodyDiv w:val="1"/>
      <w:marLeft w:val="0"/>
      <w:marRight w:val="0"/>
      <w:marTop w:val="0"/>
      <w:marBottom w:val="0"/>
      <w:divBdr>
        <w:top w:val="none" w:sz="0" w:space="0" w:color="auto"/>
        <w:left w:val="none" w:sz="0" w:space="0" w:color="auto"/>
        <w:bottom w:val="none" w:sz="0" w:space="0" w:color="auto"/>
        <w:right w:val="none" w:sz="0" w:space="0" w:color="auto"/>
      </w:divBdr>
    </w:div>
    <w:div w:id="791946460">
      <w:bodyDiv w:val="1"/>
      <w:marLeft w:val="0"/>
      <w:marRight w:val="0"/>
      <w:marTop w:val="0"/>
      <w:marBottom w:val="0"/>
      <w:divBdr>
        <w:top w:val="none" w:sz="0" w:space="0" w:color="auto"/>
        <w:left w:val="none" w:sz="0" w:space="0" w:color="auto"/>
        <w:bottom w:val="none" w:sz="0" w:space="0" w:color="auto"/>
        <w:right w:val="none" w:sz="0" w:space="0" w:color="auto"/>
      </w:divBdr>
    </w:div>
    <w:div w:id="874345343">
      <w:bodyDiv w:val="1"/>
      <w:marLeft w:val="0"/>
      <w:marRight w:val="0"/>
      <w:marTop w:val="0"/>
      <w:marBottom w:val="0"/>
      <w:divBdr>
        <w:top w:val="none" w:sz="0" w:space="0" w:color="auto"/>
        <w:left w:val="none" w:sz="0" w:space="0" w:color="auto"/>
        <w:bottom w:val="none" w:sz="0" w:space="0" w:color="auto"/>
        <w:right w:val="none" w:sz="0" w:space="0" w:color="auto"/>
      </w:divBdr>
    </w:div>
    <w:div w:id="1090782699">
      <w:bodyDiv w:val="1"/>
      <w:marLeft w:val="0"/>
      <w:marRight w:val="0"/>
      <w:marTop w:val="0"/>
      <w:marBottom w:val="0"/>
      <w:divBdr>
        <w:top w:val="none" w:sz="0" w:space="0" w:color="auto"/>
        <w:left w:val="none" w:sz="0" w:space="0" w:color="auto"/>
        <w:bottom w:val="none" w:sz="0" w:space="0" w:color="auto"/>
        <w:right w:val="none" w:sz="0" w:space="0" w:color="auto"/>
      </w:divBdr>
    </w:div>
    <w:div w:id="1165631870">
      <w:bodyDiv w:val="1"/>
      <w:marLeft w:val="0"/>
      <w:marRight w:val="0"/>
      <w:marTop w:val="0"/>
      <w:marBottom w:val="0"/>
      <w:divBdr>
        <w:top w:val="none" w:sz="0" w:space="0" w:color="auto"/>
        <w:left w:val="none" w:sz="0" w:space="0" w:color="auto"/>
        <w:bottom w:val="none" w:sz="0" w:space="0" w:color="auto"/>
        <w:right w:val="none" w:sz="0" w:space="0" w:color="auto"/>
      </w:divBdr>
    </w:div>
    <w:div w:id="1169903585">
      <w:bodyDiv w:val="1"/>
      <w:marLeft w:val="0"/>
      <w:marRight w:val="0"/>
      <w:marTop w:val="0"/>
      <w:marBottom w:val="0"/>
      <w:divBdr>
        <w:top w:val="none" w:sz="0" w:space="0" w:color="auto"/>
        <w:left w:val="none" w:sz="0" w:space="0" w:color="auto"/>
        <w:bottom w:val="none" w:sz="0" w:space="0" w:color="auto"/>
        <w:right w:val="none" w:sz="0" w:space="0" w:color="auto"/>
      </w:divBdr>
    </w:div>
    <w:div w:id="1205483521">
      <w:bodyDiv w:val="1"/>
      <w:marLeft w:val="0"/>
      <w:marRight w:val="0"/>
      <w:marTop w:val="0"/>
      <w:marBottom w:val="0"/>
      <w:divBdr>
        <w:top w:val="none" w:sz="0" w:space="0" w:color="auto"/>
        <w:left w:val="none" w:sz="0" w:space="0" w:color="auto"/>
        <w:bottom w:val="none" w:sz="0" w:space="0" w:color="auto"/>
        <w:right w:val="none" w:sz="0" w:space="0" w:color="auto"/>
      </w:divBdr>
    </w:div>
    <w:div w:id="1317805444">
      <w:bodyDiv w:val="1"/>
      <w:marLeft w:val="0"/>
      <w:marRight w:val="0"/>
      <w:marTop w:val="0"/>
      <w:marBottom w:val="0"/>
      <w:divBdr>
        <w:top w:val="none" w:sz="0" w:space="0" w:color="auto"/>
        <w:left w:val="none" w:sz="0" w:space="0" w:color="auto"/>
        <w:bottom w:val="none" w:sz="0" w:space="0" w:color="auto"/>
        <w:right w:val="none" w:sz="0" w:space="0" w:color="auto"/>
      </w:divBdr>
    </w:div>
    <w:div w:id="1581908598">
      <w:bodyDiv w:val="1"/>
      <w:marLeft w:val="0"/>
      <w:marRight w:val="0"/>
      <w:marTop w:val="0"/>
      <w:marBottom w:val="0"/>
      <w:divBdr>
        <w:top w:val="none" w:sz="0" w:space="0" w:color="auto"/>
        <w:left w:val="none" w:sz="0" w:space="0" w:color="auto"/>
        <w:bottom w:val="none" w:sz="0" w:space="0" w:color="auto"/>
        <w:right w:val="none" w:sz="0" w:space="0" w:color="auto"/>
      </w:divBdr>
    </w:div>
    <w:div w:id="1659502971">
      <w:bodyDiv w:val="1"/>
      <w:marLeft w:val="0"/>
      <w:marRight w:val="0"/>
      <w:marTop w:val="0"/>
      <w:marBottom w:val="0"/>
      <w:divBdr>
        <w:top w:val="none" w:sz="0" w:space="0" w:color="auto"/>
        <w:left w:val="none" w:sz="0" w:space="0" w:color="auto"/>
        <w:bottom w:val="none" w:sz="0" w:space="0" w:color="auto"/>
        <w:right w:val="none" w:sz="0" w:space="0" w:color="auto"/>
      </w:divBdr>
    </w:div>
    <w:div w:id="1758822144">
      <w:bodyDiv w:val="1"/>
      <w:marLeft w:val="0"/>
      <w:marRight w:val="0"/>
      <w:marTop w:val="0"/>
      <w:marBottom w:val="0"/>
      <w:divBdr>
        <w:top w:val="none" w:sz="0" w:space="0" w:color="auto"/>
        <w:left w:val="none" w:sz="0" w:space="0" w:color="auto"/>
        <w:bottom w:val="none" w:sz="0" w:space="0" w:color="auto"/>
        <w:right w:val="none" w:sz="0" w:space="0" w:color="auto"/>
      </w:divBdr>
    </w:div>
    <w:div w:id="1785150180">
      <w:bodyDiv w:val="1"/>
      <w:marLeft w:val="0"/>
      <w:marRight w:val="0"/>
      <w:marTop w:val="0"/>
      <w:marBottom w:val="0"/>
      <w:divBdr>
        <w:top w:val="none" w:sz="0" w:space="0" w:color="auto"/>
        <w:left w:val="none" w:sz="0" w:space="0" w:color="auto"/>
        <w:bottom w:val="none" w:sz="0" w:space="0" w:color="auto"/>
        <w:right w:val="none" w:sz="0" w:space="0" w:color="auto"/>
      </w:divBdr>
    </w:div>
    <w:div w:id="1892498135">
      <w:bodyDiv w:val="1"/>
      <w:marLeft w:val="0"/>
      <w:marRight w:val="0"/>
      <w:marTop w:val="0"/>
      <w:marBottom w:val="0"/>
      <w:divBdr>
        <w:top w:val="none" w:sz="0" w:space="0" w:color="auto"/>
        <w:left w:val="none" w:sz="0" w:space="0" w:color="auto"/>
        <w:bottom w:val="none" w:sz="0" w:space="0" w:color="auto"/>
        <w:right w:val="none" w:sz="0" w:space="0" w:color="auto"/>
      </w:divBdr>
    </w:div>
    <w:div w:id="1895463890">
      <w:bodyDiv w:val="1"/>
      <w:marLeft w:val="0"/>
      <w:marRight w:val="0"/>
      <w:marTop w:val="0"/>
      <w:marBottom w:val="0"/>
      <w:divBdr>
        <w:top w:val="none" w:sz="0" w:space="0" w:color="auto"/>
        <w:left w:val="none" w:sz="0" w:space="0" w:color="auto"/>
        <w:bottom w:val="none" w:sz="0" w:space="0" w:color="auto"/>
        <w:right w:val="none" w:sz="0" w:space="0" w:color="auto"/>
      </w:divBdr>
    </w:div>
    <w:div w:id="1927224472">
      <w:bodyDiv w:val="1"/>
      <w:marLeft w:val="0"/>
      <w:marRight w:val="0"/>
      <w:marTop w:val="0"/>
      <w:marBottom w:val="0"/>
      <w:divBdr>
        <w:top w:val="none" w:sz="0" w:space="0" w:color="auto"/>
        <w:left w:val="none" w:sz="0" w:space="0" w:color="auto"/>
        <w:bottom w:val="none" w:sz="0" w:space="0" w:color="auto"/>
        <w:right w:val="none" w:sz="0" w:space="0" w:color="auto"/>
      </w:divBdr>
    </w:div>
    <w:div w:id="2027825427">
      <w:bodyDiv w:val="1"/>
      <w:marLeft w:val="0"/>
      <w:marRight w:val="0"/>
      <w:marTop w:val="0"/>
      <w:marBottom w:val="0"/>
      <w:divBdr>
        <w:top w:val="none" w:sz="0" w:space="0" w:color="auto"/>
        <w:left w:val="none" w:sz="0" w:space="0" w:color="auto"/>
        <w:bottom w:val="none" w:sz="0" w:space="0" w:color="auto"/>
        <w:right w:val="none" w:sz="0" w:space="0" w:color="auto"/>
      </w:divBdr>
    </w:div>
    <w:div w:id="2044404041">
      <w:bodyDiv w:val="1"/>
      <w:marLeft w:val="0"/>
      <w:marRight w:val="0"/>
      <w:marTop w:val="0"/>
      <w:marBottom w:val="0"/>
      <w:divBdr>
        <w:top w:val="none" w:sz="0" w:space="0" w:color="auto"/>
        <w:left w:val="none" w:sz="0" w:space="0" w:color="auto"/>
        <w:bottom w:val="none" w:sz="0" w:space="0" w:color="auto"/>
        <w:right w:val="none" w:sz="0" w:space="0" w:color="auto"/>
      </w:divBdr>
    </w:div>
    <w:div w:id="212280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7.xml"/><Relationship Id="rId21" Type="http://schemas.openxmlformats.org/officeDocument/2006/relationships/hyperlink" Target="https://www.gov.uk/government/publications/open-standards-principles/open-standards-principles" TargetMode="External"/><Relationship Id="rId42" Type="http://schemas.openxmlformats.org/officeDocument/2006/relationships/hyperlink" Target="https://assets.publishing.service.gov.uk/government/uploads/system/uploads/attachment_data/file/1163536/Supplier_Code_of_Conduct_v3.pdf" TargetMode="External"/><Relationship Id="rId47" Type="http://schemas.openxmlformats.org/officeDocument/2006/relationships/hyperlink" Target="https://www.ncsc.gov.uk/guidance/security-design-principles-digital-services-main" TargetMode="External"/><Relationship Id="rId63" Type="http://schemas.openxmlformats.org/officeDocument/2006/relationships/footer" Target="footer11.xml"/><Relationship Id="rId68" Type="http://schemas.openxmlformats.org/officeDocument/2006/relationships/header" Target="header12.xml"/><Relationship Id="rId84" Type="http://schemas.openxmlformats.org/officeDocument/2006/relationships/footer" Target="footer22.xml"/><Relationship Id="rId89" Type="http://schemas.openxmlformats.org/officeDocument/2006/relationships/header" Target="header21.xml"/><Relationship Id="rId112" Type="http://schemas.openxmlformats.org/officeDocument/2006/relationships/footer" Target="footer34.xml"/><Relationship Id="rId16" Type="http://schemas.openxmlformats.org/officeDocument/2006/relationships/footer" Target="footer1.xml"/><Relationship Id="rId107" Type="http://schemas.openxmlformats.org/officeDocument/2006/relationships/header" Target="header28.xml"/><Relationship Id="rId11" Type="http://schemas.openxmlformats.org/officeDocument/2006/relationships/hyperlink" Target="http://www.nationalarchives.gov.uk/doc/open-government-licence/version/3/" TargetMode="External"/><Relationship Id="rId32" Type="http://schemas.openxmlformats.org/officeDocument/2006/relationships/footer" Target="footer7.xml"/><Relationship Id="rId37" Type="http://schemas.openxmlformats.org/officeDocument/2006/relationships/hyperlink" Target="http://standards.data.gov.uk/" TargetMode="External"/><Relationship Id="rId53" Type="http://schemas.openxmlformats.org/officeDocument/2006/relationships/hyperlink" Target="http://nvd.nist.gov/cvss.cfm" TargetMode="External"/><Relationship Id="rId58" Type="http://schemas.openxmlformats.org/officeDocument/2006/relationships/hyperlink" Target="https://www.ncsc.gov.uk/collection/cloud-security?curPage=/collection/cloud-security/implementing-the-cloud-security-principles" TargetMode="External"/><Relationship Id="rId74" Type="http://schemas.openxmlformats.org/officeDocument/2006/relationships/header" Target="header15.xml"/><Relationship Id="rId79" Type="http://schemas.openxmlformats.org/officeDocument/2006/relationships/header" Target="header17.xml"/><Relationship Id="rId102" Type="http://schemas.openxmlformats.org/officeDocument/2006/relationships/hyperlink" Target="https://www.gov.uk/government/publications/ppn-0423-procuring-steel-in-government-contracts" TargetMode="External"/><Relationship Id="rId123" Type="http://schemas.openxmlformats.org/officeDocument/2006/relationships/header" Target="header34.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25.xml"/><Relationship Id="rId95" Type="http://schemas.openxmlformats.org/officeDocument/2006/relationships/header" Target="header24.xml"/><Relationship Id="rId22" Type="http://schemas.openxmlformats.org/officeDocument/2006/relationships/hyperlink" Target="https://www.gov.uk/government/publications/blowing-the-whistle-list-of-prescribed-people-and-bodies--2/whistleblowing-list-of-prescribed-people-and-bodies" TargetMode="External"/><Relationship Id="rId27" Type="http://schemas.openxmlformats.org/officeDocument/2006/relationships/hyperlink" Target="https://www.gov.uk/government/publications/procurement-policy-note-0620-taking-account-of-social-value-in-the-award-of-central-government-contracts" TargetMode="External"/><Relationship Id="rId43" Type="http://schemas.openxmlformats.org/officeDocument/2006/relationships/hyperlink" Target="https://www.gov.uk/guidance/conflict-minerals" TargetMode="External"/><Relationship Id="rId48" Type="http://schemas.openxmlformats.org/officeDocument/2006/relationships/hyperlink" Target="https://www.ncsc.gov.uk/guidance/protecting-bulk-personal-data-main" TargetMode="External"/><Relationship Id="rId64" Type="http://schemas.openxmlformats.org/officeDocument/2006/relationships/header" Target="header10.xml"/><Relationship Id="rId69" Type="http://schemas.openxmlformats.org/officeDocument/2006/relationships/footer" Target="footer14.xml"/><Relationship Id="rId113" Type="http://schemas.openxmlformats.org/officeDocument/2006/relationships/header" Target="header30.xml"/><Relationship Id="rId118" Type="http://schemas.openxmlformats.org/officeDocument/2006/relationships/header" Target="header32.xml"/><Relationship Id="rId80" Type="http://schemas.openxmlformats.org/officeDocument/2006/relationships/footer" Target="footer20.xml"/><Relationship Id="rId85" Type="http://schemas.openxmlformats.org/officeDocument/2006/relationships/header" Target="header19.xml"/><Relationship Id="rId12" Type="http://schemas.openxmlformats.org/officeDocument/2006/relationships/hyperlink" Target="https://www.nationalarchives.gov.uk/information-management/re-using-public-sector-information/uk-government-licensing-framework/" TargetMode="External"/><Relationship Id="rId17" Type="http://schemas.openxmlformats.org/officeDocument/2006/relationships/footer" Target="footer2.xml"/><Relationship Id="rId33" Type="http://schemas.openxmlformats.org/officeDocument/2006/relationships/footer" Target="footer8.xml"/><Relationship Id="rId38" Type="http://schemas.openxmlformats.org/officeDocument/2006/relationships/hyperlink" Target="https://www.gov.uk/government/publications/greening-government-commitments-2021-to-2025" TargetMode="External"/><Relationship Id="rId59" Type="http://schemas.openxmlformats.org/officeDocument/2006/relationships/hyperlink" Target="https://www.gov.uk/government/publications/government-baseline-personnel-security-standard" TargetMode="External"/><Relationship Id="rId103" Type="http://schemas.openxmlformats.org/officeDocument/2006/relationships/hyperlink" Target="https://assets.publishing.service.gov.uk/government/uploads/system/uploads/attachment_data/file/1149034/2023.03.22-PPN-04_23-Example-Contract-Clause-Final-Google-Docs.pdf" TargetMode="External"/><Relationship Id="rId108" Type="http://schemas.openxmlformats.org/officeDocument/2006/relationships/footer" Target="footer33.xml"/><Relationship Id="rId124" Type="http://schemas.openxmlformats.org/officeDocument/2006/relationships/footer" Target="footer40.xml"/><Relationship Id="rId129" Type="http://schemas.openxmlformats.org/officeDocument/2006/relationships/theme" Target="theme/theme1.xml"/><Relationship Id="rId54" Type="http://schemas.openxmlformats.org/officeDocument/2006/relationships/hyperlink" Target="https://www.ncsc.gov.uk/guidance/security-design-principles-digital-services-main" TargetMode="External"/><Relationship Id="rId70" Type="http://schemas.openxmlformats.org/officeDocument/2006/relationships/header" Target="header13.xml"/><Relationship Id="rId75" Type="http://schemas.openxmlformats.org/officeDocument/2006/relationships/footer" Target="footer17.xml"/><Relationship Id="rId91" Type="http://schemas.openxmlformats.org/officeDocument/2006/relationships/header" Target="header22.xml"/><Relationship Id="rId96"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gov.uk/government/publications/strategic-suppliers" TargetMode="External"/><Relationship Id="rId28" Type="http://schemas.openxmlformats.org/officeDocument/2006/relationships/header" Target="header5.xml"/><Relationship Id="rId49" Type="http://schemas.openxmlformats.org/officeDocument/2006/relationships/hyperlink" Target="https://www.ncsc.gov.uk/guidance/implementing-cloud-security-principles" TargetMode="External"/><Relationship Id="rId114" Type="http://schemas.openxmlformats.org/officeDocument/2006/relationships/footer" Target="footer35.xml"/><Relationship Id="rId119" Type="http://schemas.openxmlformats.org/officeDocument/2006/relationships/footer" Target="footer38.xml"/><Relationship Id="rId44" Type="http://schemas.openxmlformats.org/officeDocument/2006/relationships/header" Target="header7.xml"/><Relationship Id="rId60" Type="http://schemas.openxmlformats.org/officeDocument/2006/relationships/header" Target="header8.xml"/><Relationship Id="rId65" Type="http://schemas.openxmlformats.org/officeDocument/2006/relationships/footer" Target="footer12.xml"/><Relationship Id="rId81" Type="http://schemas.openxmlformats.org/officeDocument/2006/relationships/hyperlink" Target="https://assets.publishing.service.gov.uk/government/uploads/system/uploads/attachment_data/file/1079116/MSC_Guidance_v2.0__1_.pdf" TargetMode="External"/><Relationship Id="rId86" Type="http://schemas.openxmlformats.org/officeDocument/2006/relationships/footer" Target="footer23.xml"/><Relationship Id="rId13" Type="http://schemas.openxmlformats.org/officeDocument/2006/relationships/hyperlink" Target="https://www.nationalarchives.gov.uk/contact-us/public-sector-information-enquiry/" TargetMode="External"/><Relationship Id="rId18" Type="http://schemas.openxmlformats.org/officeDocument/2006/relationships/header" Target="header3.xml"/><Relationship Id="rId39" Type="http://schemas.openxmlformats.org/officeDocument/2006/relationships/hyperlink" Target="https://www.gov.uk/government/publications/greening-government-ict-and-digital-services-strategy-2020-2025" TargetMode="External"/><Relationship Id="rId109" Type="http://schemas.openxmlformats.org/officeDocument/2006/relationships/hyperlink" Target="mailto:Resolution.planning@cabinetoffice.gov.uk" TargetMode="External"/><Relationship Id="rId34" Type="http://schemas.openxmlformats.org/officeDocument/2006/relationships/hyperlink" Target="http://standards.data.gov.uk/" TargetMode="External"/><Relationship Id="rId50" Type="http://schemas.openxmlformats.org/officeDocument/2006/relationships/hyperlink" Target="https://www.ncsc.gov.uk/collection/cyber-security-design-principles" TargetMode="External"/><Relationship Id="rId55" Type="http://schemas.openxmlformats.org/officeDocument/2006/relationships/hyperlink" Target="https://www.ncsc.gov.uk/guidance/protecting-bulk-personal-data-main" TargetMode="External"/><Relationship Id="rId76" Type="http://schemas.openxmlformats.org/officeDocument/2006/relationships/footer" Target="footer18.xml"/><Relationship Id="rId97" Type="http://schemas.openxmlformats.org/officeDocument/2006/relationships/header" Target="header25.xml"/><Relationship Id="rId104" Type="http://schemas.openxmlformats.org/officeDocument/2006/relationships/header" Target="header27.xml"/><Relationship Id="rId120" Type="http://schemas.openxmlformats.org/officeDocument/2006/relationships/header" Target="header33.xml"/><Relationship Id="rId125" Type="http://schemas.openxmlformats.org/officeDocument/2006/relationships/hyperlink" Target="https://assets.publishing.service.gov.uk/government/uploads/system/uploads/attachment_data/file/1163541/IPR_Guidance_Note.pdf" TargetMode="Externa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footer" Target="footer26.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eader" Target="header4.xml"/><Relationship Id="rId40" Type="http://schemas.openxmlformats.org/officeDocument/2006/relationships/hyperlink" Target="https://www.gov.uk/guidance/make-your-technology-sustainable" TargetMode="External"/><Relationship Id="rId45" Type="http://schemas.openxmlformats.org/officeDocument/2006/relationships/footer" Target="footer9.xml"/><Relationship Id="rId66" Type="http://schemas.openxmlformats.org/officeDocument/2006/relationships/header" Target="header11.xml"/><Relationship Id="rId87" Type="http://schemas.openxmlformats.org/officeDocument/2006/relationships/header" Target="header20.xml"/><Relationship Id="rId110" Type="http://schemas.openxmlformats.org/officeDocument/2006/relationships/hyperlink" Target="https://www.gov.uk/government/publications/the-sourcing-and-consultancy-playbooks" TargetMode="External"/><Relationship Id="rId115" Type="http://schemas.openxmlformats.org/officeDocument/2006/relationships/header" Target="header31.xml"/><Relationship Id="rId61" Type="http://schemas.openxmlformats.org/officeDocument/2006/relationships/footer" Target="footer10.xml"/><Relationship Id="rId82" Type="http://schemas.openxmlformats.org/officeDocument/2006/relationships/header" Target="header18.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https://www.gov.uk/service-manual/technology/code-of-practice.html" TargetMode="External"/><Relationship Id="rId56" Type="http://schemas.openxmlformats.org/officeDocument/2006/relationships/hyperlink" Target="https://www.ncsc.gov.uk/guidance/implementing-cloud-security-principles" TargetMode="External"/><Relationship Id="rId77" Type="http://schemas.openxmlformats.org/officeDocument/2006/relationships/header" Target="header16.xml"/><Relationship Id="rId100" Type="http://schemas.openxmlformats.org/officeDocument/2006/relationships/footer" Target="footer30.xml"/><Relationship Id="rId105" Type="http://schemas.openxmlformats.org/officeDocument/2006/relationships/footer" Target="footer31.xml"/><Relationship Id="rId126"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yperlink" Target="https://www.ncsc.gov.uk/collection/cloud-security?curPage=/collection/cloud-security/implementing-the-cloud-security-principles" TargetMode="External"/><Relationship Id="rId72" Type="http://schemas.openxmlformats.org/officeDocument/2006/relationships/header" Target="header14.xml"/><Relationship Id="rId93" Type="http://schemas.openxmlformats.org/officeDocument/2006/relationships/header" Target="header23.xml"/><Relationship Id="rId98" Type="http://schemas.openxmlformats.org/officeDocument/2006/relationships/footer" Target="footer29.xml"/><Relationship Id="rId121" Type="http://schemas.openxmlformats.org/officeDocument/2006/relationships/footer" Target="footer39.xml"/><Relationship Id="rId3" Type="http://schemas.openxmlformats.org/officeDocument/2006/relationships/numbering" Target="numbering.xml"/><Relationship Id="rId25" Type="http://schemas.openxmlformats.org/officeDocument/2006/relationships/footer" Target="footer4.xml"/><Relationship Id="rId46" Type="http://schemas.openxmlformats.org/officeDocument/2006/relationships/hyperlink" Target="http://nvd.nist.gov/cvss.cfm" TargetMode="External"/><Relationship Id="rId67" Type="http://schemas.openxmlformats.org/officeDocument/2006/relationships/footer" Target="footer13.xml"/><Relationship Id="rId116" Type="http://schemas.openxmlformats.org/officeDocument/2006/relationships/footer" Target="footer36.xml"/><Relationship Id="rId20" Type="http://schemas.openxmlformats.org/officeDocument/2006/relationships/hyperlink" Target="https://supplierregistration.cabinetoffice.gov.uk/msat" TargetMode="External"/><Relationship Id="rId41" Type="http://schemas.openxmlformats.org/officeDocument/2006/relationships/hyperlink" Target="https://www.gov.uk/government/collections/sustainable-procurement-the-government-buying-standards-gbs" TargetMode="External"/><Relationship Id="rId62" Type="http://schemas.openxmlformats.org/officeDocument/2006/relationships/header" Target="header9.xml"/><Relationship Id="rId83" Type="http://schemas.openxmlformats.org/officeDocument/2006/relationships/footer" Target="footer21.xml"/><Relationship Id="rId88" Type="http://schemas.openxmlformats.org/officeDocument/2006/relationships/footer" Target="footer24.xml"/><Relationship Id="rId111" Type="http://schemas.openxmlformats.org/officeDocument/2006/relationships/header" Target="header29.xml"/><Relationship Id="rId15" Type="http://schemas.openxmlformats.org/officeDocument/2006/relationships/header" Target="header2.xml"/><Relationship Id="rId36" Type="http://schemas.openxmlformats.org/officeDocument/2006/relationships/hyperlink" Target="https://www.gov.uk/government/publications/open-standards-principles/open-standards-principles" TargetMode="External"/><Relationship Id="rId57" Type="http://schemas.openxmlformats.org/officeDocument/2006/relationships/hyperlink" Target="https://www.ncsc.gov.uk/collection/cyber-security-design-principles" TargetMode="External"/><Relationship Id="rId106" Type="http://schemas.openxmlformats.org/officeDocument/2006/relationships/footer" Target="footer32.xml"/><Relationship Id="rId127" Type="http://schemas.openxmlformats.org/officeDocument/2006/relationships/footer" Target="footer41.xml"/><Relationship Id="rId10" Type="http://schemas.openxmlformats.org/officeDocument/2006/relationships/image" Target="media/image2.png"/><Relationship Id="rId31" Type="http://schemas.openxmlformats.org/officeDocument/2006/relationships/footer" Target="footer6.xml"/><Relationship Id="rId52" Type="http://schemas.openxmlformats.org/officeDocument/2006/relationships/hyperlink" Target="https://www.gov.uk/government/publications/government-baseline-personnel-security-standard" TargetMode="External"/><Relationship Id="rId73" Type="http://schemas.openxmlformats.org/officeDocument/2006/relationships/footer" Target="footer16.xml"/><Relationship Id="rId78" Type="http://schemas.openxmlformats.org/officeDocument/2006/relationships/footer" Target="footer19.xml"/><Relationship Id="rId94" Type="http://schemas.openxmlformats.org/officeDocument/2006/relationships/footer" Target="footer27.xml"/><Relationship Id="rId99" Type="http://schemas.openxmlformats.org/officeDocument/2006/relationships/header" Target="header26.xml"/><Relationship Id="rId101" Type="http://schemas.openxmlformats.org/officeDocument/2006/relationships/hyperlink" Target="https://www.gov.uk/government/publications/ppn-0423-procuring-steel-in-government-contracts" TargetMode="External"/><Relationship Id="rId122"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www.gov.uk/government/publications/social-value-act-information-and-resources/social-value-act-information-and-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chine\AppData\Roaming\plato\data_bak2\main\template-files\global-blank-unbranded-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 U K M A T T E R S ! 1 2 7 7 7 3 5 1 1 . 4 < / d o c u m e n t i d >  
     < s e n d e r i d > B I D W E L L R < / s e n d e r i d >  
     < s e n d e r e m a i l > R H I A N N O N . B I D W E L L @ D L A P I P E R . C O M < / s e n d e r e m a i l >  
     < l a s t m o d i f i e d > 2 0 2 3 - 0 7 - 2 9 T 1 2 : 5 7 : 0 0 . 0 0 0 0 0 0 0 + 0 1 : 0 0 < / l a s t m o d i f i e d >  
     < d a t a b a s e > U K M A T T E R S < / d a t a b a s e >  
 < / p r o p e r t i e s > 
</file>

<file path=customXml/itemProps1.xml><?xml version="1.0" encoding="utf-8"?>
<ds:datastoreItem xmlns:ds="http://schemas.openxmlformats.org/officeDocument/2006/customXml" ds:itemID="{EF75BF92-CA93-43F3-9795-469634874280}">
  <ds:schemaRefs>
    <ds:schemaRef ds:uri="http://schemas.openxmlformats.org/officeDocument/2006/bibliography"/>
  </ds:schemaRefs>
</ds:datastoreItem>
</file>

<file path=customXml/itemProps2.xml><?xml version="1.0" encoding="utf-8"?>
<ds:datastoreItem xmlns:ds="http://schemas.openxmlformats.org/officeDocument/2006/customXml" ds:itemID="{078755DC-E824-44E3-B2FF-53A3074129F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global-blank-unbranded-portrait</Template>
  <TotalTime>15</TotalTime>
  <Pages>608</Pages>
  <Words>177835</Words>
  <Characters>1013663</Characters>
  <Application>Microsoft Office Word</Application>
  <DocSecurity>0</DocSecurity>
  <Lines>8447</Lines>
  <Paragraphs>2378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 Piper</dc:creator>
  <cp:lastModifiedBy>Hannah Wright</cp:lastModifiedBy>
  <cp:revision>4</cp:revision>
  <dcterms:created xsi:type="dcterms:W3CDTF">2023-07-31T17:29:00Z</dcterms:created>
  <dcterms:modified xsi:type="dcterms:W3CDTF">2023-08-04T14:46:00Z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6a23597e-3663-4d5d-aee6-7ebfa1327b60</vt:lpwstr>
  </property>
</Properties>
</file>