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995C" w14:textId="0A8DA6E4" w:rsidR="00D02698" w:rsidRPr="009B63FD" w:rsidRDefault="00D02698" w:rsidP="007F7346"/>
    <w:p w14:paraId="6F9424E9" w14:textId="6D9B25CA" w:rsidR="008A6059" w:rsidRPr="009B63FD" w:rsidRDefault="003F0D49" w:rsidP="008A6059">
      <w:pPr>
        <w:jc w:val="center"/>
      </w:pPr>
      <w:r w:rsidRPr="00EF4FB5">
        <w:rPr>
          <w:noProof/>
          <w:color w:val="000000" w:themeColor="text1"/>
        </w:rPr>
        <w:drawing>
          <wp:inline distT="0" distB="0" distL="0" distR="0" wp14:anchorId="6CE42ABE" wp14:editId="4045AB4A">
            <wp:extent cx="10477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p w14:paraId="6CCB7B42" w14:textId="2A0C0AFF" w:rsidR="00D94AFC" w:rsidRPr="00EF4FB5" w:rsidRDefault="00D94AFC">
      <w:pPr>
        <w:rPr>
          <w:rFonts w:ascii="Book Antiqua" w:hAnsi="Book Antiqua" w:cs="Arial"/>
          <w:color w:val="000000" w:themeColor="text1"/>
        </w:rPr>
      </w:pPr>
    </w:p>
    <w:p w14:paraId="7A8A097E" w14:textId="4DCE4043" w:rsidR="00F27E2C" w:rsidRPr="008E3D97" w:rsidRDefault="00F27E2C" w:rsidP="00F62F62">
      <w:pPr>
        <w:rPr>
          <w:rFonts w:cs="Arial"/>
          <w:color w:val="000000" w:themeColor="text1"/>
        </w:rPr>
      </w:pPr>
      <w:r w:rsidRPr="008E3D97">
        <w:rPr>
          <w:rFonts w:cs="Arial"/>
          <w:color w:val="000000" w:themeColor="text1"/>
        </w:rPr>
        <w:t xml:space="preserve">UT Neutral citation number: </w:t>
      </w:r>
      <w:r w:rsidR="00584DC2" w:rsidRPr="00320938">
        <w:rPr>
          <w:rFonts w:ascii="Book Antiqua" w:hAnsi="Book Antiqua"/>
          <w:b/>
          <w:bCs/>
          <w:color w:val="000000"/>
        </w:rPr>
        <w:t>[2023] UKUT 00154 (TCC)</w:t>
      </w:r>
    </w:p>
    <w:p w14:paraId="31C0A8B6" w14:textId="77777777" w:rsidR="00EF18B7" w:rsidRPr="008E3D97" w:rsidRDefault="00EF18B7" w:rsidP="00F62F62">
      <w:pPr>
        <w:rPr>
          <w:rFonts w:cs="Arial"/>
          <w:color w:val="000000" w:themeColor="text1"/>
        </w:rPr>
      </w:pPr>
    </w:p>
    <w:p w14:paraId="1C9B105A" w14:textId="5C6E4B74" w:rsidR="00F27E2C" w:rsidRPr="008E3D97" w:rsidRDefault="00F27E2C" w:rsidP="00EF18B7">
      <w:pPr>
        <w:jc w:val="right"/>
        <w:rPr>
          <w:rFonts w:cs="Arial"/>
          <w:color w:val="000000" w:themeColor="text1"/>
        </w:rPr>
      </w:pPr>
      <w:r w:rsidRPr="008E3D97">
        <w:rPr>
          <w:rFonts w:cs="Arial"/>
          <w:color w:val="000000" w:themeColor="text1"/>
        </w:rPr>
        <w:t xml:space="preserve">Case Number: </w:t>
      </w:r>
      <w:r w:rsidR="000F2B3A">
        <w:rPr>
          <w:rFonts w:cs="Arial"/>
          <w:color w:val="000000" w:themeColor="text1"/>
        </w:rPr>
        <w:t>UT/</w:t>
      </w:r>
      <w:r w:rsidR="00502007">
        <w:rPr>
          <w:rFonts w:cs="Arial"/>
          <w:color w:val="000000" w:themeColor="text1"/>
        </w:rPr>
        <w:t>2022/</w:t>
      </w:r>
      <w:r w:rsidR="004B621A">
        <w:rPr>
          <w:rFonts w:cs="Arial"/>
          <w:color w:val="000000" w:themeColor="text1"/>
        </w:rPr>
        <w:t>000047</w:t>
      </w:r>
    </w:p>
    <w:p w14:paraId="2B0E8F90" w14:textId="68A64041" w:rsidR="00F27E2C" w:rsidRPr="008E3D97" w:rsidRDefault="00F27E2C">
      <w:pPr>
        <w:rPr>
          <w:rFonts w:cs="Arial"/>
          <w:color w:val="000000" w:themeColor="text1"/>
        </w:rPr>
      </w:pPr>
    </w:p>
    <w:p w14:paraId="55448311" w14:textId="3150EA99" w:rsidR="008A6059" w:rsidRPr="008E3D97" w:rsidRDefault="008A6059" w:rsidP="00780F86">
      <w:pPr>
        <w:tabs>
          <w:tab w:val="right" w:pos="9720"/>
        </w:tabs>
        <w:ind w:right="-82"/>
        <w:rPr>
          <w:rFonts w:cs="Arial"/>
          <w:b/>
          <w:color w:val="000000" w:themeColor="text1"/>
        </w:rPr>
      </w:pPr>
      <w:r w:rsidRPr="008E3D97">
        <w:rPr>
          <w:rFonts w:cs="Arial"/>
          <w:b/>
          <w:color w:val="000000" w:themeColor="text1"/>
        </w:rPr>
        <w:t>U</w:t>
      </w:r>
      <w:r w:rsidR="00181F5C">
        <w:rPr>
          <w:rFonts w:cs="Arial"/>
          <w:b/>
          <w:color w:val="000000" w:themeColor="text1"/>
        </w:rPr>
        <w:t>PPER TRIBUNAL</w:t>
      </w:r>
      <w:r w:rsidRPr="008E3D97">
        <w:rPr>
          <w:rFonts w:cs="Arial"/>
          <w:b/>
          <w:color w:val="000000" w:themeColor="text1"/>
        </w:rPr>
        <w:t xml:space="preserve"> </w:t>
      </w:r>
    </w:p>
    <w:p w14:paraId="40651930" w14:textId="5E42215A" w:rsidR="007B0824" w:rsidRPr="008E3D97" w:rsidRDefault="00AA7EE1" w:rsidP="00780F86">
      <w:pPr>
        <w:tabs>
          <w:tab w:val="right" w:pos="9720"/>
        </w:tabs>
        <w:ind w:right="-82"/>
        <w:rPr>
          <w:rFonts w:cs="Arial"/>
          <w:color w:val="000000" w:themeColor="text1"/>
        </w:rPr>
      </w:pPr>
      <w:r>
        <w:rPr>
          <w:rFonts w:cs="Arial"/>
          <w:b/>
          <w:color w:val="000000" w:themeColor="text1"/>
        </w:rPr>
        <w:t>(</w:t>
      </w:r>
      <w:r w:rsidR="00EF0C97" w:rsidRPr="008E3D97">
        <w:rPr>
          <w:rFonts w:cs="Arial"/>
          <w:b/>
          <w:color w:val="000000" w:themeColor="text1"/>
        </w:rPr>
        <w:t xml:space="preserve">Tax and Chancery </w:t>
      </w:r>
      <w:r w:rsidR="008A6059" w:rsidRPr="008E3D97">
        <w:rPr>
          <w:rFonts w:cs="Arial"/>
          <w:b/>
          <w:color w:val="000000" w:themeColor="text1"/>
        </w:rPr>
        <w:t>Chamber)</w:t>
      </w:r>
      <w:r w:rsidR="00A27AB4" w:rsidRPr="008E3D97">
        <w:rPr>
          <w:rFonts w:cs="Arial"/>
          <w:caps/>
          <w:color w:val="000000" w:themeColor="text1"/>
        </w:rPr>
        <w:t xml:space="preserve"> </w:t>
      </w:r>
    </w:p>
    <w:p w14:paraId="01842381" w14:textId="77777777" w:rsidR="00C345E1" w:rsidRPr="008E3D97" w:rsidRDefault="00C345E1" w:rsidP="00FD61C0">
      <w:pPr>
        <w:jc w:val="right"/>
        <w:rPr>
          <w:rFonts w:cs="Arial"/>
          <w:color w:val="000000" w:themeColor="text1"/>
        </w:rPr>
      </w:pPr>
    </w:p>
    <w:p w14:paraId="53081684" w14:textId="3C9EE450" w:rsidR="00095D69" w:rsidRDefault="006476B9" w:rsidP="00482A05">
      <w:pPr>
        <w:pStyle w:val="judgment-headerpr-right"/>
        <w:spacing w:before="0" w:beforeAutospacing="0" w:after="0" w:afterAutospacing="0"/>
        <w:jc w:val="right"/>
        <w:rPr>
          <w:color w:val="000000"/>
        </w:rPr>
      </w:pPr>
      <w:r>
        <w:rPr>
          <w:rFonts w:cs="Arial"/>
          <w:color w:val="000000" w:themeColor="text1"/>
        </w:rPr>
        <w:t xml:space="preserve">Hearing venue: </w:t>
      </w:r>
      <w:r w:rsidR="007B6758" w:rsidRPr="00095D69">
        <w:rPr>
          <w:color w:val="000000"/>
        </w:rPr>
        <w:t>Rolls Building</w:t>
      </w:r>
    </w:p>
    <w:p w14:paraId="3AA7544B" w14:textId="77777777" w:rsidR="00095D69" w:rsidRDefault="00095D69" w:rsidP="00482A05">
      <w:pPr>
        <w:pStyle w:val="judgment-headerpr-right"/>
        <w:spacing w:before="0" w:beforeAutospacing="0" w:after="0" w:afterAutospacing="0"/>
        <w:jc w:val="right"/>
        <w:rPr>
          <w:color w:val="000000"/>
        </w:rPr>
      </w:pPr>
      <w:r>
        <w:rPr>
          <w:color w:val="000000"/>
        </w:rPr>
        <w:t xml:space="preserve"> </w:t>
      </w:r>
      <w:r w:rsidR="007B6758" w:rsidRPr="00095D69">
        <w:rPr>
          <w:color w:val="000000"/>
        </w:rPr>
        <w:t>Fetter Lane</w:t>
      </w:r>
    </w:p>
    <w:p w14:paraId="2737AC42" w14:textId="77777777" w:rsidR="00095D69" w:rsidRDefault="007B6758" w:rsidP="00482A05">
      <w:pPr>
        <w:pStyle w:val="judgment-headerpr-right"/>
        <w:spacing w:before="0" w:beforeAutospacing="0" w:after="0" w:afterAutospacing="0"/>
        <w:jc w:val="right"/>
        <w:rPr>
          <w:color w:val="000000"/>
        </w:rPr>
      </w:pPr>
      <w:r w:rsidRPr="00095D69">
        <w:rPr>
          <w:color w:val="000000"/>
        </w:rPr>
        <w:t>London</w:t>
      </w:r>
    </w:p>
    <w:p w14:paraId="572A6F35" w14:textId="47E49512" w:rsidR="007B6758" w:rsidRPr="00095D69" w:rsidRDefault="007B6758" w:rsidP="00482A05">
      <w:pPr>
        <w:pStyle w:val="judgment-headerpr-right"/>
        <w:spacing w:before="0" w:beforeAutospacing="0" w:after="0" w:afterAutospacing="0"/>
        <w:jc w:val="right"/>
        <w:rPr>
          <w:color w:val="000000"/>
        </w:rPr>
      </w:pPr>
      <w:r w:rsidRPr="00095D69">
        <w:rPr>
          <w:color w:val="000000"/>
        </w:rPr>
        <w:t xml:space="preserve"> EC4A 1NL</w:t>
      </w:r>
    </w:p>
    <w:p w14:paraId="38FDBC10" w14:textId="211BC2BB" w:rsidR="00D3603D" w:rsidRPr="008E3D97" w:rsidRDefault="00D3603D" w:rsidP="00493E8D">
      <w:pPr>
        <w:rPr>
          <w:rFonts w:cs="Arial"/>
          <w:color w:val="000000" w:themeColor="text1"/>
        </w:rPr>
      </w:pP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p>
    <w:p w14:paraId="2603EC02" w14:textId="44CEA2BE" w:rsidR="00D3603D" w:rsidRPr="00D3603D" w:rsidRDefault="00D3603D" w:rsidP="000F2B3A">
      <w:pPr>
        <w:ind w:left="6237" w:firstLine="567"/>
        <w:rPr>
          <w:rFonts w:cs="Arial"/>
          <w:b/>
          <w:color w:val="000000" w:themeColor="text1"/>
        </w:rPr>
      </w:pPr>
      <w:r w:rsidRPr="00D3603D">
        <w:rPr>
          <w:rFonts w:cs="Arial"/>
          <w:b/>
          <w:color w:val="000000" w:themeColor="text1"/>
        </w:rPr>
        <w:t xml:space="preserve">Heard on: </w:t>
      </w:r>
      <w:r w:rsidR="00FF53CB">
        <w:rPr>
          <w:rFonts w:cs="Arial"/>
          <w:b/>
          <w:color w:val="000000" w:themeColor="text1"/>
        </w:rPr>
        <w:t>16 May 2023</w:t>
      </w:r>
    </w:p>
    <w:p w14:paraId="3375142A" w14:textId="055C6488" w:rsidR="00D3603D" w:rsidRDefault="00D3603D" w:rsidP="000F2B3A">
      <w:pPr>
        <w:ind w:left="6237"/>
        <w:rPr>
          <w:rFonts w:cs="Arial"/>
          <w:b/>
          <w:color w:val="000000" w:themeColor="text1"/>
        </w:rPr>
      </w:pPr>
      <w:r w:rsidRPr="00D3603D">
        <w:rPr>
          <w:rFonts w:cs="Arial"/>
          <w:b/>
          <w:color w:val="000000" w:themeColor="text1"/>
        </w:rPr>
        <w:t xml:space="preserve">Judgment date: </w:t>
      </w:r>
      <w:r w:rsidR="00584DC2">
        <w:rPr>
          <w:rFonts w:cs="Arial"/>
          <w:b/>
          <w:color w:val="000000" w:themeColor="text1"/>
        </w:rPr>
        <w:t xml:space="preserve">10 July </w:t>
      </w:r>
      <w:r w:rsidRPr="00D3603D">
        <w:rPr>
          <w:rFonts w:cs="Arial"/>
          <w:b/>
          <w:color w:val="000000" w:themeColor="text1"/>
        </w:rPr>
        <w:t>20</w:t>
      </w:r>
      <w:r w:rsidR="00584DC2">
        <w:rPr>
          <w:rFonts w:cs="Arial"/>
          <w:b/>
          <w:color w:val="000000" w:themeColor="text1"/>
        </w:rPr>
        <w:t>23</w:t>
      </w:r>
      <w:r w:rsidR="003F04FC">
        <w:rPr>
          <w:rFonts w:cs="Arial"/>
          <w:b/>
          <w:color w:val="000000" w:themeColor="text1"/>
        </w:rPr>
        <w:t xml:space="preserve"> </w:t>
      </w:r>
    </w:p>
    <w:p w14:paraId="0F7F156D" w14:textId="6588ECFA" w:rsidR="00491E0B" w:rsidRPr="008E3D97" w:rsidRDefault="00491E0B" w:rsidP="008C04C1">
      <w:pPr>
        <w:jc w:val="right"/>
        <w:rPr>
          <w:rFonts w:cs="Arial"/>
          <w:b/>
          <w:color w:val="000000" w:themeColor="text1"/>
        </w:rPr>
      </w:pPr>
    </w:p>
    <w:p w14:paraId="685362D9" w14:textId="1CB8BB03" w:rsidR="00C345E1" w:rsidRPr="009168D6" w:rsidRDefault="000F196F" w:rsidP="00A270E5">
      <w:pPr>
        <w:jc w:val="both"/>
        <w:rPr>
          <w:rFonts w:cs="Arial"/>
          <w:bCs/>
          <w:i/>
          <w:iCs/>
          <w:color w:val="000000" w:themeColor="text1"/>
        </w:rPr>
      </w:pPr>
      <w:r w:rsidRPr="009168D6">
        <w:rPr>
          <w:rFonts w:cs="Arial"/>
          <w:bCs/>
          <w:i/>
          <w:iCs/>
          <w:color w:val="000000" w:themeColor="text1"/>
        </w:rPr>
        <w:t xml:space="preserve">INCOME TAX </w:t>
      </w:r>
      <w:r w:rsidR="00915B5C" w:rsidRPr="009168D6">
        <w:rPr>
          <w:rFonts w:cs="Arial"/>
          <w:bCs/>
          <w:i/>
          <w:iCs/>
          <w:color w:val="000000" w:themeColor="text1"/>
        </w:rPr>
        <w:t>–</w:t>
      </w:r>
      <w:r w:rsidRPr="009168D6">
        <w:rPr>
          <w:rFonts w:cs="Arial"/>
          <w:bCs/>
          <w:i/>
          <w:iCs/>
          <w:color w:val="000000" w:themeColor="text1"/>
        </w:rPr>
        <w:t xml:space="preserve"> </w:t>
      </w:r>
      <w:r w:rsidR="00A73FC7" w:rsidRPr="009168D6">
        <w:rPr>
          <w:rFonts w:cs="Arial"/>
          <w:bCs/>
          <w:i/>
          <w:iCs/>
          <w:color w:val="000000" w:themeColor="text1"/>
        </w:rPr>
        <w:t xml:space="preserve">employment income – </w:t>
      </w:r>
      <w:r w:rsidR="00915B5C" w:rsidRPr="009168D6">
        <w:rPr>
          <w:rFonts w:cs="Arial"/>
          <w:bCs/>
          <w:i/>
          <w:iCs/>
          <w:color w:val="000000" w:themeColor="text1"/>
        </w:rPr>
        <w:t xml:space="preserve">section 336 ITEPA 2003 </w:t>
      </w:r>
      <w:r w:rsidR="00A73FC7" w:rsidRPr="009168D6">
        <w:rPr>
          <w:rFonts w:cs="Arial"/>
          <w:bCs/>
          <w:i/>
          <w:iCs/>
          <w:color w:val="000000" w:themeColor="text1"/>
        </w:rPr>
        <w:t xml:space="preserve">– deduction for </w:t>
      </w:r>
      <w:r w:rsidR="00DA4387" w:rsidRPr="009168D6">
        <w:rPr>
          <w:rFonts w:cs="Arial"/>
          <w:bCs/>
          <w:i/>
          <w:iCs/>
          <w:color w:val="000000" w:themeColor="text1"/>
        </w:rPr>
        <w:t xml:space="preserve">rent of premises by doctor – whether obliged </w:t>
      </w:r>
      <w:r w:rsidR="0099528D" w:rsidRPr="009168D6">
        <w:rPr>
          <w:rFonts w:cs="Arial"/>
          <w:bCs/>
          <w:i/>
          <w:iCs/>
          <w:color w:val="000000" w:themeColor="text1"/>
        </w:rPr>
        <w:t xml:space="preserve">to incur the expenses </w:t>
      </w:r>
      <w:r w:rsidR="008D65B3">
        <w:rPr>
          <w:rFonts w:cs="Arial"/>
          <w:bCs/>
          <w:i/>
          <w:iCs/>
          <w:color w:val="000000" w:themeColor="text1"/>
        </w:rPr>
        <w:t xml:space="preserve">as holder of </w:t>
      </w:r>
      <w:r w:rsidR="00151395">
        <w:rPr>
          <w:rFonts w:cs="Arial"/>
          <w:bCs/>
          <w:i/>
          <w:iCs/>
          <w:color w:val="000000" w:themeColor="text1"/>
        </w:rPr>
        <w:t>the</w:t>
      </w:r>
      <w:r w:rsidR="008D65B3">
        <w:rPr>
          <w:rFonts w:cs="Arial"/>
          <w:bCs/>
          <w:i/>
          <w:iCs/>
          <w:color w:val="000000" w:themeColor="text1"/>
        </w:rPr>
        <w:t xml:space="preserve"> employment –</w:t>
      </w:r>
      <w:r w:rsidR="0099528D" w:rsidRPr="009168D6">
        <w:rPr>
          <w:rFonts w:cs="Arial"/>
          <w:bCs/>
          <w:i/>
          <w:iCs/>
          <w:color w:val="000000" w:themeColor="text1"/>
        </w:rPr>
        <w:t xml:space="preserve"> whether wholly, exclusively and necessarily in the performance of the duties of </w:t>
      </w:r>
      <w:r w:rsidR="006259EA">
        <w:rPr>
          <w:rFonts w:cs="Arial"/>
          <w:bCs/>
          <w:i/>
          <w:iCs/>
          <w:color w:val="000000" w:themeColor="text1"/>
        </w:rPr>
        <w:t xml:space="preserve">the </w:t>
      </w:r>
      <w:r w:rsidR="0099528D" w:rsidRPr="009168D6">
        <w:rPr>
          <w:rFonts w:cs="Arial"/>
          <w:bCs/>
          <w:i/>
          <w:iCs/>
          <w:color w:val="000000" w:themeColor="text1"/>
        </w:rPr>
        <w:t>employment – appeal allowed</w:t>
      </w:r>
    </w:p>
    <w:p w14:paraId="2A66AF90" w14:textId="77777777" w:rsidR="00A15234" w:rsidRPr="008E3D97" w:rsidRDefault="00A15234" w:rsidP="00A15234">
      <w:pPr>
        <w:jc w:val="center"/>
        <w:rPr>
          <w:rFonts w:cs="Arial"/>
          <w:color w:val="000000" w:themeColor="text1"/>
        </w:rPr>
      </w:pPr>
    </w:p>
    <w:p w14:paraId="4069FC48" w14:textId="77777777" w:rsidR="00A15234" w:rsidRPr="008E3D97" w:rsidRDefault="00A15234" w:rsidP="00A15234">
      <w:pPr>
        <w:jc w:val="center"/>
        <w:rPr>
          <w:rFonts w:cs="Arial"/>
          <w:color w:val="000000" w:themeColor="text1"/>
        </w:rPr>
      </w:pPr>
    </w:p>
    <w:p w14:paraId="3D002F3F" w14:textId="77777777" w:rsidR="00A15234" w:rsidRPr="008E3D97" w:rsidRDefault="00207617" w:rsidP="00A15234">
      <w:pPr>
        <w:jc w:val="center"/>
        <w:rPr>
          <w:rFonts w:cs="Arial"/>
          <w:b/>
          <w:color w:val="000000" w:themeColor="text1"/>
        </w:rPr>
      </w:pPr>
      <w:r w:rsidRPr="008E3D97">
        <w:rPr>
          <w:rFonts w:cs="Arial"/>
          <w:b/>
          <w:color w:val="000000" w:themeColor="text1"/>
        </w:rPr>
        <w:t>Befo</w:t>
      </w:r>
      <w:r w:rsidR="00A15234" w:rsidRPr="008E3D97">
        <w:rPr>
          <w:rFonts w:cs="Arial"/>
          <w:b/>
          <w:color w:val="000000" w:themeColor="text1"/>
        </w:rPr>
        <w:t>re</w:t>
      </w:r>
    </w:p>
    <w:p w14:paraId="4B215C9A" w14:textId="77777777" w:rsidR="00A15234" w:rsidRPr="008E3D97" w:rsidRDefault="00A15234" w:rsidP="00A15234">
      <w:pPr>
        <w:jc w:val="center"/>
        <w:rPr>
          <w:rFonts w:cs="Arial"/>
          <w:b/>
          <w:color w:val="000000" w:themeColor="text1"/>
        </w:rPr>
      </w:pPr>
    </w:p>
    <w:p w14:paraId="200F5DE9" w14:textId="77777777" w:rsidR="00A2037D" w:rsidRDefault="00A2037D" w:rsidP="00A15234">
      <w:pPr>
        <w:jc w:val="center"/>
        <w:rPr>
          <w:rFonts w:cs="Arial"/>
          <w:b/>
          <w:color w:val="000000" w:themeColor="text1"/>
        </w:rPr>
      </w:pPr>
      <w:r>
        <w:rPr>
          <w:rFonts w:cs="Arial"/>
          <w:b/>
          <w:color w:val="000000" w:themeColor="text1"/>
        </w:rPr>
        <w:t>MRS JUSTICE BACON</w:t>
      </w:r>
    </w:p>
    <w:p w14:paraId="59EA5C2E" w14:textId="60056AD8" w:rsidR="001B186A" w:rsidRPr="008E3D97" w:rsidRDefault="00A2037D" w:rsidP="00A15234">
      <w:pPr>
        <w:jc w:val="center"/>
        <w:rPr>
          <w:rFonts w:cs="Arial"/>
          <w:b/>
          <w:color w:val="000000" w:themeColor="text1"/>
        </w:rPr>
      </w:pPr>
      <w:r>
        <w:rPr>
          <w:rFonts w:cs="Arial"/>
          <w:b/>
          <w:color w:val="000000" w:themeColor="text1"/>
        </w:rPr>
        <w:t>JUDGE JONATHAN CANNAN</w:t>
      </w:r>
      <w:r w:rsidR="006227F6" w:rsidRPr="008E3D97">
        <w:rPr>
          <w:rFonts w:cs="Arial"/>
          <w:b/>
          <w:color w:val="000000" w:themeColor="text1"/>
        </w:rPr>
        <w:t xml:space="preserve"> </w:t>
      </w:r>
    </w:p>
    <w:p w14:paraId="0EDF418E" w14:textId="77777777" w:rsidR="00D20757" w:rsidRPr="008E3D97" w:rsidRDefault="00D20757" w:rsidP="00A15234">
      <w:pPr>
        <w:jc w:val="center"/>
        <w:rPr>
          <w:rFonts w:cs="Arial"/>
          <w:b/>
          <w:color w:val="000000" w:themeColor="text1"/>
        </w:rPr>
      </w:pPr>
    </w:p>
    <w:p w14:paraId="25E2AD32" w14:textId="77777777" w:rsidR="00A845DC" w:rsidRPr="008E3D97" w:rsidRDefault="00A845DC" w:rsidP="00A15234">
      <w:pPr>
        <w:jc w:val="center"/>
        <w:rPr>
          <w:rFonts w:cs="Arial"/>
          <w:b/>
          <w:color w:val="000000" w:themeColor="text1"/>
        </w:rPr>
      </w:pPr>
      <w:r w:rsidRPr="008E3D97">
        <w:rPr>
          <w:rFonts w:cs="Arial"/>
          <w:b/>
          <w:color w:val="000000" w:themeColor="text1"/>
        </w:rPr>
        <w:t>Between</w:t>
      </w:r>
    </w:p>
    <w:p w14:paraId="041B0B05" w14:textId="77777777" w:rsidR="00A845DC" w:rsidRPr="008E3D97" w:rsidRDefault="00A845DC" w:rsidP="00A15234">
      <w:pPr>
        <w:jc w:val="center"/>
        <w:rPr>
          <w:rFonts w:cs="Arial"/>
          <w:b/>
          <w:color w:val="000000" w:themeColor="text1"/>
        </w:rPr>
      </w:pPr>
    </w:p>
    <w:p w14:paraId="5AF1F6A8" w14:textId="77777777" w:rsidR="00AE01EB" w:rsidRPr="008E3D97" w:rsidRDefault="00AE01EB" w:rsidP="00AE01EB">
      <w:pPr>
        <w:jc w:val="center"/>
        <w:rPr>
          <w:rFonts w:cs="Arial"/>
          <w:b/>
          <w:caps/>
          <w:color w:val="000000" w:themeColor="text1"/>
        </w:rPr>
      </w:pPr>
      <w:r w:rsidRPr="008E3D97">
        <w:rPr>
          <w:rFonts w:cs="Arial"/>
          <w:b/>
          <w:caps/>
          <w:color w:val="000000" w:themeColor="text1"/>
        </w:rPr>
        <w:t>THE COMMISSIONERS FOR H</w:t>
      </w:r>
      <w:r>
        <w:rPr>
          <w:rFonts w:cs="Arial"/>
          <w:b/>
          <w:caps/>
          <w:color w:val="000000" w:themeColor="text1"/>
        </w:rPr>
        <w:t>IS</w:t>
      </w:r>
      <w:r w:rsidRPr="008E3D97">
        <w:rPr>
          <w:rFonts w:cs="Arial"/>
          <w:b/>
          <w:caps/>
          <w:color w:val="000000" w:themeColor="text1"/>
        </w:rPr>
        <w:t xml:space="preserve"> MAJESTY’S</w:t>
      </w:r>
    </w:p>
    <w:p w14:paraId="10AE21D2" w14:textId="0F907DD3" w:rsidR="00704B61" w:rsidRPr="008E3D97" w:rsidRDefault="00AE01EB" w:rsidP="00AE01EB">
      <w:pPr>
        <w:jc w:val="center"/>
        <w:rPr>
          <w:rFonts w:cs="Arial"/>
          <w:b/>
          <w:color w:val="000000" w:themeColor="text1"/>
        </w:rPr>
      </w:pPr>
      <w:r w:rsidRPr="008E3D97">
        <w:rPr>
          <w:rFonts w:cs="Arial"/>
          <w:b/>
          <w:caps/>
          <w:color w:val="000000" w:themeColor="text1"/>
        </w:rPr>
        <w:t>REVENUE AND CUSTOMS</w:t>
      </w:r>
    </w:p>
    <w:p w14:paraId="03542F70" w14:textId="54DEBF7A" w:rsidR="00704B61" w:rsidRPr="00A270E5" w:rsidRDefault="00704B61" w:rsidP="007657DB">
      <w:pPr>
        <w:jc w:val="right"/>
        <w:rPr>
          <w:b/>
          <w:bCs/>
        </w:rPr>
      </w:pPr>
      <w:r w:rsidRPr="00A270E5">
        <w:rPr>
          <w:b/>
          <w:bCs/>
        </w:rPr>
        <w:t>Appellant</w:t>
      </w:r>
      <w:r w:rsidR="00AE01EB" w:rsidRPr="00A270E5">
        <w:rPr>
          <w:b/>
          <w:bCs/>
        </w:rPr>
        <w:t>s</w:t>
      </w:r>
    </w:p>
    <w:p w14:paraId="4FAC8D5D" w14:textId="77777777" w:rsidR="00704B61" w:rsidRPr="008E3D97" w:rsidRDefault="00DD5071" w:rsidP="00704B61">
      <w:pPr>
        <w:jc w:val="center"/>
        <w:rPr>
          <w:rFonts w:cs="Arial"/>
          <w:b/>
          <w:color w:val="000000" w:themeColor="text1"/>
        </w:rPr>
      </w:pPr>
      <w:r w:rsidRPr="008E3D97">
        <w:rPr>
          <w:rFonts w:cs="Arial"/>
          <w:b/>
          <w:color w:val="000000" w:themeColor="text1"/>
        </w:rPr>
        <w:t>and</w:t>
      </w:r>
    </w:p>
    <w:p w14:paraId="29B8130A" w14:textId="77777777" w:rsidR="00DD5071" w:rsidRPr="008E3D97" w:rsidRDefault="00DD5071" w:rsidP="00704B61">
      <w:pPr>
        <w:jc w:val="center"/>
        <w:rPr>
          <w:rFonts w:cs="Arial"/>
          <w:b/>
          <w:color w:val="000000" w:themeColor="text1"/>
        </w:rPr>
      </w:pPr>
    </w:p>
    <w:p w14:paraId="78D32506" w14:textId="40963259" w:rsidR="00BF1166" w:rsidRPr="0024308A" w:rsidRDefault="0024308A" w:rsidP="00BF1166">
      <w:pPr>
        <w:jc w:val="center"/>
        <w:rPr>
          <w:rFonts w:cs="Arial"/>
          <w:b/>
          <w:caps/>
          <w:color w:val="000000" w:themeColor="text1"/>
        </w:rPr>
      </w:pPr>
      <w:r w:rsidRPr="0024308A">
        <w:rPr>
          <w:rFonts w:cs="Arial"/>
          <w:b/>
          <w:caps/>
          <w:color w:val="000000" w:themeColor="text1"/>
        </w:rPr>
        <w:t>JAYA</w:t>
      </w:r>
      <w:r w:rsidR="007657DB">
        <w:rPr>
          <w:rFonts w:cs="Arial"/>
          <w:b/>
          <w:caps/>
          <w:color w:val="000000" w:themeColor="text1"/>
        </w:rPr>
        <w:t>N</w:t>
      </w:r>
      <w:r w:rsidRPr="0024308A">
        <w:rPr>
          <w:rFonts w:cs="Arial"/>
          <w:b/>
          <w:caps/>
          <w:color w:val="000000" w:themeColor="text1"/>
        </w:rPr>
        <w:t>TH KUNJUR</w:t>
      </w:r>
    </w:p>
    <w:p w14:paraId="604DCAD9" w14:textId="77777777" w:rsidR="00DD5071" w:rsidRPr="008E3D97" w:rsidRDefault="00DD5071" w:rsidP="00704B61">
      <w:pPr>
        <w:jc w:val="center"/>
        <w:rPr>
          <w:rFonts w:cs="Arial"/>
          <w:b/>
          <w:color w:val="000000" w:themeColor="text1"/>
        </w:rPr>
      </w:pPr>
    </w:p>
    <w:p w14:paraId="7CB93F61" w14:textId="24BA501A" w:rsidR="00DD5071" w:rsidRPr="008E3D97" w:rsidRDefault="00DD5071" w:rsidP="00A270E5">
      <w:pPr>
        <w:jc w:val="right"/>
        <w:rPr>
          <w:rFonts w:cs="Arial"/>
          <w:color w:val="000000" w:themeColor="text1"/>
          <w:u w:val="single"/>
        </w:rPr>
      </w:pPr>
      <w:r w:rsidRPr="00A270E5">
        <w:rPr>
          <w:b/>
          <w:bCs/>
        </w:rPr>
        <w:t>Respondent</w:t>
      </w:r>
    </w:p>
    <w:p w14:paraId="69C165EB" w14:textId="77777777" w:rsidR="00DD5071" w:rsidRPr="008E3D97" w:rsidRDefault="00DD5071" w:rsidP="00DD5071">
      <w:pPr>
        <w:rPr>
          <w:rFonts w:cs="Arial"/>
          <w:color w:val="000000" w:themeColor="text1"/>
          <w:u w:val="single"/>
        </w:rPr>
      </w:pPr>
    </w:p>
    <w:p w14:paraId="3B6FE7F9" w14:textId="77777777" w:rsidR="00DD5071" w:rsidRPr="008E3D97" w:rsidRDefault="00DE7DB7" w:rsidP="00DD5071">
      <w:pPr>
        <w:rPr>
          <w:rFonts w:cs="Arial"/>
          <w:color w:val="000000" w:themeColor="text1"/>
        </w:rPr>
      </w:pPr>
      <w:r w:rsidRPr="008E3D97">
        <w:rPr>
          <w:rFonts w:cs="Arial"/>
          <w:b/>
          <w:color w:val="000000" w:themeColor="text1"/>
          <w:u w:val="single"/>
        </w:rPr>
        <w:t>Representation</w:t>
      </w:r>
      <w:r w:rsidRPr="008E3D97">
        <w:rPr>
          <w:rFonts w:cs="Arial"/>
          <w:b/>
          <w:color w:val="000000" w:themeColor="text1"/>
        </w:rPr>
        <w:t>:</w:t>
      </w:r>
    </w:p>
    <w:p w14:paraId="4F23221C" w14:textId="77777777" w:rsidR="00DE7DB7" w:rsidRPr="008E3D97" w:rsidRDefault="00DE7DB7" w:rsidP="00DD5071">
      <w:pPr>
        <w:rPr>
          <w:rFonts w:cs="Arial"/>
          <w:color w:val="000000" w:themeColor="text1"/>
        </w:rPr>
      </w:pPr>
    </w:p>
    <w:p w14:paraId="25CBA814" w14:textId="68E966A5" w:rsidR="008E4D1E" w:rsidRDefault="008E4D1E" w:rsidP="008E4D1E">
      <w:pPr>
        <w:tabs>
          <w:tab w:val="left" w:pos="2520"/>
        </w:tabs>
        <w:rPr>
          <w:rFonts w:cs="Arial"/>
          <w:color w:val="000000" w:themeColor="text1"/>
        </w:rPr>
      </w:pPr>
      <w:r>
        <w:rPr>
          <w:rFonts w:cs="Arial"/>
          <w:color w:val="000000" w:themeColor="text1"/>
        </w:rPr>
        <w:t>For the Appellants: Marianne Tutin,</w:t>
      </w:r>
      <w:r w:rsidRPr="008E3D97">
        <w:rPr>
          <w:rFonts w:cs="Arial"/>
          <w:color w:val="000000" w:themeColor="text1"/>
        </w:rPr>
        <w:t xml:space="preserve"> </w:t>
      </w:r>
      <w:r>
        <w:rPr>
          <w:rFonts w:cs="Arial"/>
          <w:color w:val="000000" w:themeColor="text1"/>
        </w:rPr>
        <w:t>c</w:t>
      </w:r>
      <w:r w:rsidRPr="008E3D97">
        <w:rPr>
          <w:rFonts w:cs="Arial"/>
          <w:color w:val="000000" w:themeColor="text1"/>
        </w:rPr>
        <w:t>ounsel</w:t>
      </w:r>
      <w:r w:rsidR="00641C95">
        <w:rPr>
          <w:rFonts w:cs="Arial"/>
          <w:color w:val="000000" w:themeColor="text1"/>
        </w:rPr>
        <w:t>,</w:t>
      </w:r>
      <w:r w:rsidRPr="008E3D97">
        <w:rPr>
          <w:rFonts w:cs="Arial"/>
          <w:color w:val="000000" w:themeColor="text1"/>
        </w:rPr>
        <w:t xml:space="preserve"> instructed by the General Counsel and Solicitor for H</w:t>
      </w:r>
      <w:r>
        <w:rPr>
          <w:rFonts w:cs="Arial"/>
          <w:color w:val="000000" w:themeColor="text1"/>
        </w:rPr>
        <w:t>is</w:t>
      </w:r>
      <w:r w:rsidRPr="008E3D97">
        <w:rPr>
          <w:rFonts w:cs="Arial"/>
          <w:color w:val="000000" w:themeColor="text1"/>
        </w:rPr>
        <w:t xml:space="preserve"> Majesty’s Revenue and Custom</w:t>
      </w:r>
      <w:r>
        <w:rPr>
          <w:rFonts w:cs="Arial"/>
          <w:color w:val="000000" w:themeColor="text1"/>
        </w:rPr>
        <w:t>s</w:t>
      </w:r>
    </w:p>
    <w:p w14:paraId="28A189DF" w14:textId="77777777" w:rsidR="008E4D1E" w:rsidRPr="008E3D97" w:rsidRDefault="008E4D1E" w:rsidP="008E4D1E">
      <w:pPr>
        <w:tabs>
          <w:tab w:val="left" w:pos="2520"/>
        </w:tabs>
        <w:rPr>
          <w:rFonts w:cs="Arial"/>
          <w:color w:val="000000" w:themeColor="text1"/>
        </w:rPr>
      </w:pPr>
    </w:p>
    <w:p w14:paraId="35DEA5D1" w14:textId="5B54F049" w:rsidR="007F7346" w:rsidRPr="008E3D97" w:rsidRDefault="0024308A" w:rsidP="009D35D5">
      <w:pPr>
        <w:tabs>
          <w:tab w:val="left" w:pos="2520"/>
        </w:tabs>
        <w:rPr>
          <w:rFonts w:cs="Arial"/>
          <w:color w:val="000000" w:themeColor="text1"/>
        </w:rPr>
      </w:pPr>
      <w:r>
        <w:rPr>
          <w:rFonts w:cs="Arial"/>
          <w:color w:val="000000" w:themeColor="text1"/>
        </w:rPr>
        <w:t>T</w:t>
      </w:r>
      <w:r w:rsidR="00DE7DB7" w:rsidRPr="008E3D97">
        <w:rPr>
          <w:rFonts w:cs="Arial"/>
          <w:color w:val="000000" w:themeColor="text1"/>
        </w:rPr>
        <w:t xml:space="preserve">he </w:t>
      </w:r>
      <w:r w:rsidR="008E4D1E">
        <w:rPr>
          <w:rFonts w:cs="Arial"/>
          <w:color w:val="000000" w:themeColor="text1"/>
        </w:rPr>
        <w:t xml:space="preserve">Respondent </w:t>
      </w:r>
      <w:r>
        <w:rPr>
          <w:rFonts w:cs="Arial"/>
          <w:color w:val="000000" w:themeColor="text1"/>
        </w:rPr>
        <w:t>did not appear and was not represented</w:t>
      </w:r>
    </w:p>
    <w:p w14:paraId="6CB2A7AD" w14:textId="34CC0AB3" w:rsidR="00D02698" w:rsidRDefault="00D02698" w:rsidP="0069660F">
      <w:pPr>
        <w:jc w:val="center"/>
      </w:pPr>
      <w:r w:rsidRPr="00EF4FB5">
        <w:br w:type="page"/>
      </w:r>
      <w:r w:rsidR="009B63FD">
        <w:lastRenderedPageBreak/>
        <w:t>DECISION</w:t>
      </w:r>
    </w:p>
    <w:p w14:paraId="308EC624" w14:textId="77777777" w:rsidR="00D72D19" w:rsidRDefault="00D72D19" w:rsidP="0069660F">
      <w:pPr>
        <w:jc w:val="center"/>
      </w:pPr>
    </w:p>
    <w:p w14:paraId="224169F4" w14:textId="0E86DB65" w:rsidR="00C853E5" w:rsidRDefault="00C853E5" w:rsidP="00C853E5">
      <w:pPr>
        <w:pStyle w:val="Heading1"/>
      </w:pPr>
      <w:r>
        <w:t>Introduction</w:t>
      </w:r>
    </w:p>
    <w:p w14:paraId="7F987BE8" w14:textId="1A680833" w:rsidR="00005653" w:rsidRDefault="00D72D19" w:rsidP="00B77BA5">
      <w:pPr>
        <w:pStyle w:val="Bodytexttax1"/>
      </w:pPr>
      <w:r>
        <w:t xml:space="preserve">This is an appeal </w:t>
      </w:r>
      <w:r w:rsidR="00E36BBC">
        <w:t xml:space="preserve">by HM Revenue &amp; Customs </w:t>
      </w:r>
      <w:r w:rsidR="0036168C">
        <w:t xml:space="preserve">(“HMRC”) </w:t>
      </w:r>
      <w:r>
        <w:t xml:space="preserve">against a decision of the First-tier Tribunal (Tax Chamber) </w:t>
      </w:r>
      <w:r w:rsidR="00E36BBC">
        <w:t>(“</w:t>
      </w:r>
      <w:r w:rsidR="00E36BBC" w:rsidRPr="005A6CF7">
        <w:rPr>
          <w:b/>
          <w:bCs/>
        </w:rPr>
        <w:t>the FTT</w:t>
      </w:r>
      <w:r w:rsidR="00E36BBC">
        <w:t>”) released on 7 October 2021</w:t>
      </w:r>
      <w:r w:rsidR="00E86E4B">
        <w:t xml:space="preserve"> (“</w:t>
      </w:r>
      <w:r w:rsidR="00E86E4B" w:rsidRPr="005A6CF7">
        <w:rPr>
          <w:b/>
          <w:bCs/>
        </w:rPr>
        <w:t>the Decision</w:t>
      </w:r>
      <w:r w:rsidR="00E86E4B">
        <w:t>”)</w:t>
      </w:r>
      <w:r w:rsidR="00E36BBC">
        <w:t>.</w:t>
      </w:r>
      <w:r w:rsidR="0036168C">
        <w:t xml:space="preserve"> </w:t>
      </w:r>
      <w:r w:rsidR="009B5527">
        <w:t xml:space="preserve">The FTT allowed an appeal </w:t>
      </w:r>
      <w:r w:rsidR="00156345">
        <w:t xml:space="preserve">in part </w:t>
      </w:r>
      <w:r w:rsidR="009B5527">
        <w:t>by Mr Jaya</w:t>
      </w:r>
      <w:r w:rsidR="0018773F">
        <w:t>n</w:t>
      </w:r>
      <w:r w:rsidR="009B5527">
        <w:t>th Kunjur (“</w:t>
      </w:r>
      <w:r w:rsidR="009B5527" w:rsidRPr="005A6CF7">
        <w:rPr>
          <w:b/>
          <w:bCs/>
        </w:rPr>
        <w:t>Mr Kunjur</w:t>
      </w:r>
      <w:r w:rsidR="009B5527">
        <w:t>”)</w:t>
      </w:r>
      <w:r w:rsidR="00ED0420">
        <w:t xml:space="preserve"> against </w:t>
      </w:r>
      <w:r w:rsidR="00D60D37">
        <w:t xml:space="preserve">various assessments </w:t>
      </w:r>
      <w:r w:rsidR="00A9075C">
        <w:t xml:space="preserve">and a closure notice charging </w:t>
      </w:r>
      <w:r w:rsidR="00D60D37">
        <w:t xml:space="preserve">income tax for </w:t>
      </w:r>
      <w:r w:rsidR="00E80523">
        <w:t xml:space="preserve">the </w:t>
      </w:r>
      <w:r w:rsidR="00D60D37">
        <w:t xml:space="preserve">tax years </w:t>
      </w:r>
      <w:r w:rsidR="009B0916">
        <w:t>2012</w:t>
      </w:r>
      <w:r w:rsidR="00E80523">
        <w:t>–</w:t>
      </w:r>
      <w:r w:rsidR="009B0916">
        <w:t>13 to 2016</w:t>
      </w:r>
      <w:r w:rsidR="00E80523">
        <w:t>–</w:t>
      </w:r>
      <w:r w:rsidR="009B0916">
        <w:t>17 (“</w:t>
      </w:r>
      <w:r w:rsidR="009B0916" w:rsidRPr="005A6CF7">
        <w:rPr>
          <w:b/>
          <w:bCs/>
        </w:rPr>
        <w:t>the Assessments</w:t>
      </w:r>
      <w:r w:rsidR="009B0916">
        <w:t xml:space="preserve">”). </w:t>
      </w:r>
      <w:r w:rsidR="00156345">
        <w:t xml:space="preserve">The FTT also allowed an appeal </w:t>
      </w:r>
      <w:r w:rsidR="00CB0AE7">
        <w:t xml:space="preserve">in part </w:t>
      </w:r>
      <w:r w:rsidR="00156345">
        <w:t>against</w:t>
      </w:r>
      <w:r w:rsidR="00CB0AE7">
        <w:t xml:space="preserve"> various penalty assessments for those years. </w:t>
      </w:r>
      <w:r w:rsidR="002732A6">
        <w:t xml:space="preserve">HMRC challenges the decision of the FTT to allow </w:t>
      </w:r>
      <w:r w:rsidR="005A3258">
        <w:t xml:space="preserve">the </w:t>
      </w:r>
      <w:r w:rsidR="002732A6">
        <w:t xml:space="preserve">appeals against the Assessments. It does not challenge the </w:t>
      </w:r>
      <w:r w:rsidR="00005653">
        <w:t>decision of the FTT in relation to the penalties.</w:t>
      </w:r>
    </w:p>
    <w:p w14:paraId="4F8C3620" w14:textId="7B44AF57" w:rsidR="00C62076" w:rsidRPr="00392B3F" w:rsidRDefault="00A2426B" w:rsidP="00B77BA5">
      <w:pPr>
        <w:pStyle w:val="Bodytexttax1"/>
      </w:pPr>
      <w:r>
        <w:t>During the tax years in question, Mr Kunjur</w:t>
      </w:r>
      <w:r w:rsidR="008F4101">
        <w:t xml:space="preserve"> </w:t>
      </w:r>
      <w:r>
        <w:t xml:space="preserve">was </w:t>
      </w:r>
      <w:r w:rsidR="00EF4726">
        <w:t>a junior doctor working at</w:t>
      </w:r>
      <w:r w:rsidR="003F04FC">
        <w:t xml:space="preserve"> </w:t>
      </w:r>
      <w:r w:rsidR="005A0322">
        <w:rPr>
          <w:rFonts w:ascii="TimesNewRomanPSMT" w:hAnsi="TimesNewRomanPSMT" w:cs="TimesNewRomanPSMT"/>
        </w:rPr>
        <w:t>St George’s Hospital, Tooting</w:t>
      </w:r>
      <w:r w:rsidR="007F1081">
        <w:rPr>
          <w:rFonts w:ascii="TimesNewRomanPSMT" w:hAnsi="TimesNewRomanPSMT" w:cs="TimesNewRomanPSMT"/>
        </w:rPr>
        <w:t xml:space="preserve">. </w:t>
      </w:r>
      <w:r w:rsidR="00045613">
        <w:rPr>
          <w:rFonts w:ascii="TimesNewRomanPSMT" w:hAnsi="TimesNewRomanPSMT" w:cs="TimesNewRomanPSMT"/>
        </w:rPr>
        <w:t>Throughout th</w:t>
      </w:r>
      <w:r w:rsidR="00663931">
        <w:rPr>
          <w:rFonts w:ascii="TimesNewRomanPSMT" w:hAnsi="TimesNewRomanPSMT" w:cs="TimesNewRomanPSMT"/>
        </w:rPr>
        <w:t>ose</w:t>
      </w:r>
      <w:r w:rsidR="00045613">
        <w:rPr>
          <w:rFonts w:ascii="TimesNewRomanPSMT" w:hAnsi="TimesNewRomanPSMT" w:cs="TimesNewRomanPSMT"/>
        </w:rPr>
        <w:t xml:space="preserve"> tax years his family home was in Southampton, where he lived with his wife and children. </w:t>
      </w:r>
      <w:r w:rsidR="007F1081">
        <w:rPr>
          <w:rFonts w:ascii="TimesNewRomanPSMT" w:hAnsi="TimesNewRomanPSMT" w:cs="TimesNewRomanPSMT"/>
        </w:rPr>
        <w:t>This appeal concern</w:t>
      </w:r>
      <w:r w:rsidR="006016FB">
        <w:rPr>
          <w:rFonts w:ascii="TimesNewRomanPSMT" w:hAnsi="TimesNewRomanPSMT" w:cs="TimesNewRomanPSMT"/>
        </w:rPr>
        <w:t>s</w:t>
      </w:r>
      <w:r w:rsidR="007F1081">
        <w:rPr>
          <w:rFonts w:ascii="TimesNewRomanPSMT" w:hAnsi="TimesNewRomanPSMT" w:cs="TimesNewRomanPSMT"/>
        </w:rPr>
        <w:t xml:space="preserve"> expenditure which </w:t>
      </w:r>
      <w:r w:rsidR="003556CB">
        <w:rPr>
          <w:rFonts w:ascii="TimesNewRomanPSMT" w:hAnsi="TimesNewRomanPSMT" w:cs="TimesNewRomanPSMT"/>
        </w:rPr>
        <w:t>Mr Kunjur</w:t>
      </w:r>
      <w:r w:rsidR="00A2304F">
        <w:rPr>
          <w:rFonts w:ascii="TimesNewRomanPSMT" w:hAnsi="TimesNewRomanPSMT" w:cs="TimesNewRomanPSMT"/>
        </w:rPr>
        <w:t xml:space="preserve"> incurred on living accommodation which he rented in Colliers Wood</w:t>
      </w:r>
      <w:r w:rsidR="006016FB">
        <w:rPr>
          <w:rFonts w:ascii="TimesNewRomanPSMT" w:hAnsi="TimesNewRomanPSMT" w:cs="TimesNewRomanPSMT"/>
        </w:rPr>
        <w:t>, near to the hospital</w:t>
      </w:r>
      <w:r w:rsidR="00B93541">
        <w:rPr>
          <w:rFonts w:ascii="TimesNewRomanPSMT" w:hAnsi="TimesNewRomanPSMT" w:cs="TimesNewRomanPSMT"/>
        </w:rPr>
        <w:t xml:space="preserve"> (“</w:t>
      </w:r>
      <w:r w:rsidR="00B93541" w:rsidRPr="005A6CF7">
        <w:rPr>
          <w:rFonts w:ascii="TimesNewRomanPSMT" w:hAnsi="TimesNewRomanPSMT" w:cs="TimesNewRomanPSMT"/>
          <w:b/>
          <w:bCs/>
        </w:rPr>
        <w:t>the Premises</w:t>
      </w:r>
      <w:r w:rsidR="00B93541">
        <w:rPr>
          <w:rFonts w:ascii="TimesNewRomanPSMT" w:hAnsi="TimesNewRomanPSMT" w:cs="TimesNewRomanPSMT"/>
        </w:rPr>
        <w:t>”)</w:t>
      </w:r>
      <w:r w:rsidR="006016FB">
        <w:rPr>
          <w:rFonts w:ascii="TimesNewRomanPSMT" w:hAnsi="TimesNewRomanPSMT" w:cs="TimesNewRomanPSMT"/>
        </w:rPr>
        <w:t xml:space="preserve">. </w:t>
      </w:r>
      <w:r w:rsidR="008F29BD">
        <w:rPr>
          <w:rFonts w:ascii="TimesNewRomanPSMT" w:hAnsi="TimesNewRomanPSMT" w:cs="TimesNewRomanPSMT"/>
        </w:rPr>
        <w:t xml:space="preserve">Mr Kunjur claimed relief for that expenditure in his tax returns for the </w:t>
      </w:r>
      <w:r w:rsidR="004274F0">
        <w:rPr>
          <w:rFonts w:ascii="TimesNewRomanPSMT" w:hAnsi="TimesNewRomanPSMT" w:cs="TimesNewRomanPSMT"/>
        </w:rPr>
        <w:t>relevant tax years.</w:t>
      </w:r>
      <w:r w:rsidR="009D29F1">
        <w:rPr>
          <w:rFonts w:ascii="TimesNewRomanPSMT" w:hAnsi="TimesNewRomanPSMT" w:cs="TimesNewRomanPSMT"/>
        </w:rPr>
        <w:t xml:space="preserve"> The FTT </w:t>
      </w:r>
      <w:r w:rsidR="00904B60">
        <w:rPr>
          <w:rFonts w:ascii="TimesNewRomanPSMT" w:hAnsi="TimesNewRomanPSMT" w:cs="TimesNewRomanPSMT"/>
        </w:rPr>
        <w:t xml:space="preserve">held </w:t>
      </w:r>
      <w:r w:rsidR="009D29F1">
        <w:rPr>
          <w:rFonts w:ascii="TimesNewRomanPSMT" w:hAnsi="TimesNewRomanPSMT" w:cs="TimesNewRomanPSMT"/>
        </w:rPr>
        <w:t xml:space="preserve">that he was entitled to relief for a proportion of the expenditure </w:t>
      </w:r>
      <w:r w:rsidR="00C80239">
        <w:rPr>
          <w:rFonts w:ascii="TimesNewRomanPSMT" w:hAnsi="TimesNewRomanPSMT" w:cs="TimesNewRomanPSMT"/>
        </w:rPr>
        <w:t xml:space="preserve">by reference to </w:t>
      </w:r>
      <w:r w:rsidR="00B93541">
        <w:rPr>
          <w:rFonts w:ascii="TimesNewRomanPSMT" w:hAnsi="TimesNewRomanPSMT" w:cs="TimesNewRomanPSMT"/>
        </w:rPr>
        <w:t xml:space="preserve">the amount of time </w:t>
      </w:r>
      <w:r w:rsidR="009B18DB">
        <w:rPr>
          <w:rFonts w:ascii="TimesNewRomanPSMT" w:hAnsi="TimesNewRomanPSMT" w:cs="TimesNewRomanPSMT"/>
        </w:rPr>
        <w:t xml:space="preserve">it considered </w:t>
      </w:r>
      <w:r w:rsidR="00BC510C">
        <w:rPr>
          <w:rFonts w:ascii="TimesNewRomanPSMT" w:hAnsi="TimesNewRomanPSMT" w:cs="TimesNewRomanPSMT"/>
        </w:rPr>
        <w:t xml:space="preserve">that </w:t>
      </w:r>
      <w:r w:rsidR="009B18DB">
        <w:rPr>
          <w:rFonts w:ascii="TimesNewRomanPSMT" w:hAnsi="TimesNewRomanPSMT" w:cs="TimesNewRomanPSMT"/>
        </w:rPr>
        <w:t xml:space="preserve">he </w:t>
      </w:r>
      <w:r w:rsidR="00B93541">
        <w:rPr>
          <w:rFonts w:ascii="TimesNewRomanPSMT" w:hAnsi="TimesNewRomanPSMT" w:cs="TimesNewRomanPSMT"/>
        </w:rPr>
        <w:t xml:space="preserve">spent at </w:t>
      </w:r>
      <w:r w:rsidR="009B18DB">
        <w:rPr>
          <w:rFonts w:ascii="TimesNewRomanPSMT" w:hAnsi="TimesNewRomanPSMT" w:cs="TimesNewRomanPSMT"/>
        </w:rPr>
        <w:t xml:space="preserve">the </w:t>
      </w:r>
      <w:r w:rsidR="00B93541">
        <w:rPr>
          <w:rFonts w:ascii="TimesNewRomanPSMT" w:hAnsi="TimesNewRomanPSMT" w:cs="TimesNewRomanPSMT"/>
        </w:rPr>
        <w:t xml:space="preserve">Premises </w:t>
      </w:r>
      <w:r w:rsidR="0092721A">
        <w:rPr>
          <w:rFonts w:ascii="TimesNewRomanPSMT" w:hAnsi="TimesNewRomanPSMT" w:cs="TimesNewRomanPSMT"/>
        </w:rPr>
        <w:t>per</w:t>
      </w:r>
      <w:r w:rsidR="00C853E5">
        <w:rPr>
          <w:rFonts w:ascii="TimesNewRomanPSMT" w:hAnsi="TimesNewRomanPSMT" w:cs="TimesNewRomanPSMT"/>
        </w:rPr>
        <w:t>forming some of the duties of his employment.</w:t>
      </w:r>
    </w:p>
    <w:p w14:paraId="3CBA4F1A" w14:textId="17374E8A" w:rsidR="00392B3F" w:rsidRPr="00C01055" w:rsidRDefault="00392B3F" w:rsidP="00B77BA5">
      <w:pPr>
        <w:pStyle w:val="Bodytexttax1"/>
      </w:pPr>
      <w:r>
        <w:rPr>
          <w:rFonts w:ascii="TimesNewRomanPSMT" w:hAnsi="TimesNewRomanPSMT" w:cs="TimesNewRomanPSMT"/>
        </w:rPr>
        <w:t xml:space="preserve">The relevant provision </w:t>
      </w:r>
      <w:r w:rsidR="00CC30EC">
        <w:rPr>
          <w:rFonts w:ascii="TimesNewRomanPSMT" w:hAnsi="TimesNewRomanPSMT" w:cs="TimesNewRomanPSMT"/>
        </w:rPr>
        <w:t xml:space="preserve">providing relief from income tax </w:t>
      </w:r>
      <w:r w:rsidR="00D43B30">
        <w:rPr>
          <w:rFonts w:ascii="TimesNewRomanPSMT" w:hAnsi="TimesNewRomanPSMT" w:cs="TimesNewRomanPSMT"/>
        </w:rPr>
        <w:t>is s</w:t>
      </w:r>
      <w:r w:rsidR="00247195">
        <w:rPr>
          <w:rFonts w:ascii="TimesNewRomanPSMT" w:hAnsi="TimesNewRomanPSMT" w:cs="TimesNewRomanPSMT"/>
        </w:rPr>
        <w:t>.</w:t>
      </w:r>
      <w:r w:rsidR="00D43B30">
        <w:rPr>
          <w:rFonts w:ascii="TimesNewRomanPSMT" w:hAnsi="TimesNewRomanPSMT" w:cs="TimesNewRomanPSMT"/>
        </w:rPr>
        <w:t xml:space="preserve"> </w:t>
      </w:r>
      <w:r w:rsidR="00C01055">
        <w:rPr>
          <w:rFonts w:ascii="TimesNewRomanPSMT" w:hAnsi="TimesNewRomanPSMT" w:cs="TimesNewRomanPSMT"/>
        </w:rPr>
        <w:t>336</w:t>
      </w:r>
      <w:r w:rsidR="00E556EB">
        <w:rPr>
          <w:rFonts w:ascii="TimesNewRomanPSMT" w:hAnsi="TimesNewRomanPSMT" w:cs="TimesNewRomanPSMT"/>
        </w:rPr>
        <w:t>(1)</w:t>
      </w:r>
      <w:r w:rsidR="00E23843">
        <w:rPr>
          <w:rFonts w:ascii="TimesNewRomanPSMT" w:hAnsi="TimesNewRomanPSMT" w:cs="TimesNewRomanPSMT"/>
        </w:rPr>
        <w:t xml:space="preserve"> </w:t>
      </w:r>
      <w:r w:rsidR="00247195">
        <w:rPr>
          <w:rFonts w:ascii="TimesNewRomanPSMT" w:hAnsi="TimesNewRomanPSMT" w:cs="TimesNewRomanPSMT"/>
        </w:rPr>
        <w:t xml:space="preserve">of the </w:t>
      </w:r>
      <w:r w:rsidR="00E23843">
        <w:rPr>
          <w:rFonts w:ascii="TimesNewRomanPSMT" w:hAnsi="TimesNewRomanPSMT" w:cs="TimesNewRomanPSMT"/>
        </w:rPr>
        <w:t>Income Tax (Earnings and Pensions) Act 2003</w:t>
      </w:r>
      <w:r w:rsidR="007761A8">
        <w:rPr>
          <w:rFonts w:ascii="TimesNewRomanPSMT" w:hAnsi="TimesNewRomanPSMT" w:cs="TimesNewRomanPSMT"/>
        </w:rPr>
        <w:t xml:space="preserve"> (“</w:t>
      </w:r>
      <w:r w:rsidR="007761A8" w:rsidRPr="005A6CF7">
        <w:rPr>
          <w:rFonts w:ascii="TimesNewRomanPSMT" w:hAnsi="TimesNewRomanPSMT" w:cs="TimesNewRomanPSMT"/>
          <w:b/>
          <w:bCs/>
        </w:rPr>
        <w:t>ITEPA 2003</w:t>
      </w:r>
      <w:r w:rsidR="007761A8">
        <w:rPr>
          <w:rFonts w:ascii="TimesNewRomanPSMT" w:hAnsi="TimesNewRomanPSMT" w:cs="TimesNewRomanPSMT"/>
        </w:rPr>
        <w:t>”)</w:t>
      </w:r>
      <w:r w:rsidR="00C01055">
        <w:rPr>
          <w:rFonts w:ascii="TimesNewRomanPSMT" w:hAnsi="TimesNewRomanPSMT" w:cs="TimesNewRomanPSMT"/>
        </w:rPr>
        <w:t>:</w:t>
      </w:r>
    </w:p>
    <w:p w14:paraId="6466533A" w14:textId="02F3582B" w:rsidR="00E556EB" w:rsidRDefault="00703ED8" w:rsidP="00444C33">
      <w:pPr>
        <w:autoSpaceDE w:val="0"/>
        <w:autoSpaceDN w:val="0"/>
        <w:adjustRightInd w:val="0"/>
        <w:ind w:left="567"/>
        <w:jc w:val="both"/>
        <w:rPr>
          <w:rFonts w:ascii="TimesNewRomanPSMT" w:hAnsi="TimesNewRomanPSMT" w:cs="TimesNewRomanPSMT"/>
          <w:sz w:val="22"/>
          <w:szCs w:val="22"/>
          <w:lang w:eastAsia="en-US"/>
        </w:rPr>
      </w:pPr>
      <w:r>
        <w:rPr>
          <w:rFonts w:ascii="TimesNewRomanPSMT" w:hAnsi="TimesNewRomanPSMT" w:cs="TimesNewRomanPSMT"/>
          <w:sz w:val="22"/>
          <w:szCs w:val="22"/>
          <w:lang w:eastAsia="en-US"/>
        </w:rPr>
        <w:t>“</w:t>
      </w:r>
      <w:r w:rsidR="00E556EB">
        <w:rPr>
          <w:rFonts w:ascii="TimesNewRomanPSMT" w:hAnsi="TimesNewRomanPSMT" w:cs="TimesNewRomanPSMT"/>
          <w:sz w:val="22"/>
          <w:szCs w:val="22"/>
          <w:lang w:eastAsia="en-US"/>
        </w:rPr>
        <w:t>(1) The general rule is that a deduction from earnings is allowed for an amount if —</w:t>
      </w:r>
    </w:p>
    <w:p w14:paraId="78E05973" w14:textId="77777777" w:rsidR="00444C33" w:rsidRDefault="00444C33" w:rsidP="00444C33">
      <w:pPr>
        <w:autoSpaceDE w:val="0"/>
        <w:autoSpaceDN w:val="0"/>
        <w:adjustRightInd w:val="0"/>
        <w:ind w:left="567"/>
        <w:jc w:val="both"/>
        <w:rPr>
          <w:rFonts w:ascii="TimesNewRomanPSMT" w:hAnsi="TimesNewRomanPSMT" w:cs="TimesNewRomanPSMT"/>
          <w:sz w:val="22"/>
          <w:szCs w:val="22"/>
          <w:lang w:eastAsia="en-US"/>
        </w:rPr>
      </w:pPr>
    </w:p>
    <w:p w14:paraId="4493B4C2" w14:textId="77777777" w:rsidR="00E556EB" w:rsidRDefault="00E556EB" w:rsidP="005831DB">
      <w:pPr>
        <w:autoSpaceDE w:val="0"/>
        <w:autoSpaceDN w:val="0"/>
        <w:adjustRightInd w:val="0"/>
        <w:ind w:left="1134"/>
        <w:jc w:val="both"/>
        <w:rPr>
          <w:rFonts w:ascii="TimesNewRomanPSMT" w:hAnsi="TimesNewRomanPSMT" w:cs="TimesNewRomanPSMT"/>
          <w:sz w:val="22"/>
          <w:szCs w:val="22"/>
          <w:lang w:eastAsia="en-US"/>
        </w:rPr>
      </w:pPr>
      <w:r>
        <w:rPr>
          <w:rFonts w:ascii="TimesNewRomanPSMT" w:hAnsi="TimesNewRomanPSMT" w:cs="TimesNewRomanPSMT"/>
          <w:sz w:val="22"/>
          <w:szCs w:val="22"/>
          <w:lang w:eastAsia="en-US"/>
        </w:rPr>
        <w:t>(a) the employee is obliged to incur and pay it as holder of the employment, and</w:t>
      </w:r>
    </w:p>
    <w:p w14:paraId="620747B9" w14:textId="77777777" w:rsidR="00444C33" w:rsidRDefault="00444C33" w:rsidP="005831DB">
      <w:pPr>
        <w:autoSpaceDE w:val="0"/>
        <w:autoSpaceDN w:val="0"/>
        <w:adjustRightInd w:val="0"/>
        <w:ind w:left="1134"/>
        <w:jc w:val="both"/>
        <w:rPr>
          <w:rFonts w:ascii="TimesNewRomanPSMT" w:hAnsi="TimesNewRomanPSMT" w:cs="TimesNewRomanPSMT"/>
          <w:sz w:val="22"/>
          <w:szCs w:val="22"/>
          <w:lang w:eastAsia="en-US"/>
        </w:rPr>
      </w:pPr>
    </w:p>
    <w:p w14:paraId="31BE626C" w14:textId="18E465F0" w:rsidR="00C01055" w:rsidRDefault="00E556EB" w:rsidP="005831DB">
      <w:pPr>
        <w:autoSpaceDE w:val="0"/>
        <w:autoSpaceDN w:val="0"/>
        <w:adjustRightInd w:val="0"/>
        <w:ind w:left="1134"/>
        <w:jc w:val="both"/>
        <w:rPr>
          <w:rFonts w:ascii="TimesNewRomanPSMT" w:hAnsi="TimesNewRomanPSMT" w:cs="TimesNewRomanPSMT"/>
          <w:sz w:val="22"/>
          <w:szCs w:val="22"/>
          <w:lang w:eastAsia="en-US"/>
        </w:rPr>
      </w:pPr>
      <w:r>
        <w:rPr>
          <w:rFonts w:ascii="TimesNewRomanPSMT" w:hAnsi="TimesNewRomanPSMT" w:cs="TimesNewRomanPSMT"/>
          <w:sz w:val="22"/>
          <w:szCs w:val="22"/>
          <w:lang w:eastAsia="en-US"/>
        </w:rPr>
        <w:t>(b) the amount is incurred wholly, exclusively and necessarily in the performance of the duties of the employment.</w:t>
      </w:r>
      <w:r w:rsidR="00703ED8">
        <w:rPr>
          <w:rFonts w:ascii="TimesNewRomanPSMT" w:hAnsi="TimesNewRomanPSMT" w:cs="TimesNewRomanPSMT"/>
          <w:sz w:val="22"/>
          <w:szCs w:val="22"/>
          <w:lang w:eastAsia="en-US"/>
        </w:rPr>
        <w:t>”</w:t>
      </w:r>
    </w:p>
    <w:p w14:paraId="1DDD8403" w14:textId="77777777" w:rsidR="00E556EB" w:rsidRPr="00E556EB" w:rsidRDefault="00E556EB" w:rsidP="00E556EB">
      <w:pPr>
        <w:autoSpaceDE w:val="0"/>
        <w:autoSpaceDN w:val="0"/>
        <w:adjustRightInd w:val="0"/>
        <w:rPr>
          <w:rFonts w:ascii="TimesNewRomanPSMT" w:hAnsi="TimesNewRomanPSMT" w:cs="TimesNewRomanPSMT"/>
          <w:sz w:val="22"/>
          <w:szCs w:val="22"/>
          <w:lang w:eastAsia="en-US"/>
        </w:rPr>
      </w:pPr>
    </w:p>
    <w:p w14:paraId="573F622D" w14:textId="2B04336F" w:rsidR="000B6A98" w:rsidRDefault="00647BF3" w:rsidP="00B77BA5">
      <w:pPr>
        <w:pStyle w:val="Bodytexttax1"/>
      </w:pPr>
      <w:r>
        <w:t xml:space="preserve">Shortly before the hearing of this appeal, Mr Kunjur withdrew his case on the appeal pursuant to Rule 17 of the </w:t>
      </w:r>
      <w:r w:rsidR="00CD6953">
        <w:t>Tribunal Procedure (</w:t>
      </w:r>
      <w:r>
        <w:t>Upper Tribunal</w:t>
      </w:r>
      <w:r w:rsidR="00CD6953">
        <w:t>)</w:t>
      </w:r>
      <w:r>
        <w:t xml:space="preserve"> Rules</w:t>
      </w:r>
      <w:r w:rsidR="00CD6953">
        <w:t xml:space="preserve"> 2008</w:t>
      </w:r>
      <w:r>
        <w:t xml:space="preserve">. </w:t>
      </w:r>
      <w:r w:rsidR="00281289">
        <w:t xml:space="preserve">He did so because </w:t>
      </w:r>
      <w:r w:rsidR="00C36844">
        <w:t xml:space="preserve">he was </w:t>
      </w:r>
      <w:r w:rsidR="00281289">
        <w:t>concern</w:t>
      </w:r>
      <w:r w:rsidR="00C36844">
        <w:t>ed</w:t>
      </w:r>
      <w:r w:rsidR="00281289">
        <w:t xml:space="preserve"> about his potential liability to costs </w:t>
      </w:r>
      <w:r w:rsidR="00202FE2">
        <w:t xml:space="preserve">if HMRC </w:t>
      </w:r>
      <w:r w:rsidR="00C36844">
        <w:t xml:space="preserve">were to </w:t>
      </w:r>
      <w:r w:rsidR="00202FE2">
        <w:t>succeed. In the light of his withdrawal, HMRC ha</w:t>
      </w:r>
      <w:r w:rsidR="002E2361">
        <w:t>s</w:t>
      </w:r>
      <w:r w:rsidR="00202FE2">
        <w:t xml:space="preserve"> stated that </w:t>
      </w:r>
      <w:r w:rsidR="002E2361">
        <w:t xml:space="preserve">it </w:t>
      </w:r>
      <w:r w:rsidR="00202FE2">
        <w:t xml:space="preserve">will not seek costs against Mr Kunjur in the event </w:t>
      </w:r>
      <w:r w:rsidR="00CD779E">
        <w:t xml:space="preserve">that </w:t>
      </w:r>
      <w:r w:rsidR="007365CD">
        <w:t xml:space="preserve">its </w:t>
      </w:r>
      <w:r w:rsidR="00202FE2">
        <w:t>appeal succeeds.</w:t>
      </w:r>
    </w:p>
    <w:p w14:paraId="537C2B7B" w14:textId="2845885D" w:rsidR="00E86E4B" w:rsidRDefault="00E86E4B" w:rsidP="00E86E4B">
      <w:pPr>
        <w:pStyle w:val="Heading1"/>
      </w:pPr>
      <w:r>
        <w:t>The FTT</w:t>
      </w:r>
      <w:r w:rsidR="00F90B00">
        <w:t>’s findings of fact</w:t>
      </w:r>
    </w:p>
    <w:p w14:paraId="0CE69FF1" w14:textId="39073174" w:rsidR="005C5BB9" w:rsidRDefault="00647BF3" w:rsidP="005C5BB9">
      <w:pPr>
        <w:pStyle w:val="Bodytexttax1"/>
      </w:pPr>
      <w:r>
        <w:t xml:space="preserve"> </w:t>
      </w:r>
      <w:r w:rsidR="00D1019B">
        <w:t xml:space="preserve">The facts </w:t>
      </w:r>
      <w:r w:rsidR="00F90B00">
        <w:t xml:space="preserve">found by the FTT </w:t>
      </w:r>
      <w:r w:rsidR="00697F1A">
        <w:t xml:space="preserve">are at </w:t>
      </w:r>
      <w:r w:rsidR="007365CD">
        <w:t>§</w:t>
      </w:r>
      <w:r w:rsidR="00697F1A">
        <w:t xml:space="preserve">2 of the Decision. The relevant facts </w:t>
      </w:r>
      <w:r w:rsidR="00F90B00">
        <w:t>may be summarised as follows:</w:t>
      </w:r>
    </w:p>
    <w:p w14:paraId="4772C4D4" w14:textId="03763B3D" w:rsidR="00DC6878" w:rsidRDefault="009D6CDA" w:rsidP="009E2C0B">
      <w:pPr>
        <w:pStyle w:val="Bodytexttax2"/>
        <w:ind w:left="454"/>
      </w:pPr>
      <w:r>
        <w:t xml:space="preserve">Mr Kunjur was a </w:t>
      </w:r>
      <w:r w:rsidR="002131AE">
        <w:t>practising</w:t>
      </w:r>
      <w:r w:rsidR="003F6F1B">
        <w:t xml:space="preserve"> dental surgeon and wanted to qualify as a </w:t>
      </w:r>
      <w:r w:rsidR="00C50E6F">
        <w:t>maxillofacial surgeon</w:t>
      </w:r>
      <w:r w:rsidR="00086A13">
        <w:t>. He accepted a position at St George’s Hospital and the period of his training was from 2012 to 2016.</w:t>
      </w:r>
    </w:p>
    <w:p w14:paraId="74AA7F8C" w14:textId="79307F47" w:rsidR="004F666D" w:rsidRDefault="005C5BB9" w:rsidP="004F666D">
      <w:pPr>
        <w:pStyle w:val="Bodytexttax2"/>
        <w:ind w:left="454"/>
      </w:pPr>
      <w:r w:rsidRPr="005C5BB9">
        <w:t>Mr Kunjur’s family w</w:t>
      </w:r>
      <w:r w:rsidR="00273985">
        <w:t>as</w:t>
      </w:r>
      <w:r w:rsidRPr="005C5BB9">
        <w:t xml:space="preserve"> established in Southampton</w:t>
      </w:r>
      <w:r w:rsidR="00C77DB8">
        <w:t xml:space="preserve"> and it was not possible for him to move his family to London.</w:t>
      </w:r>
    </w:p>
    <w:p w14:paraId="3AB4F011" w14:textId="2BF6BCA6" w:rsidR="00CF690D" w:rsidRPr="00BA5FBB" w:rsidRDefault="004F666D" w:rsidP="00CF690D">
      <w:pPr>
        <w:pStyle w:val="Bodytexttax2"/>
        <w:ind w:left="454"/>
        <w:rPr>
          <w:szCs w:val="24"/>
        </w:rPr>
      </w:pPr>
      <w:r w:rsidRPr="00BA5FBB">
        <w:rPr>
          <w:szCs w:val="24"/>
        </w:rPr>
        <w:t>Mr Kunjur’s contractual duties required him to be on-call two nights each week (not necessarily the same two nights) and one weekend in six</w:t>
      </w:r>
      <w:r w:rsidR="00240B07">
        <w:rPr>
          <w:szCs w:val="24"/>
        </w:rPr>
        <w:t xml:space="preserve"> in addition to his daily duties</w:t>
      </w:r>
      <w:r w:rsidRPr="00BA5FBB">
        <w:rPr>
          <w:szCs w:val="24"/>
        </w:rPr>
        <w:t xml:space="preserve">. </w:t>
      </w:r>
      <w:r w:rsidR="000C32DD" w:rsidRPr="00BA5FBB">
        <w:rPr>
          <w:szCs w:val="24"/>
        </w:rPr>
        <w:t xml:space="preserve">When on-call, </w:t>
      </w:r>
      <w:r w:rsidRPr="00BA5FBB">
        <w:rPr>
          <w:szCs w:val="24"/>
        </w:rPr>
        <w:t>he would cover patients in all wards of the hospital</w:t>
      </w:r>
      <w:r w:rsidR="00C8550E">
        <w:rPr>
          <w:szCs w:val="24"/>
        </w:rPr>
        <w:t xml:space="preserve"> and</w:t>
      </w:r>
      <w:r w:rsidRPr="00BA5FBB">
        <w:rPr>
          <w:szCs w:val="24"/>
        </w:rPr>
        <w:t xml:space="preserve"> not just the maxillofacial patients. </w:t>
      </w:r>
      <w:r w:rsidR="000C32DD" w:rsidRPr="00BA5FBB">
        <w:rPr>
          <w:szCs w:val="24"/>
        </w:rPr>
        <w:t xml:space="preserve">The FTT described these as his </w:t>
      </w:r>
      <w:r w:rsidRPr="00BA5FBB">
        <w:rPr>
          <w:szCs w:val="24"/>
        </w:rPr>
        <w:t xml:space="preserve">“formal on-call duties”. In addition, if any maxillofacial patient required assistance during the night, it was normal for </w:t>
      </w:r>
      <w:r w:rsidR="00A1053C" w:rsidRPr="00BA5FBB">
        <w:rPr>
          <w:szCs w:val="24"/>
        </w:rPr>
        <w:t xml:space="preserve">Mr Kunjur to </w:t>
      </w:r>
      <w:r w:rsidRPr="00BA5FBB">
        <w:rPr>
          <w:szCs w:val="24"/>
        </w:rPr>
        <w:t>be called for advice</w:t>
      </w:r>
      <w:r w:rsidR="00A1053C" w:rsidRPr="00BA5FBB">
        <w:rPr>
          <w:szCs w:val="24"/>
        </w:rPr>
        <w:t>.</w:t>
      </w:r>
      <w:r w:rsidRPr="00BA5FBB">
        <w:rPr>
          <w:szCs w:val="24"/>
        </w:rPr>
        <w:t xml:space="preserve"> </w:t>
      </w:r>
      <w:r w:rsidR="00A1053C" w:rsidRPr="00BA5FBB">
        <w:rPr>
          <w:szCs w:val="24"/>
        </w:rPr>
        <w:t xml:space="preserve">The </w:t>
      </w:r>
      <w:r w:rsidR="00A1053C" w:rsidRPr="00BA5FBB">
        <w:rPr>
          <w:szCs w:val="24"/>
        </w:rPr>
        <w:lastRenderedPageBreak/>
        <w:t xml:space="preserve">FTT referred to this as </w:t>
      </w:r>
      <w:r w:rsidRPr="00BA5FBB">
        <w:rPr>
          <w:szCs w:val="24"/>
        </w:rPr>
        <w:t>the “informal on-call duties”. Mr Kunjur received calls on most nights and regarded himself as permanently on-call.</w:t>
      </w:r>
    </w:p>
    <w:p w14:paraId="418BA295" w14:textId="0F12ECCD" w:rsidR="00763575" w:rsidRPr="00BA5FBB" w:rsidRDefault="00CF690D" w:rsidP="00763575">
      <w:pPr>
        <w:pStyle w:val="Bodytexttax2"/>
        <w:ind w:left="454"/>
        <w:rPr>
          <w:szCs w:val="24"/>
        </w:rPr>
      </w:pPr>
      <w:r w:rsidRPr="00BA5FBB">
        <w:rPr>
          <w:szCs w:val="24"/>
        </w:rPr>
        <w:t>Mr Kunjur had to have accommodation within 30 minutes</w:t>
      </w:r>
      <w:r w:rsidR="00577EC7">
        <w:rPr>
          <w:szCs w:val="24"/>
        </w:rPr>
        <w:t>’</w:t>
      </w:r>
      <w:r w:rsidRPr="00BA5FBB">
        <w:rPr>
          <w:szCs w:val="24"/>
        </w:rPr>
        <w:t xml:space="preserve"> travelling time from the hospital to discharge the formal on-call duties</w:t>
      </w:r>
      <w:r w:rsidR="002765F4" w:rsidRPr="00BA5FBB">
        <w:rPr>
          <w:szCs w:val="24"/>
        </w:rPr>
        <w:t xml:space="preserve">. He also had to have </w:t>
      </w:r>
      <w:r w:rsidRPr="00BA5FBB">
        <w:rPr>
          <w:szCs w:val="24"/>
        </w:rPr>
        <w:t>appropriate and reliable telephone connections to be able to discharge all the on-call duties.</w:t>
      </w:r>
    </w:p>
    <w:p w14:paraId="6287273A" w14:textId="32871D23" w:rsidR="00012F03" w:rsidRPr="00BA5FBB" w:rsidRDefault="00A151CB" w:rsidP="00012F03">
      <w:pPr>
        <w:pStyle w:val="Bodytexttax2"/>
        <w:ind w:left="454"/>
        <w:rPr>
          <w:szCs w:val="24"/>
        </w:rPr>
      </w:pPr>
      <w:r w:rsidRPr="00BA5FBB">
        <w:rPr>
          <w:szCs w:val="24"/>
        </w:rPr>
        <w:t xml:space="preserve">Mr Kunjur had </w:t>
      </w:r>
      <w:r w:rsidR="00195329">
        <w:rPr>
          <w:szCs w:val="24"/>
        </w:rPr>
        <w:t xml:space="preserve">certain </w:t>
      </w:r>
      <w:r w:rsidRPr="00BA5FBB">
        <w:rPr>
          <w:szCs w:val="24"/>
        </w:rPr>
        <w:t>obligations as a doctor</w:t>
      </w:r>
      <w:r w:rsidR="00195329">
        <w:rPr>
          <w:szCs w:val="24"/>
        </w:rPr>
        <w:t>.</w:t>
      </w:r>
      <w:r w:rsidR="00F97705">
        <w:rPr>
          <w:szCs w:val="24"/>
        </w:rPr>
        <w:t xml:space="preserve"> T</w:t>
      </w:r>
      <w:r w:rsidR="003445A3" w:rsidRPr="00BA5FBB">
        <w:rPr>
          <w:szCs w:val="24"/>
        </w:rPr>
        <w:t xml:space="preserve">he </w:t>
      </w:r>
      <w:r w:rsidR="0006250E" w:rsidRPr="00BA5FBB">
        <w:rPr>
          <w:szCs w:val="24"/>
        </w:rPr>
        <w:t xml:space="preserve">General Medical Council </w:t>
      </w:r>
      <w:r w:rsidR="003445A3" w:rsidRPr="00BA5FBB">
        <w:rPr>
          <w:szCs w:val="24"/>
        </w:rPr>
        <w:t>require</w:t>
      </w:r>
      <w:r w:rsidR="009D707E" w:rsidRPr="00BA5FBB">
        <w:rPr>
          <w:szCs w:val="24"/>
        </w:rPr>
        <w:t>d doctors to “</w:t>
      </w:r>
      <w:r w:rsidR="009D707E" w:rsidRPr="00DA5008">
        <w:rPr>
          <w:szCs w:val="24"/>
        </w:rPr>
        <w:t>make the care of your patient your first concern</w:t>
      </w:r>
      <w:r w:rsidR="00FB26B3" w:rsidRPr="00BA5FBB">
        <w:rPr>
          <w:szCs w:val="24"/>
        </w:rPr>
        <w:t xml:space="preserve">”. He </w:t>
      </w:r>
      <w:r w:rsidR="00763575" w:rsidRPr="00BA5FBB">
        <w:rPr>
          <w:szCs w:val="24"/>
        </w:rPr>
        <w:t xml:space="preserve">put the interests of his patients before those of his family and </w:t>
      </w:r>
      <w:r w:rsidR="00020AC7">
        <w:rPr>
          <w:szCs w:val="24"/>
        </w:rPr>
        <w:t xml:space="preserve">therefore </w:t>
      </w:r>
      <w:r w:rsidR="00FB26B3" w:rsidRPr="00BA5FBB">
        <w:rPr>
          <w:szCs w:val="24"/>
        </w:rPr>
        <w:t>rented the Premises</w:t>
      </w:r>
      <w:r w:rsidR="00F97705">
        <w:rPr>
          <w:szCs w:val="24"/>
        </w:rPr>
        <w:t>.</w:t>
      </w:r>
      <w:r w:rsidR="00FB26B3" w:rsidRPr="00BA5FBB">
        <w:rPr>
          <w:szCs w:val="24"/>
        </w:rPr>
        <w:t xml:space="preserve"> </w:t>
      </w:r>
      <w:r w:rsidR="00763575" w:rsidRPr="00BA5FBB">
        <w:rPr>
          <w:szCs w:val="24"/>
        </w:rPr>
        <w:t xml:space="preserve">He stayed at the </w:t>
      </w:r>
      <w:r w:rsidR="00FB26B3" w:rsidRPr="00BA5FBB">
        <w:rPr>
          <w:szCs w:val="24"/>
        </w:rPr>
        <w:t xml:space="preserve">Premises </w:t>
      </w:r>
      <w:r w:rsidR="00763575" w:rsidRPr="00BA5FBB">
        <w:rPr>
          <w:szCs w:val="24"/>
        </w:rPr>
        <w:t xml:space="preserve">during the week and one weekend in six to discharge his formal on-call duties. He drove </w:t>
      </w:r>
      <w:r w:rsidR="001B670A">
        <w:rPr>
          <w:szCs w:val="24"/>
        </w:rPr>
        <w:t xml:space="preserve">home </w:t>
      </w:r>
      <w:r w:rsidR="00763575" w:rsidRPr="00BA5FBB">
        <w:rPr>
          <w:szCs w:val="24"/>
        </w:rPr>
        <w:t xml:space="preserve">to Southampton </w:t>
      </w:r>
      <w:r w:rsidR="00C64BFC">
        <w:rPr>
          <w:szCs w:val="24"/>
        </w:rPr>
        <w:t>each</w:t>
      </w:r>
      <w:r w:rsidR="00C64BFC" w:rsidRPr="00BA5FBB">
        <w:rPr>
          <w:szCs w:val="24"/>
        </w:rPr>
        <w:t xml:space="preserve"> </w:t>
      </w:r>
      <w:r w:rsidR="00763575" w:rsidRPr="00BA5FBB">
        <w:rPr>
          <w:szCs w:val="24"/>
        </w:rPr>
        <w:t xml:space="preserve">Friday and would return </w:t>
      </w:r>
      <w:r w:rsidR="001B670A">
        <w:rPr>
          <w:szCs w:val="24"/>
        </w:rPr>
        <w:t xml:space="preserve">to Colliers Wood </w:t>
      </w:r>
      <w:r w:rsidR="00763575" w:rsidRPr="00BA5FBB">
        <w:rPr>
          <w:szCs w:val="24"/>
        </w:rPr>
        <w:t>the following Sunday to begin work on Monday</w:t>
      </w:r>
      <w:r w:rsidR="00BF1553" w:rsidRPr="00BA5FBB">
        <w:rPr>
          <w:szCs w:val="24"/>
        </w:rPr>
        <w:t>.</w:t>
      </w:r>
      <w:r w:rsidR="00763575" w:rsidRPr="00BA5FBB">
        <w:rPr>
          <w:szCs w:val="24"/>
        </w:rPr>
        <w:t xml:space="preserve"> </w:t>
      </w:r>
    </w:p>
    <w:p w14:paraId="08683870" w14:textId="77777777" w:rsidR="00BA5FBB" w:rsidRPr="00BA5FBB" w:rsidRDefault="00012F03" w:rsidP="00BA5FBB">
      <w:pPr>
        <w:pStyle w:val="Bodytexttax2"/>
        <w:ind w:left="454"/>
        <w:rPr>
          <w:szCs w:val="24"/>
        </w:rPr>
      </w:pPr>
      <w:r w:rsidRPr="00BA5FBB">
        <w:rPr>
          <w:szCs w:val="24"/>
        </w:rPr>
        <w:t xml:space="preserve">Mr Kunjur did not regard Colliers Wood </w:t>
      </w:r>
      <w:r w:rsidR="00FE39AD" w:rsidRPr="00BA5FBB">
        <w:rPr>
          <w:szCs w:val="24"/>
        </w:rPr>
        <w:t xml:space="preserve">as </w:t>
      </w:r>
      <w:r w:rsidRPr="00BA5FBB">
        <w:rPr>
          <w:szCs w:val="24"/>
        </w:rPr>
        <w:t>an attractive place to live</w:t>
      </w:r>
      <w:r w:rsidR="00FE39AD" w:rsidRPr="00BA5FBB">
        <w:rPr>
          <w:szCs w:val="24"/>
        </w:rPr>
        <w:t xml:space="preserve">. </w:t>
      </w:r>
      <w:r w:rsidRPr="00BA5FBB">
        <w:rPr>
          <w:szCs w:val="24"/>
        </w:rPr>
        <w:t>He never invited his family to visit him in London</w:t>
      </w:r>
      <w:r w:rsidR="00FE39AD" w:rsidRPr="00BA5FBB">
        <w:rPr>
          <w:szCs w:val="24"/>
        </w:rPr>
        <w:t>.</w:t>
      </w:r>
    </w:p>
    <w:p w14:paraId="07CE60FB" w14:textId="254EA562" w:rsidR="000B0933" w:rsidRPr="000B0933" w:rsidRDefault="00BA5FBB" w:rsidP="000B0933">
      <w:pPr>
        <w:pStyle w:val="Bodytexttax2"/>
        <w:ind w:left="454"/>
        <w:rPr>
          <w:szCs w:val="24"/>
        </w:rPr>
      </w:pPr>
      <w:r w:rsidRPr="000B0933">
        <w:rPr>
          <w:szCs w:val="24"/>
        </w:rPr>
        <w:t>The FTT considered that it would have been unreasonable to expect Mr Kunjur</w:t>
      </w:r>
      <w:r w:rsidR="00421B4D">
        <w:rPr>
          <w:szCs w:val="24"/>
        </w:rPr>
        <w:t>, a mature dental surgeon of 17 years’ experience,</w:t>
      </w:r>
      <w:r w:rsidRPr="000B0933">
        <w:rPr>
          <w:szCs w:val="24"/>
        </w:rPr>
        <w:t xml:space="preserve"> to use residential accommodation available in the hospital which was used by undergraduates, or to find hotel accommodation.</w:t>
      </w:r>
      <w:r w:rsidR="000B0933" w:rsidRPr="000B0933">
        <w:rPr>
          <w:szCs w:val="24"/>
        </w:rPr>
        <w:t xml:space="preserve"> In particular, it did not consider </w:t>
      </w:r>
      <w:r w:rsidR="00102C52">
        <w:rPr>
          <w:szCs w:val="24"/>
        </w:rPr>
        <w:t xml:space="preserve">that </w:t>
      </w:r>
      <w:r w:rsidR="000B0933" w:rsidRPr="000B0933">
        <w:rPr>
          <w:szCs w:val="24"/>
        </w:rPr>
        <w:t>such accommodation would provide the “</w:t>
      </w:r>
      <w:r w:rsidR="000B0933" w:rsidRPr="00102C52">
        <w:rPr>
          <w:szCs w:val="24"/>
        </w:rPr>
        <w:t>peace, quiet and stability that were necessary for Mr Kunjur to discharge his duties as a trainee maxillofacial surgeon</w:t>
      </w:r>
      <w:r w:rsidR="000B0933" w:rsidRPr="000B0933">
        <w:rPr>
          <w:szCs w:val="24"/>
        </w:rPr>
        <w:t>”.</w:t>
      </w:r>
      <w:r w:rsidR="00E60BE3">
        <w:rPr>
          <w:szCs w:val="24"/>
        </w:rPr>
        <w:t xml:space="preserve"> The Premises </w:t>
      </w:r>
      <w:r w:rsidR="00E43C62">
        <w:rPr>
          <w:szCs w:val="24"/>
        </w:rPr>
        <w:t xml:space="preserve">were modest but </w:t>
      </w:r>
      <w:r w:rsidR="00E60BE3">
        <w:rPr>
          <w:szCs w:val="24"/>
        </w:rPr>
        <w:t>provided Mr Kunjur with a</w:t>
      </w:r>
      <w:r w:rsidR="00E43C62">
        <w:rPr>
          <w:szCs w:val="24"/>
        </w:rPr>
        <w:t>n appropriate</w:t>
      </w:r>
      <w:r w:rsidR="00E60BE3">
        <w:rPr>
          <w:szCs w:val="24"/>
        </w:rPr>
        <w:t xml:space="preserve"> place to sleep and study.</w:t>
      </w:r>
    </w:p>
    <w:p w14:paraId="109F7A10" w14:textId="2A6D93A6" w:rsidR="00455472" w:rsidRDefault="00914814" w:rsidP="00914814">
      <w:pPr>
        <w:pStyle w:val="Heading1"/>
      </w:pPr>
      <w:r>
        <w:t>The Decision</w:t>
      </w:r>
      <w:r w:rsidR="00086F4E">
        <w:t xml:space="preserve"> and HMRC’s appeal</w:t>
      </w:r>
    </w:p>
    <w:p w14:paraId="61C0195E" w14:textId="5F0D662D" w:rsidR="00914814" w:rsidRDefault="00914814" w:rsidP="00914814">
      <w:pPr>
        <w:pStyle w:val="Bodytexttax1"/>
      </w:pPr>
      <w:r>
        <w:t xml:space="preserve">The FTT addressed </w:t>
      </w:r>
      <w:r w:rsidR="00086F4E">
        <w:t xml:space="preserve">the following </w:t>
      </w:r>
      <w:r>
        <w:t>issues in the Decision</w:t>
      </w:r>
      <w:r w:rsidR="00456081">
        <w:t>:</w:t>
      </w:r>
    </w:p>
    <w:p w14:paraId="295001CF" w14:textId="41705F52" w:rsidR="00086F4E" w:rsidRPr="00086F4E" w:rsidRDefault="00456081" w:rsidP="00086F4E">
      <w:pPr>
        <w:pStyle w:val="Bodytexttax2"/>
        <w:ind w:left="454"/>
      </w:pPr>
      <w:r>
        <w:t>W</w:t>
      </w:r>
      <w:r w:rsidR="00086F4E">
        <w:t xml:space="preserve">hether </w:t>
      </w:r>
      <w:r w:rsidR="00086F4E" w:rsidRPr="008F2015">
        <w:rPr>
          <w:sz w:val="23"/>
          <w:szCs w:val="23"/>
        </w:rPr>
        <w:t xml:space="preserve">Mr Kunjur was obliged to incur the expenses </w:t>
      </w:r>
      <w:r w:rsidR="00EE03F4">
        <w:rPr>
          <w:sz w:val="23"/>
          <w:szCs w:val="23"/>
        </w:rPr>
        <w:t xml:space="preserve">of renting the Premises </w:t>
      </w:r>
      <w:r w:rsidR="00086F4E" w:rsidRPr="008F2015">
        <w:rPr>
          <w:sz w:val="23"/>
          <w:szCs w:val="23"/>
        </w:rPr>
        <w:t>as the holder of an office or an employment.</w:t>
      </w:r>
    </w:p>
    <w:p w14:paraId="5E4C6A0B" w14:textId="04758516" w:rsidR="00086F4E" w:rsidRDefault="00B67320" w:rsidP="00BF3CB7">
      <w:pPr>
        <w:pStyle w:val="Bodytexttax2"/>
        <w:tabs>
          <w:tab w:val="clear" w:pos="2061"/>
          <w:tab w:val="num" w:pos="1210"/>
        </w:tabs>
        <w:spacing w:after="240"/>
        <w:ind w:left="454"/>
      </w:pPr>
      <w:r>
        <w:t>Whether t</w:t>
      </w:r>
      <w:r w:rsidR="00086F4E">
        <w:t>h</w:t>
      </w:r>
      <w:r w:rsidR="00EE03F4">
        <w:t>ose</w:t>
      </w:r>
      <w:r w:rsidR="00086F4E">
        <w:t xml:space="preserve"> expenses were incurred wholly</w:t>
      </w:r>
      <w:r w:rsidR="00A67402">
        <w:t xml:space="preserve">, </w:t>
      </w:r>
      <w:r w:rsidR="00086F4E">
        <w:t xml:space="preserve">exclusively and necessarily in the performance of the duties of the office or employment. </w:t>
      </w:r>
    </w:p>
    <w:p w14:paraId="4F9A1C13" w14:textId="02C57F85" w:rsidR="00086F4E" w:rsidRPr="007E068C" w:rsidRDefault="00086F4E" w:rsidP="00086F4E">
      <w:pPr>
        <w:pStyle w:val="Bodytexttax1"/>
        <w:rPr>
          <w:rFonts w:ascii="TimesNewRomanPSMT" w:hAnsi="TimesNewRomanPSMT" w:cs="TimesNewRomanPSMT"/>
        </w:rPr>
      </w:pPr>
      <w:r>
        <w:t>The FTT dealt with the second issue as two separate issues</w:t>
      </w:r>
      <w:r w:rsidR="007E068C">
        <w:t xml:space="preserve">: (a) </w:t>
      </w:r>
      <w:r>
        <w:t>what the FTT described as the “wholly and exclusiv</w:t>
      </w:r>
      <w:r w:rsidR="007E068C">
        <w:t>ely</w:t>
      </w:r>
      <w:r>
        <w:t xml:space="preserve"> test”</w:t>
      </w:r>
      <w:r w:rsidR="007E068C">
        <w:t xml:space="preserve">; and (b) </w:t>
      </w:r>
      <w:r>
        <w:t xml:space="preserve">what the FTT described as the “in the performance of the duties test”. </w:t>
      </w:r>
      <w:r w:rsidR="007E068C">
        <w:t>T</w:t>
      </w:r>
      <w:r>
        <w:t xml:space="preserve">he FTT’s reasoning </w:t>
      </w:r>
      <w:r w:rsidR="007E068C">
        <w:t xml:space="preserve">appears </w:t>
      </w:r>
      <w:r w:rsidR="00B67320">
        <w:t xml:space="preserve">in the Decision </w:t>
      </w:r>
      <w:r w:rsidR="007E068C">
        <w:t>under the following headings</w:t>
      </w:r>
      <w:r>
        <w:t>.</w:t>
      </w:r>
    </w:p>
    <w:p w14:paraId="089375E2" w14:textId="34E14462" w:rsidR="007E068C" w:rsidRPr="00086F4E" w:rsidRDefault="007E068C" w:rsidP="007E068C">
      <w:pPr>
        <w:pStyle w:val="Heading2"/>
      </w:pPr>
      <w:r>
        <w:t>Obligation as the holder of employment to incur expenditure</w:t>
      </w:r>
    </w:p>
    <w:p w14:paraId="4C73E8D1" w14:textId="07BDAC9C" w:rsidR="00C348FE" w:rsidRDefault="00086F4E" w:rsidP="00C60FFB">
      <w:pPr>
        <w:pStyle w:val="Bodytexttax1"/>
        <w:autoSpaceDE w:val="0"/>
        <w:autoSpaceDN w:val="0"/>
        <w:adjustRightInd w:val="0"/>
        <w:rPr>
          <w:szCs w:val="24"/>
        </w:rPr>
      </w:pPr>
      <w:r w:rsidRPr="00DF40CC">
        <w:rPr>
          <w:szCs w:val="24"/>
        </w:rPr>
        <w:t xml:space="preserve">The FTT </w:t>
      </w:r>
      <w:r w:rsidR="007E068C" w:rsidRPr="00DF40CC">
        <w:rPr>
          <w:szCs w:val="24"/>
        </w:rPr>
        <w:t xml:space="preserve">firstly </w:t>
      </w:r>
      <w:r w:rsidR="00914814" w:rsidRPr="00DF40CC">
        <w:rPr>
          <w:szCs w:val="24"/>
        </w:rPr>
        <w:t xml:space="preserve">considered at </w:t>
      </w:r>
      <w:r w:rsidR="005F1ECF">
        <w:rPr>
          <w:szCs w:val="24"/>
        </w:rPr>
        <w:t>§§</w:t>
      </w:r>
      <w:r w:rsidR="00914814" w:rsidRPr="00DF40CC">
        <w:rPr>
          <w:szCs w:val="24"/>
        </w:rPr>
        <w:t>14</w:t>
      </w:r>
      <w:r w:rsidR="005F1ECF">
        <w:rPr>
          <w:szCs w:val="24"/>
        </w:rPr>
        <w:t>–</w:t>
      </w:r>
      <w:r w:rsidR="00914814" w:rsidRPr="00DF40CC">
        <w:rPr>
          <w:szCs w:val="24"/>
        </w:rPr>
        <w:t>17 whether Mr Kunjur was obliged to incur the expenses as the holder of an office or an employment. The reference to an office does not appear in s</w:t>
      </w:r>
      <w:r w:rsidR="0010303C">
        <w:rPr>
          <w:szCs w:val="24"/>
        </w:rPr>
        <w:t>.</w:t>
      </w:r>
      <w:r w:rsidR="00914814" w:rsidRPr="00DF40CC">
        <w:rPr>
          <w:szCs w:val="24"/>
        </w:rPr>
        <w:t xml:space="preserve"> 336, but it appears in previous versions of th</w:t>
      </w:r>
      <w:r w:rsidR="00FD2475" w:rsidRPr="00DF40CC">
        <w:rPr>
          <w:szCs w:val="24"/>
        </w:rPr>
        <w:t>e</w:t>
      </w:r>
      <w:r w:rsidR="00914814" w:rsidRPr="00DF40CC">
        <w:rPr>
          <w:szCs w:val="24"/>
        </w:rPr>
        <w:t xml:space="preserve"> provision and is referred to in some of the authorities. </w:t>
      </w:r>
      <w:r w:rsidR="007761A8" w:rsidRPr="00DF40CC">
        <w:rPr>
          <w:szCs w:val="24"/>
        </w:rPr>
        <w:t xml:space="preserve">Section 5 ITEPA 2003 provides that </w:t>
      </w:r>
      <w:r w:rsidR="00BA3F91" w:rsidRPr="00DF40CC">
        <w:rPr>
          <w:szCs w:val="24"/>
        </w:rPr>
        <w:t xml:space="preserve">provisions in </w:t>
      </w:r>
      <w:r w:rsidR="00C14110" w:rsidRPr="00DF40CC">
        <w:rPr>
          <w:szCs w:val="24"/>
        </w:rPr>
        <w:t xml:space="preserve">that Act expressed to apply to employments apply </w:t>
      </w:r>
      <w:r w:rsidR="00536695">
        <w:rPr>
          <w:szCs w:val="24"/>
        </w:rPr>
        <w:t xml:space="preserve">equally </w:t>
      </w:r>
      <w:r w:rsidR="00C14110" w:rsidRPr="00DF40CC">
        <w:rPr>
          <w:szCs w:val="24"/>
        </w:rPr>
        <w:t>to offices.</w:t>
      </w:r>
    </w:p>
    <w:p w14:paraId="64B107BA" w14:textId="4CE30CEA" w:rsidR="008F2015" w:rsidRPr="00DF40CC" w:rsidRDefault="00914814" w:rsidP="00C60FFB">
      <w:pPr>
        <w:pStyle w:val="Bodytexttax1"/>
        <w:autoSpaceDE w:val="0"/>
        <w:autoSpaceDN w:val="0"/>
        <w:adjustRightInd w:val="0"/>
        <w:rPr>
          <w:szCs w:val="24"/>
        </w:rPr>
      </w:pPr>
      <w:r w:rsidRPr="00DF40CC">
        <w:rPr>
          <w:szCs w:val="24"/>
        </w:rPr>
        <w:t>The FTT considered that “the test” in this regard was objective in relation to the holder of an office.</w:t>
      </w:r>
      <w:r w:rsidR="008F2015" w:rsidRPr="00DF40CC">
        <w:rPr>
          <w:szCs w:val="24"/>
        </w:rPr>
        <w:t xml:space="preserve"> </w:t>
      </w:r>
      <w:r w:rsidR="00C60FFB" w:rsidRPr="00DF40CC">
        <w:rPr>
          <w:szCs w:val="24"/>
        </w:rPr>
        <w:t xml:space="preserve">It </w:t>
      </w:r>
      <w:r w:rsidR="008F2015" w:rsidRPr="00DF40CC">
        <w:rPr>
          <w:szCs w:val="24"/>
        </w:rPr>
        <w:t xml:space="preserve">went on to suggest that the test in relation to employees “may be subjective”, but in any event held that the objective test was satisfied. It stated at </w:t>
      </w:r>
      <w:r w:rsidR="00A049AA">
        <w:rPr>
          <w:szCs w:val="24"/>
        </w:rPr>
        <w:t>§</w:t>
      </w:r>
      <w:r w:rsidR="008F2015" w:rsidRPr="00DF40CC">
        <w:rPr>
          <w:szCs w:val="24"/>
        </w:rPr>
        <w:t>14 that Mr Kunjur was subject to the professional obligation to place the interests of his patients above his own</w:t>
      </w:r>
      <w:r w:rsidR="002B7CD0">
        <w:rPr>
          <w:szCs w:val="24"/>
        </w:rPr>
        <w:t>,</w:t>
      </w:r>
      <w:r w:rsidR="008F2015" w:rsidRPr="00DF40CC">
        <w:rPr>
          <w:szCs w:val="24"/>
        </w:rPr>
        <w:t xml:space="preserve"> and </w:t>
      </w:r>
      <w:r w:rsidR="002B7CD0">
        <w:rPr>
          <w:szCs w:val="24"/>
        </w:rPr>
        <w:t xml:space="preserve">this </w:t>
      </w:r>
      <w:r w:rsidR="008F2015" w:rsidRPr="00DF40CC">
        <w:rPr>
          <w:szCs w:val="24"/>
        </w:rPr>
        <w:t xml:space="preserve">was an obligation </w:t>
      </w:r>
      <w:r w:rsidR="002B7CD0">
        <w:rPr>
          <w:szCs w:val="24"/>
        </w:rPr>
        <w:t xml:space="preserve">imposed </w:t>
      </w:r>
      <w:r w:rsidR="008F2015" w:rsidRPr="00DF40CC">
        <w:rPr>
          <w:szCs w:val="24"/>
        </w:rPr>
        <w:t>on Mr Kunjur as an employee of St George’s Hospital. The FTT continued:</w:t>
      </w:r>
    </w:p>
    <w:p w14:paraId="383F0AD7" w14:textId="057FC0C2" w:rsidR="008F2015" w:rsidRPr="008F2015" w:rsidRDefault="00BF3CB7" w:rsidP="008F2015">
      <w:pPr>
        <w:pStyle w:val="Bodytexttax1"/>
        <w:numPr>
          <w:ilvl w:val="0"/>
          <w:numId w:val="0"/>
        </w:numPr>
        <w:ind w:left="425"/>
        <w:rPr>
          <w:sz w:val="22"/>
          <w:szCs w:val="22"/>
        </w:rPr>
      </w:pPr>
      <w:r>
        <w:rPr>
          <w:sz w:val="22"/>
          <w:szCs w:val="22"/>
        </w:rPr>
        <w:t>“</w:t>
      </w:r>
      <w:r w:rsidR="008F2015" w:rsidRPr="008F2015">
        <w:rPr>
          <w:sz w:val="22"/>
          <w:szCs w:val="22"/>
        </w:rPr>
        <w:t>15. Mr Kunjur’s formal on-call duties required him to be able to treat patients within 30 minutes of being called which duty meant Mr Kunjur could not perform them from So</w:t>
      </w:r>
      <w:r w:rsidR="00867AC1">
        <w:rPr>
          <w:sz w:val="22"/>
          <w:szCs w:val="22"/>
        </w:rPr>
        <w:t>u</w:t>
      </w:r>
      <w:r w:rsidR="008F2015" w:rsidRPr="008F2015">
        <w:rPr>
          <w:sz w:val="22"/>
          <w:szCs w:val="22"/>
        </w:rPr>
        <w:t xml:space="preserve">thampton and as it was not </w:t>
      </w:r>
      <w:r w:rsidR="008F2015" w:rsidRPr="008F2015">
        <w:rPr>
          <w:sz w:val="22"/>
          <w:szCs w:val="22"/>
        </w:rPr>
        <w:lastRenderedPageBreak/>
        <w:t xml:space="preserve">reasonable to expect Mr Kunjur to use the undergraduate accommodation or to uproot his family for the duration of the relatively short-term training contract, it was necessary for Mr Kunjur to rent accommodation in London. </w:t>
      </w:r>
    </w:p>
    <w:p w14:paraId="7EBBC1E2" w14:textId="77777777" w:rsidR="008F2015" w:rsidRPr="008F2015" w:rsidRDefault="008F2015" w:rsidP="008F2015">
      <w:pPr>
        <w:pStyle w:val="Bodytexttax1"/>
        <w:numPr>
          <w:ilvl w:val="0"/>
          <w:numId w:val="0"/>
        </w:numPr>
        <w:ind w:left="425"/>
        <w:rPr>
          <w:sz w:val="22"/>
          <w:szCs w:val="22"/>
        </w:rPr>
      </w:pPr>
      <w:r w:rsidRPr="008F2015">
        <w:rPr>
          <w:sz w:val="22"/>
          <w:szCs w:val="22"/>
        </w:rPr>
        <w:t xml:space="preserve">16. Mr Kunjur was obliged to live close to the St George’s hospital to be able to perform his formal on-call duties. We accept Mr Kunjur’s explanation that in cases of traumatic head injury which was his specialism, it is imperative to treat patients very quickly and the rule of thumb used by doctors is that they should be able to get to the hospital and be ready to treat the patients within 30 minutes of being called. The accommodation in Collier’s Wood was within a 30-minute journey of the St George’s hospital. </w:t>
      </w:r>
    </w:p>
    <w:p w14:paraId="2076961D" w14:textId="07C37E0C" w:rsidR="008F2015" w:rsidRDefault="008F2015" w:rsidP="008F2015">
      <w:pPr>
        <w:pStyle w:val="Bodytexttax1"/>
        <w:numPr>
          <w:ilvl w:val="0"/>
          <w:numId w:val="0"/>
        </w:numPr>
        <w:ind w:left="425"/>
      </w:pPr>
      <w:r w:rsidRPr="008F2015">
        <w:rPr>
          <w:sz w:val="22"/>
          <w:szCs w:val="22"/>
        </w:rPr>
        <w:t>17. Mr Kunjur was obliged to incur the expenditure on accommodation in Colliers Wood, as the holder of an employment.</w:t>
      </w:r>
      <w:r w:rsidR="00BF3CB7">
        <w:rPr>
          <w:sz w:val="22"/>
          <w:szCs w:val="22"/>
        </w:rPr>
        <w:t>”</w:t>
      </w:r>
      <w:r>
        <w:t xml:space="preserve"> </w:t>
      </w:r>
    </w:p>
    <w:p w14:paraId="03DE0F52" w14:textId="53E03C6C" w:rsidR="007E068C" w:rsidRDefault="007E068C" w:rsidP="007E068C">
      <w:pPr>
        <w:pStyle w:val="Heading2"/>
      </w:pPr>
      <w:r>
        <w:t>Wholly and exclusively test</w:t>
      </w:r>
    </w:p>
    <w:p w14:paraId="250C146E" w14:textId="71C750D9" w:rsidR="007E068C" w:rsidRDefault="007E068C" w:rsidP="005507DA">
      <w:pPr>
        <w:pStyle w:val="Bodytexttax1"/>
        <w:rPr>
          <w:sz w:val="23"/>
          <w:szCs w:val="23"/>
        </w:rPr>
      </w:pPr>
      <w:r>
        <w:rPr>
          <w:sz w:val="23"/>
          <w:szCs w:val="23"/>
        </w:rPr>
        <w:t>The FTT described this test as follows:</w:t>
      </w:r>
    </w:p>
    <w:p w14:paraId="469ABF39" w14:textId="459F7D05" w:rsidR="007E068C" w:rsidRPr="007E068C" w:rsidRDefault="00BF3CB7" w:rsidP="007E068C">
      <w:pPr>
        <w:pStyle w:val="Bodytexttax1"/>
        <w:numPr>
          <w:ilvl w:val="0"/>
          <w:numId w:val="0"/>
        </w:numPr>
        <w:ind w:left="425"/>
        <w:rPr>
          <w:sz w:val="22"/>
          <w:szCs w:val="22"/>
        </w:rPr>
      </w:pPr>
      <w:r>
        <w:rPr>
          <w:sz w:val="22"/>
          <w:szCs w:val="22"/>
        </w:rPr>
        <w:t>“</w:t>
      </w:r>
      <w:r w:rsidR="007E068C" w:rsidRPr="007E068C">
        <w:rPr>
          <w:sz w:val="22"/>
          <w:szCs w:val="22"/>
        </w:rPr>
        <w:t xml:space="preserve">18. The wholly and </w:t>
      </w:r>
      <w:r w:rsidR="00B76A85">
        <w:rPr>
          <w:sz w:val="22"/>
          <w:szCs w:val="22"/>
        </w:rPr>
        <w:t>[</w:t>
      </w:r>
      <w:r w:rsidR="007E068C" w:rsidRPr="007E068C">
        <w:rPr>
          <w:sz w:val="22"/>
          <w:szCs w:val="22"/>
        </w:rPr>
        <w:t>exclusiv</w:t>
      </w:r>
      <w:r w:rsidR="00B76A85">
        <w:rPr>
          <w:sz w:val="22"/>
          <w:szCs w:val="22"/>
        </w:rPr>
        <w:t>ely]</w:t>
      </w:r>
      <w:r w:rsidR="00A67402">
        <w:rPr>
          <w:sz w:val="22"/>
          <w:szCs w:val="22"/>
        </w:rPr>
        <w:t xml:space="preserve"> </w:t>
      </w:r>
      <w:r w:rsidR="007E068C" w:rsidRPr="007E068C">
        <w:rPr>
          <w:sz w:val="22"/>
          <w:szCs w:val="22"/>
        </w:rPr>
        <w:t>test will only be met in respect of a particular expenditure, where there is no private benefit to the holder of the employment, other than a merely incidental benefit.</w:t>
      </w:r>
      <w:r>
        <w:rPr>
          <w:sz w:val="22"/>
          <w:szCs w:val="22"/>
        </w:rPr>
        <w:t>”</w:t>
      </w:r>
      <w:r w:rsidR="007E068C" w:rsidRPr="007E068C">
        <w:rPr>
          <w:sz w:val="22"/>
          <w:szCs w:val="22"/>
        </w:rPr>
        <w:t xml:space="preserve"> </w:t>
      </w:r>
    </w:p>
    <w:p w14:paraId="69E1DCB4" w14:textId="413C80A3" w:rsidR="008F2015" w:rsidRDefault="00E56D68" w:rsidP="005507DA">
      <w:pPr>
        <w:pStyle w:val="Bodytexttax1"/>
        <w:rPr>
          <w:sz w:val="23"/>
          <w:szCs w:val="23"/>
        </w:rPr>
      </w:pPr>
      <w:r>
        <w:rPr>
          <w:sz w:val="23"/>
          <w:szCs w:val="23"/>
        </w:rPr>
        <w:t xml:space="preserve">The FTT </w:t>
      </w:r>
      <w:r w:rsidR="007E068C">
        <w:rPr>
          <w:sz w:val="23"/>
          <w:szCs w:val="23"/>
        </w:rPr>
        <w:t>went on to find that:</w:t>
      </w:r>
    </w:p>
    <w:p w14:paraId="5B95C443" w14:textId="3DDE6384" w:rsidR="007E068C" w:rsidRPr="007A5AA0" w:rsidRDefault="00BF3CB7" w:rsidP="007A5AA0">
      <w:pPr>
        <w:pStyle w:val="Bodytexttax2"/>
        <w:numPr>
          <w:ilvl w:val="0"/>
          <w:numId w:val="0"/>
        </w:numPr>
        <w:spacing w:before="120"/>
        <w:ind w:left="454"/>
        <w:rPr>
          <w:sz w:val="22"/>
          <w:szCs w:val="22"/>
        </w:rPr>
      </w:pPr>
      <w:r>
        <w:rPr>
          <w:sz w:val="22"/>
          <w:szCs w:val="22"/>
        </w:rPr>
        <w:t>“</w:t>
      </w:r>
      <w:r w:rsidR="007E068C" w:rsidRPr="007A5AA0">
        <w:rPr>
          <w:sz w:val="22"/>
          <w:szCs w:val="22"/>
        </w:rPr>
        <w:t xml:space="preserve">19. Mr Kunjur obtained no personal benefit from the accommodation at the weekends when he was not on formal on-call. </w:t>
      </w:r>
    </w:p>
    <w:p w14:paraId="61E06781" w14:textId="77777777" w:rsidR="007A5AA0" w:rsidRPr="007A5AA0" w:rsidRDefault="007A5AA0" w:rsidP="007A5AA0">
      <w:pPr>
        <w:pStyle w:val="Default"/>
        <w:spacing w:before="120" w:after="120"/>
        <w:ind w:left="454"/>
        <w:jc w:val="both"/>
        <w:rPr>
          <w:sz w:val="22"/>
          <w:szCs w:val="22"/>
        </w:rPr>
      </w:pPr>
      <w:r w:rsidRPr="007A5AA0">
        <w:rPr>
          <w:sz w:val="22"/>
          <w:szCs w:val="22"/>
        </w:rPr>
        <w:t xml:space="preserve">20. </w:t>
      </w:r>
      <w:r w:rsidR="007E068C" w:rsidRPr="007A5AA0">
        <w:rPr>
          <w:sz w:val="22"/>
          <w:szCs w:val="22"/>
        </w:rPr>
        <w:t>Mr Kunjur did not derive any private benefit from the accommodation when he was on formal on-call and actually in attendance at the hospital. Nor did he gain private benefit when he was on informal on-call and was actually called for the duration of the call or when he went to the hospital during informal on-call.</w:t>
      </w:r>
    </w:p>
    <w:p w14:paraId="2AFA9572" w14:textId="4E2DC768" w:rsidR="007A5AA0" w:rsidRPr="007A5AA0" w:rsidRDefault="007A5AA0" w:rsidP="007A5AA0">
      <w:pPr>
        <w:pStyle w:val="Default"/>
        <w:spacing w:before="120" w:after="120"/>
        <w:ind w:left="454"/>
        <w:jc w:val="both"/>
        <w:rPr>
          <w:sz w:val="22"/>
          <w:szCs w:val="22"/>
        </w:rPr>
      </w:pPr>
      <w:r w:rsidRPr="007A5AA0">
        <w:rPr>
          <w:sz w:val="22"/>
          <w:szCs w:val="22"/>
        </w:rPr>
        <w:t>21. Although Mr Kunjur did undertake research and prepare articles during the week as required by his employment, there was no requirement for him to be so close to the hospital on those nights and therefore it is impossible to say that he did not obtain any private benefit from the use of the accommodation while preparing those articles.</w:t>
      </w:r>
      <w:r w:rsidR="00BF3CB7">
        <w:rPr>
          <w:sz w:val="22"/>
          <w:szCs w:val="22"/>
        </w:rPr>
        <w:t>”</w:t>
      </w:r>
      <w:r w:rsidRPr="007A5AA0">
        <w:rPr>
          <w:sz w:val="22"/>
          <w:szCs w:val="22"/>
        </w:rPr>
        <w:t xml:space="preserve"> </w:t>
      </w:r>
    </w:p>
    <w:p w14:paraId="574DBB21" w14:textId="058F3492" w:rsidR="007E068C" w:rsidRDefault="007E068C" w:rsidP="007E068C">
      <w:pPr>
        <w:pStyle w:val="Default"/>
        <w:rPr>
          <w:sz w:val="23"/>
          <w:szCs w:val="23"/>
        </w:rPr>
      </w:pPr>
      <w:r>
        <w:rPr>
          <w:sz w:val="23"/>
          <w:szCs w:val="23"/>
        </w:rPr>
        <w:t xml:space="preserve"> </w:t>
      </w:r>
    </w:p>
    <w:p w14:paraId="4B11EF1B" w14:textId="01E536AA" w:rsidR="007E068C" w:rsidRDefault="007A5AA0" w:rsidP="007A5AA0">
      <w:pPr>
        <w:pStyle w:val="Bodytexttax1"/>
      </w:pPr>
      <w:r>
        <w:t>The FTT concluded:</w:t>
      </w:r>
    </w:p>
    <w:p w14:paraId="635E8378" w14:textId="4C2024EB" w:rsidR="007A5AA0" w:rsidRPr="007A5AA0" w:rsidRDefault="00BF3CB7" w:rsidP="007A5AA0">
      <w:pPr>
        <w:pStyle w:val="Bodytexttax1"/>
        <w:numPr>
          <w:ilvl w:val="0"/>
          <w:numId w:val="0"/>
        </w:numPr>
        <w:ind w:left="425"/>
        <w:rPr>
          <w:sz w:val="22"/>
          <w:szCs w:val="22"/>
        </w:rPr>
      </w:pPr>
      <w:r>
        <w:rPr>
          <w:sz w:val="22"/>
          <w:szCs w:val="22"/>
        </w:rPr>
        <w:t>“</w:t>
      </w:r>
      <w:r w:rsidR="007A5AA0" w:rsidRPr="007A5AA0">
        <w:rPr>
          <w:sz w:val="22"/>
          <w:szCs w:val="22"/>
        </w:rPr>
        <w:t>22. We note that the expression wholly and exclusively is used in the computation of business profits in which context relief is allowed for a proportion of an item of expenditure that is in fact used for business purposes. We see no reason to adopt a different approach in the context of section 336.</w:t>
      </w:r>
      <w:r>
        <w:rPr>
          <w:sz w:val="22"/>
          <w:szCs w:val="22"/>
        </w:rPr>
        <w:t>”</w:t>
      </w:r>
      <w:r w:rsidR="007A5AA0" w:rsidRPr="007A5AA0">
        <w:rPr>
          <w:sz w:val="22"/>
          <w:szCs w:val="22"/>
        </w:rPr>
        <w:t xml:space="preserve"> </w:t>
      </w:r>
    </w:p>
    <w:p w14:paraId="4CA06BD4" w14:textId="48AEE5E6" w:rsidR="008F2015" w:rsidRDefault="007A5AA0" w:rsidP="007A5AA0">
      <w:pPr>
        <w:pStyle w:val="Heading2"/>
      </w:pPr>
      <w:r>
        <w:t>In the performance of the duties test</w:t>
      </w:r>
    </w:p>
    <w:p w14:paraId="5A47CF32" w14:textId="3D7DDE21" w:rsidR="008F2015" w:rsidRDefault="007A5AA0" w:rsidP="005507DA">
      <w:pPr>
        <w:pStyle w:val="Bodytexttax1"/>
        <w:rPr>
          <w:sz w:val="23"/>
          <w:szCs w:val="23"/>
        </w:rPr>
      </w:pPr>
      <w:r>
        <w:rPr>
          <w:sz w:val="23"/>
          <w:szCs w:val="23"/>
        </w:rPr>
        <w:t>The FTT said this as to whether the expenditure was incurred by Mr Kunjur in the performance of his duties:</w:t>
      </w:r>
    </w:p>
    <w:p w14:paraId="48114CD1" w14:textId="29883729" w:rsidR="007A5AA0" w:rsidRPr="007A5AA0" w:rsidRDefault="00BF3CB7" w:rsidP="007A5AA0">
      <w:pPr>
        <w:pStyle w:val="Bodytexttax1"/>
        <w:numPr>
          <w:ilvl w:val="0"/>
          <w:numId w:val="0"/>
        </w:numPr>
        <w:ind w:left="425"/>
        <w:rPr>
          <w:sz w:val="22"/>
          <w:szCs w:val="22"/>
        </w:rPr>
      </w:pPr>
      <w:r>
        <w:rPr>
          <w:sz w:val="22"/>
          <w:szCs w:val="22"/>
        </w:rPr>
        <w:t>“</w:t>
      </w:r>
      <w:r w:rsidR="007A5AA0" w:rsidRPr="007A5AA0">
        <w:rPr>
          <w:sz w:val="22"/>
          <w:szCs w:val="22"/>
        </w:rPr>
        <w:t xml:space="preserve">23. When Mr Kunjur was on informal on-call and gave advice over the telephone from the accommodation, the accommodation and telephone was used in the performance of the duties for the duration of the calls. When Mr Kunjur was on formal on-call and was present at the hospital the accommodation was not being used in the performance of the employment. Being present at the accommodation waiting for a call is not the performance of the duties. </w:t>
      </w:r>
    </w:p>
    <w:p w14:paraId="5ABCCF7B" w14:textId="0FEE4AB0" w:rsidR="007A5AA0" w:rsidRDefault="007A5AA0" w:rsidP="007A5AA0">
      <w:pPr>
        <w:pStyle w:val="Bodytexttax1"/>
        <w:numPr>
          <w:ilvl w:val="0"/>
          <w:numId w:val="0"/>
        </w:numPr>
        <w:ind w:left="425"/>
      </w:pPr>
      <w:r w:rsidRPr="007A5AA0">
        <w:rPr>
          <w:sz w:val="22"/>
          <w:szCs w:val="22"/>
        </w:rPr>
        <w:t>24. When Mr Kunjur carried out research to prepare articles as he was required to do as part of his employment, the accommodation was used for the performance of his duties.</w:t>
      </w:r>
      <w:r w:rsidR="00BF3CB7">
        <w:rPr>
          <w:sz w:val="22"/>
          <w:szCs w:val="22"/>
        </w:rPr>
        <w:t>”</w:t>
      </w:r>
      <w:r>
        <w:t xml:space="preserve"> </w:t>
      </w:r>
    </w:p>
    <w:p w14:paraId="20BF7E1E" w14:textId="128BF46C" w:rsidR="007A5AA0" w:rsidRDefault="007A5AA0" w:rsidP="005507DA">
      <w:pPr>
        <w:pStyle w:val="Bodytexttax1"/>
        <w:rPr>
          <w:sz w:val="23"/>
          <w:szCs w:val="23"/>
        </w:rPr>
      </w:pPr>
      <w:r>
        <w:rPr>
          <w:sz w:val="23"/>
          <w:szCs w:val="23"/>
        </w:rPr>
        <w:lastRenderedPageBreak/>
        <w:t xml:space="preserve">Having considered the three </w:t>
      </w:r>
      <w:r w:rsidR="00E56D68">
        <w:rPr>
          <w:sz w:val="23"/>
          <w:szCs w:val="23"/>
        </w:rPr>
        <w:t>issues</w:t>
      </w:r>
      <w:r w:rsidR="00F15492">
        <w:rPr>
          <w:sz w:val="23"/>
          <w:szCs w:val="23"/>
        </w:rPr>
        <w:t xml:space="preserve"> of </w:t>
      </w:r>
      <w:r w:rsidR="007C1891">
        <w:rPr>
          <w:sz w:val="23"/>
          <w:szCs w:val="23"/>
        </w:rPr>
        <w:t xml:space="preserve">the obligation as the holder of employment, the </w:t>
      </w:r>
      <w:r w:rsidR="00041E4C">
        <w:rPr>
          <w:sz w:val="23"/>
          <w:szCs w:val="23"/>
        </w:rPr>
        <w:t>wholly and exclusively test, and the performance of the duties test</w:t>
      </w:r>
      <w:r>
        <w:rPr>
          <w:sz w:val="23"/>
          <w:szCs w:val="23"/>
        </w:rPr>
        <w:t xml:space="preserve">, the FTT’s overall conclusion </w:t>
      </w:r>
      <w:r w:rsidR="008A20E0">
        <w:rPr>
          <w:sz w:val="23"/>
          <w:szCs w:val="23"/>
        </w:rPr>
        <w:t xml:space="preserve">in §24 </w:t>
      </w:r>
      <w:r>
        <w:rPr>
          <w:sz w:val="23"/>
          <w:szCs w:val="23"/>
        </w:rPr>
        <w:t>was as follows:</w:t>
      </w:r>
    </w:p>
    <w:p w14:paraId="36BF21B2" w14:textId="0B8AA05B" w:rsidR="007A5AA0" w:rsidRPr="007A5AA0" w:rsidRDefault="008A20E0" w:rsidP="007A5AA0">
      <w:pPr>
        <w:pStyle w:val="Bodytexttax1"/>
        <w:numPr>
          <w:ilvl w:val="0"/>
          <w:numId w:val="0"/>
        </w:numPr>
        <w:ind w:left="425"/>
        <w:rPr>
          <w:sz w:val="22"/>
          <w:szCs w:val="22"/>
        </w:rPr>
      </w:pPr>
      <w:r>
        <w:rPr>
          <w:sz w:val="22"/>
          <w:szCs w:val="22"/>
        </w:rPr>
        <w:t>“</w:t>
      </w:r>
      <w:r w:rsidR="007A5AA0" w:rsidRPr="007A5AA0">
        <w:rPr>
          <w:sz w:val="22"/>
          <w:szCs w:val="22"/>
        </w:rPr>
        <w:t>We therefore conclude that a proportion only of the expenditure on accommodation will satisfy all three aspects of the test laid down by section 336, and the proportion will be determined by reference to the amount of time Mr Kunjur spent giving advice from the accommodation while on informal and formal on-call.</w:t>
      </w:r>
      <w:r>
        <w:rPr>
          <w:sz w:val="22"/>
          <w:szCs w:val="22"/>
        </w:rPr>
        <w:t>”</w:t>
      </w:r>
    </w:p>
    <w:p w14:paraId="1E54FD15" w14:textId="38CED4E8" w:rsidR="007A5AA0" w:rsidRPr="00914814" w:rsidRDefault="007A5AA0" w:rsidP="007A5AA0">
      <w:pPr>
        <w:pStyle w:val="Heading1"/>
      </w:pPr>
      <w:r>
        <w:t>HMRC’s grounds of appeal</w:t>
      </w:r>
    </w:p>
    <w:p w14:paraId="31DCB266" w14:textId="51004E57" w:rsidR="00E22932" w:rsidRDefault="007A5AA0" w:rsidP="00E22932">
      <w:pPr>
        <w:pStyle w:val="Bodytexttax1"/>
      </w:pPr>
      <w:r>
        <w:t>HMRC appeals with permission of the Upper Tribunal on three grounds</w:t>
      </w:r>
      <w:r w:rsidR="003C46AA">
        <w:t xml:space="preserve">, </w:t>
      </w:r>
      <w:r w:rsidR="00E22932">
        <w:t xml:space="preserve">which correspond to the three issues </w:t>
      </w:r>
      <w:r w:rsidR="00287235">
        <w:t xml:space="preserve">considered </w:t>
      </w:r>
      <w:r w:rsidR="00E22932">
        <w:t>by the FTT</w:t>
      </w:r>
      <w:r w:rsidR="003C46AA">
        <w:t>:</w:t>
      </w:r>
    </w:p>
    <w:p w14:paraId="2BF963BD" w14:textId="2DEB9873" w:rsidR="00E22932" w:rsidRDefault="00E22932" w:rsidP="00E22932">
      <w:pPr>
        <w:pStyle w:val="Bodytexttax2"/>
        <w:autoSpaceDE w:val="0"/>
        <w:autoSpaceDN w:val="0"/>
        <w:adjustRightInd w:val="0"/>
        <w:ind w:left="454"/>
        <w:rPr>
          <w:rFonts w:ascii="TimesNewRomanPSMT" w:hAnsi="TimesNewRomanPSMT" w:cs="TimesNewRomanPSMT"/>
        </w:rPr>
      </w:pPr>
      <w:r>
        <w:t>T</w:t>
      </w:r>
      <w:r w:rsidRPr="00E22932">
        <w:t>he FTT erred in law in its approach to the issue of whether Mr Kunjur</w:t>
      </w:r>
      <w:r>
        <w:t xml:space="preserve"> </w:t>
      </w:r>
      <w:r w:rsidRPr="00E22932">
        <w:rPr>
          <w:rFonts w:ascii="TimesNewRomanPSMT" w:hAnsi="TimesNewRomanPSMT" w:cs="TimesNewRomanPSMT"/>
        </w:rPr>
        <w:t>was obliged to incur the expenses as holder of the employment; took into account irrelevant considerations; and/or reached perverse conclusions regarding the requirements of Mr Kunjur’s role, which materially affected its finding that he was</w:t>
      </w:r>
      <w:r>
        <w:rPr>
          <w:rFonts w:ascii="TimesNewRomanPSMT" w:hAnsi="TimesNewRomanPSMT" w:cs="TimesNewRomanPSMT"/>
        </w:rPr>
        <w:t xml:space="preserve"> </w:t>
      </w:r>
      <w:r w:rsidRPr="00E22932">
        <w:rPr>
          <w:rFonts w:ascii="TimesNewRomanPSMT" w:hAnsi="TimesNewRomanPSMT" w:cs="TimesNewRomanPSMT"/>
        </w:rPr>
        <w:t>obliged to incur the expenditure as the holder of an employment.</w:t>
      </w:r>
    </w:p>
    <w:p w14:paraId="72938651" w14:textId="4F6E4E93" w:rsidR="00E22932" w:rsidRDefault="00E22932" w:rsidP="00E22932">
      <w:pPr>
        <w:pStyle w:val="Bodytexttax2"/>
        <w:autoSpaceDE w:val="0"/>
        <w:autoSpaceDN w:val="0"/>
        <w:adjustRightInd w:val="0"/>
        <w:ind w:left="454"/>
        <w:rPr>
          <w:rFonts w:ascii="TimesNewRomanPSMT" w:hAnsi="TimesNewRomanPSMT" w:cs="TimesNewRomanPSMT"/>
        </w:rPr>
      </w:pPr>
      <w:r>
        <w:rPr>
          <w:rFonts w:ascii="TimesNewRomanPSMT" w:hAnsi="TimesNewRomanPSMT" w:cs="TimesNewRomanPSMT"/>
        </w:rPr>
        <w:t>T</w:t>
      </w:r>
      <w:r w:rsidRPr="00E22932">
        <w:rPr>
          <w:rFonts w:ascii="TimesNewRomanPSMT" w:hAnsi="TimesNewRomanPSMT" w:cs="TimesNewRomanPSMT"/>
        </w:rPr>
        <w:t>he FTT erred in law in its approach to the issue of whether the expenditure was wholly and exclusively incurred by Mr Kunjur in the performance of the duties of his employment; took into account irrelevant considerations; and/or reached perverse conclusions regarding the requirements of his role, which</w:t>
      </w:r>
      <w:r>
        <w:rPr>
          <w:rFonts w:ascii="TimesNewRomanPSMT" w:hAnsi="TimesNewRomanPSMT" w:cs="TimesNewRomanPSMT"/>
        </w:rPr>
        <w:t xml:space="preserve"> </w:t>
      </w:r>
      <w:r w:rsidRPr="00E22932">
        <w:rPr>
          <w:rFonts w:ascii="TimesNewRomanPSMT" w:hAnsi="TimesNewRomanPSMT" w:cs="TimesNewRomanPSMT"/>
        </w:rPr>
        <w:t>materially affected its finding as to his use of the accommodation.</w:t>
      </w:r>
    </w:p>
    <w:p w14:paraId="18326BC6" w14:textId="6A5171D1" w:rsidR="003C46AA" w:rsidRDefault="00E22932" w:rsidP="006C2673">
      <w:pPr>
        <w:pStyle w:val="Bodytexttax2"/>
        <w:autoSpaceDE w:val="0"/>
        <w:autoSpaceDN w:val="0"/>
        <w:adjustRightInd w:val="0"/>
        <w:ind w:left="454"/>
      </w:pPr>
      <w:r>
        <w:rPr>
          <w:rFonts w:ascii="TimesNewRomanPSMT" w:hAnsi="TimesNewRomanPSMT" w:cs="TimesNewRomanPSMT"/>
        </w:rPr>
        <w:t>T</w:t>
      </w:r>
      <w:r w:rsidRPr="00E22932">
        <w:rPr>
          <w:rFonts w:ascii="TimesNewRomanPSMT" w:hAnsi="TimesNewRomanPSMT" w:cs="TimesNewRomanPSMT"/>
        </w:rPr>
        <w:t xml:space="preserve">he FTT erred in law </w:t>
      </w:r>
      <w:r w:rsidR="005952C4">
        <w:rPr>
          <w:rFonts w:ascii="TimesNewRomanPSMT" w:hAnsi="TimesNewRomanPSMT" w:cs="TimesNewRomanPSMT"/>
        </w:rPr>
        <w:t xml:space="preserve">in </w:t>
      </w:r>
      <w:r w:rsidRPr="00E22932">
        <w:rPr>
          <w:rFonts w:ascii="TimesNewRomanPSMT" w:hAnsi="TimesNewRomanPSMT" w:cs="TimesNewRomanPSMT"/>
        </w:rPr>
        <w:t>its approach to the issue of whether the expenditure was incurred in the performance of the duties of Mr Kunjur’s employment; and/or</w:t>
      </w:r>
      <w:r>
        <w:rPr>
          <w:rFonts w:ascii="TimesNewRomanPSMT" w:hAnsi="TimesNewRomanPSMT" w:cs="TimesNewRomanPSMT"/>
        </w:rPr>
        <w:t xml:space="preserve"> </w:t>
      </w:r>
      <w:r w:rsidRPr="00E22932">
        <w:rPr>
          <w:rFonts w:ascii="TimesNewRomanPSMT" w:hAnsi="TimesNewRomanPSMT" w:cs="TimesNewRomanPSMT"/>
        </w:rPr>
        <w:t>took into account irrelevant considerations.</w:t>
      </w:r>
    </w:p>
    <w:p w14:paraId="2AD36A7B" w14:textId="0C9F6695" w:rsidR="00734F46" w:rsidRDefault="00734F46" w:rsidP="00B77BA5">
      <w:pPr>
        <w:pStyle w:val="Bodytexttax1"/>
      </w:pPr>
      <w:r>
        <w:t xml:space="preserve">HMRC applied to </w:t>
      </w:r>
      <w:r w:rsidR="00CF36B8">
        <w:t xml:space="preserve">adduce further documentary evidence on this appeal, seeking to challenge the FTT’s finding that Mr Kunjur was required to </w:t>
      </w:r>
      <w:r w:rsidR="00707265">
        <w:t>live within 30 minutes</w:t>
      </w:r>
      <w:r w:rsidR="00577EC7">
        <w:t>’</w:t>
      </w:r>
      <w:r w:rsidR="00707265">
        <w:t xml:space="preserve"> travelling time from the hospital. The documents comprise </w:t>
      </w:r>
      <w:r w:rsidR="002967EC">
        <w:t>NHS terms and conditions of service for junior doctors and consultants. HMRC contend</w:t>
      </w:r>
      <w:r w:rsidR="000F7814">
        <w:t>ed</w:t>
      </w:r>
      <w:r w:rsidR="002967EC">
        <w:t xml:space="preserve"> that </w:t>
      </w:r>
      <w:r w:rsidR="00C400F0">
        <w:t>only consultants had to comply with th</w:t>
      </w:r>
      <w:r w:rsidR="005952C4">
        <w:t>e</w:t>
      </w:r>
      <w:r w:rsidR="00C400F0">
        <w:t xml:space="preserve"> requirement</w:t>
      </w:r>
      <w:r w:rsidR="005952C4">
        <w:t xml:space="preserve"> of 30 minutes travelling time</w:t>
      </w:r>
      <w:r w:rsidR="000F7814">
        <w:t>, and that</w:t>
      </w:r>
      <w:r w:rsidR="00C400F0">
        <w:t xml:space="preserve"> </w:t>
      </w:r>
      <w:r w:rsidR="000F7814">
        <w:t>j</w:t>
      </w:r>
      <w:r w:rsidR="00C400F0">
        <w:t xml:space="preserve">unior doctors such as Mr Kunjur were </w:t>
      </w:r>
      <w:r w:rsidR="0054476A">
        <w:t xml:space="preserve">not subject to such a requirement. In the event, it is not necessary for us </w:t>
      </w:r>
      <w:r w:rsidR="00446850">
        <w:t>to make any direction on that application</w:t>
      </w:r>
      <w:r w:rsidR="00D74D89">
        <w:t>, because</w:t>
      </w:r>
      <w:r w:rsidR="00446850">
        <w:t xml:space="preserve"> </w:t>
      </w:r>
      <w:r w:rsidR="00D74D89">
        <w:t>w</w:t>
      </w:r>
      <w:r w:rsidR="00446850">
        <w:t xml:space="preserve">e can determine the appeal without </w:t>
      </w:r>
      <w:r w:rsidR="00B14F3D">
        <w:t xml:space="preserve">reference to </w:t>
      </w:r>
      <w:r w:rsidR="00446850">
        <w:t>the further evidence.</w:t>
      </w:r>
    </w:p>
    <w:p w14:paraId="7B0BBD40" w14:textId="61F8C5EF" w:rsidR="003C46AA" w:rsidRDefault="0059631B" w:rsidP="00B77BA5">
      <w:pPr>
        <w:pStyle w:val="Bodytexttax1"/>
      </w:pPr>
      <w:r>
        <w:t xml:space="preserve">We consider each ground </w:t>
      </w:r>
      <w:r w:rsidR="003D140D">
        <w:t xml:space="preserve">of appeal </w:t>
      </w:r>
      <w:r>
        <w:t>in turn.</w:t>
      </w:r>
      <w:r w:rsidR="00670E75">
        <w:t xml:space="preserve"> Since the test</w:t>
      </w:r>
      <w:r w:rsidR="000B08BB">
        <w:t xml:space="preserve"> in s. 336(1) ITEPA 2003 is a cumulative one, </w:t>
      </w:r>
      <w:r w:rsidR="005110F6">
        <w:t xml:space="preserve">the appeal will succeed if HMRC succeeds on any one of its grounds of appeal. For the reasons set out below, </w:t>
      </w:r>
      <w:r w:rsidR="00A02BB0">
        <w:t xml:space="preserve">we consider that HMRC should in fact succeed on all three grounds. </w:t>
      </w:r>
    </w:p>
    <w:p w14:paraId="04A7CE0B" w14:textId="71EBEB31" w:rsidR="0059631B" w:rsidRPr="0059631B" w:rsidRDefault="00404660" w:rsidP="00951459">
      <w:pPr>
        <w:pStyle w:val="Heading2"/>
        <w:jc w:val="both"/>
        <w:rPr>
          <w:szCs w:val="24"/>
        </w:rPr>
      </w:pPr>
      <w:r>
        <w:rPr>
          <w:rFonts w:ascii="TimesNewRomanPSMT" w:hAnsi="TimesNewRomanPSMT" w:cs="TimesNewRomanPSMT"/>
          <w:szCs w:val="24"/>
        </w:rPr>
        <w:t>Ground 1</w:t>
      </w:r>
      <w:r w:rsidR="0021346E">
        <w:rPr>
          <w:rFonts w:ascii="TimesNewRomanPSMT" w:hAnsi="TimesNewRomanPSMT" w:cs="TimesNewRomanPSMT"/>
          <w:szCs w:val="24"/>
        </w:rPr>
        <w:t>:</w:t>
      </w:r>
      <w:r>
        <w:rPr>
          <w:rFonts w:ascii="TimesNewRomanPSMT" w:hAnsi="TimesNewRomanPSMT" w:cs="TimesNewRomanPSMT"/>
          <w:szCs w:val="24"/>
        </w:rPr>
        <w:t xml:space="preserve"> </w:t>
      </w:r>
      <w:r w:rsidR="0059631B" w:rsidRPr="0059631B">
        <w:rPr>
          <w:rFonts w:ascii="TimesNewRomanPSMT" w:hAnsi="TimesNewRomanPSMT" w:cs="TimesNewRomanPSMT"/>
          <w:szCs w:val="24"/>
        </w:rPr>
        <w:t>The FTT’s finding that Mr Kunjur was obliged to incur expenditure as holder of the employment</w:t>
      </w:r>
    </w:p>
    <w:p w14:paraId="282CC348" w14:textId="5B46DDA1" w:rsidR="00C60FFB" w:rsidRPr="00C60FFB" w:rsidRDefault="00951459" w:rsidP="00C60FFB">
      <w:pPr>
        <w:pStyle w:val="Bodytexttax1"/>
        <w:rPr>
          <w:szCs w:val="24"/>
        </w:rPr>
      </w:pPr>
      <w:r>
        <w:rPr>
          <w:szCs w:val="24"/>
        </w:rPr>
        <w:t xml:space="preserve">The </w:t>
      </w:r>
      <w:r w:rsidR="002C6580">
        <w:rPr>
          <w:szCs w:val="24"/>
        </w:rPr>
        <w:t xml:space="preserve">FTT was wrong to suggest </w:t>
      </w:r>
      <w:r w:rsidR="00160B05">
        <w:rPr>
          <w:szCs w:val="24"/>
        </w:rPr>
        <w:t xml:space="preserve">at </w:t>
      </w:r>
      <w:r w:rsidR="00D74D89">
        <w:rPr>
          <w:szCs w:val="24"/>
        </w:rPr>
        <w:t>§</w:t>
      </w:r>
      <w:r w:rsidR="00160B05">
        <w:rPr>
          <w:szCs w:val="24"/>
        </w:rPr>
        <w:t xml:space="preserve">14 </w:t>
      </w:r>
      <w:r w:rsidR="002C6580">
        <w:rPr>
          <w:szCs w:val="24"/>
        </w:rPr>
        <w:t xml:space="preserve">that the test of </w:t>
      </w:r>
      <w:r>
        <w:rPr>
          <w:szCs w:val="24"/>
        </w:rPr>
        <w:t xml:space="preserve">whether </w:t>
      </w:r>
      <w:r w:rsidR="002C6580">
        <w:rPr>
          <w:szCs w:val="24"/>
        </w:rPr>
        <w:t xml:space="preserve">an employee </w:t>
      </w:r>
      <w:r>
        <w:rPr>
          <w:szCs w:val="24"/>
        </w:rPr>
        <w:t>was obliged to incur the expenditure as holder of the employment</w:t>
      </w:r>
      <w:r w:rsidR="00160B05">
        <w:rPr>
          <w:szCs w:val="24"/>
        </w:rPr>
        <w:t xml:space="preserve"> may be a subjective test</w:t>
      </w:r>
      <w:r>
        <w:rPr>
          <w:szCs w:val="24"/>
        </w:rPr>
        <w:t xml:space="preserve">. There is no distinction between offices and employments in this regard. The test was described long ago </w:t>
      </w:r>
      <w:r w:rsidR="00A074D9">
        <w:rPr>
          <w:szCs w:val="24"/>
        </w:rPr>
        <w:t xml:space="preserve">by the House of Lords </w:t>
      </w:r>
      <w:r>
        <w:rPr>
          <w:szCs w:val="24"/>
        </w:rPr>
        <w:t>in</w:t>
      </w:r>
      <w:r w:rsidR="00867AC1">
        <w:rPr>
          <w:szCs w:val="24"/>
        </w:rPr>
        <w:t xml:space="preserve"> </w:t>
      </w:r>
      <w:r w:rsidR="00C60FFB" w:rsidRPr="00C60FFB">
        <w:rPr>
          <w:sz w:val="23"/>
          <w:szCs w:val="23"/>
        </w:rPr>
        <w:t xml:space="preserve">the well-known case of </w:t>
      </w:r>
      <w:r w:rsidR="00C60FFB" w:rsidRPr="00C60FFB">
        <w:rPr>
          <w:rFonts w:ascii="TimesNewRomanPS-ItalicMT" w:hAnsi="TimesNewRomanPS-ItalicMT" w:cs="TimesNewRomanPS-ItalicMT"/>
          <w:i/>
          <w:iCs/>
        </w:rPr>
        <w:t xml:space="preserve">Ricketts v Colquhoun </w:t>
      </w:r>
      <w:r w:rsidR="00C60FFB" w:rsidRPr="00C60FFB">
        <w:rPr>
          <w:rFonts w:ascii="TimesNewRomanPSMT" w:hAnsi="TimesNewRomanPSMT" w:cs="TimesNewRomanPSMT"/>
        </w:rPr>
        <w:t xml:space="preserve">10 TC 118 </w:t>
      </w:r>
      <w:r w:rsidR="00C60FFB">
        <w:rPr>
          <w:rFonts w:ascii="TimesNewRomanPSMT" w:hAnsi="TimesNewRomanPSMT" w:cs="TimesNewRomanPSMT"/>
        </w:rPr>
        <w:t>where</w:t>
      </w:r>
      <w:r w:rsidR="00C60FFB" w:rsidRPr="00C60FFB">
        <w:rPr>
          <w:rFonts w:ascii="TimesNewRomanPSMT" w:hAnsi="TimesNewRomanPSMT" w:cs="TimesNewRomanPSMT"/>
        </w:rPr>
        <w:t xml:space="preserve"> Lord Blanesburgh </w:t>
      </w:r>
      <w:r w:rsidR="00C60FFB">
        <w:rPr>
          <w:rFonts w:ascii="TimesNewRomanPSMT" w:hAnsi="TimesNewRomanPSMT" w:cs="TimesNewRomanPSMT"/>
        </w:rPr>
        <w:t>s</w:t>
      </w:r>
      <w:r w:rsidR="00C60FFB" w:rsidRPr="00C60FFB">
        <w:rPr>
          <w:rFonts w:ascii="TimesNewRomanPSMT" w:hAnsi="TimesNewRomanPSMT" w:cs="TimesNewRomanPSMT"/>
        </w:rPr>
        <w:t>aid at p</w:t>
      </w:r>
      <w:r w:rsidR="00826882">
        <w:rPr>
          <w:rFonts w:ascii="TimesNewRomanPSMT" w:hAnsi="TimesNewRomanPSMT" w:cs="TimesNewRomanPSMT"/>
        </w:rPr>
        <w:t xml:space="preserve">. </w:t>
      </w:r>
      <w:r w:rsidR="00C60FFB" w:rsidRPr="00C60FFB">
        <w:rPr>
          <w:rFonts w:ascii="TimesNewRomanPSMT" w:hAnsi="TimesNewRomanPSMT" w:cs="TimesNewRomanPSMT"/>
        </w:rPr>
        <w:t>135 in the context of the holder of an office:</w:t>
      </w:r>
    </w:p>
    <w:p w14:paraId="256B807B" w14:textId="7F1EBFE9" w:rsidR="00C60FFB" w:rsidRDefault="000E329F" w:rsidP="00C60FFB">
      <w:pPr>
        <w:pStyle w:val="Bodytexttax1"/>
        <w:numPr>
          <w:ilvl w:val="0"/>
          <w:numId w:val="0"/>
        </w:numPr>
        <w:ind w:left="425"/>
        <w:rPr>
          <w:szCs w:val="24"/>
        </w:rPr>
      </w:pPr>
      <w:r>
        <w:rPr>
          <w:sz w:val="22"/>
          <w:szCs w:val="22"/>
        </w:rPr>
        <w:t>“</w:t>
      </w:r>
      <w:r w:rsidR="00C60FFB" w:rsidRPr="008F2015">
        <w:rPr>
          <w:sz w:val="22"/>
          <w:szCs w:val="22"/>
        </w:rPr>
        <w:t>…</w:t>
      </w:r>
      <w:r>
        <w:rPr>
          <w:sz w:val="22"/>
          <w:szCs w:val="22"/>
        </w:rPr>
        <w:t xml:space="preserve"> </w:t>
      </w:r>
      <w:r w:rsidR="00C60FFB" w:rsidRPr="008F2015">
        <w:rPr>
          <w:sz w:val="22"/>
          <w:szCs w:val="22"/>
        </w:rPr>
        <w:t xml:space="preserve">the language of the rule points to the expenses with which it is concerning being </w:t>
      </w:r>
      <w:r w:rsidR="00AA18F7">
        <w:rPr>
          <w:sz w:val="22"/>
          <w:szCs w:val="22"/>
        </w:rPr>
        <w:t>confined to</w:t>
      </w:r>
      <w:r w:rsidR="00C60FFB" w:rsidRPr="008F2015">
        <w:rPr>
          <w:sz w:val="22"/>
          <w:szCs w:val="22"/>
        </w:rPr>
        <w:t xml:space="preserve"> those which each and every occupant of the particular office is necessarily obliged to incur in the performance of its duties, to expenses imposed upon each holder </w:t>
      </w:r>
      <w:r w:rsidR="00C60FFB" w:rsidRPr="00D84742">
        <w:rPr>
          <w:i/>
          <w:iCs/>
          <w:sz w:val="22"/>
          <w:szCs w:val="22"/>
        </w:rPr>
        <w:t>ex necessitate</w:t>
      </w:r>
      <w:r w:rsidR="00C60FFB" w:rsidRPr="008F2015">
        <w:rPr>
          <w:i/>
          <w:iCs/>
          <w:sz w:val="22"/>
          <w:szCs w:val="22"/>
        </w:rPr>
        <w:t xml:space="preserve"> </w:t>
      </w:r>
      <w:r w:rsidR="00C60FFB" w:rsidRPr="008F2015">
        <w:rPr>
          <w:sz w:val="22"/>
          <w:szCs w:val="22"/>
        </w:rPr>
        <w:t xml:space="preserve">of his office and to such expenses only … The deductible expenses do not extend to those to which the holder has to incur mainly and, it may be, </w:t>
      </w:r>
      <w:r w:rsidR="00C60FFB" w:rsidRPr="008F2015">
        <w:rPr>
          <w:sz w:val="22"/>
          <w:szCs w:val="22"/>
        </w:rPr>
        <w:lastRenderedPageBreak/>
        <w:t>only because of circumstances in relation to his office which are personal to himself or are the result of his own volition.</w:t>
      </w:r>
      <w:r>
        <w:rPr>
          <w:sz w:val="22"/>
          <w:szCs w:val="22"/>
        </w:rPr>
        <w:t>”</w:t>
      </w:r>
    </w:p>
    <w:p w14:paraId="5F83E618" w14:textId="24DD811A" w:rsidR="00C36DB2" w:rsidRDefault="00951459" w:rsidP="00867AC1">
      <w:pPr>
        <w:pStyle w:val="Bodytexttax1"/>
        <w:rPr>
          <w:szCs w:val="24"/>
        </w:rPr>
      </w:pPr>
      <w:r>
        <w:rPr>
          <w:szCs w:val="24"/>
        </w:rPr>
        <w:t xml:space="preserve"> </w:t>
      </w:r>
      <w:r w:rsidR="00C36DB2">
        <w:rPr>
          <w:i/>
          <w:iCs/>
          <w:szCs w:val="24"/>
        </w:rPr>
        <w:t>Ricketts v Colquhoun</w:t>
      </w:r>
      <w:r w:rsidR="00BE0AA9">
        <w:rPr>
          <w:szCs w:val="24"/>
        </w:rPr>
        <w:t xml:space="preserve"> involved the travelling expenses of a practising barrister incurred when sitting as a recorder</w:t>
      </w:r>
      <w:r w:rsidR="00DC7B76">
        <w:rPr>
          <w:szCs w:val="24"/>
        </w:rPr>
        <w:t xml:space="preserve">. The House of Lords held that the travelling expenses were attributable to the taxpayer choosing to reside in London and were not expenses he was </w:t>
      </w:r>
      <w:r w:rsidR="00F417A5">
        <w:rPr>
          <w:szCs w:val="24"/>
        </w:rPr>
        <w:t>“necessarily obliged” to incur in the performance of his duties as a recorder.</w:t>
      </w:r>
    </w:p>
    <w:p w14:paraId="0C7BD4FF" w14:textId="34A5C024" w:rsidR="00951459" w:rsidRPr="00867AC1" w:rsidRDefault="00EA330F" w:rsidP="00867AC1">
      <w:pPr>
        <w:pStyle w:val="Bodytexttax1"/>
        <w:rPr>
          <w:szCs w:val="24"/>
        </w:rPr>
      </w:pPr>
      <w:r>
        <w:rPr>
          <w:szCs w:val="24"/>
        </w:rPr>
        <w:t xml:space="preserve">The objective nature of the test was confirmed </w:t>
      </w:r>
      <w:r w:rsidR="005B378F">
        <w:rPr>
          <w:szCs w:val="24"/>
        </w:rPr>
        <w:t xml:space="preserve">by the House of Lords </w:t>
      </w:r>
      <w:r>
        <w:rPr>
          <w:szCs w:val="24"/>
        </w:rPr>
        <w:t xml:space="preserve">in </w:t>
      </w:r>
      <w:r w:rsidR="00951459" w:rsidRPr="00951459">
        <w:rPr>
          <w:rFonts w:ascii="TimesNewRomanPS-ItalicMT" w:hAnsi="TimesNewRomanPS-ItalicMT" w:cs="TimesNewRomanPS-ItalicMT"/>
          <w:i/>
          <w:iCs/>
        </w:rPr>
        <w:t>Owen v Pook</w:t>
      </w:r>
      <w:r w:rsidR="005B378F">
        <w:rPr>
          <w:rFonts w:ascii="TimesNewRomanPS-ItalicMT" w:hAnsi="TimesNewRomanPS-ItalicMT" w:cs="TimesNewRomanPS-ItalicMT"/>
          <w:i/>
          <w:iCs/>
        </w:rPr>
        <w:t xml:space="preserve"> </w:t>
      </w:r>
      <w:r w:rsidR="005B378F">
        <w:rPr>
          <w:rFonts w:ascii="TimesNewRomanPS-ItalicMT" w:hAnsi="TimesNewRomanPS-ItalicMT" w:cs="TimesNewRomanPS-ItalicMT"/>
        </w:rPr>
        <w:t>[1970] AC 244</w:t>
      </w:r>
      <w:r w:rsidR="00951459" w:rsidRPr="00951459">
        <w:rPr>
          <w:rFonts w:ascii="TimesNewRomanPSMT" w:hAnsi="TimesNewRomanPSMT" w:cs="TimesNewRomanPSMT"/>
        </w:rPr>
        <w:t xml:space="preserve">, at </w:t>
      </w:r>
      <w:r w:rsidR="00951459">
        <w:rPr>
          <w:rFonts w:ascii="TimesNewRomanPSMT" w:hAnsi="TimesNewRomanPSMT" w:cs="TimesNewRomanPSMT"/>
        </w:rPr>
        <w:t>p</w:t>
      </w:r>
      <w:r w:rsidR="000E329F">
        <w:rPr>
          <w:rFonts w:ascii="TimesNewRomanPSMT" w:hAnsi="TimesNewRomanPSMT" w:cs="TimesNewRomanPSMT"/>
        </w:rPr>
        <w:t xml:space="preserve">. </w:t>
      </w:r>
      <w:r w:rsidR="00951459" w:rsidRPr="00951459">
        <w:rPr>
          <w:rFonts w:ascii="TimesNewRomanPSMT" w:hAnsi="TimesNewRomanPSMT" w:cs="TimesNewRomanPSMT"/>
        </w:rPr>
        <w:t>263</w:t>
      </w:r>
      <w:r w:rsidR="00961CA3">
        <w:rPr>
          <w:rFonts w:ascii="TimesNewRomanPSMT" w:hAnsi="TimesNewRomanPSMT" w:cs="TimesNewRomanPSMT"/>
        </w:rPr>
        <w:t xml:space="preserve"> where Lord Wilberforce stated</w:t>
      </w:r>
      <w:r w:rsidR="00C869F0">
        <w:rPr>
          <w:rFonts w:ascii="TimesNewRomanPSMT" w:hAnsi="TimesNewRomanPSMT" w:cs="TimesNewRomanPSMT"/>
        </w:rPr>
        <w:t xml:space="preserve"> that</w:t>
      </w:r>
      <w:r w:rsidR="00951459" w:rsidRPr="00951459">
        <w:rPr>
          <w:rFonts w:ascii="TimesNewRomanPSMT" w:hAnsi="TimesNewRomanPSMT" w:cs="TimesNewRomanPSMT"/>
        </w:rPr>
        <w:t>:</w:t>
      </w:r>
    </w:p>
    <w:p w14:paraId="74EECB4C" w14:textId="5546ED1C" w:rsidR="00867AC1" w:rsidRPr="00867AC1" w:rsidRDefault="000E329F" w:rsidP="00867AC1">
      <w:pPr>
        <w:pStyle w:val="Bodytexttax1"/>
        <w:numPr>
          <w:ilvl w:val="0"/>
          <w:numId w:val="0"/>
        </w:numPr>
        <w:ind w:left="425"/>
        <w:rPr>
          <w:szCs w:val="24"/>
        </w:rPr>
      </w:pPr>
      <w:r>
        <w:rPr>
          <w:rFonts w:ascii="TimesNewRomanPSMT" w:hAnsi="TimesNewRomanPSMT" w:cs="TimesNewRomanPSMT"/>
          <w:sz w:val="22"/>
          <w:szCs w:val="22"/>
        </w:rPr>
        <w:t>“</w:t>
      </w:r>
      <w:r w:rsidR="00867AC1" w:rsidRPr="00867AC1">
        <w:rPr>
          <w:rFonts w:ascii="TimesNewRomanPSMT" w:hAnsi="TimesNewRomanPSMT" w:cs="TimesNewRomanPSMT"/>
          <w:sz w:val="22"/>
          <w:szCs w:val="22"/>
        </w:rPr>
        <w:t>[The test is] drafted in an objective form so as to distinguish between expenses which arise from the nature of the office and those which arise from the personal choice of the taxpayer. But this does not mean that no expenses can ever be deductible unless precisely those expenses must necessarily be incurred by each and every office holder. The objective character of the deductions allowed relates to their nature, not to their amount.</w:t>
      </w:r>
      <w:r>
        <w:rPr>
          <w:rFonts w:ascii="TimesNewRomanPSMT" w:hAnsi="TimesNewRomanPSMT" w:cs="TimesNewRomanPSMT"/>
          <w:sz w:val="22"/>
          <w:szCs w:val="22"/>
        </w:rPr>
        <w:t>”</w:t>
      </w:r>
    </w:p>
    <w:p w14:paraId="1CC93556" w14:textId="2FA568BC" w:rsidR="000A604C" w:rsidRDefault="00066292" w:rsidP="00867AC1">
      <w:pPr>
        <w:pStyle w:val="Bodytexttax1"/>
        <w:rPr>
          <w:szCs w:val="24"/>
        </w:rPr>
      </w:pPr>
      <w:r>
        <w:rPr>
          <w:i/>
          <w:iCs/>
          <w:szCs w:val="24"/>
        </w:rPr>
        <w:t xml:space="preserve">Pook v </w:t>
      </w:r>
      <w:r w:rsidRPr="005A2A32">
        <w:rPr>
          <w:i/>
          <w:iCs/>
          <w:szCs w:val="24"/>
        </w:rPr>
        <w:t>Owen</w:t>
      </w:r>
      <w:r w:rsidR="005A2A32">
        <w:rPr>
          <w:szCs w:val="24"/>
        </w:rPr>
        <w:t xml:space="preserve"> concerned a GP in </w:t>
      </w:r>
      <w:r w:rsidR="00371A27">
        <w:rPr>
          <w:szCs w:val="24"/>
        </w:rPr>
        <w:t>Fishguard who also held part-time appointments</w:t>
      </w:r>
      <w:r w:rsidR="004861FE">
        <w:rPr>
          <w:szCs w:val="24"/>
        </w:rPr>
        <w:t xml:space="preserve"> </w:t>
      </w:r>
      <w:r w:rsidR="000A604C">
        <w:rPr>
          <w:szCs w:val="24"/>
        </w:rPr>
        <w:t xml:space="preserve">at hospitals in </w:t>
      </w:r>
      <w:r w:rsidR="004861FE">
        <w:rPr>
          <w:szCs w:val="24"/>
        </w:rPr>
        <w:t>Haverfordwest</w:t>
      </w:r>
      <w:r w:rsidR="000A604C">
        <w:rPr>
          <w:szCs w:val="24"/>
        </w:rPr>
        <w:t xml:space="preserve"> which required him to be on-call</w:t>
      </w:r>
      <w:r w:rsidR="00235FF2">
        <w:rPr>
          <w:szCs w:val="24"/>
        </w:rPr>
        <w:t xml:space="preserve">. He sought to deduct the cost of travel </w:t>
      </w:r>
      <w:r w:rsidR="00090127">
        <w:rPr>
          <w:szCs w:val="24"/>
        </w:rPr>
        <w:t>between Fishguard and Haverfordwest</w:t>
      </w:r>
      <w:r w:rsidR="00912D76">
        <w:rPr>
          <w:szCs w:val="24"/>
        </w:rPr>
        <w:t xml:space="preserve">. </w:t>
      </w:r>
      <w:r w:rsidR="00496F72">
        <w:rPr>
          <w:szCs w:val="24"/>
        </w:rPr>
        <w:t>The Ho</w:t>
      </w:r>
      <w:r w:rsidR="00870A09">
        <w:rPr>
          <w:szCs w:val="24"/>
        </w:rPr>
        <w:t>use of Lords held that having shown he performed the duties of his office in two places</w:t>
      </w:r>
      <w:r w:rsidR="00156E78">
        <w:rPr>
          <w:szCs w:val="24"/>
        </w:rPr>
        <w:t>, the expense</w:t>
      </w:r>
      <w:r w:rsidR="00D80F7E">
        <w:rPr>
          <w:szCs w:val="24"/>
        </w:rPr>
        <w:t>s</w:t>
      </w:r>
      <w:r w:rsidR="00156E78">
        <w:rPr>
          <w:szCs w:val="24"/>
        </w:rPr>
        <w:t xml:space="preserve"> incurred in travelling from one to the other were incurred in the performance of his duties.</w:t>
      </w:r>
      <w:r w:rsidR="00175A29">
        <w:rPr>
          <w:szCs w:val="24"/>
        </w:rPr>
        <w:t xml:space="preserve"> It is well-established that the reasoning in </w:t>
      </w:r>
      <w:r w:rsidR="00175A29">
        <w:rPr>
          <w:i/>
          <w:iCs/>
          <w:szCs w:val="24"/>
        </w:rPr>
        <w:t>R</w:t>
      </w:r>
      <w:r w:rsidR="009E11F8">
        <w:rPr>
          <w:i/>
          <w:iCs/>
          <w:szCs w:val="24"/>
        </w:rPr>
        <w:t>icketts v Colquhoun</w:t>
      </w:r>
      <w:r w:rsidR="009E11F8">
        <w:rPr>
          <w:szCs w:val="24"/>
        </w:rPr>
        <w:t xml:space="preserve"> and </w:t>
      </w:r>
      <w:r w:rsidR="009E11F8">
        <w:rPr>
          <w:i/>
          <w:iCs/>
          <w:szCs w:val="24"/>
        </w:rPr>
        <w:t>Owen v Pook</w:t>
      </w:r>
      <w:r w:rsidR="009E11F8">
        <w:rPr>
          <w:szCs w:val="24"/>
        </w:rPr>
        <w:t xml:space="preserve"> applies equally to offices and employments: see e.g. </w:t>
      </w:r>
      <w:r w:rsidR="00BA59FF">
        <w:rPr>
          <w:i/>
          <w:iCs/>
          <w:szCs w:val="24"/>
        </w:rPr>
        <w:t>Kirkwood v Evans</w:t>
      </w:r>
      <w:r w:rsidR="00BA59FF">
        <w:rPr>
          <w:szCs w:val="24"/>
        </w:rPr>
        <w:t xml:space="preserve"> [2002] STC 231, §10 and </w:t>
      </w:r>
      <w:r w:rsidR="00BA59FF">
        <w:rPr>
          <w:i/>
          <w:iCs/>
          <w:szCs w:val="24"/>
        </w:rPr>
        <w:t>Lewis v Revenue and Customs Commissioners</w:t>
      </w:r>
      <w:r w:rsidR="00BA59FF">
        <w:rPr>
          <w:szCs w:val="24"/>
        </w:rPr>
        <w:t xml:space="preserve"> [2008] STC </w:t>
      </w:r>
      <w:r w:rsidR="005D460C">
        <w:rPr>
          <w:szCs w:val="24"/>
        </w:rPr>
        <w:t>(SCD) 895, §9.</w:t>
      </w:r>
    </w:p>
    <w:p w14:paraId="66AFED22" w14:textId="1A9BE5CD" w:rsidR="00867AC1" w:rsidRDefault="00852980" w:rsidP="00867AC1">
      <w:pPr>
        <w:pStyle w:val="Bodytexttax1"/>
        <w:rPr>
          <w:szCs w:val="24"/>
        </w:rPr>
      </w:pPr>
      <w:r>
        <w:rPr>
          <w:szCs w:val="24"/>
        </w:rPr>
        <w:t xml:space="preserve">The present appeal is concerned </w:t>
      </w:r>
      <w:r w:rsidR="00336490">
        <w:rPr>
          <w:szCs w:val="24"/>
        </w:rPr>
        <w:t xml:space="preserve">with the cost of renting the Premises </w:t>
      </w:r>
      <w:r w:rsidR="00951BF5">
        <w:rPr>
          <w:szCs w:val="24"/>
        </w:rPr>
        <w:t xml:space="preserve">and not </w:t>
      </w:r>
      <w:r>
        <w:rPr>
          <w:szCs w:val="24"/>
        </w:rPr>
        <w:t xml:space="preserve">with travelling expenses, </w:t>
      </w:r>
      <w:r w:rsidR="00336490">
        <w:rPr>
          <w:szCs w:val="24"/>
        </w:rPr>
        <w:t>for which there is now a separate code in ITEPA 2003</w:t>
      </w:r>
      <w:r w:rsidR="00951BF5">
        <w:rPr>
          <w:szCs w:val="24"/>
        </w:rPr>
        <w:t>.</w:t>
      </w:r>
      <w:r w:rsidR="007B4BE6">
        <w:rPr>
          <w:szCs w:val="24"/>
        </w:rPr>
        <w:t xml:space="preserve"> </w:t>
      </w:r>
      <w:r w:rsidR="00867AC1" w:rsidRPr="005A2A32">
        <w:rPr>
          <w:szCs w:val="24"/>
        </w:rPr>
        <w:t>The</w:t>
      </w:r>
      <w:r w:rsidR="00867AC1">
        <w:rPr>
          <w:szCs w:val="24"/>
        </w:rPr>
        <w:t xml:space="preserve"> FTT ought to have considered whether all doctors employed in the role for which Mr Kunjur was employed would be obliged to incur expenditure</w:t>
      </w:r>
      <w:r w:rsidR="004C56FE">
        <w:rPr>
          <w:szCs w:val="24"/>
        </w:rPr>
        <w:t xml:space="preserve"> of that nature</w:t>
      </w:r>
      <w:r w:rsidR="00867AC1">
        <w:rPr>
          <w:szCs w:val="24"/>
        </w:rPr>
        <w:t xml:space="preserve">, or whether </w:t>
      </w:r>
      <w:r w:rsidR="0047454D">
        <w:rPr>
          <w:szCs w:val="24"/>
        </w:rPr>
        <w:t xml:space="preserve">the rental of accommodation </w:t>
      </w:r>
      <w:r w:rsidR="00867AC1">
        <w:rPr>
          <w:szCs w:val="24"/>
        </w:rPr>
        <w:t>was a matter of personal choice for Mr Kunjur</w:t>
      </w:r>
      <w:r w:rsidR="007B4BE6">
        <w:rPr>
          <w:szCs w:val="24"/>
        </w:rPr>
        <w:t xml:space="preserve"> arising from his personal circumstances</w:t>
      </w:r>
      <w:r w:rsidR="00867AC1">
        <w:rPr>
          <w:szCs w:val="24"/>
        </w:rPr>
        <w:t>.</w:t>
      </w:r>
    </w:p>
    <w:p w14:paraId="5E9A5D3D" w14:textId="2C30AD08" w:rsidR="005C0F6A" w:rsidRDefault="00DC7A87" w:rsidP="00867AC1">
      <w:pPr>
        <w:pStyle w:val="Bodytexttax1"/>
        <w:rPr>
          <w:szCs w:val="24"/>
        </w:rPr>
      </w:pPr>
      <w:r>
        <w:rPr>
          <w:szCs w:val="24"/>
        </w:rPr>
        <w:t>Whil</w:t>
      </w:r>
      <w:r w:rsidR="002253F5">
        <w:rPr>
          <w:szCs w:val="24"/>
        </w:rPr>
        <w:t>e</w:t>
      </w:r>
      <w:r>
        <w:rPr>
          <w:szCs w:val="24"/>
        </w:rPr>
        <w:t xml:space="preserve"> the FTT suggested that the test for employees may be subjective, it </w:t>
      </w:r>
      <w:r w:rsidR="00867AC1">
        <w:rPr>
          <w:szCs w:val="24"/>
        </w:rPr>
        <w:t xml:space="preserve">appears to us that </w:t>
      </w:r>
      <w:r w:rsidR="00187A4B">
        <w:rPr>
          <w:szCs w:val="24"/>
        </w:rPr>
        <w:t xml:space="preserve">it </w:t>
      </w:r>
      <w:r w:rsidR="00867AC1">
        <w:rPr>
          <w:szCs w:val="24"/>
        </w:rPr>
        <w:t>intend</w:t>
      </w:r>
      <w:r w:rsidR="00187A4B">
        <w:rPr>
          <w:szCs w:val="24"/>
        </w:rPr>
        <w:t>ed</w:t>
      </w:r>
      <w:r w:rsidR="00867AC1">
        <w:rPr>
          <w:szCs w:val="24"/>
        </w:rPr>
        <w:t xml:space="preserve"> to </w:t>
      </w:r>
      <w:r w:rsidR="00187A4B">
        <w:rPr>
          <w:szCs w:val="24"/>
        </w:rPr>
        <w:t>apply the objective test described in the authorities.</w:t>
      </w:r>
      <w:r w:rsidR="00867AC1">
        <w:rPr>
          <w:szCs w:val="24"/>
        </w:rPr>
        <w:t xml:space="preserve"> </w:t>
      </w:r>
      <w:r w:rsidR="00120C72">
        <w:rPr>
          <w:szCs w:val="24"/>
        </w:rPr>
        <w:t xml:space="preserve">It noted in particular </w:t>
      </w:r>
      <w:r w:rsidR="00120C72" w:rsidRPr="00120C72">
        <w:rPr>
          <w:szCs w:val="24"/>
        </w:rPr>
        <w:t>that Mr Kunjur’s formal on-call duties required him to be able to treat patients within 30 minutes of being called</w:t>
      </w:r>
      <w:r w:rsidR="000F2E42">
        <w:rPr>
          <w:szCs w:val="24"/>
        </w:rPr>
        <w:t xml:space="preserve">. It considered that </w:t>
      </w:r>
      <w:r w:rsidR="00120C72" w:rsidRPr="00120C72">
        <w:rPr>
          <w:szCs w:val="24"/>
        </w:rPr>
        <w:t>he was therefore “obliged” to live close to St George’s Hospital.</w:t>
      </w:r>
      <w:r w:rsidR="00120C72">
        <w:rPr>
          <w:szCs w:val="24"/>
        </w:rPr>
        <w:t xml:space="preserve"> </w:t>
      </w:r>
      <w:r w:rsidR="00F93C61">
        <w:rPr>
          <w:szCs w:val="24"/>
        </w:rPr>
        <w:t xml:space="preserve">It stated that it was </w:t>
      </w:r>
      <w:r w:rsidR="005B7D50">
        <w:rPr>
          <w:szCs w:val="24"/>
        </w:rPr>
        <w:t>not reasonable to expect Mr Kunjur to use undergraduate accommodation or to uproot his family from Southampton.</w:t>
      </w:r>
    </w:p>
    <w:p w14:paraId="0C7A4386" w14:textId="7E16090B" w:rsidR="00867AC1" w:rsidRDefault="005C0F6A" w:rsidP="00867AC1">
      <w:pPr>
        <w:pStyle w:val="Bodytexttax1"/>
        <w:rPr>
          <w:szCs w:val="24"/>
        </w:rPr>
      </w:pPr>
      <w:r>
        <w:rPr>
          <w:szCs w:val="24"/>
        </w:rPr>
        <w:t xml:space="preserve">In our view, </w:t>
      </w:r>
      <w:r w:rsidR="006A7508">
        <w:rPr>
          <w:szCs w:val="24"/>
        </w:rPr>
        <w:t xml:space="preserve">although </w:t>
      </w:r>
      <w:r>
        <w:rPr>
          <w:szCs w:val="24"/>
        </w:rPr>
        <w:t xml:space="preserve">the FTT </w:t>
      </w:r>
      <w:r w:rsidR="006A7508">
        <w:rPr>
          <w:szCs w:val="24"/>
        </w:rPr>
        <w:t xml:space="preserve">thereby sought to apply an objective test, </w:t>
      </w:r>
      <w:r w:rsidR="00EF4DDA">
        <w:rPr>
          <w:szCs w:val="24"/>
        </w:rPr>
        <w:t>it did not do so correctly</w:t>
      </w:r>
      <w:r>
        <w:rPr>
          <w:szCs w:val="24"/>
        </w:rPr>
        <w:t>. I</w:t>
      </w:r>
      <w:r w:rsidR="00937C17">
        <w:rPr>
          <w:szCs w:val="24"/>
        </w:rPr>
        <w:t xml:space="preserve">t is clear that </w:t>
      </w:r>
      <w:r w:rsidR="00120C72">
        <w:rPr>
          <w:szCs w:val="24"/>
        </w:rPr>
        <w:t xml:space="preserve">the reason </w:t>
      </w:r>
      <w:r w:rsidR="00937C17">
        <w:rPr>
          <w:szCs w:val="24"/>
        </w:rPr>
        <w:t>Mr Kunjur</w:t>
      </w:r>
      <w:r w:rsidR="00120C72">
        <w:rPr>
          <w:szCs w:val="24"/>
        </w:rPr>
        <w:t xml:space="preserve"> had to incur the expenditure was not because he was obliged to do by reason of the nature of the employment. He did so because his family home was in Southampton. </w:t>
      </w:r>
      <w:r w:rsidR="002D7BAA">
        <w:rPr>
          <w:szCs w:val="24"/>
        </w:rPr>
        <w:t>That</w:t>
      </w:r>
      <w:r w:rsidR="00296E0B">
        <w:rPr>
          <w:szCs w:val="24"/>
        </w:rPr>
        <w:t xml:space="preserve"> was a matter of personal choice arising from his personal circumstances. </w:t>
      </w:r>
      <w:r w:rsidR="00DC1A1C">
        <w:rPr>
          <w:szCs w:val="24"/>
        </w:rPr>
        <w:t>Other e</w:t>
      </w:r>
      <w:r w:rsidR="00120C72">
        <w:rPr>
          <w:szCs w:val="24"/>
        </w:rPr>
        <w:t xml:space="preserve">mployees in the </w:t>
      </w:r>
      <w:r w:rsidR="00A15688">
        <w:rPr>
          <w:szCs w:val="24"/>
        </w:rPr>
        <w:t xml:space="preserve">same employment </w:t>
      </w:r>
      <w:r w:rsidR="00C60FFB">
        <w:rPr>
          <w:szCs w:val="24"/>
        </w:rPr>
        <w:t xml:space="preserve">might </w:t>
      </w:r>
      <w:r w:rsidR="00120C72">
        <w:rPr>
          <w:szCs w:val="24"/>
        </w:rPr>
        <w:t>live within 30 minutes of</w:t>
      </w:r>
      <w:r w:rsidR="00C60FFB">
        <w:rPr>
          <w:szCs w:val="24"/>
        </w:rPr>
        <w:t xml:space="preserve"> the hospital</w:t>
      </w:r>
      <w:r w:rsidR="001E7C8A">
        <w:rPr>
          <w:szCs w:val="24"/>
        </w:rPr>
        <w:t xml:space="preserve"> and </w:t>
      </w:r>
      <w:r w:rsidR="00C60FFB">
        <w:rPr>
          <w:szCs w:val="24"/>
        </w:rPr>
        <w:t>would not be obliged to incur such expenditure.</w:t>
      </w:r>
      <w:r w:rsidR="00DC1A1C">
        <w:rPr>
          <w:szCs w:val="24"/>
        </w:rPr>
        <w:t xml:space="preserve"> It is </w:t>
      </w:r>
      <w:r w:rsidR="00C8678C">
        <w:rPr>
          <w:szCs w:val="24"/>
        </w:rPr>
        <w:t xml:space="preserve">therefore </w:t>
      </w:r>
      <w:r w:rsidR="00DC1A1C">
        <w:rPr>
          <w:szCs w:val="24"/>
        </w:rPr>
        <w:t xml:space="preserve">irrelevant </w:t>
      </w:r>
      <w:r w:rsidR="00B1701E">
        <w:rPr>
          <w:szCs w:val="24"/>
        </w:rPr>
        <w:t>whether or not it was reasonable to expect Mr Kunjur to</w:t>
      </w:r>
      <w:r w:rsidR="00FA6D5D">
        <w:rPr>
          <w:szCs w:val="24"/>
        </w:rPr>
        <w:t xml:space="preserve"> use other accommodation which was available </w:t>
      </w:r>
      <w:r w:rsidR="00F04B7D">
        <w:rPr>
          <w:szCs w:val="24"/>
        </w:rPr>
        <w:t>to him</w:t>
      </w:r>
      <w:r w:rsidR="00505203">
        <w:rPr>
          <w:szCs w:val="24"/>
        </w:rPr>
        <w:t>,</w:t>
      </w:r>
      <w:r w:rsidR="00F04B7D">
        <w:rPr>
          <w:szCs w:val="24"/>
        </w:rPr>
        <w:t xml:space="preserve"> </w:t>
      </w:r>
      <w:r w:rsidR="00FA6D5D">
        <w:rPr>
          <w:szCs w:val="24"/>
        </w:rPr>
        <w:t>or to uproot his family</w:t>
      </w:r>
      <w:r w:rsidR="00D03BED">
        <w:rPr>
          <w:szCs w:val="24"/>
        </w:rPr>
        <w:t>: those are factors personal to Mr Kunjur</w:t>
      </w:r>
      <w:r w:rsidR="00B1701E">
        <w:rPr>
          <w:szCs w:val="24"/>
        </w:rPr>
        <w:t>.</w:t>
      </w:r>
    </w:p>
    <w:p w14:paraId="29628D47" w14:textId="2DED0FB4" w:rsidR="003D140D" w:rsidRPr="00120C72" w:rsidRDefault="003D140D" w:rsidP="00867AC1">
      <w:pPr>
        <w:pStyle w:val="Bodytexttax1"/>
        <w:rPr>
          <w:szCs w:val="24"/>
        </w:rPr>
      </w:pPr>
      <w:r>
        <w:t xml:space="preserve">We are </w:t>
      </w:r>
      <w:r w:rsidR="001E392A">
        <w:t xml:space="preserve">therefore </w:t>
      </w:r>
      <w:r>
        <w:t xml:space="preserve">satisfied that the FTT </w:t>
      </w:r>
      <w:r w:rsidRPr="0059631B">
        <w:rPr>
          <w:szCs w:val="24"/>
        </w:rPr>
        <w:t>erred in law in finding that Mr Kunjur was obliged to incur expenditure on the Premises as holder of the employment</w:t>
      </w:r>
      <w:r>
        <w:rPr>
          <w:szCs w:val="24"/>
        </w:rPr>
        <w:t>.</w:t>
      </w:r>
    </w:p>
    <w:p w14:paraId="3E9976C5" w14:textId="23B748AC" w:rsidR="0059631B" w:rsidRDefault="008638A6" w:rsidP="00951459">
      <w:pPr>
        <w:pStyle w:val="Heading2"/>
        <w:jc w:val="both"/>
      </w:pPr>
      <w:r>
        <w:rPr>
          <w:rFonts w:ascii="TimesNewRomanPSMT" w:hAnsi="TimesNewRomanPSMT" w:cs="TimesNewRomanPSMT"/>
        </w:rPr>
        <w:lastRenderedPageBreak/>
        <w:t>Ground 2</w:t>
      </w:r>
      <w:r w:rsidR="0021346E">
        <w:rPr>
          <w:rFonts w:ascii="TimesNewRomanPSMT" w:hAnsi="TimesNewRomanPSMT" w:cs="TimesNewRomanPSMT"/>
        </w:rPr>
        <w:t>:</w:t>
      </w:r>
      <w:r>
        <w:rPr>
          <w:rFonts w:ascii="TimesNewRomanPSMT" w:hAnsi="TimesNewRomanPSMT" w:cs="TimesNewRomanPSMT"/>
        </w:rPr>
        <w:t xml:space="preserve"> </w:t>
      </w:r>
      <w:r w:rsidR="0059631B">
        <w:rPr>
          <w:rFonts w:ascii="TimesNewRomanPSMT" w:hAnsi="TimesNewRomanPSMT" w:cs="TimesNewRomanPSMT"/>
        </w:rPr>
        <w:t xml:space="preserve">The FTT’s finding that </w:t>
      </w:r>
      <w:r w:rsidR="0059631B" w:rsidRPr="00E22932">
        <w:rPr>
          <w:rFonts w:ascii="TimesNewRomanPSMT" w:hAnsi="TimesNewRomanPSMT" w:cs="TimesNewRomanPSMT"/>
        </w:rPr>
        <w:t xml:space="preserve">the expenditure was </w:t>
      </w:r>
      <w:r w:rsidR="00405B58">
        <w:rPr>
          <w:rFonts w:ascii="TimesNewRomanPSMT" w:hAnsi="TimesNewRomanPSMT" w:cs="TimesNewRomanPSMT"/>
        </w:rPr>
        <w:t>“</w:t>
      </w:r>
      <w:r w:rsidR="0059631B" w:rsidRPr="00E22932">
        <w:rPr>
          <w:rFonts w:ascii="TimesNewRomanPSMT" w:hAnsi="TimesNewRomanPSMT" w:cs="TimesNewRomanPSMT"/>
        </w:rPr>
        <w:t>wholly and exclusively</w:t>
      </w:r>
      <w:r w:rsidR="00405B58">
        <w:rPr>
          <w:rFonts w:ascii="TimesNewRomanPSMT" w:hAnsi="TimesNewRomanPSMT" w:cs="TimesNewRomanPSMT"/>
        </w:rPr>
        <w:t>”</w:t>
      </w:r>
      <w:r w:rsidR="0059631B" w:rsidRPr="00E22932">
        <w:rPr>
          <w:rFonts w:ascii="TimesNewRomanPSMT" w:hAnsi="TimesNewRomanPSMT" w:cs="TimesNewRomanPSMT"/>
        </w:rPr>
        <w:t xml:space="preserve"> incurred by Mr Kunjur in the performance of the duties of his employment</w:t>
      </w:r>
    </w:p>
    <w:p w14:paraId="1740B0C1" w14:textId="4095F44B" w:rsidR="00041560" w:rsidRDefault="00041560" w:rsidP="0059631B">
      <w:pPr>
        <w:pStyle w:val="Bodytexttax1"/>
        <w:rPr>
          <w:szCs w:val="24"/>
        </w:rPr>
      </w:pPr>
      <w:r>
        <w:rPr>
          <w:szCs w:val="24"/>
        </w:rPr>
        <w:t xml:space="preserve">It is well-established that </w:t>
      </w:r>
      <w:r w:rsidR="007016D7">
        <w:rPr>
          <w:szCs w:val="24"/>
        </w:rPr>
        <w:t xml:space="preserve">the words “wholly and exclusively” </w:t>
      </w:r>
      <w:r w:rsidR="002F4AD6">
        <w:rPr>
          <w:szCs w:val="24"/>
        </w:rPr>
        <w:t xml:space="preserve">limit relief </w:t>
      </w:r>
      <w:r w:rsidR="00360FE5">
        <w:rPr>
          <w:szCs w:val="24"/>
        </w:rPr>
        <w:t>in respect of expenditure which serves a dual purpose.</w:t>
      </w:r>
      <w:r w:rsidR="00F26B63">
        <w:rPr>
          <w:szCs w:val="24"/>
        </w:rPr>
        <w:t xml:space="preserve"> No deduction is available where the expenditure </w:t>
      </w:r>
      <w:r w:rsidR="00210705">
        <w:rPr>
          <w:szCs w:val="24"/>
        </w:rPr>
        <w:t xml:space="preserve">is required </w:t>
      </w:r>
      <w:r w:rsidR="00496670">
        <w:rPr>
          <w:szCs w:val="24"/>
        </w:rPr>
        <w:t xml:space="preserve">for the performance of the duties but also </w:t>
      </w:r>
      <w:r w:rsidR="00F26B63">
        <w:rPr>
          <w:szCs w:val="24"/>
        </w:rPr>
        <w:t>serves a</w:t>
      </w:r>
      <w:r w:rsidR="00496670">
        <w:rPr>
          <w:szCs w:val="24"/>
        </w:rPr>
        <w:t xml:space="preserve">nother, personal purpose. </w:t>
      </w:r>
      <w:r w:rsidR="00F008E6">
        <w:rPr>
          <w:szCs w:val="24"/>
        </w:rPr>
        <w:t>E</w:t>
      </w:r>
      <w:r w:rsidR="00A4779C">
        <w:rPr>
          <w:szCs w:val="24"/>
        </w:rPr>
        <w:t>xample</w:t>
      </w:r>
      <w:r w:rsidR="00F008E6">
        <w:rPr>
          <w:szCs w:val="24"/>
        </w:rPr>
        <w:t xml:space="preserve">s of expenditure which </w:t>
      </w:r>
      <w:r w:rsidR="00C66A11">
        <w:rPr>
          <w:szCs w:val="24"/>
        </w:rPr>
        <w:t xml:space="preserve">has been held </w:t>
      </w:r>
      <w:r w:rsidR="000507E5">
        <w:rPr>
          <w:szCs w:val="24"/>
        </w:rPr>
        <w:t xml:space="preserve">not </w:t>
      </w:r>
      <w:r w:rsidR="00C66A11">
        <w:rPr>
          <w:szCs w:val="24"/>
        </w:rPr>
        <w:t xml:space="preserve">to </w:t>
      </w:r>
      <w:r w:rsidR="001A3240">
        <w:rPr>
          <w:szCs w:val="24"/>
        </w:rPr>
        <w:t xml:space="preserve">have </w:t>
      </w:r>
      <w:r w:rsidR="00C66A11">
        <w:rPr>
          <w:szCs w:val="24"/>
        </w:rPr>
        <w:t>be</w:t>
      </w:r>
      <w:r w:rsidR="001A3240">
        <w:rPr>
          <w:szCs w:val="24"/>
        </w:rPr>
        <w:t>en</w:t>
      </w:r>
      <w:r w:rsidR="00C66A11">
        <w:rPr>
          <w:szCs w:val="24"/>
        </w:rPr>
        <w:t xml:space="preserve"> </w:t>
      </w:r>
      <w:r w:rsidR="000507E5">
        <w:rPr>
          <w:szCs w:val="24"/>
        </w:rPr>
        <w:t xml:space="preserve">incurred wholly and exclusively in </w:t>
      </w:r>
      <w:r w:rsidR="00577EC7">
        <w:rPr>
          <w:szCs w:val="24"/>
        </w:rPr>
        <w:t xml:space="preserve">the </w:t>
      </w:r>
      <w:r w:rsidR="000507E5">
        <w:rPr>
          <w:szCs w:val="24"/>
        </w:rPr>
        <w:t xml:space="preserve">performance of the </w:t>
      </w:r>
      <w:r w:rsidR="00767C95">
        <w:rPr>
          <w:szCs w:val="24"/>
        </w:rPr>
        <w:t xml:space="preserve">relevant </w:t>
      </w:r>
      <w:r w:rsidR="000507E5">
        <w:rPr>
          <w:szCs w:val="24"/>
        </w:rPr>
        <w:t>duties include</w:t>
      </w:r>
      <w:r w:rsidR="00A4779C">
        <w:rPr>
          <w:szCs w:val="24"/>
        </w:rPr>
        <w:t xml:space="preserve"> </w:t>
      </w:r>
      <w:r w:rsidR="0019090C">
        <w:rPr>
          <w:i/>
          <w:iCs/>
          <w:szCs w:val="24"/>
        </w:rPr>
        <w:t>Bolam v Barlow</w:t>
      </w:r>
      <w:r w:rsidR="0019090C">
        <w:rPr>
          <w:szCs w:val="24"/>
        </w:rPr>
        <w:t xml:space="preserve"> 31 TC 136</w:t>
      </w:r>
      <w:r w:rsidR="007F3101">
        <w:rPr>
          <w:szCs w:val="24"/>
        </w:rPr>
        <w:t>,</w:t>
      </w:r>
      <w:r w:rsidR="0019090C">
        <w:rPr>
          <w:szCs w:val="24"/>
        </w:rPr>
        <w:t xml:space="preserve"> which concerned </w:t>
      </w:r>
      <w:r w:rsidR="00FB4C34">
        <w:rPr>
          <w:szCs w:val="24"/>
        </w:rPr>
        <w:t xml:space="preserve">additional </w:t>
      </w:r>
      <w:r w:rsidR="002B6F3B">
        <w:rPr>
          <w:szCs w:val="24"/>
        </w:rPr>
        <w:t xml:space="preserve">costs incurred by </w:t>
      </w:r>
      <w:r w:rsidR="0019090C">
        <w:rPr>
          <w:szCs w:val="24"/>
        </w:rPr>
        <w:t>an employee required to live within a reasonable distance of his place of employment</w:t>
      </w:r>
      <w:r w:rsidR="00B4315F">
        <w:rPr>
          <w:szCs w:val="24"/>
        </w:rPr>
        <w:t>,</w:t>
      </w:r>
      <w:r w:rsidR="0019090C">
        <w:rPr>
          <w:szCs w:val="24"/>
        </w:rPr>
        <w:t xml:space="preserve"> which was an expensive area</w:t>
      </w:r>
      <w:r w:rsidR="00CF5EAA">
        <w:rPr>
          <w:szCs w:val="24"/>
        </w:rPr>
        <w:t>;</w:t>
      </w:r>
      <w:r w:rsidR="001017A5">
        <w:rPr>
          <w:szCs w:val="24"/>
        </w:rPr>
        <w:t xml:space="preserve"> </w:t>
      </w:r>
      <w:r w:rsidR="006C008E">
        <w:rPr>
          <w:szCs w:val="24"/>
        </w:rPr>
        <w:t xml:space="preserve">and </w:t>
      </w:r>
      <w:r w:rsidR="00A4779C" w:rsidRPr="0071024C">
        <w:rPr>
          <w:i/>
          <w:iCs/>
          <w:szCs w:val="24"/>
        </w:rPr>
        <w:t>Hillyer v Leeke</w:t>
      </w:r>
      <w:r w:rsidR="00A4779C">
        <w:rPr>
          <w:szCs w:val="24"/>
        </w:rPr>
        <w:t xml:space="preserve"> [1976] </w:t>
      </w:r>
      <w:r w:rsidR="0071024C">
        <w:rPr>
          <w:szCs w:val="24"/>
        </w:rPr>
        <w:t>STC 490</w:t>
      </w:r>
      <w:r w:rsidR="00F26B63">
        <w:rPr>
          <w:szCs w:val="24"/>
        </w:rPr>
        <w:t xml:space="preserve"> </w:t>
      </w:r>
      <w:r w:rsidR="0071024C">
        <w:rPr>
          <w:szCs w:val="24"/>
        </w:rPr>
        <w:t xml:space="preserve">which concerned </w:t>
      </w:r>
      <w:r w:rsidR="00AC4E73">
        <w:rPr>
          <w:szCs w:val="24"/>
        </w:rPr>
        <w:t xml:space="preserve">expenditure on </w:t>
      </w:r>
      <w:r w:rsidR="0071024C">
        <w:rPr>
          <w:szCs w:val="24"/>
        </w:rPr>
        <w:t>office clothing</w:t>
      </w:r>
      <w:r w:rsidR="006C008E">
        <w:rPr>
          <w:szCs w:val="24"/>
        </w:rPr>
        <w:t>.</w:t>
      </w:r>
      <w:r w:rsidR="00E718E6">
        <w:rPr>
          <w:szCs w:val="24"/>
        </w:rPr>
        <w:t xml:space="preserve"> In the latter case, </w:t>
      </w:r>
      <w:r w:rsidR="005321E2">
        <w:rPr>
          <w:szCs w:val="24"/>
        </w:rPr>
        <w:t xml:space="preserve">Goulding J </w:t>
      </w:r>
      <w:r w:rsidR="00F04B7D">
        <w:rPr>
          <w:szCs w:val="24"/>
        </w:rPr>
        <w:t xml:space="preserve">stated that </w:t>
      </w:r>
      <w:r w:rsidR="008D01FC">
        <w:rPr>
          <w:szCs w:val="24"/>
        </w:rPr>
        <w:t xml:space="preserve">one purpose of the clothing was to provide cover and comfort, and </w:t>
      </w:r>
      <w:r w:rsidR="005321E2">
        <w:rPr>
          <w:szCs w:val="24"/>
        </w:rPr>
        <w:t xml:space="preserve">at </w:t>
      </w:r>
      <w:r w:rsidR="00653BCD">
        <w:rPr>
          <w:szCs w:val="24"/>
        </w:rPr>
        <w:t xml:space="preserve">p. </w:t>
      </w:r>
      <w:r w:rsidR="00827B15">
        <w:rPr>
          <w:szCs w:val="24"/>
        </w:rPr>
        <w:t>493b</w:t>
      </w:r>
      <w:r w:rsidR="00CA12C5">
        <w:rPr>
          <w:szCs w:val="24"/>
        </w:rPr>
        <w:t xml:space="preserve"> that</w:t>
      </w:r>
      <w:r w:rsidR="00827B15">
        <w:rPr>
          <w:szCs w:val="24"/>
        </w:rPr>
        <w:t>:</w:t>
      </w:r>
    </w:p>
    <w:p w14:paraId="2D41B2C8" w14:textId="40778E97" w:rsidR="00827B15" w:rsidRPr="00292DFC" w:rsidRDefault="00653BCD" w:rsidP="00292DFC">
      <w:pPr>
        <w:pStyle w:val="Bodytexttax1"/>
        <w:numPr>
          <w:ilvl w:val="0"/>
          <w:numId w:val="0"/>
        </w:numPr>
        <w:ind w:left="425"/>
        <w:rPr>
          <w:sz w:val="22"/>
          <w:szCs w:val="22"/>
        </w:rPr>
      </w:pPr>
      <w:r>
        <w:rPr>
          <w:sz w:val="22"/>
          <w:szCs w:val="22"/>
        </w:rPr>
        <w:t>“</w:t>
      </w:r>
      <w:r w:rsidR="00CC6B26" w:rsidRPr="00292DFC">
        <w:rPr>
          <w:sz w:val="22"/>
          <w:szCs w:val="22"/>
        </w:rPr>
        <w:t>… the expenditure in question, although on suits that were only worn while at work, had two purposes inextricably intermingled</w:t>
      </w:r>
      <w:r w:rsidR="0026027F" w:rsidRPr="00292DFC">
        <w:rPr>
          <w:sz w:val="22"/>
          <w:szCs w:val="22"/>
        </w:rPr>
        <w:t>, and not severable by any apportionment that the court could undertake.</w:t>
      </w:r>
      <w:r>
        <w:rPr>
          <w:sz w:val="22"/>
          <w:szCs w:val="22"/>
        </w:rPr>
        <w:t>”</w:t>
      </w:r>
    </w:p>
    <w:p w14:paraId="15A0330C" w14:textId="6D6B5964" w:rsidR="00174A49" w:rsidRDefault="00174A49" w:rsidP="0059631B">
      <w:pPr>
        <w:pStyle w:val="Bodytexttax1"/>
        <w:rPr>
          <w:szCs w:val="24"/>
        </w:rPr>
      </w:pPr>
      <w:r>
        <w:rPr>
          <w:szCs w:val="24"/>
        </w:rPr>
        <w:t>The FTT</w:t>
      </w:r>
      <w:r w:rsidR="00DF3091">
        <w:rPr>
          <w:szCs w:val="24"/>
        </w:rPr>
        <w:t xml:space="preserve"> appears to have found that almost all Mr K</w:t>
      </w:r>
      <w:r w:rsidR="00AF0905">
        <w:rPr>
          <w:szCs w:val="24"/>
        </w:rPr>
        <w:t>u</w:t>
      </w:r>
      <w:r w:rsidR="00DF3091">
        <w:rPr>
          <w:szCs w:val="24"/>
        </w:rPr>
        <w:t>njur’s time spent at the Premises was spent in the performance of his duties.</w:t>
      </w:r>
      <w:r w:rsidR="008D380C">
        <w:rPr>
          <w:szCs w:val="24"/>
        </w:rPr>
        <w:t xml:space="preserve"> </w:t>
      </w:r>
      <w:r w:rsidR="00B21572">
        <w:rPr>
          <w:szCs w:val="24"/>
        </w:rPr>
        <w:t xml:space="preserve">We doubt very much whether that is a correct </w:t>
      </w:r>
      <w:r w:rsidR="00D72B47">
        <w:rPr>
          <w:szCs w:val="24"/>
        </w:rPr>
        <w:t xml:space="preserve">analysis </w:t>
      </w:r>
      <w:r w:rsidR="00B21572">
        <w:rPr>
          <w:szCs w:val="24"/>
        </w:rPr>
        <w:t xml:space="preserve">of the </w:t>
      </w:r>
      <w:r w:rsidR="00D72B47">
        <w:rPr>
          <w:szCs w:val="24"/>
        </w:rPr>
        <w:t>position</w:t>
      </w:r>
      <w:r w:rsidR="00B934DB">
        <w:rPr>
          <w:szCs w:val="24"/>
        </w:rPr>
        <w:t>,</w:t>
      </w:r>
      <w:r w:rsidR="00B21572">
        <w:rPr>
          <w:szCs w:val="24"/>
        </w:rPr>
        <w:t xml:space="preserve"> given that Mr Kunjur was living and sleeping at the premises.</w:t>
      </w:r>
      <w:r w:rsidR="00B934DB">
        <w:rPr>
          <w:szCs w:val="24"/>
        </w:rPr>
        <w:t xml:space="preserve"> </w:t>
      </w:r>
      <w:r w:rsidR="008D380C">
        <w:rPr>
          <w:szCs w:val="24"/>
        </w:rPr>
        <w:t>Leaving that to one side</w:t>
      </w:r>
      <w:r w:rsidR="00B934DB">
        <w:rPr>
          <w:szCs w:val="24"/>
        </w:rPr>
        <w:t xml:space="preserve">, </w:t>
      </w:r>
      <w:r w:rsidR="005814E6">
        <w:rPr>
          <w:szCs w:val="24"/>
        </w:rPr>
        <w:t xml:space="preserve">however, </w:t>
      </w:r>
      <w:r w:rsidR="00FF3005">
        <w:rPr>
          <w:szCs w:val="24"/>
        </w:rPr>
        <w:t>the FTT clearly found that the</w:t>
      </w:r>
      <w:r w:rsidR="008B7A5A">
        <w:rPr>
          <w:szCs w:val="24"/>
        </w:rPr>
        <w:t xml:space="preserve"> Premises served</w:t>
      </w:r>
      <w:r w:rsidR="00FF3005">
        <w:rPr>
          <w:szCs w:val="24"/>
        </w:rPr>
        <w:t xml:space="preserve"> a dual purpose</w:t>
      </w:r>
      <w:r w:rsidR="008B7A5A">
        <w:rPr>
          <w:szCs w:val="24"/>
        </w:rPr>
        <w:t>,</w:t>
      </w:r>
      <w:r w:rsidR="006C22E0">
        <w:rPr>
          <w:szCs w:val="24"/>
        </w:rPr>
        <w:t xml:space="preserve"> and there is no suggestion in the Decision that </w:t>
      </w:r>
      <w:r w:rsidR="008B7A5A">
        <w:rPr>
          <w:szCs w:val="24"/>
        </w:rPr>
        <w:t xml:space="preserve">Mr Kunjur’s </w:t>
      </w:r>
      <w:r w:rsidR="00C4360B">
        <w:rPr>
          <w:szCs w:val="24"/>
        </w:rPr>
        <w:t xml:space="preserve">personal benefit </w:t>
      </w:r>
      <w:r w:rsidR="00A91B49">
        <w:rPr>
          <w:szCs w:val="24"/>
        </w:rPr>
        <w:t xml:space="preserve">from </w:t>
      </w:r>
      <w:r w:rsidR="00C4360B">
        <w:rPr>
          <w:szCs w:val="24"/>
        </w:rPr>
        <w:t>using the Premises was merely incidental</w:t>
      </w:r>
      <w:r w:rsidR="00FF3005">
        <w:rPr>
          <w:szCs w:val="24"/>
        </w:rPr>
        <w:t xml:space="preserve">. </w:t>
      </w:r>
      <w:r w:rsidR="009F7BDD">
        <w:rPr>
          <w:szCs w:val="24"/>
        </w:rPr>
        <w:t>Rather</w:t>
      </w:r>
      <w:r w:rsidR="00D42694">
        <w:rPr>
          <w:szCs w:val="24"/>
        </w:rPr>
        <w:t xml:space="preserve">, </w:t>
      </w:r>
      <w:r w:rsidR="003F7673">
        <w:rPr>
          <w:szCs w:val="24"/>
        </w:rPr>
        <w:t>the FTT</w:t>
      </w:r>
      <w:r w:rsidR="00D42694">
        <w:rPr>
          <w:szCs w:val="24"/>
        </w:rPr>
        <w:t xml:space="preserve"> considered that the expenditure could be apportioned between </w:t>
      </w:r>
      <w:r w:rsidR="00167804">
        <w:rPr>
          <w:szCs w:val="24"/>
        </w:rPr>
        <w:t xml:space="preserve">personal use and use </w:t>
      </w:r>
      <w:r w:rsidR="000C6325">
        <w:rPr>
          <w:szCs w:val="24"/>
        </w:rPr>
        <w:t xml:space="preserve">in performance of the duties of the </w:t>
      </w:r>
      <w:r w:rsidR="00167804">
        <w:rPr>
          <w:szCs w:val="24"/>
        </w:rPr>
        <w:t>employment.</w:t>
      </w:r>
    </w:p>
    <w:p w14:paraId="45261672" w14:textId="39C0E066" w:rsidR="00796604" w:rsidRDefault="00CE26CA" w:rsidP="0059631B">
      <w:pPr>
        <w:pStyle w:val="Bodytexttax1"/>
        <w:rPr>
          <w:szCs w:val="24"/>
        </w:rPr>
      </w:pPr>
      <w:r>
        <w:rPr>
          <w:szCs w:val="24"/>
        </w:rPr>
        <w:t>In our view the FTT erred in law in finding that the expenditure could be apportioned to identify</w:t>
      </w:r>
      <w:r w:rsidR="0037149D">
        <w:rPr>
          <w:szCs w:val="24"/>
        </w:rPr>
        <w:t xml:space="preserve"> an amount which was incurred wholly and exclusively in the performance of the duties. </w:t>
      </w:r>
      <w:r w:rsidR="003B75D0">
        <w:rPr>
          <w:szCs w:val="24"/>
        </w:rPr>
        <w:t xml:space="preserve">The position is similar to </w:t>
      </w:r>
      <w:r w:rsidR="00D318BA">
        <w:rPr>
          <w:szCs w:val="24"/>
        </w:rPr>
        <w:t xml:space="preserve">relief </w:t>
      </w:r>
      <w:r w:rsidR="006A3A3D">
        <w:rPr>
          <w:szCs w:val="24"/>
        </w:rPr>
        <w:t xml:space="preserve">for </w:t>
      </w:r>
      <w:r w:rsidR="00D318BA">
        <w:rPr>
          <w:szCs w:val="24"/>
        </w:rPr>
        <w:t xml:space="preserve">expenditure incurred by self-employed individuals. In </w:t>
      </w:r>
      <w:r w:rsidR="00D318BA">
        <w:rPr>
          <w:i/>
          <w:iCs/>
          <w:szCs w:val="24"/>
        </w:rPr>
        <w:t>Mall</w:t>
      </w:r>
      <w:r w:rsidR="006259A9">
        <w:rPr>
          <w:i/>
          <w:iCs/>
          <w:szCs w:val="24"/>
        </w:rPr>
        <w:t xml:space="preserve">alieu v Drummond </w:t>
      </w:r>
      <w:r w:rsidR="006259A9">
        <w:rPr>
          <w:szCs w:val="24"/>
        </w:rPr>
        <w:t xml:space="preserve">[1983] STC 665 the House of Lords held that </w:t>
      </w:r>
      <w:r w:rsidR="0006326E">
        <w:rPr>
          <w:szCs w:val="24"/>
        </w:rPr>
        <w:t>expenditure on appropriate court clothing</w:t>
      </w:r>
      <w:r w:rsidR="006179AF">
        <w:rPr>
          <w:szCs w:val="24"/>
        </w:rPr>
        <w:t xml:space="preserve"> was not </w:t>
      </w:r>
      <w:r w:rsidR="00915054">
        <w:rPr>
          <w:szCs w:val="24"/>
        </w:rPr>
        <w:t xml:space="preserve">incurred </w:t>
      </w:r>
      <w:r w:rsidR="006179AF">
        <w:rPr>
          <w:szCs w:val="24"/>
        </w:rPr>
        <w:t>wholly and exclusively</w:t>
      </w:r>
      <w:r w:rsidR="00915054">
        <w:rPr>
          <w:szCs w:val="24"/>
        </w:rPr>
        <w:t xml:space="preserve"> for the purposes of </w:t>
      </w:r>
      <w:r w:rsidR="008E434F">
        <w:rPr>
          <w:szCs w:val="24"/>
        </w:rPr>
        <w:t>a barrister’s profession</w:t>
      </w:r>
      <w:r w:rsidR="00BC6596">
        <w:rPr>
          <w:szCs w:val="24"/>
        </w:rPr>
        <w:t xml:space="preserve">. </w:t>
      </w:r>
      <w:r w:rsidR="00702D43">
        <w:rPr>
          <w:szCs w:val="24"/>
        </w:rPr>
        <w:t>T</w:t>
      </w:r>
      <w:r w:rsidR="00AF6E75">
        <w:rPr>
          <w:szCs w:val="24"/>
        </w:rPr>
        <w:t xml:space="preserve">he position </w:t>
      </w:r>
      <w:r w:rsidR="00D45B87">
        <w:rPr>
          <w:szCs w:val="24"/>
        </w:rPr>
        <w:t xml:space="preserve">in that regard </w:t>
      </w:r>
      <w:r w:rsidR="00AF6E75">
        <w:rPr>
          <w:szCs w:val="24"/>
        </w:rPr>
        <w:t xml:space="preserve">was </w:t>
      </w:r>
      <w:r w:rsidR="00D45B87">
        <w:rPr>
          <w:szCs w:val="24"/>
        </w:rPr>
        <w:t xml:space="preserve">held to be </w:t>
      </w:r>
      <w:r w:rsidR="00AF6E75">
        <w:rPr>
          <w:szCs w:val="24"/>
        </w:rPr>
        <w:t xml:space="preserve">indistinguishable from </w:t>
      </w:r>
      <w:r w:rsidR="00AF6E75" w:rsidRPr="0071024C">
        <w:rPr>
          <w:i/>
          <w:iCs/>
          <w:szCs w:val="24"/>
        </w:rPr>
        <w:t>Hillyer v Leeke</w:t>
      </w:r>
      <w:r w:rsidR="00AF6E75">
        <w:rPr>
          <w:szCs w:val="24"/>
        </w:rPr>
        <w:t xml:space="preserve"> in the context of employment income.</w:t>
      </w:r>
      <w:r w:rsidR="0046109C">
        <w:rPr>
          <w:szCs w:val="24"/>
        </w:rPr>
        <w:t xml:space="preserve"> </w:t>
      </w:r>
    </w:p>
    <w:p w14:paraId="5965FEC8" w14:textId="25735593" w:rsidR="00DF3D40" w:rsidRDefault="000C6325" w:rsidP="0059631B">
      <w:pPr>
        <w:pStyle w:val="Bodytexttax1"/>
        <w:rPr>
          <w:szCs w:val="24"/>
        </w:rPr>
      </w:pPr>
      <w:r>
        <w:rPr>
          <w:szCs w:val="24"/>
        </w:rPr>
        <w:t xml:space="preserve">In </w:t>
      </w:r>
      <w:r>
        <w:rPr>
          <w:i/>
          <w:iCs/>
          <w:szCs w:val="24"/>
        </w:rPr>
        <w:t xml:space="preserve">Mallalieu v </w:t>
      </w:r>
      <w:r w:rsidRPr="000C6325">
        <w:rPr>
          <w:i/>
          <w:iCs/>
          <w:szCs w:val="24"/>
        </w:rPr>
        <w:t>Drummond</w:t>
      </w:r>
      <w:r>
        <w:rPr>
          <w:szCs w:val="24"/>
        </w:rPr>
        <w:t>, t</w:t>
      </w:r>
      <w:r w:rsidR="00DF3D40" w:rsidRPr="000C6325">
        <w:rPr>
          <w:szCs w:val="24"/>
        </w:rPr>
        <w:t>he</w:t>
      </w:r>
      <w:r w:rsidR="00DF3D40">
        <w:rPr>
          <w:szCs w:val="24"/>
        </w:rPr>
        <w:t xml:space="preserve"> House of Lords </w:t>
      </w:r>
      <w:r w:rsidR="00663596">
        <w:rPr>
          <w:szCs w:val="24"/>
        </w:rPr>
        <w:t>at p</w:t>
      </w:r>
      <w:r w:rsidR="000E329F">
        <w:rPr>
          <w:szCs w:val="24"/>
        </w:rPr>
        <w:t xml:space="preserve">. </w:t>
      </w:r>
      <w:r w:rsidR="00663596">
        <w:rPr>
          <w:szCs w:val="24"/>
        </w:rPr>
        <w:t xml:space="preserve">668 </w:t>
      </w:r>
      <w:r w:rsidR="00FC5DF2">
        <w:rPr>
          <w:szCs w:val="24"/>
        </w:rPr>
        <w:t xml:space="preserve">recognised a </w:t>
      </w:r>
      <w:r w:rsidR="00620371">
        <w:rPr>
          <w:szCs w:val="24"/>
        </w:rPr>
        <w:t xml:space="preserve">possible </w:t>
      </w:r>
      <w:r w:rsidR="00DF3D40">
        <w:rPr>
          <w:szCs w:val="24"/>
        </w:rPr>
        <w:t>distin</w:t>
      </w:r>
      <w:r w:rsidR="00FC5DF2">
        <w:rPr>
          <w:szCs w:val="24"/>
        </w:rPr>
        <w:t xml:space="preserve">ction </w:t>
      </w:r>
      <w:r w:rsidR="005D5754">
        <w:rPr>
          <w:szCs w:val="24"/>
        </w:rPr>
        <w:t>(</w:t>
      </w:r>
      <w:r w:rsidR="00620371">
        <w:rPr>
          <w:szCs w:val="24"/>
        </w:rPr>
        <w:t>depending on the facts</w:t>
      </w:r>
      <w:r w:rsidR="005D5754">
        <w:rPr>
          <w:szCs w:val="24"/>
        </w:rPr>
        <w:t>)</w:t>
      </w:r>
      <w:r w:rsidR="00620371">
        <w:rPr>
          <w:szCs w:val="24"/>
        </w:rPr>
        <w:t xml:space="preserve"> </w:t>
      </w:r>
      <w:r w:rsidR="00FC5DF2">
        <w:rPr>
          <w:szCs w:val="24"/>
        </w:rPr>
        <w:t xml:space="preserve">between </w:t>
      </w:r>
      <w:r w:rsidR="00DF3D40">
        <w:rPr>
          <w:szCs w:val="24"/>
        </w:rPr>
        <w:t xml:space="preserve">the object </w:t>
      </w:r>
      <w:r w:rsidR="002202B2">
        <w:rPr>
          <w:szCs w:val="24"/>
        </w:rPr>
        <w:t xml:space="preserve">of the taxpayer in making the expenditure </w:t>
      </w:r>
      <w:r w:rsidR="00FC5DF2">
        <w:rPr>
          <w:szCs w:val="24"/>
        </w:rPr>
        <w:t xml:space="preserve">and </w:t>
      </w:r>
      <w:r w:rsidR="002202B2">
        <w:rPr>
          <w:szCs w:val="24"/>
        </w:rPr>
        <w:t xml:space="preserve">the effect of the expenditure. </w:t>
      </w:r>
      <w:r w:rsidR="00EA0198">
        <w:rPr>
          <w:szCs w:val="24"/>
        </w:rPr>
        <w:t>While t</w:t>
      </w:r>
      <w:r w:rsidR="00FD3969">
        <w:rPr>
          <w:szCs w:val="24"/>
        </w:rPr>
        <w:t xml:space="preserve">he </w:t>
      </w:r>
      <w:r w:rsidR="00E83C01">
        <w:rPr>
          <w:szCs w:val="24"/>
        </w:rPr>
        <w:t>object may be exclusively to serve a purpose of the business, the effect may include a personal advantage</w:t>
      </w:r>
      <w:r w:rsidR="00E37287">
        <w:rPr>
          <w:szCs w:val="24"/>
        </w:rPr>
        <w:t>; and in such a case that personal advantage will not necessarily preclude the exclusivity of the business purposes</w:t>
      </w:r>
      <w:r w:rsidR="00E83C01">
        <w:rPr>
          <w:szCs w:val="24"/>
        </w:rPr>
        <w:t xml:space="preserve">. </w:t>
      </w:r>
      <w:r w:rsidR="005114E1">
        <w:rPr>
          <w:szCs w:val="24"/>
        </w:rPr>
        <w:t>The FTT did not</w:t>
      </w:r>
      <w:r w:rsidR="000A6FF2">
        <w:rPr>
          <w:szCs w:val="24"/>
        </w:rPr>
        <w:t>, however,</w:t>
      </w:r>
      <w:r w:rsidR="005114E1">
        <w:rPr>
          <w:szCs w:val="24"/>
        </w:rPr>
        <w:t xml:space="preserve"> suggest in the Decision that it considered </w:t>
      </w:r>
      <w:r w:rsidR="00B9297A">
        <w:rPr>
          <w:szCs w:val="24"/>
        </w:rPr>
        <w:t>any personal advantage to Mr Kunjur to be merely an effect of the expenditure rather than the object of the expenditure</w:t>
      </w:r>
      <w:r w:rsidR="000A6FF2">
        <w:rPr>
          <w:szCs w:val="24"/>
        </w:rPr>
        <w:t>, and</w:t>
      </w:r>
      <w:r w:rsidR="00B9297A">
        <w:rPr>
          <w:szCs w:val="24"/>
        </w:rPr>
        <w:t xml:space="preserve"> </w:t>
      </w:r>
      <w:r w:rsidR="009016E5">
        <w:rPr>
          <w:szCs w:val="24"/>
        </w:rPr>
        <w:t xml:space="preserve">(even had it done so) </w:t>
      </w:r>
      <w:r w:rsidR="000A6FF2">
        <w:rPr>
          <w:szCs w:val="24"/>
        </w:rPr>
        <w:t>w</w:t>
      </w:r>
      <w:r w:rsidR="00AD34E1">
        <w:rPr>
          <w:szCs w:val="24"/>
        </w:rPr>
        <w:t xml:space="preserve">e do not consider that </w:t>
      </w:r>
      <w:r w:rsidR="000A6FF2">
        <w:rPr>
          <w:szCs w:val="24"/>
        </w:rPr>
        <w:t xml:space="preserve">that </w:t>
      </w:r>
      <w:r w:rsidR="00AD34E1">
        <w:rPr>
          <w:szCs w:val="24"/>
        </w:rPr>
        <w:t>would be an appropr</w:t>
      </w:r>
      <w:r w:rsidR="00246710">
        <w:rPr>
          <w:szCs w:val="24"/>
        </w:rPr>
        <w:t>iate</w:t>
      </w:r>
      <w:r w:rsidR="00AD34E1">
        <w:rPr>
          <w:szCs w:val="24"/>
        </w:rPr>
        <w:t xml:space="preserve"> analysis on the facts.</w:t>
      </w:r>
      <w:r w:rsidR="00246710">
        <w:rPr>
          <w:szCs w:val="24"/>
        </w:rPr>
        <w:t xml:space="preserve"> Mr Kunjur’s object was clearly to provide himself with living accommodation </w:t>
      </w:r>
      <w:r w:rsidR="00172A27">
        <w:rPr>
          <w:szCs w:val="24"/>
        </w:rPr>
        <w:t xml:space="preserve">during his working week </w:t>
      </w:r>
      <w:r w:rsidR="0090134E">
        <w:rPr>
          <w:szCs w:val="24"/>
        </w:rPr>
        <w:t xml:space="preserve">for both </w:t>
      </w:r>
      <w:r w:rsidR="00172A27">
        <w:rPr>
          <w:szCs w:val="24"/>
        </w:rPr>
        <w:t xml:space="preserve">employment </w:t>
      </w:r>
      <w:r w:rsidR="0090134E">
        <w:rPr>
          <w:szCs w:val="24"/>
        </w:rPr>
        <w:t>purposes and</w:t>
      </w:r>
      <w:r w:rsidR="003F04FC">
        <w:rPr>
          <w:szCs w:val="24"/>
        </w:rPr>
        <w:t xml:space="preserve"> </w:t>
      </w:r>
      <w:r w:rsidR="0090134E">
        <w:rPr>
          <w:szCs w:val="24"/>
        </w:rPr>
        <w:t>p</w:t>
      </w:r>
      <w:r w:rsidR="00172A27">
        <w:rPr>
          <w:szCs w:val="24"/>
        </w:rPr>
        <w:t xml:space="preserve">ersonal </w:t>
      </w:r>
      <w:r w:rsidR="0090134E">
        <w:rPr>
          <w:szCs w:val="24"/>
        </w:rPr>
        <w:t>purposes</w:t>
      </w:r>
      <w:r w:rsidR="00172A27">
        <w:rPr>
          <w:szCs w:val="24"/>
        </w:rPr>
        <w:t>.</w:t>
      </w:r>
    </w:p>
    <w:p w14:paraId="34BC57E1" w14:textId="76BD8524" w:rsidR="007E5576" w:rsidRPr="007E5576" w:rsidRDefault="007E5576" w:rsidP="007E5576">
      <w:pPr>
        <w:pStyle w:val="Bodytexttax1"/>
        <w:rPr>
          <w:szCs w:val="24"/>
        </w:rPr>
      </w:pPr>
      <w:r>
        <w:t xml:space="preserve">We are </w:t>
      </w:r>
      <w:r w:rsidR="0021346E">
        <w:t xml:space="preserve">therefore </w:t>
      </w:r>
      <w:r>
        <w:t xml:space="preserve">satisfied that the FTT </w:t>
      </w:r>
      <w:r w:rsidRPr="0059631B">
        <w:rPr>
          <w:szCs w:val="24"/>
        </w:rPr>
        <w:t xml:space="preserve">erred in law in finding that </w:t>
      </w:r>
      <w:r>
        <w:rPr>
          <w:szCs w:val="24"/>
        </w:rPr>
        <w:t xml:space="preserve">expenditure on the Premises was </w:t>
      </w:r>
      <w:r w:rsidR="001E1632">
        <w:rPr>
          <w:szCs w:val="24"/>
        </w:rPr>
        <w:t>“</w:t>
      </w:r>
      <w:r>
        <w:rPr>
          <w:szCs w:val="24"/>
        </w:rPr>
        <w:t>wholly and exclusively</w:t>
      </w:r>
      <w:r w:rsidR="001E1632">
        <w:rPr>
          <w:szCs w:val="24"/>
        </w:rPr>
        <w:t>”</w:t>
      </w:r>
      <w:r>
        <w:rPr>
          <w:szCs w:val="24"/>
        </w:rPr>
        <w:t xml:space="preserve"> incurred by </w:t>
      </w:r>
      <w:r w:rsidRPr="0059631B">
        <w:rPr>
          <w:szCs w:val="24"/>
        </w:rPr>
        <w:t xml:space="preserve">Mr Kunjur </w:t>
      </w:r>
      <w:r>
        <w:rPr>
          <w:szCs w:val="24"/>
        </w:rPr>
        <w:t>in the performance of his duties.</w:t>
      </w:r>
    </w:p>
    <w:p w14:paraId="30EC8F83" w14:textId="65C06BBE" w:rsidR="0059631B" w:rsidRDefault="008638A6" w:rsidP="00951459">
      <w:pPr>
        <w:pStyle w:val="Heading2"/>
        <w:jc w:val="both"/>
      </w:pPr>
      <w:r>
        <w:rPr>
          <w:rFonts w:ascii="TimesNewRomanPSMT" w:hAnsi="TimesNewRomanPSMT" w:cs="TimesNewRomanPSMT"/>
        </w:rPr>
        <w:t>Ground 3</w:t>
      </w:r>
      <w:r w:rsidR="0021346E">
        <w:rPr>
          <w:rFonts w:ascii="TimesNewRomanPSMT" w:hAnsi="TimesNewRomanPSMT" w:cs="TimesNewRomanPSMT"/>
        </w:rPr>
        <w:t>:</w:t>
      </w:r>
      <w:r>
        <w:rPr>
          <w:rFonts w:ascii="TimesNewRomanPSMT" w:hAnsi="TimesNewRomanPSMT" w:cs="TimesNewRomanPSMT"/>
        </w:rPr>
        <w:t xml:space="preserve"> </w:t>
      </w:r>
      <w:r w:rsidR="0059631B">
        <w:rPr>
          <w:rFonts w:ascii="TimesNewRomanPSMT" w:hAnsi="TimesNewRomanPSMT" w:cs="TimesNewRomanPSMT"/>
        </w:rPr>
        <w:t xml:space="preserve">The FTT’s finding that </w:t>
      </w:r>
      <w:r w:rsidR="0059631B" w:rsidRPr="00E22932">
        <w:rPr>
          <w:rFonts w:ascii="TimesNewRomanPSMT" w:hAnsi="TimesNewRomanPSMT" w:cs="TimesNewRomanPSMT"/>
        </w:rPr>
        <w:t xml:space="preserve">the expenditure was incurred </w:t>
      </w:r>
      <w:r w:rsidR="00E8573B">
        <w:rPr>
          <w:rFonts w:ascii="TimesNewRomanPSMT" w:hAnsi="TimesNewRomanPSMT" w:cs="TimesNewRomanPSMT"/>
        </w:rPr>
        <w:t>“</w:t>
      </w:r>
      <w:r w:rsidR="0059631B" w:rsidRPr="00E22932">
        <w:rPr>
          <w:rFonts w:ascii="TimesNewRomanPSMT" w:hAnsi="TimesNewRomanPSMT" w:cs="TimesNewRomanPSMT"/>
        </w:rPr>
        <w:t>in the performance of the duties</w:t>
      </w:r>
      <w:r w:rsidR="00E8573B">
        <w:rPr>
          <w:rFonts w:ascii="TimesNewRomanPSMT" w:hAnsi="TimesNewRomanPSMT" w:cs="TimesNewRomanPSMT"/>
        </w:rPr>
        <w:t>”</w:t>
      </w:r>
      <w:r w:rsidR="0059631B" w:rsidRPr="00E22932">
        <w:rPr>
          <w:rFonts w:ascii="TimesNewRomanPSMT" w:hAnsi="TimesNewRomanPSMT" w:cs="TimesNewRomanPSMT"/>
        </w:rPr>
        <w:t xml:space="preserve"> of Mr</w:t>
      </w:r>
      <w:r w:rsidR="0059631B">
        <w:rPr>
          <w:rFonts w:ascii="TimesNewRomanPSMT" w:hAnsi="TimesNewRomanPSMT" w:cs="TimesNewRomanPSMT"/>
        </w:rPr>
        <w:t xml:space="preserve"> </w:t>
      </w:r>
      <w:r w:rsidR="0059631B" w:rsidRPr="00E22932">
        <w:rPr>
          <w:rFonts w:ascii="TimesNewRomanPSMT" w:hAnsi="TimesNewRomanPSMT" w:cs="TimesNewRomanPSMT"/>
        </w:rPr>
        <w:t>Kunjur’s employment</w:t>
      </w:r>
    </w:p>
    <w:p w14:paraId="7AC18AFA" w14:textId="0EAAC1BA" w:rsidR="00611A91" w:rsidRDefault="00DE1F68" w:rsidP="0059631B">
      <w:pPr>
        <w:pStyle w:val="Bodytexttax1"/>
        <w:rPr>
          <w:szCs w:val="24"/>
        </w:rPr>
      </w:pPr>
      <w:r>
        <w:rPr>
          <w:szCs w:val="24"/>
        </w:rPr>
        <w:t xml:space="preserve">In </w:t>
      </w:r>
      <w:r w:rsidRPr="00ED26E9">
        <w:rPr>
          <w:i/>
          <w:iCs/>
          <w:szCs w:val="24"/>
        </w:rPr>
        <w:t>Elderkin v Hind</w:t>
      </w:r>
      <w:r w:rsidR="00390EA6" w:rsidRPr="00ED26E9">
        <w:rPr>
          <w:i/>
          <w:iCs/>
          <w:szCs w:val="24"/>
        </w:rPr>
        <w:t>marsh</w:t>
      </w:r>
      <w:r w:rsidR="00390EA6">
        <w:rPr>
          <w:szCs w:val="24"/>
        </w:rPr>
        <w:t xml:space="preserve"> [1988] STC 267, Vinelott J was concerned with </w:t>
      </w:r>
      <w:r w:rsidR="009F64E8">
        <w:rPr>
          <w:szCs w:val="24"/>
        </w:rPr>
        <w:t>a living allowance paid to an e</w:t>
      </w:r>
      <w:r w:rsidR="004A3686">
        <w:rPr>
          <w:szCs w:val="24"/>
        </w:rPr>
        <w:t>ngineer</w:t>
      </w:r>
      <w:r w:rsidR="009F64E8">
        <w:rPr>
          <w:szCs w:val="24"/>
        </w:rPr>
        <w:t xml:space="preserve"> who was required to </w:t>
      </w:r>
      <w:r w:rsidR="00565DCF">
        <w:rPr>
          <w:szCs w:val="24"/>
        </w:rPr>
        <w:t xml:space="preserve">work </w:t>
      </w:r>
      <w:r w:rsidR="00ED6D05">
        <w:rPr>
          <w:szCs w:val="24"/>
        </w:rPr>
        <w:t xml:space="preserve">at sites </w:t>
      </w:r>
      <w:r w:rsidR="00565DCF">
        <w:rPr>
          <w:szCs w:val="24"/>
        </w:rPr>
        <w:t>away from home for long periods.</w:t>
      </w:r>
      <w:r w:rsidR="003228C8">
        <w:rPr>
          <w:szCs w:val="24"/>
        </w:rPr>
        <w:t xml:space="preserve"> </w:t>
      </w:r>
      <w:r w:rsidR="00F71946">
        <w:rPr>
          <w:szCs w:val="24"/>
        </w:rPr>
        <w:t xml:space="preserve">The amount of the living allowances </w:t>
      </w:r>
      <w:r w:rsidR="00051787">
        <w:rPr>
          <w:szCs w:val="24"/>
        </w:rPr>
        <w:t>did not exceed his additional expenses</w:t>
      </w:r>
      <w:r w:rsidR="003B2DC4">
        <w:rPr>
          <w:szCs w:val="24"/>
        </w:rPr>
        <w:t xml:space="preserve"> in living away from home</w:t>
      </w:r>
      <w:r w:rsidR="00C6240F">
        <w:rPr>
          <w:szCs w:val="24"/>
        </w:rPr>
        <w:t>,</w:t>
      </w:r>
      <w:r w:rsidR="003B2DC4">
        <w:rPr>
          <w:szCs w:val="24"/>
        </w:rPr>
        <w:t xml:space="preserve"> and he could not have done the work he was employed to do </w:t>
      </w:r>
      <w:r w:rsidR="00C64908">
        <w:rPr>
          <w:szCs w:val="24"/>
        </w:rPr>
        <w:t xml:space="preserve">without incurring that additional expense. </w:t>
      </w:r>
      <w:r w:rsidR="00ED6D05">
        <w:rPr>
          <w:szCs w:val="24"/>
        </w:rPr>
        <w:t xml:space="preserve">He had to </w:t>
      </w:r>
      <w:r w:rsidR="00ED6D05">
        <w:rPr>
          <w:szCs w:val="24"/>
        </w:rPr>
        <w:lastRenderedPageBreak/>
        <w:t xml:space="preserve">find accommodation nearby </w:t>
      </w:r>
      <w:r w:rsidR="004B4643">
        <w:rPr>
          <w:szCs w:val="24"/>
        </w:rPr>
        <w:t xml:space="preserve">to be ready for work the next day or if he was called out to meet some emergency. </w:t>
      </w:r>
      <w:r w:rsidR="00FC441D">
        <w:rPr>
          <w:szCs w:val="24"/>
        </w:rPr>
        <w:t xml:space="preserve">The judge </w:t>
      </w:r>
      <w:r w:rsidR="00487B71">
        <w:rPr>
          <w:szCs w:val="24"/>
        </w:rPr>
        <w:t xml:space="preserve">held that the taxpayer </w:t>
      </w:r>
      <w:r w:rsidR="00010DE4">
        <w:rPr>
          <w:szCs w:val="24"/>
        </w:rPr>
        <w:t xml:space="preserve">was not entitled to deduct the expenditure because it was not incurred </w:t>
      </w:r>
      <w:r w:rsidR="003A1749">
        <w:rPr>
          <w:i/>
          <w:iCs/>
          <w:szCs w:val="24"/>
        </w:rPr>
        <w:t>in</w:t>
      </w:r>
      <w:r w:rsidR="003A1749">
        <w:rPr>
          <w:szCs w:val="24"/>
        </w:rPr>
        <w:t xml:space="preserve"> the performance of his duties.</w:t>
      </w:r>
      <w:r w:rsidR="00D50550">
        <w:rPr>
          <w:szCs w:val="24"/>
        </w:rPr>
        <w:t xml:space="preserve"> The expenditure </w:t>
      </w:r>
      <w:r w:rsidR="00DA6236">
        <w:rPr>
          <w:szCs w:val="24"/>
        </w:rPr>
        <w:t xml:space="preserve">simply </w:t>
      </w:r>
      <w:r w:rsidR="00D50550">
        <w:rPr>
          <w:szCs w:val="24"/>
        </w:rPr>
        <w:t xml:space="preserve">put him in a position to do the work he was employed to do. </w:t>
      </w:r>
      <w:r w:rsidR="008A5EF4">
        <w:rPr>
          <w:szCs w:val="24"/>
        </w:rPr>
        <w:t xml:space="preserve">Vinelott J </w:t>
      </w:r>
      <w:r w:rsidR="006549D2">
        <w:rPr>
          <w:szCs w:val="24"/>
        </w:rPr>
        <w:t xml:space="preserve">also </w:t>
      </w:r>
      <w:r w:rsidR="008A5EF4">
        <w:rPr>
          <w:szCs w:val="24"/>
        </w:rPr>
        <w:t xml:space="preserve">quoted Viscount Cave in </w:t>
      </w:r>
      <w:r w:rsidR="008A5EF4">
        <w:rPr>
          <w:i/>
          <w:iCs/>
          <w:szCs w:val="24"/>
        </w:rPr>
        <w:t>Ricketts v Colquhoun</w:t>
      </w:r>
      <w:r w:rsidR="00EE3CF1">
        <w:rPr>
          <w:szCs w:val="24"/>
        </w:rPr>
        <w:t>:</w:t>
      </w:r>
    </w:p>
    <w:p w14:paraId="25F4DF19" w14:textId="020BAF92" w:rsidR="00EE3CF1" w:rsidRPr="00921D0C" w:rsidRDefault="00653BCD" w:rsidP="00921D0C">
      <w:pPr>
        <w:pStyle w:val="Bodytexttax1"/>
        <w:numPr>
          <w:ilvl w:val="0"/>
          <w:numId w:val="0"/>
        </w:numPr>
        <w:ind w:left="425"/>
        <w:rPr>
          <w:sz w:val="22"/>
          <w:szCs w:val="22"/>
        </w:rPr>
      </w:pPr>
      <w:r>
        <w:rPr>
          <w:sz w:val="22"/>
          <w:szCs w:val="22"/>
        </w:rPr>
        <w:t>“</w:t>
      </w:r>
      <w:r w:rsidR="009A6A28" w:rsidRPr="00921D0C">
        <w:rPr>
          <w:sz w:val="22"/>
          <w:szCs w:val="22"/>
        </w:rPr>
        <w:t xml:space="preserve">[If an employee] elects to live away </w:t>
      </w:r>
      <w:r w:rsidR="006A1891" w:rsidRPr="00921D0C">
        <w:rPr>
          <w:sz w:val="22"/>
          <w:szCs w:val="22"/>
        </w:rPr>
        <w:t>from his work so that he must find board and lodging away from home, that is by his own choice</w:t>
      </w:r>
      <w:r w:rsidR="006549D2" w:rsidRPr="00921D0C">
        <w:rPr>
          <w:sz w:val="22"/>
          <w:szCs w:val="22"/>
        </w:rPr>
        <w:t xml:space="preserve">, and not by reason of any necessity arising out of his employment … </w:t>
      </w:r>
      <w:r w:rsidR="00921D0C" w:rsidRPr="00921D0C">
        <w:rPr>
          <w:sz w:val="22"/>
          <w:szCs w:val="22"/>
        </w:rPr>
        <w:t>nor does he, as a rule, eat or sleep in the course of performing his duties, but either before or after their performance.</w:t>
      </w:r>
      <w:r>
        <w:rPr>
          <w:sz w:val="22"/>
          <w:szCs w:val="22"/>
        </w:rPr>
        <w:t>”</w:t>
      </w:r>
    </w:p>
    <w:p w14:paraId="648F0896" w14:textId="020E42FE" w:rsidR="00E65AFF" w:rsidRDefault="0079200C" w:rsidP="0059631B">
      <w:pPr>
        <w:pStyle w:val="Bodytexttax1"/>
        <w:rPr>
          <w:szCs w:val="24"/>
        </w:rPr>
      </w:pPr>
      <w:r>
        <w:rPr>
          <w:szCs w:val="24"/>
        </w:rPr>
        <w:t xml:space="preserve">There have been similar decisions in </w:t>
      </w:r>
      <w:r w:rsidR="00824619">
        <w:rPr>
          <w:szCs w:val="24"/>
        </w:rPr>
        <w:t xml:space="preserve">the context of expenditure on dietary supplements </w:t>
      </w:r>
      <w:r w:rsidR="004374E4">
        <w:rPr>
          <w:szCs w:val="24"/>
        </w:rPr>
        <w:t>by a rugby player who</w:t>
      </w:r>
      <w:r w:rsidR="00256D90">
        <w:rPr>
          <w:szCs w:val="24"/>
        </w:rPr>
        <w:t xml:space="preserve"> was </w:t>
      </w:r>
      <w:r w:rsidR="00EB3560">
        <w:rPr>
          <w:szCs w:val="24"/>
        </w:rPr>
        <w:t xml:space="preserve">required by the terms of his employment to </w:t>
      </w:r>
      <w:r w:rsidR="00921AB6">
        <w:rPr>
          <w:szCs w:val="24"/>
        </w:rPr>
        <w:t xml:space="preserve">maintain a high level of physical fitness </w:t>
      </w:r>
      <w:r w:rsidR="00824619">
        <w:rPr>
          <w:szCs w:val="24"/>
        </w:rPr>
        <w:t>(</w:t>
      </w:r>
      <w:r w:rsidR="00F02D86">
        <w:rPr>
          <w:i/>
          <w:iCs/>
          <w:szCs w:val="24"/>
        </w:rPr>
        <w:t>Ansell v Brown</w:t>
      </w:r>
      <w:r w:rsidR="00FF6541">
        <w:rPr>
          <w:i/>
          <w:iCs/>
          <w:szCs w:val="24"/>
        </w:rPr>
        <w:t xml:space="preserve"> </w:t>
      </w:r>
      <w:r w:rsidR="00FF6541">
        <w:rPr>
          <w:szCs w:val="24"/>
        </w:rPr>
        <w:t>[2001] STC 1166</w:t>
      </w:r>
      <w:r w:rsidR="00FA4F99">
        <w:rPr>
          <w:szCs w:val="24"/>
        </w:rPr>
        <w:t>)</w:t>
      </w:r>
      <w:r w:rsidR="00AF4F5A">
        <w:rPr>
          <w:szCs w:val="24"/>
        </w:rPr>
        <w:t xml:space="preserve"> and </w:t>
      </w:r>
      <w:r w:rsidR="00DF3CAF">
        <w:rPr>
          <w:szCs w:val="24"/>
        </w:rPr>
        <w:t>expenditure on child care (</w:t>
      </w:r>
      <w:r w:rsidR="00DF3CAF">
        <w:rPr>
          <w:i/>
          <w:iCs/>
          <w:szCs w:val="24"/>
        </w:rPr>
        <w:t>Halstead v Condon</w:t>
      </w:r>
      <w:r w:rsidR="00DF3CAF">
        <w:rPr>
          <w:szCs w:val="24"/>
        </w:rPr>
        <w:t xml:space="preserve"> </w:t>
      </w:r>
      <w:r w:rsidR="0024182A">
        <w:rPr>
          <w:szCs w:val="24"/>
        </w:rPr>
        <w:t>46 TC 289).</w:t>
      </w:r>
      <w:r>
        <w:rPr>
          <w:szCs w:val="24"/>
        </w:rPr>
        <w:t xml:space="preserve"> </w:t>
      </w:r>
      <w:r w:rsidR="009F31F8">
        <w:rPr>
          <w:szCs w:val="24"/>
        </w:rPr>
        <w:t>In both cases</w:t>
      </w:r>
      <w:r w:rsidR="00256D90">
        <w:rPr>
          <w:szCs w:val="24"/>
        </w:rPr>
        <w:t xml:space="preserve">, it was held that the expenditure </w:t>
      </w:r>
      <w:r w:rsidR="00840462">
        <w:rPr>
          <w:szCs w:val="24"/>
        </w:rPr>
        <w:t>enabled the taxpayers to perform their duties but was not expenditure in the performance itself.</w:t>
      </w:r>
      <w:r w:rsidR="00184839">
        <w:rPr>
          <w:szCs w:val="24"/>
        </w:rPr>
        <w:t xml:space="preserve"> In </w:t>
      </w:r>
      <w:r w:rsidR="00CA3FEB">
        <w:rPr>
          <w:i/>
          <w:iCs/>
          <w:szCs w:val="24"/>
        </w:rPr>
        <w:t xml:space="preserve">Fitzpatrick v Inland Revenue Commissioners (No 2) </w:t>
      </w:r>
      <w:r w:rsidR="0087563E">
        <w:rPr>
          <w:szCs w:val="24"/>
        </w:rPr>
        <w:t xml:space="preserve">[1994] STC 237, </w:t>
      </w:r>
      <w:r w:rsidR="00BC6876">
        <w:rPr>
          <w:szCs w:val="24"/>
        </w:rPr>
        <w:t xml:space="preserve">Lord Templeman quoted with approval Rowlatt J in </w:t>
      </w:r>
      <w:r w:rsidR="00975918">
        <w:rPr>
          <w:i/>
          <w:iCs/>
          <w:szCs w:val="24"/>
        </w:rPr>
        <w:t>Nolder v Walters</w:t>
      </w:r>
      <w:r w:rsidR="00975918">
        <w:rPr>
          <w:szCs w:val="24"/>
        </w:rPr>
        <w:t xml:space="preserve"> (1930) 15 TC 380</w:t>
      </w:r>
      <w:r w:rsidR="00346132">
        <w:rPr>
          <w:szCs w:val="24"/>
        </w:rPr>
        <w:t>:</w:t>
      </w:r>
    </w:p>
    <w:p w14:paraId="1D49510D" w14:textId="601BA040" w:rsidR="00346132" w:rsidRPr="0042472C" w:rsidRDefault="00A7315A" w:rsidP="0042472C">
      <w:pPr>
        <w:pStyle w:val="Bodytexttax1"/>
        <w:numPr>
          <w:ilvl w:val="0"/>
          <w:numId w:val="0"/>
        </w:numPr>
        <w:ind w:left="425"/>
        <w:rPr>
          <w:sz w:val="22"/>
          <w:szCs w:val="22"/>
        </w:rPr>
      </w:pPr>
      <w:r w:rsidRPr="0042472C">
        <w:rPr>
          <w:sz w:val="22"/>
          <w:szCs w:val="22"/>
        </w:rPr>
        <w:t>“</w:t>
      </w:r>
      <w:r w:rsidR="0053165A" w:rsidRPr="0042472C">
        <w:rPr>
          <w:sz w:val="22"/>
          <w:szCs w:val="22"/>
        </w:rPr>
        <w:t>‘In the performance of the duties’ means in doing the work of the office</w:t>
      </w:r>
      <w:r w:rsidR="00E9349F" w:rsidRPr="0042472C">
        <w:rPr>
          <w:sz w:val="22"/>
          <w:szCs w:val="22"/>
        </w:rPr>
        <w:t>, in doing the things which it is his duty to do while doing the work of the office.</w:t>
      </w:r>
      <w:r w:rsidR="00AB2EA8" w:rsidRPr="0042472C">
        <w:rPr>
          <w:sz w:val="22"/>
          <w:szCs w:val="22"/>
        </w:rPr>
        <w:t xml:space="preserve"> A man who holds an office or employment has</w:t>
      </w:r>
      <w:r w:rsidR="00711F34" w:rsidRPr="0042472C">
        <w:rPr>
          <w:sz w:val="22"/>
          <w:szCs w:val="22"/>
        </w:rPr>
        <w:t xml:space="preserve">, equally necessarily, to do other things incidentally, and spend money incidentally, because </w:t>
      </w:r>
      <w:r w:rsidR="00AB6176" w:rsidRPr="0042472C">
        <w:rPr>
          <w:sz w:val="22"/>
          <w:szCs w:val="22"/>
        </w:rPr>
        <w:t>he has the office. He has to get to the place of employment, for one thing</w:t>
      </w:r>
      <w:r w:rsidR="00F22CC9" w:rsidRPr="0042472C">
        <w:rPr>
          <w:sz w:val="22"/>
          <w:szCs w:val="22"/>
        </w:rPr>
        <w:t xml:space="preserve"> … Incidentally, he is obliged to do that, but it is not in doing the work of the office</w:t>
      </w:r>
      <w:r w:rsidR="002621D5" w:rsidRPr="0042472C">
        <w:rPr>
          <w:sz w:val="22"/>
          <w:szCs w:val="22"/>
        </w:rPr>
        <w:t>, which begins when he arrives, and sets to work to perform his duties.”</w:t>
      </w:r>
    </w:p>
    <w:p w14:paraId="2A4D5402" w14:textId="64F10BC4" w:rsidR="00384E0C" w:rsidRDefault="00384E0C" w:rsidP="0059631B">
      <w:pPr>
        <w:pStyle w:val="Bodytexttax1"/>
        <w:rPr>
          <w:szCs w:val="24"/>
        </w:rPr>
      </w:pPr>
      <w:r>
        <w:rPr>
          <w:szCs w:val="24"/>
        </w:rPr>
        <w:t xml:space="preserve">The FTT </w:t>
      </w:r>
      <w:r w:rsidR="002951CC">
        <w:rPr>
          <w:szCs w:val="24"/>
        </w:rPr>
        <w:t xml:space="preserve">found at §§23 and 24 </w:t>
      </w:r>
      <w:r w:rsidR="00752390">
        <w:rPr>
          <w:szCs w:val="24"/>
        </w:rPr>
        <w:t>that when Mr Kunjur was on informal on-call</w:t>
      </w:r>
      <w:r w:rsidR="00BE69A9">
        <w:rPr>
          <w:szCs w:val="24"/>
        </w:rPr>
        <w:t xml:space="preserve"> giving</w:t>
      </w:r>
      <w:r w:rsidR="006B4F39">
        <w:rPr>
          <w:szCs w:val="24"/>
        </w:rPr>
        <w:t xml:space="preserve"> advice over the telephone and </w:t>
      </w:r>
      <w:r w:rsidR="001F3546">
        <w:rPr>
          <w:szCs w:val="24"/>
        </w:rPr>
        <w:t xml:space="preserve">when he </w:t>
      </w:r>
      <w:r w:rsidR="006B4F39">
        <w:rPr>
          <w:szCs w:val="24"/>
        </w:rPr>
        <w:t>carried out research which he was required to do as part of his employment</w:t>
      </w:r>
      <w:r w:rsidR="00F87672">
        <w:rPr>
          <w:szCs w:val="24"/>
        </w:rPr>
        <w:t>, the Premises were being used in the performance of his duties.</w:t>
      </w:r>
      <w:r w:rsidR="00641990">
        <w:rPr>
          <w:szCs w:val="24"/>
        </w:rPr>
        <w:t xml:space="preserve"> We acc</w:t>
      </w:r>
      <w:r w:rsidR="00CB6DF2">
        <w:rPr>
          <w:szCs w:val="24"/>
        </w:rPr>
        <w:t>ept that the Premises were being used whilst Mr Kunjur performed his duties</w:t>
      </w:r>
      <w:r w:rsidR="00B2496B">
        <w:rPr>
          <w:szCs w:val="24"/>
        </w:rPr>
        <w:t xml:space="preserve">, but expenditure on the </w:t>
      </w:r>
      <w:r w:rsidR="002F5780">
        <w:rPr>
          <w:szCs w:val="24"/>
        </w:rPr>
        <w:t>Premises was not incurred in the performance of the duties.</w:t>
      </w:r>
      <w:r w:rsidR="009863AC">
        <w:rPr>
          <w:szCs w:val="24"/>
        </w:rPr>
        <w:t xml:space="preserve"> </w:t>
      </w:r>
      <w:r w:rsidR="00726A6F">
        <w:rPr>
          <w:szCs w:val="24"/>
        </w:rPr>
        <w:t>Rather, i</w:t>
      </w:r>
      <w:r w:rsidR="00673F43">
        <w:rPr>
          <w:szCs w:val="24"/>
        </w:rPr>
        <w:t xml:space="preserve">t was incidental expenditure which </w:t>
      </w:r>
      <w:r w:rsidR="00176DBF">
        <w:rPr>
          <w:szCs w:val="24"/>
        </w:rPr>
        <w:t>provided Mr Kunjur with accommodation from which he could</w:t>
      </w:r>
      <w:r w:rsidR="00091562">
        <w:rPr>
          <w:szCs w:val="24"/>
        </w:rPr>
        <w:t>, amongst other things,</w:t>
      </w:r>
      <w:r w:rsidR="00176DBF">
        <w:rPr>
          <w:szCs w:val="24"/>
        </w:rPr>
        <w:t xml:space="preserve"> take calls and carry out research</w:t>
      </w:r>
      <w:r w:rsidR="00D5571B">
        <w:rPr>
          <w:szCs w:val="24"/>
        </w:rPr>
        <w:t xml:space="preserve">. It </w:t>
      </w:r>
      <w:r w:rsidR="000D427B">
        <w:rPr>
          <w:szCs w:val="24"/>
        </w:rPr>
        <w:t>put him in a position to do the work he was employed to perform</w:t>
      </w:r>
      <w:r w:rsidR="00AB3923">
        <w:rPr>
          <w:szCs w:val="24"/>
        </w:rPr>
        <w:t>,</w:t>
      </w:r>
      <w:r w:rsidR="00F30E2A">
        <w:rPr>
          <w:szCs w:val="24"/>
        </w:rPr>
        <w:t xml:space="preserve"> but</w:t>
      </w:r>
      <w:r w:rsidR="000D427B">
        <w:rPr>
          <w:szCs w:val="24"/>
        </w:rPr>
        <w:t xml:space="preserve"> </w:t>
      </w:r>
      <w:r w:rsidR="00F30E2A">
        <w:rPr>
          <w:szCs w:val="24"/>
        </w:rPr>
        <w:t>h</w:t>
      </w:r>
      <w:r w:rsidR="000D427B">
        <w:rPr>
          <w:szCs w:val="24"/>
        </w:rPr>
        <w:t>e did not incur th</w:t>
      </w:r>
      <w:r w:rsidR="00736AA4">
        <w:rPr>
          <w:szCs w:val="24"/>
        </w:rPr>
        <w:t>e</w:t>
      </w:r>
      <w:r w:rsidR="000D427B">
        <w:rPr>
          <w:szCs w:val="24"/>
        </w:rPr>
        <w:t xml:space="preserve"> expenditure in the performance of the duties of his employment. </w:t>
      </w:r>
    </w:p>
    <w:p w14:paraId="146C73D0" w14:textId="001413B1" w:rsidR="00936079" w:rsidRPr="00936079" w:rsidRDefault="00936079" w:rsidP="00936079">
      <w:pPr>
        <w:pStyle w:val="Bodytexttax1"/>
        <w:rPr>
          <w:szCs w:val="24"/>
        </w:rPr>
      </w:pPr>
      <w:r>
        <w:t xml:space="preserve">We are </w:t>
      </w:r>
      <w:r w:rsidR="00726A6F">
        <w:t xml:space="preserve">therefore </w:t>
      </w:r>
      <w:r>
        <w:t xml:space="preserve">satisfied that the FTT </w:t>
      </w:r>
      <w:r w:rsidRPr="0059631B">
        <w:rPr>
          <w:szCs w:val="24"/>
        </w:rPr>
        <w:t xml:space="preserve">erred in law in finding that </w:t>
      </w:r>
      <w:r w:rsidR="00726A6F">
        <w:rPr>
          <w:szCs w:val="24"/>
        </w:rPr>
        <w:t xml:space="preserve">the </w:t>
      </w:r>
      <w:r>
        <w:rPr>
          <w:szCs w:val="24"/>
        </w:rPr>
        <w:t xml:space="preserve">expenditure on the Premises was incurred by </w:t>
      </w:r>
      <w:r w:rsidRPr="0059631B">
        <w:rPr>
          <w:szCs w:val="24"/>
        </w:rPr>
        <w:t xml:space="preserve">Mr Kunjur </w:t>
      </w:r>
      <w:r w:rsidR="00B117F3">
        <w:rPr>
          <w:szCs w:val="24"/>
        </w:rPr>
        <w:t>“</w:t>
      </w:r>
      <w:r>
        <w:rPr>
          <w:szCs w:val="24"/>
        </w:rPr>
        <w:t>in the performance of his duties</w:t>
      </w:r>
      <w:r w:rsidR="00B117F3">
        <w:rPr>
          <w:szCs w:val="24"/>
        </w:rPr>
        <w:t>”</w:t>
      </w:r>
      <w:r>
        <w:rPr>
          <w:szCs w:val="24"/>
        </w:rPr>
        <w:t>.</w:t>
      </w:r>
    </w:p>
    <w:p w14:paraId="274139D7" w14:textId="1F43EC9C" w:rsidR="008F4739" w:rsidRPr="008F4739" w:rsidRDefault="008F4739" w:rsidP="008F4739">
      <w:pPr>
        <w:pStyle w:val="Heading1"/>
      </w:pPr>
      <w:r>
        <w:t>Conclusion</w:t>
      </w:r>
    </w:p>
    <w:p w14:paraId="3EE5D314" w14:textId="18F7BF2F" w:rsidR="00872F70" w:rsidRPr="0059631B" w:rsidRDefault="00693294" w:rsidP="0059631B">
      <w:pPr>
        <w:pStyle w:val="Bodytexttax1"/>
        <w:rPr>
          <w:szCs w:val="24"/>
        </w:rPr>
      </w:pPr>
      <w:r>
        <w:rPr>
          <w:szCs w:val="24"/>
        </w:rPr>
        <w:t xml:space="preserve"> </w:t>
      </w:r>
      <w:r w:rsidR="008F4739">
        <w:rPr>
          <w:szCs w:val="24"/>
        </w:rPr>
        <w:t>F</w:t>
      </w:r>
      <w:r w:rsidR="00C633B3">
        <w:rPr>
          <w:szCs w:val="24"/>
        </w:rPr>
        <w:t>or the reasons given above</w:t>
      </w:r>
      <w:r w:rsidR="00936079">
        <w:rPr>
          <w:szCs w:val="24"/>
        </w:rPr>
        <w:t>, w</w:t>
      </w:r>
      <w:r w:rsidR="00C633B3">
        <w:rPr>
          <w:szCs w:val="24"/>
        </w:rPr>
        <w:t xml:space="preserve">e are satisfied that </w:t>
      </w:r>
      <w:r w:rsidR="001221DA">
        <w:rPr>
          <w:szCs w:val="24"/>
        </w:rPr>
        <w:t xml:space="preserve">Mr Kunjur was not entitled to </w:t>
      </w:r>
      <w:r w:rsidR="00B104A3">
        <w:rPr>
          <w:szCs w:val="24"/>
        </w:rPr>
        <w:t xml:space="preserve">any </w:t>
      </w:r>
      <w:r w:rsidR="001221DA">
        <w:rPr>
          <w:szCs w:val="24"/>
        </w:rPr>
        <w:t xml:space="preserve">deduction from </w:t>
      </w:r>
      <w:r w:rsidR="00B104A3">
        <w:rPr>
          <w:szCs w:val="24"/>
        </w:rPr>
        <w:t>his earnings for expenditure on the Premises</w:t>
      </w:r>
      <w:r w:rsidR="000E4F3C">
        <w:rPr>
          <w:szCs w:val="24"/>
        </w:rPr>
        <w:t xml:space="preserve"> and we allow the appeal. W</w:t>
      </w:r>
      <w:r w:rsidR="00B104A3">
        <w:rPr>
          <w:szCs w:val="24"/>
        </w:rPr>
        <w:t>e re</w:t>
      </w:r>
      <w:r w:rsidR="003F04FC">
        <w:rPr>
          <w:szCs w:val="24"/>
        </w:rPr>
        <w:t>-</w:t>
      </w:r>
      <w:r w:rsidR="00B104A3">
        <w:rPr>
          <w:szCs w:val="24"/>
        </w:rPr>
        <w:t xml:space="preserve">make the decision and </w:t>
      </w:r>
      <w:r w:rsidR="00C20758">
        <w:rPr>
          <w:szCs w:val="24"/>
        </w:rPr>
        <w:t>dismiss Mr Kunjur’s appeal against the Assessments.</w:t>
      </w:r>
    </w:p>
    <w:p w14:paraId="12C33E4F" w14:textId="77777777" w:rsidR="00BC142A" w:rsidRDefault="00BC142A" w:rsidP="0069660F">
      <w:pPr>
        <w:jc w:val="center"/>
      </w:pPr>
    </w:p>
    <w:p w14:paraId="5963AF57" w14:textId="5C18ABC2" w:rsidR="00C62076" w:rsidRDefault="000E4F3C" w:rsidP="000E4F3C">
      <w:pPr>
        <w:pStyle w:val="Heading4"/>
        <w:ind w:left="2835" w:right="794"/>
        <w:jc w:val="left"/>
      </w:pPr>
      <w:r>
        <w:t>MRS JUSTICE BACON</w:t>
      </w:r>
    </w:p>
    <w:p w14:paraId="7E88D1A8" w14:textId="6A04E191" w:rsidR="00FC5A77" w:rsidRDefault="00C62076" w:rsidP="000E4F3C">
      <w:pPr>
        <w:pStyle w:val="Heading4"/>
        <w:ind w:left="2835" w:right="794"/>
        <w:jc w:val="left"/>
      </w:pPr>
      <w:r>
        <w:t xml:space="preserve">JUDGE </w:t>
      </w:r>
      <w:r w:rsidR="000E4F3C">
        <w:t>JONATHAN CANNAN</w:t>
      </w:r>
    </w:p>
    <w:p w14:paraId="727757EF" w14:textId="77777777" w:rsidR="00D72D19" w:rsidRPr="00D72D19" w:rsidRDefault="00D72D19" w:rsidP="000E4F3C">
      <w:pPr>
        <w:ind w:left="2835"/>
        <w:rPr>
          <w:lang w:eastAsia="en-US"/>
        </w:rPr>
      </w:pPr>
    </w:p>
    <w:p w14:paraId="2043812F" w14:textId="4FE07823" w:rsidR="00943006" w:rsidRPr="00086AD2" w:rsidRDefault="00FC5A77" w:rsidP="000E4F3C">
      <w:pPr>
        <w:pStyle w:val="Heading4"/>
        <w:ind w:left="2835"/>
        <w:jc w:val="left"/>
      </w:pPr>
      <w:r>
        <w:rPr>
          <w:noProof/>
          <w:lang w:eastAsia="en-GB"/>
        </w:rPr>
        <mc:AlternateContent>
          <mc:Choice Requires="wpi">
            <w:drawing>
              <wp:anchor distT="0" distB="0" distL="114300" distR="114300" simplePos="0" relativeHeight="251659264" behindDoc="0" locked="0" layoutInCell="1" allowOverlap="1" wp14:anchorId="6B6FB795" wp14:editId="37E2B6AE">
                <wp:simplePos x="0" y="0"/>
                <wp:positionH relativeFrom="column">
                  <wp:posOffset>-1828339</wp:posOffset>
                </wp:positionH>
                <wp:positionV relativeFrom="paragraph">
                  <wp:posOffset>1484510</wp:posOffset>
                </wp:positionV>
                <wp:extent cx="36720" cy="21960"/>
                <wp:effectExtent l="38100" t="38100" r="40005" b="35560"/>
                <wp:wrapNone/>
                <wp:docPr id="2"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36720" cy="21960"/>
                      </w14:xfrm>
                    </w14:contentPart>
                  </a:graphicData>
                </a:graphic>
              </wp:anchor>
            </w:drawing>
          </mc:Choice>
          <mc:Fallback xmlns:w16du="http://schemas.microsoft.com/office/word/2023/wordml/word16du" xmlns:oel="http://schemas.microsoft.com/office/2019/extlst">
            <w:pict>
              <v:shapetype w14:anchorId="58E6E7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44.4pt;margin-top:116.45pt;width:3.8pt;height:2.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">
                <v:imagedata r:id="rId15" o:title=""/>
              </v:shape>
            </w:pict>
          </mc:Fallback>
        </mc:AlternateContent>
      </w:r>
      <w:r>
        <w:t>RELEASE DATE:</w:t>
      </w:r>
      <w:r w:rsidR="00584DC2">
        <w:t xml:space="preserve"> 10 July 2023</w:t>
      </w:r>
    </w:p>
    <w:sectPr w:rsidR="00943006" w:rsidRPr="00086AD2" w:rsidSect="00776E97">
      <w:footerReference w:type="default" r:id="rId16"/>
      <w:headerReference w:type="first" r:id="rId17"/>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6C1E1" w14:textId="77777777" w:rsidR="001A01E4" w:rsidRDefault="001A01E4">
      <w:r>
        <w:separator/>
      </w:r>
    </w:p>
  </w:endnote>
  <w:endnote w:type="continuationSeparator" w:id="0">
    <w:p w14:paraId="49623460" w14:textId="77777777" w:rsidR="001A01E4" w:rsidRDefault="001A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4687" w14:textId="77777777" w:rsidR="00B149FC" w:rsidRPr="009B7433" w:rsidRDefault="00B149FC" w:rsidP="00593795">
    <w:pPr>
      <w:pStyle w:val="Footer"/>
      <w:jc w:val="center"/>
      <w:rPr>
        <w:rFonts w:ascii="Book Antiqua" w:hAnsi="Book Antiqua" w:cs="Arial"/>
        <w:sz w:val="16"/>
        <w:szCs w:val="16"/>
      </w:rPr>
    </w:pPr>
    <w:r w:rsidRPr="009B7433">
      <w:rPr>
        <w:rStyle w:val="PageNumber"/>
        <w:rFonts w:ascii="Book Antiqua" w:hAnsi="Book Antiqua" w:cs="Arial"/>
        <w:sz w:val="16"/>
        <w:szCs w:val="16"/>
      </w:rPr>
      <w:fldChar w:fldCharType="begin"/>
    </w:r>
    <w:r w:rsidRPr="009B7433">
      <w:rPr>
        <w:rStyle w:val="PageNumber"/>
        <w:rFonts w:ascii="Book Antiqua" w:hAnsi="Book Antiqua" w:cs="Arial"/>
        <w:sz w:val="16"/>
        <w:szCs w:val="16"/>
      </w:rPr>
      <w:instrText xml:space="preserve"> PAGE </w:instrText>
    </w:r>
    <w:r w:rsidRPr="009B7433">
      <w:rPr>
        <w:rStyle w:val="PageNumber"/>
        <w:rFonts w:ascii="Book Antiqua" w:hAnsi="Book Antiqua" w:cs="Arial"/>
        <w:sz w:val="16"/>
        <w:szCs w:val="16"/>
      </w:rPr>
      <w:fldChar w:fldCharType="separate"/>
    </w:r>
    <w:r>
      <w:rPr>
        <w:rStyle w:val="PageNumber"/>
        <w:rFonts w:ascii="Book Antiqua" w:hAnsi="Book Antiqua" w:cs="Arial"/>
        <w:noProof/>
        <w:sz w:val="16"/>
        <w:szCs w:val="16"/>
      </w:rPr>
      <w:t>3</w:t>
    </w:r>
    <w:r w:rsidRPr="009B7433">
      <w:rPr>
        <w:rStyle w:val="PageNumber"/>
        <w:rFonts w:ascii="Book Antiqua" w:hAnsi="Book Antiqua"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2BBAA" w14:textId="77777777" w:rsidR="001A01E4" w:rsidRDefault="001A01E4">
      <w:r>
        <w:separator/>
      </w:r>
    </w:p>
  </w:footnote>
  <w:footnote w:type="continuationSeparator" w:id="0">
    <w:p w14:paraId="1B5E4D38" w14:textId="77777777" w:rsidR="001A01E4" w:rsidRDefault="001A0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08216" w14:textId="77777777" w:rsidR="00B149FC" w:rsidRPr="009B7433" w:rsidRDefault="00B149FC">
    <w:pPr>
      <w:pStyle w:val="Header"/>
      <w:rPr>
        <w:rFonts w:ascii="Book Antiqua" w:hAnsi="Book Antiqua"/>
      </w:rPr>
    </w:pPr>
    <w:r w:rsidRPr="009B7433">
      <w:rPr>
        <w:rFonts w:ascii="Book Antiqua" w:hAnsi="Book Antiq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FDBDF0"/>
    <w:multiLevelType w:val="hybridMultilevel"/>
    <w:tmpl w:val="A0C3EB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613265"/>
    <w:multiLevelType w:val="hybridMultilevel"/>
    <w:tmpl w:val="42B69C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C7993"/>
    <w:multiLevelType w:val="hybridMultilevel"/>
    <w:tmpl w:val="C3FE9F54"/>
    <w:lvl w:ilvl="0" w:tplc="0809001B">
      <w:start w:val="1"/>
      <w:numFmt w:val="lowerRoman"/>
      <w:lvlText w:val="%1."/>
      <w:lvlJc w:val="righ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154A7CB8"/>
    <w:multiLevelType w:val="hybridMultilevel"/>
    <w:tmpl w:val="D6C4A30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416FB"/>
    <w:multiLevelType w:val="hybridMultilevel"/>
    <w:tmpl w:val="90628188"/>
    <w:lvl w:ilvl="0" w:tplc="D5B040C2">
      <w:start w:val="1"/>
      <w:numFmt w:val="decimal"/>
      <w:lvlText w:val="%1."/>
      <w:lvlJc w:val="left"/>
      <w:pPr>
        <w:tabs>
          <w:tab w:val="num" w:pos="1080"/>
        </w:tabs>
        <w:ind w:left="1080" w:hanging="720"/>
      </w:pPr>
      <w:rPr>
        <w:rFonts w:hint="default"/>
        <w:b w:val="0"/>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143300F"/>
    <w:multiLevelType w:val="multilevel"/>
    <w:tmpl w:val="DBEEB33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1E4705B"/>
    <w:multiLevelType w:val="hybridMultilevel"/>
    <w:tmpl w:val="BD724690"/>
    <w:lvl w:ilvl="0" w:tplc="0809000F">
      <w:start w:val="1"/>
      <w:numFmt w:val="decimal"/>
      <w:lvlText w:val="%1."/>
      <w:lvlJc w:val="left"/>
      <w:pPr>
        <w:ind w:left="720" w:hanging="360"/>
      </w:pPr>
    </w:lvl>
    <w:lvl w:ilvl="1" w:tplc="8D0A5C8A">
      <w:numFmt w:val="bullet"/>
      <w:lvlText w:val="–"/>
      <w:lvlJc w:val="left"/>
      <w:pPr>
        <w:ind w:left="1440" w:hanging="360"/>
      </w:pPr>
      <w:rPr>
        <w:rFonts w:ascii="Book Antiqua" w:eastAsia="Times New Roman" w:hAnsi="Book Antiqua"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AB2F17"/>
    <w:multiLevelType w:val="multilevel"/>
    <w:tmpl w:val="DBEEB33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7B6193"/>
    <w:multiLevelType w:val="hybridMultilevel"/>
    <w:tmpl w:val="6A8A9634"/>
    <w:lvl w:ilvl="0" w:tplc="618C9B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82652C"/>
    <w:multiLevelType w:val="multilevel"/>
    <w:tmpl w:val="DBEEB33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15312C3"/>
    <w:multiLevelType w:val="hybridMultilevel"/>
    <w:tmpl w:val="6432AF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87713CF"/>
    <w:multiLevelType w:val="hybridMultilevel"/>
    <w:tmpl w:val="63C4E5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3F83B66"/>
    <w:multiLevelType w:val="multilevel"/>
    <w:tmpl w:val="E3F02D48"/>
    <w:lvl w:ilvl="0">
      <w:start w:val="1"/>
      <w:numFmt w:val="lowerRoman"/>
      <w:lvlText w:val="%1."/>
      <w:lvlJc w:val="righ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CB045C4"/>
    <w:multiLevelType w:val="multilevel"/>
    <w:tmpl w:val="9A2CF8A6"/>
    <w:lvl w:ilvl="0">
      <w:start w:val="1"/>
      <w:numFmt w:val="decimal"/>
      <w:pStyle w:val="Bodytexttax1"/>
      <w:lvlText w:val="%1."/>
      <w:lvlJc w:val="left"/>
      <w:pPr>
        <w:tabs>
          <w:tab w:val="num" w:pos="36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odytexttax2"/>
      <w:lvlText w:val="(%2)"/>
      <w:lvlJc w:val="left"/>
      <w:pPr>
        <w:tabs>
          <w:tab w:val="num" w:pos="1210"/>
        </w:tabs>
        <w:ind w:left="850" w:firstLine="0"/>
      </w:pPr>
      <w:rPr>
        <w:rFonts w:hint="default"/>
      </w:rPr>
    </w:lvl>
    <w:lvl w:ilvl="2">
      <w:start w:val="1"/>
      <w:numFmt w:val="lowerLetter"/>
      <w:pStyle w:val="Bodytexttax4"/>
      <w:lvlText w:val="(%3)"/>
      <w:lvlJc w:val="left"/>
      <w:pPr>
        <w:tabs>
          <w:tab w:val="num" w:pos="2520"/>
        </w:tabs>
        <w:ind w:left="2160" w:firstLine="0"/>
      </w:pPr>
      <w:rPr>
        <w:rFonts w:hint="default"/>
      </w:rPr>
    </w:lvl>
    <w:lvl w:ilvl="3">
      <w:start w:val="1"/>
      <w:numFmt w:val="lowerLetter"/>
      <w:lvlText w:val="(%4)"/>
      <w:lvlJc w:val="left"/>
      <w:pPr>
        <w:tabs>
          <w:tab w:val="num" w:pos="4320"/>
        </w:tabs>
        <w:ind w:left="4320" w:hanging="720"/>
      </w:pPr>
      <w:rPr>
        <w:rFonts w:hint="default"/>
      </w:rPr>
    </w:lvl>
    <w:lvl w:ilvl="4">
      <w:start w:val="1"/>
      <w:numFmt w:val="lowerRoman"/>
      <w:lvlText w:val="(%5)"/>
      <w:lvlJc w:val="left"/>
      <w:pPr>
        <w:tabs>
          <w:tab w:val="num" w:pos="5040"/>
        </w:tabs>
        <w:ind w:left="5040" w:hanging="72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4" w15:restartNumberingAfterBreak="0">
    <w:nsid w:val="4D4765F3"/>
    <w:multiLevelType w:val="hybridMultilevel"/>
    <w:tmpl w:val="D52ECF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8213684"/>
    <w:multiLevelType w:val="hybridMultilevel"/>
    <w:tmpl w:val="57B6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3F52C7"/>
    <w:multiLevelType w:val="multilevel"/>
    <w:tmpl w:val="AAA86B00"/>
    <w:lvl w:ilvl="0">
      <w:start w:val="1"/>
      <w:numFmt w:val="lowerRoman"/>
      <w:lvlText w:val="%1."/>
      <w:lvlJc w:val="righ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B79E03A"/>
    <w:multiLevelType w:val="hybridMultilevel"/>
    <w:tmpl w:val="73A635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BE76A3A"/>
    <w:multiLevelType w:val="multilevel"/>
    <w:tmpl w:val="156E7BEE"/>
    <w:lvl w:ilvl="0">
      <w:start w:val="1"/>
      <w:numFmt w:val="decimal"/>
      <w:lvlText w:val="%1."/>
      <w:lvlJc w:val="left"/>
      <w:pPr>
        <w:tabs>
          <w:tab w:val="num" w:pos="1287"/>
        </w:tabs>
        <w:ind w:left="1287" w:hanging="360"/>
      </w:pPr>
    </w:lvl>
    <w:lvl w:ilvl="1">
      <w:start w:val="1"/>
      <w:numFmt w:val="decimal"/>
      <w:lvlText w:val="%2."/>
      <w:lvlJc w:val="left"/>
      <w:pPr>
        <w:tabs>
          <w:tab w:val="num" w:pos="2007"/>
        </w:tabs>
        <w:ind w:left="2007" w:hanging="360"/>
      </w:pPr>
    </w:lvl>
    <w:lvl w:ilvl="2" w:tentative="1">
      <w:start w:val="1"/>
      <w:numFmt w:val="decimal"/>
      <w:lvlText w:val="%3."/>
      <w:lvlJc w:val="left"/>
      <w:pPr>
        <w:tabs>
          <w:tab w:val="num" w:pos="2727"/>
        </w:tabs>
        <w:ind w:left="2727" w:hanging="360"/>
      </w:pPr>
    </w:lvl>
    <w:lvl w:ilvl="3" w:tentative="1">
      <w:start w:val="1"/>
      <w:numFmt w:val="decimal"/>
      <w:lvlText w:val="%4."/>
      <w:lvlJc w:val="left"/>
      <w:pPr>
        <w:tabs>
          <w:tab w:val="num" w:pos="3447"/>
        </w:tabs>
        <w:ind w:left="3447" w:hanging="360"/>
      </w:pPr>
    </w:lvl>
    <w:lvl w:ilvl="4" w:tentative="1">
      <w:start w:val="1"/>
      <w:numFmt w:val="decimal"/>
      <w:lvlText w:val="%5."/>
      <w:lvlJc w:val="left"/>
      <w:pPr>
        <w:tabs>
          <w:tab w:val="num" w:pos="4167"/>
        </w:tabs>
        <w:ind w:left="4167" w:hanging="360"/>
      </w:pPr>
    </w:lvl>
    <w:lvl w:ilvl="5" w:tentative="1">
      <w:start w:val="1"/>
      <w:numFmt w:val="decimal"/>
      <w:lvlText w:val="%6."/>
      <w:lvlJc w:val="left"/>
      <w:pPr>
        <w:tabs>
          <w:tab w:val="num" w:pos="4887"/>
        </w:tabs>
        <w:ind w:left="4887" w:hanging="360"/>
      </w:pPr>
    </w:lvl>
    <w:lvl w:ilvl="6" w:tentative="1">
      <w:start w:val="1"/>
      <w:numFmt w:val="decimal"/>
      <w:lvlText w:val="%7."/>
      <w:lvlJc w:val="left"/>
      <w:pPr>
        <w:tabs>
          <w:tab w:val="num" w:pos="5607"/>
        </w:tabs>
        <w:ind w:left="5607" w:hanging="360"/>
      </w:pPr>
    </w:lvl>
    <w:lvl w:ilvl="7" w:tentative="1">
      <w:start w:val="1"/>
      <w:numFmt w:val="decimal"/>
      <w:lvlText w:val="%8."/>
      <w:lvlJc w:val="left"/>
      <w:pPr>
        <w:tabs>
          <w:tab w:val="num" w:pos="6327"/>
        </w:tabs>
        <w:ind w:left="6327" w:hanging="360"/>
      </w:pPr>
    </w:lvl>
    <w:lvl w:ilvl="8" w:tentative="1">
      <w:start w:val="1"/>
      <w:numFmt w:val="decimal"/>
      <w:lvlText w:val="%9."/>
      <w:lvlJc w:val="left"/>
      <w:pPr>
        <w:tabs>
          <w:tab w:val="num" w:pos="7047"/>
        </w:tabs>
        <w:ind w:left="7047" w:hanging="360"/>
      </w:pPr>
    </w:lvl>
  </w:abstractNum>
  <w:abstractNum w:abstractNumId="19" w15:restartNumberingAfterBreak="0">
    <w:nsid w:val="60C60DD5"/>
    <w:multiLevelType w:val="hybridMultilevel"/>
    <w:tmpl w:val="A11997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3AB8532"/>
    <w:multiLevelType w:val="hybridMultilevel"/>
    <w:tmpl w:val="00D4A4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EAC146B"/>
    <w:multiLevelType w:val="hybridMultilevel"/>
    <w:tmpl w:val="04905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AA2A5D"/>
    <w:multiLevelType w:val="multilevel"/>
    <w:tmpl w:val="16786E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5B45291"/>
    <w:multiLevelType w:val="multilevel"/>
    <w:tmpl w:val="9FA4C25E"/>
    <w:lvl w:ilvl="0">
      <w:start w:val="1"/>
      <w:numFmt w:val="lowerRoman"/>
      <w:lvlText w:val="%1."/>
      <w:lvlJc w:val="righ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ACB1666"/>
    <w:multiLevelType w:val="multilevel"/>
    <w:tmpl w:val="D79C2C6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1938F1"/>
    <w:multiLevelType w:val="multilevel"/>
    <w:tmpl w:val="46C454BC"/>
    <w:lvl w:ilvl="0">
      <w:start w:val="1"/>
      <w:numFmt w:val="lowerRoman"/>
      <w:lvlText w:val="%1."/>
      <w:lvlJc w:val="righ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6" w15:restartNumberingAfterBreak="0">
    <w:nsid w:val="7E66697D"/>
    <w:multiLevelType w:val="multilevel"/>
    <w:tmpl w:val="E3F02D48"/>
    <w:lvl w:ilvl="0">
      <w:start w:val="1"/>
      <w:numFmt w:val="lowerRoman"/>
      <w:lvlText w:val="%1."/>
      <w:lvlJc w:val="righ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22"/>
  </w:num>
  <w:num w:numId="3">
    <w:abstractNumId w:val="4"/>
  </w:num>
  <w:num w:numId="4">
    <w:abstractNumId w:val="6"/>
  </w:num>
  <w:num w:numId="5">
    <w:abstractNumId w:val="1"/>
  </w:num>
  <w:num w:numId="6">
    <w:abstractNumId w:val="21"/>
  </w:num>
  <w:num w:numId="7">
    <w:abstractNumId w:val="9"/>
  </w:num>
  <w:num w:numId="8">
    <w:abstractNumId w:val="15"/>
  </w:num>
  <w:num w:numId="9">
    <w:abstractNumId w:val="18"/>
  </w:num>
  <w:num w:numId="10">
    <w:abstractNumId w:val="5"/>
  </w:num>
  <w:num w:numId="11">
    <w:abstractNumId w:val="25"/>
  </w:num>
  <w:num w:numId="12">
    <w:abstractNumId w:val="2"/>
  </w:num>
  <w:num w:numId="13">
    <w:abstractNumId w:val="3"/>
  </w:num>
  <w:num w:numId="14">
    <w:abstractNumId w:val="23"/>
  </w:num>
  <w:num w:numId="15">
    <w:abstractNumId w:val="12"/>
  </w:num>
  <w:num w:numId="16">
    <w:abstractNumId w:val="26"/>
  </w:num>
  <w:num w:numId="17">
    <w:abstractNumId w:val="16"/>
  </w:num>
  <w:num w:numId="18">
    <w:abstractNumId w:val="14"/>
  </w:num>
  <w:num w:numId="19">
    <w:abstractNumId w:val="7"/>
  </w:num>
  <w:num w:numId="20">
    <w:abstractNumId w:val="8"/>
  </w:num>
  <w:num w:numId="21">
    <w:abstractNumId w:val="13"/>
  </w:num>
  <w:num w:numId="22">
    <w:abstractNumId w:val="13"/>
  </w:num>
  <w:num w:numId="23">
    <w:abstractNumId w:val="13"/>
  </w:num>
  <w:num w:numId="24">
    <w:abstractNumId w:val="17"/>
  </w:num>
  <w:num w:numId="25">
    <w:abstractNumId w:val="11"/>
  </w:num>
  <w:num w:numId="26">
    <w:abstractNumId w:val="0"/>
  </w:num>
  <w:num w:numId="27">
    <w:abstractNumId w:val="19"/>
  </w:num>
  <w:num w:numId="28">
    <w:abstractNumId w:val="1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B4"/>
    <w:rsid w:val="00000621"/>
    <w:rsid w:val="00001386"/>
    <w:rsid w:val="000022F6"/>
    <w:rsid w:val="000036C2"/>
    <w:rsid w:val="00005653"/>
    <w:rsid w:val="00005C29"/>
    <w:rsid w:val="00006C47"/>
    <w:rsid w:val="00010DE4"/>
    <w:rsid w:val="00012448"/>
    <w:rsid w:val="00012F03"/>
    <w:rsid w:val="00016C1A"/>
    <w:rsid w:val="000172DB"/>
    <w:rsid w:val="00020AC7"/>
    <w:rsid w:val="00022496"/>
    <w:rsid w:val="000225AF"/>
    <w:rsid w:val="00030122"/>
    <w:rsid w:val="00033588"/>
    <w:rsid w:val="00033B7B"/>
    <w:rsid w:val="00033D3D"/>
    <w:rsid w:val="00037179"/>
    <w:rsid w:val="00037D0E"/>
    <w:rsid w:val="000410E2"/>
    <w:rsid w:val="00041560"/>
    <w:rsid w:val="00041E4C"/>
    <w:rsid w:val="0004335D"/>
    <w:rsid w:val="00045613"/>
    <w:rsid w:val="00045F17"/>
    <w:rsid w:val="0004776F"/>
    <w:rsid w:val="00050286"/>
    <w:rsid w:val="00050739"/>
    <w:rsid w:val="000507E5"/>
    <w:rsid w:val="00051787"/>
    <w:rsid w:val="00051CA5"/>
    <w:rsid w:val="00052895"/>
    <w:rsid w:val="000535BA"/>
    <w:rsid w:val="00053C15"/>
    <w:rsid w:val="000578E8"/>
    <w:rsid w:val="00061137"/>
    <w:rsid w:val="0006250E"/>
    <w:rsid w:val="0006292C"/>
    <w:rsid w:val="00062F02"/>
    <w:rsid w:val="0006326E"/>
    <w:rsid w:val="00064FA3"/>
    <w:rsid w:val="00066292"/>
    <w:rsid w:val="00070DEA"/>
    <w:rsid w:val="00071A7E"/>
    <w:rsid w:val="000733B8"/>
    <w:rsid w:val="000746C0"/>
    <w:rsid w:val="00074CA9"/>
    <w:rsid w:val="00074D1D"/>
    <w:rsid w:val="00080AEB"/>
    <w:rsid w:val="00082949"/>
    <w:rsid w:val="00084509"/>
    <w:rsid w:val="00086A13"/>
    <w:rsid w:val="00086AD2"/>
    <w:rsid w:val="00086F4E"/>
    <w:rsid w:val="00090127"/>
    <w:rsid w:val="000907FC"/>
    <w:rsid w:val="00090F9A"/>
    <w:rsid w:val="00091562"/>
    <w:rsid w:val="00092580"/>
    <w:rsid w:val="000936C7"/>
    <w:rsid w:val="00093B62"/>
    <w:rsid w:val="00093D4D"/>
    <w:rsid w:val="000945EF"/>
    <w:rsid w:val="00095D69"/>
    <w:rsid w:val="000A0743"/>
    <w:rsid w:val="000A604C"/>
    <w:rsid w:val="000A6FF2"/>
    <w:rsid w:val="000B08BB"/>
    <w:rsid w:val="000B0933"/>
    <w:rsid w:val="000B67E0"/>
    <w:rsid w:val="000B6A98"/>
    <w:rsid w:val="000B6E5C"/>
    <w:rsid w:val="000C2347"/>
    <w:rsid w:val="000C32DD"/>
    <w:rsid w:val="000C6325"/>
    <w:rsid w:val="000D0DC4"/>
    <w:rsid w:val="000D0E21"/>
    <w:rsid w:val="000D427B"/>
    <w:rsid w:val="000D5D94"/>
    <w:rsid w:val="000E0ECA"/>
    <w:rsid w:val="000E1D47"/>
    <w:rsid w:val="000E329F"/>
    <w:rsid w:val="000E4195"/>
    <w:rsid w:val="000E4EEB"/>
    <w:rsid w:val="000E4F3C"/>
    <w:rsid w:val="000E5F80"/>
    <w:rsid w:val="000E7F07"/>
    <w:rsid w:val="000F0DEB"/>
    <w:rsid w:val="000F196F"/>
    <w:rsid w:val="000F1A0E"/>
    <w:rsid w:val="000F2B3A"/>
    <w:rsid w:val="000F2E42"/>
    <w:rsid w:val="000F408F"/>
    <w:rsid w:val="000F60C9"/>
    <w:rsid w:val="000F7814"/>
    <w:rsid w:val="00100A2D"/>
    <w:rsid w:val="001017A5"/>
    <w:rsid w:val="001028FC"/>
    <w:rsid w:val="00102C52"/>
    <w:rsid w:val="0010303C"/>
    <w:rsid w:val="00105E6B"/>
    <w:rsid w:val="001075A8"/>
    <w:rsid w:val="001102C0"/>
    <w:rsid w:val="0011203D"/>
    <w:rsid w:val="001165A7"/>
    <w:rsid w:val="00120C72"/>
    <w:rsid w:val="001221DA"/>
    <w:rsid w:val="00132262"/>
    <w:rsid w:val="00134669"/>
    <w:rsid w:val="00135BC9"/>
    <w:rsid w:val="00147367"/>
    <w:rsid w:val="00151395"/>
    <w:rsid w:val="001514E9"/>
    <w:rsid w:val="00156345"/>
    <w:rsid w:val="00156E78"/>
    <w:rsid w:val="001601E0"/>
    <w:rsid w:val="00160B05"/>
    <w:rsid w:val="00163039"/>
    <w:rsid w:val="0016508E"/>
    <w:rsid w:val="00166B3D"/>
    <w:rsid w:val="00167804"/>
    <w:rsid w:val="00167D3A"/>
    <w:rsid w:val="00167F3E"/>
    <w:rsid w:val="001701A2"/>
    <w:rsid w:val="001711DE"/>
    <w:rsid w:val="00172A27"/>
    <w:rsid w:val="00172BC4"/>
    <w:rsid w:val="00172C24"/>
    <w:rsid w:val="00173DDB"/>
    <w:rsid w:val="00173F50"/>
    <w:rsid w:val="00174A49"/>
    <w:rsid w:val="00175818"/>
    <w:rsid w:val="00175A29"/>
    <w:rsid w:val="00176DBF"/>
    <w:rsid w:val="001818E4"/>
    <w:rsid w:val="00181F5C"/>
    <w:rsid w:val="0018468C"/>
    <w:rsid w:val="00184839"/>
    <w:rsid w:val="00185986"/>
    <w:rsid w:val="00186869"/>
    <w:rsid w:val="0018773F"/>
    <w:rsid w:val="00187A4B"/>
    <w:rsid w:val="0019090C"/>
    <w:rsid w:val="00191A90"/>
    <w:rsid w:val="00192F07"/>
    <w:rsid w:val="001937A6"/>
    <w:rsid w:val="00194D79"/>
    <w:rsid w:val="00195329"/>
    <w:rsid w:val="00197C5D"/>
    <w:rsid w:val="001A014E"/>
    <w:rsid w:val="001A01E4"/>
    <w:rsid w:val="001A2FD0"/>
    <w:rsid w:val="001A3082"/>
    <w:rsid w:val="001A3240"/>
    <w:rsid w:val="001A3D4E"/>
    <w:rsid w:val="001B1575"/>
    <w:rsid w:val="001B161D"/>
    <w:rsid w:val="001B186A"/>
    <w:rsid w:val="001B2F75"/>
    <w:rsid w:val="001B670A"/>
    <w:rsid w:val="001B7484"/>
    <w:rsid w:val="001C0ACB"/>
    <w:rsid w:val="001C1235"/>
    <w:rsid w:val="001C3F98"/>
    <w:rsid w:val="001C6F5F"/>
    <w:rsid w:val="001C7827"/>
    <w:rsid w:val="001D0115"/>
    <w:rsid w:val="001D4C76"/>
    <w:rsid w:val="001D6167"/>
    <w:rsid w:val="001E1632"/>
    <w:rsid w:val="001E392A"/>
    <w:rsid w:val="001E532D"/>
    <w:rsid w:val="001E5F17"/>
    <w:rsid w:val="001E634E"/>
    <w:rsid w:val="001E6A96"/>
    <w:rsid w:val="001E778D"/>
    <w:rsid w:val="001E7C8A"/>
    <w:rsid w:val="001F2716"/>
    <w:rsid w:val="001F3020"/>
    <w:rsid w:val="001F3546"/>
    <w:rsid w:val="001F3AC0"/>
    <w:rsid w:val="001F42C4"/>
    <w:rsid w:val="001F474A"/>
    <w:rsid w:val="001F5553"/>
    <w:rsid w:val="001F6036"/>
    <w:rsid w:val="00200085"/>
    <w:rsid w:val="002011F7"/>
    <w:rsid w:val="00202393"/>
    <w:rsid w:val="00202FE2"/>
    <w:rsid w:val="00207617"/>
    <w:rsid w:val="00210705"/>
    <w:rsid w:val="00212BA9"/>
    <w:rsid w:val="002131AE"/>
    <w:rsid w:val="0021346E"/>
    <w:rsid w:val="00214DB2"/>
    <w:rsid w:val="002150CF"/>
    <w:rsid w:val="00216FFF"/>
    <w:rsid w:val="00217F9D"/>
    <w:rsid w:val="002202B2"/>
    <w:rsid w:val="002205F3"/>
    <w:rsid w:val="002234AE"/>
    <w:rsid w:val="002253F5"/>
    <w:rsid w:val="0022637E"/>
    <w:rsid w:val="00230B42"/>
    <w:rsid w:val="0023134B"/>
    <w:rsid w:val="00232BDA"/>
    <w:rsid w:val="00232E2F"/>
    <w:rsid w:val="00234373"/>
    <w:rsid w:val="00235FF2"/>
    <w:rsid w:val="00240B07"/>
    <w:rsid w:val="0024182A"/>
    <w:rsid w:val="00241C9F"/>
    <w:rsid w:val="00242DF3"/>
    <w:rsid w:val="0024308A"/>
    <w:rsid w:val="00246710"/>
    <w:rsid w:val="00247195"/>
    <w:rsid w:val="00250549"/>
    <w:rsid w:val="00252E30"/>
    <w:rsid w:val="0025322A"/>
    <w:rsid w:val="002532C7"/>
    <w:rsid w:val="0025461B"/>
    <w:rsid w:val="00256D90"/>
    <w:rsid w:val="002574C8"/>
    <w:rsid w:val="0025797B"/>
    <w:rsid w:val="0026027F"/>
    <w:rsid w:val="002613D5"/>
    <w:rsid w:val="002621D5"/>
    <w:rsid w:val="0026235D"/>
    <w:rsid w:val="00263C36"/>
    <w:rsid w:val="0026731D"/>
    <w:rsid w:val="00270C0C"/>
    <w:rsid w:val="002732A6"/>
    <w:rsid w:val="00273985"/>
    <w:rsid w:val="0027503A"/>
    <w:rsid w:val="002765F4"/>
    <w:rsid w:val="00280500"/>
    <w:rsid w:val="00281289"/>
    <w:rsid w:val="00283659"/>
    <w:rsid w:val="00287235"/>
    <w:rsid w:val="00287BA4"/>
    <w:rsid w:val="00291EFB"/>
    <w:rsid w:val="00292DFC"/>
    <w:rsid w:val="002932E2"/>
    <w:rsid w:val="00294483"/>
    <w:rsid w:val="002945E3"/>
    <w:rsid w:val="00294D1D"/>
    <w:rsid w:val="002951CC"/>
    <w:rsid w:val="002967EC"/>
    <w:rsid w:val="00296E0B"/>
    <w:rsid w:val="002A1D3B"/>
    <w:rsid w:val="002B0A27"/>
    <w:rsid w:val="002B4004"/>
    <w:rsid w:val="002B5E77"/>
    <w:rsid w:val="002B6F3B"/>
    <w:rsid w:val="002B7CD0"/>
    <w:rsid w:val="002C0043"/>
    <w:rsid w:val="002C448F"/>
    <w:rsid w:val="002C4F66"/>
    <w:rsid w:val="002C6580"/>
    <w:rsid w:val="002C6B56"/>
    <w:rsid w:val="002C6BD4"/>
    <w:rsid w:val="002C6E8C"/>
    <w:rsid w:val="002C7264"/>
    <w:rsid w:val="002D1A7F"/>
    <w:rsid w:val="002D328B"/>
    <w:rsid w:val="002D3313"/>
    <w:rsid w:val="002D50B0"/>
    <w:rsid w:val="002D68BF"/>
    <w:rsid w:val="002D7BAA"/>
    <w:rsid w:val="002E0D3C"/>
    <w:rsid w:val="002E14F4"/>
    <w:rsid w:val="002E2361"/>
    <w:rsid w:val="002E2A1C"/>
    <w:rsid w:val="002E3E6A"/>
    <w:rsid w:val="002E4541"/>
    <w:rsid w:val="002E51BC"/>
    <w:rsid w:val="002F0EDB"/>
    <w:rsid w:val="002F3F7C"/>
    <w:rsid w:val="002F4AD6"/>
    <w:rsid w:val="002F5780"/>
    <w:rsid w:val="002F6B98"/>
    <w:rsid w:val="003026B5"/>
    <w:rsid w:val="00304554"/>
    <w:rsid w:val="00305EB3"/>
    <w:rsid w:val="00306B52"/>
    <w:rsid w:val="003149B9"/>
    <w:rsid w:val="00314A0E"/>
    <w:rsid w:val="0031720C"/>
    <w:rsid w:val="00321A27"/>
    <w:rsid w:val="00321ECC"/>
    <w:rsid w:val="003228C8"/>
    <w:rsid w:val="00323413"/>
    <w:rsid w:val="00324B73"/>
    <w:rsid w:val="003317A2"/>
    <w:rsid w:val="00332507"/>
    <w:rsid w:val="00332FEE"/>
    <w:rsid w:val="00333638"/>
    <w:rsid w:val="00336490"/>
    <w:rsid w:val="00336CBF"/>
    <w:rsid w:val="00337008"/>
    <w:rsid w:val="00337F4F"/>
    <w:rsid w:val="003435E1"/>
    <w:rsid w:val="00343864"/>
    <w:rsid w:val="00343E83"/>
    <w:rsid w:val="00343FE3"/>
    <w:rsid w:val="003445A3"/>
    <w:rsid w:val="00346132"/>
    <w:rsid w:val="00351053"/>
    <w:rsid w:val="0035352B"/>
    <w:rsid w:val="003546C8"/>
    <w:rsid w:val="003556CB"/>
    <w:rsid w:val="00355DD9"/>
    <w:rsid w:val="003607F2"/>
    <w:rsid w:val="00360FE5"/>
    <w:rsid w:val="0036168C"/>
    <w:rsid w:val="00362429"/>
    <w:rsid w:val="00362627"/>
    <w:rsid w:val="00362A08"/>
    <w:rsid w:val="00365114"/>
    <w:rsid w:val="0037149D"/>
    <w:rsid w:val="00371A27"/>
    <w:rsid w:val="00376DD2"/>
    <w:rsid w:val="0037777D"/>
    <w:rsid w:val="0038176B"/>
    <w:rsid w:val="003825D4"/>
    <w:rsid w:val="003831A7"/>
    <w:rsid w:val="00384E0C"/>
    <w:rsid w:val="0038699A"/>
    <w:rsid w:val="00390EA6"/>
    <w:rsid w:val="0039114C"/>
    <w:rsid w:val="00392B3F"/>
    <w:rsid w:val="00394C03"/>
    <w:rsid w:val="00396EBD"/>
    <w:rsid w:val="003A1433"/>
    <w:rsid w:val="003A1749"/>
    <w:rsid w:val="003A4578"/>
    <w:rsid w:val="003A7CF2"/>
    <w:rsid w:val="003B2DC4"/>
    <w:rsid w:val="003B75D0"/>
    <w:rsid w:val="003C2D34"/>
    <w:rsid w:val="003C3A55"/>
    <w:rsid w:val="003C46AA"/>
    <w:rsid w:val="003C534A"/>
    <w:rsid w:val="003C5845"/>
    <w:rsid w:val="003C5CE5"/>
    <w:rsid w:val="003C6E2F"/>
    <w:rsid w:val="003C7AB6"/>
    <w:rsid w:val="003D0934"/>
    <w:rsid w:val="003D140D"/>
    <w:rsid w:val="003D1DEF"/>
    <w:rsid w:val="003D25F1"/>
    <w:rsid w:val="003D5B1A"/>
    <w:rsid w:val="003D6FAD"/>
    <w:rsid w:val="003E267B"/>
    <w:rsid w:val="003E419D"/>
    <w:rsid w:val="003E555D"/>
    <w:rsid w:val="003E5A6B"/>
    <w:rsid w:val="003E5B37"/>
    <w:rsid w:val="003E6868"/>
    <w:rsid w:val="003E7CD1"/>
    <w:rsid w:val="003F04FC"/>
    <w:rsid w:val="003F0D49"/>
    <w:rsid w:val="003F2661"/>
    <w:rsid w:val="003F3AA4"/>
    <w:rsid w:val="003F6F1B"/>
    <w:rsid w:val="003F6F8C"/>
    <w:rsid w:val="003F7673"/>
    <w:rsid w:val="0040117D"/>
    <w:rsid w:val="00401E34"/>
    <w:rsid w:val="00402B9E"/>
    <w:rsid w:val="00403B69"/>
    <w:rsid w:val="00404660"/>
    <w:rsid w:val="00404793"/>
    <w:rsid w:val="00404AFC"/>
    <w:rsid w:val="00404E74"/>
    <w:rsid w:val="00405B58"/>
    <w:rsid w:val="004107EC"/>
    <w:rsid w:val="00412B69"/>
    <w:rsid w:val="00420CFE"/>
    <w:rsid w:val="00421B4D"/>
    <w:rsid w:val="00422368"/>
    <w:rsid w:val="0042472C"/>
    <w:rsid w:val="004249CB"/>
    <w:rsid w:val="004274F0"/>
    <w:rsid w:val="00435A9D"/>
    <w:rsid w:val="00435C0A"/>
    <w:rsid w:val="004374E4"/>
    <w:rsid w:val="00437590"/>
    <w:rsid w:val="00437627"/>
    <w:rsid w:val="0044127D"/>
    <w:rsid w:val="004448DB"/>
    <w:rsid w:val="00444C33"/>
    <w:rsid w:val="00445814"/>
    <w:rsid w:val="00446850"/>
    <w:rsid w:val="00446C9A"/>
    <w:rsid w:val="00452027"/>
    <w:rsid w:val="00452559"/>
    <w:rsid w:val="00452F2B"/>
    <w:rsid w:val="00454E44"/>
    <w:rsid w:val="00455472"/>
    <w:rsid w:val="00456081"/>
    <w:rsid w:val="0046109C"/>
    <w:rsid w:val="0046199D"/>
    <w:rsid w:val="00462DCE"/>
    <w:rsid w:val="004661A6"/>
    <w:rsid w:val="004662D2"/>
    <w:rsid w:val="00467F48"/>
    <w:rsid w:val="00471E5C"/>
    <w:rsid w:val="0047454D"/>
    <w:rsid w:val="00474E23"/>
    <w:rsid w:val="00477193"/>
    <w:rsid w:val="0047736A"/>
    <w:rsid w:val="0047779B"/>
    <w:rsid w:val="00482A05"/>
    <w:rsid w:val="00483695"/>
    <w:rsid w:val="004861FE"/>
    <w:rsid w:val="004868FB"/>
    <w:rsid w:val="00486AB9"/>
    <w:rsid w:val="00487B71"/>
    <w:rsid w:val="00491E0B"/>
    <w:rsid w:val="00492E67"/>
    <w:rsid w:val="00492FDE"/>
    <w:rsid w:val="00493AD0"/>
    <w:rsid w:val="00493E8D"/>
    <w:rsid w:val="00494A41"/>
    <w:rsid w:val="00496670"/>
    <w:rsid w:val="00496F72"/>
    <w:rsid w:val="00497782"/>
    <w:rsid w:val="004A1848"/>
    <w:rsid w:val="004A2C2D"/>
    <w:rsid w:val="004A2C43"/>
    <w:rsid w:val="004A2D15"/>
    <w:rsid w:val="004A3686"/>
    <w:rsid w:val="004A534C"/>
    <w:rsid w:val="004A655A"/>
    <w:rsid w:val="004A6F4A"/>
    <w:rsid w:val="004B4643"/>
    <w:rsid w:val="004B621A"/>
    <w:rsid w:val="004B70D7"/>
    <w:rsid w:val="004C0E1D"/>
    <w:rsid w:val="004C2E77"/>
    <w:rsid w:val="004C37F1"/>
    <w:rsid w:val="004C56FE"/>
    <w:rsid w:val="004C6608"/>
    <w:rsid w:val="004D5388"/>
    <w:rsid w:val="004D6B45"/>
    <w:rsid w:val="004E3A70"/>
    <w:rsid w:val="004E4717"/>
    <w:rsid w:val="004F02F9"/>
    <w:rsid w:val="004F2676"/>
    <w:rsid w:val="004F3433"/>
    <w:rsid w:val="004F666D"/>
    <w:rsid w:val="004F749E"/>
    <w:rsid w:val="0050004D"/>
    <w:rsid w:val="00502007"/>
    <w:rsid w:val="00504107"/>
    <w:rsid w:val="00505203"/>
    <w:rsid w:val="00507616"/>
    <w:rsid w:val="00507FEC"/>
    <w:rsid w:val="00510F0E"/>
    <w:rsid w:val="005110F6"/>
    <w:rsid w:val="005114E1"/>
    <w:rsid w:val="00514C0F"/>
    <w:rsid w:val="00517714"/>
    <w:rsid w:val="0052329E"/>
    <w:rsid w:val="005241A2"/>
    <w:rsid w:val="00524CF0"/>
    <w:rsid w:val="00525359"/>
    <w:rsid w:val="00527E69"/>
    <w:rsid w:val="0053165A"/>
    <w:rsid w:val="005321E2"/>
    <w:rsid w:val="00533694"/>
    <w:rsid w:val="005353F9"/>
    <w:rsid w:val="0053549F"/>
    <w:rsid w:val="00536695"/>
    <w:rsid w:val="00542DF7"/>
    <w:rsid w:val="00543AE0"/>
    <w:rsid w:val="00544005"/>
    <w:rsid w:val="0054476A"/>
    <w:rsid w:val="0054571A"/>
    <w:rsid w:val="00545DC5"/>
    <w:rsid w:val="005479E1"/>
    <w:rsid w:val="00551FC8"/>
    <w:rsid w:val="00553028"/>
    <w:rsid w:val="0055393C"/>
    <w:rsid w:val="00553E0A"/>
    <w:rsid w:val="005570FD"/>
    <w:rsid w:val="005575EA"/>
    <w:rsid w:val="00557C2C"/>
    <w:rsid w:val="00557C6E"/>
    <w:rsid w:val="0056190F"/>
    <w:rsid w:val="00565DCF"/>
    <w:rsid w:val="00566BC0"/>
    <w:rsid w:val="00570162"/>
    <w:rsid w:val="00571524"/>
    <w:rsid w:val="00576566"/>
    <w:rsid w:val="00576DF1"/>
    <w:rsid w:val="0057790C"/>
    <w:rsid w:val="00577EC7"/>
    <w:rsid w:val="005807F9"/>
    <w:rsid w:val="005814E6"/>
    <w:rsid w:val="00581EFC"/>
    <w:rsid w:val="005831DB"/>
    <w:rsid w:val="00584DC2"/>
    <w:rsid w:val="005870C3"/>
    <w:rsid w:val="00591DFF"/>
    <w:rsid w:val="0059251E"/>
    <w:rsid w:val="00593795"/>
    <w:rsid w:val="005950CA"/>
    <w:rsid w:val="005952C4"/>
    <w:rsid w:val="00595DA8"/>
    <w:rsid w:val="00595E14"/>
    <w:rsid w:val="0059631B"/>
    <w:rsid w:val="00596582"/>
    <w:rsid w:val="00597D46"/>
    <w:rsid w:val="005A0322"/>
    <w:rsid w:val="005A130B"/>
    <w:rsid w:val="005A2A32"/>
    <w:rsid w:val="005A2E63"/>
    <w:rsid w:val="005A3258"/>
    <w:rsid w:val="005A6CF7"/>
    <w:rsid w:val="005A75FF"/>
    <w:rsid w:val="005B378F"/>
    <w:rsid w:val="005B4863"/>
    <w:rsid w:val="005B7412"/>
    <w:rsid w:val="005B7D50"/>
    <w:rsid w:val="005C0E0C"/>
    <w:rsid w:val="005C0F6A"/>
    <w:rsid w:val="005C1764"/>
    <w:rsid w:val="005C5BB9"/>
    <w:rsid w:val="005D0432"/>
    <w:rsid w:val="005D06CD"/>
    <w:rsid w:val="005D10AB"/>
    <w:rsid w:val="005D460C"/>
    <w:rsid w:val="005D5754"/>
    <w:rsid w:val="005D6F85"/>
    <w:rsid w:val="005E7F16"/>
    <w:rsid w:val="005F1271"/>
    <w:rsid w:val="005F1B36"/>
    <w:rsid w:val="005F1ECF"/>
    <w:rsid w:val="006016FB"/>
    <w:rsid w:val="00601851"/>
    <w:rsid w:val="00601882"/>
    <w:rsid w:val="00601D8F"/>
    <w:rsid w:val="006023BA"/>
    <w:rsid w:val="0060282F"/>
    <w:rsid w:val="00602AC3"/>
    <w:rsid w:val="00605582"/>
    <w:rsid w:val="0061057E"/>
    <w:rsid w:val="006109F4"/>
    <w:rsid w:val="00611A91"/>
    <w:rsid w:val="00611F34"/>
    <w:rsid w:val="006139FE"/>
    <w:rsid w:val="006152F9"/>
    <w:rsid w:val="006179AF"/>
    <w:rsid w:val="00620371"/>
    <w:rsid w:val="00620859"/>
    <w:rsid w:val="00621FE8"/>
    <w:rsid w:val="006227F6"/>
    <w:rsid w:val="00622F4C"/>
    <w:rsid w:val="0062308F"/>
    <w:rsid w:val="00623E00"/>
    <w:rsid w:val="006249D2"/>
    <w:rsid w:val="0062523E"/>
    <w:rsid w:val="006259A9"/>
    <w:rsid w:val="006259EA"/>
    <w:rsid w:val="00627FA9"/>
    <w:rsid w:val="0063116E"/>
    <w:rsid w:val="006314D9"/>
    <w:rsid w:val="00633210"/>
    <w:rsid w:val="00634A90"/>
    <w:rsid w:val="00634F18"/>
    <w:rsid w:val="00640836"/>
    <w:rsid w:val="00641990"/>
    <w:rsid w:val="00641C95"/>
    <w:rsid w:val="006434B6"/>
    <w:rsid w:val="00644B90"/>
    <w:rsid w:val="00646A27"/>
    <w:rsid w:val="006476B9"/>
    <w:rsid w:val="00647BF3"/>
    <w:rsid w:val="00653BCD"/>
    <w:rsid w:val="00653E97"/>
    <w:rsid w:val="006549D2"/>
    <w:rsid w:val="006564A3"/>
    <w:rsid w:val="0066182F"/>
    <w:rsid w:val="00663596"/>
    <w:rsid w:val="00663931"/>
    <w:rsid w:val="006667DB"/>
    <w:rsid w:val="00670E75"/>
    <w:rsid w:val="00671511"/>
    <w:rsid w:val="006723A1"/>
    <w:rsid w:val="00673F43"/>
    <w:rsid w:val="00674768"/>
    <w:rsid w:val="00675336"/>
    <w:rsid w:val="006776D0"/>
    <w:rsid w:val="00677BBF"/>
    <w:rsid w:val="00681A22"/>
    <w:rsid w:val="0068311D"/>
    <w:rsid w:val="00684A74"/>
    <w:rsid w:val="0068620A"/>
    <w:rsid w:val="00686590"/>
    <w:rsid w:val="00690B8A"/>
    <w:rsid w:val="00693294"/>
    <w:rsid w:val="00695F74"/>
    <w:rsid w:val="0069660F"/>
    <w:rsid w:val="00697068"/>
    <w:rsid w:val="00697BDB"/>
    <w:rsid w:val="00697F1A"/>
    <w:rsid w:val="006A0361"/>
    <w:rsid w:val="006A1265"/>
    <w:rsid w:val="006A1891"/>
    <w:rsid w:val="006A3A3D"/>
    <w:rsid w:val="006A7508"/>
    <w:rsid w:val="006B2B3F"/>
    <w:rsid w:val="006B4F14"/>
    <w:rsid w:val="006B4F39"/>
    <w:rsid w:val="006B645D"/>
    <w:rsid w:val="006B75AF"/>
    <w:rsid w:val="006C008E"/>
    <w:rsid w:val="006C22E0"/>
    <w:rsid w:val="006C33C3"/>
    <w:rsid w:val="006C4182"/>
    <w:rsid w:val="006C423D"/>
    <w:rsid w:val="006C540D"/>
    <w:rsid w:val="006D4F97"/>
    <w:rsid w:val="006D6553"/>
    <w:rsid w:val="006D708F"/>
    <w:rsid w:val="006E26E6"/>
    <w:rsid w:val="006E2B24"/>
    <w:rsid w:val="006E379D"/>
    <w:rsid w:val="006E63F8"/>
    <w:rsid w:val="006E673A"/>
    <w:rsid w:val="006E7197"/>
    <w:rsid w:val="006E71C3"/>
    <w:rsid w:val="006E79E5"/>
    <w:rsid w:val="006F2CF1"/>
    <w:rsid w:val="006F3338"/>
    <w:rsid w:val="00700387"/>
    <w:rsid w:val="007016D7"/>
    <w:rsid w:val="00701EC3"/>
    <w:rsid w:val="00702D43"/>
    <w:rsid w:val="007038ED"/>
    <w:rsid w:val="00703BC3"/>
    <w:rsid w:val="00703ED8"/>
    <w:rsid w:val="007047A9"/>
    <w:rsid w:val="00704B61"/>
    <w:rsid w:val="00705440"/>
    <w:rsid w:val="00707265"/>
    <w:rsid w:val="00707689"/>
    <w:rsid w:val="0071024C"/>
    <w:rsid w:val="00711F34"/>
    <w:rsid w:val="00715A64"/>
    <w:rsid w:val="00717FF2"/>
    <w:rsid w:val="007205D7"/>
    <w:rsid w:val="00721609"/>
    <w:rsid w:val="00726A6F"/>
    <w:rsid w:val="00730B87"/>
    <w:rsid w:val="00730DA3"/>
    <w:rsid w:val="0073140A"/>
    <w:rsid w:val="00731B96"/>
    <w:rsid w:val="00732254"/>
    <w:rsid w:val="00732C31"/>
    <w:rsid w:val="00734F46"/>
    <w:rsid w:val="00735437"/>
    <w:rsid w:val="007365CD"/>
    <w:rsid w:val="00736AA4"/>
    <w:rsid w:val="00740C1F"/>
    <w:rsid w:val="00742B9F"/>
    <w:rsid w:val="00742BA0"/>
    <w:rsid w:val="0075071C"/>
    <w:rsid w:val="0075133B"/>
    <w:rsid w:val="00752390"/>
    <w:rsid w:val="00754D7C"/>
    <w:rsid w:val="007552A9"/>
    <w:rsid w:val="0075658A"/>
    <w:rsid w:val="00757E05"/>
    <w:rsid w:val="00760000"/>
    <w:rsid w:val="00761858"/>
    <w:rsid w:val="00763575"/>
    <w:rsid w:val="00764D33"/>
    <w:rsid w:val="007657DB"/>
    <w:rsid w:val="00767C95"/>
    <w:rsid w:val="00767D59"/>
    <w:rsid w:val="00773A34"/>
    <w:rsid w:val="007761A8"/>
    <w:rsid w:val="00776CDA"/>
    <w:rsid w:val="00776E97"/>
    <w:rsid w:val="0077749F"/>
    <w:rsid w:val="007809B6"/>
    <w:rsid w:val="00780F86"/>
    <w:rsid w:val="007845C5"/>
    <w:rsid w:val="007863F1"/>
    <w:rsid w:val="007912AD"/>
    <w:rsid w:val="0079200C"/>
    <w:rsid w:val="00792728"/>
    <w:rsid w:val="00793581"/>
    <w:rsid w:val="00793CE4"/>
    <w:rsid w:val="00796604"/>
    <w:rsid w:val="00796940"/>
    <w:rsid w:val="007A06A7"/>
    <w:rsid w:val="007A5AA0"/>
    <w:rsid w:val="007A6E64"/>
    <w:rsid w:val="007B0824"/>
    <w:rsid w:val="007B41C0"/>
    <w:rsid w:val="007B4BE6"/>
    <w:rsid w:val="007B5528"/>
    <w:rsid w:val="007B5D3C"/>
    <w:rsid w:val="007B5FAC"/>
    <w:rsid w:val="007B6758"/>
    <w:rsid w:val="007C1891"/>
    <w:rsid w:val="007C2E69"/>
    <w:rsid w:val="007C3DF0"/>
    <w:rsid w:val="007C4453"/>
    <w:rsid w:val="007C5212"/>
    <w:rsid w:val="007C72CF"/>
    <w:rsid w:val="007D318C"/>
    <w:rsid w:val="007D7AAE"/>
    <w:rsid w:val="007E068C"/>
    <w:rsid w:val="007E5576"/>
    <w:rsid w:val="007E7AAB"/>
    <w:rsid w:val="007E7DAD"/>
    <w:rsid w:val="007F1081"/>
    <w:rsid w:val="007F3101"/>
    <w:rsid w:val="007F7346"/>
    <w:rsid w:val="00805D18"/>
    <w:rsid w:val="00813268"/>
    <w:rsid w:val="00813C91"/>
    <w:rsid w:val="00815011"/>
    <w:rsid w:val="0081796E"/>
    <w:rsid w:val="00820453"/>
    <w:rsid w:val="00821B72"/>
    <w:rsid w:val="0082229E"/>
    <w:rsid w:val="00823EF2"/>
    <w:rsid w:val="00824619"/>
    <w:rsid w:val="008259A9"/>
    <w:rsid w:val="00825D5D"/>
    <w:rsid w:val="00826882"/>
    <w:rsid w:val="00826FBA"/>
    <w:rsid w:val="00827B15"/>
    <w:rsid w:val="008303B8"/>
    <w:rsid w:val="00830DB6"/>
    <w:rsid w:val="00832481"/>
    <w:rsid w:val="00833DCE"/>
    <w:rsid w:val="00833E86"/>
    <w:rsid w:val="008351FF"/>
    <w:rsid w:val="00835D97"/>
    <w:rsid w:val="00837B7C"/>
    <w:rsid w:val="00840462"/>
    <w:rsid w:val="008516CA"/>
    <w:rsid w:val="00852980"/>
    <w:rsid w:val="00852F87"/>
    <w:rsid w:val="008638A6"/>
    <w:rsid w:val="00864585"/>
    <w:rsid w:val="00865AF6"/>
    <w:rsid w:val="00866F4E"/>
    <w:rsid w:val="00867AC1"/>
    <w:rsid w:val="0087079E"/>
    <w:rsid w:val="00870A09"/>
    <w:rsid w:val="00871D34"/>
    <w:rsid w:val="00872F70"/>
    <w:rsid w:val="0087563E"/>
    <w:rsid w:val="00875929"/>
    <w:rsid w:val="00875BC9"/>
    <w:rsid w:val="00877489"/>
    <w:rsid w:val="00877A54"/>
    <w:rsid w:val="0088521B"/>
    <w:rsid w:val="00891589"/>
    <w:rsid w:val="00891757"/>
    <w:rsid w:val="00896538"/>
    <w:rsid w:val="008A20E0"/>
    <w:rsid w:val="008A25EC"/>
    <w:rsid w:val="008A5EF4"/>
    <w:rsid w:val="008A6059"/>
    <w:rsid w:val="008B0235"/>
    <w:rsid w:val="008B270C"/>
    <w:rsid w:val="008B4173"/>
    <w:rsid w:val="008B5078"/>
    <w:rsid w:val="008B7A5A"/>
    <w:rsid w:val="008C04C1"/>
    <w:rsid w:val="008C26D1"/>
    <w:rsid w:val="008C3816"/>
    <w:rsid w:val="008C3D3D"/>
    <w:rsid w:val="008C4CC2"/>
    <w:rsid w:val="008C6E26"/>
    <w:rsid w:val="008C71F2"/>
    <w:rsid w:val="008D01FC"/>
    <w:rsid w:val="008D380C"/>
    <w:rsid w:val="008D4131"/>
    <w:rsid w:val="008D5E3C"/>
    <w:rsid w:val="008D65B3"/>
    <w:rsid w:val="008E0C28"/>
    <w:rsid w:val="008E125B"/>
    <w:rsid w:val="008E3D97"/>
    <w:rsid w:val="008E434F"/>
    <w:rsid w:val="008E4D1E"/>
    <w:rsid w:val="008E60C6"/>
    <w:rsid w:val="008E7097"/>
    <w:rsid w:val="008E72E6"/>
    <w:rsid w:val="008F1932"/>
    <w:rsid w:val="008F1D07"/>
    <w:rsid w:val="008F2015"/>
    <w:rsid w:val="008F29BD"/>
    <w:rsid w:val="008F4101"/>
    <w:rsid w:val="008F4739"/>
    <w:rsid w:val="0090134E"/>
    <w:rsid w:val="0090151B"/>
    <w:rsid w:val="009016E5"/>
    <w:rsid w:val="00901A5C"/>
    <w:rsid w:val="009042A9"/>
    <w:rsid w:val="00904821"/>
    <w:rsid w:val="00904B60"/>
    <w:rsid w:val="00906F47"/>
    <w:rsid w:val="00912D76"/>
    <w:rsid w:val="00914814"/>
    <w:rsid w:val="00915054"/>
    <w:rsid w:val="00915B5C"/>
    <w:rsid w:val="009168D6"/>
    <w:rsid w:val="00920C2C"/>
    <w:rsid w:val="00921062"/>
    <w:rsid w:val="00921AB6"/>
    <w:rsid w:val="00921D0C"/>
    <w:rsid w:val="00924645"/>
    <w:rsid w:val="00924CA5"/>
    <w:rsid w:val="0092721A"/>
    <w:rsid w:val="00930B71"/>
    <w:rsid w:val="00931243"/>
    <w:rsid w:val="00936079"/>
    <w:rsid w:val="0093656A"/>
    <w:rsid w:val="00937395"/>
    <w:rsid w:val="009376E5"/>
    <w:rsid w:val="00937C17"/>
    <w:rsid w:val="00942F9E"/>
    <w:rsid w:val="00943006"/>
    <w:rsid w:val="009435CF"/>
    <w:rsid w:val="00951459"/>
    <w:rsid w:val="00951BF5"/>
    <w:rsid w:val="00957D52"/>
    <w:rsid w:val="00961CA3"/>
    <w:rsid w:val="009722BC"/>
    <w:rsid w:val="00972679"/>
    <w:rsid w:val="009727A3"/>
    <w:rsid w:val="00973AE2"/>
    <w:rsid w:val="00975918"/>
    <w:rsid w:val="009769F3"/>
    <w:rsid w:val="009806D7"/>
    <w:rsid w:val="00982430"/>
    <w:rsid w:val="009834C9"/>
    <w:rsid w:val="009861AE"/>
    <w:rsid w:val="009863AC"/>
    <w:rsid w:val="00987774"/>
    <w:rsid w:val="009929A2"/>
    <w:rsid w:val="00992A21"/>
    <w:rsid w:val="0099528D"/>
    <w:rsid w:val="00996E67"/>
    <w:rsid w:val="009A11E8"/>
    <w:rsid w:val="009A48CB"/>
    <w:rsid w:val="009A6A28"/>
    <w:rsid w:val="009A7531"/>
    <w:rsid w:val="009B0916"/>
    <w:rsid w:val="009B170F"/>
    <w:rsid w:val="009B18DB"/>
    <w:rsid w:val="009B416A"/>
    <w:rsid w:val="009B5527"/>
    <w:rsid w:val="009B63FD"/>
    <w:rsid w:val="009B7433"/>
    <w:rsid w:val="009B7CBB"/>
    <w:rsid w:val="009B7D03"/>
    <w:rsid w:val="009C16DF"/>
    <w:rsid w:val="009C57C8"/>
    <w:rsid w:val="009D09AB"/>
    <w:rsid w:val="009D29F1"/>
    <w:rsid w:val="009D30F6"/>
    <w:rsid w:val="009D348A"/>
    <w:rsid w:val="009D35D5"/>
    <w:rsid w:val="009D5470"/>
    <w:rsid w:val="009D6492"/>
    <w:rsid w:val="009D6CDA"/>
    <w:rsid w:val="009D707E"/>
    <w:rsid w:val="009E0579"/>
    <w:rsid w:val="009E1007"/>
    <w:rsid w:val="009E11F8"/>
    <w:rsid w:val="009E1AED"/>
    <w:rsid w:val="009E1EC0"/>
    <w:rsid w:val="009E2C0B"/>
    <w:rsid w:val="009E422F"/>
    <w:rsid w:val="009E5539"/>
    <w:rsid w:val="009E7731"/>
    <w:rsid w:val="009F05EE"/>
    <w:rsid w:val="009F2EFA"/>
    <w:rsid w:val="009F31F8"/>
    <w:rsid w:val="009F5220"/>
    <w:rsid w:val="009F64E8"/>
    <w:rsid w:val="009F7BDD"/>
    <w:rsid w:val="00A02736"/>
    <w:rsid w:val="00A02BB0"/>
    <w:rsid w:val="00A03688"/>
    <w:rsid w:val="00A03D65"/>
    <w:rsid w:val="00A049AA"/>
    <w:rsid w:val="00A074D9"/>
    <w:rsid w:val="00A07919"/>
    <w:rsid w:val="00A1053C"/>
    <w:rsid w:val="00A1205E"/>
    <w:rsid w:val="00A134CA"/>
    <w:rsid w:val="00A151CB"/>
    <w:rsid w:val="00A15234"/>
    <w:rsid w:val="00A15688"/>
    <w:rsid w:val="00A16FC4"/>
    <w:rsid w:val="00A172F5"/>
    <w:rsid w:val="00A201AB"/>
    <w:rsid w:val="00A2037D"/>
    <w:rsid w:val="00A2304F"/>
    <w:rsid w:val="00A23A05"/>
    <w:rsid w:val="00A2426B"/>
    <w:rsid w:val="00A24DB1"/>
    <w:rsid w:val="00A25307"/>
    <w:rsid w:val="00A25A88"/>
    <w:rsid w:val="00A270E5"/>
    <w:rsid w:val="00A2750C"/>
    <w:rsid w:val="00A27AB4"/>
    <w:rsid w:val="00A31C8B"/>
    <w:rsid w:val="00A3214F"/>
    <w:rsid w:val="00A327FF"/>
    <w:rsid w:val="00A334F1"/>
    <w:rsid w:val="00A34958"/>
    <w:rsid w:val="00A361E6"/>
    <w:rsid w:val="00A40FA2"/>
    <w:rsid w:val="00A4779C"/>
    <w:rsid w:val="00A509FA"/>
    <w:rsid w:val="00A51F5E"/>
    <w:rsid w:val="00A53ED1"/>
    <w:rsid w:val="00A54787"/>
    <w:rsid w:val="00A55EEA"/>
    <w:rsid w:val="00A55F6D"/>
    <w:rsid w:val="00A6265F"/>
    <w:rsid w:val="00A6302E"/>
    <w:rsid w:val="00A64330"/>
    <w:rsid w:val="00A664AC"/>
    <w:rsid w:val="00A67402"/>
    <w:rsid w:val="00A674E4"/>
    <w:rsid w:val="00A7167F"/>
    <w:rsid w:val="00A71B59"/>
    <w:rsid w:val="00A7315A"/>
    <w:rsid w:val="00A73FC7"/>
    <w:rsid w:val="00A75133"/>
    <w:rsid w:val="00A81E34"/>
    <w:rsid w:val="00A82518"/>
    <w:rsid w:val="00A82E2E"/>
    <w:rsid w:val="00A845DC"/>
    <w:rsid w:val="00A852B6"/>
    <w:rsid w:val="00A85665"/>
    <w:rsid w:val="00A864C6"/>
    <w:rsid w:val="00A9075C"/>
    <w:rsid w:val="00A91015"/>
    <w:rsid w:val="00A91B49"/>
    <w:rsid w:val="00A92D56"/>
    <w:rsid w:val="00A93B9B"/>
    <w:rsid w:val="00A9494B"/>
    <w:rsid w:val="00A94D45"/>
    <w:rsid w:val="00AA18F7"/>
    <w:rsid w:val="00AA5973"/>
    <w:rsid w:val="00AA7EE1"/>
    <w:rsid w:val="00AB0BA4"/>
    <w:rsid w:val="00AB25C3"/>
    <w:rsid w:val="00AB2EA8"/>
    <w:rsid w:val="00AB3910"/>
    <w:rsid w:val="00AB3923"/>
    <w:rsid w:val="00AB5E6D"/>
    <w:rsid w:val="00AB6176"/>
    <w:rsid w:val="00AB7122"/>
    <w:rsid w:val="00AC4E73"/>
    <w:rsid w:val="00AD1FD2"/>
    <w:rsid w:val="00AD2595"/>
    <w:rsid w:val="00AD2A9B"/>
    <w:rsid w:val="00AD2DDA"/>
    <w:rsid w:val="00AD34E1"/>
    <w:rsid w:val="00AE01EB"/>
    <w:rsid w:val="00AE298D"/>
    <w:rsid w:val="00AE68A3"/>
    <w:rsid w:val="00AE78BB"/>
    <w:rsid w:val="00AE7AE9"/>
    <w:rsid w:val="00AF0905"/>
    <w:rsid w:val="00AF1449"/>
    <w:rsid w:val="00AF3664"/>
    <w:rsid w:val="00AF4F5A"/>
    <w:rsid w:val="00AF516C"/>
    <w:rsid w:val="00AF5F03"/>
    <w:rsid w:val="00AF6E75"/>
    <w:rsid w:val="00B027F7"/>
    <w:rsid w:val="00B0337E"/>
    <w:rsid w:val="00B05F81"/>
    <w:rsid w:val="00B104A3"/>
    <w:rsid w:val="00B117F3"/>
    <w:rsid w:val="00B11AC3"/>
    <w:rsid w:val="00B149FC"/>
    <w:rsid w:val="00B14F3D"/>
    <w:rsid w:val="00B1701E"/>
    <w:rsid w:val="00B20DC2"/>
    <w:rsid w:val="00B21572"/>
    <w:rsid w:val="00B222A7"/>
    <w:rsid w:val="00B2373A"/>
    <w:rsid w:val="00B2383F"/>
    <w:rsid w:val="00B2496B"/>
    <w:rsid w:val="00B256F9"/>
    <w:rsid w:val="00B26AA2"/>
    <w:rsid w:val="00B32848"/>
    <w:rsid w:val="00B3524D"/>
    <w:rsid w:val="00B35567"/>
    <w:rsid w:val="00B404A2"/>
    <w:rsid w:val="00B40F36"/>
    <w:rsid w:val="00B40F69"/>
    <w:rsid w:val="00B4315F"/>
    <w:rsid w:val="00B44C88"/>
    <w:rsid w:val="00B46616"/>
    <w:rsid w:val="00B5075A"/>
    <w:rsid w:val="00B5097B"/>
    <w:rsid w:val="00B50C6A"/>
    <w:rsid w:val="00B528BB"/>
    <w:rsid w:val="00B5327F"/>
    <w:rsid w:val="00B578B8"/>
    <w:rsid w:val="00B626C0"/>
    <w:rsid w:val="00B658CD"/>
    <w:rsid w:val="00B65E2C"/>
    <w:rsid w:val="00B67320"/>
    <w:rsid w:val="00B7040A"/>
    <w:rsid w:val="00B70885"/>
    <w:rsid w:val="00B71454"/>
    <w:rsid w:val="00B724B5"/>
    <w:rsid w:val="00B76A85"/>
    <w:rsid w:val="00B76CD8"/>
    <w:rsid w:val="00B77861"/>
    <w:rsid w:val="00B80BC3"/>
    <w:rsid w:val="00B82C01"/>
    <w:rsid w:val="00B83391"/>
    <w:rsid w:val="00B83810"/>
    <w:rsid w:val="00B83CFF"/>
    <w:rsid w:val="00B90F31"/>
    <w:rsid w:val="00B91592"/>
    <w:rsid w:val="00B928F3"/>
    <w:rsid w:val="00B9297A"/>
    <w:rsid w:val="00B934DB"/>
    <w:rsid w:val="00B93541"/>
    <w:rsid w:val="00B93925"/>
    <w:rsid w:val="00B93DDC"/>
    <w:rsid w:val="00B95326"/>
    <w:rsid w:val="00BA26ED"/>
    <w:rsid w:val="00BA3F91"/>
    <w:rsid w:val="00BA472B"/>
    <w:rsid w:val="00BA59FF"/>
    <w:rsid w:val="00BA5FBB"/>
    <w:rsid w:val="00BA6A86"/>
    <w:rsid w:val="00BA7EE6"/>
    <w:rsid w:val="00BB127F"/>
    <w:rsid w:val="00BC142A"/>
    <w:rsid w:val="00BC2227"/>
    <w:rsid w:val="00BC2365"/>
    <w:rsid w:val="00BC2D97"/>
    <w:rsid w:val="00BC510C"/>
    <w:rsid w:val="00BC6596"/>
    <w:rsid w:val="00BC6876"/>
    <w:rsid w:val="00BC75FE"/>
    <w:rsid w:val="00BC77D9"/>
    <w:rsid w:val="00BD0232"/>
    <w:rsid w:val="00BD4196"/>
    <w:rsid w:val="00BD5CB1"/>
    <w:rsid w:val="00BE0A14"/>
    <w:rsid w:val="00BE0AA9"/>
    <w:rsid w:val="00BE2844"/>
    <w:rsid w:val="00BE69A9"/>
    <w:rsid w:val="00BF1166"/>
    <w:rsid w:val="00BF1553"/>
    <w:rsid w:val="00BF22CA"/>
    <w:rsid w:val="00BF23BB"/>
    <w:rsid w:val="00BF3346"/>
    <w:rsid w:val="00BF33DA"/>
    <w:rsid w:val="00BF3CB7"/>
    <w:rsid w:val="00BF5525"/>
    <w:rsid w:val="00BF64C4"/>
    <w:rsid w:val="00C00F28"/>
    <w:rsid w:val="00C01055"/>
    <w:rsid w:val="00C04F94"/>
    <w:rsid w:val="00C055A3"/>
    <w:rsid w:val="00C11A3B"/>
    <w:rsid w:val="00C139F0"/>
    <w:rsid w:val="00C14110"/>
    <w:rsid w:val="00C1619E"/>
    <w:rsid w:val="00C16AA1"/>
    <w:rsid w:val="00C20758"/>
    <w:rsid w:val="00C22A2A"/>
    <w:rsid w:val="00C26032"/>
    <w:rsid w:val="00C27647"/>
    <w:rsid w:val="00C2785D"/>
    <w:rsid w:val="00C31BC4"/>
    <w:rsid w:val="00C32CED"/>
    <w:rsid w:val="00C345E1"/>
    <w:rsid w:val="00C348FE"/>
    <w:rsid w:val="00C358A8"/>
    <w:rsid w:val="00C36844"/>
    <w:rsid w:val="00C36DB2"/>
    <w:rsid w:val="00C400F0"/>
    <w:rsid w:val="00C41BD6"/>
    <w:rsid w:val="00C420C5"/>
    <w:rsid w:val="00C4360B"/>
    <w:rsid w:val="00C43BFD"/>
    <w:rsid w:val="00C44C2E"/>
    <w:rsid w:val="00C463A0"/>
    <w:rsid w:val="00C47E26"/>
    <w:rsid w:val="00C50E6F"/>
    <w:rsid w:val="00C524EF"/>
    <w:rsid w:val="00C57003"/>
    <w:rsid w:val="00C60301"/>
    <w:rsid w:val="00C6048A"/>
    <w:rsid w:val="00C60FFB"/>
    <w:rsid w:val="00C6150B"/>
    <w:rsid w:val="00C61C5B"/>
    <w:rsid w:val="00C62076"/>
    <w:rsid w:val="00C6240F"/>
    <w:rsid w:val="00C633B3"/>
    <w:rsid w:val="00C64303"/>
    <w:rsid w:val="00C64908"/>
    <w:rsid w:val="00C64B6F"/>
    <w:rsid w:val="00C64BFC"/>
    <w:rsid w:val="00C653C3"/>
    <w:rsid w:val="00C65FC9"/>
    <w:rsid w:val="00C66A11"/>
    <w:rsid w:val="00C66E3F"/>
    <w:rsid w:val="00C75C11"/>
    <w:rsid w:val="00C763D2"/>
    <w:rsid w:val="00C77DB8"/>
    <w:rsid w:val="00C80239"/>
    <w:rsid w:val="00C811FB"/>
    <w:rsid w:val="00C81273"/>
    <w:rsid w:val="00C819DB"/>
    <w:rsid w:val="00C82D54"/>
    <w:rsid w:val="00C83EAA"/>
    <w:rsid w:val="00C8487D"/>
    <w:rsid w:val="00C853E5"/>
    <w:rsid w:val="00C8550E"/>
    <w:rsid w:val="00C8678C"/>
    <w:rsid w:val="00C869F0"/>
    <w:rsid w:val="00C873F7"/>
    <w:rsid w:val="00C90CF4"/>
    <w:rsid w:val="00CA117C"/>
    <w:rsid w:val="00CA11BE"/>
    <w:rsid w:val="00CA12C5"/>
    <w:rsid w:val="00CA3FEB"/>
    <w:rsid w:val="00CB0609"/>
    <w:rsid w:val="00CB0AE7"/>
    <w:rsid w:val="00CB4C45"/>
    <w:rsid w:val="00CB6DF2"/>
    <w:rsid w:val="00CB6E35"/>
    <w:rsid w:val="00CC291B"/>
    <w:rsid w:val="00CC30EC"/>
    <w:rsid w:val="00CC6AF5"/>
    <w:rsid w:val="00CC6B26"/>
    <w:rsid w:val="00CC75FA"/>
    <w:rsid w:val="00CD068A"/>
    <w:rsid w:val="00CD2FCA"/>
    <w:rsid w:val="00CD6953"/>
    <w:rsid w:val="00CD779E"/>
    <w:rsid w:val="00CE09B1"/>
    <w:rsid w:val="00CE12A6"/>
    <w:rsid w:val="00CE1A46"/>
    <w:rsid w:val="00CE26CA"/>
    <w:rsid w:val="00CF2C4F"/>
    <w:rsid w:val="00CF36B8"/>
    <w:rsid w:val="00CF5EAA"/>
    <w:rsid w:val="00CF690D"/>
    <w:rsid w:val="00CF77F3"/>
    <w:rsid w:val="00D001F1"/>
    <w:rsid w:val="00D013AB"/>
    <w:rsid w:val="00D02698"/>
    <w:rsid w:val="00D03BED"/>
    <w:rsid w:val="00D05EA6"/>
    <w:rsid w:val="00D06D1A"/>
    <w:rsid w:val="00D0712D"/>
    <w:rsid w:val="00D1019B"/>
    <w:rsid w:val="00D20757"/>
    <w:rsid w:val="00D2147B"/>
    <w:rsid w:val="00D22636"/>
    <w:rsid w:val="00D22759"/>
    <w:rsid w:val="00D2453B"/>
    <w:rsid w:val="00D25D78"/>
    <w:rsid w:val="00D270D2"/>
    <w:rsid w:val="00D308F9"/>
    <w:rsid w:val="00D318BA"/>
    <w:rsid w:val="00D31BD4"/>
    <w:rsid w:val="00D32B91"/>
    <w:rsid w:val="00D3603D"/>
    <w:rsid w:val="00D40C0A"/>
    <w:rsid w:val="00D40FD9"/>
    <w:rsid w:val="00D41DE6"/>
    <w:rsid w:val="00D42694"/>
    <w:rsid w:val="00D43B30"/>
    <w:rsid w:val="00D45B87"/>
    <w:rsid w:val="00D479E1"/>
    <w:rsid w:val="00D50550"/>
    <w:rsid w:val="00D50C78"/>
    <w:rsid w:val="00D51378"/>
    <w:rsid w:val="00D52347"/>
    <w:rsid w:val="00D525C4"/>
    <w:rsid w:val="00D53769"/>
    <w:rsid w:val="00D54E73"/>
    <w:rsid w:val="00D55025"/>
    <w:rsid w:val="00D55079"/>
    <w:rsid w:val="00D5571B"/>
    <w:rsid w:val="00D5620C"/>
    <w:rsid w:val="00D5771F"/>
    <w:rsid w:val="00D5793A"/>
    <w:rsid w:val="00D579E6"/>
    <w:rsid w:val="00D57A0D"/>
    <w:rsid w:val="00D60D37"/>
    <w:rsid w:val="00D637C8"/>
    <w:rsid w:val="00D63D99"/>
    <w:rsid w:val="00D64356"/>
    <w:rsid w:val="00D658E5"/>
    <w:rsid w:val="00D6602D"/>
    <w:rsid w:val="00D6625B"/>
    <w:rsid w:val="00D72329"/>
    <w:rsid w:val="00D724E9"/>
    <w:rsid w:val="00D72B47"/>
    <w:rsid w:val="00D72D19"/>
    <w:rsid w:val="00D74D89"/>
    <w:rsid w:val="00D75BCC"/>
    <w:rsid w:val="00D80780"/>
    <w:rsid w:val="00D80F7E"/>
    <w:rsid w:val="00D8191F"/>
    <w:rsid w:val="00D830E8"/>
    <w:rsid w:val="00D84742"/>
    <w:rsid w:val="00D85C13"/>
    <w:rsid w:val="00D8648F"/>
    <w:rsid w:val="00D9111A"/>
    <w:rsid w:val="00D91BE3"/>
    <w:rsid w:val="00D931FE"/>
    <w:rsid w:val="00D93933"/>
    <w:rsid w:val="00D949B7"/>
    <w:rsid w:val="00D94AFC"/>
    <w:rsid w:val="00D979C6"/>
    <w:rsid w:val="00D97A7A"/>
    <w:rsid w:val="00DA2A91"/>
    <w:rsid w:val="00DA3AF6"/>
    <w:rsid w:val="00DA4387"/>
    <w:rsid w:val="00DA5008"/>
    <w:rsid w:val="00DA6236"/>
    <w:rsid w:val="00DA6B34"/>
    <w:rsid w:val="00DB0765"/>
    <w:rsid w:val="00DB70AE"/>
    <w:rsid w:val="00DC1A1C"/>
    <w:rsid w:val="00DC2781"/>
    <w:rsid w:val="00DC4273"/>
    <w:rsid w:val="00DC45E4"/>
    <w:rsid w:val="00DC582D"/>
    <w:rsid w:val="00DC6878"/>
    <w:rsid w:val="00DC7A87"/>
    <w:rsid w:val="00DC7B3E"/>
    <w:rsid w:val="00DC7B76"/>
    <w:rsid w:val="00DD5071"/>
    <w:rsid w:val="00DD5C39"/>
    <w:rsid w:val="00DE1F68"/>
    <w:rsid w:val="00DE28B8"/>
    <w:rsid w:val="00DE41B9"/>
    <w:rsid w:val="00DE5BF3"/>
    <w:rsid w:val="00DE618F"/>
    <w:rsid w:val="00DE65A9"/>
    <w:rsid w:val="00DE7DB7"/>
    <w:rsid w:val="00DF2141"/>
    <w:rsid w:val="00DF3091"/>
    <w:rsid w:val="00DF3CAF"/>
    <w:rsid w:val="00DF3D40"/>
    <w:rsid w:val="00DF40CC"/>
    <w:rsid w:val="00E00745"/>
    <w:rsid w:val="00E00A0A"/>
    <w:rsid w:val="00E00EC7"/>
    <w:rsid w:val="00E01E84"/>
    <w:rsid w:val="00E0627C"/>
    <w:rsid w:val="00E066DE"/>
    <w:rsid w:val="00E07F57"/>
    <w:rsid w:val="00E12BA5"/>
    <w:rsid w:val="00E1336A"/>
    <w:rsid w:val="00E134E1"/>
    <w:rsid w:val="00E16A43"/>
    <w:rsid w:val="00E17891"/>
    <w:rsid w:val="00E17B4B"/>
    <w:rsid w:val="00E22568"/>
    <w:rsid w:val="00E22932"/>
    <w:rsid w:val="00E23843"/>
    <w:rsid w:val="00E23ABC"/>
    <w:rsid w:val="00E240E1"/>
    <w:rsid w:val="00E2449A"/>
    <w:rsid w:val="00E2698E"/>
    <w:rsid w:val="00E30304"/>
    <w:rsid w:val="00E30364"/>
    <w:rsid w:val="00E3061D"/>
    <w:rsid w:val="00E30683"/>
    <w:rsid w:val="00E30C78"/>
    <w:rsid w:val="00E31EC0"/>
    <w:rsid w:val="00E32A2E"/>
    <w:rsid w:val="00E330CF"/>
    <w:rsid w:val="00E34516"/>
    <w:rsid w:val="00E36BBC"/>
    <w:rsid w:val="00E370AB"/>
    <w:rsid w:val="00E370CC"/>
    <w:rsid w:val="00E37287"/>
    <w:rsid w:val="00E42107"/>
    <w:rsid w:val="00E43C62"/>
    <w:rsid w:val="00E453D8"/>
    <w:rsid w:val="00E45D23"/>
    <w:rsid w:val="00E5061B"/>
    <w:rsid w:val="00E50BCE"/>
    <w:rsid w:val="00E52172"/>
    <w:rsid w:val="00E52E10"/>
    <w:rsid w:val="00E556EB"/>
    <w:rsid w:val="00E564AD"/>
    <w:rsid w:val="00E565F5"/>
    <w:rsid w:val="00E56D68"/>
    <w:rsid w:val="00E574BF"/>
    <w:rsid w:val="00E60BE3"/>
    <w:rsid w:val="00E61292"/>
    <w:rsid w:val="00E61CDE"/>
    <w:rsid w:val="00E62CFE"/>
    <w:rsid w:val="00E65AFF"/>
    <w:rsid w:val="00E65F7B"/>
    <w:rsid w:val="00E66701"/>
    <w:rsid w:val="00E676F7"/>
    <w:rsid w:val="00E700B9"/>
    <w:rsid w:val="00E718E6"/>
    <w:rsid w:val="00E72125"/>
    <w:rsid w:val="00E7274A"/>
    <w:rsid w:val="00E7378D"/>
    <w:rsid w:val="00E741DB"/>
    <w:rsid w:val="00E7528E"/>
    <w:rsid w:val="00E77777"/>
    <w:rsid w:val="00E77C4D"/>
    <w:rsid w:val="00E80523"/>
    <w:rsid w:val="00E80A0A"/>
    <w:rsid w:val="00E81D01"/>
    <w:rsid w:val="00E81EB4"/>
    <w:rsid w:val="00E83699"/>
    <w:rsid w:val="00E83C01"/>
    <w:rsid w:val="00E8573B"/>
    <w:rsid w:val="00E86E4B"/>
    <w:rsid w:val="00E87F0F"/>
    <w:rsid w:val="00E913D3"/>
    <w:rsid w:val="00E920F5"/>
    <w:rsid w:val="00E9349F"/>
    <w:rsid w:val="00E9608F"/>
    <w:rsid w:val="00E96789"/>
    <w:rsid w:val="00E96C59"/>
    <w:rsid w:val="00EA0198"/>
    <w:rsid w:val="00EA330F"/>
    <w:rsid w:val="00EA380B"/>
    <w:rsid w:val="00EA5B30"/>
    <w:rsid w:val="00EB143E"/>
    <w:rsid w:val="00EB3560"/>
    <w:rsid w:val="00EB4413"/>
    <w:rsid w:val="00EB485A"/>
    <w:rsid w:val="00EB614E"/>
    <w:rsid w:val="00EB7471"/>
    <w:rsid w:val="00EC33D3"/>
    <w:rsid w:val="00ED0420"/>
    <w:rsid w:val="00ED14FB"/>
    <w:rsid w:val="00ED26E9"/>
    <w:rsid w:val="00ED2B2B"/>
    <w:rsid w:val="00ED3732"/>
    <w:rsid w:val="00ED42D3"/>
    <w:rsid w:val="00ED53E0"/>
    <w:rsid w:val="00ED6A11"/>
    <w:rsid w:val="00ED6D05"/>
    <w:rsid w:val="00ED743D"/>
    <w:rsid w:val="00EE03F4"/>
    <w:rsid w:val="00EE1AEF"/>
    <w:rsid w:val="00EE1CA2"/>
    <w:rsid w:val="00EE3089"/>
    <w:rsid w:val="00EE3CF1"/>
    <w:rsid w:val="00EE45D8"/>
    <w:rsid w:val="00EE62B9"/>
    <w:rsid w:val="00EE62FF"/>
    <w:rsid w:val="00EE7367"/>
    <w:rsid w:val="00EF0C97"/>
    <w:rsid w:val="00EF18B7"/>
    <w:rsid w:val="00EF4726"/>
    <w:rsid w:val="00EF4DDA"/>
    <w:rsid w:val="00EF4FB5"/>
    <w:rsid w:val="00EF5B15"/>
    <w:rsid w:val="00EF6C2F"/>
    <w:rsid w:val="00EF6ED7"/>
    <w:rsid w:val="00EF7FD0"/>
    <w:rsid w:val="00F008E6"/>
    <w:rsid w:val="00F00AF2"/>
    <w:rsid w:val="00F02D86"/>
    <w:rsid w:val="00F04B7D"/>
    <w:rsid w:val="00F06B6B"/>
    <w:rsid w:val="00F0750C"/>
    <w:rsid w:val="00F07B90"/>
    <w:rsid w:val="00F11334"/>
    <w:rsid w:val="00F118F3"/>
    <w:rsid w:val="00F135E1"/>
    <w:rsid w:val="00F14C5D"/>
    <w:rsid w:val="00F15492"/>
    <w:rsid w:val="00F15A8E"/>
    <w:rsid w:val="00F17BA6"/>
    <w:rsid w:val="00F20ADA"/>
    <w:rsid w:val="00F2143B"/>
    <w:rsid w:val="00F21EE1"/>
    <w:rsid w:val="00F22CC9"/>
    <w:rsid w:val="00F22EDA"/>
    <w:rsid w:val="00F24D57"/>
    <w:rsid w:val="00F26641"/>
    <w:rsid w:val="00F26B63"/>
    <w:rsid w:val="00F27E2C"/>
    <w:rsid w:val="00F30E2A"/>
    <w:rsid w:val="00F3222C"/>
    <w:rsid w:val="00F3297F"/>
    <w:rsid w:val="00F32EB0"/>
    <w:rsid w:val="00F34055"/>
    <w:rsid w:val="00F3701D"/>
    <w:rsid w:val="00F37C91"/>
    <w:rsid w:val="00F417A5"/>
    <w:rsid w:val="00F4234E"/>
    <w:rsid w:val="00F4428F"/>
    <w:rsid w:val="00F45513"/>
    <w:rsid w:val="00F470D6"/>
    <w:rsid w:val="00F537D3"/>
    <w:rsid w:val="00F554D0"/>
    <w:rsid w:val="00F5570E"/>
    <w:rsid w:val="00F5589A"/>
    <w:rsid w:val="00F60E95"/>
    <w:rsid w:val="00F62F62"/>
    <w:rsid w:val="00F6437C"/>
    <w:rsid w:val="00F65760"/>
    <w:rsid w:val="00F67CE2"/>
    <w:rsid w:val="00F71946"/>
    <w:rsid w:val="00F71DC1"/>
    <w:rsid w:val="00F7369D"/>
    <w:rsid w:val="00F805DD"/>
    <w:rsid w:val="00F8411A"/>
    <w:rsid w:val="00F85D48"/>
    <w:rsid w:val="00F87672"/>
    <w:rsid w:val="00F90757"/>
    <w:rsid w:val="00F90B00"/>
    <w:rsid w:val="00F93C61"/>
    <w:rsid w:val="00F97705"/>
    <w:rsid w:val="00F978A5"/>
    <w:rsid w:val="00FA4F99"/>
    <w:rsid w:val="00FA61D0"/>
    <w:rsid w:val="00FA6D5D"/>
    <w:rsid w:val="00FB043B"/>
    <w:rsid w:val="00FB0D85"/>
    <w:rsid w:val="00FB1859"/>
    <w:rsid w:val="00FB26B3"/>
    <w:rsid w:val="00FB4C34"/>
    <w:rsid w:val="00FB5860"/>
    <w:rsid w:val="00FB7E4E"/>
    <w:rsid w:val="00FC0590"/>
    <w:rsid w:val="00FC317A"/>
    <w:rsid w:val="00FC40FA"/>
    <w:rsid w:val="00FC441D"/>
    <w:rsid w:val="00FC5A77"/>
    <w:rsid w:val="00FC5DF2"/>
    <w:rsid w:val="00FD2475"/>
    <w:rsid w:val="00FD3969"/>
    <w:rsid w:val="00FD3DD5"/>
    <w:rsid w:val="00FD61C0"/>
    <w:rsid w:val="00FD634A"/>
    <w:rsid w:val="00FD7A74"/>
    <w:rsid w:val="00FE249B"/>
    <w:rsid w:val="00FE2A03"/>
    <w:rsid w:val="00FE39AD"/>
    <w:rsid w:val="00FE4724"/>
    <w:rsid w:val="00FE6449"/>
    <w:rsid w:val="00FE6D6E"/>
    <w:rsid w:val="00FE6D8A"/>
    <w:rsid w:val="00FE7370"/>
    <w:rsid w:val="00FF0B8B"/>
    <w:rsid w:val="00FF3005"/>
    <w:rsid w:val="00FF40F7"/>
    <w:rsid w:val="00FF53CB"/>
    <w:rsid w:val="00FF561B"/>
    <w:rsid w:val="00FF5910"/>
    <w:rsid w:val="00FF65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F6AA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555D"/>
    <w:rPr>
      <w:sz w:val="24"/>
      <w:szCs w:val="24"/>
      <w:lang w:val="en-GB" w:eastAsia="en-GB"/>
    </w:rPr>
  </w:style>
  <w:style w:type="paragraph" w:styleId="Heading1">
    <w:name w:val="heading 1"/>
    <w:aliases w:val="Heading 1 tax"/>
    <w:basedOn w:val="Normal"/>
    <w:next w:val="Bodytexttax1"/>
    <w:link w:val="Heading1Char"/>
    <w:qFormat/>
    <w:rsid w:val="00D637C8"/>
    <w:pPr>
      <w:keepNext/>
      <w:spacing w:before="240" w:after="240"/>
      <w:outlineLvl w:val="0"/>
    </w:pPr>
    <w:rPr>
      <w:b/>
      <w:szCs w:val="20"/>
      <w:lang w:eastAsia="en-US"/>
    </w:rPr>
  </w:style>
  <w:style w:type="paragraph" w:styleId="Heading2">
    <w:name w:val="heading 2"/>
    <w:aliases w:val="Heading 2 tax"/>
    <w:basedOn w:val="Normal"/>
    <w:next w:val="Bodytexttax1"/>
    <w:link w:val="Heading2Char"/>
    <w:qFormat/>
    <w:rsid w:val="00D637C8"/>
    <w:pPr>
      <w:keepNext/>
      <w:spacing w:before="240" w:after="240"/>
      <w:outlineLvl w:val="1"/>
    </w:pPr>
    <w:rPr>
      <w:i/>
      <w:szCs w:val="20"/>
      <w:lang w:eastAsia="en-US"/>
    </w:rPr>
  </w:style>
  <w:style w:type="paragraph" w:styleId="Heading3">
    <w:name w:val="heading 3"/>
    <w:basedOn w:val="Normal"/>
    <w:next w:val="Normal"/>
    <w:link w:val="Heading3Char"/>
    <w:qFormat/>
    <w:rsid w:val="004F749E"/>
    <w:pPr>
      <w:keepNext/>
      <w:spacing w:before="240" w:after="60"/>
      <w:outlineLvl w:val="2"/>
    </w:pPr>
    <w:rPr>
      <w:rFonts w:ascii="Arial" w:hAnsi="Arial"/>
      <w:szCs w:val="20"/>
      <w:lang w:eastAsia="en-US"/>
    </w:rPr>
  </w:style>
  <w:style w:type="paragraph" w:styleId="Heading4">
    <w:name w:val="heading 4"/>
    <w:basedOn w:val="Normal"/>
    <w:next w:val="Normal"/>
    <w:link w:val="Heading4Char"/>
    <w:qFormat/>
    <w:rsid w:val="004F749E"/>
    <w:pPr>
      <w:keepNext/>
      <w:tabs>
        <w:tab w:val="center" w:pos="4050"/>
        <w:tab w:val="right" w:pos="5760"/>
        <w:tab w:val="right" w:pos="8190"/>
      </w:tabs>
      <w:ind w:right="793"/>
      <w:jc w:val="center"/>
      <w:outlineLvl w:val="3"/>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1D8F"/>
    <w:rPr>
      <w:rFonts w:ascii="Tahoma" w:hAnsi="Tahoma" w:cs="Tahoma"/>
      <w:sz w:val="16"/>
      <w:szCs w:val="16"/>
    </w:rPr>
  </w:style>
  <w:style w:type="character" w:styleId="Hyperlink">
    <w:name w:val="Hyperlink"/>
    <w:rsid w:val="00B95326"/>
    <w:rPr>
      <w:color w:val="0000FF"/>
      <w:u w:val="single"/>
    </w:rPr>
  </w:style>
  <w:style w:type="paragraph" w:styleId="ListParagraph">
    <w:name w:val="List Paragraph"/>
    <w:basedOn w:val="Normal"/>
    <w:uiPriority w:val="34"/>
    <w:qFormat/>
    <w:rsid w:val="00FD3DD5"/>
    <w:pPr>
      <w:ind w:left="720"/>
      <w:contextualSpacing/>
    </w:pPr>
  </w:style>
  <w:style w:type="character" w:customStyle="1" w:styleId="markedcontent">
    <w:name w:val="markedcontent"/>
    <w:basedOn w:val="DefaultParagraphFont"/>
    <w:rsid w:val="00A664AC"/>
  </w:style>
  <w:style w:type="paragraph" w:styleId="NormalWeb">
    <w:name w:val="Normal (Web)"/>
    <w:basedOn w:val="Normal"/>
    <w:uiPriority w:val="99"/>
    <w:unhideWhenUsed/>
    <w:rsid w:val="00A53ED1"/>
    <w:pPr>
      <w:spacing w:before="100" w:beforeAutospacing="1" w:after="100" w:afterAutospacing="1"/>
    </w:pPr>
  </w:style>
  <w:style w:type="character" w:styleId="CommentReference">
    <w:name w:val="annotation reference"/>
    <w:rsid w:val="00AB5E6D"/>
    <w:rPr>
      <w:sz w:val="16"/>
      <w:szCs w:val="16"/>
    </w:rPr>
  </w:style>
  <w:style w:type="paragraph" w:styleId="CommentText">
    <w:name w:val="annotation text"/>
    <w:basedOn w:val="Normal"/>
    <w:link w:val="CommentTextChar"/>
    <w:rsid w:val="00AB5E6D"/>
    <w:rPr>
      <w:sz w:val="20"/>
      <w:szCs w:val="20"/>
    </w:rPr>
  </w:style>
  <w:style w:type="character" w:customStyle="1" w:styleId="CommentTextChar">
    <w:name w:val="Comment Text Char"/>
    <w:basedOn w:val="DefaultParagraphFont"/>
    <w:link w:val="CommentText"/>
    <w:rsid w:val="00AB5E6D"/>
  </w:style>
  <w:style w:type="paragraph" w:styleId="CommentSubject">
    <w:name w:val="annotation subject"/>
    <w:basedOn w:val="CommentText"/>
    <w:next w:val="CommentText"/>
    <w:link w:val="CommentSubjectChar"/>
    <w:rsid w:val="00AB5E6D"/>
    <w:rPr>
      <w:b/>
      <w:bCs/>
    </w:rPr>
  </w:style>
  <w:style w:type="character" w:customStyle="1" w:styleId="CommentSubjectChar">
    <w:name w:val="Comment Subject Char"/>
    <w:link w:val="CommentSubject"/>
    <w:rsid w:val="00AB5E6D"/>
    <w:rPr>
      <w:b/>
      <w:bCs/>
    </w:rPr>
  </w:style>
  <w:style w:type="character" w:customStyle="1" w:styleId="Heading1Char">
    <w:name w:val="Heading 1 Char"/>
    <w:aliases w:val="Heading 1 tax Char"/>
    <w:basedOn w:val="DefaultParagraphFont"/>
    <w:link w:val="Heading1"/>
    <w:rsid w:val="00D637C8"/>
    <w:rPr>
      <w:b/>
      <w:sz w:val="24"/>
      <w:lang w:val="en-GB"/>
    </w:rPr>
  </w:style>
  <w:style w:type="character" w:customStyle="1" w:styleId="Heading2Char">
    <w:name w:val="Heading 2 Char"/>
    <w:aliases w:val="Heading 2 tax Char"/>
    <w:basedOn w:val="DefaultParagraphFont"/>
    <w:link w:val="Heading2"/>
    <w:rsid w:val="00D637C8"/>
    <w:rPr>
      <w:i/>
      <w:sz w:val="24"/>
      <w:lang w:val="en-GB"/>
    </w:rPr>
  </w:style>
  <w:style w:type="paragraph" w:customStyle="1" w:styleId="Bodytexttax1">
    <w:name w:val="Body text tax 1"/>
    <w:basedOn w:val="Normal"/>
    <w:rsid w:val="004F749E"/>
    <w:pPr>
      <w:numPr>
        <w:numId w:val="23"/>
      </w:numPr>
      <w:tabs>
        <w:tab w:val="left" w:pos="425"/>
      </w:tabs>
      <w:spacing w:after="240"/>
      <w:jc w:val="both"/>
    </w:pPr>
    <w:rPr>
      <w:szCs w:val="20"/>
      <w:lang w:eastAsia="en-US"/>
    </w:rPr>
  </w:style>
  <w:style w:type="paragraph" w:customStyle="1" w:styleId="Bodytexttax2">
    <w:name w:val="Body text tax 2"/>
    <w:basedOn w:val="Normal"/>
    <w:rsid w:val="004F749E"/>
    <w:pPr>
      <w:numPr>
        <w:ilvl w:val="1"/>
        <w:numId w:val="23"/>
      </w:numPr>
      <w:tabs>
        <w:tab w:val="clear" w:pos="1210"/>
        <w:tab w:val="left" w:pos="992"/>
        <w:tab w:val="num" w:pos="2061"/>
      </w:tabs>
      <w:spacing w:after="120"/>
      <w:ind w:left="1701"/>
      <w:jc w:val="both"/>
    </w:pPr>
    <w:rPr>
      <w:szCs w:val="20"/>
      <w:lang w:eastAsia="en-US"/>
    </w:rPr>
  </w:style>
  <w:style w:type="paragraph" w:customStyle="1" w:styleId="Bodytexttax3">
    <w:name w:val="Body text tax 3"/>
    <w:basedOn w:val="Normal"/>
    <w:next w:val="Bodytexttax1"/>
    <w:rsid w:val="004F749E"/>
    <w:pPr>
      <w:spacing w:after="240"/>
      <w:jc w:val="both"/>
    </w:pPr>
    <w:rPr>
      <w:szCs w:val="20"/>
      <w:lang w:eastAsia="en-US"/>
    </w:rPr>
  </w:style>
  <w:style w:type="paragraph" w:customStyle="1" w:styleId="Bodytexttax4">
    <w:name w:val="Body text tax 4"/>
    <w:basedOn w:val="Normal"/>
    <w:rsid w:val="004F749E"/>
    <w:pPr>
      <w:numPr>
        <w:ilvl w:val="2"/>
        <w:numId w:val="23"/>
      </w:numPr>
      <w:tabs>
        <w:tab w:val="left" w:pos="1559"/>
      </w:tabs>
      <w:spacing w:after="120"/>
      <w:jc w:val="both"/>
    </w:pPr>
    <w:rPr>
      <w:szCs w:val="20"/>
      <w:lang w:eastAsia="en-US"/>
    </w:rPr>
  </w:style>
  <w:style w:type="paragraph" w:customStyle="1" w:styleId="Bodytexttaxindent">
    <w:name w:val="Body text tax indent"/>
    <w:basedOn w:val="Normal"/>
    <w:link w:val="BodytexttaxindentChar"/>
    <w:rsid w:val="004F749E"/>
    <w:pPr>
      <w:spacing w:after="120"/>
      <w:ind w:left="1440" w:right="567"/>
      <w:jc w:val="both"/>
    </w:pPr>
    <w:rPr>
      <w:sz w:val="22"/>
      <w:szCs w:val="20"/>
      <w:lang w:eastAsia="en-US"/>
    </w:rPr>
  </w:style>
  <w:style w:type="character" w:customStyle="1" w:styleId="BodytexttaxindentChar">
    <w:name w:val="Body text tax indent Char"/>
    <w:link w:val="Bodytexttaxindent"/>
    <w:rsid w:val="004F749E"/>
    <w:rPr>
      <w:sz w:val="22"/>
      <w:lang w:val="en-GB"/>
    </w:rPr>
  </w:style>
  <w:style w:type="character" w:customStyle="1" w:styleId="Heading3Char">
    <w:name w:val="Heading 3 Char"/>
    <w:basedOn w:val="DefaultParagraphFont"/>
    <w:link w:val="Heading3"/>
    <w:rsid w:val="004F749E"/>
    <w:rPr>
      <w:rFonts w:ascii="Arial" w:hAnsi="Arial"/>
      <w:sz w:val="24"/>
      <w:lang w:val="en-GB"/>
    </w:rPr>
  </w:style>
  <w:style w:type="character" w:customStyle="1" w:styleId="Heading4Char">
    <w:name w:val="Heading 4 Char"/>
    <w:basedOn w:val="DefaultParagraphFont"/>
    <w:link w:val="Heading4"/>
    <w:rsid w:val="004F749E"/>
    <w:rPr>
      <w:b/>
      <w:sz w:val="24"/>
      <w:lang w:val="en-GB"/>
    </w:rPr>
  </w:style>
  <w:style w:type="paragraph" w:customStyle="1" w:styleId="judgment-headerpr-right">
    <w:name w:val="judgment-header__pr-right"/>
    <w:basedOn w:val="Normal"/>
    <w:rsid w:val="007B6758"/>
    <w:pPr>
      <w:spacing w:before="100" w:beforeAutospacing="1" w:after="100" w:afterAutospacing="1"/>
    </w:pPr>
  </w:style>
  <w:style w:type="paragraph" w:customStyle="1" w:styleId="Default">
    <w:name w:val="Default"/>
    <w:rsid w:val="00D97A7A"/>
    <w:pPr>
      <w:autoSpaceDE w:val="0"/>
      <w:autoSpaceDN w:val="0"/>
      <w:adjustRightInd w:val="0"/>
    </w:pPr>
    <w:rPr>
      <w:color w:val="000000"/>
      <w:sz w:val="24"/>
      <w:szCs w:val="24"/>
      <w:lang w:val="en-GB"/>
    </w:rPr>
  </w:style>
  <w:style w:type="paragraph" w:styleId="Revision">
    <w:name w:val="Revision"/>
    <w:hidden/>
    <w:uiPriority w:val="99"/>
    <w:semiHidden/>
    <w:rsid w:val="002574C8"/>
    <w:rPr>
      <w:sz w:val="24"/>
      <w:szCs w:val="24"/>
      <w:lang w:val="en-GB" w:eastAsia="en-GB"/>
    </w:rPr>
  </w:style>
  <w:style w:type="character" w:styleId="UnresolvedMention">
    <w:name w:val="Unresolved Mention"/>
    <w:basedOn w:val="DefaultParagraphFont"/>
    <w:uiPriority w:val="99"/>
    <w:semiHidden/>
    <w:unhideWhenUsed/>
    <w:rsid w:val="00E91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93717">
      <w:bodyDiv w:val="1"/>
      <w:marLeft w:val="0"/>
      <w:marRight w:val="0"/>
      <w:marTop w:val="0"/>
      <w:marBottom w:val="0"/>
      <w:divBdr>
        <w:top w:val="none" w:sz="0" w:space="0" w:color="auto"/>
        <w:left w:val="none" w:sz="0" w:space="0" w:color="auto"/>
        <w:bottom w:val="none" w:sz="0" w:space="0" w:color="auto"/>
        <w:right w:val="none" w:sz="0" w:space="0" w:color="auto"/>
      </w:divBdr>
    </w:div>
    <w:div w:id="502934788">
      <w:bodyDiv w:val="1"/>
      <w:marLeft w:val="0"/>
      <w:marRight w:val="0"/>
      <w:marTop w:val="0"/>
      <w:marBottom w:val="0"/>
      <w:divBdr>
        <w:top w:val="none" w:sz="0" w:space="0" w:color="auto"/>
        <w:left w:val="none" w:sz="0" w:space="0" w:color="auto"/>
        <w:bottom w:val="none" w:sz="0" w:space="0" w:color="auto"/>
        <w:right w:val="none" w:sz="0" w:space="0" w:color="auto"/>
      </w:divBdr>
    </w:div>
    <w:div w:id="675887395">
      <w:bodyDiv w:val="1"/>
      <w:marLeft w:val="0"/>
      <w:marRight w:val="0"/>
      <w:marTop w:val="0"/>
      <w:marBottom w:val="0"/>
      <w:divBdr>
        <w:top w:val="none" w:sz="0" w:space="0" w:color="auto"/>
        <w:left w:val="none" w:sz="0" w:space="0" w:color="auto"/>
        <w:bottom w:val="none" w:sz="0" w:space="0" w:color="auto"/>
        <w:right w:val="none" w:sz="0" w:space="0" w:color="auto"/>
      </w:divBdr>
    </w:div>
    <w:div w:id="1103960537">
      <w:bodyDiv w:val="1"/>
      <w:marLeft w:val="0"/>
      <w:marRight w:val="0"/>
      <w:marTop w:val="0"/>
      <w:marBottom w:val="0"/>
      <w:divBdr>
        <w:top w:val="none" w:sz="0" w:space="0" w:color="auto"/>
        <w:left w:val="none" w:sz="0" w:space="0" w:color="auto"/>
        <w:bottom w:val="none" w:sz="0" w:space="0" w:color="auto"/>
        <w:right w:val="none" w:sz="0" w:space="0" w:color="auto"/>
      </w:divBdr>
    </w:div>
    <w:div w:id="1369180818">
      <w:bodyDiv w:val="1"/>
      <w:marLeft w:val="0"/>
      <w:marRight w:val="0"/>
      <w:marTop w:val="0"/>
      <w:marBottom w:val="0"/>
      <w:divBdr>
        <w:top w:val="none" w:sz="0" w:space="0" w:color="auto"/>
        <w:left w:val="none" w:sz="0" w:space="0" w:color="auto"/>
        <w:bottom w:val="none" w:sz="0" w:space="0" w:color="auto"/>
        <w:right w:val="none" w:sz="0" w:space="0" w:color="auto"/>
      </w:divBdr>
    </w:div>
    <w:div w:id="1454520725">
      <w:bodyDiv w:val="1"/>
      <w:marLeft w:val="0"/>
      <w:marRight w:val="0"/>
      <w:marTop w:val="0"/>
      <w:marBottom w:val="0"/>
      <w:divBdr>
        <w:top w:val="none" w:sz="0" w:space="0" w:color="auto"/>
        <w:left w:val="none" w:sz="0" w:space="0" w:color="auto"/>
        <w:bottom w:val="none" w:sz="0" w:space="0" w:color="auto"/>
        <w:right w:val="none" w:sz="0" w:space="0" w:color="auto"/>
      </w:divBdr>
    </w:div>
    <w:div w:id="1524858715">
      <w:bodyDiv w:val="1"/>
      <w:marLeft w:val="0"/>
      <w:marRight w:val="0"/>
      <w:marTop w:val="0"/>
      <w:marBottom w:val="0"/>
      <w:divBdr>
        <w:top w:val="none" w:sz="0" w:space="0" w:color="auto"/>
        <w:left w:val="none" w:sz="0" w:space="0" w:color="auto"/>
        <w:bottom w:val="none" w:sz="0" w:space="0" w:color="auto"/>
        <w:right w:val="none" w:sz="0" w:space="0" w:color="auto"/>
      </w:divBdr>
    </w:div>
    <w:div w:id="1695377299">
      <w:bodyDiv w:val="1"/>
      <w:marLeft w:val="0"/>
      <w:marRight w:val="0"/>
      <w:marTop w:val="0"/>
      <w:marBottom w:val="0"/>
      <w:divBdr>
        <w:top w:val="none" w:sz="0" w:space="0" w:color="auto"/>
        <w:left w:val="none" w:sz="0" w:space="0" w:color="auto"/>
        <w:bottom w:val="none" w:sz="0" w:space="0" w:color="auto"/>
        <w:right w:val="none" w:sz="0" w:space="0" w:color="auto"/>
      </w:divBdr>
    </w:div>
    <w:div w:id="1721779818">
      <w:bodyDiv w:val="1"/>
      <w:marLeft w:val="0"/>
      <w:marRight w:val="0"/>
      <w:marTop w:val="0"/>
      <w:marBottom w:val="0"/>
      <w:divBdr>
        <w:top w:val="none" w:sz="0" w:space="0" w:color="auto"/>
        <w:left w:val="none" w:sz="0" w:space="0" w:color="auto"/>
        <w:bottom w:val="none" w:sz="0" w:space="0" w:color="auto"/>
        <w:right w:val="none" w:sz="0" w:space="0" w:color="auto"/>
      </w:divBdr>
    </w:div>
    <w:div w:id="2030131896">
      <w:bodyDiv w:val="1"/>
      <w:marLeft w:val="0"/>
      <w:marRight w:val="0"/>
      <w:marTop w:val="0"/>
      <w:marBottom w:val="0"/>
      <w:divBdr>
        <w:top w:val="none" w:sz="0" w:space="0" w:color="auto"/>
        <w:left w:val="none" w:sz="0" w:space="0" w:color="auto"/>
        <w:bottom w:val="none" w:sz="0" w:space="0" w:color="auto"/>
        <w:right w:val="none" w:sz="0" w:space="0" w:color="auto"/>
      </w:divBdr>
    </w:div>
    <w:div w:id="2054885371">
      <w:bodyDiv w:val="1"/>
      <w:marLeft w:val="0"/>
      <w:marRight w:val="0"/>
      <w:marTop w:val="0"/>
      <w:marBottom w:val="0"/>
      <w:divBdr>
        <w:top w:val="none" w:sz="0" w:space="0" w:color="auto"/>
        <w:left w:val="none" w:sz="0" w:space="0" w:color="auto"/>
        <w:bottom w:val="none" w:sz="0" w:space="0" w:color="auto"/>
        <w:right w:val="none" w:sz="0" w:space="0" w:color="auto"/>
      </w:divBdr>
    </w:div>
    <w:div w:id="208190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7-14T09:47:00.796"/>
    </inkml:context>
    <inkml:brush xml:id="br0">
      <inkml:brushProperty name="width" value="0.03057" units="cm"/>
      <inkml:brushProperty name="height" value="0.03057" units="cm"/>
    </inkml:brush>
  </inkml:definitions>
  <inkml:trace contextRef="#ctx0" brushRef="#br0">1 0 32767,'0'0'0,"0"0"0,0 0 0,0 0 0,47 21 0,-47-21 0,0 0 0,53 38 0,-53-38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A1B637F0A849B479CA0237685205CCE" ma:contentTypeVersion="6" ma:contentTypeDescription="Create a new document." ma:contentTypeScope="" ma:versionID="3e42a9a0b855f679fe52e5c06904d8f7">
  <xsd:schema xmlns:xsd="http://www.w3.org/2001/XMLSchema" xmlns:xs="http://www.w3.org/2001/XMLSchema" xmlns:p="http://schemas.microsoft.com/office/2006/metadata/properties" xmlns:ns2="45d386d8-5b20-4d92-ac99-2fc467752fad" xmlns:ns3="a9690156-c543-421f-82f2-4de19d0e9753" targetNamespace="http://schemas.microsoft.com/office/2006/metadata/properties" ma:root="true" ma:fieldsID="ff78333a879f0aaa514bfb93c3c8eaba" ns2:_="" ns3:_="">
    <xsd:import namespace="45d386d8-5b20-4d92-ac99-2fc467752fad"/>
    <xsd:import namespace="a9690156-c543-421f-82f2-4de19d0e97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386d8-5b20-4d92-ac99-2fc467752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90156-c543-421f-82f2-4de19d0e97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672C4-C4F2-4D86-A323-56BD425D9D10}">
  <ds:schemaRefs>
    <ds:schemaRef ds:uri="http://schemas.microsoft.com/sharepoint/v3/contenttype/forms"/>
  </ds:schemaRefs>
</ds:datastoreItem>
</file>

<file path=customXml/itemProps2.xml><?xml version="1.0" encoding="utf-8"?>
<ds:datastoreItem xmlns:ds="http://schemas.openxmlformats.org/officeDocument/2006/customXml" ds:itemID="{16DB79C0-8C77-47C5-9569-A4522025FA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E4DC97-DECE-4BE9-B428-B0727E34BD95}">
  <ds:schemaRefs>
    <ds:schemaRef ds:uri="http://schemas.openxmlformats.org/officeDocument/2006/bibliography"/>
  </ds:schemaRefs>
</ds:datastoreItem>
</file>

<file path=customXml/itemProps4.xml><?xml version="1.0" encoding="utf-8"?>
<ds:datastoreItem xmlns:ds="http://schemas.openxmlformats.org/officeDocument/2006/customXml" ds:itemID="{177CB6BA-C9A0-4069-95DA-DA3364A6E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386d8-5b20-4d92-ac99-2fc467752fad"/>
    <ds:schemaRef ds:uri="a9690156-c543-421f-82f2-4de19d0e9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3634</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2023-07-10T10:33:00Z</dcterms:created>
  <dcterms:modified xsi:type="dcterms:W3CDTF">2023-07-10T10:34:00Z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0x010100DA1B637F0A849B479CA0237685205CCE</vt:lpwstr>
  </property>
</Properties>
</file>